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D7E20" w:rsidRDefault="005D7E20">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
        <w:tblpPr w:leftFromText="180" w:rightFromText="180" w:vertAnchor="page" w:horzAnchor="margin" w:tblpX="135" w:tblpY="3121"/>
        <w:tblW w:w="8580" w:type="dxa"/>
        <w:tblBorders>
          <w:top w:val="nil"/>
          <w:left w:val="nil"/>
          <w:bottom w:val="nil"/>
          <w:right w:val="nil"/>
          <w:insideH w:val="nil"/>
          <w:insideV w:val="nil"/>
        </w:tblBorders>
        <w:tblLayout w:type="fixed"/>
        <w:tblLook w:val="0400" w:firstRow="0" w:lastRow="0" w:firstColumn="0" w:lastColumn="0" w:noHBand="0" w:noVBand="1"/>
      </w:tblPr>
      <w:tblGrid>
        <w:gridCol w:w="8580"/>
      </w:tblGrid>
      <w:tr w:rsidR="005D7E20" w14:paraId="19AF6112" w14:textId="77777777">
        <w:trPr>
          <w:cantSplit/>
          <w:trHeight w:val="1558"/>
        </w:trPr>
        <w:tc>
          <w:tcPr>
            <w:tcW w:w="8580" w:type="dxa"/>
          </w:tcPr>
          <w:p w14:paraId="00000002" w14:textId="77777777" w:rsidR="005D7E20" w:rsidRDefault="00D63D0E">
            <w:pPr>
              <w:pStyle w:val="Title"/>
            </w:pPr>
            <w:sdt>
              <w:sdtPr>
                <w:tag w:val="goog_rdk_0"/>
                <w:id w:val="1312831745"/>
              </w:sdtPr>
              <w:sdtEndPr/>
              <w:sdtContent/>
            </w:sdt>
            <w:r w:rsidR="00507B07">
              <w:t>Australian Public Assessment Report for Gavreto</w:t>
            </w:r>
          </w:p>
        </w:tc>
      </w:tr>
      <w:tr w:rsidR="005D7E20" w14:paraId="65860E1E" w14:textId="77777777">
        <w:trPr>
          <w:cantSplit/>
          <w:trHeight w:val="995"/>
        </w:trPr>
        <w:tc>
          <w:tcPr>
            <w:tcW w:w="8580" w:type="dxa"/>
          </w:tcPr>
          <w:p w14:paraId="00000003" w14:textId="77777777" w:rsidR="005D7E20" w:rsidRDefault="00507B07">
            <w:pPr>
              <w:pStyle w:val="Subtitle"/>
              <w:ind w:left="0"/>
            </w:pPr>
            <w:r>
              <w:t xml:space="preserve">Active ingredient/s: </w:t>
            </w:r>
            <w:proofErr w:type="spellStart"/>
            <w:r>
              <w:t>Pralsetinib</w:t>
            </w:r>
            <w:proofErr w:type="spellEnd"/>
          </w:p>
        </w:tc>
      </w:tr>
      <w:tr w:rsidR="005D7E20" w14:paraId="62D88A3C" w14:textId="77777777">
        <w:trPr>
          <w:cantSplit/>
          <w:trHeight w:val="1916"/>
        </w:trPr>
        <w:tc>
          <w:tcPr>
            <w:tcW w:w="8580" w:type="dxa"/>
          </w:tcPr>
          <w:p w14:paraId="00000004" w14:textId="77777777" w:rsidR="005D7E20" w:rsidRDefault="00507B07">
            <w:pPr>
              <w:pStyle w:val="Subtitle"/>
              <w:ind w:left="0"/>
            </w:pPr>
            <w:r>
              <w:t>Sponsor: Roche Products Pty Ltd</w:t>
            </w:r>
          </w:p>
        </w:tc>
      </w:tr>
      <w:tr w:rsidR="005D7E20" w14:paraId="283C0ADF" w14:textId="77777777">
        <w:trPr>
          <w:cantSplit/>
        </w:trPr>
        <w:tc>
          <w:tcPr>
            <w:tcW w:w="8580" w:type="dxa"/>
          </w:tcPr>
          <w:p w14:paraId="00000005" w14:textId="452A4AA5" w:rsidR="005D7E20" w:rsidRDefault="001823C5">
            <w:pPr>
              <w:pBdr>
                <w:top w:val="nil"/>
                <w:left w:val="nil"/>
                <w:bottom w:val="nil"/>
                <w:right w:val="nil"/>
                <w:between w:val="nil"/>
              </w:pBdr>
              <w:spacing w:before="120" w:line="259" w:lineRule="auto"/>
              <w:ind w:left="0" w:right="0"/>
              <w:rPr>
                <w:rFonts w:ascii="Arial" w:eastAsia="Arial" w:hAnsi="Arial" w:cs="Arial"/>
                <w:color w:val="333F4A"/>
                <w:sz w:val="28"/>
                <w:szCs w:val="28"/>
              </w:rPr>
            </w:pPr>
            <w:r>
              <w:rPr>
                <w:rFonts w:ascii="Arial" w:eastAsia="Arial" w:hAnsi="Arial" w:cs="Arial"/>
                <w:color w:val="333F4A"/>
                <w:sz w:val="28"/>
                <w:szCs w:val="28"/>
              </w:rPr>
              <w:t>October</w:t>
            </w:r>
            <w:r w:rsidR="00507B07">
              <w:rPr>
                <w:rFonts w:ascii="Arial" w:eastAsia="Arial" w:hAnsi="Arial" w:cs="Arial"/>
                <w:color w:val="333F4A"/>
                <w:sz w:val="28"/>
                <w:szCs w:val="28"/>
              </w:rPr>
              <w:t xml:space="preserve"> 2023</w:t>
            </w:r>
          </w:p>
        </w:tc>
      </w:tr>
    </w:tbl>
    <w:p w14:paraId="00000006" w14:textId="77777777" w:rsidR="005D7E20" w:rsidRDefault="005D7E20">
      <w:pPr>
        <w:pBdr>
          <w:top w:val="nil"/>
          <w:left w:val="nil"/>
          <w:bottom w:val="nil"/>
          <w:right w:val="nil"/>
          <w:between w:val="nil"/>
        </w:pBdr>
        <w:spacing w:before="120" w:after="180"/>
        <w:ind w:left="360" w:hanging="360"/>
        <w:rPr>
          <w:color w:val="000000"/>
        </w:rPr>
        <w:sectPr w:rsidR="005D7E20">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20"/>
          <w:titlePg/>
        </w:sectPr>
      </w:pPr>
    </w:p>
    <w:p w14:paraId="00000007" w14:textId="77777777" w:rsidR="005D7E20" w:rsidRDefault="00507B07" w:rsidP="001823C5">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lastRenderedPageBreak/>
        <w:t>About the Therapeutic Goods Administration (TGA)</w:t>
      </w:r>
    </w:p>
    <w:p w14:paraId="00000008" w14:textId="77777777" w:rsidR="005D7E20" w:rsidRDefault="00507B07" w:rsidP="001823C5">
      <w:pPr>
        <w:numPr>
          <w:ilvl w:val="0"/>
          <w:numId w:val="6"/>
        </w:numPr>
        <w:pBdr>
          <w:top w:val="nil"/>
          <w:left w:val="nil"/>
          <w:bottom w:val="nil"/>
          <w:right w:val="nil"/>
          <w:between w:val="nil"/>
        </w:pBdr>
        <w:spacing w:before="120" w:after="180"/>
      </w:pPr>
      <w:r>
        <w:rPr>
          <w:color w:val="000000"/>
        </w:rPr>
        <w:t>The Therapeutic Goods Administration (TGA) is part of the Australian Government Department of Health and Aged Care and is responsible for regulating therapeutic goods, including medicines, medical devices, and biologicals.</w:t>
      </w:r>
    </w:p>
    <w:p w14:paraId="00000009" w14:textId="77777777" w:rsidR="005D7E20" w:rsidRDefault="00507B07" w:rsidP="001823C5">
      <w:pPr>
        <w:numPr>
          <w:ilvl w:val="0"/>
          <w:numId w:val="6"/>
        </w:numPr>
        <w:pBdr>
          <w:top w:val="nil"/>
          <w:left w:val="nil"/>
          <w:bottom w:val="nil"/>
          <w:right w:val="nil"/>
          <w:between w:val="nil"/>
        </w:pBdr>
        <w:spacing w:before="120" w:after="180"/>
      </w:pPr>
      <w:r>
        <w:rPr>
          <w:color w:val="000000"/>
        </w:rPr>
        <w:t xml:space="preserve">The TGA administers the </w:t>
      </w:r>
      <w:r>
        <w:rPr>
          <w:i/>
          <w:color w:val="000000"/>
        </w:rPr>
        <w:t>Therapeutic Goods Act 1989</w:t>
      </w:r>
      <w:r>
        <w:rPr>
          <w:color w:val="000000"/>
        </w:rPr>
        <w:t xml:space="preserve"> (the Act), applying a risk management approach designed to ensure therapeutic goods supplied in Australia meet acceptable standards of quality, safety, and efficacy.</w:t>
      </w:r>
    </w:p>
    <w:p w14:paraId="0000000A" w14:textId="77777777" w:rsidR="005D7E20" w:rsidRDefault="00507B07" w:rsidP="001823C5">
      <w:pPr>
        <w:numPr>
          <w:ilvl w:val="0"/>
          <w:numId w:val="6"/>
        </w:numPr>
        <w:pBdr>
          <w:top w:val="nil"/>
          <w:left w:val="nil"/>
          <w:bottom w:val="nil"/>
          <w:right w:val="nil"/>
          <w:between w:val="nil"/>
        </w:pBdr>
        <w:spacing w:before="120" w:after="180"/>
      </w:pPr>
      <w:r>
        <w:rPr>
          <w:color w:val="000000"/>
        </w:rPr>
        <w:t>The work of the TGA is based on applying scientific and clinical expertise to decision-making, to ensure that the benefits to the Australian public outweigh any risks associated with the use of therapeutic goods.</w:t>
      </w:r>
    </w:p>
    <w:p w14:paraId="0000000B" w14:textId="77777777" w:rsidR="005D7E20" w:rsidRDefault="00507B07" w:rsidP="001823C5">
      <w:pPr>
        <w:numPr>
          <w:ilvl w:val="0"/>
          <w:numId w:val="6"/>
        </w:numPr>
        <w:pBdr>
          <w:top w:val="nil"/>
          <w:left w:val="nil"/>
          <w:bottom w:val="nil"/>
          <w:right w:val="nil"/>
          <w:between w:val="nil"/>
        </w:pBdr>
        <w:spacing w:before="120" w:after="180"/>
      </w:pPr>
      <w:r>
        <w:rPr>
          <w:color w:val="000000"/>
        </w:rPr>
        <w:t>The TGA relies on the public, healthcare professionals and industry to report problems with therapeutic goods. The TGA investigates reports received to determine any necessary regulatory action.</w:t>
      </w:r>
    </w:p>
    <w:p w14:paraId="0000000C" w14:textId="1EC7FF84" w:rsidR="005D7E20" w:rsidRDefault="00507B07" w:rsidP="001823C5">
      <w:pPr>
        <w:numPr>
          <w:ilvl w:val="0"/>
          <w:numId w:val="6"/>
        </w:numPr>
        <w:pBdr>
          <w:top w:val="nil"/>
          <w:left w:val="nil"/>
          <w:bottom w:val="nil"/>
          <w:right w:val="nil"/>
          <w:between w:val="nil"/>
        </w:pBdr>
        <w:spacing w:before="120" w:after="180"/>
      </w:pPr>
      <w:r>
        <w:rPr>
          <w:color w:val="000000"/>
        </w:rPr>
        <w:t xml:space="preserve">To report a problem with a therapeutic good, please see the information on the </w:t>
      </w:r>
      <w:hyperlink r:id="rId13">
        <w:r>
          <w:rPr>
            <w:color w:val="0000FF"/>
            <w:u w:val="single"/>
          </w:rPr>
          <w:t>TGA website</w:t>
        </w:r>
      </w:hyperlink>
      <w:r>
        <w:rPr>
          <w:color w:val="000000"/>
        </w:rPr>
        <w:t>.</w:t>
      </w:r>
    </w:p>
    <w:p w14:paraId="0000000D" w14:textId="77777777" w:rsidR="005D7E20" w:rsidRDefault="00507B07" w:rsidP="001823C5">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t>About AusPARs</w:t>
      </w:r>
    </w:p>
    <w:p w14:paraId="0000000E" w14:textId="60419C69" w:rsidR="005D7E20" w:rsidRDefault="00507B07" w:rsidP="001823C5">
      <w:pPr>
        <w:numPr>
          <w:ilvl w:val="0"/>
          <w:numId w:val="6"/>
        </w:numPr>
        <w:pBdr>
          <w:top w:val="nil"/>
          <w:left w:val="nil"/>
          <w:bottom w:val="nil"/>
          <w:right w:val="nil"/>
          <w:between w:val="nil"/>
        </w:pBdr>
        <w:spacing w:before="120" w:after="180"/>
      </w:pPr>
      <w:r>
        <w:rPr>
          <w:color w:val="000000"/>
        </w:rPr>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4">
        <w:r>
          <w:rPr>
            <w:color w:val="0000FF"/>
            <w:u w:val="single"/>
          </w:rPr>
          <w:t>Australian Public Assessment Report (AusPAR) guidance</w:t>
        </w:r>
      </w:hyperlink>
      <w:r>
        <w:rPr>
          <w:color w:val="000000"/>
        </w:rPr>
        <w:t>.</w:t>
      </w:r>
    </w:p>
    <w:p w14:paraId="0000000F" w14:textId="77777777" w:rsidR="005D7E20" w:rsidRDefault="00507B07" w:rsidP="001823C5">
      <w:pPr>
        <w:numPr>
          <w:ilvl w:val="0"/>
          <w:numId w:val="6"/>
        </w:numPr>
        <w:pBdr>
          <w:top w:val="nil"/>
          <w:left w:val="nil"/>
          <w:bottom w:val="nil"/>
          <w:right w:val="nil"/>
          <w:between w:val="nil"/>
        </w:pBdr>
        <w:spacing w:before="120" w:after="180"/>
      </w:pPr>
      <w:r>
        <w:rPr>
          <w:color w:val="000000"/>
        </w:rPr>
        <w:t>AusPARs are prepared and published by the TGA.</w:t>
      </w:r>
    </w:p>
    <w:p w14:paraId="00000010" w14:textId="77777777" w:rsidR="005D7E20" w:rsidRDefault="00507B07" w:rsidP="001823C5">
      <w:pPr>
        <w:numPr>
          <w:ilvl w:val="0"/>
          <w:numId w:val="6"/>
        </w:numPr>
        <w:pBdr>
          <w:top w:val="nil"/>
          <w:left w:val="nil"/>
          <w:bottom w:val="nil"/>
          <w:right w:val="nil"/>
          <w:between w:val="nil"/>
        </w:pBdr>
        <w:spacing w:before="120" w:after="180"/>
      </w:pPr>
      <w:r>
        <w:rPr>
          <w:color w:val="000000"/>
        </w:rPr>
        <w:t>AusPARs are static documents that provide information that relates to a submission at a particular point in time. The publication of an AusPAR is an important part of the transparency of the TGA’s decision-making process.</w:t>
      </w:r>
    </w:p>
    <w:p w14:paraId="00000011" w14:textId="77777777" w:rsidR="005D7E20" w:rsidRDefault="00507B07" w:rsidP="001823C5">
      <w:pPr>
        <w:numPr>
          <w:ilvl w:val="0"/>
          <w:numId w:val="6"/>
        </w:numPr>
        <w:pBdr>
          <w:top w:val="nil"/>
          <w:left w:val="nil"/>
          <w:bottom w:val="nil"/>
          <w:right w:val="nil"/>
          <w:between w:val="nil"/>
        </w:pBdr>
        <w:spacing w:before="120" w:after="180"/>
      </w:pPr>
      <w:r>
        <w:rPr>
          <w:color w:val="000000"/>
        </w:rPr>
        <w:t>A new AusPAR may be provided to reflect changes to indications or major variations to a prescription medicine subject to evaluation by the TGA.</w:t>
      </w:r>
    </w:p>
    <w:p w14:paraId="00000012" w14:textId="77777777" w:rsidR="005D7E20" w:rsidRDefault="00507B07" w:rsidP="001823C5">
      <w:pPr>
        <w:pBdr>
          <w:top w:val="nil"/>
          <w:left w:val="nil"/>
          <w:bottom w:val="nil"/>
          <w:right w:val="nil"/>
          <w:between w:val="nil"/>
        </w:pBdr>
        <w:tabs>
          <w:tab w:val="center" w:pos="4513"/>
          <w:tab w:val="right" w:pos="9026"/>
        </w:tabs>
        <w:spacing w:before="2900" w:after="0" w:line="240" w:lineRule="auto"/>
        <w:rPr>
          <w:b/>
          <w:color w:val="333F4A"/>
          <w:sz w:val="17"/>
          <w:szCs w:val="17"/>
        </w:rPr>
      </w:pPr>
      <w:r>
        <w:rPr>
          <w:b/>
          <w:color w:val="333F4A"/>
          <w:sz w:val="17"/>
          <w:szCs w:val="17"/>
        </w:rPr>
        <w:t>Copyright</w:t>
      </w:r>
    </w:p>
    <w:p w14:paraId="00000013" w14:textId="1B146A34" w:rsidR="005D7E20" w:rsidRDefault="00507B07" w:rsidP="001823C5">
      <w:pPr>
        <w:pBdr>
          <w:top w:val="nil"/>
          <w:left w:val="nil"/>
          <w:bottom w:val="nil"/>
          <w:right w:val="nil"/>
          <w:between w:val="nil"/>
        </w:pBdr>
        <w:tabs>
          <w:tab w:val="center" w:pos="4513"/>
          <w:tab w:val="right" w:pos="9026"/>
        </w:tabs>
        <w:spacing w:after="0" w:line="240" w:lineRule="auto"/>
        <w:rPr>
          <w:color w:val="333F4A"/>
          <w:sz w:val="17"/>
          <w:szCs w:val="17"/>
        </w:rPr>
      </w:pPr>
      <w:r>
        <w:rPr>
          <w:color w:val="333F4A"/>
          <w:sz w:val="17"/>
          <w:szCs w:val="17"/>
        </w:rPr>
        <w:t>© Commonwealth of Australia 2023</w:t>
      </w:r>
      <w:r>
        <w:rPr>
          <w:color w:val="333F4A"/>
          <w:sz w:val="17"/>
          <w:szCs w:val="17"/>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i/>
          <w:color w:val="333F4A"/>
          <w:sz w:val="17"/>
          <w:szCs w:val="17"/>
        </w:rPr>
        <w:t>Copyright Act 1968</w:t>
      </w:r>
      <w:r>
        <w:rPr>
          <w:color w:val="333F4A"/>
          <w:sz w:val="17"/>
          <w:szCs w:val="17"/>
        </w:rPr>
        <w:t xml:space="preserve"> or allowed by this copyright notice, all other rights are </w:t>
      </w:r>
      <w:proofErr w:type="gramStart"/>
      <w:r>
        <w:rPr>
          <w:color w:val="333F4A"/>
          <w:sz w:val="17"/>
          <w:szCs w:val="17"/>
        </w:rPr>
        <w:t>reserved</w:t>
      </w:r>
      <w:proofErr w:type="gramEnd"/>
      <w:r>
        <w:rPr>
          <w:color w:val="333F4A"/>
          <w:sz w:val="17"/>
          <w:szCs w:val="17"/>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r>
          <w:rPr>
            <w:color w:val="0000FF"/>
            <w:sz w:val="17"/>
            <w:szCs w:val="17"/>
            <w:u w:val="single"/>
          </w:rPr>
          <w:t>tga.copyright@tga.gov.au</w:t>
        </w:r>
      </w:hyperlink>
      <w:r>
        <w:rPr>
          <w:color w:val="333F4A"/>
          <w:sz w:val="17"/>
          <w:szCs w:val="17"/>
        </w:rPr>
        <w:t>&gt;.</w:t>
      </w:r>
    </w:p>
    <w:p w14:paraId="00000014" w14:textId="77777777" w:rsidR="005D7E20" w:rsidRDefault="00507B07">
      <w:pPr>
        <w:keepNext/>
        <w:keepLines/>
        <w:pageBreakBefore/>
        <w:pBdr>
          <w:top w:val="nil"/>
          <w:left w:val="nil"/>
          <w:bottom w:val="nil"/>
          <w:right w:val="nil"/>
          <w:between w:val="nil"/>
        </w:pBdr>
        <w:spacing w:after="180"/>
        <w:rPr>
          <w:rFonts w:ascii="Arial" w:eastAsia="Arial" w:hAnsi="Arial" w:cs="Arial"/>
          <w:b/>
          <w:color w:val="001871"/>
          <w:sz w:val="38"/>
          <w:szCs w:val="38"/>
        </w:rPr>
      </w:pPr>
      <w:r>
        <w:rPr>
          <w:rFonts w:ascii="Arial" w:eastAsia="Arial" w:hAnsi="Arial" w:cs="Arial"/>
          <w:b/>
          <w:color w:val="001871"/>
          <w:sz w:val="38"/>
          <w:szCs w:val="38"/>
        </w:rPr>
        <w:lastRenderedPageBreak/>
        <w:t>Contents</w:t>
      </w:r>
    </w:p>
    <w:sdt>
      <w:sdtPr>
        <w:rPr>
          <w:rFonts w:ascii="Cambria" w:hAnsi="Cambria" w:cs="Cambria"/>
          <w:b w:val="0"/>
          <w:color w:val="auto"/>
          <w:sz w:val="22"/>
        </w:rPr>
        <w:id w:val="-845631171"/>
        <w:docPartObj>
          <w:docPartGallery w:val="Table of Contents"/>
          <w:docPartUnique/>
        </w:docPartObj>
      </w:sdtPr>
      <w:sdtEndPr/>
      <w:sdtContent>
        <w:p w14:paraId="10253A0A" w14:textId="76FBAA66" w:rsidR="001823C5" w:rsidRDefault="00507B07">
          <w:pPr>
            <w:pStyle w:val="TOC1"/>
            <w:rPr>
              <w:rFonts w:asciiTheme="minorHAnsi" w:eastAsiaTheme="minorEastAsia" w:hAnsiTheme="minorHAnsi" w:cstheme="minorBidi"/>
              <w:b w:val="0"/>
              <w:noProof/>
              <w:color w:val="auto"/>
              <w:sz w:val="22"/>
              <w:lang w:eastAsia="en-AU"/>
            </w:rPr>
          </w:pPr>
          <w:r>
            <w:fldChar w:fldCharType="begin"/>
          </w:r>
          <w:r>
            <w:instrText xml:space="preserve"> TOC \h \u \z \t "Heading 2,1,Heading 3,2,Heading 4,3,"</w:instrText>
          </w:r>
          <w:r>
            <w:fldChar w:fldCharType="separate"/>
          </w:r>
          <w:hyperlink w:anchor="_Toc148339726" w:history="1">
            <w:r w:rsidR="001823C5" w:rsidRPr="00C42C31">
              <w:rPr>
                <w:rStyle w:val="Hyperlink"/>
                <w:noProof/>
              </w:rPr>
              <w:t>List of abbreviations</w:t>
            </w:r>
            <w:r w:rsidR="001823C5">
              <w:rPr>
                <w:noProof/>
                <w:webHidden/>
              </w:rPr>
              <w:tab/>
            </w:r>
            <w:r w:rsidR="001823C5">
              <w:rPr>
                <w:noProof/>
                <w:webHidden/>
              </w:rPr>
              <w:fldChar w:fldCharType="begin"/>
            </w:r>
            <w:r w:rsidR="001823C5">
              <w:rPr>
                <w:noProof/>
                <w:webHidden/>
              </w:rPr>
              <w:instrText xml:space="preserve"> PAGEREF _Toc148339726 \h </w:instrText>
            </w:r>
            <w:r w:rsidR="001823C5">
              <w:rPr>
                <w:noProof/>
                <w:webHidden/>
              </w:rPr>
            </w:r>
            <w:r w:rsidR="001823C5">
              <w:rPr>
                <w:noProof/>
                <w:webHidden/>
              </w:rPr>
              <w:fldChar w:fldCharType="separate"/>
            </w:r>
            <w:r w:rsidR="001823C5">
              <w:rPr>
                <w:noProof/>
                <w:webHidden/>
              </w:rPr>
              <w:t>5</w:t>
            </w:r>
            <w:r w:rsidR="001823C5">
              <w:rPr>
                <w:noProof/>
                <w:webHidden/>
              </w:rPr>
              <w:fldChar w:fldCharType="end"/>
            </w:r>
          </w:hyperlink>
        </w:p>
        <w:p w14:paraId="7F305D88" w14:textId="3CD637D5" w:rsidR="001823C5" w:rsidRDefault="00D63D0E">
          <w:pPr>
            <w:pStyle w:val="TOC1"/>
            <w:rPr>
              <w:rFonts w:asciiTheme="minorHAnsi" w:eastAsiaTheme="minorEastAsia" w:hAnsiTheme="minorHAnsi" w:cstheme="minorBidi"/>
              <w:b w:val="0"/>
              <w:noProof/>
              <w:color w:val="auto"/>
              <w:sz w:val="22"/>
              <w:lang w:eastAsia="en-AU"/>
            </w:rPr>
          </w:pPr>
          <w:hyperlink w:anchor="_Toc148339727" w:history="1">
            <w:r w:rsidR="001823C5" w:rsidRPr="00C42C31">
              <w:rPr>
                <w:rStyle w:val="Hyperlink"/>
                <w:noProof/>
              </w:rPr>
              <w:t>Product submission</w:t>
            </w:r>
            <w:r w:rsidR="001823C5">
              <w:rPr>
                <w:noProof/>
                <w:webHidden/>
              </w:rPr>
              <w:tab/>
            </w:r>
            <w:r w:rsidR="001823C5">
              <w:rPr>
                <w:noProof/>
                <w:webHidden/>
              </w:rPr>
              <w:fldChar w:fldCharType="begin"/>
            </w:r>
            <w:r w:rsidR="001823C5">
              <w:rPr>
                <w:noProof/>
                <w:webHidden/>
              </w:rPr>
              <w:instrText xml:space="preserve"> PAGEREF _Toc148339727 \h </w:instrText>
            </w:r>
            <w:r w:rsidR="001823C5">
              <w:rPr>
                <w:noProof/>
                <w:webHidden/>
              </w:rPr>
            </w:r>
            <w:r w:rsidR="001823C5">
              <w:rPr>
                <w:noProof/>
                <w:webHidden/>
              </w:rPr>
              <w:fldChar w:fldCharType="separate"/>
            </w:r>
            <w:r w:rsidR="001823C5">
              <w:rPr>
                <w:noProof/>
                <w:webHidden/>
              </w:rPr>
              <w:t>7</w:t>
            </w:r>
            <w:r w:rsidR="001823C5">
              <w:rPr>
                <w:noProof/>
                <w:webHidden/>
              </w:rPr>
              <w:fldChar w:fldCharType="end"/>
            </w:r>
          </w:hyperlink>
        </w:p>
        <w:p w14:paraId="7D812AAE" w14:textId="3EB93739" w:rsidR="001823C5" w:rsidRDefault="00D63D0E">
          <w:pPr>
            <w:pStyle w:val="TOC2"/>
            <w:rPr>
              <w:rFonts w:asciiTheme="minorHAnsi" w:eastAsiaTheme="minorEastAsia" w:hAnsiTheme="minorHAnsi" w:cstheme="minorBidi"/>
              <w:b w:val="0"/>
              <w:noProof/>
              <w:color w:val="auto"/>
              <w:sz w:val="22"/>
              <w:lang w:eastAsia="en-AU"/>
            </w:rPr>
          </w:pPr>
          <w:hyperlink w:anchor="_Toc148339728" w:history="1">
            <w:r w:rsidR="001823C5" w:rsidRPr="00C42C31">
              <w:rPr>
                <w:rStyle w:val="Hyperlink"/>
                <w:noProof/>
              </w:rPr>
              <w:t>Submission details</w:t>
            </w:r>
            <w:r w:rsidR="001823C5">
              <w:rPr>
                <w:noProof/>
                <w:webHidden/>
              </w:rPr>
              <w:tab/>
            </w:r>
            <w:r w:rsidR="001823C5">
              <w:rPr>
                <w:noProof/>
                <w:webHidden/>
              </w:rPr>
              <w:fldChar w:fldCharType="begin"/>
            </w:r>
            <w:r w:rsidR="001823C5">
              <w:rPr>
                <w:noProof/>
                <w:webHidden/>
              </w:rPr>
              <w:instrText xml:space="preserve"> PAGEREF _Toc148339728 \h </w:instrText>
            </w:r>
            <w:r w:rsidR="001823C5">
              <w:rPr>
                <w:noProof/>
                <w:webHidden/>
              </w:rPr>
            </w:r>
            <w:r w:rsidR="001823C5">
              <w:rPr>
                <w:noProof/>
                <w:webHidden/>
              </w:rPr>
              <w:fldChar w:fldCharType="separate"/>
            </w:r>
            <w:r w:rsidR="001823C5">
              <w:rPr>
                <w:noProof/>
                <w:webHidden/>
              </w:rPr>
              <w:t>7</w:t>
            </w:r>
            <w:r w:rsidR="001823C5">
              <w:rPr>
                <w:noProof/>
                <w:webHidden/>
              </w:rPr>
              <w:fldChar w:fldCharType="end"/>
            </w:r>
          </w:hyperlink>
        </w:p>
        <w:p w14:paraId="5F4F5436" w14:textId="3DAD16E6" w:rsidR="001823C5" w:rsidRDefault="00D63D0E">
          <w:pPr>
            <w:pStyle w:val="TOC2"/>
            <w:rPr>
              <w:rFonts w:asciiTheme="minorHAnsi" w:eastAsiaTheme="minorEastAsia" w:hAnsiTheme="minorHAnsi" w:cstheme="minorBidi"/>
              <w:b w:val="0"/>
              <w:noProof/>
              <w:color w:val="auto"/>
              <w:sz w:val="22"/>
              <w:lang w:eastAsia="en-AU"/>
            </w:rPr>
          </w:pPr>
          <w:hyperlink w:anchor="_Toc148339729" w:history="1">
            <w:r w:rsidR="001823C5" w:rsidRPr="00C42C31">
              <w:rPr>
                <w:rStyle w:val="Hyperlink"/>
                <w:noProof/>
              </w:rPr>
              <w:t>Product background</w:t>
            </w:r>
            <w:r w:rsidR="001823C5">
              <w:rPr>
                <w:noProof/>
                <w:webHidden/>
              </w:rPr>
              <w:tab/>
            </w:r>
            <w:r w:rsidR="001823C5">
              <w:rPr>
                <w:noProof/>
                <w:webHidden/>
              </w:rPr>
              <w:fldChar w:fldCharType="begin"/>
            </w:r>
            <w:r w:rsidR="001823C5">
              <w:rPr>
                <w:noProof/>
                <w:webHidden/>
              </w:rPr>
              <w:instrText xml:space="preserve"> PAGEREF _Toc148339729 \h </w:instrText>
            </w:r>
            <w:r w:rsidR="001823C5">
              <w:rPr>
                <w:noProof/>
                <w:webHidden/>
              </w:rPr>
            </w:r>
            <w:r w:rsidR="001823C5">
              <w:rPr>
                <w:noProof/>
                <w:webHidden/>
              </w:rPr>
              <w:fldChar w:fldCharType="separate"/>
            </w:r>
            <w:r w:rsidR="001823C5">
              <w:rPr>
                <w:noProof/>
                <w:webHidden/>
              </w:rPr>
              <w:t>8</w:t>
            </w:r>
            <w:r w:rsidR="001823C5">
              <w:rPr>
                <w:noProof/>
                <w:webHidden/>
              </w:rPr>
              <w:fldChar w:fldCharType="end"/>
            </w:r>
          </w:hyperlink>
        </w:p>
        <w:p w14:paraId="015E9754" w14:textId="6C42984E" w:rsidR="001823C5" w:rsidRDefault="00D63D0E">
          <w:pPr>
            <w:pStyle w:val="TOC3"/>
            <w:rPr>
              <w:rFonts w:asciiTheme="minorHAnsi" w:eastAsiaTheme="minorEastAsia" w:hAnsiTheme="minorHAnsi" w:cstheme="minorBidi"/>
              <w:b w:val="0"/>
              <w:noProof/>
              <w:color w:val="auto"/>
              <w:lang w:eastAsia="en-AU"/>
            </w:rPr>
          </w:pPr>
          <w:hyperlink w:anchor="_Toc148339730" w:history="1">
            <w:r w:rsidR="001823C5" w:rsidRPr="00C42C31">
              <w:rPr>
                <w:rStyle w:val="Hyperlink"/>
                <w:noProof/>
              </w:rPr>
              <w:t>Condition</w:t>
            </w:r>
            <w:r w:rsidR="001823C5">
              <w:rPr>
                <w:noProof/>
                <w:webHidden/>
              </w:rPr>
              <w:tab/>
            </w:r>
            <w:r w:rsidR="001823C5">
              <w:rPr>
                <w:noProof/>
                <w:webHidden/>
              </w:rPr>
              <w:fldChar w:fldCharType="begin"/>
            </w:r>
            <w:r w:rsidR="001823C5">
              <w:rPr>
                <w:noProof/>
                <w:webHidden/>
              </w:rPr>
              <w:instrText xml:space="preserve"> PAGEREF _Toc148339730 \h </w:instrText>
            </w:r>
            <w:r w:rsidR="001823C5">
              <w:rPr>
                <w:noProof/>
                <w:webHidden/>
              </w:rPr>
            </w:r>
            <w:r w:rsidR="001823C5">
              <w:rPr>
                <w:noProof/>
                <w:webHidden/>
              </w:rPr>
              <w:fldChar w:fldCharType="separate"/>
            </w:r>
            <w:r w:rsidR="001823C5">
              <w:rPr>
                <w:noProof/>
                <w:webHidden/>
              </w:rPr>
              <w:t>8</w:t>
            </w:r>
            <w:r w:rsidR="001823C5">
              <w:rPr>
                <w:noProof/>
                <w:webHidden/>
              </w:rPr>
              <w:fldChar w:fldCharType="end"/>
            </w:r>
          </w:hyperlink>
        </w:p>
        <w:p w14:paraId="24E020B9" w14:textId="3DE80ABE" w:rsidR="001823C5" w:rsidRDefault="00D63D0E">
          <w:pPr>
            <w:pStyle w:val="TOC3"/>
            <w:rPr>
              <w:rFonts w:asciiTheme="minorHAnsi" w:eastAsiaTheme="minorEastAsia" w:hAnsiTheme="minorHAnsi" w:cstheme="minorBidi"/>
              <w:b w:val="0"/>
              <w:noProof/>
              <w:color w:val="auto"/>
              <w:lang w:eastAsia="en-AU"/>
            </w:rPr>
          </w:pPr>
          <w:hyperlink w:anchor="_Toc148339731" w:history="1">
            <w:r w:rsidR="001823C5" w:rsidRPr="00C42C31">
              <w:rPr>
                <w:rStyle w:val="Hyperlink"/>
                <w:noProof/>
              </w:rPr>
              <w:t>Current treatment options</w:t>
            </w:r>
            <w:r w:rsidR="001823C5">
              <w:rPr>
                <w:noProof/>
                <w:webHidden/>
              </w:rPr>
              <w:tab/>
            </w:r>
            <w:r w:rsidR="001823C5">
              <w:rPr>
                <w:noProof/>
                <w:webHidden/>
              </w:rPr>
              <w:fldChar w:fldCharType="begin"/>
            </w:r>
            <w:r w:rsidR="001823C5">
              <w:rPr>
                <w:noProof/>
                <w:webHidden/>
              </w:rPr>
              <w:instrText xml:space="preserve"> PAGEREF _Toc148339731 \h </w:instrText>
            </w:r>
            <w:r w:rsidR="001823C5">
              <w:rPr>
                <w:noProof/>
                <w:webHidden/>
              </w:rPr>
            </w:r>
            <w:r w:rsidR="001823C5">
              <w:rPr>
                <w:noProof/>
                <w:webHidden/>
              </w:rPr>
              <w:fldChar w:fldCharType="separate"/>
            </w:r>
            <w:r w:rsidR="001823C5">
              <w:rPr>
                <w:noProof/>
                <w:webHidden/>
              </w:rPr>
              <w:t>8</w:t>
            </w:r>
            <w:r w:rsidR="001823C5">
              <w:rPr>
                <w:noProof/>
                <w:webHidden/>
              </w:rPr>
              <w:fldChar w:fldCharType="end"/>
            </w:r>
          </w:hyperlink>
        </w:p>
        <w:p w14:paraId="45541D51" w14:textId="171138A2" w:rsidR="001823C5" w:rsidRDefault="00D63D0E">
          <w:pPr>
            <w:pStyle w:val="TOC2"/>
            <w:rPr>
              <w:rFonts w:asciiTheme="minorHAnsi" w:eastAsiaTheme="minorEastAsia" w:hAnsiTheme="minorHAnsi" w:cstheme="minorBidi"/>
              <w:b w:val="0"/>
              <w:noProof/>
              <w:color w:val="auto"/>
              <w:sz w:val="22"/>
              <w:lang w:eastAsia="en-AU"/>
            </w:rPr>
          </w:pPr>
          <w:hyperlink w:anchor="_Toc148339732" w:history="1">
            <w:r w:rsidR="001823C5" w:rsidRPr="00C42C31">
              <w:rPr>
                <w:rStyle w:val="Hyperlink"/>
                <w:noProof/>
              </w:rPr>
              <w:t>Regulatory status</w:t>
            </w:r>
            <w:r w:rsidR="001823C5">
              <w:rPr>
                <w:noProof/>
                <w:webHidden/>
              </w:rPr>
              <w:tab/>
            </w:r>
            <w:r w:rsidR="001823C5">
              <w:rPr>
                <w:noProof/>
                <w:webHidden/>
              </w:rPr>
              <w:fldChar w:fldCharType="begin"/>
            </w:r>
            <w:r w:rsidR="001823C5">
              <w:rPr>
                <w:noProof/>
                <w:webHidden/>
              </w:rPr>
              <w:instrText xml:space="preserve"> PAGEREF _Toc148339732 \h </w:instrText>
            </w:r>
            <w:r w:rsidR="001823C5">
              <w:rPr>
                <w:noProof/>
                <w:webHidden/>
              </w:rPr>
            </w:r>
            <w:r w:rsidR="001823C5">
              <w:rPr>
                <w:noProof/>
                <w:webHidden/>
              </w:rPr>
              <w:fldChar w:fldCharType="separate"/>
            </w:r>
            <w:r w:rsidR="001823C5">
              <w:rPr>
                <w:noProof/>
                <w:webHidden/>
              </w:rPr>
              <w:t>9</w:t>
            </w:r>
            <w:r w:rsidR="001823C5">
              <w:rPr>
                <w:noProof/>
                <w:webHidden/>
              </w:rPr>
              <w:fldChar w:fldCharType="end"/>
            </w:r>
          </w:hyperlink>
        </w:p>
        <w:p w14:paraId="46F59609" w14:textId="054DE7F0" w:rsidR="001823C5" w:rsidRDefault="00D63D0E">
          <w:pPr>
            <w:pStyle w:val="TOC2"/>
            <w:rPr>
              <w:rFonts w:asciiTheme="minorHAnsi" w:eastAsiaTheme="minorEastAsia" w:hAnsiTheme="minorHAnsi" w:cstheme="minorBidi"/>
              <w:b w:val="0"/>
              <w:noProof/>
              <w:color w:val="auto"/>
              <w:sz w:val="22"/>
              <w:lang w:eastAsia="en-AU"/>
            </w:rPr>
          </w:pPr>
          <w:hyperlink w:anchor="_Toc148339733" w:history="1">
            <w:r w:rsidR="001823C5" w:rsidRPr="00C42C31">
              <w:rPr>
                <w:rStyle w:val="Hyperlink"/>
                <w:noProof/>
              </w:rPr>
              <w:t>Product Information</w:t>
            </w:r>
            <w:r w:rsidR="001823C5">
              <w:rPr>
                <w:noProof/>
                <w:webHidden/>
              </w:rPr>
              <w:tab/>
            </w:r>
            <w:r w:rsidR="001823C5">
              <w:rPr>
                <w:noProof/>
                <w:webHidden/>
              </w:rPr>
              <w:fldChar w:fldCharType="begin"/>
            </w:r>
            <w:r w:rsidR="001823C5">
              <w:rPr>
                <w:noProof/>
                <w:webHidden/>
              </w:rPr>
              <w:instrText xml:space="preserve"> PAGEREF _Toc148339733 \h </w:instrText>
            </w:r>
            <w:r w:rsidR="001823C5">
              <w:rPr>
                <w:noProof/>
                <w:webHidden/>
              </w:rPr>
            </w:r>
            <w:r w:rsidR="001823C5">
              <w:rPr>
                <w:noProof/>
                <w:webHidden/>
              </w:rPr>
              <w:fldChar w:fldCharType="separate"/>
            </w:r>
            <w:r w:rsidR="001823C5">
              <w:rPr>
                <w:noProof/>
                <w:webHidden/>
              </w:rPr>
              <w:t>12</w:t>
            </w:r>
            <w:r w:rsidR="001823C5">
              <w:rPr>
                <w:noProof/>
                <w:webHidden/>
              </w:rPr>
              <w:fldChar w:fldCharType="end"/>
            </w:r>
          </w:hyperlink>
        </w:p>
        <w:p w14:paraId="5689C51D" w14:textId="3B199BC8" w:rsidR="001823C5" w:rsidRDefault="00D63D0E">
          <w:pPr>
            <w:pStyle w:val="TOC1"/>
            <w:rPr>
              <w:rFonts w:asciiTheme="minorHAnsi" w:eastAsiaTheme="minorEastAsia" w:hAnsiTheme="minorHAnsi" w:cstheme="minorBidi"/>
              <w:b w:val="0"/>
              <w:noProof/>
              <w:color w:val="auto"/>
              <w:sz w:val="22"/>
              <w:lang w:eastAsia="en-AU"/>
            </w:rPr>
          </w:pPr>
          <w:hyperlink w:anchor="_Toc148339734" w:history="1">
            <w:r w:rsidR="001823C5" w:rsidRPr="00C42C31">
              <w:rPr>
                <w:rStyle w:val="Hyperlink"/>
                <w:noProof/>
              </w:rPr>
              <w:t>Registration timeline</w:t>
            </w:r>
            <w:r w:rsidR="001823C5">
              <w:rPr>
                <w:noProof/>
                <w:webHidden/>
              </w:rPr>
              <w:tab/>
            </w:r>
            <w:r w:rsidR="001823C5">
              <w:rPr>
                <w:noProof/>
                <w:webHidden/>
              </w:rPr>
              <w:fldChar w:fldCharType="begin"/>
            </w:r>
            <w:r w:rsidR="001823C5">
              <w:rPr>
                <w:noProof/>
                <w:webHidden/>
              </w:rPr>
              <w:instrText xml:space="preserve"> PAGEREF _Toc148339734 \h </w:instrText>
            </w:r>
            <w:r w:rsidR="001823C5">
              <w:rPr>
                <w:noProof/>
                <w:webHidden/>
              </w:rPr>
            </w:r>
            <w:r w:rsidR="001823C5">
              <w:rPr>
                <w:noProof/>
                <w:webHidden/>
              </w:rPr>
              <w:fldChar w:fldCharType="separate"/>
            </w:r>
            <w:r w:rsidR="001823C5">
              <w:rPr>
                <w:noProof/>
                <w:webHidden/>
              </w:rPr>
              <w:t>12</w:t>
            </w:r>
            <w:r w:rsidR="001823C5">
              <w:rPr>
                <w:noProof/>
                <w:webHidden/>
              </w:rPr>
              <w:fldChar w:fldCharType="end"/>
            </w:r>
          </w:hyperlink>
        </w:p>
        <w:p w14:paraId="7E5BCE4F" w14:textId="631723A3" w:rsidR="001823C5" w:rsidRDefault="00D63D0E">
          <w:pPr>
            <w:pStyle w:val="TOC1"/>
            <w:rPr>
              <w:rFonts w:asciiTheme="minorHAnsi" w:eastAsiaTheme="minorEastAsia" w:hAnsiTheme="minorHAnsi" w:cstheme="minorBidi"/>
              <w:b w:val="0"/>
              <w:noProof/>
              <w:color w:val="auto"/>
              <w:sz w:val="22"/>
              <w:lang w:eastAsia="en-AU"/>
            </w:rPr>
          </w:pPr>
          <w:hyperlink w:anchor="_Toc148339735" w:history="1">
            <w:r w:rsidR="001823C5" w:rsidRPr="00C42C31">
              <w:rPr>
                <w:rStyle w:val="Hyperlink"/>
                <w:noProof/>
              </w:rPr>
              <w:t>Submission overview and risk/benefit assessment</w:t>
            </w:r>
            <w:r w:rsidR="001823C5">
              <w:rPr>
                <w:noProof/>
                <w:webHidden/>
              </w:rPr>
              <w:tab/>
            </w:r>
            <w:r w:rsidR="001823C5">
              <w:rPr>
                <w:noProof/>
                <w:webHidden/>
              </w:rPr>
              <w:fldChar w:fldCharType="begin"/>
            </w:r>
            <w:r w:rsidR="001823C5">
              <w:rPr>
                <w:noProof/>
                <w:webHidden/>
              </w:rPr>
              <w:instrText xml:space="preserve"> PAGEREF _Toc148339735 \h </w:instrText>
            </w:r>
            <w:r w:rsidR="001823C5">
              <w:rPr>
                <w:noProof/>
                <w:webHidden/>
              </w:rPr>
            </w:r>
            <w:r w:rsidR="001823C5">
              <w:rPr>
                <w:noProof/>
                <w:webHidden/>
              </w:rPr>
              <w:fldChar w:fldCharType="separate"/>
            </w:r>
            <w:r w:rsidR="001823C5">
              <w:rPr>
                <w:noProof/>
                <w:webHidden/>
              </w:rPr>
              <w:t>12</w:t>
            </w:r>
            <w:r w:rsidR="001823C5">
              <w:rPr>
                <w:noProof/>
                <w:webHidden/>
              </w:rPr>
              <w:fldChar w:fldCharType="end"/>
            </w:r>
          </w:hyperlink>
        </w:p>
        <w:p w14:paraId="2306B8AB" w14:textId="10E60227" w:rsidR="001823C5" w:rsidRDefault="00D63D0E">
          <w:pPr>
            <w:pStyle w:val="TOC2"/>
            <w:rPr>
              <w:rFonts w:asciiTheme="minorHAnsi" w:eastAsiaTheme="minorEastAsia" w:hAnsiTheme="minorHAnsi" w:cstheme="minorBidi"/>
              <w:b w:val="0"/>
              <w:noProof/>
              <w:color w:val="auto"/>
              <w:sz w:val="22"/>
              <w:lang w:eastAsia="en-AU"/>
            </w:rPr>
          </w:pPr>
          <w:hyperlink w:anchor="_Toc148339736" w:history="1">
            <w:r w:rsidR="001823C5" w:rsidRPr="00C42C31">
              <w:rPr>
                <w:rStyle w:val="Hyperlink"/>
                <w:noProof/>
              </w:rPr>
              <w:t>Quality</w:t>
            </w:r>
            <w:r w:rsidR="001823C5">
              <w:rPr>
                <w:noProof/>
                <w:webHidden/>
              </w:rPr>
              <w:tab/>
            </w:r>
            <w:r w:rsidR="001823C5">
              <w:rPr>
                <w:noProof/>
                <w:webHidden/>
              </w:rPr>
              <w:fldChar w:fldCharType="begin"/>
            </w:r>
            <w:r w:rsidR="001823C5">
              <w:rPr>
                <w:noProof/>
                <w:webHidden/>
              </w:rPr>
              <w:instrText xml:space="preserve"> PAGEREF _Toc148339736 \h </w:instrText>
            </w:r>
            <w:r w:rsidR="001823C5">
              <w:rPr>
                <w:noProof/>
                <w:webHidden/>
              </w:rPr>
            </w:r>
            <w:r w:rsidR="001823C5">
              <w:rPr>
                <w:noProof/>
                <w:webHidden/>
              </w:rPr>
              <w:fldChar w:fldCharType="separate"/>
            </w:r>
            <w:r w:rsidR="001823C5">
              <w:rPr>
                <w:noProof/>
                <w:webHidden/>
              </w:rPr>
              <w:t>13</w:t>
            </w:r>
            <w:r w:rsidR="001823C5">
              <w:rPr>
                <w:noProof/>
                <w:webHidden/>
              </w:rPr>
              <w:fldChar w:fldCharType="end"/>
            </w:r>
          </w:hyperlink>
        </w:p>
        <w:p w14:paraId="53E73749" w14:textId="26350EB7" w:rsidR="001823C5" w:rsidRDefault="00D63D0E">
          <w:pPr>
            <w:pStyle w:val="TOC2"/>
            <w:rPr>
              <w:rFonts w:asciiTheme="minorHAnsi" w:eastAsiaTheme="minorEastAsia" w:hAnsiTheme="minorHAnsi" w:cstheme="minorBidi"/>
              <w:b w:val="0"/>
              <w:noProof/>
              <w:color w:val="auto"/>
              <w:sz w:val="22"/>
              <w:lang w:eastAsia="en-AU"/>
            </w:rPr>
          </w:pPr>
          <w:hyperlink w:anchor="_Toc148339737" w:history="1">
            <w:r w:rsidR="001823C5" w:rsidRPr="00C42C31">
              <w:rPr>
                <w:rStyle w:val="Hyperlink"/>
                <w:noProof/>
              </w:rPr>
              <w:t>Nonclinical</w:t>
            </w:r>
            <w:r w:rsidR="001823C5">
              <w:rPr>
                <w:noProof/>
                <w:webHidden/>
              </w:rPr>
              <w:tab/>
            </w:r>
            <w:r w:rsidR="001823C5">
              <w:rPr>
                <w:noProof/>
                <w:webHidden/>
              </w:rPr>
              <w:fldChar w:fldCharType="begin"/>
            </w:r>
            <w:r w:rsidR="001823C5">
              <w:rPr>
                <w:noProof/>
                <w:webHidden/>
              </w:rPr>
              <w:instrText xml:space="preserve"> PAGEREF _Toc148339737 \h </w:instrText>
            </w:r>
            <w:r w:rsidR="001823C5">
              <w:rPr>
                <w:noProof/>
                <w:webHidden/>
              </w:rPr>
            </w:r>
            <w:r w:rsidR="001823C5">
              <w:rPr>
                <w:noProof/>
                <w:webHidden/>
              </w:rPr>
              <w:fldChar w:fldCharType="separate"/>
            </w:r>
            <w:r w:rsidR="001823C5">
              <w:rPr>
                <w:noProof/>
                <w:webHidden/>
              </w:rPr>
              <w:t>13</w:t>
            </w:r>
            <w:r w:rsidR="001823C5">
              <w:rPr>
                <w:noProof/>
                <w:webHidden/>
              </w:rPr>
              <w:fldChar w:fldCharType="end"/>
            </w:r>
          </w:hyperlink>
        </w:p>
        <w:p w14:paraId="6840CA14" w14:textId="3E06F19A" w:rsidR="001823C5" w:rsidRDefault="00D63D0E">
          <w:pPr>
            <w:pStyle w:val="TOC2"/>
            <w:rPr>
              <w:rFonts w:asciiTheme="minorHAnsi" w:eastAsiaTheme="minorEastAsia" w:hAnsiTheme="minorHAnsi" w:cstheme="minorBidi"/>
              <w:b w:val="0"/>
              <w:noProof/>
              <w:color w:val="auto"/>
              <w:sz w:val="22"/>
              <w:lang w:eastAsia="en-AU"/>
            </w:rPr>
          </w:pPr>
          <w:hyperlink w:anchor="_Toc148339738" w:history="1">
            <w:r w:rsidR="001823C5" w:rsidRPr="00C42C31">
              <w:rPr>
                <w:rStyle w:val="Hyperlink"/>
                <w:noProof/>
              </w:rPr>
              <w:t>Clinical</w:t>
            </w:r>
            <w:r w:rsidR="001823C5">
              <w:rPr>
                <w:noProof/>
                <w:webHidden/>
              </w:rPr>
              <w:tab/>
            </w:r>
            <w:r w:rsidR="001823C5">
              <w:rPr>
                <w:noProof/>
                <w:webHidden/>
              </w:rPr>
              <w:fldChar w:fldCharType="begin"/>
            </w:r>
            <w:r w:rsidR="001823C5">
              <w:rPr>
                <w:noProof/>
                <w:webHidden/>
              </w:rPr>
              <w:instrText xml:space="preserve"> PAGEREF _Toc148339738 \h </w:instrText>
            </w:r>
            <w:r w:rsidR="001823C5">
              <w:rPr>
                <w:noProof/>
                <w:webHidden/>
              </w:rPr>
            </w:r>
            <w:r w:rsidR="001823C5">
              <w:rPr>
                <w:noProof/>
                <w:webHidden/>
              </w:rPr>
              <w:fldChar w:fldCharType="separate"/>
            </w:r>
            <w:r w:rsidR="001823C5">
              <w:rPr>
                <w:noProof/>
                <w:webHidden/>
              </w:rPr>
              <w:t>14</w:t>
            </w:r>
            <w:r w:rsidR="001823C5">
              <w:rPr>
                <w:noProof/>
                <w:webHidden/>
              </w:rPr>
              <w:fldChar w:fldCharType="end"/>
            </w:r>
          </w:hyperlink>
        </w:p>
        <w:p w14:paraId="189543F3" w14:textId="742D3470" w:rsidR="001823C5" w:rsidRDefault="00D63D0E">
          <w:pPr>
            <w:pStyle w:val="TOC3"/>
            <w:rPr>
              <w:rFonts w:asciiTheme="minorHAnsi" w:eastAsiaTheme="minorEastAsia" w:hAnsiTheme="minorHAnsi" w:cstheme="minorBidi"/>
              <w:b w:val="0"/>
              <w:noProof/>
              <w:color w:val="auto"/>
              <w:lang w:eastAsia="en-AU"/>
            </w:rPr>
          </w:pPr>
          <w:hyperlink w:anchor="_Toc148339739" w:history="1">
            <w:r w:rsidR="001823C5" w:rsidRPr="00C42C31">
              <w:rPr>
                <w:rStyle w:val="Hyperlink"/>
                <w:noProof/>
              </w:rPr>
              <w:t>Pharmacology</w:t>
            </w:r>
            <w:r w:rsidR="001823C5">
              <w:rPr>
                <w:noProof/>
                <w:webHidden/>
              </w:rPr>
              <w:tab/>
            </w:r>
            <w:r w:rsidR="001823C5">
              <w:rPr>
                <w:noProof/>
                <w:webHidden/>
              </w:rPr>
              <w:fldChar w:fldCharType="begin"/>
            </w:r>
            <w:r w:rsidR="001823C5">
              <w:rPr>
                <w:noProof/>
                <w:webHidden/>
              </w:rPr>
              <w:instrText xml:space="preserve"> PAGEREF _Toc148339739 \h </w:instrText>
            </w:r>
            <w:r w:rsidR="001823C5">
              <w:rPr>
                <w:noProof/>
                <w:webHidden/>
              </w:rPr>
            </w:r>
            <w:r w:rsidR="001823C5">
              <w:rPr>
                <w:noProof/>
                <w:webHidden/>
              </w:rPr>
              <w:fldChar w:fldCharType="separate"/>
            </w:r>
            <w:r w:rsidR="001823C5">
              <w:rPr>
                <w:noProof/>
                <w:webHidden/>
              </w:rPr>
              <w:t>14</w:t>
            </w:r>
            <w:r w:rsidR="001823C5">
              <w:rPr>
                <w:noProof/>
                <w:webHidden/>
              </w:rPr>
              <w:fldChar w:fldCharType="end"/>
            </w:r>
          </w:hyperlink>
        </w:p>
        <w:p w14:paraId="315C7D39" w14:textId="70D0125B" w:rsidR="001823C5" w:rsidRDefault="00D63D0E">
          <w:pPr>
            <w:pStyle w:val="TOC3"/>
            <w:rPr>
              <w:rFonts w:asciiTheme="minorHAnsi" w:eastAsiaTheme="minorEastAsia" w:hAnsiTheme="minorHAnsi" w:cstheme="minorBidi"/>
              <w:b w:val="0"/>
              <w:noProof/>
              <w:color w:val="auto"/>
              <w:lang w:eastAsia="en-AU"/>
            </w:rPr>
          </w:pPr>
          <w:hyperlink w:anchor="_Toc148339740" w:history="1">
            <w:r w:rsidR="001823C5" w:rsidRPr="00C42C31">
              <w:rPr>
                <w:rStyle w:val="Hyperlink"/>
                <w:noProof/>
              </w:rPr>
              <w:t>Efficacy</w:t>
            </w:r>
            <w:r w:rsidR="001823C5">
              <w:rPr>
                <w:noProof/>
                <w:webHidden/>
              </w:rPr>
              <w:tab/>
            </w:r>
            <w:r w:rsidR="001823C5">
              <w:rPr>
                <w:noProof/>
                <w:webHidden/>
              </w:rPr>
              <w:fldChar w:fldCharType="begin"/>
            </w:r>
            <w:r w:rsidR="001823C5">
              <w:rPr>
                <w:noProof/>
                <w:webHidden/>
              </w:rPr>
              <w:instrText xml:space="preserve"> PAGEREF _Toc148339740 \h </w:instrText>
            </w:r>
            <w:r w:rsidR="001823C5">
              <w:rPr>
                <w:noProof/>
                <w:webHidden/>
              </w:rPr>
            </w:r>
            <w:r w:rsidR="001823C5">
              <w:rPr>
                <w:noProof/>
                <w:webHidden/>
              </w:rPr>
              <w:fldChar w:fldCharType="separate"/>
            </w:r>
            <w:r w:rsidR="001823C5">
              <w:rPr>
                <w:noProof/>
                <w:webHidden/>
              </w:rPr>
              <w:t>19</w:t>
            </w:r>
            <w:r w:rsidR="001823C5">
              <w:rPr>
                <w:noProof/>
                <w:webHidden/>
              </w:rPr>
              <w:fldChar w:fldCharType="end"/>
            </w:r>
          </w:hyperlink>
        </w:p>
        <w:p w14:paraId="443CB32C" w14:textId="3616A55A" w:rsidR="001823C5" w:rsidRDefault="00D63D0E">
          <w:pPr>
            <w:pStyle w:val="TOC3"/>
            <w:rPr>
              <w:rFonts w:asciiTheme="minorHAnsi" w:eastAsiaTheme="minorEastAsia" w:hAnsiTheme="minorHAnsi" w:cstheme="minorBidi"/>
              <w:b w:val="0"/>
              <w:noProof/>
              <w:color w:val="auto"/>
              <w:lang w:eastAsia="en-AU"/>
            </w:rPr>
          </w:pPr>
          <w:hyperlink w:anchor="_Toc148339741" w:history="1">
            <w:r w:rsidR="001823C5" w:rsidRPr="00C42C31">
              <w:rPr>
                <w:rStyle w:val="Hyperlink"/>
                <w:noProof/>
              </w:rPr>
              <w:t>Safety</w:t>
            </w:r>
            <w:r w:rsidR="001823C5">
              <w:rPr>
                <w:noProof/>
                <w:webHidden/>
              </w:rPr>
              <w:tab/>
            </w:r>
            <w:r w:rsidR="001823C5">
              <w:rPr>
                <w:noProof/>
                <w:webHidden/>
              </w:rPr>
              <w:fldChar w:fldCharType="begin"/>
            </w:r>
            <w:r w:rsidR="001823C5">
              <w:rPr>
                <w:noProof/>
                <w:webHidden/>
              </w:rPr>
              <w:instrText xml:space="preserve"> PAGEREF _Toc148339741 \h </w:instrText>
            </w:r>
            <w:r w:rsidR="001823C5">
              <w:rPr>
                <w:noProof/>
                <w:webHidden/>
              </w:rPr>
            </w:r>
            <w:r w:rsidR="001823C5">
              <w:rPr>
                <w:noProof/>
                <w:webHidden/>
              </w:rPr>
              <w:fldChar w:fldCharType="separate"/>
            </w:r>
            <w:r w:rsidR="001823C5">
              <w:rPr>
                <w:noProof/>
                <w:webHidden/>
              </w:rPr>
              <w:t>28</w:t>
            </w:r>
            <w:r w:rsidR="001823C5">
              <w:rPr>
                <w:noProof/>
                <w:webHidden/>
              </w:rPr>
              <w:fldChar w:fldCharType="end"/>
            </w:r>
          </w:hyperlink>
        </w:p>
        <w:p w14:paraId="67B2730D" w14:textId="61AEE6EC" w:rsidR="001823C5" w:rsidRDefault="00D63D0E">
          <w:pPr>
            <w:pStyle w:val="TOC2"/>
            <w:rPr>
              <w:rFonts w:asciiTheme="minorHAnsi" w:eastAsiaTheme="minorEastAsia" w:hAnsiTheme="minorHAnsi" w:cstheme="minorBidi"/>
              <w:b w:val="0"/>
              <w:noProof/>
              <w:color w:val="auto"/>
              <w:sz w:val="22"/>
              <w:lang w:eastAsia="en-AU"/>
            </w:rPr>
          </w:pPr>
          <w:hyperlink w:anchor="_Toc148339742" w:history="1">
            <w:r w:rsidR="001823C5" w:rsidRPr="00C42C31">
              <w:rPr>
                <w:rStyle w:val="Hyperlink"/>
                <w:noProof/>
              </w:rPr>
              <w:t>Risk management plan</w:t>
            </w:r>
            <w:r w:rsidR="001823C5">
              <w:rPr>
                <w:noProof/>
                <w:webHidden/>
              </w:rPr>
              <w:tab/>
            </w:r>
            <w:r w:rsidR="001823C5">
              <w:rPr>
                <w:noProof/>
                <w:webHidden/>
              </w:rPr>
              <w:fldChar w:fldCharType="begin"/>
            </w:r>
            <w:r w:rsidR="001823C5">
              <w:rPr>
                <w:noProof/>
                <w:webHidden/>
              </w:rPr>
              <w:instrText xml:space="preserve"> PAGEREF _Toc148339742 \h </w:instrText>
            </w:r>
            <w:r w:rsidR="001823C5">
              <w:rPr>
                <w:noProof/>
                <w:webHidden/>
              </w:rPr>
            </w:r>
            <w:r w:rsidR="001823C5">
              <w:rPr>
                <w:noProof/>
                <w:webHidden/>
              </w:rPr>
              <w:fldChar w:fldCharType="separate"/>
            </w:r>
            <w:r w:rsidR="001823C5">
              <w:rPr>
                <w:noProof/>
                <w:webHidden/>
              </w:rPr>
              <w:t>37</w:t>
            </w:r>
            <w:r w:rsidR="001823C5">
              <w:rPr>
                <w:noProof/>
                <w:webHidden/>
              </w:rPr>
              <w:fldChar w:fldCharType="end"/>
            </w:r>
          </w:hyperlink>
        </w:p>
        <w:p w14:paraId="43F4B248" w14:textId="354E13AC" w:rsidR="001823C5" w:rsidRDefault="00D63D0E">
          <w:pPr>
            <w:pStyle w:val="TOC3"/>
            <w:rPr>
              <w:rFonts w:asciiTheme="minorHAnsi" w:eastAsiaTheme="minorEastAsia" w:hAnsiTheme="minorHAnsi" w:cstheme="minorBidi"/>
              <w:b w:val="0"/>
              <w:noProof/>
              <w:color w:val="auto"/>
              <w:lang w:eastAsia="en-AU"/>
            </w:rPr>
          </w:pPr>
          <w:hyperlink w:anchor="_Toc148339743" w:history="1">
            <w:r w:rsidR="001823C5" w:rsidRPr="00C42C31">
              <w:rPr>
                <w:rStyle w:val="Hyperlink"/>
                <w:noProof/>
              </w:rPr>
              <w:t>Proposed wording for condition of registration</w:t>
            </w:r>
            <w:r w:rsidR="001823C5">
              <w:rPr>
                <w:noProof/>
                <w:webHidden/>
              </w:rPr>
              <w:tab/>
            </w:r>
            <w:r w:rsidR="001823C5">
              <w:rPr>
                <w:noProof/>
                <w:webHidden/>
              </w:rPr>
              <w:fldChar w:fldCharType="begin"/>
            </w:r>
            <w:r w:rsidR="001823C5">
              <w:rPr>
                <w:noProof/>
                <w:webHidden/>
              </w:rPr>
              <w:instrText xml:space="preserve"> PAGEREF _Toc148339743 \h </w:instrText>
            </w:r>
            <w:r w:rsidR="001823C5">
              <w:rPr>
                <w:noProof/>
                <w:webHidden/>
              </w:rPr>
            </w:r>
            <w:r w:rsidR="001823C5">
              <w:rPr>
                <w:noProof/>
                <w:webHidden/>
              </w:rPr>
              <w:fldChar w:fldCharType="separate"/>
            </w:r>
            <w:r w:rsidR="001823C5">
              <w:rPr>
                <w:noProof/>
                <w:webHidden/>
              </w:rPr>
              <w:t>38</w:t>
            </w:r>
            <w:r w:rsidR="001823C5">
              <w:rPr>
                <w:noProof/>
                <w:webHidden/>
              </w:rPr>
              <w:fldChar w:fldCharType="end"/>
            </w:r>
          </w:hyperlink>
        </w:p>
        <w:p w14:paraId="1D6857F7" w14:textId="2A658BE0" w:rsidR="001823C5" w:rsidRDefault="00D63D0E">
          <w:pPr>
            <w:pStyle w:val="TOC2"/>
            <w:rPr>
              <w:rFonts w:asciiTheme="minorHAnsi" w:eastAsiaTheme="minorEastAsia" w:hAnsiTheme="minorHAnsi" w:cstheme="minorBidi"/>
              <w:b w:val="0"/>
              <w:noProof/>
              <w:color w:val="auto"/>
              <w:sz w:val="22"/>
              <w:lang w:eastAsia="en-AU"/>
            </w:rPr>
          </w:pPr>
          <w:hyperlink w:anchor="_Toc148339744" w:history="1">
            <w:r w:rsidR="001823C5" w:rsidRPr="00C42C31">
              <w:rPr>
                <w:rStyle w:val="Hyperlink"/>
                <w:noProof/>
              </w:rPr>
              <w:t>Risk-benefit analysis</w:t>
            </w:r>
            <w:r w:rsidR="001823C5">
              <w:rPr>
                <w:noProof/>
                <w:webHidden/>
              </w:rPr>
              <w:tab/>
            </w:r>
            <w:r w:rsidR="001823C5">
              <w:rPr>
                <w:noProof/>
                <w:webHidden/>
              </w:rPr>
              <w:fldChar w:fldCharType="begin"/>
            </w:r>
            <w:r w:rsidR="001823C5">
              <w:rPr>
                <w:noProof/>
                <w:webHidden/>
              </w:rPr>
              <w:instrText xml:space="preserve"> PAGEREF _Toc148339744 \h </w:instrText>
            </w:r>
            <w:r w:rsidR="001823C5">
              <w:rPr>
                <w:noProof/>
                <w:webHidden/>
              </w:rPr>
            </w:r>
            <w:r w:rsidR="001823C5">
              <w:rPr>
                <w:noProof/>
                <w:webHidden/>
              </w:rPr>
              <w:fldChar w:fldCharType="separate"/>
            </w:r>
            <w:r w:rsidR="001823C5">
              <w:rPr>
                <w:noProof/>
                <w:webHidden/>
              </w:rPr>
              <w:t>40</w:t>
            </w:r>
            <w:r w:rsidR="001823C5">
              <w:rPr>
                <w:noProof/>
                <w:webHidden/>
              </w:rPr>
              <w:fldChar w:fldCharType="end"/>
            </w:r>
          </w:hyperlink>
        </w:p>
        <w:p w14:paraId="4703501C" w14:textId="397B7F25" w:rsidR="001823C5" w:rsidRDefault="00D63D0E">
          <w:pPr>
            <w:pStyle w:val="TOC3"/>
            <w:rPr>
              <w:rFonts w:asciiTheme="minorHAnsi" w:eastAsiaTheme="minorEastAsia" w:hAnsiTheme="minorHAnsi" w:cstheme="minorBidi"/>
              <w:b w:val="0"/>
              <w:noProof/>
              <w:color w:val="auto"/>
              <w:lang w:eastAsia="en-AU"/>
            </w:rPr>
          </w:pPr>
          <w:hyperlink w:anchor="_Toc148339745" w:history="1">
            <w:r w:rsidR="001823C5" w:rsidRPr="00C42C31">
              <w:rPr>
                <w:rStyle w:val="Hyperlink"/>
                <w:noProof/>
              </w:rPr>
              <w:t>Delegate’s considerations</w:t>
            </w:r>
            <w:r w:rsidR="001823C5">
              <w:rPr>
                <w:noProof/>
                <w:webHidden/>
              </w:rPr>
              <w:tab/>
            </w:r>
            <w:r w:rsidR="001823C5">
              <w:rPr>
                <w:noProof/>
                <w:webHidden/>
              </w:rPr>
              <w:fldChar w:fldCharType="begin"/>
            </w:r>
            <w:r w:rsidR="001823C5">
              <w:rPr>
                <w:noProof/>
                <w:webHidden/>
              </w:rPr>
              <w:instrText xml:space="preserve"> PAGEREF _Toc148339745 \h </w:instrText>
            </w:r>
            <w:r w:rsidR="001823C5">
              <w:rPr>
                <w:noProof/>
                <w:webHidden/>
              </w:rPr>
            </w:r>
            <w:r w:rsidR="001823C5">
              <w:rPr>
                <w:noProof/>
                <w:webHidden/>
              </w:rPr>
              <w:fldChar w:fldCharType="separate"/>
            </w:r>
            <w:r w:rsidR="001823C5">
              <w:rPr>
                <w:noProof/>
                <w:webHidden/>
              </w:rPr>
              <w:t>40</w:t>
            </w:r>
            <w:r w:rsidR="001823C5">
              <w:rPr>
                <w:noProof/>
                <w:webHidden/>
              </w:rPr>
              <w:fldChar w:fldCharType="end"/>
            </w:r>
          </w:hyperlink>
        </w:p>
        <w:p w14:paraId="6525108C" w14:textId="2F9D62D3" w:rsidR="001823C5" w:rsidRDefault="00D63D0E">
          <w:pPr>
            <w:pStyle w:val="TOC3"/>
            <w:rPr>
              <w:rFonts w:asciiTheme="minorHAnsi" w:eastAsiaTheme="minorEastAsia" w:hAnsiTheme="minorHAnsi" w:cstheme="minorBidi"/>
              <w:b w:val="0"/>
              <w:noProof/>
              <w:color w:val="auto"/>
              <w:lang w:eastAsia="en-AU"/>
            </w:rPr>
          </w:pPr>
          <w:hyperlink w:anchor="_Toc148339746" w:history="1">
            <w:r w:rsidR="001823C5" w:rsidRPr="00C42C31">
              <w:rPr>
                <w:rStyle w:val="Hyperlink"/>
                <w:noProof/>
              </w:rPr>
              <w:t>Proposed action</w:t>
            </w:r>
            <w:r w:rsidR="001823C5">
              <w:rPr>
                <w:noProof/>
                <w:webHidden/>
              </w:rPr>
              <w:tab/>
            </w:r>
            <w:r w:rsidR="001823C5">
              <w:rPr>
                <w:noProof/>
                <w:webHidden/>
              </w:rPr>
              <w:fldChar w:fldCharType="begin"/>
            </w:r>
            <w:r w:rsidR="001823C5">
              <w:rPr>
                <w:noProof/>
                <w:webHidden/>
              </w:rPr>
              <w:instrText xml:space="preserve"> PAGEREF _Toc148339746 \h </w:instrText>
            </w:r>
            <w:r w:rsidR="001823C5">
              <w:rPr>
                <w:noProof/>
                <w:webHidden/>
              </w:rPr>
            </w:r>
            <w:r w:rsidR="001823C5">
              <w:rPr>
                <w:noProof/>
                <w:webHidden/>
              </w:rPr>
              <w:fldChar w:fldCharType="separate"/>
            </w:r>
            <w:r w:rsidR="001823C5">
              <w:rPr>
                <w:noProof/>
                <w:webHidden/>
              </w:rPr>
              <w:t>42</w:t>
            </w:r>
            <w:r w:rsidR="001823C5">
              <w:rPr>
                <w:noProof/>
                <w:webHidden/>
              </w:rPr>
              <w:fldChar w:fldCharType="end"/>
            </w:r>
          </w:hyperlink>
        </w:p>
        <w:p w14:paraId="59F8A48C" w14:textId="1DA125DB" w:rsidR="001823C5" w:rsidRDefault="00D63D0E">
          <w:pPr>
            <w:pStyle w:val="TOC3"/>
            <w:rPr>
              <w:rFonts w:asciiTheme="minorHAnsi" w:eastAsiaTheme="minorEastAsia" w:hAnsiTheme="minorHAnsi" w:cstheme="minorBidi"/>
              <w:b w:val="0"/>
              <w:noProof/>
              <w:color w:val="auto"/>
              <w:lang w:eastAsia="en-AU"/>
            </w:rPr>
          </w:pPr>
          <w:hyperlink w:anchor="_Toc148339747" w:history="1">
            <w:r w:rsidR="001823C5" w:rsidRPr="00C42C31">
              <w:rPr>
                <w:rStyle w:val="Hyperlink"/>
                <w:noProof/>
              </w:rPr>
              <w:t>Advisory Committee considerations</w:t>
            </w:r>
            <w:r w:rsidR="001823C5">
              <w:rPr>
                <w:noProof/>
                <w:webHidden/>
              </w:rPr>
              <w:tab/>
            </w:r>
            <w:r w:rsidR="001823C5">
              <w:rPr>
                <w:noProof/>
                <w:webHidden/>
              </w:rPr>
              <w:fldChar w:fldCharType="begin"/>
            </w:r>
            <w:r w:rsidR="001823C5">
              <w:rPr>
                <w:noProof/>
                <w:webHidden/>
              </w:rPr>
              <w:instrText xml:space="preserve"> PAGEREF _Toc148339747 \h </w:instrText>
            </w:r>
            <w:r w:rsidR="001823C5">
              <w:rPr>
                <w:noProof/>
                <w:webHidden/>
              </w:rPr>
            </w:r>
            <w:r w:rsidR="001823C5">
              <w:rPr>
                <w:noProof/>
                <w:webHidden/>
              </w:rPr>
              <w:fldChar w:fldCharType="separate"/>
            </w:r>
            <w:r w:rsidR="001823C5">
              <w:rPr>
                <w:noProof/>
                <w:webHidden/>
              </w:rPr>
              <w:t>43</w:t>
            </w:r>
            <w:r w:rsidR="001823C5">
              <w:rPr>
                <w:noProof/>
                <w:webHidden/>
              </w:rPr>
              <w:fldChar w:fldCharType="end"/>
            </w:r>
          </w:hyperlink>
        </w:p>
        <w:p w14:paraId="32CD78F5" w14:textId="16A3A837" w:rsidR="001823C5" w:rsidRDefault="00D63D0E">
          <w:pPr>
            <w:pStyle w:val="TOC1"/>
            <w:rPr>
              <w:rFonts w:asciiTheme="minorHAnsi" w:eastAsiaTheme="minorEastAsia" w:hAnsiTheme="minorHAnsi" w:cstheme="minorBidi"/>
              <w:b w:val="0"/>
              <w:noProof/>
              <w:color w:val="auto"/>
              <w:sz w:val="22"/>
              <w:lang w:eastAsia="en-AU"/>
            </w:rPr>
          </w:pPr>
          <w:hyperlink w:anchor="_Toc148339748" w:history="1">
            <w:r w:rsidR="001823C5" w:rsidRPr="00C42C31">
              <w:rPr>
                <w:rStyle w:val="Hyperlink"/>
                <w:noProof/>
              </w:rPr>
              <w:t>Outcome</w:t>
            </w:r>
            <w:r w:rsidR="001823C5">
              <w:rPr>
                <w:noProof/>
                <w:webHidden/>
              </w:rPr>
              <w:tab/>
            </w:r>
            <w:r w:rsidR="001823C5">
              <w:rPr>
                <w:noProof/>
                <w:webHidden/>
              </w:rPr>
              <w:fldChar w:fldCharType="begin"/>
            </w:r>
            <w:r w:rsidR="001823C5">
              <w:rPr>
                <w:noProof/>
                <w:webHidden/>
              </w:rPr>
              <w:instrText xml:space="preserve"> PAGEREF _Toc148339748 \h </w:instrText>
            </w:r>
            <w:r w:rsidR="001823C5">
              <w:rPr>
                <w:noProof/>
                <w:webHidden/>
              </w:rPr>
            </w:r>
            <w:r w:rsidR="001823C5">
              <w:rPr>
                <w:noProof/>
                <w:webHidden/>
              </w:rPr>
              <w:fldChar w:fldCharType="separate"/>
            </w:r>
            <w:r w:rsidR="001823C5">
              <w:rPr>
                <w:noProof/>
                <w:webHidden/>
              </w:rPr>
              <w:t>43</w:t>
            </w:r>
            <w:r w:rsidR="001823C5">
              <w:rPr>
                <w:noProof/>
                <w:webHidden/>
              </w:rPr>
              <w:fldChar w:fldCharType="end"/>
            </w:r>
          </w:hyperlink>
        </w:p>
        <w:p w14:paraId="0FA630A4" w14:textId="7A3B5405" w:rsidR="001823C5" w:rsidRDefault="00D63D0E">
          <w:pPr>
            <w:pStyle w:val="TOC2"/>
            <w:rPr>
              <w:rFonts w:asciiTheme="minorHAnsi" w:eastAsiaTheme="minorEastAsia" w:hAnsiTheme="minorHAnsi" w:cstheme="minorBidi"/>
              <w:b w:val="0"/>
              <w:noProof/>
              <w:color w:val="auto"/>
              <w:sz w:val="22"/>
              <w:lang w:eastAsia="en-AU"/>
            </w:rPr>
          </w:pPr>
          <w:hyperlink w:anchor="_Toc148339749" w:history="1">
            <w:r w:rsidR="001823C5" w:rsidRPr="00C42C31">
              <w:rPr>
                <w:rStyle w:val="Hyperlink"/>
                <w:noProof/>
              </w:rPr>
              <w:t>Specific conditions of registration applying to these goods</w:t>
            </w:r>
            <w:r w:rsidR="001823C5">
              <w:rPr>
                <w:noProof/>
                <w:webHidden/>
              </w:rPr>
              <w:tab/>
            </w:r>
            <w:r w:rsidR="001823C5">
              <w:rPr>
                <w:noProof/>
                <w:webHidden/>
              </w:rPr>
              <w:fldChar w:fldCharType="begin"/>
            </w:r>
            <w:r w:rsidR="001823C5">
              <w:rPr>
                <w:noProof/>
                <w:webHidden/>
              </w:rPr>
              <w:instrText xml:space="preserve"> PAGEREF _Toc148339749 \h </w:instrText>
            </w:r>
            <w:r w:rsidR="001823C5">
              <w:rPr>
                <w:noProof/>
                <w:webHidden/>
              </w:rPr>
            </w:r>
            <w:r w:rsidR="001823C5">
              <w:rPr>
                <w:noProof/>
                <w:webHidden/>
              </w:rPr>
              <w:fldChar w:fldCharType="separate"/>
            </w:r>
            <w:r w:rsidR="001823C5">
              <w:rPr>
                <w:noProof/>
                <w:webHidden/>
              </w:rPr>
              <w:t>44</w:t>
            </w:r>
            <w:r w:rsidR="001823C5">
              <w:rPr>
                <w:noProof/>
                <w:webHidden/>
              </w:rPr>
              <w:fldChar w:fldCharType="end"/>
            </w:r>
          </w:hyperlink>
        </w:p>
        <w:p w14:paraId="75A4AAB0" w14:textId="53605652" w:rsidR="001823C5" w:rsidRDefault="00D63D0E">
          <w:pPr>
            <w:pStyle w:val="TOC1"/>
            <w:rPr>
              <w:rFonts w:asciiTheme="minorHAnsi" w:eastAsiaTheme="minorEastAsia" w:hAnsiTheme="minorHAnsi" w:cstheme="minorBidi"/>
              <w:b w:val="0"/>
              <w:noProof/>
              <w:color w:val="auto"/>
              <w:sz w:val="22"/>
              <w:lang w:eastAsia="en-AU"/>
            </w:rPr>
          </w:pPr>
          <w:hyperlink w:anchor="_Toc148339750" w:history="1">
            <w:r w:rsidR="001823C5" w:rsidRPr="00C42C31">
              <w:rPr>
                <w:rStyle w:val="Hyperlink"/>
                <w:noProof/>
              </w:rPr>
              <w:t>Attachment 1. Product Information</w:t>
            </w:r>
            <w:r w:rsidR="001823C5">
              <w:rPr>
                <w:noProof/>
                <w:webHidden/>
              </w:rPr>
              <w:tab/>
            </w:r>
            <w:r w:rsidR="001823C5">
              <w:rPr>
                <w:noProof/>
                <w:webHidden/>
              </w:rPr>
              <w:fldChar w:fldCharType="begin"/>
            </w:r>
            <w:r w:rsidR="001823C5">
              <w:rPr>
                <w:noProof/>
                <w:webHidden/>
              </w:rPr>
              <w:instrText xml:space="preserve"> PAGEREF _Toc148339750 \h </w:instrText>
            </w:r>
            <w:r w:rsidR="001823C5">
              <w:rPr>
                <w:noProof/>
                <w:webHidden/>
              </w:rPr>
            </w:r>
            <w:r w:rsidR="001823C5">
              <w:rPr>
                <w:noProof/>
                <w:webHidden/>
              </w:rPr>
              <w:fldChar w:fldCharType="separate"/>
            </w:r>
            <w:r w:rsidR="001823C5">
              <w:rPr>
                <w:noProof/>
                <w:webHidden/>
              </w:rPr>
              <w:t>45</w:t>
            </w:r>
            <w:r w:rsidR="001823C5">
              <w:rPr>
                <w:noProof/>
                <w:webHidden/>
              </w:rPr>
              <w:fldChar w:fldCharType="end"/>
            </w:r>
          </w:hyperlink>
        </w:p>
        <w:p w14:paraId="0000002E" w14:textId="7EB254C2" w:rsidR="005D7E20" w:rsidRDefault="00507B07">
          <w:r>
            <w:fldChar w:fldCharType="end"/>
          </w:r>
        </w:p>
      </w:sdtContent>
    </w:sdt>
    <w:p w14:paraId="0000002F" w14:textId="77777777" w:rsidR="005D7E20" w:rsidRDefault="00507B07">
      <w:r>
        <w:br w:type="page"/>
      </w:r>
    </w:p>
    <w:p w14:paraId="00000030" w14:textId="77777777" w:rsidR="005D7E20" w:rsidRDefault="00507B07">
      <w:pPr>
        <w:pStyle w:val="Heading2"/>
      </w:pPr>
      <w:bookmarkStart w:id="0" w:name="_Toc148339726"/>
      <w:r>
        <w:lastRenderedPageBreak/>
        <w:t>List of abbreviations</w:t>
      </w:r>
      <w:bookmarkEnd w:id="0"/>
    </w:p>
    <w:tbl>
      <w:tblPr>
        <w:tblStyle w:val="TableTGAblue2023"/>
        <w:tblW w:w="9060" w:type="dxa"/>
        <w:tblLayout w:type="fixed"/>
        <w:tblLook w:val="04A0" w:firstRow="1" w:lastRow="0" w:firstColumn="1" w:lastColumn="0" w:noHBand="0" w:noVBand="1"/>
      </w:tblPr>
      <w:tblGrid>
        <w:gridCol w:w="2174"/>
        <w:gridCol w:w="6886"/>
      </w:tblGrid>
      <w:tr w:rsidR="005D7E20" w:rsidRPr="001823C5" w14:paraId="64F53D5B" w14:textId="77777777" w:rsidTr="001823C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74" w:type="dxa"/>
          </w:tcPr>
          <w:p w14:paraId="00000031" w14:textId="77777777" w:rsidR="005D7E20" w:rsidRPr="001823C5" w:rsidRDefault="00507B07">
            <w:pPr>
              <w:rPr>
                <w:rFonts w:ascii="Cambria" w:hAnsi="Cambria"/>
                <w:szCs w:val="22"/>
              </w:rPr>
            </w:pPr>
            <w:r w:rsidRPr="001823C5">
              <w:rPr>
                <w:rFonts w:ascii="Cambria" w:hAnsi="Cambria"/>
                <w:szCs w:val="22"/>
              </w:rPr>
              <w:t>Abbreviation</w:t>
            </w:r>
          </w:p>
        </w:tc>
        <w:tc>
          <w:tcPr>
            <w:tcW w:w="6886" w:type="dxa"/>
          </w:tcPr>
          <w:p w14:paraId="00000032" w14:textId="77777777" w:rsidR="005D7E20" w:rsidRPr="001823C5" w:rsidRDefault="00507B07">
            <w:pP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szCs w:val="22"/>
              </w:rPr>
              <w:t>Meaning</w:t>
            </w:r>
          </w:p>
        </w:tc>
      </w:tr>
      <w:tr w:rsidR="005D7E20" w:rsidRPr="001823C5" w14:paraId="2F3FAC0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3" w14:textId="77777777" w:rsidR="005D7E20" w:rsidRPr="001823C5" w:rsidRDefault="00507B07">
            <w:pPr>
              <w:rPr>
                <w:rFonts w:ascii="Cambria" w:hAnsi="Cambria"/>
                <w:sz w:val="22"/>
                <w:szCs w:val="22"/>
              </w:rPr>
            </w:pPr>
            <w:r w:rsidRPr="001823C5">
              <w:rPr>
                <w:rFonts w:ascii="Cambria" w:hAnsi="Cambria"/>
                <w:sz w:val="22"/>
                <w:szCs w:val="22"/>
              </w:rPr>
              <w:t>ACM</w:t>
            </w:r>
          </w:p>
        </w:tc>
        <w:tc>
          <w:tcPr>
            <w:tcW w:w="6886" w:type="dxa"/>
          </w:tcPr>
          <w:p w14:paraId="0000003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Advisory Committee on Medicines</w:t>
            </w:r>
          </w:p>
        </w:tc>
      </w:tr>
      <w:tr w:rsidR="005D7E20" w:rsidRPr="001823C5" w14:paraId="38B7EF9F"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5" w14:textId="77777777" w:rsidR="005D7E20" w:rsidRPr="001823C5" w:rsidRDefault="00507B07">
            <w:pPr>
              <w:rPr>
                <w:rFonts w:ascii="Cambria" w:hAnsi="Cambria"/>
                <w:sz w:val="22"/>
                <w:szCs w:val="22"/>
              </w:rPr>
            </w:pPr>
            <w:r w:rsidRPr="001823C5">
              <w:rPr>
                <w:rFonts w:ascii="Cambria" w:hAnsi="Cambria"/>
                <w:sz w:val="22"/>
                <w:szCs w:val="22"/>
              </w:rPr>
              <w:t>AE</w:t>
            </w:r>
          </w:p>
        </w:tc>
        <w:tc>
          <w:tcPr>
            <w:tcW w:w="6886" w:type="dxa"/>
          </w:tcPr>
          <w:p w14:paraId="0000003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Adverse event</w:t>
            </w:r>
          </w:p>
        </w:tc>
      </w:tr>
      <w:tr w:rsidR="005D7E20" w:rsidRPr="001823C5" w14:paraId="03708780"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7" w14:textId="77777777" w:rsidR="005D7E20" w:rsidRPr="001823C5" w:rsidRDefault="00507B07">
            <w:pPr>
              <w:rPr>
                <w:rFonts w:ascii="Cambria" w:hAnsi="Cambria"/>
                <w:sz w:val="22"/>
                <w:szCs w:val="22"/>
              </w:rPr>
            </w:pPr>
            <w:r w:rsidRPr="001823C5">
              <w:rPr>
                <w:rFonts w:ascii="Cambria" w:hAnsi="Cambria"/>
                <w:sz w:val="22"/>
                <w:szCs w:val="22"/>
              </w:rPr>
              <w:t>ARTG</w:t>
            </w:r>
          </w:p>
        </w:tc>
        <w:tc>
          <w:tcPr>
            <w:tcW w:w="6886" w:type="dxa"/>
          </w:tcPr>
          <w:p w14:paraId="0000003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Australian Register of Therapeutic Goods</w:t>
            </w:r>
          </w:p>
        </w:tc>
      </w:tr>
      <w:tr w:rsidR="005D7E20" w:rsidRPr="001823C5" w14:paraId="0F0AD9B9"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9" w14:textId="77777777" w:rsidR="005D7E20" w:rsidRPr="001823C5" w:rsidRDefault="00507B07">
            <w:pPr>
              <w:rPr>
                <w:rFonts w:ascii="Cambria" w:hAnsi="Cambria"/>
                <w:sz w:val="22"/>
                <w:szCs w:val="22"/>
              </w:rPr>
            </w:pPr>
            <w:r w:rsidRPr="001823C5">
              <w:rPr>
                <w:rFonts w:ascii="Cambria" w:hAnsi="Cambria"/>
                <w:sz w:val="22"/>
                <w:szCs w:val="22"/>
              </w:rPr>
              <w:t>ASA</w:t>
            </w:r>
          </w:p>
        </w:tc>
        <w:tc>
          <w:tcPr>
            <w:tcW w:w="6886" w:type="dxa"/>
          </w:tcPr>
          <w:p w14:paraId="0000003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Australia specific annex</w:t>
            </w:r>
          </w:p>
        </w:tc>
      </w:tr>
      <w:tr w:rsidR="005D7E20" w:rsidRPr="001823C5" w14:paraId="2E4F45B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B" w14:textId="77777777" w:rsidR="005D7E20" w:rsidRPr="001823C5" w:rsidRDefault="00507B07">
            <w:pPr>
              <w:rPr>
                <w:rFonts w:ascii="Cambria" w:hAnsi="Cambria"/>
                <w:sz w:val="22"/>
                <w:szCs w:val="22"/>
              </w:rPr>
            </w:pPr>
            <w:r w:rsidRPr="001823C5">
              <w:rPr>
                <w:rFonts w:ascii="Cambria" w:hAnsi="Cambria"/>
                <w:sz w:val="22"/>
                <w:szCs w:val="22"/>
              </w:rPr>
              <w:t>AUC</w:t>
            </w:r>
          </w:p>
        </w:tc>
        <w:tc>
          <w:tcPr>
            <w:tcW w:w="6886" w:type="dxa"/>
          </w:tcPr>
          <w:p w14:paraId="0000003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Area under the plasma concentration time curve</w:t>
            </w:r>
          </w:p>
        </w:tc>
      </w:tr>
      <w:tr w:rsidR="005D7E20" w:rsidRPr="001823C5" w14:paraId="3232E143"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D" w14:textId="77777777" w:rsidR="005D7E20" w:rsidRPr="001823C5" w:rsidRDefault="00507B07">
            <w:pPr>
              <w:rPr>
                <w:rFonts w:ascii="Cambria" w:hAnsi="Cambria"/>
                <w:sz w:val="22"/>
                <w:szCs w:val="22"/>
              </w:rPr>
            </w:pPr>
            <w:r w:rsidRPr="001823C5">
              <w:rPr>
                <w:rFonts w:ascii="Cambria" w:hAnsi="Cambria"/>
                <w:sz w:val="22"/>
                <w:szCs w:val="22"/>
              </w:rPr>
              <w:t>BICR</w:t>
            </w:r>
          </w:p>
        </w:tc>
        <w:tc>
          <w:tcPr>
            <w:tcW w:w="6886" w:type="dxa"/>
          </w:tcPr>
          <w:p w14:paraId="0000003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Blinded independent central reviews</w:t>
            </w:r>
          </w:p>
        </w:tc>
      </w:tr>
      <w:tr w:rsidR="005D7E20" w:rsidRPr="001823C5" w14:paraId="64F8A85F"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F" w14:textId="77777777" w:rsidR="005D7E20" w:rsidRPr="001823C5" w:rsidRDefault="00507B07">
            <w:pPr>
              <w:rPr>
                <w:rFonts w:ascii="Cambria" w:hAnsi="Cambria"/>
                <w:sz w:val="22"/>
                <w:szCs w:val="22"/>
              </w:rPr>
            </w:pPr>
            <w:r w:rsidRPr="001823C5">
              <w:rPr>
                <w:rFonts w:ascii="Cambria" w:hAnsi="Cambria"/>
                <w:sz w:val="22"/>
                <w:szCs w:val="22"/>
              </w:rPr>
              <w:t>CBR</w:t>
            </w:r>
          </w:p>
        </w:tc>
        <w:tc>
          <w:tcPr>
            <w:tcW w:w="6886" w:type="dxa"/>
          </w:tcPr>
          <w:p w14:paraId="0000004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Clinical benefit rate</w:t>
            </w:r>
          </w:p>
        </w:tc>
      </w:tr>
      <w:tr w:rsidR="005D7E20" w:rsidRPr="001823C5" w14:paraId="326026F8"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1" w14:textId="77777777" w:rsidR="005D7E20" w:rsidRPr="001823C5" w:rsidRDefault="00507B07">
            <w:pPr>
              <w:rPr>
                <w:rFonts w:ascii="Cambria" w:hAnsi="Cambria"/>
                <w:sz w:val="22"/>
                <w:szCs w:val="22"/>
              </w:rPr>
            </w:pPr>
            <w:r w:rsidRPr="001823C5">
              <w:rPr>
                <w:rFonts w:ascii="Cambria" w:hAnsi="Cambria"/>
                <w:sz w:val="22"/>
                <w:szCs w:val="22"/>
              </w:rPr>
              <w:t>CI</w:t>
            </w:r>
          </w:p>
        </w:tc>
        <w:tc>
          <w:tcPr>
            <w:tcW w:w="6886" w:type="dxa"/>
          </w:tcPr>
          <w:p w14:paraId="0000004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Confidence interval</w:t>
            </w:r>
          </w:p>
        </w:tc>
      </w:tr>
      <w:tr w:rsidR="005D7E20" w:rsidRPr="001823C5" w14:paraId="2DC3C57F"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3" w14:textId="77777777" w:rsidR="005D7E20" w:rsidRPr="001823C5" w:rsidRDefault="00507B07">
            <w:pPr>
              <w:rPr>
                <w:rFonts w:ascii="Cambria" w:hAnsi="Cambria"/>
                <w:sz w:val="22"/>
                <w:szCs w:val="22"/>
              </w:rPr>
            </w:pPr>
            <w:proofErr w:type="spellStart"/>
            <w:r w:rsidRPr="001823C5">
              <w:rPr>
                <w:rFonts w:ascii="Cambria" w:hAnsi="Cambria"/>
                <w:sz w:val="22"/>
                <w:szCs w:val="22"/>
              </w:rPr>
              <w:t>C</w:t>
            </w:r>
            <w:r w:rsidRPr="001823C5">
              <w:rPr>
                <w:rFonts w:ascii="Cambria" w:hAnsi="Cambria"/>
                <w:sz w:val="22"/>
                <w:szCs w:val="22"/>
                <w:vertAlign w:val="subscript"/>
              </w:rPr>
              <w:t>max</w:t>
            </w:r>
            <w:proofErr w:type="spellEnd"/>
          </w:p>
        </w:tc>
        <w:tc>
          <w:tcPr>
            <w:tcW w:w="6886" w:type="dxa"/>
          </w:tcPr>
          <w:p w14:paraId="0000004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Maximum concentration</w:t>
            </w:r>
          </w:p>
        </w:tc>
      </w:tr>
      <w:tr w:rsidR="005D7E20" w:rsidRPr="001823C5" w14:paraId="4A7C64F7"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5" w14:textId="77777777" w:rsidR="005D7E20" w:rsidRPr="001823C5" w:rsidRDefault="00507B07">
            <w:pPr>
              <w:rPr>
                <w:rFonts w:ascii="Cambria" w:hAnsi="Cambria"/>
                <w:sz w:val="22"/>
                <w:szCs w:val="22"/>
              </w:rPr>
            </w:pPr>
            <w:r w:rsidRPr="001823C5">
              <w:rPr>
                <w:rFonts w:ascii="Cambria" w:hAnsi="Cambria"/>
                <w:sz w:val="22"/>
                <w:szCs w:val="22"/>
              </w:rPr>
              <w:t>CMI</w:t>
            </w:r>
          </w:p>
        </w:tc>
        <w:tc>
          <w:tcPr>
            <w:tcW w:w="6886" w:type="dxa"/>
          </w:tcPr>
          <w:p w14:paraId="0000004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Consumer Medicines Information</w:t>
            </w:r>
          </w:p>
        </w:tc>
      </w:tr>
      <w:tr w:rsidR="005D7E20" w:rsidRPr="001823C5" w14:paraId="213A2AA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7" w14:textId="77777777" w:rsidR="005D7E20" w:rsidRPr="001823C5" w:rsidRDefault="00507B07">
            <w:pPr>
              <w:rPr>
                <w:rFonts w:ascii="Cambria" w:hAnsi="Cambria"/>
                <w:sz w:val="22"/>
                <w:szCs w:val="22"/>
              </w:rPr>
            </w:pPr>
            <w:r w:rsidRPr="001823C5">
              <w:rPr>
                <w:rFonts w:ascii="Cambria" w:hAnsi="Cambria"/>
                <w:sz w:val="22"/>
                <w:szCs w:val="22"/>
              </w:rPr>
              <w:t>CNS</w:t>
            </w:r>
          </w:p>
        </w:tc>
        <w:tc>
          <w:tcPr>
            <w:tcW w:w="6886" w:type="dxa"/>
          </w:tcPr>
          <w:p w14:paraId="0000004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Central nervous system</w:t>
            </w:r>
          </w:p>
        </w:tc>
      </w:tr>
      <w:tr w:rsidR="005D7E20" w:rsidRPr="001823C5" w14:paraId="4F840B9C"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9" w14:textId="77777777" w:rsidR="005D7E20" w:rsidRPr="001823C5" w:rsidRDefault="00507B07">
            <w:pPr>
              <w:rPr>
                <w:rFonts w:ascii="Cambria" w:hAnsi="Cambria"/>
                <w:sz w:val="22"/>
                <w:szCs w:val="22"/>
              </w:rPr>
            </w:pPr>
            <w:r w:rsidRPr="001823C5">
              <w:rPr>
                <w:rFonts w:ascii="Cambria" w:hAnsi="Cambria"/>
                <w:sz w:val="22"/>
                <w:szCs w:val="22"/>
              </w:rPr>
              <w:t>CR</w:t>
            </w:r>
          </w:p>
        </w:tc>
        <w:tc>
          <w:tcPr>
            <w:tcW w:w="6886" w:type="dxa"/>
          </w:tcPr>
          <w:p w14:paraId="0000004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Complete response</w:t>
            </w:r>
          </w:p>
        </w:tc>
      </w:tr>
      <w:tr w:rsidR="005D7E20" w:rsidRPr="001823C5" w14:paraId="17BE3492"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B" w14:textId="77777777" w:rsidR="005D7E20" w:rsidRPr="001823C5" w:rsidRDefault="00507B07">
            <w:pPr>
              <w:rPr>
                <w:rFonts w:ascii="Cambria" w:hAnsi="Cambria"/>
                <w:sz w:val="22"/>
                <w:szCs w:val="22"/>
              </w:rPr>
            </w:pPr>
            <w:proofErr w:type="spellStart"/>
            <w:r w:rsidRPr="001823C5">
              <w:rPr>
                <w:rFonts w:ascii="Cambria" w:hAnsi="Cambria"/>
                <w:sz w:val="22"/>
                <w:szCs w:val="22"/>
              </w:rPr>
              <w:t>ctDNA</w:t>
            </w:r>
            <w:proofErr w:type="spellEnd"/>
          </w:p>
        </w:tc>
        <w:tc>
          <w:tcPr>
            <w:tcW w:w="6886" w:type="dxa"/>
          </w:tcPr>
          <w:p w14:paraId="0000004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Circulation tumour DNA</w:t>
            </w:r>
          </w:p>
        </w:tc>
      </w:tr>
      <w:tr w:rsidR="005D7E20" w:rsidRPr="001823C5" w14:paraId="76F370C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D" w14:textId="77777777" w:rsidR="005D7E20" w:rsidRPr="001823C5" w:rsidRDefault="00507B07">
            <w:pPr>
              <w:rPr>
                <w:rFonts w:ascii="Cambria" w:hAnsi="Cambria"/>
                <w:sz w:val="22"/>
                <w:szCs w:val="22"/>
              </w:rPr>
            </w:pPr>
            <w:proofErr w:type="spellStart"/>
            <w:r w:rsidRPr="001823C5">
              <w:rPr>
                <w:rFonts w:ascii="Cambria" w:hAnsi="Cambria"/>
                <w:sz w:val="22"/>
                <w:szCs w:val="22"/>
              </w:rPr>
              <w:t>C</w:t>
            </w:r>
            <w:r w:rsidRPr="001823C5">
              <w:rPr>
                <w:rFonts w:ascii="Cambria" w:hAnsi="Cambria"/>
                <w:sz w:val="22"/>
                <w:szCs w:val="22"/>
                <w:vertAlign w:val="subscript"/>
              </w:rPr>
              <w:t>trough</w:t>
            </w:r>
            <w:proofErr w:type="spellEnd"/>
          </w:p>
        </w:tc>
        <w:tc>
          <w:tcPr>
            <w:tcW w:w="6886" w:type="dxa"/>
          </w:tcPr>
          <w:p w14:paraId="0000004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Trough concentration</w:t>
            </w:r>
          </w:p>
        </w:tc>
      </w:tr>
      <w:tr w:rsidR="005D7E20" w:rsidRPr="001823C5" w14:paraId="743B1EF1"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F" w14:textId="77777777" w:rsidR="005D7E20" w:rsidRPr="001823C5" w:rsidRDefault="00507B07">
            <w:pPr>
              <w:rPr>
                <w:rFonts w:ascii="Cambria" w:hAnsi="Cambria"/>
                <w:sz w:val="22"/>
                <w:szCs w:val="22"/>
              </w:rPr>
            </w:pPr>
            <w:r w:rsidRPr="001823C5">
              <w:rPr>
                <w:rFonts w:ascii="Cambria" w:hAnsi="Cambria"/>
                <w:sz w:val="22"/>
                <w:szCs w:val="22"/>
              </w:rPr>
              <w:t>DCR</w:t>
            </w:r>
          </w:p>
        </w:tc>
        <w:tc>
          <w:tcPr>
            <w:tcW w:w="6886" w:type="dxa"/>
          </w:tcPr>
          <w:p w14:paraId="0000005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Disease control rate</w:t>
            </w:r>
          </w:p>
        </w:tc>
      </w:tr>
      <w:tr w:rsidR="005D7E20" w:rsidRPr="001823C5" w14:paraId="1B1F05D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1" w14:textId="77777777" w:rsidR="005D7E20" w:rsidRPr="001823C5" w:rsidRDefault="00507B07">
            <w:pPr>
              <w:rPr>
                <w:rFonts w:ascii="Cambria" w:hAnsi="Cambria"/>
                <w:sz w:val="22"/>
                <w:szCs w:val="22"/>
              </w:rPr>
            </w:pPr>
            <w:r w:rsidRPr="001823C5">
              <w:rPr>
                <w:rFonts w:ascii="Cambria" w:hAnsi="Cambria"/>
                <w:sz w:val="22"/>
                <w:szCs w:val="22"/>
              </w:rPr>
              <w:t>DLP</w:t>
            </w:r>
          </w:p>
        </w:tc>
        <w:tc>
          <w:tcPr>
            <w:tcW w:w="6886" w:type="dxa"/>
          </w:tcPr>
          <w:p w14:paraId="0000005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Data lock point</w:t>
            </w:r>
          </w:p>
        </w:tc>
      </w:tr>
      <w:tr w:rsidR="005D7E20" w:rsidRPr="001823C5" w14:paraId="1030513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3" w14:textId="77777777" w:rsidR="005D7E20" w:rsidRPr="001823C5" w:rsidRDefault="00507B07">
            <w:pPr>
              <w:rPr>
                <w:rFonts w:ascii="Cambria" w:hAnsi="Cambria"/>
                <w:sz w:val="22"/>
                <w:szCs w:val="22"/>
              </w:rPr>
            </w:pPr>
            <w:r w:rsidRPr="001823C5">
              <w:rPr>
                <w:rFonts w:ascii="Cambria" w:hAnsi="Cambria"/>
                <w:sz w:val="22"/>
                <w:szCs w:val="22"/>
              </w:rPr>
              <w:t>DOR</w:t>
            </w:r>
          </w:p>
        </w:tc>
        <w:tc>
          <w:tcPr>
            <w:tcW w:w="6886" w:type="dxa"/>
          </w:tcPr>
          <w:p w14:paraId="0000005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Duration of response</w:t>
            </w:r>
          </w:p>
        </w:tc>
      </w:tr>
      <w:tr w:rsidR="005D7E20" w:rsidRPr="001823C5" w14:paraId="28A97138"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5" w14:textId="77777777" w:rsidR="005D7E20" w:rsidRPr="001823C5" w:rsidRDefault="00507B07">
            <w:pPr>
              <w:rPr>
                <w:rFonts w:ascii="Cambria" w:hAnsi="Cambria"/>
                <w:sz w:val="22"/>
                <w:szCs w:val="22"/>
              </w:rPr>
            </w:pPr>
            <w:r w:rsidRPr="001823C5">
              <w:rPr>
                <w:rFonts w:ascii="Cambria" w:hAnsi="Cambria"/>
                <w:sz w:val="22"/>
                <w:szCs w:val="22"/>
              </w:rPr>
              <w:t>ECOG</w:t>
            </w:r>
          </w:p>
        </w:tc>
        <w:tc>
          <w:tcPr>
            <w:tcW w:w="6886" w:type="dxa"/>
          </w:tcPr>
          <w:p w14:paraId="0000005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Eastern Cooperative Oncology Group</w:t>
            </w:r>
          </w:p>
        </w:tc>
      </w:tr>
      <w:tr w:rsidR="005D7E20" w:rsidRPr="001823C5" w14:paraId="076945F1"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7" w14:textId="77777777" w:rsidR="005D7E20" w:rsidRPr="001823C5" w:rsidRDefault="00507B07">
            <w:pPr>
              <w:rPr>
                <w:rFonts w:ascii="Cambria" w:hAnsi="Cambria"/>
                <w:sz w:val="22"/>
                <w:szCs w:val="22"/>
              </w:rPr>
            </w:pPr>
            <w:r w:rsidRPr="001823C5">
              <w:rPr>
                <w:rFonts w:ascii="Cambria" w:hAnsi="Cambria"/>
                <w:sz w:val="22"/>
                <w:szCs w:val="22"/>
              </w:rPr>
              <w:t>EMA</w:t>
            </w:r>
          </w:p>
        </w:tc>
        <w:tc>
          <w:tcPr>
            <w:tcW w:w="6886" w:type="dxa"/>
          </w:tcPr>
          <w:p w14:paraId="0000005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European Medicine Agency</w:t>
            </w:r>
          </w:p>
        </w:tc>
      </w:tr>
      <w:tr w:rsidR="005D7E20" w:rsidRPr="001823C5" w14:paraId="6CACE4CC"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9" w14:textId="77777777" w:rsidR="005D7E20" w:rsidRPr="001823C5" w:rsidRDefault="00507B07">
            <w:pPr>
              <w:rPr>
                <w:rFonts w:ascii="Cambria" w:hAnsi="Cambria"/>
                <w:sz w:val="22"/>
                <w:szCs w:val="22"/>
              </w:rPr>
            </w:pPr>
            <w:r w:rsidRPr="001823C5">
              <w:rPr>
                <w:rFonts w:ascii="Cambria" w:hAnsi="Cambria"/>
                <w:sz w:val="22"/>
                <w:szCs w:val="22"/>
              </w:rPr>
              <w:t>FDA</w:t>
            </w:r>
          </w:p>
        </w:tc>
        <w:tc>
          <w:tcPr>
            <w:tcW w:w="6886" w:type="dxa"/>
          </w:tcPr>
          <w:p w14:paraId="0000005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Food and Drug Administration (United States of America)</w:t>
            </w:r>
          </w:p>
        </w:tc>
      </w:tr>
      <w:tr w:rsidR="005D7E20" w:rsidRPr="001823C5" w14:paraId="3FD2536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B" w14:textId="77777777" w:rsidR="005D7E20" w:rsidRPr="001823C5" w:rsidRDefault="00507B07">
            <w:pPr>
              <w:rPr>
                <w:rFonts w:ascii="Cambria" w:hAnsi="Cambria"/>
                <w:sz w:val="22"/>
                <w:szCs w:val="22"/>
              </w:rPr>
            </w:pPr>
            <w:r w:rsidRPr="001823C5">
              <w:rPr>
                <w:rFonts w:ascii="Cambria" w:hAnsi="Cambria"/>
                <w:sz w:val="22"/>
                <w:szCs w:val="22"/>
              </w:rPr>
              <w:t>GLP</w:t>
            </w:r>
          </w:p>
        </w:tc>
        <w:tc>
          <w:tcPr>
            <w:tcW w:w="6886" w:type="dxa"/>
          </w:tcPr>
          <w:p w14:paraId="0000005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Good Laboratory Practices</w:t>
            </w:r>
          </w:p>
        </w:tc>
      </w:tr>
      <w:tr w:rsidR="005D7E20" w:rsidRPr="001823C5" w14:paraId="02D77D67"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D" w14:textId="77777777" w:rsidR="005D7E20" w:rsidRPr="001823C5" w:rsidRDefault="00507B07">
            <w:pPr>
              <w:rPr>
                <w:rFonts w:ascii="Cambria" w:hAnsi="Cambria"/>
                <w:sz w:val="22"/>
                <w:szCs w:val="22"/>
              </w:rPr>
            </w:pPr>
            <w:r w:rsidRPr="001823C5">
              <w:rPr>
                <w:rFonts w:ascii="Cambria" w:hAnsi="Cambria"/>
                <w:sz w:val="22"/>
                <w:szCs w:val="22"/>
              </w:rPr>
              <w:t>ICH</w:t>
            </w:r>
          </w:p>
        </w:tc>
        <w:tc>
          <w:tcPr>
            <w:tcW w:w="6886" w:type="dxa"/>
          </w:tcPr>
          <w:p w14:paraId="0000005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International Conference on Harmonisation of Technical Requirements</w:t>
            </w:r>
          </w:p>
        </w:tc>
      </w:tr>
      <w:tr w:rsidR="005D7E20" w:rsidRPr="001823C5" w14:paraId="1FF2951D"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F" w14:textId="77777777" w:rsidR="005D7E20" w:rsidRPr="001823C5" w:rsidRDefault="00507B07">
            <w:pPr>
              <w:rPr>
                <w:rFonts w:ascii="Cambria" w:hAnsi="Cambria"/>
                <w:sz w:val="22"/>
                <w:szCs w:val="22"/>
              </w:rPr>
            </w:pPr>
            <w:r w:rsidRPr="001823C5">
              <w:rPr>
                <w:rFonts w:ascii="Cambria" w:hAnsi="Cambria"/>
                <w:sz w:val="22"/>
                <w:szCs w:val="22"/>
              </w:rPr>
              <w:t>MRD</w:t>
            </w:r>
          </w:p>
        </w:tc>
        <w:tc>
          <w:tcPr>
            <w:tcW w:w="6886" w:type="dxa"/>
          </w:tcPr>
          <w:p w14:paraId="0000006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Multi-disciplinary review</w:t>
            </w:r>
          </w:p>
        </w:tc>
      </w:tr>
      <w:tr w:rsidR="005D7E20" w:rsidRPr="001823C5" w14:paraId="384F31F6"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1" w14:textId="77777777" w:rsidR="005D7E20" w:rsidRPr="001823C5" w:rsidRDefault="00507B07">
            <w:pPr>
              <w:rPr>
                <w:rFonts w:ascii="Cambria" w:hAnsi="Cambria"/>
                <w:sz w:val="22"/>
                <w:szCs w:val="22"/>
              </w:rPr>
            </w:pPr>
            <w:r w:rsidRPr="001823C5">
              <w:rPr>
                <w:rFonts w:ascii="Cambria" w:hAnsi="Cambria"/>
                <w:sz w:val="22"/>
                <w:szCs w:val="22"/>
              </w:rPr>
              <w:t>MTD</w:t>
            </w:r>
          </w:p>
        </w:tc>
        <w:tc>
          <w:tcPr>
            <w:tcW w:w="6886" w:type="dxa"/>
          </w:tcPr>
          <w:p w14:paraId="0000006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Maximum tolerated dose</w:t>
            </w:r>
          </w:p>
        </w:tc>
      </w:tr>
      <w:tr w:rsidR="005D7E20" w:rsidRPr="001823C5" w14:paraId="513C6C3A"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3" w14:textId="77777777" w:rsidR="005D7E20" w:rsidRPr="001823C5" w:rsidRDefault="00507B07">
            <w:pPr>
              <w:rPr>
                <w:rFonts w:ascii="Cambria" w:hAnsi="Cambria"/>
                <w:sz w:val="22"/>
                <w:szCs w:val="22"/>
              </w:rPr>
            </w:pPr>
            <w:r w:rsidRPr="001823C5">
              <w:rPr>
                <w:rFonts w:ascii="Cambria" w:hAnsi="Cambria"/>
                <w:sz w:val="22"/>
                <w:szCs w:val="22"/>
              </w:rPr>
              <w:t>NDA</w:t>
            </w:r>
          </w:p>
        </w:tc>
        <w:tc>
          <w:tcPr>
            <w:tcW w:w="6886" w:type="dxa"/>
          </w:tcPr>
          <w:p w14:paraId="0000006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New drug application</w:t>
            </w:r>
          </w:p>
        </w:tc>
      </w:tr>
      <w:tr w:rsidR="005D7E20" w:rsidRPr="001823C5" w14:paraId="1610E050"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5" w14:textId="77777777" w:rsidR="005D7E20" w:rsidRPr="001823C5" w:rsidRDefault="00507B07">
            <w:pPr>
              <w:rPr>
                <w:rFonts w:ascii="Cambria" w:hAnsi="Cambria"/>
                <w:sz w:val="22"/>
                <w:szCs w:val="22"/>
              </w:rPr>
            </w:pPr>
            <w:r w:rsidRPr="001823C5">
              <w:rPr>
                <w:rFonts w:ascii="Cambria" w:hAnsi="Cambria"/>
                <w:sz w:val="22"/>
                <w:szCs w:val="22"/>
              </w:rPr>
              <w:t>NSCLC</w:t>
            </w:r>
          </w:p>
        </w:tc>
        <w:tc>
          <w:tcPr>
            <w:tcW w:w="6886" w:type="dxa"/>
          </w:tcPr>
          <w:p w14:paraId="0000006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Non-small cell lung cancer</w:t>
            </w:r>
          </w:p>
        </w:tc>
      </w:tr>
      <w:tr w:rsidR="005D7E20" w:rsidRPr="001823C5" w14:paraId="207A1E7A"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7" w14:textId="77777777" w:rsidR="005D7E20" w:rsidRPr="001823C5" w:rsidRDefault="00507B07">
            <w:pPr>
              <w:rPr>
                <w:rFonts w:ascii="Cambria" w:hAnsi="Cambria"/>
                <w:sz w:val="22"/>
                <w:szCs w:val="22"/>
              </w:rPr>
            </w:pPr>
            <w:r w:rsidRPr="001823C5">
              <w:rPr>
                <w:rFonts w:ascii="Cambria" w:hAnsi="Cambria"/>
                <w:sz w:val="22"/>
                <w:szCs w:val="22"/>
              </w:rPr>
              <w:t>ORR</w:t>
            </w:r>
          </w:p>
        </w:tc>
        <w:tc>
          <w:tcPr>
            <w:tcW w:w="6886" w:type="dxa"/>
          </w:tcPr>
          <w:p w14:paraId="0000006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Overall response rate</w:t>
            </w:r>
          </w:p>
        </w:tc>
      </w:tr>
      <w:tr w:rsidR="005D7E20" w:rsidRPr="001823C5" w14:paraId="07EFF7C1"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9" w14:textId="77777777" w:rsidR="005D7E20" w:rsidRPr="001823C5" w:rsidRDefault="00507B07">
            <w:pPr>
              <w:rPr>
                <w:rFonts w:ascii="Cambria" w:hAnsi="Cambria"/>
                <w:sz w:val="22"/>
                <w:szCs w:val="22"/>
              </w:rPr>
            </w:pPr>
            <w:r w:rsidRPr="001823C5">
              <w:rPr>
                <w:rFonts w:ascii="Cambria" w:hAnsi="Cambria"/>
                <w:sz w:val="22"/>
                <w:szCs w:val="22"/>
              </w:rPr>
              <w:t>OS</w:t>
            </w:r>
          </w:p>
        </w:tc>
        <w:tc>
          <w:tcPr>
            <w:tcW w:w="6886" w:type="dxa"/>
          </w:tcPr>
          <w:p w14:paraId="0000006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Overall survival</w:t>
            </w:r>
          </w:p>
        </w:tc>
      </w:tr>
      <w:tr w:rsidR="005D7E20" w:rsidRPr="001823C5" w14:paraId="1C005AE4"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B" w14:textId="77777777" w:rsidR="005D7E20" w:rsidRPr="001823C5" w:rsidRDefault="00507B07">
            <w:pPr>
              <w:rPr>
                <w:rFonts w:ascii="Cambria" w:hAnsi="Cambria"/>
                <w:sz w:val="22"/>
                <w:szCs w:val="22"/>
              </w:rPr>
            </w:pPr>
            <w:r w:rsidRPr="001823C5">
              <w:rPr>
                <w:rFonts w:ascii="Cambria" w:hAnsi="Cambria"/>
                <w:sz w:val="22"/>
                <w:szCs w:val="22"/>
              </w:rPr>
              <w:t>PD L1</w:t>
            </w:r>
          </w:p>
        </w:tc>
        <w:tc>
          <w:tcPr>
            <w:tcW w:w="6886" w:type="dxa"/>
          </w:tcPr>
          <w:p w14:paraId="0000006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Programmed cell death ligand 1</w:t>
            </w:r>
          </w:p>
        </w:tc>
      </w:tr>
      <w:tr w:rsidR="005D7E20" w:rsidRPr="001823C5" w14:paraId="54ABA402"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D" w14:textId="77777777" w:rsidR="005D7E20" w:rsidRPr="001823C5" w:rsidRDefault="00507B07">
            <w:pPr>
              <w:rPr>
                <w:rFonts w:ascii="Cambria" w:hAnsi="Cambria"/>
                <w:sz w:val="22"/>
                <w:szCs w:val="22"/>
              </w:rPr>
            </w:pPr>
            <w:r w:rsidRPr="001823C5">
              <w:rPr>
                <w:rFonts w:ascii="Cambria" w:hAnsi="Cambria"/>
                <w:sz w:val="22"/>
                <w:szCs w:val="22"/>
              </w:rPr>
              <w:t>PFS</w:t>
            </w:r>
          </w:p>
        </w:tc>
        <w:tc>
          <w:tcPr>
            <w:tcW w:w="6886" w:type="dxa"/>
          </w:tcPr>
          <w:p w14:paraId="0000006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Progression free survival</w:t>
            </w:r>
          </w:p>
        </w:tc>
      </w:tr>
      <w:tr w:rsidR="005D7E20" w:rsidRPr="001823C5" w14:paraId="57BFCFF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F" w14:textId="77777777" w:rsidR="005D7E20" w:rsidRPr="001823C5" w:rsidRDefault="00507B07">
            <w:pPr>
              <w:rPr>
                <w:rFonts w:ascii="Cambria" w:hAnsi="Cambria"/>
                <w:sz w:val="22"/>
                <w:szCs w:val="22"/>
              </w:rPr>
            </w:pPr>
            <w:r w:rsidRPr="001823C5">
              <w:rPr>
                <w:rFonts w:ascii="Cambria" w:hAnsi="Cambria"/>
                <w:sz w:val="22"/>
                <w:szCs w:val="22"/>
              </w:rPr>
              <w:t>PI</w:t>
            </w:r>
          </w:p>
        </w:tc>
        <w:tc>
          <w:tcPr>
            <w:tcW w:w="6886" w:type="dxa"/>
          </w:tcPr>
          <w:p w14:paraId="0000007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Product Information</w:t>
            </w:r>
          </w:p>
        </w:tc>
      </w:tr>
      <w:tr w:rsidR="005D7E20" w:rsidRPr="001823C5" w14:paraId="749B395C"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1" w14:textId="77777777" w:rsidR="005D7E20" w:rsidRPr="001823C5" w:rsidRDefault="00507B07">
            <w:pPr>
              <w:rPr>
                <w:rFonts w:ascii="Cambria" w:hAnsi="Cambria"/>
                <w:sz w:val="22"/>
                <w:szCs w:val="22"/>
              </w:rPr>
            </w:pPr>
            <w:r w:rsidRPr="001823C5">
              <w:rPr>
                <w:rFonts w:ascii="Cambria" w:hAnsi="Cambria"/>
                <w:sz w:val="22"/>
                <w:szCs w:val="22"/>
              </w:rPr>
              <w:lastRenderedPageBreak/>
              <w:t>PK</w:t>
            </w:r>
          </w:p>
        </w:tc>
        <w:tc>
          <w:tcPr>
            <w:tcW w:w="6886" w:type="dxa"/>
          </w:tcPr>
          <w:p w14:paraId="0000007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Pharmacokinetic(s)</w:t>
            </w:r>
          </w:p>
        </w:tc>
      </w:tr>
      <w:tr w:rsidR="005D7E20" w:rsidRPr="001823C5" w14:paraId="01F46275"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3" w14:textId="77777777" w:rsidR="005D7E20" w:rsidRPr="001823C5" w:rsidRDefault="00507B07">
            <w:pPr>
              <w:rPr>
                <w:rFonts w:ascii="Cambria" w:hAnsi="Cambria"/>
                <w:sz w:val="22"/>
                <w:szCs w:val="22"/>
              </w:rPr>
            </w:pPr>
            <w:r w:rsidRPr="001823C5">
              <w:rPr>
                <w:rFonts w:ascii="Cambria" w:hAnsi="Cambria"/>
                <w:sz w:val="22"/>
                <w:szCs w:val="22"/>
              </w:rPr>
              <w:t>PMC</w:t>
            </w:r>
          </w:p>
        </w:tc>
        <w:tc>
          <w:tcPr>
            <w:tcW w:w="6886" w:type="dxa"/>
          </w:tcPr>
          <w:p w14:paraId="0000007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roofErr w:type="spellStart"/>
            <w:r w:rsidRPr="001823C5">
              <w:rPr>
                <w:rFonts w:ascii="Cambria" w:hAnsi="Cambria"/>
                <w:sz w:val="22"/>
                <w:szCs w:val="22"/>
              </w:rPr>
              <w:t>Postmarketing</w:t>
            </w:r>
            <w:proofErr w:type="spellEnd"/>
            <w:r w:rsidRPr="001823C5">
              <w:rPr>
                <w:rFonts w:ascii="Cambria" w:hAnsi="Cambria"/>
                <w:sz w:val="22"/>
                <w:szCs w:val="22"/>
              </w:rPr>
              <w:t xml:space="preserve"> commitment</w:t>
            </w:r>
          </w:p>
        </w:tc>
      </w:tr>
      <w:tr w:rsidR="005D7E20" w:rsidRPr="001823C5" w14:paraId="1771C280"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5" w14:textId="77777777" w:rsidR="005D7E20" w:rsidRPr="001823C5" w:rsidRDefault="00507B07">
            <w:pPr>
              <w:rPr>
                <w:rFonts w:ascii="Cambria" w:hAnsi="Cambria"/>
                <w:sz w:val="22"/>
                <w:szCs w:val="22"/>
              </w:rPr>
            </w:pPr>
            <w:r w:rsidRPr="001823C5">
              <w:rPr>
                <w:rFonts w:ascii="Cambria" w:hAnsi="Cambria"/>
                <w:sz w:val="22"/>
                <w:szCs w:val="22"/>
              </w:rPr>
              <w:t>PMR</w:t>
            </w:r>
          </w:p>
        </w:tc>
        <w:tc>
          <w:tcPr>
            <w:tcW w:w="6886" w:type="dxa"/>
          </w:tcPr>
          <w:p w14:paraId="0000007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roofErr w:type="spellStart"/>
            <w:r w:rsidRPr="001823C5">
              <w:rPr>
                <w:rFonts w:ascii="Cambria" w:hAnsi="Cambria"/>
                <w:sz w:val="22"/>
                <w:szCs w:val="22"/>
              </w:rPr>
              <w:t>Postmarketing</w:t>
            </w:r>
            <w:proofErr w:type="spellEnd"/>
            <w:r w:rsidRPr="001823C5">
              <w:rPr>
                <w:rFonts w:ascii="Cambria" w:hAnsi="Cambria"/>
                <w:sz w:val="22"/>
                <w:szCs w:val="22"/>
              </w:rPr>
              <w:t xml:space="preserve"> requirement</w:t>
            </w:r>
          </w:p>
        </w:tc>
      </w:tr>
      <w:tr w:rsidR="005D7E20" w:rsidRPr="001823C5" w14:paraId="023F717D"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7" w14:textId="77777777" w:rsidR="005D7E20" w:rsidRPr="001823C5" w:rsidRDefault="00507B07">
            <w:pPr>
              <w:rPr>
                <w:rFonts w:ascii="Cambria" w:hAnsi="Cambria"/>
                <w:sz w:val="22"/>
                <w:szCs w:val="22"/>
              </w:rPr>
            </w:pPr>
            <w:r w:rsidRPr="001823C5">
              <w:rPr>
                <w:rFonts w:ascii="Cambria" w:hAnsi="Cambria"/>
                <w:sz w:val="22"/>
                <w:szCs w:val="22"/>
              </w:rPr>
              <w:t>PR</w:t>
            </w:r>
          </w:p>
        </w:tc>
        <w:tc>
          <w:tcPr>
            <w:tcW w:w="6886" w:type="dxa"/>
          </w:tcPr>
          <w:p w14:paraId="0000007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Partial response</w:t>
            </w:r>
          </w:p>
        </w:tc>
      </w:tr>
      <w:tr w:rsidR="005D7E20" w:rsidRPr="001823C5" w14:paraId="56F16961"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9" w14:textId="77777777" w:rsidR="005D7E20" w:rsidRPr="001823C5" w:rsidRDefault="00507B07">
            <w:pPr>
              <w:rPr>
                <w:rFonts w:ascii="Cambria" w:hAnsi="Cambria"/>
                <w:sz w:val="22"/>
                <w:szCs w:val="22"/>
              </w:rPr>
            </w:pPr>
            <w:r w:rsidRPr="001823C5">
              <w:rPr>
                <w:rFonts w:ascii="Cambria" w:hAnsi="Cambria"/>
                <w:sz w:val="22"/>
                <w:szCs w:val="22"/>
              </w:rPr>
              <w:t>PRO</w:t>
            </w:r>
          </w:p>
        </w:tc>
        <w:tc>
          <w:tcPr>
            <w:tcW w:w="6886" w:type="dxa"/>
          </w:tcPr>
          <w:p w14:paraId="0000007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Patient reported outcome</w:t>
            </w:r>
          </w:p>
        </w:tc>
      </w:tr>
      <w:tr w:rsidR="005D7E20" w:rsidRPr="001823C5" w14:paraId="06648516"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B" w14:textId="77777777" w:rsidR="005D7E20" w:rsidRPr="001823C5" w:rsidRDefault="00507B07">
            <w:pPr>
              <w:rPr>
                <w:rFonts w:ascii="Cambria" w:hAnsi="Cambria"/>
                <w:sz w:val="22"/>
                <w:szCs w:val="22"/>
              </w:rPr>
            </w:pPr>
            <w:r w:rsidRPr="001823C5">
              <w:rPr>
                <w:rFonts w:ascii="Cambria" w:hAnsi="Cambria"/>
                <w:sz w:val="22"/>
                <w:szCs w:val="22"/>
              </w:rPr>
              <w:t>PSUR</w:t>
            </w:r>
          </w:p>
        </w:tc>
        <w:tc>
          <w:tcPr>
            <w:tcW w:w="6886" w:type="dxa"/>
          </w:tcPr>
          <w:p w14:paraId="0000007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Periodic safety update report</w:t>
            </w:r>
          </w:p>
        </w:tc>
      </w:tr>
      <w:tr w:rsidR="005D7E20" w:rsidRPr="001823C5" w14:paraId="5952551D"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D" w14:textId="77777777" w:rsidR="005D7E20" w:rsidRPr="001823C5" w:rsidRDefault="00507B07">
            <w:pPr>
              <w:rPr>
                <w:rFonts w:ascii="Cambria" w:hAnsi="Cambria"/>
                <w:sz w:val="22"/>
                <w:szCs w:val="22"/>
              </w:rPr>
            </w:pPr>
            <w:r w:rsidRPr="001823C5">
              <w:rPr>
                <w:rFonts w:ascii="Cambria" w:hAnsi="Cambria"/>
                <w:sz w:val="22"/>
                <w:szCs w:val="22"/>
              </w:rPr>
              <w:t>PT</w:t>
            </w:r>
          </w:p>
        </w:tc>
        <w:tc>
          <w:tcPr>
            <w:tcW w:w="6886" w:type="dxa"/>
          </w:tcPr>
          <w:p w14:paraId="0000007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Preferred Term</w:t>
            </w:r>
          </w:p>
        </w:tc>
      </w:tr>
      <w:tr w:rsidR="005D7E20" w:rsidRPr="001823C5" w14:paraId="4698153F"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F" w14:textId="77777777" w:rsidR="005D7E20" w:rsidRPr="001823C5" w:rsidRDefault="00507B07">
            <w:pPr>
              <w:rPr>
                <w:rFonts w:ascii="Cambria" w:hAnsi="Cambria"/>
                <w:sz w:val="22"/>
                <w:szCs w:val="22"/>
              </w:rPr>
            </w:pPr>
            <w:r w:rsidRPr="001823C5">
              <w:rPr>
                <w:rFonts w:ascii="Cambria" w:hAnsi="Cambria"/>
                <w:sz w:val="22"/>
                <w:szCs w:val="22"/>
              </w:rPr>
              <w:t>QoL</w:t>
            </w:r>
          </w:p>
        </w:tc>
        <w:tc>
          <w:tcPr>
            <w:tcW w:w="6886" w:type="dxa"/>
          </w:tcPr>
          <w:p w14:paraId="0000008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Quality of life</w:t>
            </w:r>
          </w:p>
        </w:tc>
      </w:tr>
      <w:tr w:rsidR="005D7E20" w:rsidRPr="001823C5" w14:paraId="5373F850"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1" w14:textId="77777777" w:rsidR="005D7E20" w:rsidRPr="001823C5" w:rsidRDefault="00507B07">
            <w:pPr>
              <w:rPr>
                <w:rFonts w:ascii="Cambria" w:hAnsi="Cambria"/>
                <w:sz w:val="22"/>
                <w:szCs w:val="22"/>
              </w:rPr>
            </w:pPr>
            <w:r w:rsidRPr="001823C5">
              <w:rPr>
                <w:rFonts w:ascii="Cambria" w:hAnsi="Cambria"/>
                <w:sz w:val="22"/>
                <w:szCs w:val="22"/>
              </w:rPr>
              <w:t>RET</w:t>
            </w:r>
          </w:p>
        </w:tc>
        <w:tc>
          <w:tcPr>
            <w:tcW w:w="6886" w:type="dxa"/>
          </w:tcPr>
          <w:p w14:paraId="0000008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Rearranged during transfection</w:t>
            </w:r>
          </w:p>
        </w:tc>
      </w:tr>
      <w:tr w:rsidR="005D7E20" w:rsidRPr="001823C5" w14:paraId="2309FA84"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3" w14:textId="77777777" w:rsidR="005D7E20" w:rsidRPr="001823C5" w:rsidRDefault="00507B07">
            <w:pPr>
              <w:rPr>
                <w:rFonts w:ascii="Cambria" w:hAnsi="Cambria"/>
                <w:sz w:val="22"/>
                <w:szCs w:val="22"/>
              </w:rPr>
            </w:pPr>
            <w:r w:rsidRPr="001823C5">
              <w:rPr>
                <w:rFonts w:ascii="Cambria" w:hAnsi="Cambria"/>
                <w:sz w:val="22"/>
                <w:szCs w:val="22"/>
              </w:rPr>
              <w:t>RMP</w:t>
            </w:r>
          </w:p>
        </w:tc>
        <w:tc>
          <w:tcPr>
            <w:tcW w:w="6886" w:type="dxa"/>
          </w:tcPr>
          <w:p w14:paraId="0000008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Risk management plan</w:t>
            </w:r>
          </w:p>
        </w:tc>
      </w:tr>
      <w:tr w:rsidR="005D7E20" w:rsidRPr="001823C5" w14:paraId="50DC718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5" w14:textId="77777777" w:rsidR="005D7E20" w:rsidRPr="001823C5" w:rsidRDefault="00507B07">
            <w:pPr>
              <w:rPr>
                <w:rFonts w:ascii="Cambria" w:hAnsi="Cambria"/>
                <w:sz w:val="22"/>
                <w:szCs w:val="22"/>
              </w:rPr>
            </w:pPr>
            <w:r w:rsidRPr="001823C5">
              <w:rPr>
                <w:rFonts w:ascii="Cambria" w:hAnsi="Cambria"/>
                <w:sz w:val="22"/>
                <w:szCs w:val="22"/>
              </w:rPr>
              <w:t>RP2D</w:t>
            </w:r>
          </w:p>
        </w:tc>
        <w:tc>
          <w:tcPr>
            <w:tcW w:w="6886" w:type="dxa"/>
          </w:tcPr>
          <w:p w14:paraId="0000008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Recommended Phase II dose</w:t>
            </w:r>
          </w:p>
        </w:tc>
      </w:tr>
      <w:tr w:rsidR="005D7E20" w:rsidRPr="001823C5" w14:paraId="33FCC84C"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7" w14:textId="77777777" w:rsidR="005D7E20" w:rsidRPr="001823C5" w:rsidRDefault="00507B07">
            <w:pPr>
              <w:rPr>
                <w:rFonts w:ascii="Cambria" w:hAnsi="Cambria"/>
                <w:sz w:val="22"/>
                <w:szCs w:val="22"/>
              </w:rPr>
            </w:pPr>
            <w:r w:rsidRPr="001823C5">
              <w:rPr>
                <w:rFonts w:ascii="Cambria" w:hAnsi="Cambria"/>
                <w:sz w:val="22"/>
                <w:szCs w:val="22"/>
              </w:rPr>
              <w:t>SAE</w:t>
            </w:r>
          </w:p>
        </w:tc>
        <w:tc>
          <w:tcPr>
            <w:tcW w:w="6886" w:type="dxa"/>
          </w:tcPr>
          <w:p w14:paraId="0000008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Serious adverse event</w:t>
            </w:r>
          </w:p>
        </w:tc>
      </w:tr>
      <w:tr w:rsidR="005D7E20" w:rsidRPr="001823C5" w14:paraId="039CED8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9" w14:textId="77777777" w:rsidR="005D7E20" w:rsidRPr="001823C5" w:rsidRDefault="00507B07">
            <w:pPr>
              <w:rPr>
                <w:rFonts w:ascii="Cambria" w:hAnsi="Cambria"/>
                <w:sz w:val="22"/>
                <w:szCs w:val="22"/>
              </w:rPr>
            </w:pPr>
            <w:r w:rsidRPr="001823C5">
              <w:rPr>
                <w:rFonts w:ascii="Cambria" w:hAnsi="Cambria"/>
                <w:sz w:val="22"/>
                <w:szCs w:val="22"/>
              </w:rPr>
              <w:t>SD</w:t>
            </w:r>
          </w:p>
        </w:tc>
        <w:tc>
          <w:tcPr>
            <w:tcW w:w="6886" w:type="dxa"/>
          </w:tcPr>
          <w:p w14:paraId="0000008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Stable disease</w:t>
            </w:r>
          </w:p>
        </w:tc>
      </w:tr>
      <w:tr w:rsidR="005D7E20" w:rsidRPr="001823C5" w14:paraId="3651B07C"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B" w14:textId="77777777" w:rsidR="005D7E20" w:rsidRPr="001823C5" w:rsidRDefault="00507B07">
            <w:pPr>
              <w:rPr>
                <w:rFonts w:ascii="Cambria" w:hAnsi="Cambria"/>
                <w:sz w:val="22"/>
                <w:szCs w:val="22"/>
              </w:rPr>
            </w:pPr>
            <w:r w:rsidRPr="001823C5">
              <w:rPr>
                <w:rFonts w:ascii="Cambria" w:hAnsi="Cambria"/>
                <w:sz w:val="22"/>
                <w:szCs w:val="22"/>
              </w:rPr>
              <w:t>T</w:t>
            </w:r>
            <w:r w:rsidRPr="001823C5">
              <w:rPr>
                <w:rFonts w:ascii="Cambria" w:hAnsi="Cambria"/>
                <w:sz w:val="22"/>
                <w:szCs w:val="22"/>
                <w:vertAlign w:val="subscript"/>
              </w:rPr>
              <w:t>1/2</w:t>
            </w:r>
          </w:p>
        </w:tc>
        <w:tc>
          <w:tcPr>
            <w:tcW w:w="6886" w:type="dxa"/>
          </w:tcPr>
          <w:p w14:paraId="0000008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Half life</w:t>
            </w:r>
          </w:p>
        </w:tc>
      </w:tr>
      <w:tr w:rsidR="005D7E20" w:rsidRPr="001823C5" w14:paraId="76EC475B"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D" w14:textId="77777777" w:rsidR="005D7E20" w:rsidRPr="001823C5" w:rsidRDefault="00507B07">
            <w:pPr>
              <w:rPr>
                <w:rFonts w:ascii="Cambria" w:hAnsi="Cambria"/>
                <w:sz w:val="22"/>
                <w:szCs w:val="22"/>
              </w:rPr>
            </w:pPr>
            <w:r w:rsidRPr="001823C5">
              <w:rPr>
                <w:rFonts w:ascii="Cambria" w:hAnsi="Cambria"/>
                <w:sz w:val="22"/>
                <w:szCs w:val="22"/>
              </w:rPr>
              <w:t>TEAE</w:t>
            </w:r>
          </w:p>
        </w:tc>
        <w:tc>
          <w:tcPr>
            <w:tcW w:w="6886" w:type="dxa"/>
          </w:tcPr>
          <w:p w14:paraId="0000008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proofErr w:type="spellStart"/>
            <w:r w:rsidRPr="001823C5">
              <w:rPr>
                <w:rFonts w:ascii="Cambria" w:hAnsi="Cambria"/>
                <w:sz w:val="22"/>
                <w:szCs w:val="22"/>
              </w:rPr>
              <w:t>Teatment</w:t>
            </w:r>
            <w:proofErr w:type="spellEnd"/>
            <w:r w:rsidRPr="001823C5">
              <w:rPr>
                <w:rFonts w:ascii="Cambria" w:hAnsi="Cambria"/>
                <w:sz w:val="22"/>
                <w:szCs w:val="22"/>
              </w:rPr>
              <w:t xml:space="preserve"> emergent adverse event</w:t>
            </w:r>
          </w:p>
        </w:tc>
      </w:tr>
      <w:tr w:rsidR="005D7E20" w:rsidRPr="001823C5" w14:paraId="617A64B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F" w14:textId="77777777" w:rsidR="005D7E20" w:rsidRPr="001823C5" w:rsidRDefault="00507B07">
            <w:pPr>
              <w:rPr>
                <w:rFonts w:ascii="Cambria" w:hAnsi="Cambria"/>
                <w:sz w:val="22"/>
                <w:szCs w:val="22"/>
              </w:rPr>
            </w:pPr>
            <w:r w:rsidRPr="001823C5">
              <w:rPr>
                <w:rFonts w:ascii="Cambria" w:hAnsi="Cambria"/>
                <w:sz w:val="22"/>
                <w:szCs w:val="22"/>
              </w:rPr>
              <w:t>TGA</w:t>
            </w:r>
          </w:p>
        </w:tc>
        <w:tc>
          <w:tcPr>
            <w:tcW w:w="6886" w:type="dxa"/>
          </w:tcPr>
          <w:p w14:paraId="0000009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Therapeutic Goods Administration</w:t>
            </w:r>
          </w:p>
        </w:tc>
      </w:tr>
      <w:tr w:rsidR="005D7E20" w:rsidRPr="001823C5" w14:paraId="2F77C270"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1" w14:textId="77777777" w:rsidR="005D7E20" w:rsidRPr="001823C5" w:rsidRDefault="00507B07">
            <w:pPr>
              <w:rPr>
                <w:rFonts w:ascii="Cambria" w:hAnsi="Cambria"/>
                <w:sz w:val="22"/>
                <w:szCs w:val="22"/>
              </w:rPr>
            </w:pPr>
            <w:r w:rsidRPr="001823C5">
              <w:rPr>
                <w:rFonts w:ascii="Cambria" w:hAnsi="Cambria"/>
                <w:sz w:val="22"/>
                <w:szCs w:val="22"/>
              </w:rPr>
              <w:t>TKI</w:t>
            </w:r>
          </w:p>
        </w:tc>
        <w:tc>
          <w:tcPr>
            <w:tcW w:w="6886" w:type="dxa"/>
          </w:tcPr>
          <w:p w14:paraId="0000009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Tyrosine kinase inhibitor</w:t>
            </w:r>
          </w:p>
        </w:tc>
      </w:tr>
      <w:tr w:rsidR="005D7E20" w:rsidRPr="001823C5" w14:paraId="206B0E5E"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3" w14:textId="77777777" w:rsidR="005D7E20" w:rsidRPr="001823C5" w:rsidRDefault="00507B07">
            <w:pPr>
              <w:rPr>
                <w:rFonts w:ascii="Cambria" w:hAnsi="Cambria"/>
                <w:sz w:val="22"/>
                <w:szCs w:val="22"/>
              </w:rPr>
            </w:pPr>
            <w:proofErr w:type="spellStart"/>
            <w:r w:rsidRPr="001823C5">
              <w:rPr>
                <w:rFonts w:ascii="Cambria" w:hAnsi="Cambria"/>
                <w:sz w:val="22"/>
                <w:szCs w:val="22"/>
              </w:rPr>
              <w:t>T</w:t>
            </w:r>
            <w:r w:rsidRPr="001823C5">
              <w:rPr>
                <w:rFonts w:ascii="Cambria" w:hAnsi="Cambria"/>
                <w:sz w:val="22"/>
                <w:szCs w:val="22"/>
                <w:vertAlign w:val="subscript"/>
              </w:rPr>
              <w:t>max</w:t>
            </w:r>
            <w:proofErr w:type="spellEnd"/>
          </w:p>
        </w:tc>
        <w:tc>
          <w:tcPr>
            <w:tcW w:w="6886" w:type="dxa"/>
          </w:tcPr>
          <w:p w14:paraId="0000009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The time after administration of a drug when the maximum plasma concentration is reached</w:t>
            </w:r>
          </w:p>
        </w:tc>
      </w:tr>
      <w:tr w:rsidR="005D7E20" w:rsidRPr="001823C5" w14:paraId="4612F128" w14:textId="77777777" w:rsidTr="001823C5">
        <w:trPr>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5" w14:textId="77777777" w:rsidR="005D7E20" w:rsidRPr="001823C5" w:rsidRDefault="00507B07">
            <w:pPr>
              <w:rPr>
                <w:rFonts w:ascii="Cambria" w:hAnsi="Cambria"/>
                <w:sz w:val="22"/>
                <w:szCs w:val="22"/>
              </w:rPr>
            </w:pPr>
            <w:r w:rsidRPr="001823C5">
              <w:rPr>
                <w:rFonts w:ascii="Cambria" w:hAnsi="Cambria"/>
                <w:sz w:val="22"/>
                <w:szCs w:val="22"/>
              </w:rPr>
              <w:t>US(A)</w:t>
            </w:r>
          </w:p>
        </w:tc>
        <w:tc>
          <w:tcPr>
            <w:tcW w:w="6886" w:type="dxa"/>
          </w:tcPr>
          <w:p w14:paraId="0000009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United States (of America)</w:t>
            </w:r>
          </w:p>
        </w:tc>
      </w:tr>
    </w:tbl>
    <w:p w14:paraId="00000098" w14:textId="77777777" w:rsidR="005D7E20" w:rsidRDefault="00507B07">
      <w:pPr>
        <w:spacing w:after="200"/>
        <w:rPr>
          <w:b/>
          <w:i/>
          <w:sz w:val="24"/>
          <w:szCs w:val="24"/>
        </w:rPr>
      </w:pPr>
      <w:r>
        <w:br w:type="page"/>
      </w:r>
    </w:p>
    <w:p w14:paraId="00000099" w14:textId="77777777" w:rsidR="005D7E20" w:rsidRDefault="00507B07">
      <w:pPr>
        <w:pStyle w:val="Heading2"/>
      </w:pPr>
      <w:bookmarkStart w:id="1" w:name="_Toc148339727"/>
      <w:r>
        <w:lastRenderedPageBreak/>
        <w:t>Product submission</w:t>
      </w:r>
      <w:bookmarkEnd w:id="1"/>
    </w:p>
    <w:bookmarkStart w:id="2" w:name="_Toc148339728"/>
    <w:p w14:paraId="0000009A" w14:textId="77777777" w:rsidR="005D7E20" w:rsidRDefault="00D63D0E">
      <w:pPr>
        <w:pStyle w:val="Heading3"/>
      </w:pPr>
      <w:sdt>
        <w:sdtPr>
          <w:tag w:val="goog_rdk_1"/>
          <w:id w:val="-1082909449"/>
        </w:sdtPr>
        <w:sdtEndPr/>
        <w:sdtContent/>
      </w:sdt>
      <w:r w:rsidR="00507B07">
        <w:t>Submission details</w:t>
      </w:r>
      <w:bookmarkEnd w:id="2"/>
    </w:p>
    <w:tbl>
      <w:tblPr>
        <w:tblStyle w:val="a1"/>
        <w:tblW w:w="9070" w:type="dxa"/>
        <w:tblLayout w:type="fixed"/>
        <w:tblLook w:val="0000" w:firstRow="0" w:lastRow="0" w:firstColumn="0" w:lastColumn="0" w:noHBand="0" w:noVBand="0"/>
      </w:tblPr>
      <w:tblGrid>
        <w:gridCol w:w="2861"/>
        <w:gridCol w:w="6209"/>
      </w:tblGrid>
      <w:tr w:rsidR="005D7E20" w14:paraId="40BB1CAB" w14:textId="77777777">
        <w:tc>
          <w:tcPr>
            <w:tcW w:w="2861" w:type="dxa"/>
          </w:tcPr>
          <w:p w14:paraId="0000009B" w14:textId="77777777" w:rsidR="005D7E20" w:rsidRDefault="00507B07">
            <w:pPr>
              <w:rPr>
                <w:i/>
              </w:rPr>
            </w:pPr>
            <w:r>
              <w:rPr>
                <w:i/>
              </w:rPr>
              <w:t>Type of submission:</w:t>
            </w:r>
          </w:p>
        </w:tc>
        <w:tc>
          <w:tcPr>
            <w:tcW w:w="6209" w:type="dxa"/>
          </w:tcPr>
          <w:p w14:paraId="0000009C" w14:textId="77777777" w:rsidR="005D7E20" w:rsidRDefault="00507B07">
            <w:r>
              <w:t>New chemical entity</w:t>
            </w:r>
          </w:p>
        </w:tc>
      </w:tr>
      <w:tr w:rsidR="005D7E20" w14:paraId="6547A43C" w14:textId="77777777">
        <w:tc>
          <w:tcPr>
            <w:tcW w:w="2861" w:type="dxa"/>
          </w:tcPr>
          <w:p w14:paraId="0000009D" w14:textId="77777777" w:rsidR="005D7E20" w:rsidRDefault="00507B07">
            <w:pPr>
              <w:rPr>
                <w:i/>
              </w:rPr>
            </w:pPr>
            <w:r>
              <w:rPr>
                <w:i/>
              </w:rPr>
              <w:t>Product name:</w:t>
            </w:r>
          </w:p>
        </w:tc>
        <w:tc>
          <w:tcPr>
            <w:tcW w:w="6209" w:type="dxa"/>
          </w:tcPr>
          <w:p w14:paraId="0000009E" w14:textId="77777777" w:rsidR="005D7E20" w:rsidRDefault="00507B07">
            <w:r>
              <w:t>Gavreto</w:t>
            </w:r>
          </w:p>
        </w:tc>
      </w:tr>
      <w:tr w:rsidR="005D7E20" w14:paraId="08748304" w14:textId="77777777">
        <w:tc>
          <w:tcPr>
            <w:tcW w:w="2861" w:type="dxa"/>
          </w:tcPr>
          <w:p w14:paraId="0000009F" w14:textId="77777777" w:rsidR="005D7E20" w:rsidRDefault="00507B07">
            <w:pPr>
              <w:rPr>
                <w:i/>
              </w:rPr>
            </w:pPr>
            <w:r>
              <w:rPr>
                <w:i/>
              </w:rPr>
              <w:t>Active ingredient:</w:t>
            </w:r>
          </w:p>
        </w:tc>
        <w:tc>
          <w:tcPr>
            <w:tcW w:w="6209" w:type="dxa"/>
          </w:tcPr>
          <w:p w14:paraId="000000A0" w14:textId="77777777" w:rsidR="005D7E20" w:rsidRDefault="00507B07">
            <w:proofErr w:type="spellStart"/>
            <w:r>
              <w:t>Pralsetinib</w:t>
            </w:r>
            <w:proofErr w:type="spellEnd"/>
          </w:p>
        </w:tc>
      </w:tr>
      <w:tr w:rsidR="005D7E20" w14:paraId="78D2F589" w14:textId="77777777">
        <w:tc>
          <w:tcPr>
            <w:tcW w:w="2861" w:type="dxa"/>
          </w:tcPr>
          <w:p w14:paraId="000000A1" w14:textId="77777777" w:rsidR="005D7E20" w:rsidRDefault="00507B07">
            <w:pPr>
              <w:rPr>
                <w:i/>
              </w:rPr>
            </w:pPr>
            <w:r>
              <w:rPr>
                <w:i/>
              </w:rPr>
              <w:t>Decision:</w:t>
            </w:r>
          </w:p>
        </w:tc>
        <w:tc>
          <w:tcPr>
            <w:tcW w:w="6209" w:type="dxa"/>
          </w:tcPr>
          <w:p w14:paraId="000000A2" w14:textId="77777777" w:rsidR="005D7E20" w:rsidRDefault="00507B07">
            <w:r>
              <w:t xml:space="preserve">Approved </w:t>
            </w:r>
            <w:bookmarkStart w:id="3" w:name="_Hlk148445771"/>
            <w:r>
              <w:t>for provisional registration</w:t>
            </w:r>
            <w:bookmarkEnd w:id="3"/>
          </w:p>
        </w:tc>
      </w:tr>
      <w:tr w:rsidR="005D7E20" w14:paraId="502274BE" w14:textId="77777777">
        <w:tc>
          <w:tcPr>
            <w:tcW w:w="2861" w:type="dxa"/>
          </w:tcPr>
          <w:p w14:paraId="000000A3" w14:textId="77777777" w:rsidR="005D7E20" w:rsidRDefault="00507B07">
            <w:pPr>
              <w:rPr>
                <w:i/>
              </w:rPr>
            </w:pPr>
            <w:r>
              <w:rPr>
                <w:i/>
              </w:rPr>
              <w:t>Date of decision:</w:t>
            </w:r>
          </w:p>
        </w:tc>
        <w:tc>
          <w:tcPr>
            <w:tcW w:w="6209" w:type="dxa"/>
          </w:tcPr>
          <w:p w14:paraId="000000A4" w14:textId="77777777" w:rsidR="005D7E20" w:rsidRDefault="00507B07">
            <w:r>
              <w:t>29 March 2023</w:t>
            </w:r>
          </w:p>
        </w:tc>
      </w:tr>
      <w:tr w:rsidR="005D7E20" w14:paraId="54E56D1F" w14:textId="77777777">
        <w:tc>
          <w:tcPr>
            <w:tcW w:w="2861" w:type="dxa"/>
          </w:tcPr>
          <w:p w14:paraId="000000A5" w14:textId="77777777" w:rsidR="005D7E20" w:rsidRDefault="00507B07">
            <w:pPr>
              <w:rPr>
                <w:i/>
              </w:rPr>
            </w:pPr>
            <w:r>
              <w:rPr>
                <w:i/>
              </w:rPr>
              <w:t>Date of entry onto ARTG:</w:t>
            </w:r>
          </w:p>
        </w:tc>
        <w:tc>
          <w:tcPr>
            <w:tcW w:w="6209" w:type="dxa"/>
          </w:tcPr>
          <w:p w14:paraId="000000A6" w14:textId="77777777" w:rsidR="005D7E20" w:rsidRDefault="00507B07">
            <w:r>
              <w:t>29 March 2023</w:t>
            </w:r>
          </w:p>
        </w:tc>
      </w:tr>
      <w:tr w:rsidR="005D7E20" w14:paraId="00981EC6" w14:textId="77777777">
        <w:tc>
          <w:tcPr>
            <w:tcW w:w="2861" w:type="dxa"/>
          </w:tcPr>
          <w:p w14:paraId="000000A7" w14:textId="77777777" w:rsidR="005D7E20" w:rsidRDefault="00507B07">
            <w:pPr>
              <w:rPr>
                <w:i/>
              </w:rPr>
            </w:pPr>
            <w:r>
              <w:rPr>
                <w:i/>
              </w:rPr>
              <w:t>ARTG number:</w:t>
            </w:r>
          </w:p>
        </w:tc>
        <w:tc>
          <w:tcPr>
            <w:tcW w:w="6209" w:type="dxa"/>
          </w:tcPr>
          <w:p w14:paraId="000000A8" w14:textId="77777777" w:rsidR="005D7E20" w:rsidRDefault="00507B07">
            <w:r>
              <w:t>380812</w:t>
            </w:r>
          </w:p>
        </w:tc>
      </w:tr>
      <w:tr w:rsidR="005D7E20" w14:paraId="66E1439B" w14:textId="77777777">
        <w:tc>
          <w:tcPr>
            <w:tcW w:w="2861" w:type="dxa"/>
          </w:tcPr>
          <w:p w14:paraId="000000A9" w14:textId="70941865" w:rsidR="005D7E20" w:rsidRDefault="00507B07">
            <w:pPr>
              <w:rPr>
                <w:i/>
                <w:color w:val="0000FF"/>
                <w:u w:val="single"/>
              </w:rPr>
            </w:pPr>
            <w:r>
              <w:rPr>
                <w:rFonts w:ascii="Noto Sans Symbols" w:eastAsia="Noto Sans Symbols" w:hAnsi="Noto Sans Symbols" w:cs="Noto Sans Symbols"/>
              </w:rPr>
              <w:t>▼</w:t>
            </w:r>
            <w:hyperlink r:id="rId16">
              <w:r>
                <w:rPr>
                  <w:i/>
                  <w:color w:val="0000FF"/>
                  <w:u w:val="single"/>
                </w:rPr>
                <w:t>Black Triangle Scheme</w:t>
              </w:r>
            </w:hyperlink>
          </w:p>
          <w:p w14:paraId="000000AA" w14:textId="77777777" w:rsidR="005D7E20" w:rsidRDefault="00507B07">
            <w:pPr>
              <w:rPr>
                <w:i/>
              </w:rPr>
            </w:pPr>
            <w:r>
              <w:rPr>
                <w:i/>
              </w:rPr>
              <w:t>for the current submission:</w:t>
            </w:r>
          </w:p>
        </w:tc>
        <w:tc>
          <w:tcPr>
            <w:tcW w:w="6209" w:type="dxa"/>
          </w:tcPr>
          <w:p w14:paraId="000000AB" w14:textId="77777777" w:rsidR="005D7E20" w:rsidRDefault="00507B07">
            <w:r>
              <w:t>Yes</w:t>
            </w:r>
          </w:p>
          <w:p w14:paraId="000000AC" w14:textId="77777777" w:rsidR="005D7E20" w:rsidRDefault="00507B07">
            <w:r>
              <w:t>As a provisionally registered product, this medicine will remain in the Black Triangle Scheme for the duration of its provisional registration</w:t>
            </w:r>
          </w:p>
        </w:tc>
      </w:tr>
      <w:tr w:rsidR="005D7E20" w14:paraId="6AEB7B8E" w14:textId="77777777">
        <w:tc>
          <w:tcPr>
            <w:tcW w:w="2861" w:type="dxa"/>
          </w:tcPr>
          <w:p w14:paraId="000000AD" w14:textId="77777777" w:rsidR="005D7E20" w:rsidRDefault="00507B07">
            <w:pPr>
              <w:rPr>
                <w:i/>
              </w:rPr>
            </w:pPr>
            <w:r>
              <w:rPr>
                <w:i/>
              </w:rPr>
              <w:t>Sponsor’s name and address:</w:t>
            </w:r>
          </w:p>
        </w:tc>
        <w:tc>
          <w:tcPr>
            <w:tcW w:w="6209" w:type="dxa"/>
          </w:tcPr>
          <w:p w14:paraId="000000AE" w14:textId="77777777" w:rsidR="005D7E20" w:rsidRDefault="00507B07">
            <w:r>
              <w:t>Roche Products Pty Limited</w:t>
            </w:r>
          </w:p>
          <w:p w14:paraId="000000AF" w14:textId="77777777" w:rsidR="005D7E20" w:rsidRDefault="00507B07">
            <w:r>
              <w:t>Level 8, 30 – 34 Hickson Road</w:t>
            </w:r>
          </w:p>
          <w:p w14:paraId="000000B0" w14:textId="77777777" w:rsidR="005D7E20" w:rsidRDefault="00507B07">
            <w:r>
              <w:t>Sydney NSW 2000</w:t>
            </w:r>
          </w:p>
        </w:tc>
      </w:tr>
      <w:tr w:rsidR="005D7E20" w14:paraId="66EFF19E" w14:textId="77777777">
        <w:tc>
          <w:tcPr>
            <w:tcW w:w="2861" w:type="dxa"/>
          </w:tcPr>
          <w:p w14:paraId="000000B1" w14:textId="77777777" w:rsidR="005D7E20" w:rsidRDefault="00507B07">
            <w:pPr>
              <w:rPr>
                <w:i/>
              </w:rPr>
            </w:pPr>
            <w:r>
              <w:rPr>
                <w:i/>
              </w:rPr>
              <w:t>Dose form:</w:t>
            </w:r>
          </w:p>
        </w:tc>
        <w:tc>
          <w:tcPr>
            <w:tcW w:w="6209" w:type="dxa"/>
          </w:tcPr>
          <w:p w14:paraId="000000B2" w14:textId="77777777" w:rsidR="005D7E20" w:rsidRDefault="00507B07">
            <w:r>
              <w:t>Capsule</w:t>
            </w:r>
          </w:p>
        </w:tc>
      </w:tr>
      <w:tr w:rsidR="005D7E20" w14:paraId="1E151E21" w14:textId="77777777">
        <w:tc>
          <w:tcPr>
            <w:tcW w:w="2861" w:type="dxa"/>
          </w:tcPr>
          <w:p w14:paraId="000000B3" w14:textId="77777777" w:rsidR="005D7E20" w:rsidRDefault="00507B07">
            <w:pPr>
              <w:rPr>
                <w:i/>
              </w:rPr>
            </w:pPr>
            <w:r>
              <w:rPr>
                <w:i/>
              </w:rPr>
              <w:t>Strength:</w:t>
            </w:r>
          </w:p>
        </w:tc>
        <w:tc>
          <w:tcPr>
            <w:tcW w:w="6209" w:type="dxa"/>
          </w:tcPr>
          <w:p w14:paraId="000000B4" w14:textId="77777777" w:rsidR="005D7E20" w:rsidRDefault="00507B07">
            <w:r>
              <w:t>100 mg</w:t>
            </w:r>
          </w:p>
        </w:tc>
      </w:tr>
      <w:tr w:rsidR="005D7E20" w14:paraId="2B31A8C3" w14:textId="77777777">
        <w:tc>
          <w:tcPr>
            <w:tcW w:w="2861" w:type="dxa"/>
          </w:tcPr>
          <w:p w14:paraId="000000B5" w14:textId="77777777" w:rsidR="005D7E20" w:rsidRDefault="00507B07">
            <w:pPr>
              <w:rPr>
                <w:i/>
              </w:rPr>
            </w:pPr>
            <w:r>
              <w:rPr>
                <w:i/>
              </w:rPr>
              <w:t>Container:</w:t>
            </w:r>
          </w:p>
        </w:tc>
        <w:tc>
          <w:tcPr>
            <w:tcW w:w="6209" w:type="dxa"/>
          </w:tcPr>
          <w:p w14:paraId="000000B6" w14:textId="77777777" w:rsidR="005D7E20" w:rsidRDefault="00507B07">
            <w:r>
              <w:t>Bottle</w:t>
            </w:r>
          </w:p>
        </w:tc>
      </w:tr>
      <w:tr w:rsidR="005D7E20" w14:paraId="2B241356" w14:textId="77777777">
        <w:tc>
          <w:tcPr>
            <w:tcW w:w="2861" w:type="dxa"/>
          </w:tcPr>
          <w:p w14:paraId="000000B7" w14:textId="77777777" w:rsidR="005D7E20" w:rsidRDefault="00507B07">
            <w:pPr>
              <w:rPr>
                <w:i/>
              </w:rPr>
            </w:pPr>
            <w:r>
              <w:rPr>
                <w:i/>
              </w:rPr>
              <w:t>Pack sizes:</w:t>
            </w:r>
          </w:p>
        </w:tc>
        <w:tc>
          <w:tcPr>
            <w:tcW w:w="6209" w:type="dxa"/>
          </w:tcPr>
          <w:p w14:paraId="000000B8" w14:textId="77777777" w:rsidR="005D7E20" w:rsidRDefault="00507B07">
            <w:r>
              <w:t>60, 90 and 120 capsules</w:t>
            </w:r>
          </w:p>
        </w:tc>
      </w:tr>
      <w:tr w:rsidR="005D7E20" w14:paraId="2206A38F" w14:textId="77777777">
        <w:tc>
          <w:tcPr>
            <w:tcW w:w="2861" w:type="dxa"/>
          </w:tcPr>
          <w:p w14:paraId="000000B9" w14:textId="77777777" w:rsidR="005D7E20" w:rsidRDefault="00507B07">
            <w:pPr>
              <w:rPr>
                <w:i/>
              </w:rPr>
            </w:pPr>
            <w:r>
              <w:rPr>
                <w:i/>
              </w:rPr>
              <w:t>Approved therapeutic use for the current submission:</w:t>
            </w:r>
          </w:p>
        </w:tc>
        <w:tc>
          <w:tcPr>
            <w:tcW w:w="6209" w:type="dxa"/>
          </w:tcPr>
          <w:p w14:paraId="000000BA" w14:textId="77777777" w:rsidR="005D7E20" w:rsidRDefault="00507B07">
            <w:pPr>
              <w:rPr>
                <w:i/>
              </w:rPr>
            </w:pPr>
            <w:r>
              <w:rPr>
                <w:i/>
              </w:rPr>
              <w:t>Non-Small Cell Lung Cancer (NSCLC)</w:t>
            </w:r>
          </w:p>
          <w:p w14:paraId="000000BB" w14:textId="77777777" w:rsidR="005D7E20" w:rsidRDefault="00507B07">
            <w:pPr>
              <w:rPr>
                <w:i/>
              </w:rPr>
            </w:pPr>
            <w:r>
              <w:rPr>
                <w:i/>
              </w:rPr>
              <w:t>Gavreto has provisional approval in Australia for the treatment of adult patients with locally advanced or metastatic rearranged during transfection (RET) fusion-positive non-small cell lung cancer (NSCLC).</w:t>
            </w:r>
          </w:p>
          <w:p w14:paraId="000000BC" w14:textId="77777777" w:rsidR="005D7E20" w:rsidRDefault="00507B07">
            <w:pPr>
              <w:rPr>
                <w:i/>
              </w:rPr>
            </w:pPr>
            <w:r>
              <w:rPr>
                <w:i/>
              </w:rPr>
              <w:t xml:space="preserve">The decision to approve this indication has been made </w:t>
            </w:r>
            <w:proofErr w:type="gramStart"/>
            <w:r>
              <w:rPr>
                <w:i/>
              </w:rPr>
              <w:t>on the basis of</w:t>
            </w:r>
            <w:proofErr w:type="gramEnd"/>
            <w:r>
              <w:rPr>
                <w:i/>
              </w:rPr>
              <w:t xml:space="preserve"> overall response rate (ORR) and duration of response (DOR) in single-arm trials. Continued approval of this indication depends on verification and description of benefit in confirmatory trials.</w:t>
            </w:r>
          </w:p>
        </w:tc>
      </w:tr>
      <w:tr w:rsidR="005D7E20" w14:paraId="73BD6C34" w14:textId="77777777">
        <w:tc>
          <w:tcPr>
            <w:tcW w:w="2861" w:type="dxa"/>
          </w:tcPr>
          <w:p w14:paraId="000000BD" w14:textId="77777777" w:rsidR="005D7E20" w:rsidRDefault="00507B07">
            <w:pPr>
              <w:rPr>
                <w:i/>
              </w:rPr>
            </w:pPr>
            <w:r>
              <w:rPr>
                <w:i/>
              </w:rPr>
              <w:t>Route of administration:</w:t>
            </w:r>
          </w:p>
        </w:tc>
        <w:tc>
          <w:tcPr>
            <w:tcW w:w="6209" w:type="dxa"/>
          </w:tcPr>
          <w:p w14:paraId="000000BE" w14:textId="77777777" w:rsidR="005D7E20" w:rsidRDefault="00507B07">
            <w:r>
              <w:t>Oral</w:t>
            </w:r>
          </w:p>
        </w:tc>
      </w:tr>
      <w:tr w:rsidR="005D7E20" w14:paraId="44ECFD21" w14:textId="77777777">
        <w:tc>
          <w:tcPr>
            <w:tcW w:w="2861" w:type="dxa"/>
          </w:tcPr>
          <w:p w14:paraId="000000BF" w14:textId="77777777" w:rsidR="005D7E20" w:rsidRDefault="00507B07">
            <w:pPr>
              <w:rPr>
                <w:i/>
              </w:rPr>
            </w:pPr>
            <w:r>
              <w:rPr>
                <w:i/>
              </w:rPr>
              <w:t>Dosage:</w:t>
            </w:r>
          </w:p>
        </w:tc>
        <w:tc>
          <w:tcPr>
            <w:tcW w:w="6209" w:type="dxa"/>
          </w:tcPr>
          <w:p w14:paraId="000000C0" w14:textId="77777777" w:rsidR="005D7E20" w:rsidRDefault="00507B07">
            <w:r>
              <w:t>The recommended dose of Gavreto for adults is 400 mg given orally, once daily.</w:t>
            </w:r>
          </w:p>
          <w:p w14:paraId="000000C1" w14:textId="77777777" w:rsidR="005D7E20" w:rsidRDefault="00507B07">
            <w:r>
              <w:t>For further information regarding dosage, refer to the Product Information.</w:t>
            </w:r>
          </w:p>
        </w:tc>
      </w:tr>
      <w:tr w:rsidR="005D7E20" w14:paraId="52B7A6BD" w14:textId="77777777">
        <w:tc>
          <w:tcPr>
            <w:tcW w:w="2861" w:type="dxa"/>
          </w:tcPr>
          <w:p w14:paraId="000000C2" w14:textId="77777777" w:rsidR="005D7E20" w:rsidRDefault="00507B07">
            <w:pPr>
              <w:rPr>
                <w:i/>
              </w:rPr>
            </w:pPr>
            <w:r>
              <w:rPr>
                <w:i/>
              </w:rPr>
              <w:t>Pregnancy category:</w:t>
            </w:r>
          </w:p>
        </w:tc>
        <w:tc>
          <w:tcPr>
            <w:tcW w:w="6209" w:type="dxa"/>
          </w:tcPr>
          <w:p w14:paraId="000000C3" w14:textId="77777777" w:rsidR="005D7E20" w:rsidRDefault="00507B07">
            <w:r>
              <w:t>D</w:t>
            </w:r>
          </w:p>
          <w:p w14:paraId="000000C4" w14:textId="77777777" w:rsidR="005D7E20" w:rsidRDefault="00507B07">
            <w:r>
              <w:t xml:space="preserve">Drugs which have caused, are suspected to have caused or may be expected to cause, an increased incidence of human fetal </w:t>
            </w:r>
            <w:r>
              <w:lastRenderedPageBreak/>
              <w:t>malformations or irreversible damage. These drugs may also have adverse pharmacological effects. Accompanying texts should be consulted for further details.</w:t>
            </w:r>
          </w:p>
          <w:p w14:paraId="000000C5" w14:textId="77777777" w:rsidR="005D7E20" w:rsidRDefault="00507B0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00000C6" w14:textId="77777777" w:rsidR="005D7E20" w:rsidRDefault="00507B07">
      <w:pPr>
        <w:pStyle w:val="Heading3"/>
      </w:pPr>
      <w:bookmarkStart w:id="4" w:name="_Toc148339729"/>
      <w:r>
        <w:lastRenderedPageBreak/>
        <w:t>Product background</w:t>
      </w:r>
      <w:bookmarkEnd w:id="4"/>
    </w:p>
    <w:p w14:paraId="000000C7" w14:textId="77777777" w:rsidR="005D7E20" w:rsidRDefault="00507B07">
      <w:r>
        <w:t>This AusPAR describes the submission by Roche Products Pty Limited (the sponsor) to register Gavreto (</w:t>
      </w:r>
      <w:proofErr w:type="spellStart"/>
      <w:r>
        <w:t>pralsetinib</w:t>
      </w:r>
      <w:proofErr w:type="spellEnd"/>
      <w:r>
        <w:t>) 100 mg, capsule, bottle for the following proposed indication:</w:t>
      </w:r>
      <w:r>
        <w:rPr>
          <w:vertAlign w:val="superscript"/>
        </w:rPr>
        <w:footnoteReference w:id="1"/>
      </w:r>
    </w:p>
    <w:p w14:paraId="000000C8" w14:textId="77777777" w:rsidR="005D7E20" w:rsidRDefault="00507B07">
      <w:pPr>
        <w:ind w:left="720"/>
        <w:rPr>
          <w:i/>
        </w:rPr>
      </w:pPr>
      <w:r>
        <w:rPr>
          <w:i/>
        </w:rPr>
        <w:t>Non-small cell lung cancer (NSCLC)</w:t>
      </w:r>
    </w:p>
    <w:p w14:paraId="000000C9" w14:textId="77777777" w:rsidR="005D7E20" w:rsidRDefault="00507B07">
      <w:pPr>
        <w:ind w:left="720"/>
        <w:rPr>
          <w:i/>
        </w:rPr>
      </w:pPr>
      <w:r>
        <w:rPr>
          <w:i/>
        </w:rPr>
        <w:t xml:space="preserve">Gavreto is indicated for the treatment of adult patients with RET-fusion positive, locally </w:t>
      </w:r>
      <w:proofErr w:type="gramStart"/>
      <w:r>
        <w:rPr>
          <w:i/>
        </w:rPr>
        <w:t>advanced</w:t>
      </w:r>
      <w:proofErr w:type="gramEnd"/>
      <w:r>
        <w:rPr>
          <w:i/>
        </w:rPr>
        <w:t xml:space="preserve"> or metastatic NSCLC.</w:t>
      </w:r>
    </w:p>
    <w:p w14:paraId="000000CA" w14:textId="77777777" w:rsidR="005D7E20" w:rsidRDefault="00507B07">
      <w:pPr>
        <w:pStyle w:val="Heading4"/>
      </w:pPr>
      <w:bookmarkStart w:id="5" w:name="_Toc148339730"/>
      <w:r>
        <w:t>Condition</w:t>
      </w:r>
      <w:bookmarkEnd w:id="5"/>
    </w:p>
    <w:p w14:paraId="000000CB" w14:textId="77777777" w:rsidR="005D7E20" w:rsidRDefault="00507B07">
      <w:r>
        <w:t xml:space="preserve">Metastatic non-small cell lung cancer (NSCLC) is a fatal, incurable disease, with a </w:t>
      </w:r>
      <w:proofErr w:type="gramStart"/>
      <w:r>
        <w:t>5 year</w:t>
      </w:r>
      <w:proofErr w:type="gramEnd"/>
      <w:r>
        <w:t xml:space="preserve"> survival of less than 10%. Gene rearrangements (fusions) in RET (rearranged during transfection) have been identified as oncogenic drivers in metastatic non-small cell lung cancer (NSCLC), at an incidence of 1 to 2%. RET fusions are most often found in adenocarcinoma histology and have been found to be associated with poor differentiation, solid </w:t>
      </w:r>
      <w:proofErr w:type="gramStart"/>
      <w:r>
        <w:t>subtype</w:t>
      </w:r>
      <w:proofErr w:type="gramEnd"/>
      <w:r>
        <w:t xml:space="preserve"> and smaller T stage (at least 3 cm) with N2;</w:t>
      </w:r>
      <w:r>
        <w:rPr>
          <w:vertAlign w:val="superscript"/>
        </w:rPr>
        <w:footnoteReference w:id="2"/>
      </w:r>
      <w:r>
        <w:t xml:space="preserve"> disease. Patients with RET fusion positive NSCLC tend to be non-smokers and younger than the general population with NSCLC. RET fusion is usually mutually exclusive to the mutations or rearrangements of other genes including </w:t>
      </w:r>
      <w:r>
        <w:rPr>
          <w:i/>
        </w:rPr>
        <w:t>EGFR</w:t>
      </w:r>
      <w:r>
        <w:t xml:space="preserve">, </w:t>
      </w:r>
      <w:r>
        <w:rPr>
          <w:i/>
        </w:rPr>
        <w:t>KRAS</w:t>
      </w:r>
      <w:r>
        <w:t xml:space="preserve">, </w:t>
      </w:r>
      <w:r>
        <w:rPr>
          <w:i/>
        </w:rPr>
        <w:t>ALK</w:t>
      </w:r>
      <w:r>
        <w:t xml:space="preserve"> and </w:t>
      </w:r>
      <w:r>
        <w:rPr>
          <w:i/>
        </w:rPr>
        <w:t>ERBB2</w:t>
      </w:r>
      <w:r>
        <w:t>.</w:t>
      </w:r>
    </w:p>
    <w:p w14:paraId="000000CC" w14:textId="77777777" w:rsidR="005D7E20" w:rsidRDefault="00507B07">
      <w:pPr>
        <w:pStyle w:val="Heading4"/>
      </w:pPr>
      <w:bookmarkStart w:id="6" w:name="_Toc148339731"/>
      <w:r>
        <w:t>Current treatment options</w:t>
      </w:r>
      <w:bookmarkEnd w:id="6"/>
    </w:p>
    <w:p w14:paraId="000000CD" w14:textId="77777777" w:rsidR="005D7E20" w:rsidRDefault="00507B07">
      <w:r>
        <w:t xml:space="preserve">International treatment guidelines recommend routine molecular testing and targeted agents as first line therapy for patients with actionable oncogenic drivers. In Australia, there are currently no therapies approved specifically for the treatment of patients with metastatic RET fusion positive NSCLC; treatment options for such patients include regimens used in an unselected population of patients with advanced NSCLC (that is, platinum </w:t>
      </w:r>
      <w:proofErr w:type="gramStart"/>
      <w:r>
        <w:t>doublet based</w:t>
      </w:r>
      <w:proofErr w:type="gramEnd"/>
      <w:r>
        <w:t xml:space="preserve"> chemotherapy and/or anti-programmed cell death ligand 1 (PD L1) antibody)</w:t>
      </w:r>
    </w:p>
    <w:p w14:paraId="000000CE" w14:textId="77777777" w:rsidR="005D7E20" w:rsidRDefault="00507B07">
      <w:r>
        <w:t xml:space="preserve">For treatment naïve patients, the highest overall response rates (ORRs) reported for platinum-based chemotherapy plus pembrolizumab (regardless of histology), and platinum-based chemotherapy plus atezolizumab (non-squamous NSCLC) range from 46% to 58%, with median DOR of approximately 11 months. For those who progress following </w:t>
      </w:r>
      <w:proofErr w:type="gramStart"/>
      <w:r>
        <w:t>platinum based</w:t>
      </w:r>
      <w:proofErr w:type="gramEnd"/>
      <w:r>
        <w:t xml:space="preserve"> chemotherapy, options include chemotherapy (for example, docetaxel) with reported ORR to 23% with median DOR in the range of 4 to 9 months, or single agent anti-PD L1 antibody if not received in the first line setting, associated with ORR of 14 to 20% with median DOR range of 16 </w:t>
      </w:r>
      <w:r>
        <w:lastRenderedPageBreak/>
        <w:t xml:space="preserve">to 17 months. Poor responses have been seen with checkpoint inhibitors in patients with </w:t>
      </w:r>
      <w:r>
        <w:rPr>
          <w:i/>
        </w:rPr>
        <w:t>ALK</w:t>
      </w:r>
      <w:r>
        <w:t>/</w:t>
      </w:r>
      <w:r>
        <w:rPr>
          <w:i/>
        </w:rPr>
        <w:t>EGFR</w:t>
      </w:r>
      <w:r>
        <w:t>/</w:t>
      </w:r>
      <w:r>
        <w:rPr>
          <w:i/>
        </w:rPr>
        <w:t>ROS</w:t>
      </w:r>
      <w:r>
        <w:t xml:space="preserve"> mutation positive and </w:t>
      </w:r>
      <w:r>
        <w:rPr>
          <w:i/>
        </w:rPr>
        <w:t>RET</w:t>
      </w:r>
      <w:r>
        <w:t xml:space="preserve"> fusion positive NSCLC, with an ORR of 0 to 6%, a best response of PD in 62% to 72% of patients, and progression free survival (PFS) of 2.1 to 3.4 months have been reported.</w:t>
      </w:r>
    </w:p>
    <w:p w14:paraId="000000CF" w14:textId="77777777" w:rsidR="005D7E20" w:rsidRDefault="00507B07">
      <w:r>
        <w:rPr>
          <w:i/>
        </w:rPr>
        <w:t>RET</w:t>
      </w:r>
      <w:r>
        <w:t xml:space="preserve"> tyrosine kinase inhibitors such as </w:t>
      </w:r>
      <w:proofErr w:type="spellStart"/>
      <w:r>
        <w:t>selpercatinib</w:t>
      </w:r>
      <w:proofErr w:type="spellEnd"/>
      <w:r>
        <w:t xml:space="preserve"> and </w:t>
      </w:r>
      <w:proofErr w:type="spellStart"/>
      <w:r>
        <w:t>pralsetinib</w:t>
      </w:r>
      <w:proofErr w:type="spellEnd"/>
      <w:r>
        <w:t xml:space="preserve"> have been approved in the US for the treatment of adult patients with </w:t>
      </w:r>
      <w:r>
        <w:rPr>
          <w:i/>
        </w:rPr>
        <w:t>RET</w:t>
      </w:r>
      <w:r>
        <w:t xml:space="preserve"> fusion positive metastatic NSCLC; both are also European Medicine Agency (EMA) approved (</w:t>
      </w:r>
      <w:proofErr w:type="spellStart"/>
      <w:r>
        <w:t>selpercatinib</w:t>
      </w:r>
      <w:proofErr w:type="spellEnd"/>
      <w:r>
        <w:t xml:space="preserve"> is indicated as monotherapy for the treatment of adults with advanced </w:t>
      </w:r>
      <w:r>
        <w:rPr>
          <w:i/>
        </w:rPr>
        <w:t>RET</w:t>
      </w:r>
      <w:r>
        <w:t xml:space="preserve"> fusion positive NSCLC following prior treatment with immunotherapy and/or platinum based chemotherapy, and </w:t>
      </w:r>
      <w:proofErr w:type="spellStart"/>
      <w:r>
        <w:t>pralsetinib</w:t>
      </w:r>
      <w:proofErr w:type="spellEnd"/>
      <w:r>
        <w:t xml:space="preserve"> for the treatment of adult patients with </w:t>
      </w:r>
      <w:r>
        <w:rPr>
          <w:i/>
        </w:rPr>
        <w:t>RET</w:t>
      </w:r>
      <w:r>
        <w:t xml:space="preserve"> fusion positive advanced metastatic NSCLC not previously treated with a </w:t>
      </w:r>
      <w:r>
        <w:rPr>
          <w:i/>
        </w:rPr>
        <w:t>RET</w:t>
      </w:r>
      <w:r>
        <w:t xml:space="preserve"> inhibitor).</w:t>
      </w:r>
    </w:p>
    <w:p w14:paraId="000000D0" w14:textId="77777777" w:rsidR="005D7E20" w:rsidRDefault="00507B07">
      <w:proofErr w:type="spellStart"/>
      <w:r>
        <w:t>Pralsetinib</w:t>
      </w:r>
      <w:proofErr w:type="spellEnd"/>
      <w:r>
        <w:t xml:space="preserve"> is an oral </w:t>
      </w:r>
      <w:r>
        <w:rPr>
          <w:i/>
        </w:rPr>
        <w:t>RET</w:t>
      </w:r>
      <w:r>
        <w:t xml:space="preserve"> tyrosine kinase inhibitor, with a proposed dose of 400 mg orally once daily on an empty stomach. The sponsor’s proposed indication for </w:t>
      </w:r>
      <w:proofErr w:type="spellStart"/>
      <w:r>
        <w:t>pralsetinib</w:t>
      </w:r>
      <w:proofErr w:type="spellEnd"/>
      <w:r>
        <w:t xml:space="preserve"> is ‘</w:t>
      </w:r>
      <w:r>
        <w:rPr>
          <w:i/>
        </w:rPr>
        <w:t>for the treatment of adult patients with RET-fusion positive, locally advanced or metastatic NSCLC</w:t>
      </w:r>
      <w:r>
        <w:t>’.</w:t>
      </w:r>
    </w:p>
    <w:p w14:paraId="000000D1" w14:textId="43EB0F82" w:rsidR="005D7E20" w:rsidRDefault="00507B07">
      <w:r>
        <w:t xml:space="preserve">This evaluation was facilitated through </w:t>
      </w:r>
      <w:hyperlink r:id="rId17">
        <w:r>
          <w:rPr>
            <w:color w:val="0000FF"/>
            <w:u w:val="single"/>
          </w:rPr>
          <w:t>Project Orbis</w:t>
        </w:r>
      </w:hyperlink>
      <w:r>
        <w:t xml:space="preserve">, an initiative of the United States Food and Drug Administration (FDA) Oncology </w:t>
      </w:r>
      <w:proofErr w:type="spellStart"/>
      <w:r>
        <w:t>Center</w:t>
      </w:r>
      <w:proofErr w:type="spellEnd"/>
      <w:r>
        <w:t xml:space="preserve"> of Excellence. Under this project, the FDA, Health Canada 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000000D2" w14:textId="77777777" w:rsidR="005D7E20" w:rsidRDefault="00507B07">
      <w:pPr>
        <w:pStyle w:val="Heading3"/>
      </w:pPr>
      <w:bookmarkStart w:id="7" w:name="_Toc148339732"/>
      <w:r>
        <w:t>Regulatory status</w:t>
      </w:r>
      <w:bookmarkEnd w:id="7"/>
    </w:p>
    <w:p w14:paraId="000000D3" w14:textId="77777777" w:rsidR="005D7E20" w:rsidRDefault="00507B07">
      <w:r>
        <w:t>This product is considered a new chemical entity medicine for Australian regulatory purposes.</w:t>
      </w:r>
    </w:p>
    <w:p w14:paraId="000000D4" w14:textId="77777777" w:rsidR="005D7E20" w:rsidRDefault="00507B07">
      <w:r>
        <w:t>At the time the TGA considered this submission, a similar submission had been approved in United States of America on 4 September 2020, European Union on 17 November 2021, Canada on 30 June 2021 and Switzerland on 12 August 2021. A similar submission was under consideration in Singapore.</w:t>
      </w:r>
    </w:p>
    <w:p w14:paraId="000000D5" w14:textId="77777777" w:rsidR="005D7E20" w:rsidRDefault="00507B07">
      <w:r>
        <w:t>The following table summarises these submissions and provides the indications where approved.</w:t>
      </w:r>
    </w:p>
    <w:p w14:paraId="000000D6" w14:textId="77777777" w:rsidR="005D7E20" w:rsidRDefault="00507B07">
      <w:pPr>
        <w:keepNext/>
        <w:pBdr>
          <w:top w:val="nil"/>
          <w:left w:val="nil"/>
          <w:bottom w:val="nil"/>
          <w:right w:val="nil"/>
          <w:between w:val="nil"/>
        </w:pBdr>
        <w:spacing w:before="120"/>
        <w:rPr>
          <w:b/>
          <w:color w:val="000000"/>
        </w:rPr>
      </w:pPr>
      <w:bookmarkStart w:id="8" w:name="_heading=h.1t3h5sf" w:colFirst="0" w:colLast="0"/>
      <w:bookmarkEnd w:id="8"/>
      <w:r>
        <w:rPr>
          <w:b/>
          <w:color w:val="000000"/>
        </w:rPr>
        <w:t>Table 1: International regulatory status</w:t>
      </w:r>
    </w:p>
    <w:tbl>
      <w:tblPr>
        <w:tblStyle w:val="TableTGAblue2023"/>
        <w:tblW w:w="8919" w:type="dxa"/>
        <w:tblLayout w:type="fixed"/>
        <w:tblLook w:val="04A0" w:firstRow="1" w:lastRow="0" w:firstColumn="1" w:lastColumn="0" w:noHBand="0" w:noVBand="1"/>
      </w:tblPr>
      <w:tblGrid>
        <w:gridCol w:w="2123"/>
        <w:gridCol w:w="2267"/>
        <w:gridCol w:w="4529"/>
      </w:tblGrid>
      <w:tr w:rsidR="005D7E20" w:rsidRPr="001823C5" w14:paraId="18721268" w14:textId="77777777" w:rsidTr="001823C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123" w:type="dxa"/>
          </w:tcPr>
          <w:p w14:paraId="000000D7" w14:textId="77777777" w:rsidR="005D7E20" w:rsidRPr="001823C5" w:rsidRDefault="00507B07">
            <w:pPr>
              <w:rPr>
                <w:rFonts w:ascii="Cambria" w:hAnsi="Cambria"/>
                <w:szCs w:val="22"/>
              </w:rPr>
            </w:pPr>
            <w:r w:rsidRPr="001823C5">
              <w:rPr>
                <w:rFonts w:ascii="Cambria" w:hAnsi="Cambria"/>
                <w:szCs w:val="22"/>
              </w:rPr>
              <w:t>Region</w:t>
            </w:r>
          </w:p>
        </w:tc>
        <w:tc>
          <w:tcPr>
            <w:tcW w:w="2267" w:type="dxa"/>
          </w:tcPr>
          <w:p w14:paraId="000000D8" w14:textId="77777777" w:rsidR="005D7E20" w:rsidRPr="001823C5" w:rsidRDefault="00507B07">
            <w:pP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szCs w:val="22"/>
              </w:rPr>
              <w:t>Status</w:t>
            </w:r>
          </w:p>
        </w:tc>
        <w:tc>
          <w:tcPr>
            <w:tcW w:w="4529" w:type="dxa"/>
          </w:tcPr>
          <w:p w14:paraId="000000D9" w14:textId="77777777" w:rsidR="005D7E20" w:rsidRPr="001823C5" w:rsidRDefault="00507B07">
            <w:pP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szCs w:val="22"/>
              </w:rPr>
              <w:t>Approved indications</w:t>
            </w:r>
          </w:p>
        </w:tc>
      </w:tr>
      <w:tr w:rsidR="005D7E20" w:rsidRPr="001823C5" w14:paraId="6B38EADB" w14:textId="77777777" w:rsidTr="001823C5">
        <w:trPr>
          <w:trHeight w:val="1216"/>
        </w:trPr>
        <w:tc>
          <w:tcPr>
            <w:cnfStyle w:val="001000000000" w:firstRow="0" w:lastRow="0" w:firstColumn="1" w:lastColumn="0" w:oddVBand="0" w:evenVBand="0" w:oddHBand="0" w:evenHBand="0" w:firstRowFirstColumn="0" w:firstRowLastColumn="0" w:lastRowFirstColumn="0" w:lastRowLastColumn="0"/>
            <w:tcW w:w="2123" w:type="dxa"/>
          </w:tcPr>
          <w:p w14:paraId="000000DA" w14:textId="77777777" w:rsidR="005D7E20" w:rsidRPr="001823C5" w:rsidRDefault="00507B07">
            <w:pPr>
              <w:rPr>
                <w:rFonts w:ascii="Cambria" w:hAnsi="Cambria"/>
                <w:sz w:val="22"/>
                <w:szCs w:val="22"/>
              </w:rPr>
            </w:pPr>
            <w:r w:rsidRPr="001823C5">
              <w:rPr>
                <w:rFonts w:ascii="Cambria" w:hAnsi="Cambria"/>
                <w:sz w:val="22"/>
                <w:szCs w:val="22"/>
              </w:rPr>
              <w:t>United States of America</w:t>
            </w:r>
          </w:p>
        </w:tc>
        <w:tc>
          <w:tcPr>
            <w:tcW w:w="2267" w:type="dxa"/>
          </w:tcPr>
          <w:p w14:paraId="000000DB"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Approved on 4 September 2020</w:t>
            </w:r>
          </w:p>
        </w:tc>
        <w:tc>
          <w:tcPr>
            <w:tcW w:w="4529" w:type="dxa"/>
          </w:tcPr>
          <w:p w14:paraId="000000D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1823C5">
              <w:rPr>
                <w:rFonts w:ascii="Cambria" w:hAnsi="Cambria"/>
                <w:i/>
                <w:sz w:val="22"/>
                <w:szCs w:val="22"/>
              </w:rPr>
              <w:t>Gavreto is indicated for the treatment of patients with metastatic RET fusion-positive non-small cell lung cancer (NSCLC)</w:t>
            </w:r>
          </w:p>
        </w:tc>
      </w:tr>
      <w:tr w:rsidR="005D7E20" w:rsidRPr="001823C5" w14:paraId="0196D3EA" w14:textId="77777777" w:rsidTr="001823C5">
        <w:trPr>
          <w:trHeight w:val="1757"/>
        </w:trPr>
        <w:tc>
          <w:tcPr>
            <w:cnfStyle w:val="001000000000" w:firstRow="0" w:lastRow="0" w:firstColumn="1" w:lastColumn="0" w:oddVBand="0" w:evenVBand="0" w:oddHBand="0" w:evenHBand="0" w:firstRowFirstColumn="0" w:firstRowLastColumn="0" w:lastRowFirstColumn="0" w:lastRowLastColumn="0"/>
            <w:tcW w:w="2123" w:type="dxa"/>
          </w:tcPr>
          <w:p w14:paraId="000000DD" w14:textId="77777777" w:rsidR="005D7E20" w:rsidRPr="001823C5" w:rsidRDefault="00507B07">
            <w:pPr>
              <w:rPr>
                <w:rFonts w:ascii="Cambria" w:hAnsi="Cambria"/>
                <w:sz w:val="22"/>
                <w:szCs w:val="22"/>
              </w:rPr>
            </w:pPr>
            <w:r w:rsidRPr="001823C5">
              <w:rPr>
                <w:rFonts w:ascii="Cambria" w:hAnsi="Cambria"/>
                <w:sz w:val="22"/>
                <w:szCs w:val="22"/>
              </w:rPr>
              <w:t>European Union</w:t>
            </w:r>
          </w:p>
        </w:tc>
        <w:tc>
          <w:tcPr>
            <w:tcW w:w="2267" w:type="dxa"/>
          </w:tcPr>
          <w:p w14:paraId="000000D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Approved on 17 November 2021</w:t>
            </w:r>
          </w:p>
        </w:tc>
        <w:tc>
          <w:tcPr>
            <w:tcW w:w="4529" w:type="dxa"/>
          </w:tcPr>
          <w:p w14:paraId="000000DF"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1823C5">
              <w:rPr>
                <w:rFonts w:ascii="Cambria" w:hAnsi="Cambria"/>
                <w:i/>
                <w:sz w:val="22"/>
                <w:szCs w:val="22"/>
              </w:rPr>
              <w:t>Gavreto is indicated as monotherapy for the treatment of adult patients with rearranged during transfection (RET) fusion-positive advanced non-small cell lung cancer (NSCLC) not previously treated with a RET inhibitor.</w:t>
            </w:r>
          </w:p>
        </w:tc>
      </w:tr>
      <w:tr w:rsidR="005D7E20" w:rsidRPr="001823C5" w14:paraId="124C7155" w14:textId="77777777" w:rsidTr="001823C5">
        <w:trPr>
          <w:trHeight w:val="1757"/>
        </w:trPr>
        <w:tc>
          <w:tcPr>
            <w:cnfStyle w:val="001000000000" w:firstRow="0" w:lastRow="0" w:firstColumn="1" w:lastColumn="0" w:oddVBand="0" w:evenVBand="0" w:oddHBand="0" w:evenHBand="0" w:firstRowFirstColumn="0" w:firstRowLastColumn="0" w:lastRowFirstColumn="0" w:lastRowLastColumn="0"/>
            <w:tcW w:w="2123" w:type="dxa"/>
          </w:tcPr>
          <w:p w14:paraId="000000E0" w14:textId="77777777" w:rsidR="005D7E20" w:rsidRPr="001823C5" w:rsidRDefault="00507B07">
            <w:pPr>
              <w:rPr>
                <w:rFonts w:ascii="Cambria" w:hAnsi="Cambria"/>
                <w:sz w:val="22"/>
                <w:szCs w:val="22"/>
              </w:rPr>
            </w:pPr>
            <w:r w:rsidRPr="001823C5">
              <w:rPr>
                <w:rFonts w:ascii="Cambria" w:hAnsi="Cambria"/>
                <w:sz w:val="22"/>
                <w:szCs w:val="22"/>
              </w:rPr>
              <w:lastRenderedPageBreak/>
              <w:t>Canada</w:t>
            </w:r>
          </w:p>
        </w:tc>
        <w:tc>
          <w:tcPr>
            <w:tcW w:w="2267" w:type="dxa"/>
          </w:tcPr>
          <w:p w14:paraId="000000E1"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Approved on 30 June 2021</w:t>
            </w:r>
          </w:p>
        </w:tc>
        <w:tc>
          <w:tcPr>
            <w:tcW w:w="4529" w:type="dxa"/>
          </w:tcPr>
          <w:p w14:paraId="000000E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1823C5">
              <w:rPr>
                <w:rFonts w:ascii="Cambria" w:hAnsi="Cambria"/>
                <w:i/>
                <w:sz w:val="22"/>
                <w:szCs w:val="22"/>
              </w:rPr>
              <w:t>Gavreto is indicated for the treatment of adult patients with rearranged during transfection (RET) fusion-positive locally advanced unresectable or metastatic non-small cell lung cancer (NSCLC).</w:t>
            </w:r>
          </w:p>
        </w:tc>
      </w:tr>
      <w:tr w:rsidR="005D7E20" w:rsidRPr="001823C5" w14:paraId="19A47BA3" w14:textId="77777777" w:rsidTr="001823C5">
        <w:trPr>
          <w:trHeight w:val="1757"/>
        </w:trPr>
        <w:tc>
          <w:tcPr>
            <w:cnfStyle w:val="001000000000" w:firstRow="0" w:lastRow="0" w:firstColumn="1" w:lastColumn="0" w:oddVBand="0" w:evenVBand="0" w:oddHBand="0" w:evenHBand="0" w:firstRowFirstColumn="0" w:firstRowLastColumn="0" w:lastRowFirstColumn="0" w:lastRowLastColumn="0"/>
            <w:tcW w:w="2123" w:type="dxa"/>
          </w:tcPr>
          <w:p w14:paraId="000000E3" w14:textId="77777777" w:rsidR="005D7E20" w:rsidRPr="001823C5" w:rsidRDefault="00507B07">
            <w:pPr>
              <w:rPr>
                <w:rFonts w:ascii="Cambria" w:hAnsi="Cambria"/>
                <w:sz w:val="22"/>
                <w:szCs w:val="22"/>
              </w:rPr>
            </w:pPr>
            <w:r w:rsidRPr="001823C5">
              <w:rPr>
                <w:rFonts w:ascii="Cambria" w:hAnsi="Cambria"/>
                <w:sz w:val="22"/>
                <w:szCs w:val="22"/>
              </w:rPr>
              <w:t>Switzerland</w:t>
            </w:r>
          </w:p>
        </w:tc>
        <w:tc>
          <w:tcPr>
            <w:tcW w:w="2267" w:type="dxa"/>
          </w:tcPr>
          <w:p w14:paraId="000000E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Approved 12 August 2021</w:t>
            </w:r>
          </w:p>
        </w:tc>
        <w:tc>
          <w:tcPr>
            <w:tcW w:w="4529" w:type="dxa"/>
          </w:tcPr>
          <w:p w14:paraId="000000E5"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1823C5">
              <w:rPr>
                <w:rFonts w:ascii="Cambria" w:hAnsi="Cambria"/>
                <w:i/>
                <w:sz w:val="22"/>
                <w:szCs w:val="22"/>
              </w:rPr>
              <w:t xml:space="preserve">Gavreto is indicated for the treatment of adult patients with metastatic RET fusion-positive (RET = </w:t>
            </w:r>
            <w:proofErr w:type="spellStart"/>
            <w:r w:rsidRPr="001823C5">
              <w:rPr>
                <w:rFonts w:ascii="Cambria" w:hAnsi="Cambria"/>
                <w:i/>
                <w:sz w:val="22"/>
                <w:szCs w:val="22"/>
              </w:rPr>
              <w:t>REarranged</w:t>
            </w:r>
            <w:proofErr w:type="spellEnd"/>
            <w:r w:rsidRPr="001823C5">
              <w:rPr>
                <w:rFonts w:ascii="Cambria" w:hAnsi="Cambria"/>
                <w:i/>
                <w:sz w:val="22"/>
                <w:szCs w:val="22"/>
              </w:rPr>
              <w:t xml:space="preserve"> during Transfection) non-small cell lung cancer (NSCLC) who require systemic therapy and who have experienced progression after prior treatment (see ‘Clinical efficacy’).</w:t>
            </w:r>
          </w:p>
        </w:tc>
      </w:tr>
      <w:tr w:rsidR="005D7E20" w:rsidRPr="001823C5" w14:paraId="5627CC35" w14:textId="77777777" w:rsidTr="001823C5">
        <w:trPr>
          <w:trHeight w:val="1757"/>
        </w:trPr>
        <w:tc>
          <w:tcPr>
            <w:cnfStyle w:val="001000000000" w:firstRow="0" w:lastRow="0" w:firstColumn="1" w:lastColumn="0" w:oddVBand="0" w:evenVBand="0" w:oddHBand="0" w:evenHBand="0" w:firstRowFirstColumn="0" w:firstRowLastColumn="0" w:lastRowFirstColumn="0" w:lastRowLastColumn="0"/>
            <w:tcW w:w="2123" w:type="dxa"/>
          </w:tcPr>
          <w:p w14:paraId="000000E6" w14:textId="77777777" w:rsidR="005D7E20" w:rsidRPr="001823C5" w:rsidRDefault="00507B07">
            <w:pPr>
              <w:rPr>
                <w:rFonts w:ascii="Cambria" w:hAnsi="Cambria"/>
                <w:sz w:val="22"/>
                <w:szCs w:val="22"/>
              </w:rPr>
            </w:pPr>
            <w:r w:rsidRPr="001823C5">
              <w:rPr>
                <w:rFonts w:ascii="Cambria" w:hAnsi="Cambria"/>
                <w:sz w:val="22"/>
                <w:szCs w:val="22"/>
              </w:rPr>
              <w:t>Singapore</w:t>
            </w:r>
          </w:p>
        </w:tc>
        <w:tc>
          <w:tcPr>
            <w:tcW w:w="2267" w:type="dxa"/>
          </w:tcPr>
          <w:p w14:paraId="000000E7"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 xml:space="preserve">Under consideration </w:t>
            </w:r>
          </w:p>
        </w:tc>
        <w:tc>
          <w:tcPr>
            <w:tcW w:w="4529" w:type="dxa"/>
          </w:tcPr>
          <w:p w14:paraId="000000E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Under consideration</w:t>
            </w:r>
          </w:p>
        </w:tc>
      </w:tr>
    </w:tbl>
    <w:p w14:paraId="000000E9" w14:textId="4F19DC5A" w:rsidR="005D7E20" w:rsidRDefault="00507B07">
      <w:bookmarkStart w:id="9" w:name="_heading=h.4d34og8" w:colFirst="0" w:colLast="0"/>
      <w:bookmarkEnd w:id="9"/>
      <w:r>
        <w:t xml:space="preserve">The following Post-marketing Requirements and commitments are noted in the new drug application (NDA) Multi-disciplinary Review (MRD)and evaluation at </w:t>
      </w:r>
      <w:hyperlink r:id="rId18">
        <w:r>
          <w:rPr>
            <w:color w:val="0000FF"/>
            <w:u w:val="single"/>
          </w:rPr>
          <w:t>https://www.accessdata.fda.gov/drugsatfda_docs/nda/2020/213721Orig1s000MultidisciplineR.pdf</w:t>
        </w:r>
      </w:hyperlink>
      <w:r>
        <w:rPr>
          <w:color w:val="0000FF"/>
          <w:u w:val="single"/>
        </w:rPr>
        <w:t xml:space="preserve"> </w:t>
      </w:r>
      <w:r>
        <w:t>(</w:t>
      </w:r>
      <w:proofErr w:type="spellStart"/>
      <w:r>
        <w:t>nb.</w:t>
      </w:r>
      <w:proofErr w:type="spellEnd"/>
      <w:r>
        <w:t xml:space="preserve"> conditions of registration for this </w:t>
      </w:r>
      <w:proofErr w:type="spellStart"/>
      <w:r>
        <w:t>submssion</w:t>
      </w:r>
      <w:proofErr w:type="spellEnd"/>
      <w:r>
        <w:t xml:space="preserve"> will be in alignment with these):</w:t>
      </w:r>
    </w:p>
    <w:p w14:paraId="000000EA" w14:textId="77777777" w:rsidR="005D7E20" w:rsidRDefault="00507B07">
      <w:r>
        <w:t xml:space="preserve">Clinical </w:t>
      </w:r>
      <w:proofErr w:type="spellStart"/>
      <w:r>
        <w:t>postmarketing</w:t>
      </w:r>
      <w:proofErr w:type="spellEnd"/>
      <w:r>
        <w:t xml:space="preserve"> requirements (PMRs):</w:t>
      </w:r>
    </w:p>
    <w:p w14:paraId="000000EB" w14:textId="77777777" w:rsidR="005D7E20" w:rsidRDefault="00507B07">
      <w:r>
        <w:rPr>
          <w:noProof/>
          <w:lang w:val="en-NZ"/>
        </w:rPr>
        <w:drawing>
          <wp:inline distT="0" distB="0" distL="0" distR="0" wp14:anchorId="7B98692E" wp14:editId="2107F53C">
            <wp:extent cx="3554995" cy="1183161"/>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554995" cy="1183161"/>
                    </a:xfrm>
                    <a:prstGeom prst="rect">
                      <a:avLst/>
                    </a:prstGeom>
                    <a:ln/>
                  </pic:spPr>
                </pic:pic>
              </a:graphicData>
            </a:graphic>
          </wp:inline>
        </w:drawing>
      </w:r>
    </w:p>
    <w:p w14:paraId="000000EC" w14:textId="77777777" w:rsidR="005D7E20" w:rsidRDefault="00507B07">
      <w:r>
        <w:rPr>
          <w:noProof/>
          <w:lang w:val="en-NZ"/>
        </w:rPr>
        <w:drawing>
          <wp:inline distT="0" distB="0" distL="0" distR="0" wp14:anchorId="4957CB73" wp14:editId="4824CDA6">
            <wp:extent cx="3638954" cy="887363"/>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638954" cy="887363"/>
                    </a:xfrm>
                    <a:prstGeom prst="rect">
                      <a:avLst/>
                    </a:prstGeom>
                    <a:ln/>
                  </pic:spPr>
                </pic:pic>
              </a:graphicData>
            </a:graphic>
          </wp:inline>
        </w:drawing>
      </w:r>
    </w:p>
    <w:p w14:paraId="000000ED" w14:textId="77777777" w:rsidR="005D7E20" w:rsidRDefault="00507B07">
      <w:r>
        <w:t>Clinical Pharmacology PMRs:</w:t>
      </w:r>
    </w:p>
    <w:p w14:paraId="000000EE" w14:textId="77777777" w:rsidR="005D7E20" w:rsidRDefault="00507B07">
      <w:r>
        <w:rPr>
          <w:noProof/>
          <w:lang w:val="en-NZ"/>
        </w:rPr>
        <w:drawing>
          <wp:inline distT="0" distB="0" distL="0" distR="0" wp14:anchorId="46F22F19" wp14:editId="5405AB19">
            <wp:extent cx="3576063" cy="74881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576063" cy="748810"/>
                    </a:xfrm>
                    <a:prstGeom prst="rect">
                      <a:avLst/>
                    </a:prstGeom>
                    <a:ln/>
                  </pic:spPr>
                </pic:pic>
              </a:graphicData>
            </a:graphic>
          </wp:inline>
        </w:drawing>
      </w:r>
      <w:r>
        <w:rPr>
          <w:noProof/>
          <w:lang w:val="en-NZ"/>
        </w:rPr>
        <w:drawing>
          <wp:inline distT="0" distB="0" distL="0" distR="0" wp14:anchorId="7881AFD3" wp14:editId="22433860">
            <wp:extent cx="3878149" cy="179097"/>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78149" cy="179097"/>
                    </a:xfrm>
                    <a:prstGeom prst="rect">
                      <a:avLst/>
                    </a:prstGeom>
                    <a:ln/>
                  </pic:spPr>
                </pic:pic>
              </a:graphicData>
            </a:graphic>
          </wp:inline>
        </w:drawing>
      </w:r>
    </w:p>
    <w:p w14:paraId="000000EF" w14:textId="77777777" w:rsidR="005D7E20" w:rsidRDefault="00507B07">
      <w:r>
        <w:rPr>
          <w:noProof/>
          <w:lang w:val="en-NZ"/>
        </w:rPr>
        <w:lastRenderedPageBreak/>
        <w:drawing>
          <wp:inline distT="0" distB="0" distL="0" distR="0" wp14:anchorId="07D68522" wp14:editId="4BBE1D0D">
            <wp:extent cx="3518669" cy="1043204"/>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518669" cy="1043204"/>
                    </a:xfrm>
                    <a:prstGeom prst="rect">
                      <a:avLst/>
                    </a:prstGeom>
                    <a:ln/>
                  </pic:spPr>
                </pic:pic>
              </a:graphicData>
            </a:graphic>
          </wp:inline>
        </w:drawing>
      </w:r>
    </w:p>
    <w:p w14:paraId="000000F0" w14:textId="77777777" w:rsidR="005D7E20" w:rsidRDefault="00507B07">
      <w:r>
        <w:rPr>
          <w:noProof/>
          <w:lang w:val="en-NZ"/>
        </w:rPr>
        <w:drawing>
          <wp:inline distT="0" distB="0" distL="0" distR="0" wp14:anchorId="576D624C" wp14:editId="1A60F100">
            <wp:extent cx="3613169" cy="1195717"/>
            <wp:effectExtent l="0" t="0" r="0" b="0"/>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613169" cy="1195717"/>
                    </a:xfrm>
                    <a:prstGeom prst="rect">
                      <a:avLst/>
                    </a:prstGeom>
                    <a:ln/>
                  </pic:spPr>
                </pic:pic>
              </a:graphicData>
            </a:graphic>
          </wp:inline>
        </w:drawing>
      </w:r>
    </w:p>
    <w:p w14:paraId="000000F1" w14:textId="77777777" w:rsidR="005D7E20" w:rsidRDefault="00507B07">
      <w:r>
        <w:rPr>
          <w:noProof/>
          <w:lang w:val="en-NZ"/>
        </w:rPr>
        <w:drawing>
          <wp:inline distT="0" distB="0" distL="0" distR="0" wp14:anchorId="140A5C5A" wp14:editId="6C85A9E1">
            <wp:extent cx="3673868" cy="984202"/>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673868" cy="984202"/>
                    </a:xfrm>
                    <a:prstGeom prst="rect">
                      <a:avLst/>
                    </a:prstGeom>
                    <a:ln/>
                  </pic:spPr>
                </pic:pic>
              </a:graphicData>
            </a:graphic>
          </wp:inline>
        </w:drawing>
      </w:r>
    </w:p>
    <w:p w14:paraId="000000F2" w14:textId="77777777" w:rsidR="005D7E20" w:rsidRDefault="00507B07">
      <w:r>
        <w:rPr>
          <w:noProof/>
          <w:lang w:val="en-NZ"/>
        </w:rPr>
        <w:drawing>
          <wp:inline distT="0" distB="0" distL="0" distR="0" wp14:anchorId="5ED31DFD" wp14:editId="6432597C">
            <wp:extent cx="3550349" cy="96724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550349" cy="967240"/>
                    </a:xfrm>
                    <a:prstGeom prst="rect">
                      <a:avLst/>
                    </a:prstGeom>
                    <a:ln/>
                  </pic:spPr>
                </pic:pic>
              </a:graphicData>
            </a:graphic>
          </wp:inline>
        </w:drawing>
      </w:r>
    </w:p>
    <w:p w14:paraId="000000F3" w14:textId="77777777" w:rsidR="005D7E20" w:rsidRDefault="00507B07">
      <w:r>
        <w:rPr>
          <w:noProof/>
          <w:lang w:val="en-NZ"/>
        </w:rPr>
        <w:drawing>
          <wp:inline distT="0" distB="0" distL="0" distR="0" wp14:anchorId="7A9FDD6F" wp14:editId="61FEE109">
            <wp:extent cx="738116" cy="11443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738116" cy="114436"/>
                    </a:xfrm>
                    <a:prstGeom prst="rect">
                      <a:avLst/>
                    </a:prstGeom>
                    <a:ln/>
                  </pic:spPr>
                </pic:pic>
              </a:graphicData>
            </a:graphic>
          </wp:inline>
        </w:drawing>
      </w:r>
    </w:p>
    <w:p w14:paraId="000000F4" w14:textId="77777777" w:rsidR="005D7E20" w:rsidRDefault="00507B07">
      <w:r>
        <w:rPr>
          <w:noProof/>
          <w:lang w:val="en-NZ"/>
        </w:rPr>
        <w:drawing>
          <wp:inline distT="0" distB="0" distL="0" distR="0" wp14:anchorId="0A0BFDE6" wp14:editId="09181C0D">
            <wp:extent cx="3683561" cy="903138"/>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683561" cy="903138"/>
                    </a:xfrm>
                    <a:prstGeom prst="rect">
                      <a:avLst/>
                    </a:prstGeom>
                    <a:ln/>
                  </pic:spPr>
                </pic:pic>
              </a:graphicData>
            </a:graphic>
          </wp:inline>
        </w:drawing>
      </w:r>
    </w:p>
    <w:p w14:paraId="000000F5" w14:textId="77777777" w:rsidR="005D7E20" w:rsidRDefault="00507B07">
      <w:r>
        <w:t xml:space="preserve">Clinical </w:t>
      </w:r>
      <w:proofErr w:type="spellStart"/>
      <w:r>
        <w:t>Postmarketing</w:t>
      </w:r>
      <w:proofErr w:type="spellEnd"/>
      <w:r>
        <w:t xml:space="preserve"> </w:t>
      </w:r>
      <w:proofErr w:type="gramStart"/>
      <w:r>
        <w:t>commitments(</w:t>
      </w:r>
      <w:proofErr w:type="gramEnd"/>
      <w:r>
        <w:t>PMC):</w:t>
      </w:r>
    </w:p>
    <w:p w14:paraId="000000F6" w14:textId="77777777" w:rsidR="005D7E20" w:rsidRDefault="00507B07">
      <w:r>
        <w:rPr>
          <w:noProof/>
          <w:lang w:val="en-NZ"/>
        </w:rPr>
        <w:drawing>
          <wp:inline distT="0" distB="0" distL="0" distR="0" wp14:anchorId="7CF8DABD" wp14:editId="71EC7174">
            <wp:extent cx="3689350" cy="672797"/>
            <wp:effectExtent l="0" t="0" r="0" b="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689350" cy="672797"/>
                    </a:xfrm>
                    <a:prstGeom prst="rect">
                      <a:avLst/>
                    </a:prstGeom>
                    <a:ln/>
                  </pic:spPr>
                </pic:pic>
              </a:graphicData>
            </a:graphic>
          </wp:inline>
        </w:drawing>
      </w:r>
    </w:p>
    <w:p w14:paraId="000000F7" w14:textId="77777777" w:rsidR="005D7E20" w:rsidRDefault="00507B07">
      <w:r>
        <w:t>Clinical Pharmacology PMC:</w:t>
      </w:r>
    </w:p>
    <w:p w14:paraId="000000F8" w14:textId="77777777" w:rsidR="005D7E20" w:rsidRDefault="00507B07">
      <w:r>
        <w:rPr>
          <w:noProof/>
          <w:lang w:val="en-NZ"/>
        </w:rPr>
        <w:drawing>
          <wp:inline distT="0" distB="0" distL="0" distR="0" wp14:anchorId="16C96575" wp14:editId="4745E5C9">
            <wp:extent cx="3747189" cy="1154962"/>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3747189" cy="1154962"/>
                    </a:xfrm>
                    <a:prstGeom prst="rect">
                      <a:avLst/>
                    </a:prstGeom>
                    <a:ln/>
                  </pic:spPr>
                </pic:pic>
              </a:graphicData>
            </a:graphic>
          </wp:inline>
        </w:drawing>
      </w:r>
    </w:p>
    <w:p w14:paraId="000000F9" w14:textId="77777777" w:rsidR="005D7E20" w:rsidRDefault="00507B07">
      <w:pPr>
        <w:pStyle w:val="Heading3"/>
      </w:pPr>
      <w:bookmarkStart w:id="10" w:name="_Toc148339733"/>
      <w:r>
        <w:lastRenderedPageBreak/>
        <w:t>Product Information</w:t>
      </w:r>
      <w:bookmarkEnd w:id="10"/>
    </w:p>
    <w:p w14:paraId="000000FA" w14:textId="60262241" w:rsidR="005D7E20" w:rsidRDefault="00507B07">
      <w:bookmarkStart w:id="11" w:name="_heading=h.17dp8vu" w:colFirst="0" w:colLast="0"/>
      <w:bookmarkEnd w:id="11"/>
      <w:r>
        <w:t xml:space="preserve">The </w:t>
      </w:r>
      <w:hyperlink r:id="rId31">
        <w:r>
          <w:rPr>
            <w:color w:val="0000FF"/>
            <w:u w:val="single"/>
          </w:rPr>
          <w:t>Product Information</w:t>
        </w:r>
      </w:hyperlink>
      <w:r>
        <w:t xml:space="preserve"> (</w:t>
      </w:r>
      <w:hyperlink r:id="rId32">
        <w:r>
          <w:rPr>
            <w:color w:val="0000FF"/>
            <w:u w:val="single"/>
          </w:rPr>
          <w:t>PI</w:t>
        </w:r>
      </w:hyperlink>
      <w:r>
        <w:t xml:space="preserve">) approved with the submission which is described in this AusPAR can be found as Attachment 1. For the most recent PI and </w:t>
      </w:r>
      <w:hyperlink r:id="rId33">
        <w:r>
          <w:rPr>
            <w:color w:val="0000FF"/>
            <w:u w:val="single"/>
          </w:rPr>
          <w:t>Consumer Medicines Information</w:t>
        </w:r>
      </w:hyperlink>
      <w:r>
        <w:t xml:space="preserve"> (CMI), please refer to the TGA </w:t>
      </w:r>
      <w:hyperlink r:id="rId34">
        <w:r>
          <w:rPr>
            <w:color w:val="0000FF"/>
            <w:u w:val="single"/>
          </w:rPr>
          <w:t>PI/CMI search facility.</w:t>
        </w:r>
      </w:hyperlink>
    </w:p>
    <w:p w14:paraId="000000FB" w14:textId="77777777" w:rsidR="005D7E20" w:rsidRDefault="00507B07">
      <w:pPr>
        <w:pStyle w:val="Heading2"/>
      </w:pPr>
      <w:bookmarkStart w:id="12" w:name="_Toc148339734"/>
      <w:r>
        <w:t>Registration timeline</w:t>
      </w:r>
      <w:bookmarkEnd w:id="12"/>
    </w:p>
    <w:p w14:paraId="000000FC" w14:textId="77777777" w:rsidR="005D7E20" w:rsidRDefault="00507B07">
      <w:r>
        <w:t>The following table captures the key steps and dates for this submission.</w:t>
      </w:r>
    </w:p>
    <w:p w14:paraId="000000FD" w14:textId="519F2B9A" w:rsidR="005D7E20" w:rsidRDefault="00507B07">
      <w:r>
        <w:t xml:space="preserve">This submission was evaluated under the </w:t>
      </w:r>
      <w:hyperlink r:id="rId35">
        <w:r>
          <w:rPr>
            <w:color w:val="0000FF"/>
            <w:u w:val="single"/>
          </w:rPr>
          <w:t>provisional registration process</w:t>
        </w:r>
      </w:hyperlink>
      <w:r>
        <w:t>.</w:t>
      </w:r>
    </w:p>
    <w:p w14:paraId="000000FE" w14:textId="77777777" w:rsidR="005D7E20" w:rsidRDefault="00507B07">
      <w:pPr>
        <w:keepNext/>
        <w:pBdr>
          <w:top w:val="nil"/>
          <w:left w:val="nil"/>
          <w:bottom w:val="nil"/>
          <w:right w:val="nil"/>
          <w:between w:val="nil"/>
        </w:pBdr>
        <w:spacing w:before="120"/>
        <w:rPr>
          <w:b/>
          <w:color w:val="000000"/>
        </w:rPr>
      </w:pPr>
      <w:r>
        <w:rPr>
          <w:b/>
          <w:color w:val="000000"/>
        </w:rPr>
        <w:t xml:space="preserve">Table </w:t>
      </w:r>
      <w:r>
        <w:rPr>
          <w:color w:val="000000"/>
        </w:rPr>
        <w:t>2</w:t>
      </w:r>
      <w:r>
        <w:rPr>
          <w:b/>
          <w:color w:val="000000"/>
        </w:rPr>
        <w:t>: Timeline for Submission PM-2021-05760-1-4</w:t>
      </w:r>
    </w:p>
    <w:tbl>
      <w:tblPr>
        <w:tblStyle w:val="TableTGAblue2023"/>
        <w:tblW w:w="8642" w:type="dxa"/>
        <w:tblLayout w:type="fixed"/>
        <w:tblLook w:val="04A0" w:firstRow="1" w:lastRow="0" w:firstColumn="1" w:lastColumn="0" w:noHBand="0" w:noVBand="1"/>
      </w:tblPr>
      <w:tblGrid>
        <w:gridCol w:w="5524"/>
        <w:gridCol w:w="3118"/>
      </w:tblGrid>
      <w:tr w:rsidR="005D7E20" w:rsidRPr="001823C5" w14:paraId="4FD1E0FC" w14:textId="77777777" w:rsidTr="00D63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00000FF" w14:textId="77777777" w:rsidR="005D7E20" w:rsidRPr="001823C5" w:rsidRDefault="00507B07">
            <w:pPr>
              <w:rPr>
                <w:rFonts w:ascii="Cambria" w:hAnsi="Cambria"/>
                <w:szCs w:val="22"/>
              </w:rPr>
            </w:pPr>
            <w:r w:rsidRPr="001823C5">
              <w:rPr>
                <w:rFonts w:ascii="Cambria" w:hAnsi="Cambria"/>
                <w:szCs w:val="22"/>
              </w:rPr>
              <w:t>Description</w:t>
            </w:r>
          </w:p>
        </w:tc>
        <w:tc>
          <w:tcPr>
            <w:tcW w:w="3118" w:type="dxa"/>
          </w:tcPr>
          <w:p w14:paraId="00000100" w14:textId="77777777" w:rsidR="005D7E20" w:rsidRPr="001823C5" w:rsidRDefault="00507B07">
            <w:pPr>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szCs w:val="22"/>
              </w:rPr>
              <w:t>Date</w:t>
            </w:r>
          </w:p>
        </w:tc>
      </w:tr>
      <w:tr w:rsidR="005D7E20" w:rsidRPr="001823C5" w14:paraId="41B10FE5"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1" w14:textId="77777777" w:rsidR="005D7E20" w:rsidRPr="001823C5" w:rsidRDefault="00507B07">
            <w:pPr>
              <w:pBdr>
                <w:top w:val="nil"/>
                <w:left w:val="nil"/>
                <w:bottom w:val="nil"/>
                <w:right w:val="nil"/>
                <w:between w:val="nil"/>
              </w:pBdr>
              <w:spacing w:before="120" w:after="120" w:line="259" w:lineRule="auto"/>
              <w:ind w:left="0"/>
              <w:rPr>
                <w:rFonts w:ascii="Cambria" w:hAnsi="Cambria"/>
                <w:color w:val="007099"/>
                <w:sz w:val="22"/>
                <w:szCs w:val="22"/>
              </w:rPr>
            </w:pPr>
            <w:r w:rsidRPr="001823C5">
              <w:rPr>
                <w:rFonts w:ascii="Cambria" w:hAnsi="Cambria"/>
                <w:sz w:val="22"/>
                <w:szCs w:val="22"/>
              </w:rPr>
              <w:t>Determination (Provisional)</w:t>
            </w:r>
          </w:p>
        </w:tc>
        <w:tc>
          <w:tcPr>
            <w:tcW w:w="3118" w:type="dxa"/>
          </w:tcPr>
          <w:p w14:paraId="0000010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29 November 2021</w:t>
            </w:r>
          </w:p>
        </w:tc>
      </w:tr>
      <w:tr w:rsidR="005D7E20" w:rsidRPr="001823C5" w14:paraId="40BB90B2"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3" w14:textId="77777777" w:rsidR="005D7E20" w:rsidRPr="001823C5" w:rsidRDefault="00507B07">
            <w:pPr>
              <w:rPr>
                <w:rFonts w:ascii="Cambria" w:hAnsi="Cambria"/>
                <w:sz w:val="22"/>
                <w:szCs w:val="22"/>
              </w:rPr>
            </w:pPr>
            <w:r w:rsidRPr="001823C5">
              <w:rPr>
                <w:rFonts w:ascii="Cambria" w:hAnsi="Cambria"/>
                <w:sz w:val="22"/>
                <w:szCs w:val="22"/>
              </w:rPr>
              <w:t>Submission dossier accepted and first round evaluation commenced</w:t>
            </w:r>
          </w:p>
        </w:tc>
        <w:tc>
          <w:tcPr>
            <w:tcW w:w="3118" w:type="dxa"/>
          </w:tcPr>
          <w:p w14:paraId="0000010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31 January 2022</w:t>
            </w:r>
          </w:p>
        </w:tc>
      </w:tr>
      <w:tr w:rsidR="005D7E20" w:rsidRPr="001823C5" w14:paraId="76AAC198"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5" w14:textId="77777777" w:rsidR="005D7E20" w:rsidRPr="001823C5" w:rsidRDefault="00507B07">
            <w:pPr>
              <w:rPr>
                <w:rFonts w:ascii="Cambria" w:hAnsi="Cambria"/>
                <w:sz w:val="22"/>
                <w:szCs w:val="22"/>
              </w:rPr>
            </w:pPr>
            <w:r w:rsidRPr="001823C5">
              <w:rPr>
                <w:rFonts w:ascii="Cambria" w:hAnsi="Cambria"/>
                <w:sz w:val="22"/>
                <w:szCs w:val="22"/>
              </w:rPr>
              <w:t>First round evaluation completed</w:t>
            </w:r>
          </w:p>
        </w:tc>
        <w:tc>
          <w:tcPr>
            <w:tcW w:w="3118" w:type="dxa"/>
          </w:tcPr>
          <w:p w14:paraId="0000010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30 June 2022</w:t>
            </w:r>
          </w:p>
        </w:tc>
      </w:tr>
      <w:tr w:rsidR="005D7E20" w:rsidRPr="001823C5" w14:paraId="0FD1E89F"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7" w14:textId="77777777" w:rsidR="005D7E20" w:rsidRPr="001823C5" w:rsidRDefault="00507B07">
            <w:pPr>
              <w:rPr>
                <w:rFonts w:ascii="Cambria" w:hAnsi="Cambria"/>
                <w:sz w:val="22"/>
                <w:szCs w:val="22"/>
              </w:rPr>
            </w:pPr>
            <w:r w:rsidRPr="001823C5">
              <w:rPr>
                <w:rFonts w:ascii="Cambria" w:hAnsi="Cambria"/>
                <w:sz w:val="22"/>
                <w:szCs w:val="22"/>
              </w:rPr>
              <w:t>Sponsor provides responses on questions raised in first round evaluation</w:t>
            </w:r>
          </w:p>
        </w:tc>
        <w:tc>
          <w:tcPr>
            <w:tcW w:w="3118" w:type="dxa"/>
          </w:tcPr>
          <w:p w14:paraId="00000108"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30 August 2022</w:t>
            </w:r>
          </w:p>
        </w:tc>
      </w:tr>
      <w:tr w:rsidR="005D7E20" w:rsidRPr="001823C5" w14:paraId="02D5CDBE"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9" w14:textId="77777777" w:rsidR="005D7E20" w:rsidRPr="001823C5" w:rsidRDefault="00507B07">
            <w:pPr>
              <w:rPr>
                <w:rFonts w:ascii="Cambria" w:hAnsi="Cambria"/>
                <w:sz w:val="22"/>
                <w:szCs w:val="22"/>
              </w:rPr>
            </w:pPr>
            <w:r w:rsidRPr="001823C5">
              <w:rPr>
                <w:rFonts w:ascii="Cambria" w:hAnsi="Cambria"/>
                <w:sz w:val="22"/>
                <w:szCs w:val="22"/>
              </w:rPr>
              <w:t>Second round evaluation completed</w:t>
            </w:r>
          </w:p>
        </w:tc>
        <w:tc>
          <w:tcPr>
            <w:tcW w:w="3118" w:type="dxa"/>
          </w:tcPr>
          <w:p w14:paraId="0000010A"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5 October 2022</w:t>
            </w:r>
          </w:p>
        </w:tc>
      </w:tr>
      <w:tr w:rsidR="005D7E20" w:rsidRPr="001823C5" w14:paraId="5F42AB6B"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B" w14:textId="77777777" w:rsidR="005D7E20" w:rsidRPr="001823C5" w:rsidRDefault="00507B07">
            <w:pPr>
              <w:rPr>
                <w:rFonts w:ascii="Cambria" w:hAnsi="Cambria"/>
                <w:sz w:val="22"/>
                <w:szCs w:val="22"/>
              </w:rPr>
            </w:pPr>
            <w:r w:rsidRPr="001823C5">
              <w:rPr>
                <w:rFonts w:ascii="Cambria" w:hAnsi="Cambria"/>
                <w:sz w:val="22"/>
                <w:szCs w:val="22"/>
              </w:rPr>
              <w:t>Delegate’s Overall benefit-risk assessment and request for Advisory Committee advice</w:t>
            </w:r>
          </w:p>
        </w:tc>
        <w:tc>
          <w:tcPr>
            <w:tcW w:w="3118" w:type="dxa"/>
          </w:tcPr>
          <w:p w14:paraId="0000010C"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25 October 2022</w:t>
            </w:r>
          </w:p>
        </w:tc>
      </w:tr>
      <w:tr w:rsidR="005D7E20" w:rsidRPr="001823C5" w14:paraId="1BB706F6"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D" w14:textId="77777777" w:rsidR="005D7E20" w:rsidRPr="001823C5" w:rsidRDefault="00507B07">
            <w:pPr>
              <w:rPr>
                <w:rFonts w:ascii="Cambria" w:hAnsi="Cambria"/>
                <w:sz w:val="22"/>
                <w:szCs w:val="22"/>
              </w:rPr>
            </w:pPr>
            <w:r w:rsidRPr="001823C5">
              <w:rPr>
                <w:rFonts w:ascii="Cambria" w:hAnsi="Cambria"/>
                <w:sz w:val="22"/>
                <w:szCs w:val="22"/>
              </w:rPr>
              <w:t>Sponsor’s pre-Advisory Committee response</w:t>
            </w:r>
          </w:p>
        </w:tc>
        <w:tc>
          <w:tcPr>
            <w:tcW w:w="3118" w:type="dxa"/>
          </w:tcPr>
          <w:p w14:paraId="0000010E"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15 November 2022</w:t>
            </w:r>
          </w:p>
        </w:tc>
      </w:tr>
      <w:tr w:rsidR="005D7E20" w:rsidRPr="001823C5" w14:paraId="5792C2BD"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0F" w14:textId="77777777" w:rsidR="005D7E20" w:rsidRPr="001823C5" w:rsidRDefault="00507B07">
            <w:pPr>
              <w:rPr>
                <w:rFonts w:ascii="Cambria" w:hAnsi="Cambria"/>
                <w:sz w:val="22"/>
                <w:szCs w:val="22"/>
              </w:rPr>
            </w:pPr>
            <w:r w:rsidRPr="001823C5">
              <w:rPr>
                <w:rFonts w:ascii="Cambria" w:hAnsi="Cambria"/>
                <w:sz w:val="22"/>
                <w:szCs w:val="22"/>
              </w:rPr>
              <w:t>Advisory Committee meeting</w:t>
            </w:r>
          </w:p>
        </w:tc>
        <w:tc>
          <w:tcPr>
            <w:tcW w:w="3118" w:type="dxa"/>
          </w:tcPr>
          <w:p w14:paraId="00000110"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1 December 2022</w:t>
            </w:r>
          </w:p>
        </w:tc>
      </w:tr>
      <w:tr w:rsidR="005D7E20" w:rsidRPr="001823C5" w14:paraId="3445AF6B"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11" w14:textId="77777777" w:rsidR="005D7E20" w:rsidRPr="001823C5" w:rsidRDefault="00507B07">
            <w:pPr>
              <w:rPr>
                <w:rFonts w:ascii="Cambria" w:hAnsi="Cambria"/>
                <w:sz w:val="22"/>
                <w:szCs w:val="22"/>
              </w:rPr>
            </w:pPr>
            <w:r w:rsidRPr="001823C5">
              <w:rPr>
                <w:rFonts w:ascii="Cambria" w:hAnsi="Cambria"/>
                <w:sz w:val="22"/>
                <w:szCs w:val="22"/>
              </w:rPr>
              <w:t>Registration decision (Outcome)</w:t>
            </w:r>
          </w:p>
        </w:tc>
        <w:tc>
          <w:tcPr>
            <w:tcW w:w="3118" w:type="dxa"/>
          </w:tcPr>
          <w:p w14:paraId="00000112"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29 March 2023</w:t>
            </w:r>
          </w:p>
        </w:tc>
      </w:tr>
      <w:tr w:rsidR="005D7E20" w:rsidRPr="001823C5" w14:paraId="70675EC8"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13" w14:textId="77777777" w:rsidR="005D7E20" w:rsidRPr="001823C5" w:rsidRDefault="00507B07">
            <w:pPr>
              <w:rPr>
                <w:rFonts w:ascii="Cambria" w:hAnsi="Cambria"/>
                <w:sz w:val="22"/>
                <w:szCs w:val="22"/>
              </w:rPr>
            </w:pPr>
            <w:r w:rsidRPr="001823C5">
              <w:rPr>
                <w:rFonts w:ascii="Cambria" w:hAnsi="Cambria"/>
                <w:sz w:val="22"/>
                <w:szCs w:val="22"/>
              </w:rPr>
              <w:t>Administrative activities and registration on the ARTG completed</w:t>
            </w:r>
          </w:p>
        </w:tc>
        <w:tc>
          <w:tcPr>
            <w:tcW w:w="3118" w:type="dxa"/>
          </w:tcPr>
          <w:p w14:paraId="00000114"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29 March 2023</w:t>
            </w:r>
          </w:p>
        </w:tc>
      </w:tr>
      <w:tr w:rsidR="005D7E20" w:rsidRPr="001823C5" w14:paraId="48AC005D" w14:textId="77777777" w:rsidTr="00D63D0E">
        <w:tc>
          <w:tcPr>
            <w:cnfStyle w:val="001000000000" w:firstRow="0" w:lastRow="0" w:firstColumn="1" w:lastColumn="0" w:oddVBand="0" w:evenVBand="0" w:oddHBand="0" w:evenHBand="0" w:firstRowFirstColumn="0" w:firstRowLastColumn="0" w:lastRowFirstColumn="0" w:lastRowLastColumn="0"/>
            <w:tcW w:w="5524" w:type="dxa"/>
          </w:tcPr>
          <w:p w14:paraId="00000115" w14:textId="77777777" w:rsidR="005D7E20" w:rsidRPr="001823C5" w:rsidRDefault="00507B07">
            <w:pPr>
              <w:rPr>
                <w:rFonts w:ascii="Cambria" w:hAnsi="Cambria"/>
                <w:sz w:val="22"/>
                <w:szCs w:val="22"/>
              </w:rPr>
            </w:pPr>
            <w:r w:rsidRPr="001823C5">
              <w:rPr>
                <w:rFonts w:ascii="Cambria" w:hAnsi="Cambria"/>
                <w:sz w:val="22"/>
                <w:szCs w:val="22"/>
              </w:rPr>
              <w:t>Number of working days from submission dossier acceptance to registration decision*</w:t>
            </w:r>
          </w:p>
        </w:tc>
        <w:tc>
          <w:tcPr>
            <w:tcW w:w="3118" w:type="dxa"/>
          </w:tcPr>
          <w:p w14:paraId="00000116" w14:textId="77777777" w:rsidR="005D7E20" w:rsidRPr="001823C5" w:rsidRDefault="00507B07">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242</w:t>
            </w:r>
          </w:p>
        </w:tc>
      </w:tr>
    </w:tbl>
    <w:p w14:paraId="00000117" w14:textId="77777777" w:rsidR="005D7E20" w:rsidRDefault="00507B07">
      <w:pPr>
        <w:pBdr>
          <w:top w:val="nil"/>
          <w:left w:val="nil"/>
          <w:bottom w:val="nil"/>
          <w:right w:val="nil"/>
          <w:between w:val="nil"/>
        </w:pBdr>
        <w:spacing w:before="120" w:line="240" w:lineRule="auto"/>
        <w:rPr>
          <w:color w:val="000000"/>
          <w:sz w:val="18"/>
          <w:szCs w:val="18"/>
        </w:rPr>
      </w:pPr>
      <w:r>
        <w:rPr>
          <w:color w:val="000000"/>
          <w:sz w:val="18"/>
          <w:szCs w:val="18"/>
        </w:rPr>
        <w:t>*Statutory timeframe for standard submissions is 255 working days</w:t>
      </w:r>
    </w:p>
    <w:p w14:paraId="00000118" w14:textId="77777777" w:rsidR="005D7E20" w:rsidRDefault="00507B07">
      <w:pPr>
        <w:pStyle w:val="Heading2"/>
      </w:pPr>
      <w:bookmarkStart w:id="13" w:name="_Toc148339735"/>
      <w:r>
        <w:t>Submission overview and risk/benefit assessment</w:t>
      </w:r>
      <w:bookmarkEnd w:id="13"/>
    </w:p>
    <w:p w14:paraId="00000119" w14:textId="77777777" w:rsidR="005D7E20" w:rsidRDefault="00507B07">
      <w:bookmarkStart w:id="14" w:name="_heading=h.lnxbz9" w:colFirst="0" w:colLast="0"/>
      <w:bookmarkEnd w:id="14"/>
      <w:r>
        <w:t>This section is a TGA summary of wording used in TGA’s evaluation report, which discussed numerous aspects of overseas evaluation reports and included some information that was commercial-in-confidence.</w:t>
      </w:r>
    </w:p>
    <w:p w14:paraId="0000011A" w14:textId="77777777" w:rsidR="005D7E20" w:rsidRDefault="00507B07">
      <w:pPr>
        <w:pStyle w:val="Heading3"/>
      </w:pPr>
      <w:bookmarkStart w:id="15" w:name="_Toc148339736"/>
      <w:r>
        <w:lastRenderedPageBreak/>
        <w:t>Quality</w:t>
      </w:r>
      <w:bookmarkEnd w:id="15"/>
    </w:p>
    <w:p w14:paraId="0000011B" w14:textId="604754DD" w:rsidR="005D7E20" w:rsidRDefault="00507B07">
      <w:proofErr w:type="spellStart"/>
      <w:r>
        <w:t>Pralsetinib</w:t>
      </w:r>
      <w:proofErr w:type="spellEnd"/>
      <w:r>
        <w:t xml:space="preserve"> is an oral tyrosine kinase inhibitor, targeting </w:t>
      </w:r>
      <w:r>
        <w:rPr>
          <w:i/>
        </w:rPr>
        <w:t>RET</w:t>
      </w:r>
      <w:r>
        <w:t xml:space="preserve"> fusions and mutations. It is structurally related to other tyrosine kinase inhibitors such as imatinib, </w:t>
      </w:r>
      <w:proofErr w:type="spellStart"/>
      <w:r>
        <w:t>mobocertinib</w:t>
      </w:r>
      <w:proofErr w:type="spellEnd"/>
      <w:r>
        <w:t xml:space="preserve"> (succinate) and</w:t>
      </w:r>
      <w:r w:rsidR="001823C5">
        <w:t xml:space="preserve"> </w:t>
      </w:r>
      <w:proofErr w:type="spellStart"/>
      <w:proofErr w:type="gramStart"/>
      <w:r w:rsidR="001823C5">
        <w:t>ceritinib</w:t>
      </w:r>
      <w:proofErr w:type="spellEnd"/>
      <w:r w:rsidR="001823C5">
        <w:t>(</w:t>
      </w:r>
      <w:proofErr w:type="gramEnd"/>
      <w:r>
        <w:t>not registered in Australia).</w:t>
      </w:r>
    </w:p>
    <w:p w14:paraId="0000011C" w14:textId="77777777" w:rsidR="005D7E20" w:rsidRDefault="00507B07">
      <w:r>
        <w:t>The maximum daily dose is 400 mg (4 x 100 mg) orally once daily. They are taken in the fasted state with the Product Information (PI) instructing ‘</w:t>
      </w:r>
      <w:r>
        <w:rPr>
          <w:i/>
        </w:rPr>
        <w:t>not to eat for at least 2 hours before and 1 hour after taking Gavreto</w:t>
      </w:r>
      <w:r>
        <w:t>’. The capsules must be swallowed whole and must not be opened or chewed. The capsules will be packaged in bottles with child-resistant closures. Pack sizes are 60, 90 and 120 capsules.</w:t>
      </w:r>
    </w:p>
    <w:p w14:paraId="0000011D" w14:textId="77777777" w:rsidR="005D7E20" w:rsidRDefault="00507B07">
      <w:r>
        <w:t xml:space="preserve">There are no monographs for </w:t>
      </w:r>
      <w:proofErr w:type="spellStart"/>
      <w:r>
        <w:t>pralsetinib</w:t>
      </w:r>
      <w:proofErr w:type="spellEnd"/>
      <w:r>
        <w:t xml:space="preserve"> in the </w:t>
      </w:r>
      <w:proofErr w:type="spellStart"/>
      <w:r>
        <w:t>british</w:t>
      </w:r>
      <w:proofErr w:type="spellEnd"/>
      <w:r>
        <w:t xml:space="preserve"> pharmacopoeia or United States Pharmacopeia. The tradename Gavreto is acceptable.</w:t>
      </w:r>
    </w:p>
    <w:p w14:paraId="0000011E" w14:textId="77777777" w:rsidR="005D7E20" w:rsidRDefault="00507B07" w:rsidP="00D63D0E">
      <w:pPr>
        <w:pStyle w:val="FigureTitle"/>
      </w:pPr>
      <w:r>
        <w:t xml:space="preserve">Figure 1: Chemical structure of </w:t>
      </w:r>
      <w:proofErr w:type="spellStart"/>
      <w:r>
        <w:t>pralsetinib</w:t>
      </w:r>
      <w:proofErr w:type="spellEnd"/>
    </w:p>
    <w:p w14:paraId="0000011F" w14:textId="77777777" w:rsidR="005D7E20" w:rsidRDefault="00507B07">
      <w:r>
        <w:rPr>
          <w:b/>
          <w:noProof/>
          <w:color w:val="84B4DF"/>
          <w:lang w:val="en-NZ"/>
        </w:rPr>
        <w:drawing>
          <wp:inline distT="0" distB="0" distL="0" distR="0" wp14:anchorId="5F8D3745" wp14:editId="478E3772">
            <wp:extent cx="2336418" cy="2651924"/>
            <wp:effectExtent l="0" t="0" r="0" b="0"/>
            <wp:docPr id="44" name="image11.png" descr="Chemical structure of pralsetinib"/>
            <wp:cNvGraphicFramePr/>
            <a:graphic xmlns:a="http://schemas.openxmlformats.org/drawingml/2006/main">
              <a:graphicData uri="http://schemas.openxmlformats.org/drawingml/2006/picture">
                <pic:pic xmlns:pic="http://schemas.openxmlformats.org/drawingml/2006/picture">
                  <pic:nvPicPr>
                    <pic:cNvPr id="0" name="image11.png" descr="Chemical structure of pralsetinib"/>
                    <pic:cNvPicPr preferRelativeResize="0"/>
                  </pic:nvPicPr>
                  <pic:blipFill>
                    <a:blip r:embed="rId36"/>
                    <a:srcRect/>
                    <a:stretch>
                      <a:fillRect/>
                    </a:stretch>
                  </pic:blipFill>
                  <pic:spPr>
                    <a:xfrm>
                      <a:off x="0" y="0"/>
                      <a:ext cx="2336418" cy="2651924"/>
                    </a:xfrm>
                    <a:prstGeom prst="rect">
                      <a:avLst/>
                    </a:prstGeom>
                    <a:ln/>
                  </pic:spPr>
                </pic:pic>
              </a:graphicData>
            </a:graphic>
          </wp:inline>
        </w:drawing>
      </w:r>
    </w:p>
    <w:p w14:paraId="00000120" w14:textId="77777777" w:rsidR="005D7E20" w:rsidRDefault="00507B07">
      <w:pPr>
        <w:pStyle w:val="Heading3"/>
      </w:pPr>
      <w:bookmarkStart w:id="16" w:name="_Toc148339737"/>
      <w:r>
        <w:t>Nonclinical</w:t>
      </w:r>
      <w:bookmarkEnd w:id="16"/>
    </w:p>
    <w:p w14:paraId="00000121" w14:textId="77777777" w:rsidR="005D7E20" w:rsidRDefault="00507B07">
      <w:bookmarkStart w:id="17" w:name="_heading=h.44sinio" w:colFirst="0" w:colLast="0"/>
      <w:bookmarkEnd w:id="17"/>
      <w:r>
        <w:t>The submitted nonclinical dossier was in accordance with the relevant International Conference on Harmonisation of Technical Requirements (ICH) guideline for the nonclinical assessment of anticancer pharmaceuticals.</w:t>
      </w:r>
      <w:r>
        <w:rPr>
          <w:vertAlign w:val="superscript"/>
        </w:rPr>
        <w:footnoteReference w:id="3"/>
      </w:r>
      <w:r>
        <w:t xml:space="preserve"> The overall quality of the nonclinical dossier was high. All pivotal safety-related studies were Good Laboratory Practices (GLP) compliant.</w:t>
      </w:r>
    </w:p>
    <w:p w14:paraId="00000122" w14:textId="77777777" w:rsidR="005D7E20" w:rsidRDefault="00507B07">
      <w:r>
        <w:t xml:space="preserve">No major nonclinical deficiencies were identified. </w:t>
      </w:r>
    </w:p>
    <w:p w14:paraId="00000123" w14:textId="77777777" w:rsidR="005D7E20" w:rsidRDefault="00507B07">
      <w:r>
        <w:t xml:space="preserve">Primary pharmacology studies demonstrated nonclinical efficacy for the intended target of </w:t>
      </w:r>
      <w:r>
        <w:rPr>
          <w:i/>
        </w:rPr>
        <w:t>RET</w:t>
      </w:r>
      <w:r>
        <w:t xml:space="preserve">-related kinases and support the use of </w:t>
      </w:r>
      <w:proofErr w:type="spellStart"/>
      <w:r>
        <w:t>pralsetinib</w:t>
      </w:r>
      <w:proofErr w:type="spellEnd"/>
      <w:r>
        <w:t xml:space="preserve"> for the proposed indications.</w:t>
      </w:r>
    </w:p>
    <w:p w14:paraId="00000124" w14:textId="77777777" w:rsidR="005D7E20" w:rsidRDefault="00507B07">
      <w:r>
        <w:t xml:space="preserve">Off-target inhibitory activity of </w:t>
      </w:r>
      <w:proofErr w:type="spellStart"/>
      <w:r>
        <w:t>pralsetinib</w:t>
      </w:r>
      <w:proofErr w:type="spellEnd"/>
      <w:r>
        <w:t xml:space="preserve"> was observed against </w:t>
      </w:r>
      <w:proofErr w:type="gramStart"/>
      <w:r>
        <w:t>a number of</w:t>
      </w:r>
      <w:proofErr w:type="gramEnd"/>
      <w:r>
        <w:t xml:space="preserve"> other kinases at clinically relevant concentrations – notably JAK2, FGFR1, FLT1/VEGFR1 and MLK2/MAP3K10 – which explain some of the toxicities observed in animal studies.</w:t>
      </w:r>
    </w:p>
    <w:p w14:paraId="00000125" w14:textId="77777777" w:rsidR="005D7E20" w:rsidRDefault="00507B07">
      <w:r>
        <w:t xml:space="preserve">Major targets of </w:t>
      </w:r>
      <w:proofErr w:type="spellStart"/>
      <w:r>
        <w:t>pralsetinib</w:t>
      </w:r>
      <w:proofErr w:type="spellEnd"/>
      <w:r>
        <w:t>-related toxicity included:</w:t>
      </w:r>
    </w:p>
    <w:p w14:paraId="00000126" w14:textId="77777777" w:rsidR="005D7E20" w:rsidRDefault="00507B07">
      <w:pPr>
        <w:numPr>
          <w:ilvl w:val="0"/>
          <w:numId w:val="6"/>
        </w:numPr>
        <w:pBdr>
          <w:top w:val="nil"/>
          <w:left w:val="nil"/>
          <w:bottom w:val="nil"/>
          <w:right w:val="nil"/>
          <w:between w:val="nil"/>
        </w:pBdr>
        <w:spacing w:before="120" w:after="180"/>
      </w:pPr>
      <w:r>
        <w:rPr>
          <w:color w:val="000000"/>
        </w:rPr>
        <w:t>Gastrointestinal tract</w:t>
      </w:r>
    </w:p>
    <w:p w14:paraId="00000127" w14:textId="77777777" w:rsidR="005D7E20" w:rsidRDefault="00507B07">
      <w:pPr>
        <w:numPr>
          <w:ilvl w:val="0"/>
          <w:numId w:val="6"/>
        </w:numPr>
        <w:pBdr>
          <w:top w:val="nil"/>
          <w:left w:val="nil"/>
          <w:bottom w:val="nil"/>
          <w:right w:val="nil"/>
          <w:between w:val="nil"/>
        </w:pBdr>
        <w:spacing w:before="120" w:after="180"/>
      </w:pPr>
      <w:r>
        <w:rPr>
          <w:color w:val="000000"/>
        </w:rPr>
        <w:lastRenderedPageBreak/>
        <w:t>Bone and teeth (which may have clinical relevance to patients younger than 18 years).</w:t>
      </w:r>
    </w:p>
    <w:p w14:paraId="00000128" w14:textId="77777777" w:rsidR="005D7E20" w:rsidRDefault="00507B07">
      <w:pPr>
        <w:numPr>
          <w:ilvl w:val="0"/>
          <w:numId w:val="6"/>
        </w:numPr>
        <w:pBdr>
          <w:top w:val="nil"/>
          <w:left w:val="nil"/>
          <w:bottom w:val="nil"/>
          <w:right w:val="nil"/>
          <w:between w:val="nil"/>
        </w:pBdr>
        <w:spacing w:before="120" w:after="180"/>
      </w:pPr>
      <w:r>
        <w:rPr>
          <w:color w:val="000000"/>
        </w:rPr>
        <w:t>Lungs</w:t>
      </w:r>
    </w:p>
    <w:p w14:paraId="00000129" w14:textId="77777777" w:rsidR="005D7E20" w:rsidRDefault="00507B07">
      <w:pPr>
        <w:numPr>
          <w:ilvl w:val="0"/>
          <w:numId w:val="6"/>
        </w:numPr>
        <w:pBdr>
          <w:top w:val="nil"/>
          <w:left w:val="nil"/>
          <w:bottom w:val="nil"/>
          <w:right w:val="nil"/>
          <w:between w:val="nil"/>
        </w:pBdr>
        <w:spacing w:before="120" w:after="180"/>
      </w:pPr>
      <w:r>
        <w:rPr>
          <w:color w:val="000000"/>
        </w:rPr>
        <w:t>Lymphoid tissue (bone marrow, thymus, spleen)</w:t>
      </w:r>
    </w:p>
    <w:p w14:paraId="0000012A" w14:textId="77777777" w:rsidR="005D7E20" w:rsidRDefault="00507B07">
      <w:pPr>
        <w:numPr>
          <w:ilvl w:val="0"/>
          <w:numId w:val="6"/>
        </w:numPr>
        <w:pBdr>
          <w:top w:val="nil"/>
          <w:left w:val="nil"/>
          <w:bottom w:val="nil"/>
          <w:right w:val="nil"/>
          <w:between w:val="nil"/>
        </w:pBdr>
        <w:spacing w:before="120" w:after="180"/>
      </w:pPr>
      <w:r>
        <w:rPr>
          <w:color w:val="000000"/>
        </w:rPr>
        <w:t xml:space="preserve">Reproductive tissue </w:t>
      </w:r>
    </w:p>
    <w:p w14:paraId="0000012B" w14:textId="77777777" w:rsidR="005D7E20" w:rsidRDefault="00507B07">
      <w:r>
        <w:t>There are no nonclinical objections to the registration of Gavreto for the proposed indications.</w:t>
      </w:r>
    </w:p>
    <w:p w14:paraId="0000012C" w14:textId="77777777" w:rsidR="005D7E20" w:rsidRDefault="00507B07">
      <w:pPr>
        <w:pStyle w:val="Heading3"/>
      </w:pPr>
      <w:bookmarkStart w:id="18" w:name="_Toc148339738"/>
      <w:r>
        <w:t>Clinical</w:t>
      </w:r>
      <w:bookmarkEnd w:id="18"/>
    </w:p>
    <w:p w14:paraId="0000012D" w14:textId="77777777" w:rsidR="005D7E20" w:rsidRDefault="00507B07">
      <w:pPr>
        <w:pStyle w:val="Heading4"/>
      </w:pPr>
      <w:bookmarkStart w:id="19" w:name="_Toc148339739"/>
      <w:r>
        <w:t>Pharmacology</w:t>
      </w:r>
      <w:bookmarkEnd w:id="19"/>
    </w:p>
    <w:p w14:paraId="0000012E" w14:textId="77777777" w:rsidR="005D7E20" w:rsidRDefault="00507B07">
      <w:pPr>
        <w:pStyle w:val="Heading5"/>
      </w:pPr>
      <w:r>
        <w:t>Key findings from clinical pharmacology assessment</w:t>
      </w:r>
    </w:p>
    <w:p w14:paraId="0000012F" w14:textId="77777777" w:rsidR="005D7E20" w:rsidRDefault="00507B07">
      <w:r>
        <w:t xml:space="preserve">The clinical pharmacology package provided has been reviewed, including the following studies and data analyses: single- and repeat-dose pharmacokinetics (PK) studies of </w:t>
      </w:r>
      <w:proofErr w:type="spellStart"/>
      <w:r>
        <w:t>pralsetinib</w:t>
      </w:r>
      <w:proofErr w:type="spellEnd"/>
      <w:r>
        <w:t xml:space="preserve"> in healthy subjects and cancer patients, a mass balance study, a food effect study, drug-drug interaction studies with itraconazole, </w:t>
      </w:r>
      <w:proofErr w:type="spellStart"/>
      <w:r>
        <w:t>rifampin</w:t>
      </w:r>
      <w:proofErr w:type="spellEnd"/>
      <w:r>
        <w:t xml:space="preserve"> and esomeprazole, a QTc prolongation assessment,</w:t>
      </w:r>
      <w:r>
        <w:rPr>
          <w:vertAlign w:val="superscript"/>
        </w:rPr>
        <w:footnoteReference w:id="4"/>
      </w:r>
      <w:r>
        <w:t xml:space="preserve"> exposure response analyses for efficacy and safety, and population PK analyses.</w:t>
      </w:r>
    </w:p>
    <w:p w14:paraId="00000130" w14:textId="77777777" w:rsidR="005D7E20" w:rsidRDefault="00507B07">
      <w:r>
        <w:t xml:space="preserve">Clinical pharmacology studies (food effect, mass-balance, drug-drug interaction) in healthy subjects together with results from the pivotal study in patients with NSCLC were used to describe absorption, distribution, metabolism, and excretion properties and effects of intrinsic and extrinsic factors that may impact on </w:t>
      </w:r>
      <w:proofErr w:type="spellStart"/>
      <w:r>
        <w:t>pralsetinib</w:t>
      </w:r>
      <w:proofErr w:type="spellEnd"/>
      <w:r>
        <w:t xml:space="preserve"> PK, as follows:</w:t>
      </w:r>
    </w:p>
    <w:p w14:paraId="00000131" w14:textId="77777777" w:rsidR="005D7E20" w:rsidRDefault="00507B07">
      <w:pPr>
        <w:pStyle w:val="Heading6"/>
      </w:pPr>
      <w:r>
        <w:t>Pharmacokinetics</w:t>
      </w:r>
    </w:p>
    <w:p w14:paraId="00000132" w14:textId="77777777" w:rsidR="005D7E20" w:rsidRDefault="00507B07">
      <w:pPr>
        <w:numPr>
          <w:ilvl w:val="0"/>
          <w:numId w:val="6"/>
        </w:numPr>
        <w:pBdr>
          <w:top w:val="nil"/>
          <w:left w:val="nil"/>
          <w:bottom w:val="nil"/>
          <w:right w:val="nil"/>
          <w:between w:val="nil"/>
        </w:pBdr>
        <w:spacing w:before="120" w:after="180"/>
      </w:pPr>
      <w:r>
        <w:rPr>
          <w:color w:val="000000"/>
        </w:rPr>
        <w:t>Absorption:</w:t>
      </w:r>
    </w:p>
    <w:p w14:paraId="00000133" w14:textId="77777777" w:rsidR="005D7E20" w:rsidRDefault="00507B07">
      <w:pPr>
        <w:numPr>
          <w:ilvl w:val="1"/>
          <w:numId w:val="6"/>
        </w:numPr>
        <w:pBdr>
          <w:top w:val="nil"/>
          <w:left w:val="nil"/>
          <w:bottom w:val="nil"/>
          <w:right w:val="nil"/>
          <w:between w:val="nil"/>
        </w:pBdr>
        <w:spacing w:before="120" w:after="180"/>
      </w:pPr>
      <w:r>
        <w:rPr>
          <w:color w:val="000000"/>
        </w:rPr>
        <w:t>median time after administration of a drug when the maximum plasma concentration is reached (</w:t>
      </w:r>
      <w:proofErr w:type="spellStart"/>
      <w:r>
        <w:rPr>
          <w:color w:val="000000"/>
        </w:rPr>
        <w:t>T</w:t>
      </w:r>
      <w:r>
        <w:rPr>
          <w:color w:val="000000"/>
          <w:vertAlign w:val="subscript"/>
        </w:rPr>
        <w:t>max</w:t>
      </w:r>
      <w:proofErr w:type="spellEnd"/>
      <w:r>
        <w:rPr>
          <w:color w:val="000000"/>
        </w:rPr>
        <w:t>) = 4hrs (single dose administration, steady state)</w:t>
      </w:r>
    </w:p>
    <w:p w14:paraId="00000134" w14:textId="77777777" w:rsidR="005D7E20" w:rsidRDefault="00507B07">
      <w:pPr>
        <w:numPr>
          <w:ilvl w:val="0"/>
          <w:numId w:val="6"/>
        </w:numPr>
        <w:pBdr>
          <w:top w:val="nil"/>
          <w:left w:val="nil"/>
          <w:bottom w:val="nil"/>
          <w:right w:val="nil"/>
          <w:between w:val="nil"/>
        </w:pBdr>
        <w:spacing w:before="120" w:after="180"/>
      </w:pPr>
      <w:r>
        <w:rPr>
          <w:color w:val="000000"/>
        </w:rPr>
        <w:t>Distribution:</w:t>
      </w:r>
    </w:p>
    <w:p w14:paraId="00000135" w14:textId="77777777" w:rsidR="005D7E20" w:rsidRDefault="00507B07">
      <w:pPr>
        <w:numPr>
          <w:ilvl w:val="1"/>
          <w:numId w:val="6"/>
        </w:numPr>
        <w:pBdr>
          <w:top w:val="nil"/>
          <w:left w:val="nil"/>
          <w:bottom w:val="nil"/>
          <w:right w:val="nil"/>
          <w:between w:val="nil"/>
        </w:pBdr>
        <w:spacing w:before="120" w:after="180"/>
      </w:pPr>
      <w:r>
        <w:rPr>
          <w:color w:val="000000"/>
        </w:rPr>
        <w:t xml:space="preserve">plasma protein binding = 97.1% </w:t>
      </w:r>
    </w:p>
    <w:p w14:paraId="00000136" w14:textId="6E27E863" w:rsidR="001823C5" w:rsidRDefault="00507B07">
      <w:pPr>
        <w:numPr>
          <w:ilvl w:val="1"/>
          <w:numId w:val="6"/>
        </w:numPr>
        <w:pBdr>
          <w:top w:val="nil"/>
          <w:left w:val="nil"/>
          <w:bottom w:val="nil"/>
          <w:right w:val="nil"/>
          <w:between w:val="nil"/>
        </w:pBdr>
        <w:spacing w:before="120" w:after="180"/>
        <w:rPr>
          <w:color w:val="000000"/>
        </w:rPr>
      </w:pPr>
      <w:r>
        <w:rPr>
          <w:color w:val="000000"/>
        </w:rPr>
        <w:t xml:space="preserve">geometric mean </w:t>
      </w:r>
      <w:sdt>
        <w:sdtPr>
          <w:tag w:val="goog_rdk_4"/>
          <w:id w:val="-1981215874"/>
        </w:sdtPr>
        <w:sdtEndPr/>
        <w:sdtContent/>
      </w:sdt>
      <w:proofErr w:type="spellStart"/>
      <w:r>
        <w:rPr>
          <w:color w:val="000000"/>
        </w:rPr>
        <w:t>V</w:t>
      </w:r>
      <w:r w:rsidR="00F96FDF">
        <w:rPr>
          <w:color w:val="000000"/>
          <w:vertAlign w:val="subscript"/>
        </w:rPr>
        <w:t>z</w:t>
      </w:r>
      <w:proofErr w:type="spellEnd"/>
      <w:r>
        <w:rPr>
          <w:color w:val="000000"/>
        </w:rPr>
        <w:t>/F = 228 L after single dose administration and 268 L at steady state</w:t>
      </w:r>
    </w:p>
    <w:p w14:paraId="5051D367" w14:textId="1FED7C40" w:rsidR="005D7E20" w:rsidRPr="001823C5" w:rsidRDefault="001823C5" w:rsidP="001823C5">
      <w:pPr>
        <w:rPr>
          <w:color w:val="000000"/>
        </w:rPr>
      </w:pPr>
      <w:r>
        <w:rPr>
          <w:color w:val="000000"/>
        </w:rPr>
        <w:br w:type="page"/>
      </w:r>
    </w:p>
    <w:p w14:paraId="00000137" w14:textId="77777777" w:rsidR="005D7E20" w:rsidRDefault="00507B07">
      <w:pPr>
        <w:numPr>
          <w:ilvl w:val="0"/>
          <w:numId w:val="6"/>
        </w:numPr>
        <w:pBdr>
          <w:top w:val="nil"/>
          <w:left w:val="nil"/>
          <w:bottom w:val="nil"/>
          <w:right w:val="nil"/>
          <w:between w:val="nil"/>
        </w:pBdr>
        <w:spacing w:before="120" w:after="180"/>
      </w:pPr>
      <w:r>
        <w:rPr>
          <w:color w:val="000000"/>
        </w:rPr>
        <w:lastRenderedPageBreak/>
        <w:t>Metabolism and elimination:</w:t>
      </w:r>
    </w:p>
    <w:p w14:paraId="00000138" w14:textId="77777777" w:rsidR="005D7E20" w:rsidRDefault="00507B07">
      <w:pPr>
        <w:numPr>
          <w:ilvl w:val="1"/>
          <w:numId w:val="6"/>
        </w:numPr>
        <w:pBdr>
          <w:top w:val="nil"/>
          <w:left w:val="nil"/>
          <w:bottom w:val="nil"/>
          <w:right w:val="nil"/>
          <w:between w:val="nil"/>
        </w:pBdr>
        <w:spacing w:before="120" w:after="180"/>
      </w:pPr>
      <w:r>
        <w:rPr>
          <w:color w:val="000000"/>
        </w:rPr>
        <w:t>Metabolism is mainly mediated by CYP3A4,</w:t>
      </w:r>
      <w:r>
        <w:rPr>
          <w:color w:val="000000"/>
          <w:vertAlign w:val="superscript"/>
        </w:rPr>
        <w:footnoteReference w:id="5"/>
      </w:r>
      <w:r>
        <w:rPr>
          <w:color w:val="000000"/>
        </w:rPr>
        <w:t xml:space="preserve"> and</w:t>
      </w:r>
      <w:sdt>
        <w:sdtPr>
          <w:tag w:val="goog_rdk_5"/>
          <w:id w:val="-1862655011"/>
        </w:sdtPr>
        <w:sdtEndPr/>
        <w:sdtContent>
          <w:r>
            <w:rPr>
              <w:color w:val="000000"/>
            </w:rPr>
            <w:t xml:space="preserve"> to a</w:t>
          </w:r>
        </w:sdtContent>
      </w:sdt>
      <w:r>
        <w:rPr>
          <w:color w:val="000000"/>
        </w:rPr>
        <w:t xml:space="preserve"> lesser extent by CYP2D6 and CYP1A2 (Phase I) and UGT1A4 (Phase II).</w:t>
      </w:r>
    </w:p>
    <w:p w14:paraId="00000139" w14:textId="77777777" w:rsidR="005D7E20" w:rsidRDefault="00507B07">
      <w:pPr>
        <w:numPr>
          <w:ilvl w:val="1"/>
          <w:numId w:val="6"/>
        </w:numPr>
        <w:pBdr>
          <w:top w:val="nil"/>
          <w:left w:val="nil"/>
          <w:bottom w:val="nil"/>
          <w:right w:val="nil"/>
          <w:between w:val="nil"/>
        </w:pBdr>
        <w:spacing w:before="120" w:after="180"/>
      </w:pPr>
      <w:r>
        <w:rPr>
          <w:color w:val="000000"/>
        </w:rPr>
        <w:t xml:space="preserve">Unchanged </w:t>
      </w:r>
      <w:proofErr w:type="spellStart"/>
      <w:r>
        <w:rPr>
          <w:color w:val="000000"/>
        </w:rPr>
        <w:t>pralsetinib</w:t>
      </w:r>
      <w:proofErr w:type="spellEnd"/>
      <w:r>
        <w:rPr>
          <w:color w:val="000000"/>
        </w:rPr>
        <w:t xml:space="preserve"> is the predominant component in plasma, </w:t>
      </w:r>
      <w:proofErr w:type="gramStart"/>
      <w:r>
        <w:rPr>
          <w:color w:val="000000"/>
        </w:rPr>
        <w:t>urine</w:t>
      </w:r>
      <w:proofErr w:type="gramEnd"/>
      <w:r>
        <w:rPr>
          <w:color w:val="000000"/>
        </w:rPr>
        <w:t xml:space="preserve"> and faeces, while its metabolites from oxidation and glucuronidation are detected in small amounts (about 5%)</w:t>
      </w:r>
    </w:p>
    <w:p w14:paraId="0000013A" w14:textId="77777777" w:rsidR="005D7E20" w:rsidRDefault="00507B07">
      <w:pPr>
        <w:numPr>
          <w:ilvl w:val="1"/>
          <w:numId w:val="6"/>
        </w:numPr>
        <w:pBdr>
          <w:top w:val="nil"/>
          <w:left w:val="nil"/>
          <w:bottom w:val="nil"/>
          <w:right w:val="nil"/>
          <w:between w:val="nil"/>
        </w:pBdr>
        <w:spacing w:before="120" w:after="180"/>
      </w:pPr>
      <w:r>
        <w:rPr>
          <w:color w:val="000000"/>
        </w:rPr>
        <w:t xml:space="preserve">Excretion in faeces (72.5%) is major elimination pathway for </w:t>
      </w:r>
      <w:proofErr w:type="spellStart"/>
      <w:r>
        <w:rPr>
          <w:color w:val="000000"/>
        </w:rPr>
        <w:t>pralsetinib</w:t>
      </w:r>
      <w:proofErr w:type="spellEnd"/>
      <w:r>
        <w:rPr>
          <w:color w:val="000000"/>
        </w:rPr>
        <w:t xml:space="preserve"> potentially via hepatobiliary and gastrointestinal secretion</w:t>
      </w:r>
    </w:p>
    <w:p w14:paraId="0000013B" w14:textId="77777777" w:rsidR="005D7E20" w:rsidRDefault="00507B07">
      <w:pPr>
        <w:numPr>
          <w:ilvl w:val="1"/>
          <w:numId w:val="6"/>
        </w:numPr>
        <w:pBdr>
          <w:top w:val="nil"/>
          <w:left w:val="nil"/>
          <w:bottom w:val="nil"/>
          <w:right w:val="nil"/>
          <w:between w:val="nil"/>
        </w:pBdr>
        <w:spacing w:before="120" w:after="180"/>
      </w:pPr>
      <w:r>
        <w:rPr>
          <w:color w:val="000000"/>
        </w:rPr>
        <w:t xml:space="preserve">Mean elimination </w:t>
      </w:r>
      <w:proofErr w:type="spellStart"/>
      <w:r>
        <w:rPr>
          <w:color w:val="000000"/>
        </w:rPr>
        <w:t>half life</w:t>
      </w:r>
      <w:proofErr w:type="spellEnd"/>
      <w:r>
        <w:rPr>
          <w:color w:val="000000"/>
        </w:rPr>
        <w:t xml:space="preserve"> (t</w:t>
      </w:r>
      <w:r>
        <w:rPr>
          <w:color w:val="000000"/>
          <w:vertAlign w:val="subscript"/>
        </w:rPr>
        <w:t>1/2</w:t>
      </w:r>
      <w:r>
        <w:rPr>
          <w:color w:val="000000"/>
        </w:rPr>
        <w:t>) = 14.7 hours after single dose administration</w:t>
      </w:r>
    </w:p>
    <w:p w14:paraId="0000013C" w14:textId="77777777" w:rsidR="005D7E20" w:rsidRDefault="00507B07">
      <w:pPr>
        <w:numPr>
          <w:ilvl w:val="1"/>
          <w:numId w:val="6"/>
        </w:numPr>
        <w:pBdr>
          <w:top w:val="nil"/>
          <w:left w:val="nil"/>
          <w:bottom w:val="nil"/>
          <w:right w:val="nil"/>
          <w:between w:val="nil"/>
        </w:pBdr>
        <w:spacing w:before="120" w:after="180"/>
      </w:pPr>
      <w:r>
        <w:rPr>
          <w:color w:val="000000"/>
        </w:rPr>
        <w:t>Mean elimination t</w:t>
      </w:r>
      <w:r>
        <w:rPr>
          <w:color w:val="000000"/>
          <w:vertAlign w:val="subscript"/>
        </w:rPr>
        <w:t>1/2</w:t>
      </w:r>
      <w:r>
        <w:rPr>
          <w:color w:val="000000"/>
        </w:rPr>
        <w:t xml:space="preserve"> = 22.2 hours at steady state (400 mg daily)</w:t>
      </w:r>
    </w:p>
    <w:p w14:paraId="0000013D" w14:textId="77777777" w:rsidR="005D7E20" w:rsidRDefault="00507B07">
      <w:pPr>
        <w:numPr>
          <w:ilvl w:val="1"/>
          <w:numId w:val="6"/>
        </w:numPr>
        <w:pBdr>
          <w:top w:val="nil"/>
          <w:left w:val="nil"/>
          <w:bottom w:val="nil"/>
          <w:right w:val="nil"/>
          <w:between w:val="nil"/>
        </w:pBdr>
        <w:spacing w:before="120" w:after="180"/>
      </w:pPr>
      <w:r>
        <w:rPr>
          <w:color w:val="000000"/>
        </w:rPr>
        <w:t>Geometric mean CL/F = 9.10 L/hour after administration of 400 mg daily at steady state</w:t>
      </w:r>
    </w:p>
    <w:p w14:paraId="0000013E" w14:textId="77777777" w:rsidR="005D7E20" w:rsidRDefault="00507B07">
      <w:pPr>
        <w:numPr>
          <w:ilvl w:val="0"/>
          <w:numId w:val="6"/>
        </w:numPr>
        <w:pBdr>
          <w:top w:val="nil"/>
          <w:left w:val="nil"/>
          <w:bottom w:val="nil"/>
          <w:right w:val="nil"/>
          <w:between w:val="nil"/>
        </w:pBdr>
        <w:spacing w:before="120" w:after="180"/>
      </w:pPr>
      <w:r>
        <w:rPr>
          <w:color w:val="000000"/>
        </w:rPr>
        <w:t>Steady state:</w:t>
      </w:r>
    </w:p>
    <w:p w14:paraId="0000013F" w14:textId="77777777" w:rsidR="005D7E20" w:rsidRDefault="00507B07">
      <w:pPr>
        <w:numPr>
          <w:ilvl w:val="1"/>
          <w:numId w:val="6"/>
        </w:numPr>
        <w:pBdr>
          <w:top w:val="nil"/>
          <w:left w:val="nil"/>
          <w:bottom w:val="nil"/>
          <w:right w:val="nil"/>
          <w:between w:val="nil"/>
        </w:pBdr>
        <w:spacing w:before="120" w:after="180"/>
      </w:pPr>
      <w:r>
        <w:rPr>
          <w:color w:val="000000"/>
        </w:rPr>
        <w:t>Estimated to be reached after 3 to 5 days</w:t>
      </w:r>
    </w:p>
    <w:p w14:paraId="00000140" w14:textId="77777777" w:rsidR="005D7E20" w:rsidRDefault="00507B07">
      <w:pPr>
        <w:numPr>
          <w:ilvl w:val="0"/>
          <w:numId w:val="6"/>
        </w:numPr>
        <w:pBdr>
          <w:top w:val="nil"/>
          <w:left w:val="nil"/>
          <w:bottom w:val="nil"/>
          <w:right w:val="nil"/>
          <w:between w:val="nil"/>
        </w:pBdr>
        <w:spacing w:before="120" w:after="180"/>
      </w:pPr>
      <w:r>
        <w:rPr>
          <w:color w:val="000000"/>
        </w:rPr>
        <w:t>Accumulation:</w:t>
      </w:r>
    </w:p>
    <w:p w14:paraId="00000141" w14:textId="77777777" w:rsidR="005D7E20" w:rsidRDefault="00507B07">
      <w:pPr>
        <w:numPr>
          <w:ilvl w:val="1"/>
          <w:numId w:val="6"/>
        </w:numPr>
        <w:pBdr>
          <w:top w:val="nil"/>
          <w:left w:val="nil"/>
          <w:bottom w:val="nil"/>
          <w:right w:val="nil"/>
          <w:between w:val="nil"/>
        </w:pBdr>
        <w:spacing w:before="120" w:after="180"/>
      </w:pPr>
      <w:r>
        <w:rPr>
          <w:color w:val="000000"/>
        </w:rPr>
        <w:t>Minor accumulation (less than 2-fold) at steady state</w:t>
      </w:r>
    </w:p>
    <w:p w14:paraId="00000142" w14:textId="77777777" w:rsidR="005D7E20" w:rsidRDefault="00507B07">
      <w:pPr>
        <w:numPr>
          <w:ilvl w:val="0"/>
          <w:numId w:val="6"/>
        </w:numPr>
        <w:pBdr>
          <w:top w:val="nil"/>
          <w:left w:val="nil"/>
          <w:bottom w:val="nil"/>
          <w:right w:val="nil"/>
          <w:between w:val="nil"/>
        </w:pBdr>
        <w:spacing w:before="120" w:after="180"/>
      </w:pPr>
      <w:r>
        <w:rPr>
          <w:color w:val="000000"/>
        </w:rPr>
        <w:t>Dose Proportionality:</w:t>
      </w:r>
    </w:p>
    <w:p w14:paraId="00000143" w14:textId="77777777" w:rsidR="005D7E20" w:rsidRDefault="00507B07">
      <w:pPr>
        <w:numPr>
          <w:ilvl w:val="1"/>
          <w:numId w:val="6"/>
        </w:numPr>
        <w:pBdr>
          <w:top w:val="nil"/>
          <w:left w:val="nil"/>
          <w:bottom w:val="nil"/>
          <w:right w:val="nil"/>
          <w:between w:val="nil"/>
        </w:pBdr>
        <w:spacing w:before="120" w:after="180"/>
      </w:pPr>
      <w:r>
        <w:rPr>
          <w:color w:val="000000"/>
        </w:rPr>
        <w:t>Dose dependent increases in systemic exposure were observed over the dose range of 60 to 600 mg in patients with NSCLC</w:t>
      </w:r>
    </w:p>
    <w:p w14:paraId="00000144" w14:textId="380DCC0E" w:rsidR="005D7E20" w:rsidRPr="00F96FDF" w:rsidRDefault="00D63D0E" w:rsidP="00F96FDF">
      <w:pPr>
        <w:numPr>
          <w:ilvl w:val="1"/>
          <w:numId w:val="6"/>
        </w:numPr>
        <w:pBdr>
          <w:top w:val="nil"/>
          <w:left w:val="nil"/>
          <w:bottom w:val="nil"/>
          <w:right w:val="nil"/>
          <w:between w:val="nil"/>
        </w:pBdr>
        <w:spacing w:before="120" w:after="180"/>
        <w:rPr>
          <w:color w:val="000000"/>
        </w:rPr>
      </w:pPr>
      <w:sdt>
        <w:sdtPr>
          <w:tag w:val="goog_rdk_6"/>
          <w:id w:val="665829692"/>
        </w:sdtPr>
        <w:sdtEndPr/>
        <w:sdtContent/>
      </w:sdt>
      <w:r w:rsidR="00507B07">
        <w:rPr>
          <w:color w:val="000000"/>
        </w:rPr>
        <w:t xml:space="preserve">Dose </w:t>
      </w:r>
      <w:r w:rsidR="00F96FDF" w:rsidRPr="00F96FDF">
        <w:rPr>
          <w:color w:val="000000"/>
        </w:rPr>
        <w:t>dependent increases in systemic exposure could be concluded over the</w:t>
      </w:r>
      <w:r w:rsidR="00F96FDF">
        <w:rPr>
          <w:color w:val="000000"/>
        </w:rPr>
        <w:t xml:space="preserve"> </w:t>
      </w:r>
      <w:r w:rsidR="00F96FDF" w:rsidRPr="00F96FDF">
        <w:rPr>
          <w:color w:val="000000"/>
        </w:rPr>
        <w:t>dose range of 200 to 400</w:t>
      </w:r>
      <w:r w:rsidR="00F96FDF">
        <w:rPr>
          <w:color w:val="000000"/>
        </w:rPr>
        <w:t xml:space="preserve"> </w:t>
      </w:r>
      <w:r w:rsidR="00F96FDF" w:rsidRPr="00F96FDF">
        <w:rPr>
          <w:color w:val="000000"/>
        </w:rPr>
        <w:t xml:space="preserve">mg </w:t>
      </w:r>
      <w:r w:rsidR="00F96FDF">
        <w:rPr>
          <w:color w:val="000000"/>
        </w:rPr>
        <w:t>once daily</w:t>
      </w:r>
      <w:r w:rsidR="00F96FDF" w:rsidRPr="00F96FDF">
        <w:rPr>
          <w:color w:val="000000"/>
        </w:rPr>
        <w:t xml:space="preserve"> in healthy subjects</w:t>
      </w:r>
    </w:p>
    <w:p w14:paraId="00000145" w14:textId="77777777" w:rsidR="005D7E20" w:rsidRDefault="00507B07">
      <w:pPr>
        <w:numPr>
          <w:ilvl w:val="0"/>
          <w:numId w:val="6"/>
        </w:numPr>
        <w:pBdr>
          <w:top w:val="nil"/>
          <w:left w:val="nil"/>
          <w:bottom w:val="nil"/>
          <w:right w:val="nil"/>
          <w:between w:val="nil"/>
        </w:pBdr>
        <w:spacing w:before="120" w:after="180"/>
      </w:pPr>
      <w:r>
        <w:rPr>
          <w:color w:val="000000"/>
        </w:rPr>
        <w:t>Inter-individual variability:</w:t>
      </w:r>
    </w:p>
    <w:p w14:paraId="00000146" w14:textId="77777777" w:rsidR="005D7E20" w:rsidRDefault="00507B07">
      <w:pPr>
        <w:numPr>
          <w:ilvl w:val="1"/>
          <w:numId w:val="6"/>
        </w:numPr>
        <w:pBdr>
          <w:top w:val="nil"/>
          <w:left w:val="nil"/>
          <w:bottom w:val="nil"/>
          <w:right w:val="nil"/>
          <w:between w:val="nil"/>
        </w:pBdr>
        <w:spacing w:before="120" w:after="180"/>
      </w:pPr>
      <w:r>
        <w:rPr>
          <w:color w:val="000000"/>
        </w:rPr>
        <w:t>About 50% to 70% for maximum concentration (</w:t>
      </w:r>
      <w:proofErr w:type="spellStart"/>
      <w:r>
        <w:rPr>
          <w:color w:val="000000"/>
        </w:rPr>
        <w:t>C</w:t>
      </w:r>
      <w:r>
        <w:rPr>
          <w:color w:val="000000"/>
          <w:vertAlign w:val="subscript"/>
        </w:rPr>
        <w:t>max</w:t>
      </w:r>
      <w:proofErr w:type="spellEnd"/>
      <w:r>
        <w:rPr>
          <w:color w:val="000000"/>
        </w:rPr>
        <w:t>) and area under the plasma concentration time curve (AUC) parameters</w:t>
      </w:r>
    </w:p>
    <w:p w14:paraId="00000147" w14:textId="77777777" w:rsidR="005D7E20" w:rsidRDefault="00507B07">
      <w:pPr>
        <w:numPr>
          <w:ilvl w:val="0"/>
          <w:numId w:val="6"/>
        </w:numPr>
        <w:pBdr>
          <w:top w:val="nil"/>
          <w:left w:val="nil"/>
          <w:bottom w:val="nil"/>
          <w:right w:val="nil"/>
          <w:between w:val="nil"/>
        </w:pBdr>
        <w:spacing w:before="120" w:after="180"/>
      </w:pPr>
      <w:r>
        <w:rPr>
          <w:color w:val="000000"/>
        </w:rPr>
        <w:t>Healthy subjects versus patients:</w:t>
      </w:r>
    </w:p>
    <w:p w14:paraId="00000148" w14:textId="77777777" w:rsidR="005D7E20" w:rsidRDefault="00507B07">
      <w:pPr>
        <w:numPr>
          <w:ilvl w:val="1"/>
          <w:numId w:val="6"/>
        </w:numPr>
        <w:pBdr>
          <w:top w:val="nil"/>
          <w:left w:val="nil"/>
          <w:bottom w:val="nil"/>
          <w:right w:val="nil"/>
          <w:between w:val="nil"/>
        </w:pBdr>
        <w:spacing w:before="120" w:after="180"/>
      </w:pPr>
      <w:r>
        <w:rPr>
          <w:color w:val="000000"/>
        </w:rPr>
        <w:t xml:space="preserve">Population PK analysis estimates that the bioavailability of </w:t>
      </w:r>
      <w:proofErr w:type="spellStart"/>
      <w:r>
        <w:rPr>
          <w:color w:val="000000"/>
        </w:rPr>
        <w:t>pralsetinib</w:t>
      </w:r>
      <w:proofErr w:type="spellEnd"/>
      <w:r>
        <w:rPr>
          <w:color w:val="000000"/>
        </w:rPr>
        <w:t xml:space="preserve"> was 43% higher in patients with NSCLC than in healthy subjects, possibly due to differences between the populations analysed in terms of fasting status (healthy subjects fasted 10 hours before and up to 4 hours after </w:t>
      </w:r>
      <w:proofErr w:type="spellStart"/>
      <w:r>
        <w:rPr>
          <w:color w:val="000000"/>
        </w:rPr>
        <w:t>pralsetinib</w:t>
      </w:r>
      <w:proofErr w:type="spellEnd"/>
      <w:r>
        <w:rPr>
          <w:color w:val="000000"/>
        </w:rPr>
        <w:t xml:space="preserve">, compared to patients with NSCLC fasting for 2 hours before and 1 hour after </w:t>
      </w:r>
      <w:proofErr w:type="spellStart"/>
      <w:r>
        <w:rPr>
          <w:color w:val="000000"/>
        </w:rPr>
        <w:t>pralsetinib</w:t>
      </w:r>
      <w:proofErr w:type="spellEnd"/>
      <w:r>
        <w:rPr>
          <w:color w:val="000000"/>
        </w:rPr>
        <w:t>)</w:t>
      </w:r>
    </w:p>
    <w:p w14:paraId="00000149" w14:textId="6AFA0040" w:rsidR="005D7E20" w:rsidRDefault="00507B07">
      <w:pPr>
        <w:pStyle w:val="Heading6"/>
      </w:pPr>
      <w:r>
        <w:lastRenderedPageBreak/>
        <w:t xml:space="preserve">Effect of </w:t>
      </w:r>
      <w:r w:rsidR="00D63D0E">
        <w:t>intrinsic factors</w:t>
      </w:r>
    </w:p>
    <w:p w14:paraId="0000014A" w14:textId="77777777" w:rsidR="005D7E20" w:rsidRDefault="00507B07">
      <w:pPr>
        <w:numPr>
          <w:ilvl w:val="0"/>
          <w:numId w:val="6"/>
        </w:numPr>
        <w:pBdr>
          <w:top w:val="nil"/>
          <w:left w:val="nil"/>
          <w:bottom w:val="nil"/>
          <w:right w:val="nil"/>
          <w:between w:val="nil"/>
        </w:pBdr>
        <w:spacing w:before="120" w:after="180"/>
      </w:pPr>
      <w:r>
        <w:rPr>
          <w:color w:val="000000"/>
        </w:rPr>
        <w:t>Age, sex, race, body size descriptors:</w:t>
      </w:r>
    </w:p>
    <w:p w14:paraId="0000014B" w14:textId="77777777" w:rsidR="005D7E20" w:rsidRDefault="00507B07">
      <w:pPr>
        <w:numPr>
          <w:ilvl w:val="1"/>
          <w:numId w:val="6"/>
        </w:numPr>
        <w:pBdr>
          <w:top w:val="nil"/>
          <w:left w:val="nil"/>
          <w:bottom w:val="nil"/>
          <w:right w:val="nil"/>
          <w:between w:val="nil"/>
        </w:pBdr>
        <w:spacing w:before="120" w:after="180"/>
      </w:pPr>
      <w:r>
        <w:rPr>
          <w:color w:val="000000"/>
        </w:rPr>
        <w:t xml:space="preserve">No clinically relevant effect on PK of </w:t>
      </w:r>
      <w:proofErr w:type="spellStart"/>
      <w:r>
        <w:rPr>
          <w:color w:val="000000"/>
        </w:rPr>
        <w:t>pralsetinib</w:t>
      </w:r>
      <w:proofErr w:type="spellEnd"/>
    </w:p>
    <w:p w14:paraId="0000014C" w14:textId="77777777" w:rsidR="005D7E20" w:rsidRDefault="00507B07">
      <w:pPr>
        <w:numPr>
          <w:ilvl w:val="0"/>
          <w:numId w:val="6"/>
        </w:numPr>
        <w:pBdr>
          <w:top w:val="nil"/>
          <w:left w:val="nil"/>
          <w:bottom w:val="nil"/>
          <w:right w:val="nil"/>
          <w:between w:val="nil"/>
        </w:pBdr>
        <w:spacing w:before="120" w:after="180"/>
      </w:pPr>
      <w:r>
        <w:rPr>
          <w:color w:val="000000"/>
        </w:rPr>
        <w:t>Hepatic impairment:</w:t>
      </w:r>
    </w:p>
    <w:p w14:paraId="0000014D" w14:textId="77777777" w:rsidR="005D7E20" w:rsidRDefault="00507B07">
      <w:pPr>
        <w:numPr>
          <w:ilvl w:val="1"/>
          <w:numId w:val="6"/>
        </w:numPr>
        <w:pBdr>
          <w:top w:val="nil"/>
          <w:left w:val="nil"/>
          <w:bottom w:val="nil"/>
          <w:right w:val="nil"/>
          <w:between w:val="nil"/>
        </w:pBdr>
        <w:spacing w:before="120" w:after="180"/>
      </w:pPr>
      <w:r>
        <w:rPr>
          <w:color w:val="000000"/>
        </w:rPr>
        <w:t xml:space="preserve">Mild hepatic impairment has no statistically significant effect on the PK of </w:t>
      </w:r>
      <w:proofErr w:type="spellStart"/>
      <w:r>
        <w:rPr>
          <w:color w:val="000000"/>
        </w:rPr>
        <w:t>pralsetinib</w:t>
      </w:r>
      <w:proofErr w:type="spellEnd"/>
    </w:p>
    <w:p w14:paraId="0000014E" w14:textId="77777777" w:rsidR="005D7E20" w:rsidRDefault="00507B07">
      <w:pPr>
        <w:numPr>
          <w:ilvl w:val="0"/>
          <w:numId w:val="6"/>
        </w:numPr>
        <w:pBdr>
          <w:top w:val="nil"/>
          <w:left w:val="nil"/>
          <w:bottom w:val="nil"/>
          <w:right w:val="nil"/>
          <w:between w:val="nil"/>
        </w:pBdr>
        <w:spacing w:before="120" w:after="180"/>
      </w:pPr>
      <w:r>
        <w:rPr>
          <w:color w:val="000000"/>
        </w:rPr>
        <w:t>Renal impairment:</w:t>
      </w:r>
    </w:p>
    <w:p w14:paraId="0000014F" w14:textId="77777777" w:rsidR="005D7E20" w:rsidRDefault="00507B07">
      <w:pPr>
        <w:numPr>
          <w:ilvl w:val="1"/>
          <w:numId w:val="6"/>
        </w:numPr>
        <w:pBdr>
          <w:top w:val="nil"/>
          <w:left w:val="nil"/>
          <w:bottom w:val="nil"/>
          <w:right w:val="nil"/>
          <w:between w:val="nil"/>
        </w:pBdr>
        <w:spacing w:before="120" w:after="180"/>
      </w:pPr>
      <w:r>
        <w:rPr>
          <w:color w:val="000000"/>
        </w:rPr>
        <w:t xml:space="preserve">Mild to moderate renal impairment has no statistically significant effect on the PK of </w:t>
      </w:r>
      <w:proofErr w:type="spellStart"/>
      <w:r>
        <w:rPr>
          <w:color w:val="000000"/>
        </w:rPr>
        <w:t>pralsetinib</w:t>
      </w:r>
      <w:proofErr w:type="spellEnd"/>
    </w:p>
    <w:p w14:paraId="00000150" w14:textId="5BA85EAA" w:rsidR="005D7E20" w:rsidRDefault="00507B07">
      <w:pPr>
        <w:pStyle w:val="Heading6"/>
      </w:pPr>
      <w:r>
        <w:t xml:space="preserve">Effect of </w:t>
      </w:r>
      <w:r w:rsidR="00D63D0E">
        <w:t>extrinsic factors</w:t>
      </w:r>
    </w:p>
    <w:p w14:paraId="00000151" w14:textId="77777777" w:rsidR="005D7E20" w:rsidRDefault="00507B07">
      <w:pPr>
        <w:numPr>
          <w:ilvl w:val="0"/>
          <w:numId w:val="6"/>
        </w:numPr>
        <w:pBdr>
          <w:top w:val="nil"/>
          <w:left w:val="nil"/>
          <w:bottom w:val="nil"/>
          <w:right w:val="nil"/>
          <w:between w:val="nil"/>
        </w:pBdr>
        <w:spacing w:before="120" w:after="180"/>
      </w:pPr>
      <w:r>
        <w:rPr>
          <w:color w:val="000000"/>
        </w:rPr>
        <w:t>Food drug interactions:</w:t>
      </w:r>
    </w:p>
    <w:p w14:paraId="00000152" w14:textId="77777777" w:rsidR="005D7E20" w:rsidRDefault="00507B07">
      <w:pPr>
        <w:numPr>
          <w:ilvl w:val="1"/>
          <w:numId w:val="6"/>
        </w:numPr>
        <w:pBdr>
          <w:top w:val="nil"/>
          <w:left w:val="nil"/>
          <w:bottom w:val="nil"/>
          <w:right w:val="nil"/>
          <w:between w:val="nil"/>
        </w:pBdr>
        <w:spacing w:before="120" w:after="180"/>
      </w:pPr>
      <w:r>
        <w:rPr>
          <w:color w:val="000000"/>
        </w:rPr>
        <w:t xml:space="preserve">Food has a significant effect on </w:t>
      </w:r>
      <w:proofErr w:type="spellStart"/>
      <w:r>
        <w:rPr>
          <w:color w:val="000000"/>
        </w:rPr>
        <w:t>pralsetinib</w:t>
      </w:r>
      <w:proofErr w:type="spellEnd"/>
      <w:r>
        <w:rPr>
          <w:color w:val="000000"/>
        </w:rPr>
        <w:t xml:space="preserve"> exposure (greater than 2-fold increase following high fat meal, compared to fasted conditions)</w:t>
      </w:r>
    </w:p>
    <w:p w14:paraId="00000153" w14:textId="77777777" w:rsidR="005D7E20" w:rsidRDefault="00507B07">
      <w:pPr>
        <w:numPr>
          <w:ilvl w:val="0"/>
          <w:numId w:val="6"/>
        </w:numPr>
        <w:pBdr>
          <w:top w:val="nil"/>
          <w:left w:val="nil"/>
          <w:bottom w:val="nil"/>
          <w:right w:val="nil"/>
          <w:between w:val="nil"/>
        </w:pBdr>
        <w:spacing w:before="120" w:after="180"/>
      </w:pPr>
      <w:r>
        <w:rPr>
          <w:color w:val="000000"/>
        </w:rPr>
        <w:t xml:space="preserve">Drug </w:t>
      </w:r>
      <w:proofErr w:type="spellStart"/>
      <w:r>
        <w:rPr>
          <w:color w:val="000000"/>
        </w:rPr>
        <w:t>drug</w:t>
      </w:r>
      <w:proofErr w:type="spellEnd"/>
      <w:r>
        <w:rPr>
          <w:color w:val="000000"/>
        </w:rPr>
        <w:t xml:space="preserve"> interaction:</w:t>
      </w:r>
    </w:p>
    <w:p w14:paraId="00000154" w14:textId="78F273CB" w:rsidR="005D7E20" w:rsidRPr="00F96FDF" w:rsidRDefault="00D63D0E" w:rsidP="00F96FDF">
      <w:pPr>
        <w:numPr>
          <w:ilvl w:val="1"/>
          <w:numId w:val="6"/>
        </w:numPr>
        <w:pBdr>
          <w:top w:val="nil"/>
          <w:left w:val="nil"/>
          <w:bottom w:val="nil"/>
          <w:right w:val="nil"/>
          <w:between w:val="nil"/>
        </w:pBdr>
        <w:spacing w:before="120" w:after="180"/>
        <w:rPr>
          <w:color w:val="000000"/>
        </w:rPr>
      </w:pPr>
      <w:sdt>
        <w:sdtPr>
          <w:tag w:val="goog_rdk_8"/>
          <w:id w:val="-619836275"/>
        </w:sdtPr>
        <w:sdtEndPr/>
        <w:sdtContent/>
      </w:sdt>
      <w:r w:rsidR="00F96FDF" w:rsidRPr="00F96FDF">
        <w:rPr>
          <w:color w:val="000000"/>
        </w:rPr>
        <w:t>Concomitant treatment with drugs that are CYP3A inhibitors or inducers can</w:t>
      </w:r>
      <w:r w:rsidR="00F96FDF">
        <w:rPr>
          <w:color w:val="000000"/>
        </w:rPr>
        <w:t xml:space="preserve"> </w:t>
      </w:r>
      <w:r w:rsidR="00F96FDF" w:rsidRPr="00F96FDF">
        <w:rPr>
          <w:color w:val="000000"/>
        </w:rPr>
        <w:t xml:space="preserve">increase (with inhibitors) or decrease (with inducers) the exposure to </w:t>
      </w:r>
      <w:proofErr w:type="spellStart"/>
      <w:r w:rsidR="00F96FDF" w:rsidRPr="00F96FDF">
        <w:rPr>
          <w:color w:val="000000"/>
        </w:rPr>
        <w:t>pralsetinib</w:t>
      </w:r>
      <w:proofErr w:type="spellEnd"/>
      <w:r w:rsidR="00F96FDF" w:rsidRPr="00F96FDF">
        <w:rPr>
          <w:color w:val="000000"/>
        </w:rPr>
        <w:t xml:space="preserve"> respectively</w:t>
      </w:r>
    </w:p>
    <w:p w14:paraId="00000155" w14:textId="4EC8C96B" w:rsidR="005D7E20" w:rsidRDefault="00D63D0E">
      <w:pPr>
        <w:numPr>
          <w:ilvl w:val="1"/>
          <w:numId w:val="6"/>
        </w:numPr>
        <w:pBdr>
          <w:top w:val="nil"/>
          <w:left w:val="nil"/>
          <w:bottom w:val="nil"/>
          <w:right w:val="nil"/>
          <w:between w:val="nil"/>
        </w:pBdr>
        <w:spacing w:before="120" w:after="180"/>
      </w:pPr>
      <w:sdt>
        <w:sdtPr>
          <w:tag w:val="goog_rdk_9"/>
          <w:id w:val="1742060446"/>
        </w:sdtPr>
        <w:sdtEndPr/>
        <w:sdtContent/>
      </w:sdt>
      <w:r w:rsidR="00F96FDF" w:rsidRPr="00F96FDF">
        <w:rPr>
          <w:color w:val="000000"/>
        </w:rPr>
        <w:t xml:space="preserve">Concomitant administration of </w:t>
      </w:r>
      <w:proofErr w:type="spellStart"/>
      <w:r w:rsidR="00F96FDF" w:rsidRPr="00F96FDF">
        <w:rPr>
          <w:color w:val="000000"/>
        </w:rPr>
        <w:t>pralsetinib</w:t>
      </w:r>
      <w:proofErr w:type="spellEnd"/>
      <w:r w:rsidR="00F96FDF" w:rsidRPr="00F96FDF">
        <w:rPr>
          <w:color w:val="000000"/>
        </w:rPr>
        <w:t xml:space="preserve"> with itraconazole (combined P-</w:t>
      </w:r>
      <w:proofErr w:type="spellStart"/>
      <w:r w:rsidR="00F96FDF" w:rsidRPr="00F96FDF">
        <w:rPr>
          <w:color w:val="000000"/>
        </w:rPr>
        <w:t>gp</w:t>
      </w:r>
      <w:proofErr w:type="spellEnd"/>
      <w:r w:rsidR="00F96FDF" w:rsidRPr="00F96FDF">
        <w:rPr>
          <w:color w:val="000000"/>
        </w:rPr>
        <w:t xml:space="preserve"> and strong CYP3A inhibitor) led to a 3.5-fold increase in </w:t>
      </w:r>
      <w:proofErr w:type="spellStart"/>
      <w:r w:rsidR="00F96FDF" w:rsidRPr="00F96FDF">
        <w:rPr>
          <w:color w:val="000000"/>
        </w:rPr>
        <w:t>pralsetinib</w:t>
      </w:r>
      <w:proofErr w:type="spellEnd"/>
      <w:r w:rsidR="00F96FDF" w:rsidRPr="00F96FDF">
        <w:rPr>
          <w:color w:val="000000"/>
        </w:rPr>
        <w:t xml:space="preserve"> AUC</w:t>
      </w:r>
    </w:p>
    <w:p w14:paraId="00000156" w14:textId="77777777" w:rsidR="005D7E20" w:rsidRDefault="00507B07">
      <w:pPr>
        <w:numPr>
          <w:ilvl w:val="1"/>
          <w:numId w:val="6"/>
        </w:numPr>
        <w:pBdr>
          <w:top w:val="nil"/>
          <w:left w:val="nil"/>
          <w:bottom w:val="nil"/>
          <w:right w:val="nil"/>
          <w:between w:val="nil"/>
        </w:pBdr>
        <w:spacing w:before="120" w:after="180"/>
      </w:pPr>
      <w:r>
        <w:rPr>
          <w:color w:val="000000"/>
        </w:rPr>
        <w:t xml:space="preserve">Concomitant administration of </w:t>
      </w:r>
      <w:proofErr w:type="spellStart"/>
      <w:r>
        <w:rPr>
          <w:color w:val="000000"/>
        </w:rPr>
        <w:t>pralsetinib</w:t>
      </w:r>
      <w:proofErr w:type="spellEnd"/>
      <w:r>
        <w:rPr>
          <w:color w:val="000000"/>
        </w:rPr>
        <w:t xml:space="preserve"> with </w:t>
      </w:r>
      <w:proofErr w:type="spellStart"/>
      <w:r>
        <w:rPr>
          <w:color w:val="000000"/>
        </w:rPr>
        <w:t>rifampin</w:t>
      </w:r>
      <w:proofErr w:type="spellEnd"/>
      <w:r>
        <w:rPr>
          <w:color w:val="000000"/>
        </w:rPr>
        <w:t xml:space="preserve"> (strong CYP3A inducer) led to a 68% decrease in </w:t>
      </w:r>
      <w:proofErr w:type="spellStart"/>
      <w:r>
        <w:rPr>
          <w:color w:val="000000"/>
        </w:rPr>
        <w:t>pralsetinib</w:t>
      </w:r>
      <w:proofErr w:type="spellEnd"/>
      <w:r>
        <w:rPr>
          <w:color w:val="000000"/>
        </w:rPr>
        <w:t xml:space="preserve"> AUC</w:t>
      </w:r>
    </w:p>
    <w:p w14:paraId="00000157" w14:textId="77777777" w:rsidR="005D7E20" w:rsidRDefault="00507B07">
      <w:pPr>
        <w:numPr>
          <w:ilvl w:val="1"/>
          <w:numId w:val="6"/>
        </w:numPr>
        <w:pBdr>
          <w:top w:val="nil"/>
          <w:left w:val="nil"/>
          <w:bottom w:val="nil"/>
          <w:right w:val="nil"/>
          <w:between w:val="nil"/>
        </w:pBdr>
        <w:spacing w:before="120" w:after="180"/>
      </w:pPr>
      <w:r>
        <w:rPr>
          <w:color w:val="000000"/>
        </w:rPr>
        <w:t xml:space="preserve">Population PK analysis predicts no relevant effect of weak CYP3A4 inhibitor on </w:t>
      </w:r>
      <w:proofErr w:type="spellStart"/>
      <w:r>
        <w:rPr>
          <w:color w:val="000000"/>
        </w:rPr>
        <w:t>pralsetinib</w:t>
      </w:r>
      <w:proofErr w:type="spellEnd"/>
      <w:r>
        <w:rPr>
          <w:color w:val="000000"/>
        </w:rPr>
        <w:t xml:space="preserve"> AUC; a CYP3A4 weak inducer has a 26% decrease in </w:t>
      </w:r>
      <w:proofErr w:type="spellStart"/>
      <w:r>
        <w:rPr>
          <w:color w:val="000000"/>
        </w:rPr>
        <w:t>pralsetinib</w:t>
      </w:r>
      <w:proofErr w:type="spellEnd"/>
      <w:r>
        <w:rPr>
          <w:color w:val="000000"/>
        </w:rPr>
        <w:t xml:space="preserve"> AUC </w:t>
      </w:r>
    </w:p>
    <w:p w14:paraId="00000158" w14:textId="77777777" w:rsidR="005D7E20" w:rsidRDefault="00507B07">
      <w:pPr>
        <w:numPr>
          <w:ilvl w:val="1"/>
          <w:numId w:val="6"/>
        </w:numPr>
        <w:pBdr>
          <w:top w:val="nil"/>
          <w:left w:val="nil"/>
          <w:bottom w:val="nil"/>
          <w:right w:val="nil"/>
          <w:between w:val="nil"/>
        </w:pBdr>
        <w:spacing w:before="120" w:after="180"/>
      </w:pPr>
      <w:proofErr w:type="spellStart"/>
      <w:r>
        <w:rPr>
          <w:color w:val="000000"/>
        </w:rPr>
        <w:t>pralsetinib</w:t>
      </w:r>
      <w:proofErr w:type="spellEnd"/>
      <w:r>
        <w:rPr>
          <w:color w:val="000000"/>
        </w:rPr>
        <w:t xml:space="preserve"> is a dual P-</w:t>
      </w:r>
      <w:proofErr w:type="spellStart"/>
      <w:r>
        <w:rPr>
          <w:color w:val="000000"/>
        </w:rPr>
        <w:t>gp</w:t>
      </w:r>
      <w:proofErr w:type="spellEnd"/>
      <w:r>
        <w:rPr>
          <w:color w:val="000000"/>
        </w:rPr>
        <w:t>/BCRP substrate; P-</w:t>
      </w:r>
      <w:proofErr w:type="spellStart"/>
      <w:r>
        <w:rPr>
          <w:color w:val="000000"/>
        </w:rPr>
        <w:t>gp</w:t>
      </w:r>
      <w:proofErr w:type="spellEnd"/>
      <w:r>
        <w:rPr>
          <w:color w:val="000000"/>
        </w:rPr>
        <w:t xml:space="preserve"> or BCRP inhibitors may decrease the gastrointestinal secretion of </w:t>
      </w:r>
      <w:proofErr w:type="spellStart"/>
      <w:r>
        <w:rPr>
          <w:color w:val="000000"/>
        </w:rPr>
        <w:t>pralsetinib</w:t>
      </w:r>
      <w:proofErr w:type="spellEnd"/>
      <w:r>
        <w:rPr>
          <w:color w:val="000000"/>
        </w:rPr>
        <w:t xml:space="preserve"> and potentially increase the plasma concentration of </w:t>
      </w:r>
      <w:proofErr w:type="spellStart"/>
      <w:r>
        <w:rPr>
          <w:color w:val="000000"/>
        </w:rPr>
        <w:t>pralsetinib</w:t>
      </w:r>
      <w:proofErr w:type="spellEnd"/>
    </w:p>
    <w:p w14:paraId="00000159" w14:textId="77777777" w:rsidR="005D7E20" w:rsidRDefault="00507B07">
      <w:pPr>
        <w:numPr>
          <w:ilvl w:val="1"/>
          <w:numId w:val="6"/>
        </w:numPr>
        <w:pBdr>
          <w:top w:val="nil"/>
          <w:left w:val="nil"/>
          <w:bottom w:val="nil"/>
          <w:right w:val="nil"/>
          <w:between w:val="nil"/>
        </w:pBdr>
        <w:spacing w:before="120" w:after="180"/>
      </w:pPr>
      <w:r>
        <w:rPr>
          <w:color w:val="000000"/>
        </w:rPr>
        <w:t xml:space="preserve">the effect of gastric acid reducing agents on the bioavailability of </w:t>
      </w:r>
      <w:proofErr w:type="spellStart"/>
      <w:r>
        <w:rPr>
          <w:color w:val="000000"/>
        </w:rPr>
        <w:t>pralsetinib</w:t>
      </w:r>
      <w:proofErr w:type="spellEnd"/>
      <w:r>
        <w:rPr>
          <w:color w:val="000000"/>
        </w:rPr>
        <w:t xml:space="preserve"> is not clinically relevant</w:t>
      </w:r>
    </w:p>
    <w:p w14:paraId="0000015A" w14:textId="77777777" w:rsidR="005D7E20" w:rsidRDefault="00507B07">
      <w:pPr>
        <w:pStyle w:val="Heading6"/>
      </w:pPr>
      <w:r>
        <w:t>Pharmacology</w:t>
      </w:r>
    </w:p>
    <w:p w14:paraId="0000015B" w14:textId="77777777" w:rsidR="005D7E20" w:rsidRDefault="00507B07">
      <w:pPr>
        <w:numPr>
          <w:ilvl w:val="0"/>
          <w:numId w:val="6"/>
        </w:numPr>
        <w:pBdr>
          <w:top w:val="nil"/>
          <w:left w:val="nil"/>
          <w:bottom w:val="nil"/>
          <w:right w:val="nil"/>
          <w:between w:val="nil"/>
        </w:pBdr>
        <w:spacing w:before="120" w:after="180"/>
      </w:pPr>
      <w:r>
        <w:rPr>
          <w:color w:val="000000"/>
        </w:rPr>
        <w:t>Cardiac repolarisation:</w:t>
      </w:r>
    </w:p>
    <w:p w14:paraId="0000015C" w14:textId="77777777" w:rsidR="005D7E20" w:rsidRDefault="00507B07">
      <w:pPr>
        <w:numPr>
          <w:ilvl w:val="1"/>
          <w:numId w:val="6"/>
        </w:numPr>
        <w:pBdr>
          <w:top w:val="nil"/>
          <w:left w:val="nil"/>
          <w:bottom w:val="nil"/>
          <w:right w:val="nil"/>
          <w:between w:val="nil"/>
        </w:pBdr>
        <w:spacing w:before="120" w:after="180"/>
      </w:pPr>
      <w:r>
        <w:rPr>
          <w:color w:val="000000"/>
        </w:rPr>
        <w:t xml:space="preserve">Treatment with </w:t>
      </w:r>
      <w:proofErr w:type="spellStart"/>
      <w:r>
        <w:rPr>
          <w:color w:val="000000"/>
        </w:rPr>
        <w:t>pralsetinib</w:t>
      </w:r>
      <w:proofErr w:type="spellEnd"/>
      <w:r>
        <w:rPr>
          <w:color w:val="000000"/>
        </w:rPr>
        <w:t xml:space="preserve"> (400 mg daily) in patients with </w:t>
      </w:r>
      <w:r>
        <w:rPr>
          <w:i/>
          <w:color w:val="000000"/>
        </w:rPr>
        <w:t>RET</w:t>
      </w:r>
      <w:r>
        <w:rPr>
          <w:color w:val="000000"/>
        </w:rPr>
        <w:t xml:space="preserve">-fusion NSCLC, thyroid cancer and other </w:t>
      </w:r>
      <w:r>
        <w:rPr>
          <w:i/>
          <w:color w:val="000000"/>
        </w:rPr>
        <w:t>RET</w:t>
      </w:r>
      <w:r>
        <w:rPr>
          <w:color w:val="000000"/>
        </w:rPr>
        <w:t xml:space="preserve">-altered advanced solid tumours was not associated with evidence of QTc prolongation. Mean change from Baseline in </w:t>
      </w:r>
      <w:proofErr w:type="spellStart"/>
      <w:r>
        <w:rPr>
          <w:color w:val="000000"/>
        </w:rPr>
        <w:t>QTcF</w:t>
      </w:r>
      <w:proofErr w:type="spellEnd"/>
      <w:r>
        <w:rPr>
          <w:color w:val="000000"/>
        </w:rPr>
        <w:t xml:space="preserve"> was -0.9 </w:t>
      </w:r>
      <w:proofErr w:type="spellStart"/>
      <w:r>
        <w:rPr>
          <w:color w:val="000000"/>
        </w:rPr>
        <w:t>ms</w:t>
      </w:r>
      <w:proofErr w:type="spellEnd"/>
      <w:r>
        <w:rPr>
          <w:color w:val="000000"/>
        </w:rPr>
        <w:t xml:space="preserve"> at the observed mean </w:t>
      </w:r>
      <w:proofErr w:type="spellStart"/>
      <w:r>
        <w:rPr>
          <w:color w:val="000000"/>
        </w:rPr>
        <w:t>C</w:t>
      </w:r>
      <w:r>
        <w:rPr>
          <w:color w:val="000000"/>
          <w:vertAlign w:val="subscript"/>
        </w:rPr>
        <w:t>max</w:t>
      </w:r>
      <w:proofErr w:type="spellEnd"/>
      <w:r>
        <w:rPr>
          <w:color w:val="000000"/>
        </w:rPr>
        <w:t xml:space="preserve"> for </w:t>
      </w:r>
      <w:proofErr w:type="spellStart"/>
      <w:r>
        <w:rPr>
          <w:color w:val="000000"/>
        </w:rPr>
        <w:t>pralsetinib</w:t>
      </w:r>
      <w:proofErr w:type="spellEnd"/>
      <w:r>
        <w:rPr>
          <w:color w:val="000000"/>
        </w:rPr>
        <w:t>; no effect on HR, PR interval or QRS duration was observed.</w:t>
      </w:r>
    </w:p>
    <w:p w14:paraId="0000015D" w14:textId="77777777" w:rsidR="005D7E20" w:rsidRDefault="00507B07">
      <w:pPr>
        <w:pStyle w:val="Heading6"/>
      </w:pPr>
      <w:r>
        <w:t>Exposure-response analyses</w:t>
      </w:r>
    </w:p>
    <w:p w14:paraId="0000015E" w14:textId="77777777" w:rsidR="005D7E20" w:rsidRDefault="00507B07">
      <w:pPr>
        <w:numPr>
          <w:ilvl w:val="0"/>
          <w:numId w:val="6"/>
        </w:numPr>
        <w:pBdr>
          <w:top w:val="nil"/>
          <w:left w:val="nil"/>
          <w:bottom w:val="nil"/>
          <w:right w:val="nil"/>
          <w:between w:val="nil"/>
        </w:pBdr>
        <w:spacing w:before="120" w:after="180"/>
      </w:pPr>
      <w:r>
        <w:rPr>
          <w:color w:val="000000"/>
        </w:rPr>
        <w:t>Efficacy endpoints</w:t>
      </w:r>
    </w:p>
    <w:p w14:paraId="0000015F" w14:textId="77777777" w:rsidR="005D7E20" w:rsidRDefault="00507B07">
      <w:pPr>
        <w:numPr>
          <w:ilvl w:val="1"/>
          <w:numId w:val="6"/>
        </w:numPr>
        <w:pBdr>
          <w:top w:val="nil"/>
          <w:left w:val="nil"/>
          <w:bottom w:val="nil"/>
          <w:right w:val="nil"/>
          <w:between w:val="nil"/>
        </w:pBdr>
        <w:spacing w:before="120" w:after="180"/>
      </w:pPr>
      <w:r>
        <w:rPr>
          <w:color w:val="000000"/>
        </w:rPr>
        <w:t xml:space="preserve">Treatment with </w:t>
      </w:r>
      <w:proofErr w:type="spellStart"/>
      <w:r>
        <w:rPr>
          <w:color w:val="000000"/>
        </w:rPr>
        <w:t>pralsetinib</w:t>
      </w:r>
      <w:proofErr w:type="spellEnd"/>
      <w:r>
        <w:rPr>
          <w:color w:val="000000"/>
        </w:rPr>
        <w:t xml:space="preserve"> 400 mg once daily demonstrated efficacy in patients with NSCLC</w:t>
      </w:r>
    </w:p>
    <w:p w14:paraId="00000160" w14:textId="1D863F51" w:rsidR="005D7E20" w:rsidRDefault="00D63D0E">
      <w:pPr>
        <w:numPr>
          <w:ilvl w:val="1"/>
          <w:numId w:val="6"/>
        </w:numPr>
        <w:pBdr>
          <w:top w:val="nil"/>
          <w:left w:val="nil"/>
          <w:bottom w:val="nil"/>
          <w:right w:val="nil"/>
          <w:between w:val="nil"/>
        </w:pBdr>
        <w:spacing w:before="120" w:after="180"/>
      </w:pPr>
      <w:sdt>
        <w:sdtPr>
          <w:tag w:val="goog_rdk_10"/>
          <w:id w:val="729807914"/>
        </w:sdtPr>
        <w:sdtEndPr/>
        <w:sdtContent/>
      </w:sdt>
      <w:r w:rsidR="00507B07">
        <w:rPr>
          <w:color w:val="000000"/>
        </w:rPr>
        <w:t>The mean</w:t>
      </w:r>
      <w:r w:rsidR="001E0B2F">
        <w:rPr>
          <w:color w:val="000000"/>
        </w:rPr>
        <w:t xml:space="preserve"> steady state</w:t>
      </w:r>
      <w:r w:rsidR="00507B07">
        <w:rPr>
          <w:color w:val="000000"/>
        </w:rPr>
        <w:t xml:space="preserve"> trough concentration (</w:t>
      </w:r>
      <w:proofErr w:type="spellStart"/>
      <w:proofErr w:type="gramStart"/>
      <w:r w:rsidR="00507B07">
        <w:rPr>
          <w:color w:val="000000"/>
        </w:rPr>
        <w:t>C</w:t>
      </w:r>
      <w:r w:rsidR="00507B07">
        <w:rPr>
          <w:color w:val="000000"/>
          <w:vertAlign w:val="subscript"/>
        </w:rPr>
        <w:t>trough</w:t>
      </w:r>
      <w:r w:rsidR="001E0B2F">
        <w:rPr>
          <w:color w:val="000000"/>
          <w:vertAlign w:val="subscript"/>
        </w:rPr>
        <w:t>,ss</w:t>
      </w:r>
      <w:proofErr w:type="spellEnd"/>
      <w:proofErr w:type="gramEnd"/>
      <w:r w:rsidR="00507B07">
        <w:rPr>
          <w:color w:val="000000"/>
        </w:rPr>
        <w:t>) value observed with 400 mg once daily compared with lower doses was closer to the predicted brain 90% inhibitory concentration (IC</w:t>
      </w:r>
      <w:r w:rsidR="00507B07">
        <w:rPr>
          <w:color w:val="000000"/>
          <w:vertAlign w:val="subscript"/>
        </w:rPr>
        <w:t>90</w:t>
      </w:r>
      <w:r w:rsidR="00507B07">
        <w:rPr>
          <w:color w:val="000000"/>
        </w:rPr>
        <w:t xml:space="preserve">) of </w:t>
      </w:r>
      <w:proofErr w:type="spellStart"/>
      <w:r w:rsidR="00507B07">
        <w:rPr>
          <w:color w:val="000000"/>
        </w:rPr>
        <w:t>pralsetinib</w:t>
      </w:r>
      <w:proofErr w:type="spellEnd"/>
      <w:r w:rsidR="00507B07">
        <w:rPr>
          <w:color w:val="000000"/>
        </w:rPr>
        <w:t xml:space="preserve"> for RET inhibition in humans (1514 ng/mL). The geometric mean (range) </w:t>
      </w:r>
      <w:proofErr w:type="spellStart"/>
      <w:proofErr w:type="gramStart"/>
      <w:r w:rsidR="00507B07">
        <w:rPr>
          <w:color w:val="000000"/>
        </w:rPr>
        <w:t>C</w:t>
      </w:r>
      <w:r w:rsidR="00507B07">
        <w:rPr>
          <w:color w:val="000000"/>
          <w:vertAlign w:val="subscript"/>
        </w:rPr>
        <w:t>trough</w:t>
      </w:r>
      <w:r w:rsidR="001E0B2F">
        <w:rPr>
          <w:color w:val="000000"/>
          <w:vertAlign w:val="subscript"/>
        </w:rPr>
        <w:t>,ss</w:t>
      </w:r>
      <w:proofErr w:type="spellEnd"/>
      <w:proofErr w:type="gramEnd"/>
      <w:r w:rsidR="00507B07">
        <w:rPr>
          <w:color w:val="000000"/>
        </w:rPr>
        <w:t xml:space="preserve"> value with 400 mg once daily was 1150 ng/mL (179 to 4280 ng/mL). Initiating </w:t>
      </w:r>
      <w:proofErr w:type="spellStart"/>
      <w:r w:rsidR="00507B07">
        <w:rPr>
          <w:color w:val="000000"/>
        </w:rPr>
        <w:t>pralsetinib</w:t>
      </w:r>
      <w:proofErr w:type="spellEnd"/>
      <w:r w:rsidR="00507B07">
        <w:rPr>
          <w:color w:val="000000"/>
        </w:rPr>
        <w:t xml:space="preserve"> 400 mg once daily was associated with a rapid decline in brain lesion size</w:t>
      </w:r>
    </w:p>
    <w:p w14:paraId="00000161" w14:textId="77777777" w:rsidR="005D7E20" w:rsidRDefault="00507B07">
      <w:pPr>
        <w:numPr>
          <w:ilvl w:val="0"/>
          <w:numId w:val="6"/>
        </w:numPr>
        <w:pBdr>
          <w:top w:val="nil"/>
          <w:left w:val="nil"/>
          <w:bottom w:val="nil"/>
          <w:right w:val="nil"/>
          <w:between w:val="nil"/>
        </w:pBdr>
        <w:spacing w:before="120" w:after="180"/>
      </w:pPr>
      <w:r>
        <w:rPr>
          <w:color w:val="000000"/>
        </w:rPr>
        <w:t>Safety endpoints</w:t>
      </w:r>
    </w:p>
    <w:p w14:paraId="00000162" w14:textId="77777777" w:rsidR="005D7E20" w:rsidRDefault="00507B07">
      <w:pPr>
        <w:numPr>
          <w:ilvl w:val="1"/>
          <w:numId w:val="6"/>
        </w:numPr>
        <w:pBdr>
          <w:top w:val="nil"/>
          <w:left w:val="nil"/>
          <w:bottom w:val="nil"/>
          <w:right w:val="nil"/>
          <w:between w:val="nil"/>
        </w:pBdr>
        <w:spacing w:before="120" w:after="180"/>
      </w:pPr>
      <w:r>
        <w:rPr>
          <w:color w:val="000000"/>
        </w:rPr>
        <w:t xml:space="preserve">Increases in </w:t>
      </w:r>
      <w:proofErr w:type="spellStart"/>
      <w:r>
        <w:rPr>
          <w:color w:val="000000"/>
        </w:rPr>
        <w:t>pralsetinib</w:t>
      </w:r>
      <w:proofErr w:type="spellEnd"/>
      <w:r>
        <w:rPr>
          <w:color w:val="000000"/>
        </w:rPr>
        <w:t xml:space="preserve"> exposure appeared to correlate with the time to at least Grade 3 anaemia or pneumonia AEs, and with decreases in Hb and ANC, and minor increases in AST and ALT.</w:t>
      </w:r>
    </w:p>
    <w:p w14:paraId="00000163" w14:textId="77777777" w:rsidR="005D7E20" w:rsidRDefault="00507B07">
      <w:r>
        <w:t>The clinical pharmacology evaluator noted the following:</w:t>
      </w:r>
    </w:p>
    <w:p w14:paraId="00000164" w14:textId="77777777" w:rsidR="005D7E20" w:rsidRDefault="00507B07">
      <w:pPr>
        <w:numPr>
          <w:ilvl w:val="0"/>
          <w:numId w:val="6"/>
        </w:numPr>
        <w:pBdr>
          <w:top w:val="nil"/>
          <w:left w:val="nil"/>
          <w:bottom w:val="nil"/>
          <w:right w:val="nil"/>
          <w:between w:val="nil"/>
        </w:pBdr>
        <w:spacing w:before="120" w:after="180"/>
      </w:pPr>
      <w:r>
        <w:rPr>
          <w:color w:val="000000"/>
        </w:rPr>
        <w:t xml:space="preserve">No dose adjustment is needed </w:t>
      </w:r>
      <w:proofErr w:type="gramStart"/>
      <w:r>
        <w:rPr>
          <w:color w:val="000000"/>
        </w:rPr>
        <w:t>on the basis of</w:t>
      </w:r>
      <w:proofErr w:type="gramEnd"/>
      <w:r>
        <w:rPr>
          <w:color w:val="000000"/>
        </w:rPr>
        <w:t xml:space="preserve"> age, sex, race, total or lean body weight,</w:t>
      </w:r>
      <w:sdt>
        <w:sdtPr>
          <w:tag w:val="goog_rdk_11"/>
          <w:id w:val="1463994145"/>
        </w:sdtPr>
        <w:sdtEndPr/>
        <w:sdtContent/>
      </w:sdt>
      <w:r>
        <w:rPr>
          <w:color w:val="000000"/>
        </w:rPr>
        <w:t xml:space="preserve"> BS</w:t>
      </w:r>
      <w:sdt>
        <w:sdtPr>
          <w:tag w:val="goog_rdk_12"/>
          <w:id w:val="86131820"/>
        </w:sdtPr>
        <w:sdtEndPr/>
        <w:sdtContent>
          <w:r>
            <w:rPr>
              <w:color w:val="000000"/>
            </w:rPr>
            <w:t>A</w:t>
          </w:r>
        </w:sdtContent>
      </w:sdt>
      <w:r>
        <w:rPr>
          <w:color w:val="000000"/>
        </w:rPr>
        <w:t xml:space="preserve"> or mild or moderate renal impairment.</w:t>
      </w:r>
    </w:p>
    <w:p w14:paraId="00000165" w14:textId="0DBFD567" w:rsidR="005D7E20" w:rsidRDefault="00D63D0E">
      <w:pPr>
        <w:numPr>
          <w:ilvl w:val="0"/>
          <w:numId w:val="6"/>
        </w:numPr>
        <w:pBdr>
          <w:top w:val="nil"/>
          <w:left w:val="nil"/>
          <w:bottom w:val="nil"/>
          <w:right w:val="nil"/>
          <w:between w:val="nil"/>
        </w:pBdr>
        <w:spacing w:before="120" w:after="180"/>
      </w:pPr>
      <w:sdt>
        <w:sdtPr>
          <w:tag w:val="goog_rdk_13"/>
          <w:id w:val="1165739492"/>
        </w:sdtPr>
        <w:sdtEndPr/>
        <w:sdtContent/>
      </w:sdt>
      <w:r w:rsidR="00507B07">
        <w:rPr>
          <w:color w:val="000000"/>
        </w:rPr>
        <w:t>Markers of hepatic function (ALT, AST, albumin, bilirubin) in patients with mild hepatic impairment had no significant effect on PK parameters</w:t>
      </w:r>
      <w:r w:rsidR="000B7A55">
        <w:rPr>
          <w:color w:val="000000"/>
        </w:rPr>
        <w:t xml:space="preserve">. </w:t>
      </w:r>
      <w:r w:rsidR="000B7A55" w:rsidRPr="000B7A55">
        <w:rPr>
          <w:color w:val="000000"/>
        </w:rPr>
        <w:t>No dose adjustment is recommended for patients with mild hepatic impairment.</w:t>
      </w:r>
    </w:p>
    <w:p w14:paraId="00000166" w14:textId="4D948BE6" w:rsidR="005D7E20" w:rsidRDefault="00507B07">
      <w:pPr>
        <w:numPr>
          <w:ilvl w:val="0"/>
          <w:numId w:val="6"/>
        </w:numPr>
        <w:pBdr>
          <w:top w:val="nil"/>
          <w:left w:val="nil"/>
          <w:bottom w:val="nil"/>
          <w:right w:val="nil"/>
          <w:between w:val="nil"/>
        </w:pBdr>
        <w:spacing w:before="120" w:after="180"/>
      </w:pPr>
      <w:r>
        <w:rPr>
          <w:color w:val="000000"/>
        </w:rPr>
        <w:t xml:space="preserve">Increased </w:t>
      </w:r>
      <w:proofErr w:type="spellStart"/>
      <w:r>
        <w:rPr>
          <w:color w:val="000000"/>
        </w:rPr>
        <w:t>pralsetinib</w:t>
      </w:r>
      <w:proofErr w:type="spellEnd"/>
      <w:r>
        <w:rPr>
          <w:color w:val="000000"/>
        </w:rPr>
        <w:t xml:space="preserve"> exposure seen under fed conditions is clinically relevant; patients should therefore be instructed to take </w:t>
      </w:r>
      <w:proofErr w:type="spellStart"/>
      <w:r>
        <w:rPr>
          <w:color w:val="000000"/>
        </w:rPr>
        <w:t>pralsetinib</w:t>
      </w:r>
      <w:proofErr w:type="spellEnd"/>
      <w:r>
        <w:rPr>
          <w:color w:val="000000"/>
        </w:rPr>
        <w:t xml:space="preserve"> at least 1 hour before </w:t>
      </w:r>
      <w:sdt>
        <w:sdtPr>
          <w:tag w:val="goog_rdk_14"/>
          <w:id w:val="403191840"/>
        </w:sdtPr>
        <w:sdtEndPr/>
        <w:sdtContent>
          <w:sdt>
            <w:sdtPr>
              <w:tag w:val="goog_rdk_15"/>
              <w:id w:val="-1495100496"/>
            </w:sdtPr>
            <w:sdtEndPr/>
            <w:sdtContent/>
          </w:sdt>
        </w:sdtContent>
      </w:sdt>
      <w:sdt>
        <w:sdtPr>
          <w:tag w:val="goog_rdk_16"/>
          <w:id w:val="-984242541"/>
        </w:sdtPr>
        <w:sdtEndPr/>
        <w:sdtContent>
          <w:r>
            <w:rPr>
              <w:color w:val="000000"/>
            </w:rPr>
            <w:t>or</w:t>
          </w:r>
        </w:sdtContent>
      </w:sdt>
      <w:r>
        <w:rPr>
          <w:color w:val="000000"/>
        </w:rPr>
        <w:t xml:space="preserve"> 2 hours after a meal.</w:t>
      </w:r>
    </w:p>
    <w:p w14:paraId="00000167" w14:textId="77777777" w:rsidR="005D7E20" w:rsidRDefault="00D63D0E">
      <w:pPr>
        <w:numPr>
          <w:ilvl w:val="0"/>
          <w:numId w:val="6"/>
        </w:numPr>
        <w:pBdr>
          <w:top w:val="nil"/>
          <w:left w:val="nil"/>
          <w:bottom w:val="nil"/>
          <w:right w:val="nil"/>
          <w:between w:val="nil"/>
        </w:pBdr>
        <w:spacing w:before="120" w:after="180"/>
      </w:pPr>
      <w:sdt>
        <w:sdtPr>
          <w:tag w:val="goog_rdk_17"/>
          <w:id w:val="-1318032239"/>
        </w:sdtPr>
        <w:sdtEndPr/>
        <w:sdtContent/>
      </w:sdt>
      <w:r w:rsidR="00507B07">
        <w:rPr>
          <w:color w:val="000000"/>
        </w:rPr>
        <w:t xml:space="preserve">Concomitant treatment with a strong CYP3A inhibitor or inducer affected the exposure to </w:t>
      </w:r>
      <w:proofErr w:type="spellStart"/>
      <w:r w:rsidR="00507B07">
        <w:rPr>
          <w:color w:val="000000"/>
        </w:rPr>
        <w:t>pralsetinib</w:t>
      </w:r>
      <w:proofErr w:type="spellEnd"/>
      <w:r w:rsidR="00507B07">
        <w:rPr>
          <w:color w:val="000000"/>
        </w:rPr>
        <w:t xml:space="preserve">; strong CYP3A4 inhibitors and inducers should be avoided, and if not, the </w:t>
      </w:r>
      <w:proofErr w:type="spellStart"/>
      <w:r w:rsidR="00507B07">
        <w:rPr>
          <w:color w:val="000000"/>
        </w:rPr>
        <w:t>pralsetinib</w:t>
      </w:r>
      <w:proofErr w:type="spellEnd"/>
      <w:r w:rsidR="00507B07">
        <w:rPr>
          <w:color w:val="000000"/>
        </w:rPr>
        <w:t xml:space="preserve"> dose should be reduced.</w:t>
      </w:r>
    </w:p>
    <w:p w14:paraId="00000168" w14:textId="77777777" w:rsidR="005D7E20" w:rsidRDefault="00507B07">
      <w:pPr>
        <w:numPr>
          <w:ilvl w:val="0"/>
          <w:numId w:val="6"/>
        </w:numPr>
        <w:pBdr>
          <w:top w:val="nil"/>
          <w:left w:val="nil"/>
          <w:bottom w:val="nil"/>
          <w:right w:val="nil"/>
          <w:between w:val="nil"/>
        </w:pBdr>
        <w:spacing w:before="120" w:after="180"/>
      </w:pPr>
      <w:r>
        <w:rPr>
          <w:color w:val="000000"/>
        </w:rPr>
        <w:t xml:space="preserve">No dose adjustment of </w:t>
      </w:r>
      <w:proofErr w:type="spellStart"/>
      <w:r>
        <w:rPr>
          <w:color w:val="000000"/>
        </w:rPr>
        <w:t>pralsetinib</w:t>
      </w:r>
      <w:proofErr w:type="spellEnd"/>
      <w:r>
        <w:rPr>
          <w:color w:val="000000"/>
        </w:rPr>
        <w:t xml:space="preserve"> is needed with the co-administration of gastric acid reducing drugs.</w:t>
      </w:r>
    </w:p>
    <w:p w14:paraId="00000169" w14:textId="1B137ABE" w:rsidR="005D7E20" w:rsidRDefault="00507B07">
      <w:pPr>
        <w:numPr>
          <w:ilvl w:val="0"/>
          <w:numId w:val="6"/>
        </w:numPr>
        <w:pBdr>
          <w:top w:val="nil"/>
          <w:left w:val="nil"/>
          <w:bottom w:val="nil"/>
          <w:right w:val="nil"/>
          <w:between w:val="nil"/>
        </w:pBdr>
        <w:spacing w:before="120" w:after="180"/>
      </w:pPr>
      <w:r>
        <w:rPr>
          <w:color w:val="000000"/>
        </w:rPr>
        <w:t xml:space="preserve">Co-administration of </w:t>
      </w:r>
      <w:proofErr w:type="spellStart"/>
      <w:r>
        <w:rPr>
          <w:color w:val="000000"/>
        </w:rPr>
        <w:t>pralsetinib</w:t>
      </w:r>
      <w:proofErr w:type="spellEnd"/>
      <w:r>
        <w:rPr>
          <w:color w:val="000000"/>
        </w:rPr>
        <w:t xml:space="preserve"> with combined (that is, dual) P-</w:t>
      </w:r>
      <w:proofErr w:type="spellStart"/>
      <w:r>
        <w:rPr>
          <w:color w:val="000000"/>
        </w:rPr>
        <w:t>gp</w:t>
      </w:r>
      <w:proofErr w:type="spellEnd"/>
      <w:r>
        <w:rPr>
          <w:color w:val="000000"/>
        </w:rPr>
        <w:t xml:space="preserve"> and strong CYP3A inhibitors should be avoided based on the observed </w:t>
      </w:r>
      <w:sdt>
        <w:sdtPr>
          <w:tag w:val="goog_rdk_18"/>
          <w:id w:val="2132439699"/>
        </w:sdtPr>
        <w:sdtEndPr/>
        <w:sdtContent/>
      </w:sdt>
      <w:r w:rsidR="000B7A55">
        <w:rPr>
          <w:color w:val="000000"/>
        </w:rPr>
        <w:t>3.5</w:t>
      </w:r>
      <w:r>
        <w:rPr>
          <w:color w:val="000000"/>
        </w:rPr>
        <w:t xml:space="preserve">-fold increase in </w:t>
      </w:r>
      <w:proofErr w:type="spellStart"/>
      <w:r>
        <w:rPr>
          <w:color w:val="000000"/>
        </w:rPr>
        <w:t>pralsetinib</w:t>
      </w:r>
      <w:proofErr w:type="spellEnd"/>
      <w:r>
        <w:rPr>
          <w:color w:val="000000"/>
        </w:rPr>
        <w:t xml:space="preserve"> exposure when co-administered with itraconazole. If this co-administration cannot be avoided, the current </w:t>
      </w:r>
      <w:proofErr w:type="spellStart"/>
      <w:r>
        <w:rPr>
          <w:color w:val="000000"/>
        </w:rPr>
        <w:t>pralsetinib</w:t>
      </w:r>
      <w:proofErr w:type="spellEnd"/>
      <w:r>
        <w:rPr>
          <w:color w:val="000000"/>
        </w:rPr>
        <w:t xml:space="preserve"> dose should be reduced by half.</w:t>
      </w:r>
    </w:p>
    <w:p w14:paraId="0000016A" w14:textId="77777777" w:rsidR="005D7E20" w:rsidRDefault="00507B07">
      <w:pPr>
        <w:numPr>
          <w:ilvl w:val="0"/>
          <w:numId w:val="6"/>
        </w:numPr>
        <w:pBdr>
          <w:top w:val="nil"/>
          <w:left w:val="nil"/>
          <w:bottom w:val="nil"/>
          <w:right w:val="nil"/>
          <w:between w:val="nil"/>
        </w:pBdr>
        <w:spacing w:before="120" w:after="180"/>
      </w:pPr>
      <w:r>
        <w:rPr>
          <w:color w:val="000000"/>
        </w:rPr>
        <w:t xml:space="preserve">Co-administration of </w:t>
      </w:r>
      <w:proofErr w:type="spellStart"/>
      <w:r>
        <w:rPr>
          <w:color w:val="000000"/>
        </w:rPr>
        <w:t>pralsetinib</w:t>
      </w:r>
      <w:proofErr w:type="spellEnd"/>
      <w:r>
        <w:rPr>
          <w:color w:val="000000"/>
        </w:rPr>
        <w:t xml:space="preserve"> with strong CYP3A inducers should be avoided based on the observed 68% decrease in </w:t>
      </w:r>
      <w:proofErr w:type="spellStart"/>
      <w:r>
        <w:rPr>
          <w:color w:val="000000"/>
        </w:rPr>
        <w:t>pralsetinib</w:t>
      </w:r>
      <w:proofErr w:type="spellEnd"/>
      <w:r>
        <w:rPr>
          <w:color w:val="000000"/>
        </w:rPr>
        <w:t xml:space="preserve"> exposure when co-administered with </w:t>
      </w:r>
      <w:proofErr w:type="spellStart"/>
      <w:r>
        <w:rPr>
          <w:color w:val="000000"/>
        </w:rPr>
        <w:t>rifampin</w:t>
      </w:r>
      <w:proofErr w:type="spellEnd"/>
      <w:r>
        <w:rPr>
          <w:color w:val="000000"/>
        </w:rPr>
        <w:t xml:space="preserve">. If this co-administration cannot be avoided, the current </w:t>
      </w:r>
      <w:proofErr w:type="spellStart"/>
      <w:r>
        <w:rPr>
          <w:color w:val="000000"/>
        </w:rPr>
        <w:t>pralsetinib</w:t>
      </w:r>
      <w:proofErr w:type="spellEnd"/>
      <w:r>
        <w:rPr>
          <w:color w:val="000000"/>
        </w:rPr>
        <w:t xml:space="preserve"> dose should be doubled starting on Day 7 of co-administration.</w:t>
      </w:r>
    </w:p>
    <w:p w14:paraId="0000016B" w14:textId="77777777" w:rsidR="005D7E20" w:rsidRDefault="00507B07">
      <w:pPr>
        <w:numPr>
          <w:ilvl w:val="0"/>
          <w:numId w:val="6"/>
        </w:numPr>
        <w:pBdr>
          <w:top w:val="nil"/>
          <w:left w:val="nil"/>
          <w:bottom w:val="nil"/>
          <w:right w:val="nil"/>
          <w:between w:val="nil"/>
        </w:pBdr>
        <w:spacing w:before="120" w:after="180"/>
      </w:pPr>
      <w:r>
        <w:rPr>
          <w:color w:val="000000"/>
        </w:rPr>
        <w:t xml:space="preserve">The proposed dosing regimen was the maximum tolerated dose (MTD) in the dose finding study BLU-667-1101 (n = 62). The efficacy results from the dose expansion phase of this study using the proposed dosing regimen showed that ORR in the </w:t>
      </w:r>
      <w:r>
        <w:rPr>
          <w:i/>
          <w:color w:val="000000"/>
        </w:rPr>
        <w:t>RET</w:t>
      </w:r>
      <w:r>
        <w:rPr>
          <w:color w:val="000000"/>
        </w:rPr>
        <w:t xml:space="preserve"> fusion positive NSCLC population was 57% (95% confidence interval (CI): 46%, 68%; n = 87) in patients with prior platinum treatment and 70% (95% CI: 60%, 86%; n = 27) in treatment naïve patients.</w:t>
      </w:r>
    </w:p>
    <w:p w14:paraId="0000016C" w14:textId="77777777" w:rsidR="005D7E20" w:rsidRDefault="00507B07">
      <w:pPr>
        <w:numPr>
          <w:ilvl w:val="0"/>
          <w:numId w:val="6"/>
        </w:numPr>
        <w:pBdr>
          <w:top w:val="nil"/>
          <w:left w:val="nil"/>
          <w:bottom w:val="nil"/>
          <w:right w:val="nil"/>
          <w:between w:val="nil"/>
        </w:pBdr>
        <w:spacing w:before="120" w:after="180"/>
      </w:pPr>
      <w:r>
        <w:rPr>
          <w:color w:val="000000"/>
        </w:rPr>
        <w:t xml:space="preserve">The exposure efficacy analysis suggested that no association was evident between </w:t>
      </w:r>
      <w:proofErr w:type="spellStart"/>
      <w:r>
        <w:rPr>
          <w:color w:val="000000"/>
        </w:rPr>
        <w:t>pralsetinib</w:t>
      </w:r>
      <w:proofErr w:type="spellEnd"/>
      <w:r>
        <w:rPr>
          <w:color w:val="000000"/>
        </w:rPr>
        <w:t xml:space="preserve"> exposure and PFS, DOR or best ORR in the primary efficacy population. </w:t>
      </w:r>
    </w:p>
    <w:p w14:paraId="0000016D" w14:textId="77777777" w:rsidR="005D7E20" w:rsidRDefault="00507B07">
      <w:pPr>
        <w:numPr>
          <w:ilvl w:val="0"/>
          <w:numId w:val="6"/>
        </w:numPr>
        <w:pBdr>
          <w:top w:val="nil"/>
          <w:left w:val="nil"/>
          <w:bottom w:val="nil"/>
          <w:right w:val="nil"/>
          <w:between w:val="nil"/>
        </w:pBdr>
        <w:spacing w:before="120" w:after="180"/>
      </w:pPr>
      <w:r>
        <w:rPr>
          <w:color w:val="000000"/>
        </w:rPr>
        <w:t>The exposure safety analysis suggested that a 400 ng/mL increase in average concentration at steady state appeared to correlate with the time to Grade 3 + anaemia and pneumonia, and with decreases in haemoglobin and neutrophil counts, as well as minor increases in ALT and AST.</w:t>
      </w:r>
    </w:p>
    <w:p w14:paraId="0000016E" w14:textId="77777777" w:rsidR="005D7E20" w:rsidRDefault="00507B07">
      <w:pPr>
        <w:numPr>
          <w:ilvl w:val="0"/>
          <w:numId w:val="6"/>
        </w:numPr>
        <w:pBdr>
          <w:top w:val="nil"/>
          <w:left w:val="nil"/>
          <w:bottom w:val="nil"/>
          <w:right w:val="nil"/>
          <w:between w:val="nil"/>
        </w:pBdr>
        <w:spacing w:before="120" w:after="180"/>
      </w:pPr>
      <w:proofErr w:type="gramStart"/>
      <w:r>
        <w:rPr>
          <w:color w:val="000000"/>
        </w:rPr>
        <w:lastRenderedPageBreak/>
        <w:t>A number of</w:t>
      </w:r>
      <w:proofErr w:type="gramEnd"/>
      <w:r>
        <w:rPr>
          <w:color w:val="000000"/>
        </w:rPr>
        <w:t xml:space="preserve"> pharmacology studies are outstanding and will need to be conducted as conditions of registration (as aligned with FDA post-marketing requirements, see below).</w:t>
      </w:r>
    </w:p>
    <w:p w14:paraId="0000016F" w14:textId="77777777" w:rsidR="005D7E20" w:rsidRDefault="00507B07">
      <w:pPr>
        <w:pStyle w:val="Heading5"/>
      </w:pPr>
      <w:r>
        <w:t>Summary and recommendations of pharmacology evaluation</w:t>
      </w:r>
    </w:p>
    <w:p w14:paraId="00000170" w14:textId="77777777" w:rsidR="005D7E20" w:rsidRDefault="00507B07">
      <w:bookmarkStart w:id="20" w:name="_heading=h.3j2qqm3" w:colFirst="0" w:colLast="0"/>
      <w:bookmarkEnd w:id="20"/>
      <w:r>
        <w:t xml:space="preserve">Overall, no major concerns were identified in the clinical pharmacology evaluation that would preclude authorization. </w:t>
      </w:r>
      <w:proofErr w:type="spellStart"/>
      <w:r>
        <w:t>Pralsetinib</w:t>
      </w:r>
      <w:proofErr w:type="spellEnd"/>
      <w:r>
        <w:t xml:space="preserve"> is considered approvable from a clinical pharmacology perspective, providing the following studies are conducted as part of post-marketing conditions of registration, (these are in alignment with the Post Marketing Requirements/Commitments outlined in the NDA Multi-disciplinary Review and Evaluation (213721) </w:t>
      </w:r>
      <w:proofErr w:type="spellStart"/>
      <w:r>
        <w:t>Pralsetinib</w:t>
      </w:r>
      <w:proofErr w:type="spellEnd"/>
      <w:r>
        <w:t>;</w:t>
      </w:r>
      <w:r>
        <w:rPr>
          <w:vertAlign w:val="superscript"/>
        </w:rPr>
        <w:footnoteReference w:id="6"/>
      </w:r>
    </w:p>
    <w:p w14:paraId="00000171" w14:textId="77777777" w:rsidR="005D7E20" w:rsidRDefault="00507B07">
      <w:pPr>
        <w:numPr>
          <w:ilvl w:val="0"/>
          <w:numId w:val="7"/>
        </w:numPr>
        <w:pBdr>
          <w:top w:val="nil"/>
          <w:left w:val="nil"/>
          <w:bottom w:val="nil"/>
          <w:right w:val="nil"/>
          <w:between w:val="nil"/>
        </w:pBdr>
        <w:spacing w:before="120" w:after="180"/>
      </w:pPr>
      <w:r>
        <w:rPr>
          <w:color w:val="000000"/>
        </w:rPr>
        <w:t xml:space="preserve">Conduct a hepatic impairment clinical trial to evaluate the pharmacokinetics and safety of </w:t>
      </w:r>
      <w:proofErr w:type="spellStart"/>
      <w:r>
        <w:rPr>
          <w:color w:val="000000"/>
        </w:rPr>
        <w:t>pralsetinib</w:t>
      </w:r>
      <w:proofErr w:type="spellEnd"/>
      <w:r>
        <w:rPr>
          <w:color w:val="000000"/>
        </w:rPr>
        <w:t xml:space="preserve"> in subjects with moderate and severe hepatic impairment compared to subjects with normal hepatic function. Design and conduct the trial in accordance with FDA guidance and submit the datasets with the final report.</w:t>
      </w:r>
    </w:p>
    <w:p w14:paraId="00000172" w14:textId="2712C6F6" w:rsidR="005D7E20" w:rsidRDefault="00507B07">
      <w:pPr>
        <w:numPr>
          <w:ilvl w:val="0"/>
          <w:numId w:val="7"/>
        </w:numPr>
        <w:pBdr>
          <w:top w:val="nil"/>
          <w:left w:val="nil"/>
          <w:bottom w:val="nil"/>
          <w:right w:val="nil"/>
          <w:between w:val="nil"/>
        </w:pBdr>
        <w:spacing w:before="120" w:after="180"/>
      </w:pPr>
      <w:r>
        <w:rPr>
          <w:color w:val="000000"/>
        </w:rPr>
        <w:t>Conduct a clinical drug-drug interaction study to evaluate the effect</w:t>
      </w:r>
      <w:r w:rsidR="00F96FDF">
        <w:rPr>
          <w:color w:val="000000"/>
        </w:rPr>
        <w:t xml:space="preserve"> </w:t>
      </w:r>
      <w:r>
        <w:rPr>
          <w:color w:val="000000"/>
        </w:rPr>
        <w:t>of a P-</w:t>
      </w:r>
      <w:proofErr w:type="spellStart"/>
      <w:r>
        <w:rPr>
          <w:color w:val="000000"/>
        </w:rPr>
        <w:t>gp</w:t>
      </w:r>
      <w:proofErr w:type="spellEnd"/>
      <w:r>
        <w:rPr>
          <w:color w:val="000000"/>
        </w:rPr>
        <w:t xml:space="preserve"> inhibitor on the pharmacokinetics of </w:t>
      </w:r>
      <w:proofErr w:type="spellStart"/>
      <w:r>
        <w:rPr>
          <w:color w:val="000000"/>
        </w:rPr>
        <w:t>pralsetinib</w:t>
      </w:r>
      <w:proofErr w:type="spellEnd"/>
      <w:r>
        <w:rPr>
          <w:color w:val="000000"/>
        </w:rPr>
        <w:t xml:space="preserve"> and to inform appropriate dosing strategies for safe co-administration of </w:t>
      </w:r>
      <w:proofErr w:type="spellStart"/>
      <w:r>
        <w:rPr>
          <w:color w:val="000000"/>
        </w:rPr>
        <w:t>pralsetinib</w:t>
      </w:r>
      <w:proofErr w:type="spellEnd"/>
      <w:r>
        <w:rPr>
          <w:color w:val="000000"/>
        </w:rPr>
        <w:t xml:space="preserve"> with P-</w:t>
      </w:r>
      <w:proofErr w:type="spellStart"/>
      <w:r>
        <w:rPr>
          <w:color w:val="000000"/>
        </w:rPr>
        <w:t>gp</w:t>
      </w:r>
      <w:proofErr w:type="spellEnd"/>
      <w:r>
        <w:rPr>
          <w:color w:val="000000"/>
        </w:rPr>
        <w:t xml:space="preserve"> inhibitors. Design and conduct the trial in accordance with FDA guidance and submit the datasets with the final report.</w:t>
      </w:r>
    </w:p>
    <w:p w14:paraId="00000173" w14:textId="108F0206" w:rsidR="005D7E20" w:rsidRDefault="00507B07">
      <w:pPr>
        <w:numPr>
          <w:ilvl w:val="0"/>
          <w:numId w:val="7"/>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w:t>
      </w:r>
      <w:proofErr w:type="spellStart"/>
      <w:r>
        <w:rPr>
          <w:color w:val="000000"/>
        </w:rPr>
        <w:t>modeling</w:t>
      </w:r>
      <w:proofErr w:type="spellEnd"/>
      <w:r>
        <w:rPr>
          <w:color w:val="000000"/>
        </w:rPr>
        <w:t xml:space="preserve">/simulation study to evaluate the effect of repeat doses of a moderate CYP3A inhibitor on the pharmacokinetics of </w:t>
      </w:r>
      <w:proofErr w:type="spellStart"/>
      <w:r>
        <w:rPr>
          <w:color w:val="000000"/>
        </w:rPr>
        <w:t>pralsetinib</w:t>
      </w:r>
      <w:proofErr w:type="spellEnd"/>
      <w:r>
        <w:rPr>
          <w:color w:val="000000"/>
        </w:rPr>
        <w:t xml:space="preserve">, assess the magnitude of increased </w:t>
      </w:r>
      <w:proofErr w:type="spellStart"/>
      <w:r>
        <w:rPr>
          <w:color w:val="000000"/>
        </w:rPr>
        <w:t>pralsetinib</w:t>
      </w:r>
      <w:proofErr w:type="spellEnd"/>
      <w:r>
        <w:rPr>
          <w:color w:val="000000"/>
        </w:rPr>
        <w:t xml:space="preserve"> exposure, and inform appropriate dosing strategies for safe co-administration of </w:t>
      </w:r>
      <w:proofErr w:type="spellStart"/>
      <w:r>
        <w:rPr>
          <w:color w:val="000000"/>
        </w:rPr>
        <w:t>pralsetinib</w:t>
      </w:r>
      <w:proofErr w:type="spellEnd"/>
      <w:r>
        <w:rPr>
          <w:color w:val="000000"/>
        </w:rPr>
        <w:t xml:space="preserve"> with moderate CYP3A inhibitors. Design and conduct the trial in accordance with FDA </w:t>
      </w:r>
      <w:r w:rsidR="00D63D0E">
        <w:rPr>
          <w:color w:val="000000"/>
        </w:rPr>
        <w:t>guidance and</w:t>
      </w:r>
      <w:r>
        <w:rPr>
          <w:color w:val="000000"/>
        </w:rPr>
        <w:t xml:space="preserve"> submit the model with the final report.</w:t>
      </w:r>
    </w:p>
    <w:p w14:paraId="00000174" w14:textId="77777777" w:rsidR="005D7E20" w:rsidRDefault="00507B07">
      <w:pPr>
        <w:numPr>
          <w:ilvl w:val="0"/>
          <w:numId w:val="7"/>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w:t>
      </w:r>
      <w:proofErr w:type="spellStart"/>
      <w:r>
        <w:rPr>
          <w:color w:val="000000"/>
        </w:rPr>
        <w:t>modeling</w:t>
      </w:r>
      <w:proofErr w:type="spellEnd"/>
      <w:r>
        <w:rPr>
          <w:color w:val="000000"/>
        </w:rPr>
        <w:t>/simulation study to evaluate the effect of repeat doses of a combined P-</w:t>
      </w:r>
      <w:proofErr w:type="spellStart"/>
      <w:r>
        <w:rPr>
          <w:color w:val="000000"/>
        </w:rPr>
        <w:t>gp</w:t>
      </w:r>
      <w:proofErr w:type="spellEnd"/>
      <w:r>
        <w:rPr>
          <w:color w:val="000000"/>
        </w:rPr>
        <w:t xml:space="preserve"> and moderate CYP3A inhibitor on the pharmacokinetics of </w:t>
      </w:r>
      <w:proofErr w:type="spellStart"/>
      <w:r>
        <w:rPr>
          <w:color w:val="000000"/>
        </w:rPr>
        <w:t>pralsetinib</w:t>
      </w:r>
      <w:proofErr w:type="spellEnd"/>
      <w:r>
        <w:rPr>
          <w:color w:val="000000"/>
        </w:rPr>
        <w:t xml:space="preserve">, assess the magnitude of increased </w:t>
      </w:r>
      <w:proofErr w:type="spellStart"/>
      <w:r>
        <w:rPr>
          <w:color w:val="000000"/>
        </w:rPr>
        <w:t>pralsetinib</w:t>
      </w:r>
      <w:proofErr w:type="spellEnd"/>
      <w:r>
        <w:rPr>
          <w:color w:val="000000"/>
        </w:rPr>
        <w:t xml:space="preserve"> exposure, and inform appropriate dosing strategies for safe co-administration of </w:t>
      </w:r>
      <w:proofErr w:type="spellStart"/>
      <w:r>
        <w:rPr>
          <w:color w:val="000000"/>
        </w:rPr>
        <w:t>pralsetinib</w:t>
      </w:r>
      <w:proofErr w:type="spellEnd"/>
      <w:r>
        <w:rPr>
          <w:color w:val="000000"/>
        </w:rPr>
        <w:t xml:space="preserve"> with combined P-</w:t>
      </w:r>
      <w:proofErr w:type="spellStart"/>
      <w:r>
        <w:rPr>
          <w:color w:val="000000"/>
        </w:rPr>
        <w:t>gp</w:t>
      </w:r>
      <w:proofErr w:type="spellEnd"/>
      <w:r>
        <w:rPr>
          <w:color w:val="000000"/>
        </w:rPr>
        <w:t xml:space="preserve"> and moderate CYP3A inhibitors. Design and conduct the trial in accordance with FDA </w:t>
      </w:r>
      <w:proofErr w:type="gramStart"/>
      <w:r>
        <w:rPr>
          <w:color w:val="000000"/>
        </w:rPr>
        <w:t>guidance, and</w:t>
      </w:r>
      <w:proofErr w:type="gramEnd"/>
      <w:r>
        <w:rPr>
          <w:color w:val="000000"/>
        </w:rPr>
        <w:t xml:space="preserve"> submit the model with the final report.</w:t>
      </w:r>
    </w:p>
    <w:p w14:paraId="00000175" w14:textId="05A6502F" w:rsidR="005D7E20" w:rsidRDefault="00507B07">
      <w:pPr>
        <w:numPr>
          <w:ilvl w:val="0"/>
          <w:numId w:val="7"/>
        </w:numPr>
        <w:pBdr>
          <w:top w:val="nil"/>
          <w:left w:val="nil"/>
          <w:bottom w:val="nil"/>
          <w:right w:val="nil"/>
          <w:between w:val="nil"/>
        </w:pBdr>
        <w:spacing w:before="120" w:after="180"/>
      </w:pPr>
      <w:r>
        <w:rPr>
          <w:color w:val="000000"/>
        </w:rPr>
        <w:t xml:space="preserve">Conduct a clinical drug interaction study to evaluate the effect of repeat doses of </w:t>
      </w:r>
      <w:proofErr w:type="spellStart"/>
      <w:r>
        <w:rPr>
          <w:color w:val="000000"/>
        </w:rPr>
        <w:t>pralsetinib</w:t>
      </w:r>
      <w:proofErr w:type="spellEnd"/>
      <w:r>
        <w:rPr>
          <w:color w:val="000000"/>
        </w:rPr>
        <w:t xml:space="preserve"> on the pharmacokinetics of transporter substrates of P-</w:t>
      </w:r>
      <w:proofErr w:type="spellStart"/>
      <w:r>
        <w:rPr>
          <w:color w:val="000000"/>
        </w:rPr>
        <w:t>gp</w:t>
      </w:r>
      <w:proofErr w:type="spellEnd"/>
      <w:r>
        <w:rPr>
          <w:color w:val="000000"/>
        </w:rPr>
        <w:t xml:space="preserve">, BCRP, OATP1B1, OATP1B3, MATE-1 and MATE-2K, assess the magnitude of exposure change, and inform appropriate dosing strategies for co-administration of </w:t>
      </w:r>
      <w:proofErr w:type="spellStart"/>
      <w:r>
        <w:rPr>
          <w:color w:val="000000"/>
        </w:rPr>
        <w:t>pralsetinib</w:t>
      </w:r>
      <w:proofErr w:type="spellEnd"/>
      <w:r>
        <w:rPr>
          <w:color w:val="000000"/>
        </w:rPr>
        <w:t xml:space="preserve"> with these transporter substrates. Design and conduct the trial in accordance with FDA </w:t>
      </w:r>
      <w:r w:rsidR="00D63D0E">
        <w:rPr>
          <w:color w:val="000000"/>
        </w:rPr>
        <w:t>guidance and</w:t>
      </w:r>
      <w:r>
        <w:rPr>
          <w:color w:val="000000"/>
        </w:rPr>
        <w:t xml:space="preserve"> submit the datasets with the final report.</w:t>
      </w:r>
    </w:p>
    <w:p w14:paraId="00000176" w14:textId="465DBD75" w:rsidR="005D7E20" w:rsidRDefault="00507B07">
      <w:pPr>
        <w:numPr>
          <w:ilvl w:val="0"/>
          <w:numId w:val="7"/>
        </w:numPr>
        <w:pBdr>
          <w:top w:val="nil"/>
          <w:left w:val="nil"/>
          <w:bottom w:val="nil"/>
          <w:right w:val="nil"/>
          <w:between w:val="nil"/>
        </w:pBdr>
        <w:spacing w:before="120" w:after="180"/>
      </w:pPr>
      <w:r>
        <w:rPr>
          <w:color w:val="000000"/>
        </w:rPr>
        <w:t xml:space="preserve">Conduct a clinical drug interaction study to evaluate the effect of repeat doses of </w:t>
      </w:r>
      <w:proofErr w:type="spellStart"/>
      <w:r>
        <w:rPr>
          <w:color w:val="000000"/>
        </w:rPr>
        <w:t>pralsetinib</w:t>
      </w:r>
      <w:proofErr w:type="spellEnd"/>
      <w:r>
        <w:rPr>
          <w:color w:val="000000"/>
        </w:rPr>
        <w:t xml:space="preserve"> on the pharmacokinetics of sensitive substrates of CYP3A4/5, CYP2C8, and CYP2C9, assess the magnitude of exposure change, and inform appropriate dosing strategies for safe co-administration of </w:t>
      </w:r>
      <w:proofErr w:type="spellStart"/>
      <w:r>
        <w:rPr>
          <w:color w:val="000000"/>
        </w:rPr>
        <w:t>pralsetinib</w:t>
      </w:r>
      <w:proofErr w:type="spellEnd"/>
      <w:r>
        <w:rPr>
          <w:color w:val="000000"/>
        </w:rPr>
        <w:t xml:space="preserve"> with sensitive substrates of CYP3A4/5, CYP2C8 and CYP2C9. Design and conduct the trial in accordance with FDA </w:t>
      </w:r>
      <w:r w:rsidR="00D63D0E">
        <w:rPr>
          <w:color w:val="000000"/>
        </w:rPr>
        <w:t>guidance and</w:t>
      </w:r>
      <w:r>
        <w:rPr>
          <w:color w:val="000000"/>
        </w:rPr>
        <w:t xml:space="preserve"> submit the datasets with the final report.</w:t>
      </w:r>
    </w:p>
    <w:p w14:paraId="00000177" w14:textId="6F369C1D" w:rsidR="005D7E20" w:rsidRDefault="00507B07">
      <w:pPr>
        <w:numPr>
          <w:ilvl w:val="0"/>
          <w:numId w:val="7"/>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w:t>
      </w:r>
      <w:proofErr w:type="spellStart"/>
      <w:r>
        <w:rPr>
          <w:color w:val="000000"/>
        </w:rPr>
        <w:t>modeling</w:t>
      </w:r>
      <w:proofErr w:type="spellEnd"/>
      <w:r>
        <w:rPr>
          <w:color w:val="000000"/>
        </w:rPr>
        <w:t xml:space="preserve">/simulation study to evaluate the effect of repeat doses of a moderate CYP3A inducer on the pharmacokinetics of </w:t>
      </w:r>
      <w:proofErr w:type="spellStart"/>
      <w:r>
        <w:rPr>
          <w:color w:val="000000"/>
        </w:rPr>
        <w:t>pralsetinib</w:t>
      </w:r>
      <w:proofErr w:type="spellEnd"/>
      <w:r>
        <w:rPr>
          <w:color w:val="000000"/>
        </w:rPr>
        <w:t xml:space="preserve">, assess the magnitude of decreased </w:t>
      </w:r>
      <w:proofErr w:type="spellStart"/>
      <w:r>
        <w:rPr>
          <w:color w:val="000000"/>
        </w:rPr>
        <w:t>pralsetinib</w:t>
      </w:r>
      <w:proofErr w:type="spellEnd"/>
      <w:r>
        <w:rPr>
          <w:color w:val="000000"/>
        </w:rPr>
        <w:t xml:space="preserve"> exposure, and inform appropriate dosing </w:t>
      </w:r>
      <w:r>
        <w:rPr>
          <w:color w:val="000000"/>
        </w:rPr>
        <w:lastRenderedPageBreak/>
        <w:t xml:space="preserve">strategies for co-administration of </w:t>
      </w:r>
      <w:proofErr w:type="spellStart"/>
      <w:r>
        <w:rPr>
          <w:color w:val="000000"/>
        </w:rPr>
        <w:t>pralsetinib</w:t>
      </w:r>
      <w:proofErr w:type="spellEnd"/>
      <w:r>
        <w:rPr>
          <w:color w:val="000000"/>
        </w:rPr>
        <w:t xml:space="preserve"> with moderate CYP3A inducers. Design and conduct the trial in accordance with FDA </w:t>
      </w:r>
      <w:r w:rsidR="00D63D0E">
        <w:rPr>
          <w:color w:val="000000"/>
        </w:rPr>
        <w:t>guidance and</w:t>
      </w:r>
      <w:r>
        <w:rPr>
          <w:color w:val="000000"/>
        </w:rPr>
        <w:t xml:space="preserve"> submit the model with the final report.</w:t>
      </w:r>
    </w:p>
    <w:p w14:paraId="00000178" w14:textId="77777777" w:rsidR="005D7E20" w:rsidRDefault="00507B07">
      <w:pPr>
        <w:pStyle w:val="Heading4"/>
      </w:pPr>
      <w:bookmarkStart w:id="21" w:name="_Toc148339740"/>
      <w:r>
        <w:t>Efficacy</w:t>
      </w:r>
      <w:bookmarkEnd w:id="21"/>
    </w:p>
    <w:p w14:paraId="00000179" w14:textId="06232B6B" w:rsidR="005D7E20" w:rsidRDefault="00507B07">
      <w:r>
        <w:t xml:space="preserve">A list of clinical trials relevant to the evaluation of efficacy and safety of </w:t>
      </w:r>
      <w:proofErr w:type="spellStart"/>
      <w:r>
        <w:t>pralsetinib</w:t>
      </w:r>
      <w:proofErr w:type="spellEnd"/>
      <w:r>
        <w:t xml:space="preserve"> to support the proposed indication is as outlined in NDA Multi-disciplinary Review and Evaluation </w:t>
      </w:r>
      <w:r w:rsidR="00D63D0E">
        <w:t>report,</w:t>
      </w:r>
      <w:r>
        <w:rPr>
          <w:vertAlign w:val="superscript"/>
        </w:rPr>
        <w:t>6</w:t>
      </w:r>
    </w:p>
    <w:p w14:paraId="0000017A" w14:textId="77777777" w:rsidR="005D7E20" w:rsidRDefault="00507B07">
      <w:r>
        <w:t>Data provided in this submission:</w:t>
      </w:r>
    </w:p>
    <w:p w14:paraId="0000017B" w14:textId="77777777" w:rsidR="005D7E20" w:rsidRDefault="00507B07">
      <w:pPr>
        <w:numPr>
          <w:ilvl w:val="0"/>
          <w:numId w:val="6"/>
        </w:numPr>
        <w:pBdr>
          <w:top w:val="nil"/>
          <w:left w:val="nil"/>
          <w:bottom w:val="nil"/>
          <w:right w:val="nil"/>
          <w:between w:val="nil"/>
        </w:pBdr>
        <w:spacing w:before="120" w:after="180"/>
      </w:pPr>
      <w:r>
        <w:rPr>
          <w:color w:val="000000"/>
        </w:rPr>
        <w:t xml:space="preserve">Interim clinical study report (CSR 1) for ARROW trial – 26 February 2020; data </w:t>
      </w:r>
      <w:proofErr w:type="spellStart"/>
      <w:r>
        <w:rPr>
          <w:color w:val="000000"/>
        </w:rPr>
        <w:t>cutoff</w:t>
      </w:r>
      <w:proofErr w:type="spellEnd"/>
      <w:r>
        <w:rPr>
          <w:color w:val="000000"/>
        </w:rPr>
        <w:t xml:space="preserve"> date 18 November 2019. This includes efficacy results for 132 patients with </w:t>
      </w:r>
      <w:r>
        <w:rPr>
          <w:i/>
          <w:color w:val="000000"/>
        </w:rPr>
        <w:t>RET</w:t>
      </w:r>
      <w:r>
        <w:rPr>
          <w:color w:val="000000"/>
        </w:rPr>
        <w:t xml:space="preserve"> fusion positive NSCLC who received </w:t>
      </w:r>
      <w:proofErr w:type="spellStart"/>
      <w:r>
        <w:rPr>
          <w:color w:val="000000"/>
        </w:rPr>
        <w:t>pralsetinib</w:t>
      </w:r>
      <w:proofErr w:type="spellEnd"/>
      <w:r>
        <w:rPr>
          <w:color w:val="000000"/>
        </w:rPr>
        <w:t xml:space="preserve"> 400 mg once daily by 11 July 2019, and safety results for 404 patients who received at least one dose of </w:t>
      </w:r>
      <w:proofErr w:type="spellStart"/>
      <w:r>
        <w:rPr>
          <w:color w:val="000000"/>
        </w:rPr>
        <w:t>pralsetinib</w:t>
      </w:r>
      <w:proofErr w:type="spellEnd"/>
    </w:p>
    <w:p w14:paraId="0000017C" w14:textId="77777777" w:rsidR="005D7E20" w:rsidRDefault="00507B07">
      <w:pPr>
        <w:numPr>
          <w:ilvl w:val="0"/>
          <w:numId w:val="6"/>
        </w:numPr>
        <w:pBdr>
          <w:top w:val="nil"/>
          <w:left w:val="nil"/>
          <w:bottom w:val="nil"/>
          <w:right w:val="nil"/>
          <w:between w:val="nil"/>
        </w:pBdr>
        <w:spacing w:before="120" w:after="180"/>
      </w:pPr>
      <w:r>
        <w:rPr>
          <w:color w:val="000000"/>
        </w:rPr>
        <w:t xml:space="preserve">90-day safety update and 90-day efficacy update of ARROW trial – 11 June 2020; data </w:t>
      </w:r>
      <w:proofErr w:type="spellStart"/>
      <w:r>
        <w:rPr>
          <w:color w:val="000000"/>
        </w:rPr>
        <w:t>cutoff</w:t>
      </w:r>
      <w:proofErr w:type="spellEnd"/>
      <w:r>
        <w:rPr>
          <w:color w:val="000000"/>
        </w:rPr>
        <w:t xml:space="preserve"> 13 February 2020. Includes analysis of efficacy population of patients with NSCLC treated at 400 mg once daily, enrolled as of 11 July 2019 (n = 132), and additional efficacy analyses for patients with ‘</w:t>
      </w:r>
      <w:r>
        <w:rPr>
          <w:i/>
          <w:color w:val="000000"/>
        </w:rPr>
        <w:t>RET-</w:t>
      </w:r>
      <w:r>
        <w:rPr>
          <w:color w:val="000000"/>
        </w:rPr>
        <w:t>altered measurable disease’ (n = 125, treated at 400 mg once daily).</w:t>
      </w:r>
    </w:p>
    <w:p w14:paraId="0000017D" w14:textId="77777777" w:rsidR="005D7E20" w:rsidRDefault="00507B07">
      <w:pPr>
        <w:numPr>
          <w:ilvl w:val="0"/>
          <w:numId w:val="6"/>
        </w:numPr>
        <w:pBdr>
          <w:top w:val="nil"/>
          <w:left w:val="nil"/>
          <w:bottom w:val="nil"/>
          <w:right w:val="nil"/>
          <w:between w:val="nil"/>
        </w:pBdr>
        <w:spacing w:before="120" w:after="180"/>
      </w:pPr>
      <w:r>
        <w:rPr>
          <w:color w:val="000000"/>
        </w:rPr>
        <w:t xml:space="preserve">Revised dataset package, with 90-day data update based on </w:t>
      </w:r>
      <w:proofErr w:type="spellStart"/>
      <w:r>
        <w:rPr>
          <w:color w:val="000000"/>
        </w:rPr>
        <w:t>cutoff</w:t>
      </w:r>
      <w:proofErr w:type="spellEnd"/>
      <w:r>
        <w:rPr>
          <w:color w:val="000000"/>
        </w:rPr>
        <w:t xml:space="preserve"> date of 13 February 2020.</w:t>
      </w:r>
    </w:p>
    <w:p w14:paraId="0000017E" w14:textId="77777777" w:rsidR="005D7E20" w:rsidRDefault="00507B07">
      <w:pPr>
        <w:pStyle w:val="Heading5"/>
      </w:pPr>
      <w:r>
        <w:t>Efficacy/safety data sets</w:t>
      </w:r>
    </w:p>
    <w:p w14:paraId="0000017F" w14:textId="77777777" w:rsidR="005D7E20" w:rsidRDefault="00507B07">
      <w:r>
        <w:t xml:space="preserve">The efficacy of </w:t>
      </w:r>
      <w:proofErr w:type="spellStart"/>
      <w:r>
        <w:t>pralsetinib</w:t>
      </w:r>
      <w:proofErr w:type="spellEnd"/>
      <w:r>
        <w:t xml:space="preserve"> in patients with </w:t>
      </w:r>
      <w:r>
        <w:rPr>
          <w:i/>
        </w:rPr>
        <w:t>RET</w:t>
      </w:r>
      <w:r>
        <w:t xml:space="preserve"> fusion positive NSCLC was evaluated in the pivotal Phase I/II Study BLU-667-1101 (ARROW trial), NCT03037385.</w:t>
      </w:r>
    </w:p>
    <w:p w14:paraId="00000180" w14:textId="77777777" w:rsidR="005D7E20" w:rsidRDefault="00507B07">
      <w:r>
        <w:t>Primary efficacy evaluated in this submission is based on the subpopulation of patients with measurable metastatic RET fusion positive NSCLC who had received prior platinum-based chemotherapy treated at 400 mg once daily, (n = 87) and those with measurable metastatic RET fusion positive NSCLC who had not received prior treatment for their metastatic disease (n = 27). The efficacy analyses submitted by the sponsor represents data from the 132 patients with RET fusion positive NSCLC treated at 400 mg once daily (enrolled by 11 July 2019) with measurable and non-measurable disease.</w:t>
      </w:r>
    </w:p>
    <w:p w14:paraId="00000181" w14:textId="77777777" w:rsidR="005D7E20" w:rsidRDefault="00507B07">
      <w:pPr>
        <w:pStyle w:val="Heading6"/>
      </w:pPr>
      <w:r>
        <w:t>Study BLU-667-1101 (ARROW trial)</w:t>
      </w:r>
    </w:p>
    <w:p w14:paraId="00000182" w14:textId="77777777" w:rsidR="005D7E20" w:rsidRDefault="00507B07">
      <w:r>
        <w:t xml:space="preserve">Study BLU-667-1101, also known as ARROW </w:t>
      </w:r>
      <w:sdt>
        <w:sdtPr>
          <w:tag w:val="goog_rdk_20"/>
          <w:id w:val="-597993"/>
        </w:sdtPr>
        <w:sdtEndPr/>
        <w:sdtContent>
          <w:r>
            <w:t xml:space="preserve">trial </w:t>
          </w:r>
        </w:sdtContent>
      </w:sdt>
      <w:r>
        <w:t xml:space="preserve">is a Phase I/II study of the highly selective RET inhibitor, </w:t>
      </w:r>
      <w:proofErr w:type="spellStart"/>
      <w:r>
        <w:t>pralsetinib</w:t>
      </w:r>
      <w:proofErr w:type="spellEnd"/>
      <w:r>
        <w:t xml:space="preserve">, in patients with thyroid cancer, NSCLC and other advanced solid </w:t>
      </w:r>
      <w:proofErr w:type="spellStart"/>
      <w:r>
        <w:t>tumors</w:t>
      </w:r>
      <w:proofErr w:type="spellEnd"/>
      <w:r>
        <w:t xml:space="preserve">. It is an open label, first in human study designed to evaluate the safety, tolerability, PK, pharmacodynamic and antineoplastic activity of </w:t>
      </w:r>
      <w:proofErr w:type="spellStart"/>
      <w:r>
        <w:t>pralsetinib</w:t>
      </w:r>
      <w:proofErr w:type="spellEnd"/>
      <w:r>
        <w:t xml:space="preserve"> in patients with advanced, unresectable, </w:t>
      </w:r>
      <w:r>
        <w:rPr>
          <w:i/>
        </w:rPr>
        <w:t>RET</w:t>
      </w:r>
      <w:r>
        <w:t xml:space="preserve">-altered NSCLC, MTC and other </w:t>
      </w:r>
      <w:r>
        <w:rPr>
          <w:i/>
        </w:rPr>
        <w:t>RET</w:t>
      </w:r>
      <w:r>
        <w:t>-altered solid tumours.</w:t>
      </w:r>
    </w:p>
    <w:p w14:paraId="00000183" w14:textId="77777777" w:rsidR="005D7E20" w:rsidRDefault="00507B07">
      <w:r>
        <w:t xml:space="preserve">The study included a Phase I dose escalation part (to determine MTD and recommended Phase II dose [RP2D] of </w:t>
      </w:r>
      <w:proofErr w:type="spellStart"/>
      <w:r>
        <w:t>pralsetinib</w:t>
      </w:r>
      <w:proofErr w:type="spellEnd"/>
      <w:r>
        <w:t xml:space="preserve">) followed by a Phase II expansion part to assess the clinical efficacy of </w:t>
      </w:r>
      <w:proofErr w:type="spellStart"/>
      <w:r>
        <w:t>pralsetinib</w:t>
      </w:r>
      <w:proofErr w:type="spellEnd"/>
      <w:r>
        <w:t xml:space="preserve"> in specific tumour types and treatment settings, measured primarily by ORR, and further define the safety and tolerability at the RP2D.</w:t>
      </w:r>
    </w:p>
    <w:p w14:paraId="00000184" w14:textId="77777777" w:rsidR="005D7E20" w:rsidRDefault="00507B07" w:rsidP="00D63D0E">
      <w:pPr>
        <w:pStyle w:val="FigureTitle"/>
        <w:pageBreakBefore/>
      </w:pPr>
      <w:r>
        <w:lastRenderedPageBreak/>
        <w:t>Figure 2: Study BLU-667-1101 design</w:t>
      </w:r>
    </w:p>
    <w:p w14:paraId="00000185" w14:textId="77777777" w:rsidR="005D7E20" w:rsidRDefault="00507B07">
      <w:r>
        <w:rPr>
          <w:noProof/>
          <w:lang w:val="en-NZ"/>
        </w:rPr>
        <w:drawing>
          <wp:inline distT="0" distB="0" distL="0" distR="0" wp14:anchorId="35F1E10A" wp14:editId="1B530132">
            <wp:extent cx="5465603" cy="3744404"/>
            <wp:effectExtent l="0" t="0" r="0" b="0"/>
            <wp:docPr id="45" name="image22.png" descr="Study BLU-667-1101 design"/>
            <wp:cNvGraphicFramePr/>
            <a:graphic xmlns:a="http://schemas.openxmlformats.org/drawingml/2006/main">
              <a:graphicData uri="http://schemas.openxmlformats.org/drawingml/2006/picture">
                <pic:pic xmlns:pic="http://schemas.openxmlformats.org/drawingml/2006/picture">
                  <pic:nvPicPr>
                    <pic:cNvPr id="0" name="image22.png" descr="Study BLU-667-1101 design"/>
                    <pic:cNvPicPr preferRelativeResize="0"/>
                  </pic:nvPicPr>
                  <pic:blipFill>
                    <a:blip r:embed="rId37"/>
                    <a:srcRect t="7610"/>
                    <a:stretch>
                      <a:fillRect/>
                    </a:stretch>
                  </pic:blipFill>
                  <pic:spPr>
                    <a:xfrm>
                      <a:off x="0" y="0"/>
                      <a:ext cx="5465603" cy="3744404"/>
                    </a:xfrm>
                    <a:prstGeom prst="rect">
                      <a:avLst/>
                    </a:prstGeom>
                    <a:ln/>
                  </pic:spPr>
                </pic:pic>
              </a:graphicData>
            </a:graphic>
          </wp:inline>
        </w:drawing>
      </w:r>
    </w:p>
    <w:p w14:paraId="00000186"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Trial location</w:t>
      </w:r>
    </w:p>
    <w:p w14:paraId="00000187" w14:textId="77777777" w:rsidR="005D7E20" w:rsidRDefault="00507B07">
      <w:r>
        <w:t>Phase I: 6 centres across North America and Europe</w:t>
      </w:r>
    </w:p>
    <w:p w14:paraId="00000188" w14:textId="77777777" w:rsidR="005D7E20" w:rsidRDefault="00507B07">
      <w:r>
        <w:t xml:space="preserve">Phase II: 53 centres across North America, </w:t>
      </w:r>
      <w:proofErr w:type="gramStart"/>
      <w:r>
        <w:t>Europe</w:t>
      </w:r>
      <w:proofErr w:type="gramEnd"/>
      <w:r>
        <w:t xml:space="preserve"> and Asia</w:t>
      </w:r>
    </w:p>
    <w:p w14:paraId="00000189" w14:textId="77777777" w:rsidR="005D7E20" w:rsidRDefault="00507B07">
      <w:r>
        <w:t>There were no study sites in Australia.</w:t>
      </w:r>
    </w:p>
    <w:p w14:paraId="0000018A"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Diagnostic criteria</w:t>
      </w:r>
    </w:p>
    <w:p w14:paraId="0000018B" w14:textId="77777777" w:rsidR="005D7E20" w:rsidRDefault="00507B07">
      <w:r>
        <w:t xml:space="preserve">Patients with confirmed oncogenic </w:t>
      </w:r>
      <w:r>
        <w:rPr>
          <w:i/>
        </w:rPr>
        <w:t>RET</w:t>
      </w:r>
      <w:r>
        <w:t xml:space="preserve"> fusion as determined by local testing of tumour of circulation tumour DNA (</w:t>
      </w:r>
      <w:proofErr w:type="spellStart"/>
      <w:r>
        <w:t>ctDNA</w:t>
      </w:r>
      <w:proofErr w:type="spellEnd"/>
      <w:r>
        <w:t>)</w:t>
      </w:r>
    </w:p>
    <w:p w14:paraId="0000018C" w14:textId="77777777" w:rsidR="005D7E20" w:rsidRDefault="00507B07">
      <w:pPr>
        <w:keepNext/>
        <w:pBdr>
          <w:top w:val="nil"/>
          <w:left w:val="nil"/>
          <w:bottom w:val="nil"/>
          <w:right w:val="nil"/>
          <w:between w:val="nil"/>
        </w:pBdr>
        <w:spacing w:before="120"/>
        <w:rPr>
          <w:b/>
          <w:color w:val="000000"/>
        </w:rPr>
      </w:pPr>
      <w:r>
        <w:rPr>
          <w:b/>
          <w:color w:val="000000"/>
        </w:rPr>
        <w:lastRenderedPageBreak/>
        <w:t>Table 3: Study BLU-677-1101 key inclusion and exclusion criteria</w:t>
      </w:r>
    </w:p>
    <w:tbl>
      <w:tblPr>
        <w:tblStyle w:val="a4"/>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550"/>
        <w:gridCol w:w="7466"/>
      </w:tblGrid>
      <w:tr w:rsidR="005D7E20" w14:paraId="15A2D709" w14:textId="77777777" w:rsidTr="00D63D0E">
        <w:trPr>
          <w:cantSplit/>
        </w:trPr>
        <w:tc>
          <w:tcPr>
            <w:tcW w:w="1550" w:type="dxa"/>
          </w:tcPr>
          <w:p w14:paraId="0000018D" w14:textId="77777777" w:rsidR="005D7E20" w:rsidRDefault="00507B07">
            <w:pPr>
              <w:rPr>
                <w:sz w:val="18"/>
                <w:szCs w:val="18"/>
              </w:rPr>
            </w:pPr>
            <w:r>
              <w:rPr>
                <w:sz w:val="18"/>
                <w:szCs w:val="18"/>
              </w:rPr>
              <w:t>Patients</w:t>
            </w:r>
          </w:p>
        </w:tc>
        <w:tc>
          <w:tcPr>
            <w:tcW w:w="7466" w:type="dxa"/>
          </w:tcPr>
          <w:p w14:paraId="0000018E" w14:textId="77777777" w:rsidR="005D7E20" w:rsidRDefault="00507B07">
            <w:pPr>
              <w:rPr>
                <w:sz w:val="18"/>
                <w:szCs w:val="18"/>
              </w:rPr>
            </w:pPr>
            <w:r>
              <w:rPr>
                <w:sz w:val="18"/>
                <w:szCs w:val="18"/>
              </w:rPr>
              <w:t>Efficacy evaluation</w:t>
            </w:r>
          </w:p>
          <w:p w14:paraId="0000018F"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treatment naïve (n = 27)</w:t>
            </w:r>
          </w:p>
          <w:p w14:paraId="00000190"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pre-treated with platinum-based chemotherapy (n = 87)</w:t>
            </w:r>
          </w:p>
          <w:p w14:paraId="00000191" w14:textId="77777777" w:rsidR="005D7E20" w:rsidRDefault="00507B07">
            <w:pPr>
              <w:rPr>
                <w:i/>
                <w:sz w:val="18"/>
                <w:szCs w:val="18"/>
                <w:u w:val="single"/>
              </w:rPr>
            </w:pPr>
            <w:r>
              <w:rPr>
                <w:i/>
                <w:sz w:val="18"/>
                <w:szCs w:val="18"/>
                <w:u w:val="single"/>
              </w:rPr>
              <w:t>Key inclusion criteria</w:t>
            </w:r>
          </w:p>
          <w:p w14:paraId="00000192" w14:textId="77777777" w:rsidR="005D7E20" w:rsidRDefault="00507B07">
            <w:pPr>
              <w:rPr>
                <w:sz w:val="18"/>
                <w:szCs w:val="18"/>
                <w:u w:val="single"/>
              </w:rPr>
            </w:pPr>
            <w:r>
              <w:rPr>
                <w:sz w:val="18"/>
                <w:szCs w:val="18"/>
                <w:u w:val="single"/>
              </w:rPr>
              <w:t>Phase I:</w:t>
            </w:r>
          </w:p>
          <w:p w14:paraId="00000193"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Pathologically documented, definitively diagnosed unresectable advanced solid tumour</w:t>
            </w:r>
          </w:p>
          <w:p w14:paraId="00000194"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At least 18 years</w:t>
            </w:r>
          </w:p>
          <w:p w14:paraId="00000195"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ECOG: 0 or 1</w:t>
            </w:r>
          </w:p>
          <w:p w14:paraId="00000196"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Progressed on, or inadequate response to, intolerant of, or inappropriate for standard therapy, or no accepted standard therapy.</w:t>
            </w:r>
          </w:p>
          <w:p w14:paraId="00000197" w14:textId="77777777" w:rsidR="005D7E20" w:rsidRDefault="00507B07">
            <w:pPr>
              <w:rPr>
                <w:sz w:val="18"/>
                <w:szCs w:val="18"/>
                <w:u w:val="single"/>
              </w:rPr>
            </w:pPr>
            <w:r>
              <w:rPr>
                <w:sz w:val="18"/>
                <w:szCs w:val="18"/>
                <w:u w:val="single"/>
              </w:rPr>
              <w:t>Phase II:</w:t>
            </w:r>
          </w:p>
          <w:p w14:paraId="00000198" w14:textId="77777777" w:rsidR="005D7E20" w:rsidRDefault="00507B07">
            <w:pPr>
              <w:rPr>
                <w:sz w:val="18"/>
                <w:szCs w:val="18"/>
              </w:rPr>
            </w:pPr>
            <w:r>
              <w:rPr>
                <w:sz w:val="18"/>
                <w:szCs w:val="18"/>
              </w:rPr>
              <w:t xml:space="preserve">Group 1: </w:t>
            </w:r>
          </w:p>
          <w:p w14:paraId="00000199"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 xml:space="preserve">Men or women, at least 18 years with unresectable, pathologically documented, definitively diagnosed locally advanced or metastatic NSCLC with a </w:t>
            </w:r>
            <w:r>
              <w:rPr>
                <w:i/>
                <w:sz w:val="18"/>
                <w:szCs w:val="18"/>
              </w:rPr>
              <w:t>RET</w:t>
            </w:r>
            <w:r>
              <w:rPr>
                <w:sz w:val="18"/>
                <w:szCs w:val="18"/>
              </w:rPr>
              <w:t xml:space="preserve"> fusion previously treated with a platinum-based chemotherapy</w:t>
            </w:r>
          </w:p>
          <w:p w14:paraId="0000019A" w14:textId="77777777" w:rsidR="005D7E20" w:rsidRDefault="00507B07">
            <w:pPr>
              <w:rPr>
                <w:sz w:val="18"/>
                <w:szCs w:val="18"/>
              </w:rPr>
            </w:pPr>
            <w:r>
              <w:rPr>
                <w:sz w:val="18"/>
                <w:szCs w:val="18"/>
              </w:rPr>
              <w:t>Group 2:</w:t>
            </w:r>
          </w:p>
          <w:p w14:paraId="0000019B"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 xml:space="preserve">Men or women at least 18 years with unresectable, pathologically documented, definitively diagnosed locally advanced or metastatic NSCLC with a </w:t>
            </w:r>
            <w:r>
              <w:rPr>
                <w:i/>
                <w:sz w:val="18"/>
                <w:szCs w:val="18"/>
              </w:rPr>
              <w:t xml:space="preserve">RET </w:t>
            </w:r>
            <w:r>
              <w:rPr>
                <w:sz w:val="18"/>
                <w:szCs w:val="18"/>
              </w:rPr>
              <w:t xml:space="preserve">fusion not previously treated with a platinum-based chemotherapy. (Up until Amendment 9, treatment naïve patients were only allowed if standard therapy was inappropriate. With Amendment 9, prior platinum chemotherapy in the neoadjuvant and adjuvant settings were permitted if the last dose of platinum was at least 4 months before the first dose of </w:t>
            </w:r>
            <w:proofErr w:type="spellStart"/>
            <w:r>
              <w:rPr>
                <w:sz w:val="18"/>
                <w:szCs w:val="18"/>
              </w:rPr>
              <w:t>pralsetinib</w:t>
            </w:r>
            <w:proofErr w:type="spellEnd"/>
            <w:r>
              <w:rPr>
                <w:sz w:val="18"/>
                <w:szCs w:val="18"/>
              </w:rPr>
              <w:t>.)</w:t>
            </w:r>
          </w:p>
          <w:p w14:paraId="0000019C" w14:textId="77777777" w:rsidR="005D7E20" w:rsidRDefault="00507B07">
            <w:pPr>
              <w:rPr>
                <w:sz w:val="18"/>
                <w:szCs w:val="18"/>
              </w:rPr>
            </w:pPr>
            <w:r>
              <w:rPr>
                <w:sz w:val="18"/>
                <w:szCs w:val="18"/>
              </w:rPr>
              <w:t>Both groups:</w:t>
            </w:r>
          </w:p>
          <w:p w14:paraId="0000019D" w14:textId="77777777" w:rsidR="005D7E20" w:rsidRDefault="00507B07">
            <w:pPr>
              <w:numPr>
                <w:ilvl w:val="0"/>
                <w:numId w:val="2"/>
              </w:numPr>
              <w:pBdr>
                <w:top w:val="nil"/>
                <w:left w:val="nil"/>
                <w:bottom w:val="nil"/>
                <w:right w:val="nil"/>
                <w:between w:val="nil"/>
              </w:pBdr>
              <w:spacing w:before="0"/>
              <w:ind w:right="0"/>
              <w:rPr>
                <w:sz w:val="18"/>
                <w:szCs w:val="18"/>
              </w:rPr>
            </w:pPr>
            <w:r>
              <w:rPr>
                <w:i/>
                <w:sz w:val="18"/>
                <w:szCs w:val="18"/>
              </w:rPr>
              <w:t>RET</w:t>
            </w:r>
            <w:r>
              <w:rPr>
                <w:sz w:val="18"/>
                <w:szCs w:val="18"/>
              </w:rPr>
              <w:t xml:space="preserve"> fusion, as determined by local testing of tumour or </w:t>
            </w:r>
            <w:proofErr w:type="spellStart"/>
            <w:r>
              <w:rPr>
                <w:sz w:val="18"/>
                <w:szCs w:val="18"/>
              </w:rPr>
              <w:t>ctDNA</w:t>
            </w:r>
            <w:proofErr w:type="spellEnd"/>
            <w:r>
              <w:rPr>
                <w:sz w:val="18"/>
                <w:szCs w:val="18"/>
              </w:rPr>
              <w:t xml:space="preserve"> in blood</w:t>
            </w:r>
          </w:p>
          <w:p w14:paraId="0000019E"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Measurable disease per RECIST v1.1</w:t>
            </w:r>
          </w:p>
          <w:p w14:paraId="0000019F"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ECOG 0 or 1</w:t>
            </w:r>
          </w:p>
          <w:p w14:paraId="000001A0" w14:textId="77777777" w:rsidR="005D7E20" w:rsidRDefault="00507B07">
            <w:pPr>
              <w:rPr>
                <w:i/>
                <w:sz w:val="18"/>
                <w:szCs w:val="18"/>
                <w:u w:val="single"/>
              </w:rPr>
            </w:pPr>
            <w:r>
              <w:rPr>
                <w:i/>
                <w:sz w:val="18"/>
                <w:szCs w:val="18"/>
                <w:u w:val="single"/>
              </w:rPr>
              <w:t>Key exclusion criteria</w:t>
            </w:r>
          </w:p>
          <w:p w14:paraId="000001A1"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Primary driver alteration other than RET</w:t>
            </w:r>
          </w:p>
          <w:p w14:paraId="000001A2"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 xml:space="preserve">History of myocardial infarction or unstable angina within previous 6 months; clinically significant cardiovascular disease, uncontrolled </w:t>
            </w:r>
            <w:proofErr w:type="gramStart"/>
            <w:r>
              <w:rPr>
                <w:sz w:val="18"/>
                <w:szCs w:val="18"/>
              </w:rPr>
              <w:t>hypertension</w:t>
            </w:r>
            <w:proofErr w:type="gramEnd"/>
            <w:r>
              <w:rPr>
                <w:sz w:val="18"/>
                <w:szCs w:val="18"/>
              </w:rPr>
              <w:t xml:space="preserve"> or uncontrolled arrhythmias</w:t>
            </w:r>
          </w:p>
          <w:p w14:paraId="000001A3"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 xml:space="preserve">Previous treatment with selection RET inhibitor (except Group 6) or any systemic anticancer therapy and all forms of radiotherapy within 14 days or 5 </w:t>
            </w:r>
            <w:proofErr w:type="spellStart"/>
            <w:r>
              <w:rPr>
                <w:sz w:val="18"/>
                <w:szCs w:val="18"/>
              </w:rPr>
              <w:t>half lives</w:t>
            </w:r>
            <w:proofErr w:type="spellEnd"/>
            <w:r>
              <w:rPr>
                <w:sz w:val="18"/>
                <w:szCs w:val="18"/>
              </w:rPr>
              <w:t xml:space="preserve"> before first dose of </w:t>
            </w:r>
            <w:proofErr w:type="spellStart"/>
            <w:r>
              <w:rPr>
                <w:sz w:val="18"/>
                <w:szCs w:val="18"/>
              </w:rPr>
              <w:t>pralsetinib</w:t>
            </w:r>
            <w:proofErr w:type="spellEnd"/>
            <w:r>
              <w:rPr>
                <w:sz w:val="18"/>
                <w:szCs w:val="18"/>
              </w:rPr>
              <w:t xml:space="preserve">; immunotherapy or other antibody therapy within 28 days before first dose of </w:t>
            </w:r>
            <w:proofErr w:type="spellStart"/>
            <w:r>
              <w:rPr>
                <w:sz w:val="18"/>
                <w:szCs w:val="18"/>
              </w:rPr>
              <w:t>pralsetinib</w:t>
            </w:r>
            <w:proofErr w:type="spellEnd"/>
            <w:r>
              <w:rPr>
                <w:sz w:val="18"/>
                <w:szCs w:val="18"/>
              </w:rPr>
              <w:t xml:space="preserve">, or neutrophil growth factor support within 14 days of the first dose of </w:t>
            </w:r>
            <w:proofErr w:type="spellStart"/>
            <w:r>
              <w:rPr>
                <w:sz w:val="18"/>
                <w:szCs w:val="18"/>
              </w:rPr>
              <w:t>pralsetinib</w:t>
            </w:r>
            <w:proofErr w:type="spellEnd"/>
          </w:p>
          <w:p w14:paraId="000001A4"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 xml:space="preserve">Inadequate haematology and clinical chemistry values within 14 days before first dose of </w:t>
            </w:r>
            <w:proofErr w:type="spellStart"/>
            <w:r>
              <w:rPr>
                <w:sz w:val="18"/>
                <w:szCs w:val="18"/>
              </w:rPr>
              <w:t>pralsetinib</w:t>
            </w:r>
            <w:proofErr w:type="spellEnd"/>
          </w:p>
          <w:p w14:paraId="000001A5" w14:textId="77777777" w:rsidR="005D7E20" w:rsidRDefault="00507B07">
            <w:pPr>
              <w:numPr>
                <w:ilvl w:val="0"/>
                <w:numId w:val="2"/>
              </w:numPr>
              <w:pBdr>
                <w:top w:val="nil"/>
                <w:left w:val="nil"/>
                <w:bottom w:val="nil"/>
                <w:right w:val="nil"/>
                <w:between w:val="nil"/>
              </w:pBdr>
              <w:spacing w:before="0"/>
              <w:ind w:right="0"/>
              <w:rPr>
                <w:sz w:val="18"/>
                <w:szCs w:val="18"/>
              </w:rPr>
            </w:pPr>
            <w:proofErr w:type="spellStart"/>
            <w:r>
              <w:rPr>
                <w:sz w:val="18"/>
                <w:szCs w:val="18"/>
              </w:rPr>
              <w:t>QTcF</w:t>
            </w:r>
            <w:proofErr w:type="spellEnd"/>
            <w:r>
              <w:rPr>
                <w:sz w:val="18"/>
                <w:szCs w:val="18"/>
              </w:rPr>
              <w:t xml:space="preserve"> &gt; 470ms and history of prolonged QTS or </w:t>
            </w:r>
            <w:proofErr w:type="spellStart"/>
            <w:r>
              <w:rPr>
                <w:sz w:val="18"/>
                <w:szCs w:val="18"/>
              </w:rPr>
              <w:t>TdP</w:t>
            </w:r>
            <w:proofErr w:type="spellEnd"/>
          </w:p>
          <w:p w14:paraId="000001A6"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Presence of CNS metastases or primary CNS tumour that is associated with progressive neurological symptoms or requiring increasing doses of corticosteroids to control CNS disease</w:t>
            </w:r>
          </w:p>
          <w:p w14:paraId="000001A7"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Symptomatic interstitial lung disease or interstitial pneumonitis</w:t>
            </w:r>
          </w:p>
          <w:p w14:paraId="000001A8" w14:textId="77777777" w:rsidR="005D7E20" w:rsidRDefault="00507B07">
            <w:pPr>
              <w:numPr>
                <w:ilvl w:val="0"/>
                <w:numId w:val="2"/>
              </w:numPr>
              <w:pBdr>
                <w:top w:val="nil"/>
                <w:left w:val="nil"/>
                <w:bottom w:val="nil"/>
                <w:right w:val="nil"/>
                <w:between w:val="nil"/>
              </w:pBdr>
              <w:spacing w:before="0"/>
              <w:ind w:right="0"/>
              <w:rPr>
                <w:sz w:val="18"/>
                <w:szCs w:val="18"/>
              </w:rPr>
            </w:pPr>
            <w:r>
              <w:rPr>
                <w:sz w:val="18"/>
                <w:szCs w:val="18"/>
              </w:rPr>
              <w:t>Pregnancy and breastfeeding</w:t>
            </w:r>
          </w:p>
          <w:p w14:paraId="000001A9" w14:textId="77777777" w:rsidR="005D7E20" w:rsidRDefault="005D7E20">
            <w:pPr>
              <w:rPr>
                <w:sz w:val="18"/>
                <w:szCs w:val="18"/>
              </w:rPr>
            </w:pPr>
          </w:p>
        </w:tc>
      </w:tr>
      <w:tr w:rsidR="005D7E20" w14:paraId="23203DC7" w14:textId="77777777" w:rsidTr="00D63D0E">
        <w:trPr>
          <w:cantSplit/>
        </w:trPr>
        <w:tc>
          <w:tcPr>
            <w:tcW w:w="1550" w:type="dxa"/>
          </w:tcPr>
          <w:p w14:paraId="000001AA" w14:textId="77777777" w:rsidR="005D7E20" w:rsidRDefault="00507B07">
            <w:pPr>
              <w:rPr>
                <w:sz w:val="18"/>
                <w:szCs w:val="18"/>
              </w:rPr>
            </w:pPr>
            <w:r>
              <w:rPr>
                <w:sz w:val="18"/>
                <w:szCs w:val="18"/>
              </w:rPr>
              <w:t>Intervention</w:t>
            </w:r>
          </w:p>
        </w:tc>
        <w:tc>
          <w:tcPr>
            <w:tcW w:w="7466" w:type="dxa"/>
          </w:tcPr>
          <w:p w14:paraId="000001AB" w14:textId="77777777" w:rsidR="005D7E20" w:rsidRDefault="00507B07">
            <w:pPr>
              <w:rPr>
                <w:sz w:val="18"/>
                <w:szCs w:val="18"/>
              </w:rPr>
            </w:pPr>
            <w:r>
              <w:rPr>
                <w:sz w:val="18"/>
                <w:szCs w:val="18"/>
              </w:rPr>
              <w:t xml:space="preserve">Phase I: </w:t>
            </w:r>
            <w:proofErr w:type="spellStart"/>
            <w:r>
              <w:rPr>
                <w:sz w:val="18"/>
                <w:szCs w:val="18"/>
              </w:rPr>
              <w:t>pralsetinib</w:t>
            </w:r>
            <w:proofErr w:type="spellEnd"/>
            <w:r>
              <w:rPr>
                <w:sz w:val="18"/>
                <w:szCs w:val="18"/>
              </w:rPr>
              <w:t xml:space="preserve"> once daily (30 to 600 mg) or twice daily (100/100 mg or 200/100 mg) to determine MTD and RP2D</w:t>
            </w:r>
          </w:p>
          <w:p w14:paraId="000001AC" w14:textId="77777777" w:rsidR="005D7E20" w:rsidRDefault="00507B07">
            <w:pPr>
              <w:rPr>
                <w:sz w:val="18"/>
                <w:szCs w:val="18"/>
              </w:rPr>
            </w:pPr>
            <w:r>
              <w:rPr>
                <w:sz w:val="18"/>
                <w:szCs w:val="18"/>
              </w:rPr>
              <w:t xml:space="preserve">Phase II: </w:t>
            </w:r>
            <w:proofErr w:type="spellStart"/>
            <w:r>
              <w:rPr>
                <w:sz w:val="18"/>
                <w:szCs w:val="18"/>
              </w:rPr>
              <w:t>pralsetinib</w:t>
            </w:r>
            <w:proofErr w:type="spellEnd"/>
            <w:r>
              <w:rPr>
                <w:sz w:val="18"/>
                <w:szCs w:val="18"/>
              </w:rPr>
              <w:t xml:space="preserve"> 400 mg once daily (as per RP2D)</w:t>
            </w:r>
          </w:p>
        </w:tc>
      </w:tr>
      <w:tr w:rsidR="005D7E20" w14:paraId="26EEB60A" w14:textId="77777777" w:rsidTr="00D63D0E">
        <w:trPr>
          <w:cantSplit/>
        </w:trPr>
        <w:tc>
          <w:tcPr>
            <w:tcW w:w="1550" w:type="dxa"/>
          </w:tcPr>
          <w:p w14:paraId="000001AD" w14:textId="77777777" w:rsidR="005D7E20" w:rsidRDefault="00507B07">
            <w:pPr>
              <w:rPr>
                <w:sz w:val="18"/>
                <w:szCs w:val="18"/>
              </w:rPr>
            </w:pPr>
            <w:r>
              <w:rPr>
                <w:sz w:val="18"/>
                <w:szCs w:val="18"/>
              </w:rPr>
              <w:t>Comparator</w:t>
            </w:r>
          </w:p>
        </w:tc>
        <w:tc>
          <w:tcPr>
            <w:tcW w:w="7466" w:type="dxa"/>
          </w:tcPr>
          <w:p w14:paraId="000001AE" w14:textId="77777777" w:rsidR="005D7E20" w:rsidRDefault="00507B07">
            <w:pPr>
              <w:rPr>
                <w:sz w:val="18"/>
                <w:szCs w:val="18"/>
              </w:rPr>
            </w:pPr>
            <w:r>
              <w:rPr>
                <w:sz w:val="18"/>
                <w:szCs w:val="18"/>
              </w:rPr>
              <w:t>Nil, single-arm study</w:t>
            </w:r>
          </w:p>
        </w:tc>
      </w:tr>
      <w:tr w:rsidR="005D7E20" w14:paraId="2ECA60B2" w14:textId="77777777" w:rsidTr="00D63D0E">
        <w:trPr>
          <w:cantSplit/>
        </w:trPr>
        <w:tc>
          <w:tcPr>
            <w:tcW w:w="1550" w:type="dxa"/>
          </w:tcPr>
          <w:p w14:paraId="000001AF" w14:textId="77777777" w:rsidR="005D7E20" w:rsidRDefault="00507B07">
            <w:pPr>
              <w:rPr>
                <w:sz w:val="18"/>
                <w:szCs w:val="18"/>
              </w:rPr>
            </w:pPr>
            <w:r>
              <w:rPr>
                <w:sz w:val="18"/>
                <w:szCs w:val="18"/>
              </w:rPr>
              <w:lastRenderedPageBreak/>
              <w:t>Endpoints</w:t>
            </w:r>
          </w:p>
        </w:tc>
        <w:tc>
          <w:tcPr>
            <w:tcW w:w="7466" w:type="dxa"/>
          </w:tcPr>
          <w:p w14:paraId="000001B0" w14:textId="77777777" w:rsidR="005D7E20" w:rsidRDefault="00507B07">
            <w:pPr>
              <w:rPr>
                <w:i/>
                <w:sz w:val="18"/>
                <w:szCs w:val="18"/>
                <w:u w:val="single"/>
              </w:rPr>
            </w:pPr>
            <w:r>
              <w:rPr>
                <w:i/>
                <w:sz w:val="18"/>
                <w:szCs w:val="18"/>
                <w:u w:val="single"/>
              </w:rPr>
              <w:t>Phase II</w:t>
            </w:r>
          </w:p>
          <w:p w14:paraId="000001B1" w14:textId="77777777" w:rsidR="005D7E20" w:rsidRDefault="00507B07">
            <w:pPr>
              <w:rPr>
                <w:i/>
                <w:sz w:val="18"/>
                <w:szCs w:val="18"/>
                <w:u w:val="single"/>
              </w:rPr>
            </w:pPr>
            <w:r>
              <w:rPr>
                <w:i/>
                <w:sz w:val="18"/>
                <w:szCs w:val="18"/>
                <w:u w:val="single"/>
              </w:rPr>
              <w:t>Primary endpoint</w:t>
            </w:r>
          </w:p>
          <w:p w14:paraId="000001B2" w14:textId="77777777" w:rsidR="005D7E20" w:rsidRDefault="00507B07">
            <w:pPr>
              <w:numPr>
                <w:ilvl w:val="0"/>
                <w:numId w:val="3"/>
              </w:numPr>
              <w:pBdr>
                <w:top w:val="nil"/>
                <w:left w:val="nil"/>
                <w:bottom w:val="nil"/>
                <w:right w:val="nil"/>
                <w:between w:val="nil"/>
              </w:pBdr>
              <w:spacing w:before="0"/>
              <w:ind w:right="0"/>
              <w:rPr>
                <w:sz w:val="18"/>
                <w:szCs w:val="18"/>
              </w:rPr>
            </w:pPr>
            <w:r>
              <w:rPr>
                <w:sz w:val="18"/>
                <w:szCs w:val="18"/>
              </w:rPr>
              <w:t>ORR (confirmed complete response [CR] or partial response [PR]): blinded independent review committee (BIRC) determined according to RECIST 1.1.</w:t>
            </w:r>
          </w:p>
          <w:p w14:paraId="000001B3" w14:textId="77777777" w:rsidR="005D7E20" w:rsidRDefault="005D7E20">
            <w:pPr>
              <w:rPr>
                <w:i/>
                <w:sz w:val="18"/>
                <w:szCs w:val="18"/>
                <w:u w:val="single"/>
              </w:rPr>
            </w:pPr>
          </w:p>
          <w:p w14:paraId="000001B4" w14:textId="77777777" w:rsidR="005D7E20" w:rsidRDefault="00507B07">
            <w:pPr>
              <w:rPr>
                <w:sz w:val="18"/>
                <w:szCs w:val="18"/>
              </w:rPr>
            </w:pPr>
            <w:r>
              <w:rPr>
                <w:i/>
                <w:sz w:val="18"/>
                <w:szCs w:val="18"/>
                <w:u w:val="single"/>
              </w:rPr>
              <w:t xml:space="preserve">Secondary endpoints </w:t>
            </w:r>
          </w:p>
          <w:p w14:paraId="000001B5" w14:textId="77777777" w:rsidR="005D7E20" w:rsidRDefault="00507B07">
            <w:pPr>
              <w:numPr>
                <w:ilvl w:val="0"/>
                <w:numId w:val="3"/>
              </w:numPr>
              <w:pBdr>
                <w:top w:val="nil"/>
                <w:left w:val="nil"/>
                <w:bottom w:val="nil"/>
                <w:right w:val="nil"/>
                <w:between w:val="nil"/>
              </w:pBdr>
              <w:spacing w:before="0"/>
              <w:ind w:right="0"/>
              <w:rPr>
                <w:sz w:val="18"/>
                <w:szCs w:val="18"/>
              </w:rPr>
            </w:pPr>
            <w:r>
              <w:rPr>
                <w:sz w:val="18"/>
                <w:szCs w:val="18"/>
              </w:rPr>
              <w:t>DOR</w:t>
            </w:r>
          </w:p>
          <w:p w14:paraId="000001B6" w14:textId="77777777" w:rsidR="005D7E20" w:rsidRDefault="00507B07">
            <w:pPr>
              <w:numPr>
                <w:ilvl w:val="0"/>
                <w:numId w:val="3"/>
              </w:numPr>
              <w:pBdr>
                <w:top w:val="nil"/>
                <w:left w:val="nil"/>
                <w:bottom w:val="nil"/>
                <w:right w:val="nil"/>
                <w:between w:val="nil"/>
              </w:pBdr>
              <w:spacing w:before="0"/>
              <w:ind w:right="0"/>
              <w:rPr>
                <w:sz w:val="18"/>
                <w:szCs w:val="18"/>
              </w:rPr>
            </w:pPr>
            <w:r>
              <w:rPr>
                <w:sz w:val="18"/>
                <w:szCs w:val="18"/>
              </w:rPr>
              <w:t>PFS*</w:t>
            </w:r>
          </w:p>
          <w:p w14:paraId="000001B7" w14:textId="77777777" w:rsidR="005D7E20" w:rsidRDefault="00507B07">
            <w:pPr>
              <w:numPr>
                <w:ilvl w:val="0"/>
                <w:numId w:val="3"/>
              </w:numPr>
              <w:pBdr>
                <w:top w:val="nil"/>
                <w:left w:val="nil"/>
                <w:bottom w:val="nil"/>
                <w:right w:val="nil"/>
                <w:between w:val="nil"/>
              </w:pBdr>
              <w:spacing w:before="0"/>
              <w:ind w:right="0"/>
              <w:rPr>
                <w:sz w:val="18"/>
                <w:szCs w:val="18"/>
              </w:rPr>
            </w:pPr>
            <w:r>
              <w:rPr>
                <w:sz w:val="18"/>
                <w:szCs w:val="18"/>
              </w:rPr>
              <w:t>OS*</w:t>
            </w:r>
          </w:p>
          <w:p w14:paraId="000001B8" w14:textId="77777777" w:rsidR="005D7E20" w:rsidRDefault="00507B07">
            <w:pPr>
              <w:numPr>
                <w:ilvl w:val="0"/>
                <w:numId w:val="3"/>
              </w:numPr>
              <w:pBdr>
                <w:top w:val="nil"/>
                <w:left w:val="nil"/>
                <w:bottom w:val="nil"/>
                <w:right w:val="nil"/>
                <w:between w:val="nil"/>
              </w:pBdr>
              <w:spacing w:before="0"/>
              <w:ind w:right="0"/>
              <w:rPr>
                <w:sz w:val="18"/>
                <w:szCs w:val="18"/>
              </w:rPr>
            </w:pPr>
            <w:r>
              <w:rPr>
                <w:sz w:val="18"/>
                <w:szCs w:val="18"/>
              </w:rPr>
              <w:t xml:space="preserve">CNS metastases activity analysis in patients with </w:t>
            </w:r>
            <w:r>
              <w:rPr>
                <w:i/>
                <w:sz w:val="18"/>
                <w:szCs w:val="18"/>
              </w:rPr>
              <w:t>RET</w:t>
            </w:r>
            <w:r>
              <w:rPr>
                <w:sz w:val="18"/>
                <w:szCs w:val="18"/>
              </w:rPr>
              <w:t>-fusion positive NSCLC who had measurable CNS/brain lesion/s at Baseline</w:t>
            </w:r>
          </w:p>
          <w:p w14:paraId="000001B9" w14:textId="77777777" w:rsidR="005D7E20" w:rsidRDefault="005D7E20">
            <w:pPr>
              <w:rPr>
                <w:sz w:val="18"/>
                <w:szCs w:val="18"/>
              </w:rPr>
            </w:pPr>
          </w:p>
          <w:p w14:paraId="000001BA" w14:textId="77777777" w:rsidR="005D7E20" w:rsidRDefault="00507B07">
            <w:pPr>
              <w:rPr>
                <w:i/>
                <w:sz w:val="18"/>
                <w:szCs w:val="18"/>
                <w:u w:val="single"/>
              </w:rPr>
            </w:pPr>
            <w:r>
              <w:rPr>
                <w:i/>
                <w:sz w:val="18"/>
                <w:szCs w:val="18"/>
                <w:u w:val="single"/>
              </w:rPr>
              <w:t>Exploratory efficacy endpoints</w:t>
            </w:r>
          </w:p>
          <w:p w14:paraId="000001BB" w14:textId="77777777" w:rsidR="005D7E20" w:rsidRDefault="00507B07">
            <w:pPr>
              <w:rPr>
                <w:sz w:val="18"/>
                <w:szCs w:val="18"/>
              </w:rPr>
            </w:pPr>
            <w:r>
              <w:rPr>
                <w:sz w:val="18"/>
                <w:szCs w:val="18"/>
              </w:rPr>
              <w:t xml:space="preserve">Phase I: </w:t>
            </w:r>
          </w:p>
          <w:p w14:paraId="000001BC" w14:textId="77777777" w:rsidR="005D7E20" w:rsidRDefault="00507B07">
            <w:pPr>
              <w:numPr>
                <w:ilvl w:val="0"/>
                <w:numId w:val="1"/>
              </w:numPr>
              <w:pBdr>
                <w:top w:val="nil"/>
                <w:left w:val="nil"/>
                <w:bottom w:val="nil"/>
                <w:right w:val="nil"/>
                <w:between w:val="nil"/>
              </w:pBdr>
              <w:spacing w:before="0"/>
              <w:ind w:right="0"/>
              <w:rPr>
                <w:sz w:val="18"/>
                <w:szCs w:val="18"/>
              </w:rPr>
            </w:pPr>
            <w:r>
              <w:rPr>
                <w:sz w:val="18"/>
                <w:szCs w:val="18"/>
              </w:rPr>
              <w:t xml:space="preserve">Correlation of </w:t>
            </w:r>
            <w:r>
              <w:rPr>
                <w:i/>
                <w:sz w:val="18"/>
                <w:szCs w:val="18"/>
              </w:rPr>
              <w:t>RET</w:t>
            </w:r>
            <w:r>
              <w:rPr>
                <w:sz w:val="18"/>
                <w:szCs w:val="18"/>
              </w:rPr>
              <w:t xml:space="preserve"> gene status in plasma and/or tumour tissue with ORR, CBR, DOR, PFS, OS and DCR</w:t>
            </w:r>
          </w:p>
          <w:p w14:paraId="000001BD" w14:textId="77777777" w:rsidR="005D7E20" w:rsidRDefault="00507B07">
            <w:pPr>
              <w:rPr>
                <w:sz w:val="18"/>
                <w:szCs w:val="18"/>
              </w:rPr>
            </w:pPr>
            <w:r>
              <w:rPr>
                <w:sz w:val="18"/>
                <w:szCs w:val="18"/>
              </w:rPr>
              <w:t xml:space="preserve">Phase II: </w:t>
            </w:r>
          </w:p>
          <w:p w14:paraId="000001BE" w14:textId="77777777" w:rsidR="005D7E20" w:rsidRDefault="00507B07">
            <w:pPr>
              <w:numPr>
                <w:ilvl w:val="0"/>
                <w:numId w:val="4"/>
              </w:numPr>
              <w:pBdr>
                <w:top w:val="nil"/>
                <w:left w:val="nil"/>
                <w:bottom w:val="nil"/>
                <w:right w:val="nil"/>
                <w:between w:val="nil"/>
              </w:pBdr>
              <w:spacing w:before="0"/>
              <w:ind w:right="0"/>
              <w:rPr>
                <w:sz w:val="18"/>
                <w:szCs w:val="18"/>
              </w:rPr>
            </w:pPr>
            <w:r>
              <w:rPr>
                <w:sz w:val="18"/>
                <w:szCs w:val="18"/>
              </w:rPr>
              <w:t>CBR</w:t>
            </w:r>
          </w:p>
          <w:p w14:paraId="000001BF" w14:textId="77777777" w:rsidR="005D7E20" w:rsidRDefault="00507B07">
            <w:pPr>
              <w:numPr>
                <w:ilvl w:val="0"/>
                <w:numId w:val="4"/>
              </w:numPr>
              <w:pBdr>
                <w:top w:val="nil"/>
                <w:left w:val="nil"/>
                <w:bottom w:val="nil"/>
                <w:right w:val="nil"/>
                <w:between w:val="nil"/>
              </w:pBdr>
              <w:spacing w:before="0"/>
              <w:ind w:right="0"/>
              <w:rPr>
                <w:sz w:val="18"/>
                <w:szCs w:val="18"/>
              </w:rPr>
            </w:pPr>
            <w:r>
              <w:rPr>
                <w:sz w:val="18"/>
                <w:szCs w:val="18"/>
              </w:rPr>
              <w:t>DCR</w:t>
            </w:r>
          </w:p>
          <w:p w14:paraId="000001C0" w14:textId="77777777" w:rsidR="005D7E20" w:rsidRDefault="00507B07">
            <w:pPr>
              <w:numPr>
                <w:ilvl w:val="0"/>
                <w:numId w:val="4"/>
              </w:numPr>
              <w:pBdr>
                <w:top w:val="nil"/>
                <w:left w:val="nil"/>
                <w:bottom w:val="nil"/>
                <w:right w:val="nil"/>
                <w:between w:val="nil"/>
              </w:pBdr>
              <w:spacing w:before="0"/>
              <w:ind w:right="0"/>
              <w:rPr>
                <w:sz w:val="18"/>
                <w:szCs w:val="18"/>
              </w:rPr>
            </w:pPr>
            <w:r>
              <w:rPr>
                <w:sz w:val="18"/>
                <w:szCs w:val="18"/>
              </w:rPr>
              <w:t>Correlation of RET gene status in plasma and/or tumour tissue with ORR, CBR, DOR, PFS, OS and DCR</w:t>
            </w:r>
          </w:p>
          <w:p w14:paraId="000001C1" w14:textId="77777777" w:rsidR="005D7E20" w:rsidRDefault="00507B07">
            <w:pPr>
              <w:numPr>
                <w:ilvl w:val="0"/>
                <w:numId w:val="4"/>
              </w:numPr>
              <w:pBdr>
                <w:top w:val="nil"/>
                <w:left w:val="nil"/>
                <w:bottom w:val="nil"/>
                <w:right w:val="nil"/>
                <w:between w:val="nil"/>
              </w:pBdr>
              <w:spacing w:before="0"/>
              <w:ind w:right="0"/>
              <w:rPr>
                <w:sz w:val="18"/>
                <w:szCs w:val="18"/>
              </w:rPr>
            </w:pPr>
            <w:r>
              <w:rPr>
                <w:sz w:val="18"/>
                <w:szCs w:val="18"/>
              </w:rPr>
              <w:t>QOL per EORTC QLQ-C30 questionnaire</w:t>
            </w:r>
          </w:p>
          <w:p w14:paraId="000001C2" w14:textId="77777777" w:rsidR="005D7E20" w:rsidRDefault="005D7E20">
            <w:pPr>
              <w:rPr>
                <w:sz w:val="18"/>
                <w:szCs w:val="18"/>
              </w:rPr>
            </w:pPr>
          </w:p>
          <w:p w14:paraId="000001C3" w14:textId="77777777" w:rsidR="005D7E20" w:rsidRDefault="00507B07">
            <w:pPr>
              <w:rPr>
                <w:sz w:val="18"/>
                <w:szCs w:val="18"/>
              </w:rPr>
            </w:pPr>
            <w:r>
              <w:rPr>
                <w:sz w:val="18"/>
                <w:szCs w:val="18"/>
              </w:rPr>
              <w:t>*The time to event endpoints of PFS and OS are difficult to interpret in a single arm study.</w:t>
            </w:r>
          </w:p>
        </w:tc>
      </w:tr>
    </w:tbl>
    <w:p w14:paraId="000001C4"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Dose selection</w:t>
      </w:r>
    </w:p>
    <w:p w14:paraId="000001C5" w14:textId="77777777" w:rsidR="005D7E20" w:rsidRDefault="00507B07">
      <w:r>
        <w:t xml:space="preserve">Based on Phase I data, a </w:t>
      </w:r>
      <w:proofErr w:type="spellStart"/>
      <w:r>
        <w:t>pralsetinib</w:t>
      </w:r>
      <w:proofErr w:type="spellEnd"/>
      <w:r>
        <w:t xml:space="preserve"> dose of 400 mg once daily was determined to be the RP2D</w:t>
      </w:r>
    </w:p>
    <w:p w14:paraId="000001C6"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Study treatments</w:t>
      </w:r>
    </w:p>
    <w:p w14:paraId="000001C7" w14:textId="77777777" w:rsidR="005D7E20" w:rsidRDefault="00507B07">
      <w:proofErr w:type="spellStart"/>
      <w:r>
        <w:t>Pralsetinib</w:t>
      </w:r>
      <w:proofErr w:type="spellEnd"/>
      <w:r>
        <w:t xml:space="preserve"> was administered continuously daily without interruption (unless due to interruption and/or discontinuation due to toxicity, progression or other)</w:t>
      </w:r>
    </w:p>
    <w:p w14:paraId="000001C8" w14:textId="77777777" w:rsidR="005D7E20" w:rsidRDefault="00507B07">
      <w:r>
        <w:t xml:space="preserve">Phase I: </w:t>
      </w:r>
      <w:proofErr w:type="spellStart"/>
      <w:r>
        <w:t>pralsetinib</w:t>
      </w:r>
      <w:proofErr w:type="spellEnd"/>
      <w:r>
        <w:t xml:space="preserve"> once daily (30 to 600 mg) or twice daily (100/100 mg or 200/100 mg) to determine MTD and RP2D</w:t>
      </w:r>
    </w:p>
    <w:p w14:paraId="000001C9" w14:textId="77777777" w:rsidR="005D7E20" w:rsidRDefault="00507B07">
      <w:r>
        <w:t xml:space="preserve">Phase II: </w:t>
      </w:r>
      <w:proofErr w:type="spellStart"/>
      <w:r>
        <w:t>pralsetinib</w:t>
      </w:r>
      <w:proofErr w:type="spellEnd"/>
      <w:r>
        <w:t xml:space="preserve"> 400 mg once daily (as per RP2D)</w:t>
      </w:r>
    </w:p>
    <w:p w14:paraId="000001CA" w14:textId="77777777" w:rsidR="005D7E20" w:rsidRDefault="00507B07">
      <w:r>
        <w:t>No randomisation/blinding, as this was an open label study.</w:t>
      </w:r>
    </w:p>
    <w:p w14:paraId="000001CB"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Dose modification</w:t>
      </w:r>
    </w:p>
    <w:p w14:paraId="000001CC" w14:textId="77777777" w:rsidR="005D7E20" w:rsidRDefault="00507B07">
      <w:r>
        <w:t>The oversea regulator report states ‘</w:t>
      </w:r>
      <w:r>
        <w:rPr>
          <w:i/>
        </w:rPr>
        <w:t>Concurrent medications apart from the following were permitted: other anticancer therapies, investigational therapeutic agents, neutrophil growth factor within 14 days before C1D1 and throughout cycle 1 (unless patient experienced DLT of neutropenia), strong inhibitors and inducers of CYP3A4, strong dual P-</w:t>
      </w:r>
      <w:proofErr w:type="spellStart"/>
      <w:r>
        <w:rPr>
          <w:i/>
        </w:rPr>
        <w:t>gp</w:t>
      </w:r>
      <w:proofErr w:type="spellEnd"/>
      <w:r>
        <w:rPr>
          <w:i/>
        </w:rPr>
        <w:t xml:space="preserve"> and CYP3A4 inhibitors. Sensitive substrates of CYP2C9, strong CYP2D6 inhibitors and strong CYP1A2 inhibitors were permitted but use with caution advised’</w:t>
      </w:r>
      <w:r>
        <w:t>.</w:t>
      </w:r>
      <w:r>
        <w:rPr>
          <w:vertAlign w:val="superscript"/>
        </w:rPr>
        <w:t>6</w:t>
      </w:r>
    </w:p>
    <w:p w14:paraId="000001CD"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Study endpoints</w:t>
      </w:r>
    </w:p>
    <w:p w14:paraId="000001CE" w14:textId="77777777" w:rsidR="005D7E20" w:rsidRDefault="00507B07">
      <w:r>
        <w:t>The study endpoints are listed below:</w:t>
      </w:r>
    </w:p>
    <w:p w14:paraId="000001CF" w14:textId="77777777" w:rsidR="005D7E20" w:rsidRDefault="00507B07">
      <w:pPr>
        <w:numPr>
          <w:ilvl w:val="0"/>
          <w:numId w:val="6"/>
        </w:numPr>
        <w:pBdr>
          <w:top w:val="nil"/>
          <w:left w:val="nil"/>
          <w:bottom w:val="nil"/>
          <w:right w:val="nil"/>
          <w:between w:val="nil"/>
        </w:pBdr>
        <w:spacing w:before="120" w:after="180"/>
      </w:pPr>
      <w:r>
        <w:rPr>
          <w:color w:val="000000"/>
        </w:rPr>
        <w:t>Primary efficacy endpoint for Phase I: n/a</w:t>
      </w:r>
    </w:p>
    <w:p w14:paraId="000001D0" w14:textId="77777777" w:rsidR="005D7E20" w:rsidRDefault="00507B07">
      <w:pPr>
        <w:numPr>
          <w:ilvl w:val="0"/>
          <w:numId w:val="6"/>
        </w:numPr>
        <w:pBdr>
          <w:top w:val="nil"/>
          <w:left w:val="nil"/>
          <w:bottom w:val="nil"/>
          <w:right w:val="nil"/>
          <w:between w:val="nil"/>
        </w:pBdr>
        <w:spacing w:before="120" w:after="180"/>
      </w:pPr>
      <w:r>
        <w:rPr>
          <w:color w:val="000000"/>
        </w:rPr>
        <w:t>Primary efficacy endpoint for Phase II: ORR (per RECIST v1.1 as assessed by Blinded independent central reviews (BICR) of local imaging)</w:t>
      </w:r>
    </w:p>
    <w:p w14:paraId="000001D1" w14:textId="77777777" w:rsidR="005D7E20" w:rsidRDefault="00507B07">
      <w:pPr>
        <w:numPr>
          <w:ilvl w:val="0"/>
          <w:numId w:val="6"/>
        </w:numPr>
        <w:pBdr>
          <w:top w:val="nil"/>
          <w:left w:val="nil"/>
          <w:bottom w:val="nil"/>
          <w:right w:val="nil"/>
          <w:between w:val="nil"/>
        </w:pBdr>
        <w:spacing w:before="120" w:after="180"/>
      </w:pPr>
      <w:r>
        <w:rPr>
          <w:color w:val="000000"/>
        </w:rPr>
        <w:t xml:space="preserve">Secondary efficacy endpoints for Phase I: </w:t>
      </w:r>
    </w:p>
    <w:p w14:paraId="000001D2" w14:textId="77777777" w:rsidR="005D7E20" w:rsidRDefault="00507B07">
      <w:pPr>
        <w:numPr>
          <w:ilvl w:val="1"/>
          <w:numId w:val="6"/>
        </w:numPr>
        <w:pBdr>
          <w:top w:val="nil"/>
          <w:left w:val="nil"/>
          <w:bottom w:val="nil"/>
          <w:right w:val="nil"/>
          <w:between w:val="nil"/>
        </w:pBdr>
        <w:spacing w:before="120" w:after="180"/>
      </w:pPr>
      <w:r>
        <w:rPr>
          <w:color w:val="000000"/>
        </w:rPr>
        <w:t>ORR based on RECIST v1.1 as assessed by BICR of local imaging</w:t>
      </w:r>
    </w:p>
    <w:p w14:paraId="000001D3" w14:textId="77777777" w:rsidR="005D7E20" w:rsidRDefault="00507B07">
      <w:pPr>
        <w:numPr>
          <w:ilvl w:val="0"/>
          <w:numId w:val="6"/>
        </w:numPr>
        <w:pBdr>
          <w:top w:val="nil"/>
          <w:left w:val="nil"/>
          <w:bottom w:val="nil"/>
          <w:right w:val="nil"/>
          <w:between w:val="nil"/>
        </w:pBdr>
        <w:spacing w:before="120" w:after="180"/>
      </w:pPr>
      <w:r>
        <w:rPr>
          <w:color w:val="000000"/>
        </w:rPr>
        <w:t>Secondary efficacy endpoints for Phase II:</w:t>
      </w:r>
    </w:p>
    <w:p w14:paraId="000001D4" w14:textId="77777777" w:rsidR="005D7E20" w:rsidRDefault="00507B07">
      <w:pPr>
        <w:numPr>
          <w:ilvl w:val="1"/>
          <w:numId w:val="6"/>
        </w:numPr>
        <w:pBdr>
          <w:top w:val="nil"/>
          <w:left w:val="nil"/>
          <w:bottom w:val="nil"/>
          <w:right w:val="nil"/>
          <w:between w:val="nil"/>
        </w:pBdr>
        <w:spacing w:before="120" w:after="180"/>
      </w:pPr>
      <w:r>
        <w:rPr>
          <w:color w:val="000000"/>
        </w:rPr>
        <w:lastRenderedPageBreak/>
        <w:t xml:space="preserve">Duration of response </w:t>
      </w:r>
    </w:p>
    <w:p w14:paraId="000001D5" w14:textId="77777777" w:rsidR="005D7E20" w:rsidRDefault="00507B07">
      <w:pPr>
        <w:numPr>
          <w:ilvl w:val="1"/>
          <w:numId w:val="6"/>
        </w:numPr>
        <w:pBdr>
          <w:top w:val="nil"/>
          <w:left w:val="nil"/>
          <w:bottom w:val="nil"/>
          <w:right w:val="nil"/>
          <w:between w:val="nil"/>
        </w:pBdr>
        <w:spacing w:before="120" w:after="180"/>
      </w:pPr>
      <w:r>
        <w:rPr>
          <w:color w:val="000000"/>
        </w:rPr>
        <w:t>Progression free survival*</w:t>
      </w:r>
    </w:p>
    <w:p w14:paraId="000001D6" w14:textId="77777777" w:rsidR="005D7E20" w:rsidRDefault="00507B07">
      <w:pPr>
        <w:numPr>
          <w:ilvl w:val="1"/>
          <w:numId w:val="6"/>
        </w:numPr>
        <w:pBdr>
          <w:top w:val="nil"/>
          <w:left w:val="nil"/>
          <w:bottom w:val="nil"/>
          <w:right w:val="nil"/>
          <w:between w:val="nil"/>
        </w:pBdr>
        <w:spacing w:before="120" w:after="180"/>
      </w:pPr>
      <w:r>
        <w:rPr>
          <w:color w:val="000000"/>
        </w:rPr>
        <w:t>Overall survival (OS)*</w:t>
      </w:r>
    </w:p>
    <w:p w14:paraId="000001D7" w14:textId="77777777" w:rsidR="005D7E20" w:rsidRDefault="00507B07">
      <w:pPr>
        <w:numPr>
          <w:ilvl w:val="1"/>
          <w:numId w:val="6"/>
        </w:numPr>
        <w:pBdr>
          <w:top w:val="nil"/>
          <w:left w:val="nil"/>
          <w:bottom w:val="nil"/>
          <w:right w:val="nil"/>
          <w:between w:val="nil"/>
        </w:pBdr>
        <w:spacing w:before="120" w:after="180"/>
      </w:pPr>
      <w:r>
        <w:rPr>
          <w:color w:val="000000"/>
        </w:rPr>
        <w:t xml:space="preserve">Central nervous system (CNS) metastases activity analysis in patients with </w:t>
      </w:r>
      <w:r>
        <w:rPr>
          <w:i/>
          <w:color w:val="000000"/>
        </w:rPr>
        <w:t>RET</w:t>
      </w:r>
      <w:r>
        <w:rPr>
          <w:color w:val="000000"/>
        </w:rPr>
        <w:t>-fusion positive NSCLC who had measurable CNS/brain lesion/s at Baseline</w:t>
      </w:r>
    </w:p>
    <w:p w14:paraId="000001D8" w14:textId="77777777" w:rsidR="005D7E20" w:rsidRDefault="00507B07">
      <w:r>
        <w:t>*The time to event endpoints of PFS and OS are not interpretable in a single arm study.</w:t>
      </w:r>
    </w:p>
    <w:p w14:paraId="000001D9" w14:textId="77777777" w:rsidR="005D7E20" w:rsidRDefault="00507B07">
      <w:r>
        <w:t>Exploratory efficacy endpoints are listed below:</w:t>
      </w:r>
    </w:p>
    <w:p w14:paraId="000001DA" w14:textId="77777777" w:rsidR="005D7E20" w:rsidRDefault="00507B07">
      <w:pPr>
        <w:numPr>
          <w:ilvl w:val="0"/>
          <w:numId w:val="6"/>
        </w:numPr>
        <w:pBdr>
          <w:top w:val="nil"/>
          <w:left w:val="nil"/>
          <w:bottom w:val="nil"/>
          <w:right w:val="nil"/>
          <w:between w:val="nil"/>
        </w:pBdr>
        <w:spacing w:before="120" w:after="180"/>
      </w:pPr>
      <w:r>
        <w:rPr>
          <w:color w:val="000000"/>
        </w:rPr>
        <w:t xml:space="preserve">Exploratory efficacy endpoints Phase I: </w:t>
      </w:r>
    </w:p>
    <w:p w14:paraId="000001DB" w14:textId="77777777" w:rsidR="005D7E20" w:rsidRDefault="00507B07">
      <w:pPr>
        <w:numPr>
          <w:ilvl w:val="1"/>
          <w:numId w:val="6"/>
        </w:numPr>
        <w:pBdr>
          <w:top w:val="nil"/>
          <w:left w:val="nil"/>
          <w:bottom w:val="nil"/>
          <w:right w:val="nil"/>
          <w:between w:val="nil"/>
        </w:pBdr>
        <w:spacing w:before="120" w:after="180"/>
      </w:pPr>
      <w:r>
        <w:rPr>
          <w:color w:val="000000"/>
        </w:rPr>
        <w:t xml:space="preserve">Correlation of </w:t>
      </w:r>
      <w:r>
        <w:rPr>
          <w:i/>
          <w:color w:val="000000"/>
        </w:rPr>
        <w:t>RET</w:t>
      </w:r>
      <w:r>
        <w:rPr>
          <w:color w:val="000000"/>
        </w:rPr>
        <w:t xml:space="preserve"> gene status in plasma and/or tumour tissue with ORR, clinical benefit rate (CBR), DOR, PFS, OS and disease control rate (DCR)</w:t>
      </w:r>
    </w:p>
    <w:p w14:paraId="000001DC" w14:textId="77777777" w:rsidR="005D7E20" w:rsidRDefault="00507B07">
      <w:pPr>
        <w:numPr>
          <w:ilvl w:val="0"/>
          <w:numId w:val="6"/>
        </w:numPr>
        <w:pBdr>
          <w:top w:val="nil"/>
          <w:left w:val="nil"/>
          <w:bottom w:val="nil"/>
          <w:right w:val="nil"/>
          <w:between w:val="nil"/>
        </w:pBdr>
        <w:spacing w:before="120" w:after="180"/>
      </w:pPr>
      <w:r>
        <w:rPr>
          <w:color w:val="000000"/>
        </w:rPr>
        <w:t xml:space="preserve">Exploratory efficacy endpoints Phase II: </w:t>
      </w:r>
    </w:p>
    <w:p w14:paraId="000001DD" w14:textId="77777777" w:rsidR="005D7E20" w:rsidRDefault="00507B07">
      <w:pPr>
        <w:numPr>
          <w:ilvl w:val="1"/>
          <w:numId w:val="6"/>
        </w:numPr>
        <w:pBdr>
          <w:top w:val="nil"/>
          <w:left w:val="nil"/>
          <w:bottom w:val="nil"/>
          <w:right w:val="nil"/>
          <w:between w:val="nil"/>
        </w:pBdr>
        <w:spacing w:before="120" w:after="180"/>
      </w:pPr>
      <w:r>
        <w:rPr>
          <w:color w:val="000000"/>
        </w:rPr>
        <w:t>CBR</w:t>
      </w:r>
    </w:p>
    <w:p w14:paraId="000001DE" w14:textId="77777777" w:rsidR="005D7E20" w:rsidRDefault="00507B07">
      <w:pPr>
        <w:numPr>
          <w:ilvl w:val="1"/>
          <w:numId w:val="6"/>
        </w:numPr>
        <w:pBdr>
          <w:top w:val="nil"/>
          <w:left w:val="nil"/>
          <w:bottom w:val="nil"/>
          <w:right w:val="nil"/>
          <w:between w:val="nil"/>
        </w:pBdr>
        <w:spacing w:before="120" w:after="180"/>
      </w:pPr>
      <w:r>
        <w:rPr>
          <w:color w:val="000000"/>
        </w:rPr>
        <w:t>DCR</w:t>
      </w:r>
    </w:p>
    <w:p w14:paraId="000001DF" w14:textId="77777777" w:rsidR="005D7E20" w:rsidRDefault="00507B07">
      <w:pPr>
        <w:numPr>
          <w:ilvl w:val="1"/>
          <w:numId w:val="6"/>
        </w:numPr>
        <w:pBdr>
          <w:top w:val="nil"/>
          <w:left w:val="nil"/>
          <w:bottom w:val="nil"/>
          <w:right w:val="nil"/>
          <w:between w:val="nil"/>
        </w:pBdr>
        <w:spacing w:before="120" w:after="180"/>
      </w:pPr>
      <w:r>
        <w:rPr>
          <w:color w:val="000000"/>
        </w:rPr>
        <w:t>Correlation of RET gene status in plasma and/or tumour tissue with ORR, CBR, DOR, PFS, OS and DCR</w:t>
      </w:r>
    </w:p>
    <w:p w14:paraId="000001E0" w14:textId="77777777" w:rsidR="005D7E20" w:rsidRDefault="00507B07">
      <w:pPr>
        <w:numPr>
          <w:ilvl w:val="1"/>
          <w:numId w:val="6"/>
        </w:numPr>
        <w:pBdr>
          <w:top w:val="nil"/>
          <w:left w:val="nil"/>
          <w:bottom w:val="nil"/>
          <w:right w:val="nil"/>
          <w:between w:val="nil"/>
        </w:pBdr>
        <w:spacing w:before="120" w:after="180"/>
      </w:pPr>
      <w:r>
        <w:rPr>
          <w:color w:val="000000"/>
        </w:rPr>
        <w:t>Quality of life (QoL) per EORTC core quality of life questionnaire</w:t>
      </w:r>
    </w:p>
    <w:p w14:paraId="000001E1"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Statistical analysis plan and amendments</w:t>
      </w:r>
    </w:p>
    <w:p w14:paraId="000001E2" w14:textId="77777777" w:rsidR="005D7E20" w:rsidRDefault="00507B07">
      <w:r>
        <w:t xml:space="preserve">Efficacy analysis was conducted based on two separate data </w:t>
      </w:r>
      <w:proofErr w:type="spellStart"/>
      <w:r>
        <w:t>cutoffs</w:t>
      </w:r>
      <w:proofErr w:type="spellEnd"/>
      <w:r>
        <w:t xml:space="preserve">, the original data </w:t>
      </w:r>
      <w:proofErr w:type="spellStart"/>
      <w:r>
        <w:t>cutoff</w:t>
      </w:r>
      <w:proofErr w:type="spellEnd"/>
      <w:r>
        <w:t xml:space="preserve"> date of 18 November 2019 and one corresponding to the 90-day efficacy update (data </w:t>
      </w:r>
      <w:proofErr w:type="spellStart"/>
      <w:r>
        <w:t>cutoff</w:t>
      </w:r>
      <w:proofErr w:type="spellEnd"/>
      <w:r>
        <w:t xml:space="preserve"> date of 13 February 2020).</w:t>
      </w:r>
    </w:p>
    <w:p w14:paraId="000001E3" w14:textId="77777777" w:rsidR="005D7E20" w:rsidRDefault="00507B07">
      <w:r>
        <w:t xml:space="preserve">A further update for DOR was based on data </w:t>
      </w:r>
      <w:proofErr w:type="spellStart"/>
      <w:r>
        <w:t>cutoff</w:t>
      </w:r>
      <w:proofErr w:type="spellEnd"/>
      <w:r>
        <w:t xml:space="preserve"> of 22 May 2020, for patients who had a confirmed response by the time of the 90-day efficacy update.</w:t>
      </w:r>
    </w:p>
    <w:p w14:paraId="000001E4" w14:textId="77777777" w:rsidR="005D7E20" w:rsidRDefault="00507B07">
      <w:r>
        <w:t>Timing of final analysis was not pre-specified in the protocol.</w:t>
      </w:r>
    </w:p>
    <w:p w14:paraId="000001E5" w14:textId="77777777" w:rsidR="005D7E20" w:rsidRDefault="00507B07">
      <w:r>
        <w:t xml:space="preserve">Primary analysis of efficacy was conducted separately in patients who had received prior </w:t>
      </w:r>
      <w:proofErr w:type="gramStart"/>
      <w:r>
        <w:t>platinum based</w:t>
      </w:r>
      <w:proofErr w:type="gramEnd"/>
      <w:r>
        <w:t xml:space="preserve"> chemotherapy and in those who were treatment naïve.</w:t>
      </w:r>
    </w:p>
    <w:p w14:paraId="000001E6" w14:textId="77777777" w:rsidR="005D7E20" w:rsidRDefault="00507B07">
      <w:r>
        <w:t>The final version of the statistical analysis plan of 30 October 2019, included assumptions for sample size calculation in the expansion phase for prior platinum therapy and the treatment naïve cohorts.</w:t>
      </w:r>
    </w:p>
    <w:p w14:paraId="000001E7" w14:textId="77777777" w:rsidR="005D7E20" w:rsidRDefault="00507B07">
      <w:r>
        <w:t xml:space="preserve">In cohort 1 (includes patients with </w:t>
      </w:r>
      <w:r>
        <w:rPr>
          <w:i/>
        </w:rPr>
        <w:t>RET</w:t>
      </w:r>
      <w:r>
        <w:t xml:space="preserve"> fusion positive NSCLC previously treated with </w:t>
      </w:r>
      <w:proofErr w:type="gramStart"/>
      <w:r>
        <w:t>platinum based</w:t>
      </w:r>
      <w:proofErr w:type="gramEnd"/>
      <w:r>
        <w:t xml:space="preserve"> chemotherapy), assuming a null hypothesis that ORR = 0.23 against an alternative hypothesis of ORR = 0.5 with two sided Type 1 error rate of 0.05, a sample size of 80 provides more than 95% power.</w:t>
      </w:r>
    </w:p>
    <w:p w14:paraId="000001E8" w14:textId="77777777" w:rsidR="005D7E20" w:rsidRDefault="00507B07">
      <w:r>
        <w:t xml:space="preserve">In cohort 2 (includes treatment naïve patients with </w:t>
      </w:r>
      <w:r>
        <w:rPr>
          <w:i/>
        </w:rPr>
        <w:t>RET</w:t>
      </w:r>
      <w:r>
        <w:t xml:space="preserve"> fusion positive NSCLC), assuming a null hypothesis that ORR = 0.48 against an alternative hypothesis of ORR = 0.61 with </w:t>
      </w:r>
      <w:proofErr w:type="gramStart"/>
      <w:r>
        <w:t>two sided</w:t>
      </w:r>
      <w:proofErr w:type="gramEnd"/>
      <w:r>
        <w:t xml:space="preserve"> Type 1 error rate of 0.05, a sample size of 170 provides more than 90% power.</w:t>
      </w:r>
    </w:p>
    <w:p w14:paraId="000001E9" w14:textId="77777777" w:rsidR="005D7E20" w:rsidRDefault="00507B07">
      <w:r>
        <w:t>For a single arm study, efficacy analysis is based on ORR of adequate magnitude and a clinically meaningful DOR.</w:t>
      </w:r>
    </w:p>
    <w:p w14:paraId="000001EA" w14:textId="77777777" w:rsidR="005D7E20" w:rsidRDefault="00507B07">
      <w:r>
        <w:t>The study protocol amendments are detailed in the oversea regulator report.</w:t>
      </w:r>
      <w:r>
        <w:rPr>
          <w:vertAlign w:val="superscript"/>
        </w:rPr>
        <w:t>6</w:t>
      </w:r>
    </w:p>
    <w:p w14:paraId="000001EB"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lastRenderedPageBreak/>
        <w:t>Study results</w:t>
      </w:r>
    </w:p>
    <w:p w14:paraId="000001EC" w14:textId="4303B7D0" w:rsidR="005D7E20" w:rsidRDefault="00507B07">
      <w:r>
        <w:t xml:space="preserve">Based </w:t>
      </w:r>
      <w:r w:rsidR="00D63D0E">
        <w:t>on the 90-day efficacy update</w:t>
      </w:r>
      <w:r>
        <w:t xml:space="preserve"> of the patient population with measurable disease (n = 125):</w:t>
      </w:r>
    </w:p>
    <w:p w14:paraId="000001ED" w14:textId="77777777" w:rsidR="005D7E20" w:rsidRDefault="00507B07">
      <w:pPr>
        <w:numPr>
          <w:ilvl w:val="0"/>
          <w:numId w:val="6"/>
        </w:numPr>
        <w:pBdr>
          <w:top w:val="nil"/>
          <w:left w:val="nil"/>
          <w:bottom w:val="nil"/>
          <w:right w:val="nil"/>
          <w:between w:val="nil"/>
        </w:pBdr>
        <w:spacing w:before="120" w:after="180"/>
      </w:pPr>
      <w:r>
        <w:rPr>
          <w:color w:val="000000"/>
        </w:rPr>
        <w:t>78.4% had received prior systemic treatment</w:t>
      </w:r>
    </w:p>
    <w:p w14:paraId="000001EE" w14:textId="77777777" w:rsidR="005D7E20" w:rsidRDefault="00507B07">
      <w:pPr>
        <w:numPr>
          <w:ilvl w:val="0"/>
          <w:numId w:val="6"/>
        </w:numPr>
        <w:pBdr>
          <w:top w:val="nil"/>
          <w:left w:val="nil"/>
          <w:bottom w:val="nil"/>
          <w:right w:val="nil"/>
          <w:between w:val="nil"/>
        </w:pBdr>
        <w:spacing w:before="120" w:after="180"/>
      </w:pPr>
      <w:r>
        <w:rPr>
          <w:color w:val="000000"/>
        </w:rPr>
        <w:t>69.6% had received prior platinum treatment</w:t>
      </w:r>
    </w:p>
    <w:p w14:paraId="000001EF" w14:textId="77777777" w:rsidR="005D7E20" w:rsidRDefault="00507B07">
      <w:pPr>
        <w:numPr>
          <w:ilvl w:val="0"/>
          <w:numId w:val="6"/>
        </w:numPr>
        <w:pBdr>
          <w:top w:val="nil"/>
          <w:left w:val="nil"/>
          <w:bottom w:val="nil"/>
          <w:right w:val="nil"/>
          <w:between w:val="nil"/>
        </w:pBdr>
        <w:spacing w:before="120" w:after="180"/>
      </w:pPr>
      <w:r>
        <w:rPr>
          <w:color w:val="000000"/>
        </w:rPr>
        <w:t>30.4% had no prior platinum treatment</w:t>
      </w:r>
    </w:p>
    <w:p w14:paraId="000001F0" w14:textId="77777777" w:rsidR="005D7E20" w:rsidRDefault="00507B07">
      <w:pPr>
        <w:numPr>
          <w:ilvl w:val="0"/>
          <w:numId w:val="6"/>
        </w:numPr>
        <w:pBdr>
          <w:top w:val="nil"/>
          <w:left w:val="nil"/>
          <w:bottom w:val="nil"/>
          <w:right w:val="nil"/>
          <w:between w:val="nil"/>
        </w:pBdr>
        <w:spacing w:before="120" w:after="180"/>
      </w:pPr>
      <w:r>
        <w:rPr>
          <w:color w:val="000000"/>
        </w:rPr>
        <w:t>8.8% had received prior non-platinum systemic treatment</w:t>
      </w:r>
    </w:p>
    <w:p w14:paraId="000001F1" w14:textId="77777777" w:rsidR="005D7E20" w:rsidRDefault="00507B07">
      <w:pPr>
        <w:numPr>
          <w:ilvl w:val="0"/>
          <w:numId w:val="6"/>
        </w:numPr>
        <w:pBdr>
          <w:top w:val="nil"/>
          <w:left w:val="nil"/>
          <w:bottom w:val="nil"/>
          <w:right w:val="nil"/>
          <w:between w:val="nil"/>
        </w:pBdr>
        <w:spacing w:before="120" w:after="180"/>
      </w:pPr>
      <w:r>
        <w:rPr>
          <w:color w:val="000000"/>
        </w:rPr>
        <w:t>21.6% had no prior systemic treatment</w:t>
      </w:r>
    </w:p>
    <w:p w14:paraId="000001F2" w14:textId="77777777" w:rsidR="005D7E20" w:rsidRDefault="00507B07">
      <w:r>
        <w:t xml:space="preserve">The treatment history is </w:t>
      </w:r>
      <w:proofErr w:type="gramStart"/>
      <w:r>
        <w:t>similar to</w:t>
      </w:r>
      <w:proofErr w:type="gramEnd"/>
      <w:r>
        <w:t xml:space="preserve"> that of the efficacy population (n = 132), see following table:</w:t>
      </w:r>
    </w:p>
    <w:p w14:paraId="000001F3" w14:textId="77777777" w:rsidR="005D7E20" w:rsidRDefault="00507B07" w:rsidP="00D63D0E">
      <w:pPr>
        <w:pStyle w:val="TableTitle"/>
      </w:pPr>
      <w:r>
        <w:t>Table 4: Analysis populations (NSCLC patients treated at 400 mg once daily)</w:t>
      </w:r>
    </w:p>
    <w:p w14:paraId="000001F4" w14:textId="77777777" w:rsidR="005D7E20" w:rsidRDefault="00507B07">
      <w:r>
        <w:rPr>
          <w:noProof/>
          <w:lang w:val="en-NZ"/>
        </w:rPr>
        <w:drawing>
          <wp:inline distT="0" distB="0" distL="0" distR="0" wp14:anchorId="5A61965B" wp14:editId="6CD20DED">
            <wp:extent cx="5676266" cy="1479592"/>
            <wp:effectExtent l="0" t="0" r="0" b="0"/>
            <wp:docPr id="46" name="image9.png" descr="Analysis populations (NSCLC patients treated at 400 mg once daily)"/>
            <wp:cNvGraphicFramePr/>
            <a:graphic xmlns:a="http://schemas.openxmlformats.org/drawingml/2006/main">
              <a:graphicData uri="http://schemas.openxmlformats.org/drawingml/2006/picture">
                <pic:pic xmlns:pic="http://schemas.openxmlformats.org/drawingml/2006/picture">
                  <pic:nvPicPr>
                    <pic:cNvPr id="0" name="image9.png" descr="Analysis populations (NSCLC patients treated at 400 mg once daily)"/>
                    <pic:cNvPicPr preferRelativeResize="0"/>
                  </pic:nvPicPr>
                  <pic:blipFill>
                    <a:blip r:embed="rId38"/>
                    <a:srcRect t="13351" b="9102"/>
                    <a:stretch>
                      <a:fillRect/>
                    </a:stretch>
                  </pic:blipFill>
                  <pic:spPr>
                    <a:xfrm>
                      <a:off x="0" y="0"/>
                      <a:ext cx="5676266" cy="1479592"/>
                    </a:xfrm>
                    <a:prstGeom prst="rect">
                      <a:avLst/>
                    </a:prstGeom>
                    <a:ln/>
                  </pic:spPr>
                </pic:pic>
              </a:graphicData>
            </a:graphic>
          </wp:inline>
        </w:drawing>
      </w:r>
    </w:p>
    <w:p w14:paraId="000001F5" w14:textId="77777777" w:rsidR="005D7E20" w:rsidRDefault="00507B07">
      <w:r>
        <w:t xml:space="preserve">Table 5 presents the treatment history of patients with NSCLC who were treated with </w:t>
      </w:r>
      <w:proofErr w:type="spellStart"/>
      <w:r>
        <w:t>pralsetinib</w:t>
      </w:r>
      <w:proofErr w:type="spellEnd"/>
      <w:r>
        <w:t xml:space="preserve"> at 400 mg once daily based on the 90-day efficacy update.</w:t>
      </w:r>
    </w:p>
    <w:p w14:paraId="000001F6" w14:textId="77777777" w:rsidR="005D7E20" w:rsidRDefault="00507B07" w:rsidP="00D63D0E">
      <w:pPr>
        <w:pStyle w:val="TableTitle"/>
      </w:pPr>
      <w:bookmarkStart w:id="22" w:name="_heading=h.4i7ojhp" w:colFirst="0" w:colLast="0"/>
      <w:bookmarkEnd w:id="22"/>
      <w:r>
        <w:t xml:space="preserve">Table 5: Treatment history of patients with NSCLC who were treated with </w:t>
      </w:r>
      <w:proofErr w:type="spellStart"/>
      <w:r>
        <w:t>pralsetinib</w:t>
      </w:r>
      <w:proofErr w:type="spellEnd"/>
      <w:r>
        <w:t xml:space="preserve"> at 400 mg once daily based on the 90-day efficacy update</w:t>
      </w:r>
    </w:p>
    <w:p w14:paraId="000001F7" w14:textId="77777777" w:rsidR="005D7E20" w:rsidRDefault="00507B07">
      <w:r>
        <w:rPr>
          <w:noProof/>
          <w:lang w:val="en-NZ"/>
        </w:rPr>
        <w:drawing>
          <wp:inline distT="0" distB="0" distL="0" distR="0" wp14:anchorId="516D3A61" wp14:editId="666569B0">
            <wp:extent cx="5466439" cy="1410767"/>
            <wp:effectExtent l="0" t="0" r="0" b="0"/>
            <wp:docPr id="47" name="image10.png" descr="Treatment history of patients with NSCLC who were treated with pralsetinib at 400 mg once daily based on the 90-day efficacy update"/>
            <wp:cNvGraphicFramePr/>
            <a:graphic xmlns:a="http://schemas.openxmlformats.org/drawingml/2006/main">
              <a:graphicData uri="http://schemas.openxmlformats.org/drawingml/2006/picture">
                <pic:pic xmlns:pic="http://schemas.openxmlformats.org/drawingml/2006/picture">
                  <pic:nvPicPr>
                    <pic:cNvPr id="0" name="image10.png" descr="Treatment history of patients with NSCLC who were treated with pralsetinib at 400 mg once daily based on the 90-day efficacy update"/>
                    <pic:cNvPicPr preferRelativeResize="0"/>
                  </pic:nvPicPr>
                  <pic:blipFill>
                    <a:blip r:embed="rId39"/>
                    <a:srcRect b="7928"/>
                    <a:stretch>
                      <a:fillRect/>
                    </a:stretch>
                  </pic:blipFill>
                  <pic:spPr>
                    <a:xfrm>
                      <a:off x="0" y="0"/>
                      <a:ext cx="5466439" cy="1410767"/>
                    </a:xfrm>
                    <a:prstGeom prst="rect">
                      <a:avLst/>
                    </a:prstGeom>
                    <a:ln/>
                  </pic:spPr>
                </pic:pic>
              </a:graphicData>
            </a:graphic>
          </wp:inline>
        </w:drawing>
      </w:r>
    </w:p>
    <w:p w14:paraId="000001F8"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Patient disposition</w:t>
      </w:r>
    </w:p>
    <w:p w14:paraId="000001F9" w14:textId="77777777" w:rsidR="005D7E20" w:rsidRDefault="00507B07">
      <w:r>
        <w:t>Patient disposition for the subpopulations (prior platinum treatment n = 87, and treatment naïve n = 27) are as shown in the following table:</w:t>
      </w:r>
    </w:p>
    <w:p w14:paraId="000001FA" w14:textId="77777777" w:rsidR="005D7E20" w:rsidRDefault="00507B07" w:rsidP="00D63D0E">
      <w:pPr>
        <w:pStyle w:val="TableTitle"/>
      </w:pPr>
      <w:r>
        <w:lastRenderedPageBreak/>
        <w:t>Table 6: Study BLU-667-1101 patient disposition</w:t>
      </w:r>
    </w:p>
    <w:p w14:paraId="000001FB" w14:textId="77777777" w:rsidR="005D7E20" w:rsidRDefault="00507B07">
      <w:r>
        <w:rPr>
          <w:noProof/>
          <w:lang w:val="en-NZ"/>
        </w:rPr>
        <w:drawing>
          <wp:inline distT="0" distB="0" distL="0" distR="0" wp14:anchorId="5B946598" wp14:editId="71B32347">
            <wp:extent cx="4514850" cy="4362450"/>
            <wp:effectExtent l="0" t="0" r="0" b="0"/>
            <wp:docPr id="48" name="image18.png" descr="Study BLU-667-1101 patient disposition"/>
            <wp:cNvGraphicFramePr/>
            <a:graphic xmlns:a="http://schemas.openxmlformats.org/drawingml/2006/main">
              <a:graphicData uri="http://schemas.openxmlformats.org/drawingml/2006/picture">
                <pic:pic xmlns:pic="http://schemas.openxmlformats.org/drawingml/2006/picture">
                  <pic:nvPicPr>
                    <pic:cNvPr id="0" name="image18.png" descr="Study BLU-667-1101 patient disposition"/>
                    <pic:cNvPicPr preferRelativeResize="0"/>
                  </pic:nvPicPr>
                  <pic:blipFill>
                    <a:blip r:embed="rId40"/>
                    <a:srcRect r="1576" b="3598"/>
                    <a:stretch>
                      <a:fillRect/>
                    </a:stretch>
                  </pic:blipFill>
                  <pic:spPr>
                    <a:xfrm>
                      <a:off x="0" y="0"/>
                      <a:ext cx="4515041" cy="4362635"/>
                    </a:xfrm>
                    <a:prstGeom prst="rect">
                      <a:avLst/>
                    </a:prstGeom>
                    <a:ln/>
                  </pic:spPr>
                </pic:pic>
              </a:graphicData>
            </a:graphic>
          </wp:inline>
        </w:drawing>
      </w:r>
    </w:p>
    <w:p w14:paraId="000001FC"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Protocol violations</w:t>
      </w:r>
    </w:p>
    <w:p w14:paraId="000001FD" w14:textId="77777777" w:rsidR="005D7E20" w:rsidRDefault="00507B07">
      <w:r>
        <w:t xml:space="preserve">Overall, the types of protocol deviation reported in the efficacy population are unlikely to impact on the overall efficacy results of the population of patients with </w:t>
      </w:r>
      <w:r>
        <w:rPr>
          <w:i/>
        </w:rPr>
        <w:t>RET</w:t>
      </w:r>
      <w:r>
        <w:t xml:space="preserve"> fusion positive metastatic NSCLC with measurable disease treated at 400 mg once daily dose of </w:t>
      </w:r>
      <w:proofErr w:type="spellStart"/>
      <w:r>
        <w:t>pralsetinib</w:t>
      </w:r>
      <w:proofErr w:type="spellEnd"/>
      <w:r>
        <w:t>.</w:t>
      </w:r>
    </w:p>
    <w:p w14:paraId="000001FE"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Key demographic and other baseline characteristics</w:t>
      </w:r>
    </w:p>
    <w:p w14:paraId="000001FF" w14:textId="77777777" w:rsidR="005D7E20" w:rsidRDefault="00507B07">
      <w:r>
        <w:t>Efficacy population, overall;</w:t>
      </w:r>
      <w:r>
        <w:rPr>
          <w:vertAlign w:val="superscript"/>
        </w:rPr>
        <w:t>6</w:t>
      </w:r>
    </w:p>
    <w:p w14:paraId="00000200" w14:textId="77777777" w:rsidR="005D7E20" w:rsidRDefault="00507B07">
      <w:pPr>
        <w:numPr>
          <w:ilvl w:val="0"/>
          <w:numId w:val="6"/>
        </w:numPr>
        <w:pBdr>
          <w:top w:val="nil"/>
          <w:left w:val="nil"/>
          <w:bottom w:val="nil"/>
          <w:right w:val="nil"/>
          <w:between w:val="nil"/>
        </w:pBdr>
        <w:spacing w:before="120" w:after="180"/>
      </w:pPr>
      <w:r>
        <w:rPr>
          <w:color w:val="000000"/>
        </w:rPr>
        <w:t>median age (min, max) = 60.0 (28, 87)</w:t>
      </w:r>
    </w:p>
    <w:p w14:paraId="00000201" w14:textId="77777777" w:rsidR="005D7E20" w:rsidRDefault="00507B07">
      <w:pPr>
        <w:numPr>
          <w:ilvl w:val="0"/>
          <w:numId w:val="6"/>
        </w:numPr>
        <w:pBdr>
          <w:top w:val="nil"/>
          <w:left w:val="nil"/>
          <w:bottom w:val="nil"/>
          <w:right w:val="nil"/>
          <w:between w:val="nil"/>
        </w:pBdr>
        <w:spacing w:before="120" w:after="180"/>
      </w:pPr>
      <w:r>
        <w:rPr>
          <w:color w:val="000000"/>
        </w:rPr>
        <w:t>female = 52.3%</w:t>
      </w:r>
    </w:p>
    <w:p w14:paraId="00000202" w14:textId="77777777" w:rsidR="005D7E20" w:rsidRDefault="00507B07">
      <w:pPr>
        <w:numPr>
          <w:ilvl w:val="0"/>
          <w:numId w:val="6"/>
        </w:numPr>
        <w:pBdr>
          <w:top w:val="nil"/>
          <w:left w:val="nil"/>
          <w:bottom w:val="nil"/>
          <w:right w:val="nil"/>
          <w:between w:val="nil"/>
        </w:pBdr>
        <w:spacing w:before="120" w:after="180"/>
      </w:pPr>
      <w:r>
        <w:rPr>
          <w:color w:val="000000"/>
        </w:rPr>
        <w:t>race: White = 56.8%; Asian = 32.6%, unknown =8.3%</w:t>
      </w:r>
    </w:p>
    <w:p w14:paraId="00000203" w14:textId="77777777" w:rsidR="005D7E20" w:rsidRDefault="00507B07">
      <w:pPr>
        <w:numPr>
          <w:ilvl w:val="0"/>
          <w:numId w:val="6"/>
        </w:numPr>
        <w:pBdr>
          <w:top w:val="nil"/>
          <w:left w:val="nil"/>
          <w:bottom w:val="nil"/>
          <w:right w:val="nil"/>
          <w:between w:val="nil"/>
        </w:pBdr>
        <w:spacing w:before="120" w:after="180"/>
      </w:pPr>
      <w:r>
        <w:rPr>
          <w:color w:val="000000"/>
        </w:rPr>
        <w:t>Eastern Cooperative Oncology Group (ECOG) performance status 0 = 37.9%; ECOG 1 = 57.6%;</w:t>
      </w:r>
      <w:r>
        <w:rPr>
          <w:color w:val="000000"/>
          <w:vertAlign w:val="superscript"/>
        </w:rPr>
        <w:footnoteReference w:id="7"/>
      </w:r>
    </w:p>
    <w:p w14:paraId="00000204" w14:textId="77777777" w:rsidR="005D7E20" w:rsidRDefault="00507B07">
      <w:pPr>
        <w:numPr>
          <w:ilvl w:val="0"/>
          <w:numId w:val="6"/>
        </w:numPr>
        <w:pBdr>
          <w:top w:val="nil"/>
          <w:left w:val="nil"/>
          <w:bottom w:val="nil"/>
          <w:right w:val="nil"/>
          <w:between w:val="nil"/>
        </w:pBdr>
        <w:spacing w:before="120" w:after="180"/>
      </w:pPr>
      <w:r>
        <w:rPr>
          <w:color w:val="000000"/>
        </w:rPr>
        <w:lastRenderedPageBreak/>
        <w:t>TNM stage at screening: IIIB = 2.3%; IV = 53.8%;</w:t>
      </w:r>
      <w:r>
        <w:rPr>
          <w:color w:val="000000"/>
          <w:vertAlign w:val="superscript"/>
        </w:rPr>
        <w:footnoteReference w:id="8"/>
      </w:r>
    </w:p>
    <w:p w14:paraId="00000205" w14:textId="77777777" w:rsidR="005D7E20" w:rsidRDefault="00507B07">
      <w:pPr>
        <w:numPr>
          <w:ilvl w:val="0"/>
          <w:numId w:val="6"/>
        </w:numPr>
        <w:pBdr>
          <w:top w:val="nil"/>
          <w:left w:val="nil"/>
          <w:bottom w:val="nil"/>
          <w:right w:val="nil"/>
          <w:between w:val="nil"/>
        </w:pBdr>
        <w:spacing w:before="120" w:after="180"/>
      </w:pPr>
      <w:r>
        <w:rPr>
          <w:color w:val="000000"/>
        </w:rPr>
        <w:t>Central nervous system metastasis (history or current) = 41.7%</w:t>
      </w:r>
    </w:p>
    <w:p w14:paraId="00000206" w14:textId="77777777" w:rsidR="005D7E20" w:rsidRDefault="00507B07">
      <w:pPr>
        <w:numPr>
          <w:ilvl w:val="0"/>
          <w:numId w:val="6"/>
        </w:numPr>
        <w:pBdr>
          <w:top w:val="nil"/>
          <w:left w:val="nil"/>
          <w:bottom w:val="nil"/>
          <w:right w:val="nil"/>
          <w:between w:val="nil"/>
        </w:pBdr>
        <w:spacing w:before="120" w:after="180"/>
      </w:pPr>
      <w:r>
        <w:rPr>
          <w:i/>
          <w:color w:val="000000"/>
        </w:rPr>
        <w:t>RET</w:t>
      </w:r>
      <w:r>
        <w:rPr>
          <w:color w:val="000000"/>
        </w:rPr>
        <w:t xml:space="preserve"> fusion = 100%</w:t>
      </w:r>
    </w:p>
    <w:p w14:paraId="00000207" w14:textId="198D5592" w:rsidR="005D7E20" w:rsidRDefault="00D63D0E">
      <w:sdt>
        <w:sdtPr>
          <w:tag w:val="goog_rdk_21"/>
          <w:id w:val="1328012450"/>
        </w:sdtPr>
        <w:sdtEndPr/>
        <w:sdtContent/>
      </w:sdt>
      <w:r w:rsidR="00507B07">
        <w:t>Prior platinum treatment (n=87)</w:t>
      </w:r>
      <w:r w:rsidR="00F96FDF">
        <w:t xml:space="preserve"> in RET altered measurable disease population,</w:t>
      </w:r>
      <w:r w:rsidR="00507B07">
        <w:rPr>
          <w:vertAlign w:val="superscript"/>
        </w:rPr>
        <w:t>6</w:t>
      </w:r>
    </w:p>
    <w:p w14:paraId="00000208" w14:textId="77777777" w:rsidR="005D7E20" w:rsidRDefault="00507B07">
      <w:pPr>
        <w:numPr>
          <w:ilvl w:val="0"/>
          <w:numId w:val="6"/>
        </w:numPr>
        <w:pBdr>
          <w:top w:val="nil"/>
          <w:left w:val="nil"/>
          <w:bottom w:val="nil"/>
          <w:right w:val="nil"/>
          <w:between w:val="nil"/>
        </w:pBdr>
        <w:spacing w:before="120" w:after="180"/>
      </w:pPr>
      <w:r>
        <w:rPr>
          <w:color w:val="000000"/>
        </w:rPr>
        <w:t>median age (min, max) = 60 (28, 85)</w:t>
      </w:r>
    </w:p>
    <w:p w14:paraId="00000209" w14:textId="77777777" w:rsidR="005D7E20" w:rsidRDefault="00507B07">
      <w:pPr>
        <w:numPr>
          <w:ilvl w:val="0"/>
          <w:numId w:val="6"/>
        </w:numPr>
        <w:pBdr>
          <w:top w:val="nil"/>
          <w:left w:val="nil"/>
          <w:bottom w:val="nil"/>
          <w:right w:val="nil"/>
          <w:between w:val="nil"/>
        </w:pBdr>
        <w:spacing w:before="120" w:after="180"/>
      </w:pPr>
      <w:r>
        <w:rPr>
          <w:color w:val="000000"/>
        </w:rPr>
        <w:t>female = 49%</w:t>
      </w:r>
    </w:p>
    <w:p w14:paraId="0000020A" w14:textId="77777777" w:rsidR="005D7E20" w:rsidRDefault="00507B07">
      <w:pPr>
        <w:numPr>
          <w:ilvl w:val="0"/>
          <w:numId w:val="6"/>
        </w:numPr>
        <w:pBdr>
          <w:top w:val="nil"/>
          <w:left w:val="nil"/>
          <w:bottom w:val="nil"/>
          <w:right w:val="nil"/>
          <w:between w:val="nil"/>
        </w:pBdr>
        <w:spacing w:before="120" w:after="180"/>
      </w:pPr>
      <w:r>
        <w:rPr>
          <w:color w:val="000000"/>
        </w:rPr>
        <w:t>race: White = 53%; Asian = 35%, unknown =10%</w:t>
      </w:r>
    </w:p>
    <w:p w14:paraId="0000020B" w14:textId="77777777" w:rsidR="005D7E20" w:rsidRDefault="00507B07">
      <w:pPr>
        <w:numPr>
          <w:ilvl w:val="0"/>
          <w:numId w:val="6"/>
        </w:numPr>
        <w:pBdr>
          <w:top w:val="nil"/>
          <w:left w:val="nil"/>
          <w:bottom w:val="nil"/>
          <w:right w:val="nil"/>
          <w:between w:val="nil"/>
        </w:pBdr>
        <w:spacing w:before="120" w:after="180"/>
      </w:pPr>
      <w:r>
        <w:rPr>
          <w:color w:val="000000"/>
        </w:rPr>
        <w:t>ECOG 0 = 36%; ECOG 1 = 59%</w:t>
      </w:r>
    </w:p>
    <w:p w14:paraId="0000020C" w14:textId="77777777" w:rsidR="005D7E20" w:rsidRDefault="00507B07">
      <w:pPr>
        <w:numPr>
          <w:ilvl w:val="0"/>
          <w:numId w:val="6"/>
        </w:numPr>
        <w:pBdr>
          <w:top w:val="nil"/>
          <w:left w:val="nil"/>
          <w:bottom w:val="nil"/>
          <w:right w:val="nil"/>
          <w:between w:val="nil"/>
        </w:pBdr>
        <w:spacing w:before="120" w:after="180"/>
      </w:pPr>
      <w:r>
        <w:rPr>
          <w:color w:val="000000"/>
        </w:rPr>
        <w:t>TNM stage at screening: IIIB = 1.1%; IV = 49%</w:t>
      </w:r>
    </w:p>
    <w:p w14:paraId="0000020D" w14:textId="77777777" w:rsidR="005D7E20" w:rsidRDefault="00507B07">
      <w:pPr>
        <w:numPr>
          <w:ilvl w:val="0"/>
          <w:numId w:val="6"/>
        </w:numPr>
        <w:pBdr>
          <w:top w:val="nil"/>
          <w:left w:val="nil"/>
          <w:bottom w:val="nil"/>
          <w:right w:val="nil"/>
          <w:between w:val="nil"/>
        </w:pBdr>
        <w:spacing w:before="120" w:after="180"/>
      </w:pPr>
      <w:r>
        <w:rPr>
          <w:color w:val="000000"/>
        </w:rPr>
        <w:t>Central nervous system metastasis (history or current) = 43%</w:t>
      </w:r>
    </w:p>
    <w:p w14:paraId="0000020E" w14:textId="77777777" w:rsidR="005D7E20" w:rsidRDefault="00507B07">
      <w:pPr>
        <w:numPr>
          <w:ilvl w:val="0"/>
          <w:numId w:val="6"/>
        </w:numPr>
        <w:pBdr>
          <w:top w:val="nil"/>
          <w:left w:val="nil"/>
          <w:bottom w:val="nil"/>
          <w:right w:val="nil"/>
          <w:between w:val="nil"/>
        </w:pBdr>
        <w:spacing w:before="120" w:after="180"/>
      </w:pPr>
      <w:r>
        <w:rPr>
          <w:i/>
          <w:color w:val="000000"/>
        </w:rPr>
        <w:t>RET</w:t>
      </w:r>
      <w:r>
        <w:rPr>
          <w:color w:val="000000"/>
        </w:rPr>
        <w:t xml:space="preserve"> fusion = 100%</w:t>
      </w:r>
    </w:p>
    <w:p w14:paraId="0000020F" w14:textId="16D92325" w:rsidR="005D7E20" w:rsidRDefault="00D63D0E">
      <w:sdt>
        <w:sdtPr>
          <w:tag w:val="goog_rdk_22"/>
          <w:id w:val="667372709"/>
        </w:sdtPr>
        <w:sdtEndPr/>
        <w:sdtContent/>
      </w:sdt>
      <w:r w:rsidR="00507B07">
        <w:t>Treatment naïve (n=27)</w:t>
      </w:r>
      <w:r w:rsidR="00F96FDF">
        <w:t xml:space="preserve"> in RET altered measurable disease </w:t>
      </w:r>
      <w:proofErr w:type="gramStart"/>
      <w:r w:rsidR="00F96FDF">
        <w:t>population</w:t>
      </w:r>
      <w:r w:rsidR="00507B07">
        <w:t>;</w:t>
      </w:r>
      <w:proofErr w:type="gramEnd"/>
      <w:r w:rsidR="00507B07">
        <w:rPr>
          <w:vertAlign w:val="superscript"/>
        </w:rPr>
        <w:t>6</w:t>
      </w:r>
    </w:p>
    <w:p w14:paraId="00000210" w14:textId="77777777" w:rsidR="005D7E20" w:rsidRDefault="00507B07">
      <w:pPr>
        <w:numPr>
          <w:ilvl w:val="0"/>
          <w:numId w:val="6"/>
        </w:numPr>
        <w:pBdr>
          <w:top w:val="nil"/>
          <w:left w:val="nil"/>
          <w:bottom w:val="nil"/>
          <w:right w:val="nil"/>
          <w:between w:val="nil"/>
        </w:pBdr>
        <w:spacing w:before="120" w:after="180"/>
      </w:pPr>
      <w:r>
        <w:rPr>
          <w:color w:val="000000"/>
        </w:rPr>
        <w:t>median age (min, max) = 65 (30, 87)</w:t>
      </w:r>
    </w:p>
    <w:p w14:paraId="00000211" w14:textId="77777777" w:rsidR="005D7E20" w:rsidRDefault="00507B07">
      <w:pPr>
        <w:numPr>
          <w:ilvl w:val="0"/>
          <w:numId w:val="6"/>
        </w:numPr>
        <w:pBdr>
          <w:top w:val="nil"/>
          <w:left w:val="nil"/>
          <w:bottom w:val="nil"/>
          <w:right w:val="nil"/>
          <w:between w:val="nil"/>
        </w:pBdr>
        <w:spacing w:before="120" w:after="180"/>
      </w:pPr>
      <w:r>
        <w:rPr>
          <w:color w:val="000000"/>
        </w:rPr>
        <w:t>female = 52%</w:t>
      </w:r>
    </w:p>
    <w:p w14:paraId="00000212" w14:textId="77777777" w:rsidR="005D7E20" w:rsidRDefault="00507B07">
      <w:pPr>
        <w:numPr>
          <w:ilvl w:val="0"/>
          <w:numId w:val="6"/>
        </w:numPr>
        <w:pBdr>
          <w:top w:val="nil"/>
          <w:left w:val="nil"/>
          <w:bottom w:val="nil"/>
          <w:right w:val="nil"/>
          <w:between w:val="nil"/>
        </w:pBdr>
        <w:spacing w:before="120" w:after="180"/>
      </w:pPr>
      <w:r>
        <w:rPr>
          <w:color w:val="000000"/>
        </w:rPr>
        <w:t>race: White = 59%; Asian = 33%, Native Hawaiian or other Pacific Islander = 3.7%; unknown =3.7%</w:t>
      </w:r>
    </w:p>
    <w:p w14:paraId="00000213" w14:textId="77777777" w:rsidR="005D7E20" w:rsidRDefault="00507B07">
      <w:pPr>
        <w:numPr>
          <w:ilvl w:val="0"/>
          <w:numId w:val="6"/>
        </w:numPr>
        <w:pBdr>
          <w:top w:val="nil"/>
          <w:left w:val="nil"/>
          <w:bottom w:val="nil"/>
          <w:right w:val="nil"/>
          <w:between w:val="nil"/>
        </w:pBdr>
        <w:spacing w:before="120" w:after="180"/>
      </w:pPr>
      <w:r>
        <w:rPr>
          <w:color w:val="000000"/>
        </w:rPr>
        <w:t>ECOG 0 = 41%; ECOG 1 = 56%</w:t>
      </w:r>
    </w:p>
    <w:p w14:paraId="00000214" w14:textId="77777777" w:rsidR="005D7E20" w:rsidRDefault="00507B07">
      <w:pPr>
        <w:numPr>
          <w:ilvl w:val="0"/>
          <w:numId w:val="6"/>
        </w:numPr>
        <w:pBdr>
          <w:top w:val="nil"/>
          <w:left w:val="nil"/>
          <w:bottom w:val="nil"/>
          <w:right w:val="nil"/>
          <w:between w:val="nil"/>
        </w:pBdr>
        <w:spacing w:before="120" w:after="180"/>
      </w:pPr>
      <w:r>
        <w:rPr>
          <w:color w:val="000000"/>
        </w:rPr>
        <w:t>TNM stage at screening: IIIB = 0%; IV = 67%</w:t>
      </w:r>
    </w:p>
    <w:p w14:paraId="00000215" w14:textId="77777777" w:rsidR="005D7E20" w:rsidRDefault="00507B07">
      <w:pPr>
        <w:numPr>
          <w:ilvl w:val="0"/>
          <w:numId w:val="6"/>
        </w:numPr>
        <w:pBdr>
          <w:top w:val="nil"/>
          <w:left w:val="nil"/>
          <w:bottom w:val="nil"/>
          <w:right w:val="nil"/>
          <w:between w:val="nil"/>
        </w:pBdr>
        <w:spacing w:before="120" w:after="180"/>
      </w:pPr>
      <w:r>
        <w:rPr>
          <w:color w:val="000000"/>
        </w:rPr>
        <w:t>Central nervous system metastasis (history or current) = 33%</w:t>
      </w:r>
    </w:p>
    <w:p w14:paraId="00000216" w14:textId="77777777" w:rsidR="005D7E20" w:rsidRDefault="00507B07">
      <w:pPr>
        <w:numPr>
          <w:ilvl w:val="0"/>
          <w:numId w:val="6"/>
        </w:numPr>
        <w:pBdr>
          <w:top w:val="nil"/>
          <w:left w:val="nil"/>
          <w:bottom w:val="nil"/>
          <w:right w:val="nil"/>
          <w:between w:val="nil"/>
        </w:pBdr>
        <w:spacing w:before="120" w:after="180"/>
      </w:pPr>
      <w:r>
        <w:rPr>
          <w:i/>
          <w:color w:val="000000"/>
        </w:rPr>
        <w:t>RET</w:t>
      </w:r>
      <w:r>
        <w:rPr>
          <w:color w:val="000000"/>
        </w:rPr>
        <w:t xml:space="preserve"> fusion = 100%</w:t>
      </w:r>
    </w:p>
    <w:p w14:paraId="00000217"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Results</w:t>
      </w:r>
    </w:p>
    <w:p w14:paraId="00000218"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Primary endpoint</w:t>
      </w:r>
    </w:p>
    <w:p w14:paraId="00000219" w14:textId="77777777" w:rsidR="005D7E20" w:rsidRDefault="00507B07">
      <w:r>
        <w:t>The efficacy results for the primary endpoint of ORR as assessed by BICR provided by the sponsor is based on the data cut-off of 18 November 2019. The ORR analysis for this evaluation was based on the data cut-off of 13 February 2020, and is considered the primary analysis for this submission.</w:t>
      </w:r>
    </w:p>
    <w:p w14:paraId="0000021A" w14:textId="77777777" w:rsidR="005D7E20" w:rsidRDefault="00507B07">
      <w:r>
        <w:t>Subpopulation with prior platinum treatment (n = 87)</w:t>
      </w:r>
    </w:p>
    <w:p w14:paraId="0000021B" w14:textId="77777777" w:rsidR="005D7E20" w:rsidRDefault="00507B07">
      <w:pPr>
        <w:numPr>
          <w:ilvl w:val="0"/>
          <w:numId w:val="6"/>
        </w:numPr>
        <w:pBdr>
          <w:top w:val="nil"/>
          <w:left w:val="nil"/>
          <w:bottom w:val="nil"/>
          <w:right w:val="nil"/>
          <w:between w:val="nil"/>
        </w:pBdr>
        <w:spacing w:before="120" w:after="180"/>
      </w:pPr>
      <w:r>
        <w:rPr>
          <w:color w:val="000000"/>
        </w:rPr>
        <w:t>ORR = 57% (95% CI: 46, 68) (n = 50)</w:t>
      </w:r>
    </w:p>
    <w:p w14:paraId="0000021C" w14:textId="77777777" w:rsidR="005D7E20" w:rsidRDefault="00507B07">
      <w:pPr>
        <w:numPr>
          <w:ilvl w:val="0"/>
          <w:numId w:val="6"/>
        </w:numPr>
        <w:pBdr>
          <w:top w:val="nil"/>
          <w:left w:val="nil"/>
          <w:bottom w:val="nil"/>
          <w:right w:val="nil"/>
          <w:between w:val="nil"/>
        </w:pBdr>
        <w:spacing w:before="120" w:after="180"/>
      </w:pPr>
      <w:r>
        <w:rPr>
          <w:color w:val="000000"/>
        </w:rPr>
        <w:t>CR = 6%</w:t>
      </w:r>
    </w:p>
    <w:p w14:paraId="0000021D" w14:textId="77777777" w:rsidR="005D7E20" w:rsidRDefault="00507B07">
      <w:pPr>
        <w:numPr>
          <w:ilvl w:val="0"/>
          <w:numId w:val="6"/>
        </w:numPr>
        <w:pBdr>
          <w:top w:val="nil"/>
          <w:left w:val="nil"/>
          <w:bottom w:val="nil"/>
          <w:right w:val="nil"/>
          <w:between w:val="nil"/>
        </w:pBdr>
        <w:spacing w:before="120" w:after="180"/>
      </w:pPr>
      <w:r>
        <w:rPr>
          <w:color w:val="000000"/>
        </w:rPr>
        <w:t>PR = 52%</w:t>
      </w:r>
    </w:p>
    <w:p w14:paraId="0000021E" w14:textId="77777777" w:rsidR="005D7E20" w:rsidRDefault="00507B07">
      <w:r>
        <w:t>Treatment naïve (n = 27)</w:t>
      </w:r>
    </w:p>
    <w:p w14:paraId="0000021F" w14:textId="77777777" w:rsidR="005D7E20" w:rsidRDefault="00507B07">
      <w:pPr>
        <w:numPr>
          <w:ilvl w:val="0"/>
          <w:numId w:val="6"/>
        </w:numPr>
        <w:pBdr>
          <w:top w:val="nil"/>
          <w:left w:val="nil"/>
          <w:bottom w:val="nil"/>
          <w:right w:val="nil"/>
          <w:between w:val="nil"/>
        </w:pBdr>
        <w:spacing w:before="120" w:after="180"/>
      </w:pPr>
      <w:r>
        <w:rPr>
          <w:color w:val="000000"/>
        </w:rPr>
        <w:t>ORR = 70% (95% CI: 50, 86) (n=19)</w:t>
      </w:r>
    </w:p>
    <w:p w14:paraId="00000220" w14:textId="77777777" w:rsidR="005D7E20" w:rsidRDefault="00507B07">
      <w:pPr>
        <w:numPr>
          <w:ilvl w:val="0"/>
          <w:numId w:val="6"/>
        </w:numPr>
        <w:pBdr>
          <w:top w:val="nil"/>
          <w:left w:val="nil"/>
          <w:bottom w:val="nil"/>
          <w:right w:val="nil"/>
          <w:between w:val="nil"/>
        </w:pBdr>
        <w:spacing w:before="120" w:after="180"/>
      </w:pPr>
      <w:r>
        <w:rPr>
          <w:color w:val="000000"/>
        </w:rPr>
        <w:lastRenderedPageBreak/>
        <w:t>CR = 11%</w:t>
      </w:r>
    </w:p>
    <w:p w14:paraId="00000221" w14:textId="77777777" w:rsidR="005D7E20" w:rsidRDefault="00507B07">
      <w:pPr>
        <w:numPr>
          <w:ilvl w:val="0"/>
          <w:numId w:val="6"/>
        </w:numPr>
        <w:pBdr>
          <w:top w:val="nil"/>
          <w:left w:val="nil"/>
          <w:bottom w:val="nil"/>
          <w:right w:val="nil"/>
          <w:between w:val="nil"/>
        </w:pBdr>
        <w:spacing w:before="120" w:after="180"/>
      </w:pPr>
      <w:r>
        <w:rPr>
          <w:color w:val="000000"/>
        </w:rPr>
        <w:t>PR = 59%</w:t>
      </w:r>
    </w:p>
    <w:p w14:paraId="00000222" w14:textId="77777777" w:rsidR="005D7E20" w:rsidRDefault="00507B07">
      <w:r>
        <w:t>An exploratory subgroup analysis of 39 patients previously treated with an anti-PD-1 or anti-PD-L1 therapy either sequentially or concurrently with platinum-based chemotherapy demonstrated an ORR of 59% (95% CI: 42, 74).</w:t>
      </w:r>
    </w:p>
    <w:p w14:paraId="00000223"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Secondary and exploratory endpoints</w:t>
      </w:r>
    </w:p>
    <w:p w14:paraId="00000224" w14:textId="53D857C7" w:rsidR="005D7E20" w:rsidRDefault="00D63D0E">
      <w:sdt>
        <w:sdtPr>
          <w:tag w:val="goog_rdk_23"/>
          <w:id w:val="-1159374741"/>
        </w:sdtPr>
        <w:sdtEndPr/>
        <w:sdtContent/>
      </w:sdt>
      <w:r w:rsidR="00507B07">
        <w:t xml:space="preserve">DOR in patients with measurable metastatic </w:t>
      </w:r>
      <w:r w:rsidR="00507B07">
        <w:rPr>
          <w:i/>
        </w:rPr>
        <w:t>RET</w:t>
      </w:r>
      <w:r w:rsidR="00507B07">
        <w:t xml:space="preserve"> fusion positive NSCLC</w:t>
      </w:r>
      <w:r w:rsidR="00F96FDF">
        <w:t xml:space="preserve">, </w:t>
      </w:r>
      <w:r w:rsidR="00F96FDF" w:rsidRPr="00F96FDF">
        <w:t xml:space="preserve">data </w:t>
      </w:r>
      <w:proofErr w:type="spellStart"/>
      <w:r w:rsidR="00F96FDF" w:rsidRPr="00F96FDF">
        <w:t>cutoff</w:t>
      </w:r>
      <w:proofErr w:type="spellEnd"/>
      <w:r w:rsidR="00F96FDF" w:rsidRPr="00F96FDF">
        <w:t xml:space="preserve"> 22 May 2020</w:t>
      </w:r>
      <w:r w:rsidR="00507B07">
        <w:t>:</w:t>
      </w:r>
    </w:p>
    <w:p w14:paraId="00000225" w14:textId="77777777" w:rsidR="005D7E20" w:rsidRDefault="00507B07">
      <w:pPr>
        <w:numPr>
          <w:ilvl w:val="0"/>
          <w:numId w:val="6"/>
        </w:numPr>
        <w:pBdr>
          <w:top w:val="nil"/>
          <w:left w:val="nil"/>
          <w:bottom w:val="nil"/>
          <w:right w:val="nil"/>
          <w:between w:val="nil"/>
        </w:pBdr>
        <w:spacing w:before="120" w:after="180"/>
      </w:pPr>
      <w:r>
        <w:rPr>
          <w:color w:val="000000"/>
        </w:rPr>
        <w:t>Prior platinum treatment subgroup (n = 87)</w:t>
      </w:r>
    </w:p>
    <w:p w14:paraId="00000226" w14:textId="77777777" w:rsidR="005D7E20" w:rsidRDefault="00507B07">
      <w:pPr>
        <w:numPr>
          <w:ilvl w:val="1"/>
          <w:numId w:val="6"/>
        </w:numPr>
        <w:pBdr>
          <w:top w:val="nil"/>
          <w:left w:val="nil"/>
          <w:bottom w:val="nil"/>
          <w:right w:val="nil"/>
          <w:between w:val="nil"/>
        </w:pBdr>
        <w:spacing w:before="120" w:after="180"/>
      </w:pPr>
      <w:r>
        <w:rPr>
          <w:color w:val="000000"/>
        </w:rPr>
        <w:t>Number of responders = 50</w:t>
      </w:r>
    </w:p>
    <w:p w14:paraId="00000227" w14:textId="77777777" w:rsidR="005D7E20" w:rsidRDefault="00507B07">
      <w:pPr>
        <w:numPr>
          <w:ilvl w:val="1"/>
          <w:numId w:val="6"/>
        </w:numPr>
        <w:pBdr>
          <w:top w:val="nil"/>
          <w:left w:val="nil"/>
          <w:bottom w:val="nil"/>
          <w:right w:val="nil"/>
          <w:between w:val="nil"/>
        </w:pBdr>
        <w:spacing w:before="120" w:after="180"/>
      </w:pPr>
      <w:r>
        <w:rPr>
          <w:color w:val="000000"/>
        </w:rPr>
        <w:t>Median DOR in months = NE (95% CI: 15.2, NE)</w:t>
      </w:r>
    </w:p>
    <w:p w14:paraId="00000228" w14:textId="77777777" w:rsidR="005D7E20" w:rsidRDefault="00507B07">
      <w:pPr>
        <w:numPr>
          <w:ilvl w:val="1"/>
          <w:numId w:val="6"/>
        </w:numPr>
        <w:pBdr>
          <w:top w:val="nil"/>
          <w:left w:val="nil"/>
          <w:bottom w:val="nil"/>
          <w:right w:val="nil"/>
          <w:between w:val="nil"/>
        </w:pBdr>
        <w:spacing w:before="120" w:after="180"/>
      </w:pPr>
      <w:r>
        <w:rPr>
          <w:color w:val="000000"/>
        </w:rPr>
        <w:t>DOR at least 6 months = 80%</w:t>
      </w:r>
    </w:p>
    <w:p w14:paraId="00000229" w14:textId="364C236D" w:rsidR="005D7E20" w:rsidRDefault="00D63D0E">
      <w:pPr>
        <w:numPr>
          <w:ilvl w:val="0"/>
          <w:numId w:val="6"/>
        </w:numPr>
        <w:pBdr>
          <w:top w:val="nil"/>
          <w:left w:val="nil"/>
          <w:bottom w:val="nil"/>
          <w:right w:val="nil"/>
          <w:between w:val="nil"/>
        </w:pBdr>
        <w:spacing w:before="120" w:after="180"/>
      </w:pPr>
      <w:sdt>
        <w:sdtPr>
          <w:tag w:val="goog_rdk_24"/>
          <w:id w:val="584882089"/>
        </w:sdtPr>
        <w:sdtEndPr/>
        <w:sdtContent/>
      </w:sdt>
      <w:r w:rsidR="00507B07">
        <w:rPr>
          <w:color w:val="000000"/>
        </w:rPr>
        <w:t>No prior systemic treatment (n = 27)</w:t>
      </w:r>
      <w:r w:rsidR="00F96FDF">
        <w:rPr>
          <w:color w:val="000000"/>
        </w:rPr>
        <w:t xml:space="preserve">, </w:t>
      </w:r>
      <w:r w:rsidR="00F96FDF" w:rsidRPr="00F96FDF">
        <w:rPr>
          <w:color w:val="000000"/>
        </w:rPr>
        <w:t xml:space="preserve">data </w:t>
      </w:r>
      <w:proofErr w:type="spellStart"/>
      <w:r w:rsidR="00F96FDF" w:rsidRPr="00F96FDF">
        <w:rPr>
          <w:color w:val="000000"/>
        </w:rPr>
        <w:t>cutoff</w:t>
      </w:r>
      <w:proofErr w:type="spellEnd"/>
      <w:r w:rsidR="00F96FDF" w:rsidRPr="00F96FDF">
        <w:rPr>
          <w:color w:val="000000"/>
        </w:rPr>
        <w:t xml:space="preserve"> 22 May 2020</w:t>
      </w:r>
    </w:p>
    <w:p w14:paraId="0000022A" w14:textId="77777777" w:rsidR="005D7E20" w:rsidRDefault="00507B07">
      <w:pPr>
        <w:numPr>
          <w:ilvl w:val="1"/>
          <w:numId w:val="6"/>
        </w:numPr>
        <w:pBdr>
          <w:top w:val="nil"/>
          <w:left w:val="nil"/>
          <w:bottom w:val="nil"/>
          <w:right w:val="nil"/>
          <w:between w:val="nil"/>
        </w:pBdr>
        <w:spacing w:before="120" w:after="180"/>
      </w:pPr>
      <w:r>
        <w:rPr>
          <w:color w:val="000000"/>
        </w:rPr>
        <w:t>Number of responders = 19</w:t>
      </w:r>
    </w:p>
    <w:p w14:paraId="0000022B" w14:textId="77777777" w:rsidR="005D7E20" w:rsidRDefault="00507B07">
      <w:pPr>
        <w:numPr>
          <w:ilvl w:val="1"/>
          <w:numId w:val="6"/>
        </w:numPr>
        <w:pBdr>
          <w:top w:val="nil"/>
          <w:left w:val="nil"/>
          <w:bottom w:val="nil"/>
          <w:right w:val="nil"/>
          <w:between w:val="nil"/>
        </w:pBdr>
        <w:spacing w:before="120" w:after="180"/>
      </w:pPr>
      <w:r>
        <w:rPr>
          <w:color w:val="000000"/>
        </w:rPr>
        <w:t>Median DOR in months = 9.0 (95% CI: 6.3, NE)</w:t>
      </w:r>
    </w:p>
    <w:p w14:paraId="0000022C" w14:textId="77777777" w:rsidR="005D7E20" w:rsidRDefault="00507B07">
      <w:pPr>
        <w:numPr>
          <w:ilvl w:val="1"/>
          <w:numId w:val="6"/>
        </w:numPr>
        <w:pBdr>
          <w:top w:val="nil"/>
          <w:left w:val="nil"/>
          <w:bottom w:val="nil"/>
          <w:right w:val="nil"/>
          <w:between w:val="nil"/>
        </w:pBdr>
        <w:spacing w:before="120" w:after="180"/>
      </w:pPr>
      <w:r>
        <w:rPr>
          <w:color w:val="000000"/>
        </w:rPr>
        <w:t>DOR at least 6 months = 58%</w:t>
      </w:r>
    </w:p>
    <w:p w14:paraId="0000022D" w14:textId="77777777" w:rsidR="005D7E20" w:rsidRDefault="00507B07">
      <w:r>
        <w:t xml:space="preserve">As per regulatory </w:t>
      </w:r>
      <w:proofErr w:type="gramStart"/>
      <w:r>
        <w:t>guidelines;</w:t>
      </w:r>
      <w:proofErr w:type="gramEnd"/>
      <w:r>
        <w:rPr>
          <w:vertAlign w:val="superscript"/>
        </w:rPr>
        <w:footnoteReference w:id="9"/>
      </w:r>
      <w:r>
        <w:t xml:space="preserve"> time-to-event endpoints, such PFS and OS, are difficult to interpret in single arm trials, given the lack of internal contemporaneous controls.</w:t>
      </w:r>
    </w:p>
    <w:p w14:paraId="0000022E" w14:textId="0597927D" w:rsidR="005D7E20" w:rsidRDefault="00D63D0E">
      <w:sdt>
        <w:sdtPr>
          <w:tag w:val="goog_rdk_25"/>
          <w:id w:val="2114319142"/>
        </w:sdtPr>
        <w:sdtEndPr/>
        <w:sdtContent/>
      </w:sdt>
      <w:r w:rsidR="00507B07">
        <w:t>For completeness</w:t>
      </w:r>
      <w:r w:rsidR="00F96FDF">
        <w:t xml:space="preserve"> in efficacy population (n = 132)</w:t>
      </w:r>
      <w:r w:rsidR="00507B07">
        <w:t>:</w:t>
      </w:r>
    </w:p>
    <w:p w14:paraId="0000022F" w14:textId="77777777" w:rsidR="005D7E20" w:rsidRDefault="00507B07">
      <w:pPr>
        <w:numPr>
          <w:ilvl w:val="0"/>
          <w:numId w:val="6"/>
        </w:numPr>
        <w:pBdr>
          <w:top w:val="nil"/>
          <w:left w:val="nil"/>
          <w:bottom w:val="nil"/>
          <w:right w:val="nil"/>
          <w:between w:val="nil"/>
        </w:pBdr>
        <w:spacing w:before="120" w:after="180"/>
      </w:pPr>
      <w:r>
        <w:rPr>
          <w:color w:val="000000"/>
        </w:rPr>
        <w:t xml:space="preserve">CBR = 68.2%, with 90 patients having CR, </w:t>
      </w:r>
      <w:proofErr w:type="gramStart"/>
      <w:r>
        <w:rPr>
          <w:color w:val="000000"/>
        </w:rPr>
        <w:t>PR</w:t>
      </w:r>
      <w:proofErr w:type="gramEnd"/>
      <w:r>
        <w:rPr>
          <w:color w:val="000000"/>
        </w:rPr>
        <w:t xml:space="preserve"> or stable disease (SD) for at least four cycles.</w:t>
      </w:r>
    </w:p>
    <w:p w14:paraId="00000230" w14:textId="77777777" w:rsidR="005D7E20" w:rsidRDefault="00507B07">
      <w:pPr>
        <w:numPr>
          <w:ilvl w:val="0"/>
          <w:numId w:val="6"/>
        </w:numPr>
        <w:pBdr>
          <w:top w:val="nil"/>
          <w:left w:val="nil"/>
          <w:bottom w:val="nil"/>
          <w:right w:val="nil"/>
          <w:between w:val="nil"/>
        </w:pBdr>
        <w:spacing w:before="120" w:after="180"/>
      </w:pPr>
      <w:r>
        <w:rPr>
          <w:color w:val="000000"/>
        </w:rPr>
        <w:t xml:space="preserve">DCR = 87.9%, with 116 patients having CR, </w:t>
      </w:r>
      <w:proofErr w:type="gramStart"/>
      <w:r>
        <w:rPr>
          <w:color w:val="000000"/>
        </w:rPr>
        <w:t>PR</w:t>
      </w:r>
      <w:proofErr w:type="gramEnd"/>
      <w:r>
        <w:rPr>
          <w:color w:val="000000"/>
        </w:rPr>
        <w:t xml:space="preserve"> or SD.</w:t>
      </w:r>
    </w:p>
    <w:p w14:paraId="00000231" w14:textId="77777777" w:rsidR="005D7E20" w:rsidRDefault="00507B07">
      <w:pPr>
        <w:numPr>
          <w:ilvl w:val="0"/>
          <w:numId w:val="6"/>
        </w:numPr>
        <w:pBdr>
          <w:top w:val="nil"/>
          <w:left w:val="nil"/>
          <w:bottom w:val="nil"/>
          <w:right w:val="nil"/>
          <w:between w:val="nil"/>
        </w:pBdr>
        <w:spacing w:before="120" w:after="180"/>
      </w:pPr>
      <w:r>
        <w:rPr>
          <w:color w:val="000000"/>
        </w:rPr>
        <w:t>PFS = estimated median PFS was 12.7 months (95% CI: 9.1, -)</w:t>
      </w:r>
    </w:p>
    <w:p w14:paraId="00000232" w14:textId="77777777" w:rsidR="005D7E20" w:rsidRDefault="00507B07">
      <w:pPr>
        <w:numPr>
          <w:ilvl w:val="0"/>
          <w:numId w:val="6"/>
        </w:numPr>
        <w:pBdr>
          <w:top w:val="nil"/>
          <w:left w:val="nil"/>
          <w:bottom w:val="nil"/>
          <w:right w:val="nil"/>
          <w:between w:val="nil"/>
        </w:pBdr>
        <w:spacing w:before="120" w:after="180"/>
      </w:pPr>
      <w:r>
        <w:rPr>
          <w:color w:val="000000"/>
        </w:rPr>
        <w:t>OS = Kaplan-Meier estimate for median OS could not be determined at a median follow up of 10.5 months.</w:t>
      </w:r>
    </w:p>
    <w:p w14:paraId="00000233" w14:textId="77777777" w:rsidR="005D7E20" w:rsidRDefault="00507B07">
      <w:r>
        <w:t>Analyses of PFS and OS under Study BLU-667-1101 are considered descriptive and were not verified during clinical evaluation, nor were analyses related to CBR and DCR.</w:t>
      </w:r>
    </w:p>
    <w:p w14:paraId="00000234"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Quality of life</w:t>
      </w:r>
    </w:p>
    <w:p w14:paraId="00000235" w14:textId="77777777" w:rsidR="005D7E20" w:rsidRDefault="00507B07">
      <w:r>
        <w:t>As this study was open-label, knowledge of treatment assignment may induce bias in the completion of patient reported outcome (PRO) instruments; there was no pre-specified analysis plan for PROs, and therefore no control of Type 1 error threshold for a clinically meaningful difference for these analyses. In addition, since there are no comparative analyses for this non-randomised study, it is difficult to attribute any reported within-patient differences of PROs to the experimental arm, as the results cannot be put into context for this patient population or disease without a control arm.</w:t>
      </w:r>
    </w:p>
    <w:p w14:paraId="00000236"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proofErr w:type="spellStart"/>
      <w:r>
        <w:rPr>
          <w:rFonts w:ascii="Calibri" w:eastAsia="Calibri" w:hAnsi="Calibri" w:cs="Calibri"/>
          <w:color w:val="272727"/>
          <w:sz w:val="21"/>
          <w:szCs w:val="21"/>
        </w:rPr>
        <w:t>Pralsetinib</w:t>
      </w:r>
      <w:proofErr w:type="spellEnd"/>
      <w:r>
        <w:rPr>
          <w:rFonts w:ascii="Calibri" w:eastAsia="Calibri" w:hAnsi="Calibri" w:cs="Calibri"/>
          <w:color w:val="272727"/>
          <w:sz w:val="21"/>
          <w:szCs w:val="21"/>
        </w:rPr>
        <w:t xml:space="preserve"> versus Intracranial metastases</w:t>
      </w:r>
    </w:p>
    <w:p w14:paraId="00000237" w14:textId="77777777" w:rsidR="005D7E20" w:rsidRDefault="00507B07">
      <w:r>
        <w:t xml:space="preserve">Among the </w:t>
      </w:r>
      <w:sdt>
        <w:sdtPr>
          <w:tag w:val="goog_rdk_26"/>
          <w:id w:val="1618714759"/>
        </w:sdtPr>
        <w:sdtEndPr/>
        <w:sdtContent/>
      </w:sdt>
      <w:r>
        <w:t xml:space="preserve">87 patients in the prior platinum-based chemotherapy subgroup, eight had measurable central nervous system metastases at baseline (per BICR); no patient received </w:t>
      </w:r>
      <w:r>
        <w:lastRenderedPageBreak/>
        <w:t>cerebral RT within two months prior to study entry. Responses in intracranial lesions were observed in 4 of these 8 patients, including two patients with a central nervous system CR; 75% of responders had a DOR of at least 6 months. One patient who had received prior PD-1/PD-L1 inhibitor and had measurable central nervous system metastases at baseline (per BICR) achieved a CR.</w:t>
      </w:r>
    </w:p>
    <w:p w14:paraId="00000238"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Subgroup analyses</w:t>
      </w:r>
    </w:p>
    <w:p w14:paraId="00000239" w14:textId="77777777" w:rsidR="005D7E20" w:rsidRDefault="00507B07">
      <w:r>
        <w:t>Exploratory ORR analysis by age, sex, and race in the prior platinum therapy subgroup and treatment naïve subgroup are shown in the oversea regulator report.</w:t>
      </w:r>
      <w:r>
        <w:rPr>
          <w:vertAlign w:val="superscript"/>
        </w:rPr>
        <w:t>6</w:t>
      </w:r>
      <w:r>
        <w:t xml:space="preserve"> There were no obvious outliers observed in these analyses.</w:t>
      </w:r>
    </w:p>
    <w:p w14:paraId="0000023A" w14:textId="77777777" w:rsidR="005D7E20" w:rsidRDefault="00507B07">
      <w:pPr>
        <w:pStyle w:val="Heading4"/>
      </w:pPr>
      <w:bookmarkStart w:id="23" w:name="_Toc148339741"/>
      <w:r>
        <w:t>Safety</w:t>
      </w:r>
      <w:bookmarkEnd w:id="23"/>
    </w:p>
    <w:p w14:paraId="0000023B" w14:textId="77777777" w:rsidR="005D7E20" w:rsidRDefault="00507B07">
      <w:r>
        <w:t xml:space="preserve">The safety analysis population consisted of 438 patients (for the Day 90 safety update data; n = 354 patients treated at 400 mg once daily in the initial new drug application), including all patients (n = 404) in Study BLU-667-1101 who received at least one dose of </w:t>
      </w:r>
      <w:proofErr w:type="spellStart"/>
      <w:r>
        <w:t>pralsetinib</w:t>
      </w:r>
      <w:proofErr w:type="spellEnd"/>
      <w:r>
        <w:t xml:space="preserve"> (354 patients received starting dose of 400 mg once daily, and 179 patients with NSCLC who received starting dose of 400 mg once daily), </w:t>
      </w:r>
      <w:sdt>
        <w:sdtPr>
          <w:tag w:val="goog_rdk_27"/>
          <w:id w:val="-504664521"/>
        </w:sdtPr>
        <w:sdtEndPr/>
        <w:sdtContent/>
      </w:sdt>
      <w:sdt>
        <w:sdtPr>
          <w:tag w:val="goog_rdk_28"/>
          <w:id w:val="-1969274619"/>
        </w:sdtPr>
        <w:sdtEndPr/>
        <w:sdtContent/>
      </w:sdt>
      <w:r>
        <w:t xml:space="preserve">and additional patients who received a starting dose of 400 mg once daily available after the 90-day safety update (data </w:t>
      </w:r>
      <w:proofErr w:type="spellStart"/>
      <w:r>
        <w:t>cutoff</w:t>
      </w:r>
      <w:proofErr w:type="spellEnd"/>
      <w:r>
        <w:t xml:space="preserve"> 13 February 2020).</w:t>
      </w:r>
    </w:p>
    <w:p w14:paraId="0000023C" w14:textId="77777777" w:rsidR="005D7E20" w:rsidRDefault="00507B07">
      <w:r>
        <w:t>The most common AEs in all patients treated at 400 mg once daily (in at least 20% of patients) by Preferred Term (PT) included:</w:t>
      </w:r>
    </w:p>
    <w:p w14:paraId="0000023D" w14:textId="77777777" w:rsidR="005D7E20" w:rsidRDefault="00507B07">
      <w:pPr>
        <w:numPr>
          <w:ilvl w:val="0"/>
          <w:numId w:val="6"/>
        </w:numPr>
        <w:pBdr>
          <w:top w:val="nil"/>
          <w:left w:val="nil"/>
          <w:bottom w:val="nil"/>
          <w:right w:val="nil"/>
          <w:between w:val="nil"/>
        </w:pBdr>
        <w:spacing w:before="120" w:after="180"/>
      </w:pPr>
      <w:r>
        <w:rPr>
          <w:color w:val="000000"/>
        </w:rPr>
        <w:t>AST increased</w:t>
      </w:r>
    </w:p>
    <w:p w14:paraId="0000023E" w14:textId="77777777" w:rsidR="005D7E20" w:rsidRDefault="00507B07">
      <w:pPr>
        <w:numPr>
          <w:ilvl w:val="0"/>
          <w:numId w:val="6"/>
        </w:numPr>
        <w:pBdr>
          <w:top w:val="nil"/>
          <w:left w:val="nil"/>
          <w:bottom w:val="nil"/>
          <w:right w:val="nil"/>
          <w:between w:val="nil"/>
        </w:pBdr>
        <w:spacing w:before="120" w:after="180"/>
      </w:pPr>
      <w:r>
        <w:rPr>
          <w:color w:val="000000"/>
        </w:rPr>
        <w:t>Constipation</w:t>
      </w:r>
    </w:p>
    <w:p w14:paraId="0000023F" w14:textId="77777777" w:rsidR="005D7E20" w:rsidRDefault="00507B07">
      <w:pPr>
        <w:numPr>
          <w:ilvl w:val="0"/>
          <w:numId w:val="6"/>
        </w:numPr>
        <w:pBdr>
          <w:top w:val="nil"/>
          <w:left w:val="nil"/>
          <w:bottom w:val="nil"/>
          <w:right w:val="nil"/>
          <w:between w:val="nil"/>
        </w:pBdr>
        <w:spacing w:before="120" w:after="180"/>
      </w:pPr>
      <w:r>
        <w:rPr>
          <w:color w:val="000000"/>
        </w:rPr>
        <w:t>Anaemia</w:t>
      </w:r>
    </w:p>
    <w:p w14:paraId="00000240" w14:textId="77777777" w:rsidR="005D7E20" w:rsidRDefault="00507B07">
      <w:pPr>
        <w:numPr>
          <w:ilvl w:val="0"/>
          <w:numId w:val="6"/>
        </w:numPr>
        <w:pBdr>
          <w:top w:val="nil"/>
          <w:left w:val="nil"/>
          <w:bottom w:val="nil"/>
          <w:right w:val="nil"/>
          <w:between w:val="nil"/>
        </w:pBdr>
        <w:spacing w:before="120" w:after="180"/>
      </w:pPr>
      <w:r>
        <w:rPr>
          <w:color w:val="000000"/>
        </w:rPr>
        <w:t>Hypertension</w:t>
      </w:r>
    </w:p>
    <w:p w14:paraId="00000241" w14:textId="77777777" w:rsidR="005D7E20" w:rsidRDefault="00507B07">
      <w:pPr>
        <w:numPr>
          <w:ilvl w:val="0"/>
          <w:numId w:val="6"/>
        </w:numPr>
        <w:pBdr>
          <w:top w:val="nil"/>
          <w:left w:val="nil"/>
          <w:bottom w:val="nil"/>
          <w:right w:val="nil"/>
          <w:between w:val="nil"/>
        </w:pBdr>
        <w:spacing w:before="120" w:after="180"/>
      </w:pPr>
      <w:r>
        <w:rPr>
          <w:color w:val="000000"/>
        </w:rPr>
        <w:t>ALT increased</w:t>
      </w:r>
    </w:p>
    <w:p w14:paraId="00000242" w14:textId="77777777" w:rsidR="005D7E20" w:rsidRDefault="00507B07">
      <w:pPr>
        <w:numPr>
          <w:ilvl w:val="0"/>
          <w:numId w:val="6"/>
        </w:numPr>
        <w:pBdr>
          <w:top w:val="nil"/>
          <w:left w:val="nil"/>
          <w:bottom w:val="nil"/>
          <w:right w:val="nil"/>
          <w:between w:val="nil"/>
        </w:pBdr>
        <w:spacing w:before="120" w:after="180"/>
      </w:pPr>
      <w:r>
        <w:rPr>
          <w:color w:val="000000"/>
        </w:rPr>
        <w:t>Diarrhea</w:t>
      </w:r>
    </w:p>
    <w:p w14:paraId="00000243" w14:textId="77777777" w:rsidR="005D7E20" w:rsidRDefault="00507B07">
      <w:pPr>
        <w:numPr>
          <w:ilvl w:val="0"/>
          <w:numId w:val="6"/>
        </w:numPr>
        <w:pBdr>
          <w:top w:val="nil"/>
          <w:left w:val="nil"/>
          <w:bottom w:val="nil"/>
          <w:right w:val="nil"/>
          <w:between w:val="nil"/>
        </w:pBdr>
        <w:spacing w:before="120" w:after="180"/>
      </w:pPr>
      <w:r>
        <w:rPr>
          <w:color w:val="000000"/>
        </w:rPr>
        <w:t>Fatigue</w:t>
      </w:r>
    </w:p>
    <w:p w14:paraId="00000244" w14:textId="77777777" w:rsidR="005D7E20" w:rsidRDefault="00507B07">
      <w:pPr>
        <w:numPr>
          <w:ilvl w:val="0"/>
          <w:numId w:val="6"/>
        </w:numPr>
        <w:pBdr>
          <w:top w:val="nil"/>
          <w:left w:val="nil"/>
          <w:bottom w:val="nil"/>
          <w:right w:val="nil"/>
          <w:between w:val="nil"/>
        </w:pBdr>
        <w:spacing w:before="120" w:after="180"/>
      </w:pPr>
      <w:r>
        <w:rPr>
          <w:color w:val="000000"/>
        </w:rPr>
        <w:t>WBC count decreased</w:t>
      </w:r>
    </w:p>
    <w:p w14:paraId="00000245" w14:textId="77777777" w:rsidR="005D7E20" w:rsidRDefault="00507B07">
      <w:pPr>
        <w:numPr>
          <w:ilvl w:val="0"/>
          <w:numId w:val="6"/>
        </w:numPr>
        <w:pBdr>
          <w:top w:val="nil"/>
          <w:left w:val="nil"/>
          <w:bottom w:val="nil"/>
          <w:right w:val="nil"/>
          <w:between w:val="nil"/>
        </w:pBdr>
        <w:spacing w:before="120" w:after="180"/>
      </w:pPr>
      <w:r>
        <w:rPr>
          <w:color w:val="000000"/>
        </w:rPr>
        <w:t>Neutropenia</w:t>
      </w:r>
    </w:p>
    <w:p w14:paraId="00000246" w14:textId="77777777" w:rsidR="005D7E20" w:rsidRDefault="00507B07">
      <w:pPr>
        <w:numPr>
          <w:ilvl w:val="0"/>
          <w:numId w:val="6"/>
        </w:numPr>
        <w:pBdr>
          <w:top w:val="nil"/>
          <w:left w:val="nil"/>
          <w:bottom w:val="nil"/>
          <w:right w:val="nil"/>
          <w:between w:val="nil"/>
        </w:pBdr>
        <w:spacing w:before="120" w:after="180"/>
      </w:pPr>
      <w:r>
        <w:rPr>
          <w:color w:val="000000"/>
        </w:rPr>
        <w:t>Pyrexia</w:t>
      </w:r>
    </w:p>
    <w:p w14:paraId="00000247" w14:textId="77777777" w:rsidR="005D7E20" w:rsidRDefault="00507B07">
      <w:pPr>
        <w:pStyle w:val="Heading5"/>
      </w:pPr>
      <w:r>
        <w:t xml:space="preserve">Exposure to </w:t>
      </w:r>
      <w:proofErr w:type="spellStart"/>
      <w:r>
        <w:t>pralsetinib</w:t>
      </w:r>
      <w:proofErr w:type="spellEnd"/>
    </w:p>
    <w:p w14:paraId="00000248" w14:textId="77777777" w:rsidR="005D7E20" w:rsidRDefault="00507B07">
      <w:r>
        <w:t xml:space="preserve">Among the 438 patients treated at 400 mg once daily (based on 90-day safety update, including 220 (50%) patients with </w:t>
      </w:r>
      <w:r>
        <w:rPr>
          <w:i/>
        </w:rPr>
        <w:t>RET</w:t>
      </w:r>
      <w:r>
        <w:t xml:space="preserve"> fusion positive NSCLC), median duration of treatment was 5.24 months (range: less than 1 month to 25.1 months). 47% were exposed to </w:t>
      </w:r>
      <w:proofErr w:type="spellStart"/>
      <w:r>
        <w:t>pralsetinib</w:t>
      </w:r>
      <w:proofErr w:type="spellEnd"/>
      <w:r>
        <w:t xml:space="preserve"> for at least 6 months and 23% were exposed for at least 12 months.</w:t>
      </w:r>
    </w:p>
    <w:p w14:paraId="00000249" w14:textId="77777777" w:rsidR="005D7E20" w:rsidRDefault="00507B07">
      <w:r>
        <w:t>Patient disposition for NSCLC patient population (n = 220) is as follows:</w:t>
      </w:r>
    </w:p>
    <w:p w14:paraId="0000024A" w14:textId="77777777" w:rsidR="005D7E20" w:rsidRDefault="00507B07">
      <w:pPr>
        <w:numPr>
          <w:ilvl w:val="0"/>
          <w:numId w:val="6"/>
        </w:numPr>
        <w:pBdr>
          <w:top w:val="nil"/>
          <w:left w:val="nil"/>
          <w:bottom w:val="nil"/>
          <w:right w:val="nil"/>
          <w:between w:val="nil"/>
        </w:pBdr>
        <w:spacing w:before="120" w:after="180"/>
      </w:pPr>
      <w:r>
        <w:rPr>
          <w:color w:val="000000"/>
        </w:rPr>
        <w:t>End of treatment status – off treatment = 36%</w:t>
      </w:r>
    </w:p>
    <w:p w14:paraId="0000024B" w14:textId="77777777" w:rsidR="005D7E20" w:rsidRDefault="00507B07">
      <w:pPr>
        <w:numPr>
          <w:ilvl w:val="0"/>
          <w:numId w:val="6"/>
        </w:numPr>
        <w:pBdr>
          <w:top w:val="nil"/>
          <w:left w:val="nil"/>
          <w:bottom w:val="nil"/>
          <w:right w:val="nil"/>
          <w:between w:val="nil"/>
        </w:pBdr>
        <w:spacing w:before="120" w:after="180"/>
      </w:pPr>
      <w:r>
        <w:rPr>
          <w:color w:val="000000"/>
        </w:rPr>
        <w:t>End of treatment status – on treatment = 64%</w:t>
      </w:r>
    </w:p>
    <w:p w14:paraId="0000024C" w14:textId="77777777" w:rsidR="005D7E20" w:rsidRDefault="00507B07">
      <w:pPr>
        <w:numPr>
          <w:ilvl w:val="0"/>
          <w:numId w:val="6"/>
        </w:numPr>
        <w:pBdr>
          <w:top w:val="nil"/>
          <w:left w:val="nil"/>
          <w:bottom w:val="nil"/>
          <w:right w:val="nil"/>
          <w:between w:val="nil"/>
        </w:pBdr>
        <w:spacing w:before="120" w:after="180"/>
      </w:pPr>
      <w:r>
        <w:rPr>
          <w:color w:val="000000"/>
        </w:rPr>
        <w:t>Reason for treatment discontinuation:</w:t>
      </w:r>
    </w:p>
    <w:p w14:paraId="0000024D" w14:textId="77777777" w:rsidR="005D7E20" w:rsidRDefault="00D63D0E">
      <w:pPr>
        <w:numPr>
          <w:ilvl w:val="1"/>
          <w:numId w:val="6"/>
        </w:numPr>
        <w:pBdr>
          <w:top w:val="nil"/>
          <w:left w:val="nil"/>
          <w:bottom w:val="nil"/>
          <w:right w:val="nil"/>
          <w:between w:val="nil"/>
        </w:pBdr>
        <w:spacing w:before="120" w:after="180"/>
      </w:pPr>
      <w:sdt>
        <w:sdtPr>
          <w:tag w:val="goog_rdk_29"/>
          <w:id w:val="1078948956"/>
        </w:sdtPr>
        <w:sdtEndPr/>
        <w:sdtContent/>
      </w:sdt>
      <w:r w:rsidR="00507B07">
        <w:rPr>
          <w:color w:val="000000"/>
        </w:rPr>
        <w:t>Adverse event (AE) = 11%</w:t>
      </w:r>
    </w:p>
    <w:p w14:paraId="0000024E" w14:textId="77777777" w:rsidR="005D7E20" w:rsidRDefault="00507B07">
      <w:pPr>
        <w:numPr>
          <w:ilvl w:val="1"/>
          <w:numId w:val="6"/>
        </w:numPr>
        <w:pBdr>
          <w:top w:val="nil"/>
          <w:left w:val="nil"/>
          <w:bottom w:val="nil"/>
          <w:right w:val="nil"/>
          <w:between w:val="nil"/>
        </w:pBdr>
        <w:spacing w:before="120" w:after="180"/>
      </w:pPr>
      <w:r>
        <w:rPr>
          <w:color w:val="000000"/>
        </w:rPr>
        <w:t>Other = 0.5%</w:t>
      </w:r>
    </w:p>
    <w:p w14:paraId="0000024F" w14:textId="77777777" w:rsidR="005D7E20" w:rsidRDefault="00507B07">
      <w:pPr>
        <w:numPr>
          <w:ilvl w:val="1"/>
          <w:numId w:val="6"/>
        </w:numPr>
        <w:pBdr>
          <w:top w:val="nil"/>
          <w:left w:val="nil"/>
          <w:bottom w:val="nil"/>
          <w:right w:val="nil"/>
          <w:between w:val="nil"/>
        </w:pBdr>
        <w:spacing w:before="120" w:after="180"/>
      </w:pPr>
      <w:r>
        <w:rPr>
          <w:color w:val="000000"/>
        </w:rPr>
        <w:t>Physician decision = 0.5%</w:t>
      </w:r>
    </w:p>
    <w:p w14:paraId="00000250" w14:textId="77777777" w:rsidR="005D7E20" w:rsidRDefault="00507B07">
      <w:pPr>
        <w:numPr>
          <w:ilvl w:val="1"/>
          <w:numId w:val="6"/>
        </w:numPr>
        <w:pBdr>
          <w:top w:val="nil"/>
          <w:left w:val="nil"/>
          <w:bottom w:val="nil"/>
          <w:right w:val="nil"/>
          <w:between w:val="nil"/>
        </w:pBdr>
        <w:spacing w:before="120" w:after="180"/>
      </w:pPr>
      <w:r>
        <w:rPr>
          <w:color w:val="000000"/>
        </w:rPr>
        <w:t>Absence of progression = 21%</w:t>
      </w:r>
    </w:p>
    <w:p w14:paraId="00000251" w14:textId="77777777" w:rsidR="005D7E20" w:rsidRDefault="00507B07">
      <w:pPr>
        <w:numPr>
          <w:ilvl w:val="1"/>
          <w:numId w:val="6"/>
        </w:numPr>
        <w:pBdr>
          <w:top w:val="nil"/>
          <w:left w:val="nil"/>
          <w:bottom w:val="nil"/>
          <w:right w:val="nil"/>
          <w:between w:val="nil"/>
        </w:pBdr>
        <w:spacing w:before="120" w:after="180"/>
      </w:pPr>
      <w:r>
        <w:rPr>
          <w:color w:val="000000"/>
        </w:rPr>
        <w:t>Withdrawal by subject = 3.2%</w:t>
      </w:r>
    </w:p>
    <w:p w14:paraId="00000252" w14:textId="77777777" w:rsidR="005D7E20" w:rsidRDefault="00507B07">
      <w:pPr>
        <w:pStyle w:val="Heading5"/>
      </w:pPr>
      <w:r>
        <w:t>Demographics of safety population:</w:t>
      </w:r>
    </w:p>
    <w:p w14:paraId="00000253" w14:textId="77777777" w:rsidR="005D7E20" w:rsidRDefault="00507B07">
      <w:r>
        <w:t>The 90-day update data demographics and baseline characteristics in patients with RET fusion positive NSCLC and all patients treated is as follows:</w:t>
      </w:r>
    </w:p>
    <w:p w14:paraId="00000254" w14:textId="77777777" w:rsidR="005D7E20" w:rsidRDefault="00507B07">
      <w:r>
        <w:t>Patients with NSCLC – treated at 400 mg (n = 220)</w:t>
      </w:r>
    </w:p>
    <w:p w14:paraId="00000255" w14:textId="77777777" w:rsidR="005D7E20" w:rsidRDefault="00507B07">
      <w:pPr>
        <w:numPr>
          <w:ilvl w:val="0"/>
          <w:numId w:val="6"/>
        </w:numPr>
        <w:pBdr>
          <w:top w:val="nil"/>
          <w:left w:val="nil"/>
          <w:bottom w:val="nil"/>
          <w:right w:val="nil"/>
          <w:between w:val="nil"/>
        </w:pBdr>
        <w:spacing w:before="120" w:after="180"/>
      </w:pPr>
      <w:r>
        <w:rPr>
          <w:color w:val="000000"/>
        </w:rPr>
        <w:t>Median age = 60 (26-87)</w:t>
      </w:r>
    </w:p>
    <w:p w14:paraId="00000256" w14:textId="77777777" w:rsidR="005D7E20" w:rsidRDefault="00507B07">
      <w:pPr>
        <w:numPr>
          <w:ilvl w:val="0"/>
          <w:numId w:val="6"/>
        </w:numPr>
        <w:pBdr>
          <w:top w:val="nil"/>
          <w:left w:val="nil"/>
          <w:bottom w:val="nil"/>
          <w:right w:val="nil"/>
          <w:between w:val="nil"/>
        </w:pBdr>
        <w:spacing w:before="120" w:after="180"/>
      </w:pPr>
      <w:r>
        <w:rPr>
          <w:color w:val="000000"/>
        </w:rPr>
        <w:t>Female = 52%</w:t>
      </w:r>
    </w:p>
    <w:p w14:paraId="00000257" w14:textId="77777777" w:rsidR="005D7E20" w:rsidRDefault="00507B07">
      <w:pPr>
        <w:numPr>
          <w:ilvl w:val="0"/>
          <w:numId w:val="6"/>
        </w:numPr>
        <w:pBdr>
          <w:top w:val="nil"/>
          <w:left w:val="nil"/>
          <w:bottom w:val="nil"/>
          <w:right w:val="nil"/>
          <w:between w:val="nil"/>
        </w:pBdr>
        <w:spacing w:before="120" w:after="180"/>
      </w:pPr>
      <w:r>
        <w:rPr>
          <w:color w:val="000000"/>
        </w:rPr>
        <w:t>Race: white = 50%; Asian =</w:t>
      </w:r>
      <w:sdt>
        <w:sdtPr>
          <w:tag w:val="goog_rdk_30"/>
          <w:id w:val="175852078"/>
        </w:sdtPr>
        <w:sdtEndPr/>
        <w:sdtContent>
          <w:r>
            <w:rPr>
              <w:color w:val="000000"/>
            </w:rPr>
            <w:t xml:space="preserve"> </w:t>
          </w:r>
        </w:sdtContent>
      </w:sdt>
      <w:r>
        <w:rPr>
          <w:color w:val="000000"/>
        </w:rPr>
        <w:t>41%; unknown = 7%</w:t>
      </w:r>
    </w:p>
    <w:p w14:paraId="00000258" w14:textId="77777777" w:rsidR="005D7E20" w:rsidRDefault="00507B07">
      <w:pPr>
        <w:numPr>
          <w:ilvl w:val="0"/>
          <w:numId w:val="6"/>
        </w:numPr>
        <w:pBdr>
          <w:top w:val="nil"/>
          <w:left w:val="nil"/>
          <w:bottom w:val="nil"/>
          <w:right w:val="nil"/>
          <w:between w:val="nil"/>
        </w:pBdr>
        <w:spacing w:before="120" w:after="180"/>
      </w:pPr>
      <w:r>
        <w:rPr>
          <w:color w:val="000000"/>
        </w:rPr>
        <w:t>Region: Asia = 39%; Europe =</w:t>
      </w:r>
      <w:sdt>
        <w:sdtPr>
          <w:tag w:val="goog_rdk_31"/>
          <w:id w:val="536021485"/>
        </w:sdtPr>
        <w:sdtEndPr/>
        <w:sdtContent>
          <w:r>
            <w:rPr>
              <w:color w:val="000000"/>
            </w:rPr>
            <w:t xml:space="preserve"> </w:t>
          </w:r>
        </w:sdtContent>
      </w:sdt>
      <w:r>
        <w:rPr>
          <w:color w:val="000000"/>
        </w:rPr>
        <w:t>35%; US = 26%</w:t>
      </w:r>
    </w:p>
    <w:p w14:paraId="00000259" w14:textId="77777777" w:rsidR="005D7E20" w:rsidRDefault="00507B07">
      <w:pPr>
        <w:numPr>
          <w:ilvl w:val="0"/>
          <w:numId w:val="6"/>
        </w:numPr>
        <w:pBdr>
          <w:top w:val="nil"/>
          <w:left w:val="nil"/>
          <w:bottom w:val="nil"/>
          <w:right w:val="nil"/>
          <w:between w:val="nil"/>
        </w:pBdr>
        <w:spacing w:before="120" w:after="180"/>
      </w:pPr>
      <w:r>
        <w:rPr>
          <w:color w:val="000000"/>
        </w:rPr>
        <w:t>ECOG 0 = 31%, ECOG 1 = 66%</w:t>
      </w:r>
    </w:p>
    <w:p w14:paraId="0000025A" w14:textId="77777777" w:rsidR="005D7E20" w:rsidRDefault="00507B07">
      <w:pPr>
        <w:numPr>
          <w:ilvl w:val="0"/>
          <w:numId w:val="6"/>
        </w:numPr>
        <w:pBdr>
          <w:top w:val="nil"/>
          <w:left w:val="nil"/>
          <w:bottom w:val="nil"/>
          <w:right w:val="nil"/>
          <w:between w:val="nil"/>
        </w:pBdr>
        <w:spacing w:before="120" w:after="180"/>
      </w:pPr>
      <w:r>
        <w:rPr>
          <w:color w:val="000000"/>
        </w:rPr>
        <w:t>Systemic therapy = 71%</w:t>
      </w:r>
    </w:p>
    <w:p w14:paraId="0000025B" w14:textId="77777777" w:rsidR="005D7E20" w:rsidRDefault="00507B07">
      <w:pPr>
        <w:numPr>
          <w:ilvl w:val="0"/>
          <w:numId w:val="6"/>
        </w:numPr>
        <w:pBdr>
          <w:top w:val="nil"/>
          <w:left w:val="nil"/>
          <w:bottom w:val="nil"/>
          <w:right w:val="nil"/>
          <w:between w:val="nil"/>
        </w:pBdr>
        <w:spacing w:before="120" w:after="180"/>
      </w:pPr>
      <w:r>
        <w:rPr>
          <w:color w:val="000000"/>
        </w:rPr>
        <w:t>Radiation = 38%</w:t>
      </w:r>
    </w:p>
    <w:p w14:paraId="0000025C" w14:textId="77777777" w:rsidR="005D7E20" w:rsidRDefault="00507B07">
      <w:pPr>
        <w:numPr>
          <w:ilvl w:val="0"/>
          <w:numId w:val="6"/>
        </w:numPr>
        <w:pBdr>
          <w:top w:val="nil"/>
          <w:left w:val="nil"/>
          <w:bottom w:val="nil"/>
          <w:right w:val="nil"/>
          <w:between w:val="nil"/>
        </w:pBdr>
        <w:spacing w:before="120" w:after="180"/>
      </w:pPr>
      <w:r>
        <w:rPr>
          <w:color w:val="000000"/>
        </w:rPr>
        <w:t>Surgery/procedures = 49%</w:t>
      </w:r>
    </w:p>
    <w:p w14:paraId="0000025D" w14:textId="77777777" w:rsidR="005D7E20" w:rsidRDefault="00507B07">
      <w:r>
        <w:t>All patients - treated at 400 mg (n = 438)</w:t>
      </w:r>
    </w:p>
    <w:p w14:paraId="0000025E" w14:textId="77777777" w:rsidR="005D7E20" w:rsidRDefault="00507B07">
      <w:pPr>
        <w:numPr>
          <w:ilvl w:val="0"/>
          <w:numId w:val="6"/>
        </w:numPr>
        <w:pBdr>
          <w:top w:val="nil"/>
          <w:left w:val="nil"/>
          <w:bottom w:val="nil"/>
          <w:right w:val="nil"/>
          <w:between w:val="nil"/>
        </w:pBdr>
        <w:spacing w:before="120" w:after="180"/>
      </w:pPr>
      <w:r>
        <w:rPr>
          <w:color w:val="000000"/>
        </w:rPr>
        <w:t>Median age = 59 (18 to 87)</w:t>
      </w:r>
    </w:p>
    <w:p w14:paraId="0000025F" w14:textId="77777777" w:rsidR="005D7E20" w:rsidRDefault="00507B07">
      <w:pPr>
        <w:numPr>
          <w:ilvl w:val="0"/>
          <w:numId w:val="6"/>
        </w:numPr>
        <w:pBdr>
          <w:top w:val="nil"/>
          <w:left w:val="nil"/>
          <w:bottom w:val="nil"/>
          <w:right w:val="nil"/>
          <w:between w:val="nil"/>
        </w:pBdr>
        <w:spacing w:before="120" w:after="180"/>
      </w:pPr>
      <w:r>
        <w:rPr>
          <w:color w:val="000000"/>
        </w:rPr>
        <w:t>Male = 55%</w:t>
      </w:r>
    </w:p>
    <w:p w14:paraId="00000260" w14:textId="77777777" w:rsidR="005D7E20" w:rsidRDefault="00507B07">
      <w:pPr>
        <w:numPr>
          <w:ilvl w:val="0"/>
          <w:numId w:val="6"/>
        </w:numPr>
        <w:pBdr>
          <w:top w:val="nil"/>
          <w:left w:val="nil"/>
          <w:bottom w:val="nil"/>
          <w:right w:val="nil"/>
          <w:between w:val="nil"/>
        </w:pBdr>
        <w:spacing w:before="120" w:after="180"/>
      </w:pPr>
      <w:r>
        <w:rPr>
          <w:color w:val="000000"/>
        </w:rPr>
        <w:t>Race: white = 58%; Asian =</w:t>
      </w:r>
      <w:sdt>
        <w:sdtPr>
          <w:tag w:val="goog_rdk_32"/>
          <w:id w:val="413601781"/>
        </w:sdtPr>
        <w:sdtEndPr/>
        <w:sdtContent>
          <w:r>
            <w:rPr>
              <w:color w:val="000000"/>
            </w:rPr>
            <w:t xml:space="preserve"> </w:t>
          </w:r>
        </w:sdtContent>
      </w:sdt>
      <w:r>
        <w:rPr>
          <w:color w:val="000000"/>
        </w:rPr>
        <w:t>24%; unknown = 6%</w:t>
      </w:r>
    </w:p>
    <w:p w14:paraId="00000261" w14:textId="77777777" w:rsidR="005D7E20" w:rsidRDefault="00507B07">
      <w:pPr>
        <w:numPr>
          <w:ilvl w:val="0"/>
          <w:numId w:val="6"/>
        </w:numPr>
        <w:pBdr>
          <w:top w:val="nil"/>
          <w:left w:val="nil"/>
          <w:bottom w:val="nil"/>
          <w:right w:val="nil"/>
          <w:between w:val="nil"/>
        </w:pBdr>
        <w:spacing w:before="120" w:after="180"/>
      </w:pPr>
      <w:r>
        <w:rPr>
          <w:color w:val="000000"/>
        </w:rPr>
        <w:t>Region: Asia = 31%; Europe =</w:t>
      </w:r>
      <w:sdt>
        <w:sdtPr>
          <w:tag w:val="goog_rdk_33"/>
          <w:id w:val="1880812372"/>
        </w:sdtPr>
        <w:sdtEndPr/>
        <w:sdtContent>
          <w:r>
            <w:rPr>
              <w:color w:val="000000"/>
            </w:rPr>
            <w:t xml:space="preserve"> </w:t>
          </w:r>
        </w:sdtContent>
      </w:sdt>
      <w:r>
        <w:rPr>
          <w:color w:val="000000"/>
        </w:rPr>
        <w:t>36%; US = 33%</w:t>
      </w:r>
    </w:p>
    <w:p w14:paraId="00000262" w14:textId="77777777" w:rsidR="005D7E20" w:rsidRDefault="00507B07">
      <w:pPr>
        <w:numPr>
          <w:ilvl w:val="0"/>
          <w:numId w:val="6"/>
        </w:numPr>
        <w:pBdr>
          <w:top w:val="nil"/>
          <w:left w:val="nil"/>
          <w:bottom w:val="nil"/>
          <w:right w:val="nil"/>
          <w:between w:val="nil"/>
        </w:pBdr>
        <w:spacing w:before="120" w:after="180"/>
      </w:pPr>
      <w:r>
        <w:rPr>
          <w:color w:val="000000"/>
        </w:rPr>
        <w:t>ECOG 0 = 36%, ECOG 1 = 62%</w:t>
      </w:r>
    </w:p>
    <w:p w14:paraId="00000263" w14:textId="77777777" w:rsidR="005D7E20" w:rsidRDefault="00507B07">
      <w:pPr>
        <w:numPr>
          <w:ilvl w:val="0"/>
          <w:numId w:val="6"/>
        </w:numPr>
        <w:pBdr>
          <w:top w:val="nil"/>
          <w:left w:val="nil"/>
          <w:bottom w:val="nil"/>
          <w:right w:val="nil"/>
          <w:between w:val="nil"/>
        </w:pBdr>
        <w:spacing w:before="120" w:after="180"/>
      </w:pPr>
      <w:r>
        <w:rPr>
          <w:color w:val="000000"/>
        </w:rPr>
        <w:t>Systemic therapy = 69%</w:t>
      </w:r>
    </w:p>
    <w:p w14:paraId="00000264" w14:textId="77777777" w:rsidR="005D7E20" w:rsidRDefault="00507B07">
      <w:pPr>
        <w:numPr>
          <w:ilvl w:val="0"/>
          <w:numId w:val="6"/>
        </w:numPr>
        <w:pBdr>
          <w:top w:val="nil"/>
          <w:left w:val="nil"/>
          <w:bottom w:val="nil"/>
          <w:right w:val="nil"/>
          <w:between w:val="nil"/>
        </w:pBdr>
        <w:spacing w:before="120" w:after="180"/>
      </w:pPr>
      <w:r>
        <w:rPr>
          <w:color w:val="000000"/>
        </w:rPr>
        <w:t>Radiation = 37%</w:t>
      </w:r>
    </w:p>
    <w:p w14:paraId="00000265" w14:textId="77777777" w:rsidR="005D7E20" w:rsidRDefault="00507B07">
      <w:pPr>
        <w:numPr>
          <w:ilvl w:val="0"/>
          <w:numId w:val="6"/>
        </w:numPr>
        <w:pBdr>
          <w:top w:val="nil"/>
          <w:left w:val="nil"/>
          <w:bottom w:val="nil"/>
          <w:right w:val="nil"/>
          <w:between w:val="nil"/>
        </w:pBdr>
        <w:spacing w:before="120" w:after="180"/>
      </w:pPr>
      <w:r>
        <w:rPr>
          <w:color w:val="000000"/>
        </w:rPr>
        <w:t>Surgery/procedures = 69%</w:t>
      </w:r>
    </w:p>
    <w:p w14:paraId="00000266" w14:textId="77777777" w:rsidR="005D7E20" w:rsidRDefault="00507B07">
      <w:pPr>
        <w:numPr>
          <w:ilvl w:val="0"/>
          <w:numId w:val="6"/>
        </w:numPr>
        <w:pBdr>
          <w:top w:val="nil"/>
          <w:left w:val="nil"/>
          <w:bottom w:val="nil"/>
          <w:right w:val="nil"/>
          <w:between w:val="nil"/>
        </w:pBdr>
        <w:spacing w:before="120" w:after="180"/>
      </w:pPr>
      <w:r>
        <w:rPr>
          <w:color w:val="000000"/>
        </w:rPr>
        <w:t>Disease type: NSCLC = 53%; MTC = 37%; PTC = 4.6%; colon = 1.1%</w:t>
      </w:r>
    </w:p>
    <w:p w14:paraId="00000267" w14:textId="77777777" w:rsidR="005D7E20" w:rsidRDefault="00507B07">
      <w:pPr>
        <w:pStyle w:val="Heading5"/>
      </w:pPr>
      <w:r>
        <w:t>Deaths</w:t>
      </w:r>
    </w:p>
    <w:p w14:paraId="00000268" w14:textId="5F003104" w:rsidR="005D7E20" w:rsidRDefault="00507B07">
      <w:r>
        <w:t xml:space="preserve">Among all patients treated at 400 mg once daily in the initial new drug application (n = 354), death due to </w:t>
      </w:r>
      <w:proofErr w:type="gramStart"/>
      <w:r>
        <w:t>an</w:t>
      </w:r>
      <w:proofErr w:type="gramEnd"/>
      <w:r>
        <w:t xml:space="preserve"> serious adverse event (SAE) was reported in 8.2% (n = 29) of patients, including one patient due to a related SAE (pneumocystis </w:t>
      </w:r>
      <w:proofErr w:type="spellStart"/>
      <w:r>
        <w:t>jirovecii</w:t>
      </w:r>
      <w:proofErr w:type="spellEnd"/>
      <w:r>
        <w:t xml:space="preserve"> pneumonia). </w:t>
      </w:r>
      <w:sdt>
        <w:sdtPr>
          <w:tag w:val="goog_rdk_34"/>
          <w:id w:val="1597361933"/>
        </w:sdtPr>
        <w:sdtEndPr/>
        <w:sdtContent/>
      </w:sdt>
      <w:r>
        <w:t xml:space="preserve">Since the data </w:t>
      </w:r>
      <w:proofErr w:type="spellStart"/>
      <w:r>
        <w:t>cutoff</w:t>
      </w:r>
      <w:proofErr w:type="spellEnd"/>
      <w:r>
        <w:t xml:space="preserve"> of 18 November 2019, five additional deaths were reported</w:t>
      </w:r>
      <w:r w:rsidR="00F96FDF">
        <w:t xml:space="preserve"> through the late-breaking data </w:t>
      </w:r>
      <w:proofErr w:type="spellStart"/>
      <w:r w:rsidR="00F96FDF">
        <w:t>cutoff</w:t>
      </w:r>
      <w:proofErr w:type="spellEnd"/>
      <w:r w:rsidR="00F96FDF">
        <w:t xml:space="preserve"> date of 18 December 2019</w:t>
      </w:r>
      <w:r>
        <w:t xml:space="preserve">; one event of pneumonitis was considered related to </w:t>
      </w:r>
      <w:proofErr w:type="spellStart"/>
      <w:r>
        <w:t>pralsetinib</w:t>
      </w:r>
      <w:proofErr w:type="spellEnd"/>
      <w:r>
        <w:t xml:space="preserve"> treatment.</w:t>
      </w:r>
    </w:p>
    <w:p w14:paraId="00000269" w14:textId="77777777" w:rsidR="005D7E20" w:rsidRDefault="00507B07">
      <w:r>
        <w:lastRenderedPageBreak/>
        <w:t>Fatal adverse reactions occurring in more than 1 patient in the NSCLC safety population (n = 220):</w:t>
      </w:r>
    </w:p>
    <w:p w14:paraId="0000026A" w14:textId="77777777" w:rsidR="005D7E20" w:rsidRDefault="00507B07">
      <w:pPr>
        <w:numPr>
          <w:ilvl w:val="0"/>
          <w:numId w:val="6"/>
        </w:numPr>
        <w:pBdr>
          <w:top w:val="nil"/>
          <w:left w:val="nil"/>
          <w:bottom w:val="nil"/>
          <w:right w:val="nil"/>
          <w:between w:val="nil"/>
        </w:pBdr>
        <w:spacing w:before="120" w:after="180"/>
      </w:pPr>
      <w:r>
        <w:rPr>
          <w:color w:val="000000"/>
        </w:rPr>
        <w:t>Pneumonia = 3</w:t>
      </w:r>
    </w:p>
    <w:p w14:paraId="0000026B" w14:textId="77777777" w:rsidR="005D7E20" w:rsidRDefault="00507B07">
      <w:pPr>
        <w:numPr>
          <w:ilvl w:val="0"/>
          <w:numId w:val="6"/>
        </w:numPr>
        <w:pBdr>
          <w:top w:val="nil"/>
          <w:left w:val="nil"/>
          <w:bottom w:val="nil"/>
          <w:right w:val="nil"/>
          <w:between w:val="nil"/>
        </w:pBdr>
        <w:spacing w:before="120" w:after="180"/>
      </w:pPr>
      <w:r>
        <w:rPr>
          <w:color w:val="000000"/>
        </w:rPr>
        <w:t>Sepsis = 2</w:t>
      </w:r>
    </w:p>
    <w:p w14:paraId="0000026C" w14:textId="77777777" w:rsidR="005D7E20" w:rsidRDefault="00507B07">
      <w:pPr>
        <w:pStyle w:val="Heading5"/>
      </w:pPr>
      <w:r>
        <w:t>Serious Adverse Events</w:t>
      </w:r>
    </w:p>
    <w:p w14:paraId="0000026D" w14:textId="77777777" w:rsidR="005D7E20" w:rsidRDefault="00507B07">
      <w:r>
        <w:t>Among all patients treated at 400 mg once daily in the initial new drug application (n = 354), SAEs were reported in 44.1% of patients (n = 157); 16.4% (n = 58) had treatment related SAEs.</w:t>
      </w:r>
    </w:p>
    <w:p w14:paraId="0000026E" w14:textId="77777777" w:rsidR="005D7E20" w:rsidRDefault="00507B07">
      <w:r>
        <w:t>In patients with NSCLC treated at 400 mg once daily, SAEs were reported in 50.8% of patients (n = 91); 20.1% (n = 36) had treatment related SAEs.</w:t>
      </w:r>
    </w:p>
    <w:p w14:paraId="0000026F" w14:textId="77777777" w:rsidR="005D7E20" w:rsidRDefault="00507B07">
      <w:r>
        <w:t xml:space="preserve">The most common SAEs (occurring in at least 2 patients in all patients treated at 400 mg) were: </w:t>
      </w:r>
    </w:p>
    <w:p w14:paraId="00000270" w14:textId="77777777" w:rsidR="005D7E20" w:rsidRDefault="00507B07">
      <w:pPr>
        <w:numPr>
          <w:ilvl w:val="0"/>
          <w:numId w:val="6"/>
        </w:numPr>
        <w:pBdr>
          <w:top w:val="nil"/>
          <w:left w:val="nil"/>
          <w:bottom w:val="nil"/>
          <w:right w:val="nil"/>
          <w:between w:val="nil"/>
        </w:pBdr>
        <w:spacing w:before="120" w:after="180"/>
      </w:pPr>
      <w:r>
        <w:rPr>
          <w:color w:val="000000"/>
        </w:rPr>
        <w:t>Pneumonia = 8.2%</w:t>
      </w:r>
    </w:p>
    <w:p w14:paraId="00000271" w14:textId="77777777" w:rsidR="005D7E20" w:rsidRDefault="00507B07">
      <w:pPr>
        <w:numPr>
          <w:ilvl w:val="0"/>
          <w:numId w:val="6"/>
        </w:numPr>
        <w:pBdr>
          <w:top w:val="nil"/>
          <w:left w:val="nil"/>
          <w:bottom w:val="nil"/>
          <w:right w:val="nil"/>
          <w:between w:val="nil"/>
        </w:pBdr>
        <w:spacing w:before="120" w:after="180"/>
      </w:pPr>
      <w:r>
        <w:rPr>
          <w:color w:val="000000"/>
        </w:rPr>
        <w:t>PD = 5.1%</w:t>
      </w:r>
    </w:p>
    <w:p w14:paraId="00000272" w14:textId="77777777" w:rsidR="005D7E20" w:rsidRDefault="00507B07">
      <w:pPr>
        <w:numPr>
          <w:ilvl w:val="0"/>
          <w:numId w:val="6"/>
        </w:numPr>
        <w:pBdr>
          <w:top w:val="nil"/>
          <w:left w:val="nil"/>
          <w:bottom w:val="nil"/>
          <w:right w:val="nil"/>
          <w:between w:val="nil"/>
        </w:pBdr>
        <w:spacing w:before="120" w:after="180"/>
      </w:pPr>
      <w:r>
        <w:rPr>
          <w:color w:val="000000"/>
        </w:rPr>
        <w:t>Pneumonitis = 4.0%</w:t>
      </w:r>
    </w:p>
    <w:p w14:paraId="00000273" w14:textId="77777777" w:rsidR="005D7E20" w:rsidRDefault="00507B07">
      <w:pPr>
        <w:numPr>
          <w:ilvl w:val="0"/>
          <w:numId w:val="6"/>
        </w:numPr>
        <w:pBdr>
          <w:top w:val="nil"/>
          <w:left w:val="nil"/>
          <w:bottom w:val="nil"/>
          <w:right w:val="nil"/>
          <w:between w:val="nil"/>
        </w:pBdr>
        <w:spacing w:before="120" w:after="180"/>
      </w:pPr>
      <w:r>
        <w:rPr>
          <w:color w:val="000000"/>
        </w:rPr>
        <w:t>Sepsis = 2.5%</w:t>
      </w:r>
    </w:p>
    <w:p w14:paraId="00000274" w14:textId="77777777" w:rsidR="005D7E20" w:rsidRDefault="00507B07">
      <w:pPr>
        <w:numPr>
          <w:ilvl w:val="0"/>
          <w:numId w:val="6"/>
        </w:numPr>
        <w:pBdr>
          <w:top w:val="nil"/>
          <w:left w:val="nil"/>
          <w:bottom w:val="nil"/>
          <w:right w:val="nil"/>
          <w:between w:val="nil"/>
        </w:pBdr>
        <w:spacing w:before="120" w:after="180"/>
      </w:pPr>
      <w:r>
        <w:rPr>
          <w:color w:val="000000"/>
        </w:rPr>
        <w:t>Urinary tract infection = 2.8%</w:t>
      </w:r>
    </w:p>
    <w:p w14:paraId="00000275" w14:textId="77777777" w:rsidR="005D7E20" w:rsidRDefault="00507B07">
      <w:pPr>
        <w:numPr>
          <w:ilvl w:val="0"/>
          <w:numId w:val="6"/>
        </w:numPr>
        <w:pBdr>
          <w:top w:val="nil"/>
          <w:left w:val="nil"/>
          <w:bottom w:val="nil"/>
          <w:right w:val="nil"/>
          <w:between w:val="nil"/>
        </w:pBdr>
        <w:spacing w:before="120" w:after="180"/>
      </w:pPr>
      <w:r>
        <w:rPr>
          <w:color w:val="000000"/>
        </w:rPr>
        <w:t>Pyrexia = 2.5%</w:t>
      </w:r>
    </w:p>
    <w:p w14:paraId="00000276" w14:textId="77777777" w:rsidR="005D7E20" w:rsidRDefault="00507B07">
      <w:r>
        <w:t xml:space="preserve">The incidence of SAE was similar in the subgroup of patients with NSCLC and in </w:t>
      </w:r>
      <w:proofErr w:type="gramStart"/>
      <w:r>
        <w:t>the all</w:t>
      </w:r>
      <w:proofErr w:type="gramEnd"/>
      <w:r>
        <w:t xml:space="preserve"> patients treated at 400 mg once daily safety population.</w:t>
      </w:r>
    </w:p>
    <w:p w14:paraId="00000277" w14:textId="77777777" w:rsidR="005D7E20" w:rsidRDefault="00507B07">
      <w:pPr>
        <w:pStyle w:val="Heading6"/>
      </w:pPr>
      <w:r>
        <w:t>Serious adverse events - off target effects associated with VEGFR, JAK1/2 and FGFR pathways &amp; other</w:t>
      </w:r>
    </w:p>
    <w:p w14:paraId="00000278"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VEGFR pathway</w:t>
      </w:r>
    </w:p>
    <w:p w14:paraId="00000279" w14:textId="77777777" w:rsidR="005D7E20" w:rsidRDefault="00507B07">
      <w:r>
        <w:t>Haemorrhagic events = 16%.</w:t>
      </w:r>
    </w:p>
    <w:p w14:paraId="0000027A" w14:textId="77777777" w:rsidR="005D7E20" w:rsidRDefault="00D63D0E">
      <w:pPr>
        <w:numPr>
          <w:ilvl w:val="0"/>
          <w:numId w:val="6"/>
        </w:numPr>
        <w:pBdr>
          <w:top w:val="nil"/>
          <w:left w:val="nil"/>
          <w:bottom w:val="nil"/>
          <w:right w:val="nil"/>
          <w:between w:val="nil"/>
        </w:pBdr>
        <w:spacing w:before="120" w:after="180"/>
      </w:pPr>
      <w:sdt>
        <w:sdtPr>
          <w:tag w:val="goog_rdk_35"/>
          <w:id w:val="703996834"/>
        </w:sdtPr>
        <w:sdtEndPr/>
        <w:sdtContent/>
      </w:sdt>
      <w:sdt>
        <w:sdtPr>
          <w:tag w:val="goog_rdk_36"/>
          <w:id w:val="1106234895"/>
        </w:sdtPr>
        <w:sdtEndPr/>
        <w:sdtContent/>
      </w:sdt>
      <w:r w:rsidR="00507B07">
        <w:rPr>
          <w:color w:val="000000"/>
        </w:rPr>
        <w:t xml:space="preserve">2.5 patients were Grade 3 or higher. Dose modifications occurred </w:t>
      </w:r>
      <w:proofErr w:type="gramStart"/>
      <w:r w:rsidR="00507B07">
        <w:rPr>
          <w:color w:val="000000"/>
        </w:rPr>
        <w:t>as a result of</w:t>
      </w:r>
      <w:proofErr w:type="gramEnd"/>
      <w:r w:rsidR="00507B07">
        <w:rPr>
          <w:color w:val="000000"/>
        </w:rPr>
        <w:t xml:space="preserve"> these events.</w:t>
      </w:r>
    </w:p>
    <w:p w14:paraId="0000027B" w14:textId="77777777" w:rsidR="005D7E20" w:rsidRDefault="00507B07">
      <w:pPr>
        <w:numPr>
          <w:ilvl w:val="0"/>
          <w:numId w:val="6"/>
        </w:numPr>
        <w:pBdr>
          <w:top w:val="nil"/>
          <w:left w:val="nil"/>
          <w:bottom w:val="nil"/>
          <w:right w:val="nil"/>
          <w:between w:val="nil"/>
        </w:pBdr>
        <w:spacing w:before="120" w:after="180"/>
      </w:pPr>
      <w:r>
        <w:rPr>
          <w:color w:val="000000"/>
        </w:rPr>
        <w:t>One fatal haemorrhagic event was reported.</w:t>
      </w:r>
    </w:p>
    <w:p w14:paraId="0000027C" w14:textId="77777777" w:rsidR="005D7E20" w:rsidRDefault="00507B07">
      <w:pPr>
        <w:numPr>
          <w:ilvl w:val="0"/>
          <w:numId w:val="6"/>
        </w:numPr>
        <w:pBdr>
          <w:top w:val="nil"/>
          <w:left w:val="nil"/>
          <w:bottom w:val="nil"/>
          <w:right w:val="nil"/>
          <w:between w:val="nil"/>
        </w:pBdr>
        <w:spacing w:before="120" w:after="180"/>
      </w:pPr>
      <w:r>
        <w:rPr>
          <w:color w:val="000000"/>
        </w:rPr>
        <w:t xml:space="preserve">All SAEs of haemorrhagic events were associated with potential confounders/risk factors, however, based on the inhibition of the VEGF pathway by </w:t>
      </w:r>
      <w:proofErr w:type="spellStart"/>
      <w:r>
        <w:rPr>
          <w:color w:val="000000"/>
        </w:rPr>
        <w:t>pralsetinib</w:t>
      </w:r>
      <w:proofErr w:type="spellEnd"/>
      <w:r>
        <w:rPr>
          <w:color w:val="000000"/>
        </w:rPr>
        <w:t xml:space="preserve">, it remains possible that </w:t>
      </w:r>
      <w:proofErr w:type="spellStart"/>
      <w:r>
        <w:rPr>
          <w:color w:val="000000"/>
        </w:rPr>
        <w:t>pralsetinib</w:t>
      </w:r>
      <w:proofErr w:type="spellEnd"/>
      <w:r>
        <w:rPr>
          <w:color w:val="000000"/>
        </w:rPr>
        <w:t xml:space="preserve"> may contribute to the risk of such events. The Delegate noted that this should be included in the PI.</w:t>
      </w:r>
    </w:p>
    <w:p w14:paraId="0000027D" w14:textId="77777777" w:rsidR="005D7E20" w:rsidRDefault="00507B07">
      <w:r>
        <w:t>Hepatotoxicity: serious hepatic events (Grade 3 or higher) = 1.6%</w:t>
      </w:r>
    </w:p>
    <w:p w14:paraId="0000027E" w14:textId="25ADB0C3" w:rsidR="005D7E20" w:rsidRDefault="00D63D0E">
      <w:pPr>
        <w:numPr>
          <w:ilvl w:val="0"/>
          <w:numId w:val="6"/>
        </w:numPr>
        <w:pBdr>
          <w:top w:val="nil"/>
          <w:left w:val="nil"/>
          <w:bottom w:val="nil"/>
          <w:right w:val="nil"/>
          <w:between w:val="nil"/>
        </w:pBdr>
        <w:spacing w:before="120" w:after="180"/>
      </w:pPr>
      <w:sdt>
        <w:sdtPr>
          <w:tag w:val="goog_rdk_37"/>
          <w:id w:val="1860465154"/>
        </w:sdtPr>
        <w:sdtEndPr/>
        <w:sdtContent/>
      </w:sdt>
      <w:r w:rsidR="00507B07">
        <w:rPr>
          <w:color w:val="000000"/>
        </w:rPr>
        <w:t>Of these</w:t>
      </w:r>
      <w:r w:rsidR="00F96FDF">
        <w:rPr>
          <w:color w:val="000000"/>
        </w:rPr>
        <w:t xml:space="preserve"> seven</w:t>
      </w:r>
      <w:r w:rsidR="00507B07">
        <w:rPr>
          <w:color w:val="000000"/>
        </w:rPr>
        <w:t xml:space="preserve"> patients, five required dose modifications. </w:t>
      </w:r>
    </w:p>
    <w:p w14:paraId="0000027F" w14:textId="77777777" w:rsidR="005D7E20" w:rsidRDefault="00507B07">
      <w:pPr>
        <w:numPr>
          <w:ilvl w:val="0"/>
          <w:numId w:val="6"/>
        </w:numPr>
        <w:pBdr>
          <w:top w:val="nil"/>
          <w:left w:val="nil"/>
          <w:bottom w:val="nil"/>
          <w:right w:val="nil"/>
          <w:between w:val="nil"/>
        </w:pBdr>
        <w:spacing w:before="120" w:after="180"/>
      </w:pPr>
      <w:r>
        <w:rPr>
          <w:color w:val="000000"/>
        </w:rPr>
        <w:t>No fatalities attributed to hepatic events were identified</w:t>
      </w:r>
    </w:p>
    <w:p w14:paraId="00000280" w14:textId="77777777" w:rsidR="005D7E20" w:rsidRDefault="00507B07">
      <w:pPr>
        <w:numPr>
          <w:ilvl w:val="0"/>
          <w:numId w:val="6"/>
        </w:numPr>
        <w:pBdr>
          <w:top w:val="nil"/>
          <w:left w:val="nil"/>
          <w:bottom w:val="nil"/>
          <w:right w:val="nil"/>
          <w:between w:val="nil"/>
        </w:pBdr>
        <w:spacing w:before="120" w:after="180"/>
      </w:pPr>
      <w:r>
        <w:rPr>
          <w:color w:val="000000"/>
        </w:rPr>
        <w:t>No events met Hy’s law criteria</w:t>
      </w:r>
    </w:p>
    <w:p w14:paraId="00000281" w14:textId="77777777" w:rsidR="005D7E20" w:rsidRDefault="00507B07">
      <w:pPr>
        <w:numPr>
          <w:ilvl w:val="0"/>
          <w:numId w:val="6"/>
        </w:numPr>
        <w:pBdr>
          <w:top w:val="nil"/>
          <w:left w:val="nil"/>
          <w:bottom w:val="nil"/>
          <w:right w:val="nil"/>
          <w:between w:val="nil"/>
        </w:pBdr>
        <w:spacing w:before="120" w:after="180"/>
      </w:pPr>
      <w:r>
        <w:rPr>
          <w:color w:val="000000"/>
        </w:rPr>
        <w:t>Hepatotoxicity and recommended dose modifications for relevant patients should be included in the PI.</w:t>
      </w:r>
    </w:p>
    <w:p w14:paraId="00000282" w14:textId="77777777" w:rsidR="005D7E20" w:rsidRDefault="00507B07">
      <w:r>
        <w:t>GI perforations/fistulas – 11 events in 8 patients</w:t>
      </w:r>
    </w:p>
    <w:p w14:paraId="00000283" w14:textId="77777777" w:rsidR="005D7E20" w:rsidRDefault="00507B07">
      <w:pPr>
        <w:numPr>
          <w:ilvl w:val="0"/>
          <w:numId w:val="6"/>
        </w:numPr>
        <w:pBdr>
          <w:top w:val="nil"/>
          <w:left w:val="nil"/>
          <w:bottom w:val="nil"/>
          <w:right w:val="nil"/>
          <w:between w:val="nil"/>
        </w:pBdr>
        <w:spacing w:before="120" w:after="180"/>
      </w:pPr>
      <w:r>
        <w:rPr>
          <w:color w:val="000000"/>
        </w:rPr>
        <w:lastRenderedPageBreak/>
        <w:t xml:space="preserve">Based on currently available information, the potential for </w:t>
      </w:r>
      <w:proofErr w:type="spellStart"/>
      <w:r>
        <w:rPr>
          <w:color w:val="000000"/>
        </w:rPr>
        <w:t>pralsetinib</w:t>
      </w:r>
      <w:proofErr w:type="spellEnd"/>
      <w:r>
        <w:rPr>
          <w:color w:val="000000"/>
        </w:rPr>
        <w:t xml:space="preserve"> to impact on the VEGF pathway, and the limited available data from a single arm study, further characterisation of the incidence, presentation, </w:t>
      </w:r>
      <w:proofErr w:type="gramStart"/>
      <w:r>
        <w:rPr>
          <w:color w:val="000000"/>
        </w:rPr>
        <w:t>management</w:t>
      </w:r>
      <w:proofErr w:type="gramEnd"/>
      <w:r>
        <w:rPr>
          <w:color w:val="000000"/>
        </w:rPr>
        <w:t xml:space="preserve"> and outcome of GI perforations/fistulas will be required as a condition of registration.</w:t>
      </w:r>
    </w:p>
    <w:p w14:paraId="00000284" w14:textId="77777777" w:rsidR="005D7E20" w:rsidRDefault="00507B07">
      <w:r>
        <w:t>Impaired wound healing – four events in four patients</w:t>
      </w:r>
    </w:p>
    <w:p w14:paraId="00000285" w14:textId="77777777" w:rsidR="005D7E20" w:rsidRDefault="00507B07">
      <w:pPr>
        <w:numPr>
          <w:ilvl w:val="0"/>
          <w:numId w:val="6"/>
        </w:numPr>
        <w:pBdr>
          <w:top w:val="nil"/>
          <w:left w:val="nil"/>
          <w:bottom w:val="nil"/>
          <w:right w:val="nil"/>
          <w:between w:val="nil"/>
        </w:pBdr>
        <w:spacing w:before="120" w:after="180"/>
      </w:pPr>
      <w:r>
        <w:rPr>
          <w:color w:val="000000"/>
        </w:rPr>
        <w:t>Grade 3 event (n = 1) and Grade 1 event (n = 3)</w:t>
      </w:r>
    </w:p>
    <w:p w14:paraId="00000286" w14:textId="77777777" w:rsidR="005D7E20" w:rsidRDefault="00507B07">
      <w:pPr>
        <w:numPr>
          <w:ilvl w:val="0"/>
          <w:numId w:val="6"/>
        </w:numPr>
        <w:pBdr>
          <w:top w:val="nil"/>
          <w:left w:val="nil"/>
          <w:bottom w:val="nil"/>
          <w:right w:val="nil"/>
          <w:between w:val="nil"/>
        </w:pBdr>
        <w:spacing w:before="120" w:after="180"/>
      </w:pPr>
      <w:r>
        <w:rPr>
          <w:color w:val="000000"/>
        </w:rPr>
        <w:t>None required dose modification</w:t>
      </w:r>
    </w:p>
    <w:p w14:paraId="00000287" w14:textId="77777777" w:rsidR="005D7E20" w:rsidRDefault="00507B07">
      <w:pPr>
        <w:numPr>
          <w:ilvl w:val="0"/>
          <w:numId w:val="6"/>
        </w:numPr>
        <w:pBdr>
          <w:top w:val="nil"/>
          <w:left w:val="nil"/>
          <w:bottom w:val="nil"/>
          <w:right w:val="nil"/>
          <w:between w:val="nil"/>
        </w:pBdr>
        <w:spacing w:before="120" w:after="180"/>
      </w:pPr>
      <w:r>
        <w:rPr>
          <w:color w:val="000000"/>
        </w:rPr>
        <w:t xml:space="preserve">Based on review of preclinical data for </w:t>
      </w:r>
      <w:proofErr w:type="spellStart"/>
      <w:r>
        <w:rPr>
          <w:color w:val="000000"/>
        </w:rPr>
        <w:t>pralsetinib</w:t>
      </w:r>
      <w:proofErr w:type="spellEnd"/>
      <w:r>
        <w:rPr>
          <w:color w:val="000000"/>
        </w:rPr>
        <w:t xml:space="preserve"> and clinical data for multiple drugs that inhibit the VEGF pathway, this may be a class effect; the risk of Impaired Wound Healing and instructions to withhold </w:t>
      </w:r>
      <w:proofErr w:type="spellStart"/>
      <w:r>
        <w:rPr>
          <w:color w:val="000000"/>
        </w:rPr>
        <w:t>pralsetinib</w:t>
      </w:r>
      <w:proofErr w:type="spellEnd"/>
      <w:r>
        <w:rPr>
          <w:color w:val="000000"/>
        </w:rPr>
        <w:t xml:space="preserve"> for at least two weeks following surgery until adequate wound healing should be included in the PI.</w:t>
      </w:r>
    </w:p>
    <w:p w14:paraId="00000288" w14:textId="77777777" w:rsidR="005D7E20" w:rsidRDefault="00507B07">
      <w:r>
        <w:t>Cardiac failure</w:t>
      </w:r>
    </w:p>
    <w:p w14:paraId="00000289" w14:textId="77777777" w:rsidR="005D7E20" w:rsidRDefault="00507B07">
      <w:pPr>
        <w:numPr>
          <w:ilvl w:val="0"/>
          <w:numId w:val="6"/>
        </w:numPr>
        <w:pBdr>
          <w:top w:val="nil"/>
          <w:left w:val="nil"/>
          <w:bottom w:val="nil"/>
          <w:right w:val="nil"/>
          <w:between w:val="nil"/>
        </w:pBdr>
        <w:spacing w:before="120" w:after="180"/>
      </w:pPr>
      <w:r>
        <w:rPr>
          <w:color w:val="000000"/>
        </w:rPr>
        <w:t xml:space="preserve">Analyses for cardiac failure and cardiomyopathy were reviewed and concluded that given the confounding factors associated with the events, it is unlikely that </w:t>
      </w:r>
      <w:proofErr w:type="spellStart"/>
      <w:r>
        <w:rPr>
          <w:color w:val="000000"/>
        </w:rPr>
        <w:t>pralsetinib</w:t>
      </w:r>
      <w:proofErr w:type="spellEnd"/>
      <w:r>
        <w:rPr>
          <w:color w:val="000000"/>
        </w:rPr>
        <w:t xml:space="preserve"> contributed to the occurrence of the reported events of cardiac dysfunction.</w:t>
      </w:r>
    </w:p>
    <w:p w14:paraId="0000028A" w14:textId="77777777" w:rsidR="005D7E20" w:rsidRDefault="00507B07">
      <w:r>
        <w:t xml:space="preserve">Thromboembolic events </w:t>
      </w:r>
    </w:p>
    <w:p w14:paraId="0000028B" w14:textId="77777777" w:rsidR="005D7E20" w:rsidRDefault="00507B07">
      <w:pPr>
        <w:numPr>
          <w:ilvl w:val="0"/>
          <w:numId w:val="6"/>
        </w:numPr>
        <w:pBdr>
          <w:top w:val="nil"/>
          <w:left w:val="nil"/>
          <w:bottom w:val="nil"/>
          <w:right w:val="nil"/>
          <w:between w:val="nil"/>
        </w:pBdr>
        <w:spacing w:before="120" w:after="180"/>
      </w:pPr>
      <w:r>
        <w:rPr>
          <w:color w:val="000000"/>
        </w:rPr>
        <w:t xml:space="preserve">Analyses for thrombotic and embolic events (11 Grade 3 or higher events, including pulmonary embolism, deep vein thrombosis, portal vein thrombosis, thrombophlebitis superficial, and superior vena cava syndrome) were reviewed and do not suggest a safety signal for </w:t>
      </w:r>
      <w:proofErr w:type="spellStart"/>
      <w:r>
        <w:rPr>
          <w:color w:val="000000"/>
        </w:rPr>
        <w:t>pralsetinib</w:t>
      </w:r>
      <w:proofErr w:type="spellEnd"/>
      <w:r>
        <w:rPr>
          <w:color w:val="000000"/>
        </w:rPr>
        <w:t xml:space="preserve"> for thromboembolic events.</w:t>
      </w:r>
    </w:p>
    <w:p w14:paraId="0000028C"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FGFR pathway</w:t>
      </w:r>
    </w:p>
    <w:p w14:paraId="0000028D" w14:textId="77777777" w:rsidR="005D7E20" w:rsidRDefault="00507B07">
      <w:proofErr w:type="spellStart"/>
      <w:r>
        <w:t>Hyperphosphataemia</w:t>
      </w:r>
      <w:proofErr w:type="spellEnd"/>
    </w:p>
    <w:p w14:paraId="0000028E" w14:textId="4FA70AB4" w:rsidR="005D7E20" w:rsidRDefault="00507B07">
      <w:pPr>
        <w:numPr>
          <w:ilvl w:val="0"/>
          <w:numId w:val="6"/>
        </w:numPr>
        <w:pBdr>
          <w:top w:val="nil"/>
          <w:left w:val="nil"/>
          <w:bottom w:val="nil"/>
          <w:right w:val="nil"/>
          <w:between w:val="nil"/>
        </w:pBdr>
        <w:spacing w:before="120" w:after="180"/>
      </w:pPr>
      <w:r>
        <w:rPr>
          <w:color w:val="000000"/>
        </w:rPr>
        <w:t xml:space="preserve">Generally moderate; no serious cases were </w:t>
      </w:r>
      <w:r w:rsidR="00D63D0E">
        <w:rPr>
          <w:color w:val="000000"/>
        </w:rPr>
        <w:t>reported,</w:t>
      </w:r>
      <w:r>
        <w:rPr>
          <w:color w:val="000000"/>
        </w:rPr>
        <w:t xml:space="preserve"> and no patients had phosphate values of &gt; 9mg/dL</w:t>
      </w:r>
    </w:p>
    <w:p w14:paraId="0000028F" w14:textId="77777777" w:rsidR="005D7E20" w:rsidRDefault="00507B07">
      <w:pPr>
        <w:numPr>
          <w:ilvl w:val="0"/>
          <w:numId w:val="6"/>
        </w:numPr>
        <w:pBdr>
          <w:top w:val="nil"/>
          <w:left w:val="nil"/>
          <w:bottom w:val="nil"/>
          <w:right w:val="nil"/>
          <w:between w:val="nil"/>
        </w:pBdr>
        <w:spacing w:before="120" w:after="180"/>
      </w:pPr>
      <w:r>
        <w:rPr>
          <w:color w:val="000000"/>
        </w:rPr>
        <w:t>In patients with abnormal phosphate value (≥ 5.5 mg/dL) by ‘</w:t>
      </w:r>
      <w:r>
        <w:rPr>
          <w:i/>
          <w:color w:val="000000"/>
        </w:rPr>
        <w:t>Phosphate Binder Treated Status Safety Population</w:t>
      </w:r>
      <w:r>
        <w:rPr>
          <w:color w:val="000000"/>
        </w:rPr>
        <w:t xml:space="preserve">’ – all patients treated at 400 mg once daily and normal or missing phosphate value at Baseline and abnormal phosphate value at post-Baseline </w:t>
      </w:r>
    </w:p>
    <w:p w14:paraId="00000290" w14:textId="77777777" w:rsidR="005D7E20" w:rsidRDefault="00507B07">
      <w:pPr>
        <w:numPr>
          <w:ilvl w:val="1"/>
          <w:numId w:val="6"/>
        </w:numPr>
        <w:pBdr>
          <w:top w:val="nil"/>
          <w:left w:val="nil"/>
          <w:bottom w:val="nil"/>
          <w:right w:val="nil"/>
          <w:between w:val="nil"/>
        </w:pBdr>
        <w:spacing w:before="120" w:after="180"/>
      </w:pPr>
      <w:r>
        <w:rPr>
          <w:color w:val="000000"/>
        </w:rPr>
        <w:t>N = 93</w:t>
      </w:r>
    </w:p>
    <w:p w14:paraId="00000291" w14:textId="77777777" w:rsidR="005D7E20" w:rsidRDefault="00507B07">
      <w:pPr>
        <w:numPr>
          <w:ilvl w:val="1"/>
          <w:numId w:val="6"/>
        </w:numPr>
        <w:pBdr>
          <w:top w:val="nil"/>
          <w:left w:val="nil"/>
          <w:bottom w:val="nil"/>
          <w:right w:val="nil"/>
          <w:between w:val="nil"/>
        </w:pBdr>
        <w:spacing w:before="120" w:after="180"/>
      </w:pPr>
      <w:r>
        <w:rPr>
          <w:color w:val="000000"/>
        </w:rPr>
        <w:t xml:space="preserve">Approximately 50% were not treated with phosphate binders; these patients did not have worsening </w:t>
      </w:r>
      <w:proofErr w:type="spellStart"/>
      <w:r>
        <w:rPr>
          <w:color w:val="000000"/>
        </w:rPr>
        <w:t>hyperphosphataemia</w:t>
      </w:r>
      <w:proofErr w:type="spellEnd"/>
      <w:r>
        <w:rPr>
          <w:color w:val="000000"/>
        </w:rPr>
        <w:t xml:space="preserve"> over time and administration of phosphate binders did not appear to decrease the duration of </w:t>
      </w:r>
      <w:proofErr w:type="spellStart"/>
      <w:r>
        <w:rPr>
          <w:color w:val="000000"/>
        </w:rPr>
        <w:t>hyperphosphataemia</w:t>
      </w:r>
      <w:proofErr w:type="spellEnd"/>
    </w:p>
    <w:p w14:paraId="00000292" w14:textId="77777777" w:rsidR="005D7E20" w:rsidRDefault="00507B07">
      <w:pPr>
        <w:numPr>
          <w:ilvl w:val="0"/>
          <w:numId w:val="6"/>
        </w:numPr>
        <w:pBdr>
          <w:top w:val="nil"/>
          <w:left w:val="nil"/>
          <w:bottom w:val="nil"/>
          <w:right w:val="nil"/>
          <w:between w:val="nil"/>
        </w:pBdr>
        <w:spacing w:before="120" w:after="180"/>
      </w:pPr>
      <w:proofErr w:type="spellStart"/>
      <w:r>
        <w:rPr>
          <w:color w:val="000000"/>
        </w:rPr>
        <w:t>Hyperphosphataemia</w:t>
      </w:r>
      <w:proofErr w:type="spellEnd"/>
      <w:r>
        <w:rPr>
          <w:color w:val="000000"/>
        </w:rPr>
        <w:t xml:space="preserve"> should be included in the PI as a potentially clinically significant adverse reaction of </w:t>
      </w:r>
      <w:proofErr w:type="spellStart"/>
      <w:r>
        <w:rPr>
          <w:color w:val="000000"/>
        </w:rPr>
        <w:t>pralsetinib</w:t>
      </w:r>
      <w:proofErr w:type="spellEnd"/>
    </w:p>
    <w:p w14:paraId="00000293" w14:textId="77777777" w:rsidR="005D7E20" w:rsidRDefault="00507B07">
      <w:r>
        <w:t>Vision disorders</w:t>
      </w:r>
    </w:p>
    <w:p w14:paraId="00000294" w14:textId="77777777" w:rsidR="005D7E20" w:rsidRDefault="00507B07">
      <w:pPr>
        <w:numPr>
          <w:ilvl w:val="0"/>
          <w:numId w:val="6"/>
        </w:numPr>
        <w:pBdr>
          <w:top w:val="nil"/>
          <w:left w:val="nil"/>
          <w:bottom w:val="nil"/>
          <w:right w:val="nil"/>
          <w:between w:val="nil"/>
        </w:pBdr>
        <w:spacing w:before="120" w:after="180"/>
      </w:pPr>
      <w:r>
        <w:rPr>
          <w:color w:val="000000"/>
        </w:rPr>
        <w:t xml:space="preserve">Analyses of vision disorders were reviewed and do not suggest a safety signal for </w:t>
      </w:r>
      <w:proofErr w:type="spellStart"/>
      <w:r>
        <w:rPr>
          <w:color w:val="000000"/>
        </w:rPr>
        <w:t>pralsetinib</w:t>
      </w:r>
      <w:proofErr w:type="spellEnd"/>
      <w:r>
        <w:rPr>
          <w:color w:val="000000"/>
        </w:rPr>
        <w:t xml:space="preserve"> for vision disorders</w:t>
      </w:r>
    </w:p>
    <w:p w14:paraId="00000295"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JAK1/2 pathway</w:t>
      </w:r>
    </w:p>
    <w:p w14:paraId="00000296" w14:textId="77777777" w:rsidR="005D7E20" w:rsidRDefault="00507B07">
      <w:r>
        <w:t>Infections/myelosuppression</w:t>
      </w:r>
    </w:p>
    <w:p w14:paraId="00000297" w14:textId="77777777" w:rsidR="005D7E20" w:rsidRDefault="00507B07">
      <w:pPr>
        <w:numPr>
          <w:ilvl w:val="0"/>
          <w:numId w:val="6"/>
        </w:numPr>
        <w:pBdr>
          <w:top w:val="nil"/>
          <w:left w:val="nil"/>
          <w:bottom w:val="nil"/>
          <w:right w:val="nil"/>
          <w:between w:val="nil"/>
        </w:pBdr>
        <w:spacing w:before="120" w:after="180"/>
      </w:pPr>
      <w:r>
        <w:rPr>
          <w:color w:val="000000"/>
        </w:rPr>
        <w:t>Analysis revealed 13 SAEs of sepsis</w:t>
      </w:r>
    </w:p>
    <w:p w14:paraId="00000298" w14:textId="77777777" w:rsidR="005D7E20" w:rsidRDefault="00507B07">
      <w:pPr>
        <w:numPr>
          <w:ilvl w:val="1"/>
          <w:numId w:val="6"/>
        </w:numPr>
        <w:pBdr>
          <w:top w:val="nil"/>
          <w:left w:val="nil"/>
          <w:bottom w:val="nil"/>
          <w:right w:val="nil"/>
          <w:between w:val="nil"/>
        </w:pBdr>
        <w:spacing w:before="120" w:after="180"/>
      </w:pPr>
      <w:r>
        <w:rPr>
          <w:color w:val="000000"/>
        </w:rPr>
        <w:t>Grade 3: n = 7</w:t>
      </w:r>
    </w:p>
    <w:p w14:paraId="00000299" w14:textId="77777777" w:rsidR="005D7E20" w:rsidRDefault="00507B07">
      <w:pPr>
        <w:numPr>
          <w:ilvl w:val="1"/>
          <w:numId w:val="6"/>
        </w:numPr>
        <w:pBdr>
          <w:top w:val="nil"/>
          <w:left w:val="nil"/>
          <w:bottom w:val="nil"/>
          <w:right w:val="nil"/>
          <w:between w:val="nil"/>
        </w:pBdr>
        <w:spacing w:before="120" w:after="180"/>
      </w:pPr>
      <w:r>
        <w:rPr>
          <w:color w:val="000000"/>
        </w:rPr>
        <w:lastRenderedPageBreak/>
        <w:t>Grade 4: n = 5</w:t>
      </w:r>
    </w:p>
    <w:p w14:paraId="0000029A" w14:textId="77777777" w:rsidR="005D7E20" w:rsidRDefault="00507B07">
      <w:pPr>
        <w:numPr>
          <w:ilvl w:val="1"/>
          <w:numId w:val="6"/>
        </w:numPr>
        <w:pBdr>
          <w:top w:val="nil"/>
          <w:left w:val="nil"/>
          <w:bottom w:val="nil"/>
          <w:right w:val="nil"/>
          <w:between w:val="nil"/>
        </w:pBdr>
        <w:spacing w:before="120" w:after="180"/>
      </w:pPr>
      <w:r>
        <w:rPr>
          <w:color w:val="000000"/>
        </w:rPr>
        <w:t>Grade 1: n = 1</w:t>
      </w:r>
    </w:p>
    <w:p w14:paraId="0000029B" w14:textId="77777777" w:rsidR="005D7E20" w:rsidRDefault="00507B07">
      <w:pPr>
        <w:numPr>
          <w:ilvl w:val="0"/>
          <w:numId w:val="6"/>
        </w:numPr>
        <w:pBdr>
          <w:top w:val="nil"/>
          <w:left w:val="nil"/>
          <w:bottom w:val="nil"/>
          <w:right w:val="nil"/>
          <w:between w:val="nil"/>
        </w:pBdr>
        <w:spacing w:before="120" w:after="180"/>
      </w:pPr>
      <w:r>
        <w:rPr>
          <w:color w:val="000000"/>
        </w:rPr>
        <w:t xml:space="preserve">In all events, baseline absolute neutrophil count </w:t>
      </w:r>
      <w:proofErr w:type="gramStart"/>
      <w:r>
        <w:rPr>
          <w:color w:val="000000"/>
        </w:rPr>
        <w:t>were</w:t>
      </w:r>
      <w:proofErr w:type="gramEnd"/>
      <w:r>
        <w:rPr>
          <w:color w:val="000000"/>
        </w:rPr>
        <w:t xml:space="preserve"> normal</w:t>
      </w:r>
    </w:p>
    <w:p w14:paraId="0000029C" w14:textId="77777777" w:rsidR="005D7E20" w:rsidRDefault="00507B07">
      <w:pPr>
        <w:numPr>
          <w:ilvl w:val="0"/>
          <w:numId w:val="6"/>
        </w:numPr>
        <w:pBdr>
          <w:top w:val="nil"/>
          <w:left w:val="nil"/>
          <w:bottom w:val="nil"/>
          <w:right w:val="nil"/>
          <w:between w:val="nil"/>
        </w:pBdr>
        <w:spacing w:before="120" w:after="180"/>
      </w:pPr>
      <w:r>
        <w:rPr>
          <w:color w:val="000000"/>
        </w:rPr>
        <w:t>Six events occurred in association with decreased neutrophil counts</w:t>
      </w:r>
    </w:p>
    <w:p w14:paraId="0000029D" w14:textId="77777777" w:rsidR="005D7E20" w:rsidRDefault="00507B07">
      <w:pPr>
        <w:numPr>
          <w:ilvl w:val="0"/>
          <w:numId w:val="6"/>
        </w:numPr>
        <w:pBdr>
          <w:top w:val="nil"/>
          <w:left w:val="nil"/>
          <w:bottom w:val="nil"/>
          <w:right w:val="nil"/>
          <w:between w:val="nil"/>
        </w:pBdr>
        <w:spacing w:before="120" w:after="180"/>
      </w:pPr>
      <w:r>
        <w:rPr>
          <w:color w:val="000000"/>
        </w:rPr>
        <w:t>the primary infection was urinary tract infection in five events and pneumonia in two events</w:t>
      </w:r>
    </w:p>
    <w:p w14:paraId="0000029E" w14:textId="77777777" w:rsidR="005D7E20" w:rsidRDefault="00507B07">
      <w:pPr>
        <w:numPr>
          <w:ilvl w:val="0"/>
          <w:numId w:val="6"/>
        </w:numPr>
        <w:pBdr>
          <w:top w:val="nil"/>
          <w:left w:val="nil"/>
          <w:bottom w:val="nil"/>
          <w:right w:val="nil"/>
          <w:between w:val="nil"/>
        </w:pBdr>
        <w:spacing w:before="120" w:after="180"/>
      </w:pPr>
      <w:r>
        <w:rPr>
          <w:color w:val="000000"/>
        </w:rPr>
        <w:t>Evaluation of this analysis concluded that as infections are commonly reported in patients with cancer, and in ARROW trial these events were not consistently associated with neutropenia, this does not warrant inclusion in the PI.</w:t>
      </w:r>
    </w:p>
    <w:p w14:paraId="0000029F"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Dropouts and/or Discontinuation due to Adverse Effects</w:t>
      </w:r>
    </w:p>
    <w:p w14:paraId="000002A0" w14:textId="77777777" w:rsidR="005D7E20" w:rsidRDefault="00507B07">
      <w:r>
        <w:t xml:space="preserve">Among all patients treated at 400 mg once daily at initial new drug application (n = 354), AEs that were the primary or contributing reasons for permanent treatment discontinuation were reported in 16.4%, and in 19.6% of patients with NSCLC treated at 400 mg once daily. This was similar to the results based on the </w:t>
      </w:r>
      <w:proofErr w:type="gramStart"/>
      <w:r>
        <w:t>90 day</w:t>
      </w:r>
      <w:proofErr w:type="gramEnd"/>
      <w:r>
        <w:t xml:space="preserve"> safety update (n = 438) with treatment discontinuation in 14% in all patients treated at 400mg, and 19% in all patients with NSCLC treated at 400 mg.</w:t>
      </w:r>
    </w:p>
    <w:p w14:paraId="000002A1" w14:textId="77777777" w:rsidR="005D7E20" w:rsidRDefault="00507B07">
      <w:r>
        <w:t>The most common AEs leading to permanent discontinuation were pneumonia and pneumonitis.</w:t>
      </w:r>
    </w:p>
    <w:p w14:paraId="000002A2"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Dose interruption/reduction due to Adverse Effects</w:t>
      </w:r>
    </w:p>
    <w:p w14:paraId="000002A3" w14:textId="2FE29555" w:rsidR="005D7E20" w:rsidRDefault="00D63D0E">
      <w:sdt>
        <w:sdtPr>
          <w:tag w:val="goog_rdk_38"/>
          <w:id w:val="1113865133"/>
        </w:sdtPr>
        <w:sdtEndPr/>
        <w:sdtContent/>
      </w:sdt>
      <w:r w:rsidR="00507B07">
        <w:t xml:space="preserve">In patients with NSCLC treated with </w:t>
      </w:r>
      <w:proofErr w:type="spellStart"/>
      <w:r w:rsidR="00507B07">
        <w:t>pralsetinib</w:t>
      </w:r>
      <w:proofErr w:type="spellEnd"/>
      <w:r w:rsidR="00507B07">
        <w:t xml:space="preserve"> 400 mg once daily (90-day update data, n = </w:t>
      </w:r>
      <w:r w:rsidR="00F96FDF">
        <w:t>220</w:t>
      </w:r>
      <w:r w:rsidR="00507B07">
        <w:t>):</w:t>
      </w:r>
    </w:p>
    <w:p w14:paraId="000002A4" w14:textId="77777777" w:rsidR="005D7E20" w:rsidRDefault="00507B07">
      <w:pPr>
        <w:numPr>
          <w:ilvl w:val="0"/>
          <w:numId w:val="6"/>
        </w:numPr>
        <w:pBdr>
          <w:top w:val="nil"/>
          <w:left w:val="nil"/>
          <w:bottom w:val="nil"/>
          <w:right w:val="nil"/>
          <w:between w:val="nil"/>
        </w:pBdr>
        <w:spacing w:before="120" w:after="180"/>
      </w:pPr>
      <w:r>
        <w:rPr>
          <w:color w:val="000000"/>
        </w:rPr>
        <w:t>Dose interruption due to AE = 60%</w:t>
      </w:r>
    </w:p>
    <w:p w14:paraId="000002A5" w14:textId="70AC350C" w:rsidR="005D7E20" w:rsidRDefault="00507B07">
      <w:pPr>
        <w:numPr>
          <w:ilvl w:val="1"/>
          <w:numId w:val="6"/>
        </w:numPr>
        <w:pBdr>
          <w:top w:val="nil"/>
          <w:left w:val="nil"/>
          <w:bottom w:val="nil"/>
          <w:right w:val="nil"/>
          <w:between w:val="nil"/>
        </w:pBdr>
        <w:spacing w:before="120" w:after="180"/>
      </w:pPr>
      <w:r>
        <w:rPr>
          <w:color w:val="000000"/>
        </w:rPr>
        <w:t xml:space="preserve">Most commonly due to neutropenia, hypertension, pneumonitis, anaemia, pneumonia, </w:t>
      </w:r>
      <w:r w:rsidR="001823C5" w:rsidRPr="001823C5">
        <w:rPr>
          <w:color w:val="000000"/>
        </w:rPr>
        <w:t xml:space="preserve">decreased </w:t>
      </w:r>
      <w:r w:rsidR="001823C5">
        <w:rPr>
          <w:color w:val="000000"/>
        </w:rPr>
        <w:t xml:space="preserve">absolute neutrophil count, </w:t>
      </w:r>
      <w:r>
        <w:rPr>
          <w:color w:val="000000"/>
        </w:rPr>
        <w:t>AST increase, CK increase, pyrexia and diarrhoea</w:t>
      </w:r>
    </w:p>
    <w:p w14:paraId="000002A6" w14:textId="77777777" w:rsidR="005D7E20" w:rsidRDefault="00507B07">
      <w:pPr>
        <w:numPr>
          <w:ilvl w:val="0"/>
          <w:numId w:val="6"/>
        </w:numPr>
        <w:pBdr>
          <w:top w:val="nil"/>
          <w:left w:val="nil"/>
          <w:bottom w:val="nil"/>
          <w:right w:val="nil"/>
          <w:between w:val="nil"/>
        </w:pBdr>
        <w:spacing w:before="120" w:after="180"/>
      </w:pPr>
      <w:r>
        <w:rPr>
          <w:color w:val="000000"/>
        </w:rPr>
        <w:t>Dose reduction due to AE = 36%</w:t>
      </w:r>
    </w:p>
    <w:p w14:paraId="000002A7" w14:textId="1A58A65B" w:rsidR="005D7E20" w:rsidRDefault="00507B07">
      <w:pPr>
        <w:numPr>
          <w:ilvl w:val="1"/>
          <w:numId w:val="6"/>
        </w:numPr>
        <w:pBdr>
          <w:top w:val="nil"/>
          <w:left w:val="nil"/>
          <w:bottom w:val="nil"/>
          <w:right w:val="nil"/>
          <w:between w:val="nil"/>
        </w:pBdr>
        <w:spacing w:before="120" w:after="180"/>
      </w:pPr>
      <w:r>
        <w:rPr>
          <w:color w:val="000000"/>
        </w:rPr>
        <w:t>Most commonly due to neutropenia, anaemia, pneumonitis, hypertension, decreased absolute neutrophil count</w:t>
      </w:r>
      <w:r w:rsidR="001823C5">
        <w:rPr>
          <w:color w:val="000000"/>
        </w:rPr>
        <w:t xml:space="preserve">, </w:t>
      </w:r>
      <w:r w:rsidR="001823C5" w:rsidRPr="001823C5">
        <w:rPr>
          <w:color w:val="000000"/>
        </w:rPr>
        <w:t>fatigue, and pneumonia</w:t>
      </w:r>
    </w:p>
    <w:p w14:paraId="000002A8"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 xml:space="preserve">Significant adverse events </w:t>
      </w:r>
    </w:p>
    <w:p w14:paraId="000002A9" w14:textId="77777777" w:rsidR="005D7E20" w:rsidRDefault="00507B07">
      <w:r>
        <w:t>Neutropenia</w:t>
      </w:r>
    </w:p>
    <w:p w14:paraId="000002AA" w14:textId="77777777" w:rsidR="005D7E20" w:rsidRDefault="00507B07">
      <w:pPr>
        <w:numPr>
          <w:ilvl w:val="0"/>
          <w:numId w:val="6"/>
        </w:numPr>
        <w:pBdr>
          <w:top w:val="nil"/>
          <w:left w:val="nil"/>
          <w:bottom w:val="nil"/>
          <w:right w:val="nil"/>
          <w:between w:val="nil"/>
        </w:pBdr>
        <w:spacing w:before="120" w:after="180"/>
      </w:pPr>
      <w:r>
        <w:rPr>
          <w:color w:val="000000"/>
        </w:rPr>
        <w:t>Among all patients treated at 400 mg once daily (n = 354), neutropenia events were reported in 33% of patients (n = 115); 30% of patients (n = 105) reported neutropenia events that were related to study drug</w:t>
      </w:r>
    </w:p>
    <w:p w14:paraId="000002AB" w14:textId="77777777" w:rsidR="005D7E20" w:rsidRDefault="00507B07">
      <w:pPr>
        <w:numPr>
          <w:ilvl w:val="0"/>
          <w:numId w:val="6"/>
        </w:numPr>
        <w:pBdr>
          <w:top w:val="nil"/>
          <w:left w:val="nil"/>
          <w:bottom w:val="nil"/>
          <w:right w:val="nil"/>
          <w:between w:val="nil"/>
        </w:pBdr>
        <w:spacing w:before="120" w:after="180"/>
      </w:pPr>
      <w:r>
        <w:rPr>
          <w:color w:val="000000"/>
        </w:rPr>
        <w:t xml:space="preserve">4 patients experienced febrile neutropenia; no patient had </w:t>
      </w:r>
      <w:proofErr w:type="spellStart"/>
      <w:r>
        <w:rPr>
          <w:color w:val="000000"/>
        </w:rPr>
        <w:t>pralsetinib</w:t>
      </w:r>
      <w:proofErr w:type="spellEnd"/>
      <w:r>
        <w:rPr>
          <w:color w:val="000000"/>
        </w:rPr>
        <w:t xml:space="preserve"> permanently discontinued for febrile neutropenia</w:t>
      </w:r>
    </w:p>
    <w:p w14:paraId="000002AC" w14:textId="77777777" w:rsidR="005D7E20" w:rsidRDefault="00507B07">
      <w:r>
        <w:t>Thrombocytopenia</w:t>
      </w:r>
    </w:p>
    <w:p w14:paraId="000002AD" w14:textId="77777777" w:rsidR="005D7E20" w:rsidRDefault="00507B07">
      <w:pPr>
        <w:numPr>
          <w:ilvl w:val="0"/>
          <w:numId w:val="6"/>
        </w:numPr>
        <w:pBdr>
          <w:top w:val="nil"/>
          <w:left w:val="nil"/>
          <w:bottom w:val="nil"/>
          <w:right w:val="nil"/>
          <w:between w:val="nil"/>
        </w:pBdr>
        <w:spacing w:before="120" w:after="180"/>
      </w:pPr>
      <w:r>
        <w:rPr>
          <w:color w:val="000000"/>
        </w:rPr>
        <w:t>Among all patients treated at 400 mg once daily (n = 354), thrombocytopenia events were reported in 14.1% of patients (n = 50); 13% of patients (n = 45) reported thrombocytopenia events that were related to study drug</w:t>
      </w:r>
    </w:p>
    <w:p w14:paraId="000002AE" w14:textId="77777777" w:rsidR="005D7E20" w:rsidRDefault="00507B07">
      <w:r>
        <w:t>Hypertension</w:t>
      </w:r>
    </w:p>
    <w:p w14:paraId="000002AF" w14:textId="77777777" w:rsidR="005D7E20" w:rsidRDefault="00507B07">
      <w:pPr>
        <w:numPr>
          <w:ilvl w:val="0"/>
          <w:numId w:val="6"/>
        </w:numPr>
        <w:pBdr>
          <w:top w:val="nil"/>
          <w:left w:val="nil"/>
          <w:bottom w:val="nil"/>
          <w:right w:val="nil"/>
          <w:between w:val="nil"/>
        </w:pBdr>
        <w:spacing w:before="120" w:after="180"/>
      </w:pPr>
      <w:r>
        <w:rPr>
          <w:color w:val="000000"/>
        </w:rPr>
        <w:t>Among all patients treated at 400 mg once daily (n = 354), hypertension was reported in 28% of patients (n = 99); 14% experienced grade 3 events, none were Grade 4 or 5 events. 20% of patients (n = 72) reported hypertension events that were related to study drug</w:t>
      </w:r>
    </w:p>
    <w:p w14:paraId="000002B0" w14:textId="77777777" w:rsidR="005D7E20" w:rsidRDefault="00507B07">
      <w:pPr>
        <w:numPr>
          <w:ilvl w:val="0"/>
          <w:numId w:val="6"/>
        </w:numPr>
        <w:pBdr>
          <w:top w:val="nil"/>
          <w:left w:val="nil"/>
          <w:bottom w:val="nil"/>
          <w:right w:val="nil"/>
          <w:between w:val="nil"/>
        </w:pBdr>
        <w:spacing w:before="120" w:after="180"/>
      </w:pPr>
      <w:proofErr w:type="spellStart"/>
      <w:r>
        <w:rPr>
          <w:color w:val="000000"/>
        </w:rPr>
        <w:lastRenderedPageBreak/>
        <w:t>Pralsetinib</w:t>
      </w:r>
      <w:proofErr w:type="spellEnd"/>
      <w:r>
        <w:rPr>
          <w:color w:val="000000"/>
        </w:rPr>
        <w:t xml:space="preserve"> was interrupted for hypertension in 7% of patients, 3.2% had dose reduction of </w:t>
      </w:r>
      <w:proofErr w:type="spellStart"/>
      <w:r>
        <w:rPr>
          <w:color w:val="000000"/>
        </w:rPr>
        <w:t>pralsetinib</w:t>
      </w:r>
      <w:proofErr w:type="spellEnd"/>
      <w:r>
        <w:rPr>
          <w:color w:val="000000"/>
        </w:rPr>
        <w:t xml:space="preserve"> for hypertension, and one patient discontinued treatment due to hypertension.</w:t>
      </w:r>
    </w:p>
    <w:p w14:paraId="000002B1" w14:textId="77777777" w:rsidR="005D7E20" w:rsidRDefault="00507B07">
      <w:pPr>
        <w:numPr>
          <w:ilvl w:val="0"/>
          <w:numId w:val="6"/>
        </w:numPr>
        <w:pBdr>
          <w:top w:val="nil"/>
          <w:left w:val="nil"/>
          <w:bottom w:val="nil"/>
          <w:right w:val="nil"/>
          <w:between w:val="nil"/>
        </w:pBdr>
        <w:spacing w:before="120" w:after="180"/>
      </w:pPr>
      <w:r>
        <w:rPr>
          <w:color w:val="000000"/>
        </w:rPr>
        <w:t>The Delegate noted that hypertension should be included in the PI as appropriate management will be required to mitigate any adverse outcomes.</w:t>
      </w:r>
    </w:p>
    <w:p w14:paraId="000002B2"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Treatment emergent adverse events</w:t>
      </w:r>
    </w:p>
    <w:p w14:paraId="000002B3" w14:textId="77777777" w:rsidR="005D7E20" w:rsidRDefault="00507B07" w:rsidP="00D63D0E">
      <w:pPr>
        <w:pStyle w:val="TableTitle"/>
      </w:pPr>
      <w:r>
        <w:t>Table 7: Summary of adverse events (safety population)</w:t>
      </w:r>
    </w:p>
    <w:p w14:paraId="000002B4" w14:textId="77777777" w:rsidR="005D7E20" w:rsidRDefault="00507B07">
      <w:r>
        <w:rPr>
          <w:noProof/>
          <w:lang w:val="en-NZ"/>
        </w:rPr>
        <w:drawing>
          <wp:inline distT="0" distB="0" distL="0" distR="0" wp14:anchorId="13CC862C" wp14:editId="28440FF1">
            <wp:extent cx="5257831" cy="1904473"/>
            <wp:effectExtent l="0" t="0" r="0" b="0"/>
            <wp:docPr id="49" name="image23.png" descr="Summary of adverse events (safety population)"/>
            <wp:cNvGraphicFramePr/>
            <a:graphic xmlns:a="http://schemas.openxmlformats.org/drawingml/2006/main">
              <a:graphicData uri="http://schemas.openxmlformats.org/drawingml/2006/picture">
                <pic:pic xmlns:pic="http://schemas.openxmlformats.org/drawingml/2006/picture">
                  <pic:nvPicPr>
                    <pic:cNvPr id="0" name="image23.png" descr="Summary of adverse events (safety population)"/>
                    <pic:cNvPicPr preferRelativeResize="0"/>
                  </pic:nvPicPr>
                  <pic:blipFill>
                    <a:blip r:embed="rId41"/>
                    <a:srcRect t="11327"/>
                    <a:stretch>
                      <a:fillRect/>
                    </a:stretch>
                  </pic:blipFill>
                  <pic:spPr>
                    <a:xfrm>
                      <a:off x="0" y="0"/>
                      <a:ext cx="5257831" cy="1904473"/>
                    </a:xfrm>
                    <a:prstGeom prst="rect">
                      <a:avLst/>
                    </a:prstGeom>
                    <a:ln/>
                  </pic:spPr>
                </pic:pic>
              </a:graphicData>
            </a:graphic>
          </wp:inline>
        </w:drawing>
      </w:r>
      <w:r>
        <w:rPr>
          <w:noProof/>
          <w:lang w:val="en-NZ"/>
        </w:rPr>
        <w:drawing>
          <wp:inline distT="0" distB="0" distL="0" distR="0" wp14:anchorId="56244EBE" wp14:editId="64834B90">
            <wp:extent cx="5257800" cy="581025"/>
            <wp:effectExtent l="0" t="0" r="0" b="9525"/>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t="48667"/>
                    <a:stretch>
                      <a:fillRect/>
                    </a:stretch>
                  </pic:blipFill>
                  <pic:spPr>
                    <a:xfrm>
                      <a:off x="0" y="0"/>
                      <a:ext cx="5258687" cy="581123"/>
                    </a:xfrm>
                    <a:prstGeom prst="rect">
                      <a:avLst/>
                    </a:prstGeom>
                    <a:ln/>
                  </pic:spPr>
                </pic:pic>
              </a:graphicData>
            </a:graphic>
          </wp:inline>
        </w:drawing>
      </w:r>
    </w:p>
    <w:p w14:paraId="000002B5" w14:textId="77777777" w:rsidR="005D7E20" w:rsidRDefault="00507B07">
      <w:r>
        <w:t>Among all patients treated at 400 mg once daily at initial new drug application (n = 354):</w:t>
      </w:r>
    </w:p>
    <w:p w14:paraId="000002B6" w14:textId="77777777" w:rsidR="005D7E20" w:rsidRDefault="00507B07">
      <w:pPr>
        <w:numPr>
          <w:ilvl w:val="0"/>
          <w:numId w:val="6"/>
        </w:numPr>
        <w:pBdr>
          <w:top w:val="nil"/>
          <w:left w:val="nil"/>
          <w:bottom w:val="nil"/>
          <w:right w:val="nil"/>
          <w:between w:val="nil"/>
        </w:pBdr>
        <w:spacing w:before="120" w:after="180"/>
      </w:pPr>
      <w:r>
        <w:rPr>
          <w:color w:val="000000"/>
        </w:rPr>
        <w:t>AEs = 95.8%</w:t>
      </w:r>
    </w:p>
    <w:p w14:paraId="000002B7" w14:textId="77777777" w:rsidR="005D7E20" w:rsidRDefault="00507B07">
      <w:pPr>
        <w:numPr>
          <w:ilvl w:val="0"/>
          <w:numId w:val="6"/>
        </w:numPr>
        <w:pBdr>
          <w:top w:val="nil"/>
          <w:left w:val="nil"/>
          <w:bottom w:val="nil"/>
          <w:right w:val="nil"/>
          <w:between w:val="nil"/>
        </w:pBdr>
        <w:spacing w:before="120" w:after="180"/>
      </w:pPr>
      <w:r>
        <w:rPr>
          <w:color w:val="000000"/>
        </w:rPr>
        <w:t xml:space="preserve">AEs related to </w:t>
      </w:r>
      <w:proofErr w:type="spellStart"/>
      <w:r>
        <w:rPr>
          <w:color w:val="000000"/>
        </w:rPr>
        <w:t>pralsetinib</w:t>
      </w:r>
      <w:proofErr w:type="spellEnd"/>
      <w:r>
        <w:rPr>
          <w:color w:val="000000"/>
        </w:rPr>
        <w:t xml:space="preserve"> = 90.4%</w:t>
      </w:r>
    </w:p>
    <w:p w14:paraId="000002B8" w14:textId="77777777" w:rsidR="005D7E20" w:rsidRDefault="00507B07">
      <w:pPr>
        <w:numPr>
          <w:ilvl w:val="0"/>
          <w:numId w:val="6"/>
        </w:numPr>
        <w:pBdr>
          <w:top w:val="nil"/>
          <w:left w:val="nil"/>
          <w:bottom w:val="nil"/>
          <w:right w:val="nil"/>
          <w:between w:val="nil"/>
        </w:pBdr>
        <w:spacing w:before="120" w:after="180"/>
      </w:pPr>
      <w:r>
        <w:rPr>
          <w:color w:val="000000"/>
        </w:rPr>
        <w:t>AE of at least Grade 3 = 65.5%</w:t>
      </w:r>
    </w:p>
    <w:p w14:paraId="000002B9" w14:textId="77777777" w:rsidR="005D7E20" w:rsidRDefault="00507B07">
      <w:pPr>
        <w:numPr>
          <w:ilvl w:val="0"/>
          <w:numId w:val="6"/>
        </w:numPr>
        <w:pBdr>
          <w:top w:val="nil"/>
          <w:left w:val="nil"/>
          <w:bottom w:val="nil"/>
          <w:right w:val="nil"/>
          <w:between w:val="nil"/>
        </w:pBdr>
        <w:spacing w:before="120" w:after="180"/>
      </w:pPr>
      <w:r>
        <w:rPr>
          <w:color w:val="000000"/>
        </w:rPr>
        <w:t>At least Grade 3 related AEs = 43.8%</w:t>
      </w:r>
    </w:p>
    <w:p w14:paraId="000002BA" w14:textId="77777777" w:rsidR="005D7E20" w:rsidRDefault="00507B07">
      <w:pPr>
        <w:numPr>
          <w:ilvl w:val="0"/>
          <w:numId w:val="6"/>
        </w:numPr>
        <w:pBdr>
          <w:top w:val="nil"/>
          <w:left w:val="nil"/>
          <w:bottom w:val="nil"/>
          <w:right w:val="nil"/>
          <w:between w:val="nil"/>
        </w:pBdr>
        <w:spacing w:before="120" w:after="180"/>
      </w:pPr>
      <w:r>
        <w:rPr>
          <w:color w:val="000000"/>
        </w:rPr>
        <w:t>SAEs = 44.1%</w:t>
      </w:r>
    </w:p>
    <w:p w14:paraId="000002BB" w14:textId="77777777" w:rsidR="005D7E20" w:rsidRDefault="00507B07">
      <w:pPr>
        <w:numPr>
          <w:ilvl w:val="0"/>
          <w:numId w:val="6"/>
        </w:numPr>
        <w:pBdr>
          <w:top w:val="nil"/>
          <w:left w:val="nil"/>
          <w:bottom w:val="nil"/>
          <w:right w:val="nil"/>
          <w:between w:val="nil"/>
        </w:pBdr>
        <w:spacing w:before="120" w:after="180"/>
      </w:pPr>
      <w:r>
        <w:rPr>
          <w:color w:val="000000"/>
        </w:rPr>
        <w:t>Related SAEs = 16.4%</w:t>
      </w:r>
    </w:p>
    <w:p w14:paraId="000002BC" w14:textId="77777777" w:rsidR="005D7E20" w:rsidRDefault="00507B07">
      <w:pPr>
        <w:numPr>
          <w:ilvl w:val="0"/>
          <w:numId w:val="6"/>
        </w:numPr>
        <w:pBdr>
          <w:top w:val="nil"/>
          <w:left w:val="nil"/>
          <w:bottom w:val="nil"/>
          <w:right w:val="nil"/>
          <w:between w:val="nil"/>
        </w:pBdr>
        <w:spacing w:before="120" w:after="180"/>
      </w:pPr>
      <w:r>
        <w:rPr>
          <w:color w:val="000000"/>
        </w:rPr>
        <w:t>Discontinuation due to AEs = 11.6%</w:t>
      </w:r>
    </w:p>
    <w:p w14:paraId="000002BD" w14:textId="77777777" w:rsidR="005D7E20" w:rsidRDefault="00507B07">
      <w:r>
        <w:t xml:space="preserve">The safety profile of patients with NSCLC treated at 400 mg once daily was generally </w:t>
      </w:r>
      <w:proofErr w:type="gramStart"/>
      <w:r>
        <w:t>similar to</w:t>
      </w:r>
      <w:proofErr w:type="gramEnd"/>
      <w:r>
        <w:t xml:space="preserve"> that of all patients treated at 400 mg once daily.</w:t>
      </w:r>
    </w:p>
    <w:p w14:paraId="000002BE" w14:textId="77777777" w:rsidR="005D7E20" w:rsidRDefault="00507B07">
      <w:r>
        <w:t>The most common AEs (reported in more than 20% of patients treated at 400 mg once daily) were:</w:t>
      </w:r>
    </w:p>
    <w:p w14:paraId="000002BF" w14:textId="77777777" w:rsidR="005D7E20" w:rsidRDefault="00507B07">
      <w:pPr>
        <w:numPr>
          <w:ilvl w:val="0"/>
          <w:numId w:val="6"/>
        </w:numPr>
        <w:pBdr>
          <w:top w:val="nil"/>
          <w:left w:val="nil"/>
          <w:bottom w:val="nil"/>
          <w:right w:val="nil"/>
          <w:between w:val="nil"/>
        </w:pBdr>
        <w:spacing w:before="120" w:after="180"/>
      </w:pPr>
      <w:r>
        <w:rPr>
          <w:color w:val="000000"/>
        </w:rPr>
        <w:t>AST increased = 38.7%</w:t>
      </w:r>
    </w:p>
    <w:p w14:paraId="000002C0" w14:textId="77777777" w:rsidR="005D7E20" w:rsidRDefault="00507B07">
      <w:pPr>
        <w:numPr>
          <w:ilvl w:val="0"/>
          <w:numId w:val="6"/>
        </w:numPr>
        <w:pBdr>
          <w:top w:val="nil"/>
          <w:left w:val="nil"/>
          <w:bottom w:val="nil"/>
          <w:right w:val="nil"/>
          <w:between w:val="nil"/>
        </w:pBdr>
        <w:spacing w:before="120" w:after="180"/>
      </w:pPr>
      <w:r>
        <w:rPr>
          <w:color w:val="000000"/>
        </w:rPr>
        <w:t>Constipation = 32.4%</w:t>
      </w:r>
    </w:p>
    <w:p w14:paraId="000002C1" w14:textId="77777777" w:rsidR="005D7E20" w:rsidRDefault="00507B07">
      <w:pPr>
        <w:numPr>
          <w:ilvl w:val="0"/>
          <w:numId w:val="6"/>
        </w:numPr>
        <w:pBdr>
          <w:top w:val="nil"/>
          <w:left w:val="nil"/>
          <w:bottom w:val="nil"/>
          <w:right w:val="nil"/>
          <w:between w:val="nil"/>
        </w:pBdr>
        <w:spacing w:before="120" w:after="180"/>
      </w:pPr>
      <w:r>
        <w:rPr>
          <w:color w:val="000000"/>
        </w:rPr>
        <w:t>Anaemia = 31.9%</w:t>
      </w:r>
    </w:p>
    <w:p w14:paraId="000002C2" w14:textId="77777777" w:rsidR="005D7E20" w:rsidRDefault="00507B07">
      <w:pPr>
        <w:numPr>
          <w:ilvl w:val="0"/>
          <w:numId w:val="6"/>
        </w:numPr>
        <w:pBdr>
          <w:top w:val="nil"/>
          <w:left w:val="nil"/>
          <w:bottom w:val="nil"/>
          <w:right w:val="nil"/>
          <w:between w:val="nil"/>
        </w:pBdr>
        <w:spacing w:before="120" w:after="180"/>
      </w:pPr>
      <w:r>
        <w:rPr>
          <w:color w:val="000000"/>
        </w:rPr>
        <w:t>Diarrhea = 27.7%</w:t>
      </w:r>
    </w:p>
    <w:p w14:paraId="000002C3" w14:textId="77777777" w:rsidR="005D7E20" w:rsidRDefault="00507B07">
      <w:pPr>
        <w:numPr>
          <w:ilvl w:val="0"/>
          <w:numId w:val="6"/>
        </w:numPr>
        <w:pBdr>
          <w:top w:val="nil"/>
          <w:left w:val="nil"/>
          <w:bottom w:val="nil"/>
          <w:right w:val="nil"/>
          <w:between w:val="nil"/>
        </w:pBdr>
        <w:spacing w:before="120" w:after="180"/>
      </w:pPr>
      <w:r>
        <w:rPr>
          <w:color w:val="000000"/>
        </w:rPr>
        <w:t>ALT increased = 27.1%</w:t>
      </w:r>
    </w:p>
    <w:p w14:paraId="000002C4" w14:textId="77777777" w:rsidR="005D7E20" w:rsidRDefault="00507B07">
      <w:pPr>
        <w:numPr>
          <w:ilvl w:val="0"/>
          <w:numId w:val="6"/>
        </w:numPr>
        <w:pBdr>
          <w:top w:val="nil"/>
          <w:left w:val="nil"/>
          <w:bottom w:val="nil"/>
          <w:right w:val="nil"/>
          <w:between w:val="nil"/>
        </w:pBdr>
        <w:spacing w:before="120" w:after="180"/>
      </w:pPr>
      <w:r>
        <w:rPr>
          <w:color w:val="000000"/>
        </w:rPr>
        <w:t>Hypertension = 28.0%</w:t>
      </w:r>
    </w:p>
    <w:p w14:paraId="000002C5" w14:textId="77777777" w:rsidR="005D7E20" w:rsidRDefault="00507B07">
      <w:pPr>
        <w:numPr>
          <w:ilvl w:val="0"/>
          <w:numId w:val="6"/>
        </w:numPr>
        <w:pBdr>
          <w:top w:val="nil"/>
          <w:left w:val="nil"/>
          <w:bottom w:val="nil"/>
          <w:right w:val="nil"/>
          <w:between w:val="nil"/>
        </w:pBdr>
        <w:spacing w:before="120" w:after="180"/>
      </w:pPr>
      <w:r>
        <w:rPr>
          <w:color w:val="000000"/>
        </w:rPr>
        <w:t>Fatigue = 21.5%</w:t>
      </w:r>
    </w:p>
    <w:p w14:paraId="000002C6" w14:textId="77777777" w:rsidR="005D7E20" w:rsidRDefault="00507B07">
      <w:r>
        <w:lastRenderedPageBreak/>
        <w:t xml:space="preserve">The AE profile based on the 90-day update data of patients with NSCLC was </w:t>
      </w:r>
      <w:proofErr w:type="gramStart"/>
      <w:r>
        <w:t>similar to</w:t>
      </w:r>
      <w:proofErr w:type="gramEnd"/>
      <w:r>
        <w:t xml:space="preserve"> the results of the initial analysis.</w:t>
      </w:r>
    </w:p>
    <w:p w14:paraId="000002C7" w14:textId="77777777" w:rsidR="005D7E20" w:rsidRDefault="00507B07">
      <w:r>
        <w:t>The most common AEs of at least Grade 3 reported (in more than 10% of patients treated at 400 mg once daily) were:</w:t>
      </w:r>
    </w:p>
    <w:p w14:paraId="000002C8" w14:textId="77777777" w:rsidR="005D7E20" w:rsidRDefault="00507B07">
      <w:pPr>
        <w:numPr>
          <w:ilvl w:val="0"/>
          <w:numId w:val="6"/>
        </w:numPr>
        <w:pBdr>
          <w:top w:val="nil"/>
          <w:left w:val="nil"/>
          <w:bottom w:val="nil"/>
          <w:right w:val="nil"/>
          <w:between w:val="nil"/>
        </w:pBdr>
        <w:spacing w:before="120" w:after="180"/>
      </w:pPr>
      <w:r>
        <w:rPr>
          <w:color w:val="000000"/>
        </w:rPr>
        <w:t>Hypertension = 13.8%</w:t>
      </w:r>
    </w:p>
    <w:p w14:paraId="000002C9" w14:textId="77777777" w:rsidR="005D7E20" w:rsidRDefault="00507B07">
      <w:pPr>
        <w:numPr>
          <w:ilvl w:val="0"/>
          <w:numId w:val="6"/>
        </w:numPr>
        <w:pBdr>
          <w:top w:val="nil"/>
          <w:left w:val="nil"/>
          <w:bottom w:val="nil"/>
          <w:right w:val="nil"/>
          <w:between w:val="nil"/>
        </w:pBdr>
        <w:spacing w:before="120" w:after="180"/>
      </w:pPr>
      <w:r>
        <w:rPr>
          <w:color w:val="000000"/>
        </w:rPr>
        <w:t>Anaemia = 12.1%</w:t>
      </w:r>
    </w:p>
    <w:p w14:paraId="000002CA" w14:textId="77777777" w:rsidR="005D7E20" w:rsidRDefault="00507B07">
      <w:pPr>
        <w:numPr>
          <w:ilvl w:val="0"/>
          <w:numId w:val="6"/>
        </w:numPr>
        <w:pBdr>
          <w:top w:val="nil"/>
          <w:left w:val="nil"/>
          <w:bottom w:val="nil"/>
          <w:right w:val="nil"/>
          <w:between w:val="nil"/>
        </w:pBdr>
        <w:spacing w:before="120" w:after="180"/>
      </w:pPr>
      <w:r>
        <w:rPr>
          <w:color w:val="000000"/>
        </w:rPr>
        <w:t>Neutropenia = 10.5%</w:t>
      </w:r>
    </w:p>
    <w:p w14:paraId="000002CB" w14:textId="77777777" w:rsidR="005D7E20" w:rsidRDefault="00507B07">
      <w:r>
        <w:t>The most common related AEs of at least Grade ≥ 3 (in patients treated at 400 mg once daily) were:</w:t>
      </w:r>
    </w:p>
    <w:p w14:paraId="000002CC" w14:textId="77777777" w:rsidR="005D7E20" w:rsidRDefault="00507B07">
      <w:pPr>
        <w:numPr>
          <w:ilvl w:val="0"/>
          <w:numId w:val="6"/>
        </w:numPr>
        <w:pBdr>
          <w:top w:val="nil"/>
          <w:left w:val="nil"/>
          <w:bottom w:val="nil"/>
          <w:right w:val="nil"/>
          <w:between w:val="nil"/>
        </w:pBdr>
        <w:spacing w:before="120" w:after="180"/>
      </w:pPr>
      <w:r>
        <w:rPr>
          <w:color w:val="000000"/>
        </w:rPr>
        <w:t>Hypertension = 10.5%</w:t>
      </w:r>
    </w:p>
    <w:p w14:paraId="000002CD" w14:textId="77777777" w:rsidR="005D7E20" w:rsidRDefault="00507B07">
      <w:pPr>
        <w:numPr>
          <w:ilvl w:val="0"/>
          <w:numId w:val="6"/>
        </w:numPr>
        <w:pBdr>
          <w:top w:val="nil"/>
          <w:left w:val="nil"/>
          <w:bottom w:val="nil"/>
          <w:right w:val="nil"/>
          <w:between w:val="nil"/>
        </w:pBdr>
        <w:spacing w:before="120" w:after="180"/>
      </w:pPr>
      <w:r>
        <w:rPr>
          <w:color w:val="000000"/>
        </w:rPr>
        <w:t>Neutropenia = 9.6%</w:t>
      </w:r>
    </w:p>
    <w:p w14:paraId="000002CE" w14:textId="77777777" w:rsidR="005D7E20" w:rsidRDefault="00507B07">
      <w:pPr>
        <w:numPr>
          <w:ilvl w:val="0"/>
          <w:numId w:val="6"/>
        </w:numPr>
        <w:pBdr>
          <w:top w:val="nil"/>
          <w:left w:val="nil"/>
          <w:bottom w:val="nil"/>
          <w:right w:val="nil"/>
          <w:between w:val="nil"/>
        </w:pBdr>
        <w:spacing w:before="120" w:after="180"/>
      </w:pPr>
      <w:r>
        <w:rPr>
          <w:color w:val="000000"/>
        </w:rPr>
        <w:t>Anaemia = 7.9%</w:t>
      </w:r>
    </w:p>
    <w:p w14:paraId="000002CF" w14:textId="77777777" w:rsidR="005D7E20" w:rsidRDefault="00507B07">
      <w:pPr>
        <w:numPr>
          <w:ilvl w:val="0"/>
          <w:numId w:val="6"/>
        </w:numPr>
        <w:pBdr>
          <w:top w:val="nil"/>
          <w:left w:val="nil"/>
          <w:bottom w:val="nil"/>
          <w:right w:val="nil"/>
          <w:between w:val="nil"/>
        </w:pBdr>
        <w:spacing w:before="120" w:after="180"/>
      </w:pPr>
      <w:r>
        <w:rPr>
          <w:color w:val="000000"/>
        </w:rPr>
        <w:t>Decreased neutrophil count = 4.0%</w:t>
      </w:r>
    </w:p>
    <w:p w14:paraId="000002D0" w14:textId="77777777" w:rsidR="005D7E20" w:rsidRDefault="00507B07">
      <w:pPr>
        <w:numPr>
          <w:ilvl w:val="0"/>
          <w:numId w:val="6"/>
        </w:numPr>
        <w:pBdr>
          <w:top w:val="nil"/>
          <w:left w:val="nil"/>
          <w:bottom w:val="nil"/>
          <w:right w:val="nil"/>
          <w:between w:val="nil"/>
        </w:pBdr>
        <w:spacing w:before="120" w:after="180"/>
      </w:pPr>
      <w:r>
        <w:rPr>
          <w:color w:val="000000"/>
        </w:rPr>
        <w:t>Decreased WBC = 3.1%</w:t>
      </w:r>
    </w:p>
    <w:p w14:paraId="000002D1" w14:textId="77777777" w:rsidR="005D7E20" w:rsidRDefault="00507B07">
      <w:pPr>
        <w:numPr>
          <w:ilvl w:val="0"/>
          <w:numId w:val="6"/>
        </w:numPr>
        <w:pBdr>
          <w:top w:val="nil"/>
          <w:left w:val="nil"/>
          <w:bottom w:val="nil"/>
          <w:right w:val="nil"/>
          <w:between w:val="nil"/>
        </w:pBdr>
        <w:spacing w:before="120" w:after="180"/>
      </w:pPr>
      <w:r>
        <w:rPr>
          <w:color w:val="000000"/>
        </w:rPr>
        <w:t>Lymphopenia = 3.1%</w:t>
      </w:r>
    </w:p>
    <w:p w14:paraId="000002D2" w14:textId="77777777" w:rsidR="005D7E20" w:rsidRDefault="00507B07">
      <w:pPr>
        <w:numPr>
          <w:ilvl w:val="0"/>
          <w:numId w:val="6"/>
        </w:numPr>
        <w:pBdr>
          <w:top w:val="nil"/>
          <w:left w:val="nil"/>
          <w:bottom w:val="nil"/>
          <w:right w:val="nil"/>
          <w:between w:val="nil"/>
        </w:pBdr>
        <w:spacing w:before="120" w:after="180"/>
      </w:pPr>
      <w:r>
        <w:rPr>
          <w:color w:val="000000"/>
        </w:rPr>
        <w:t>Increased CK = 3.1%</w:t>
      </w:r>
    </w:p>
    <w:p w14:paraId="000002D3" w14:textId="77777777" w:rsidR="005D7E20" w:rsidRDefault="00507B07">
      <w:pPr>
        <w:numPr>
          <w:ilvl w:val="0"/>
          <w:numId w:val="6"/>
        </w:numPr>
        <w:pBdr>
          <w:top w:val="nil"/>
          <w:left w:val="nil"/>
          <w:bottom w:val="nil"/>
          <w:right w:val="nil"/>
          <w:between w:val="nil"/>
        </w:pBdr>
        <w:spacing w:before="120" w:after="180"/>
      </w:pPr>
      <w:r>
        <w:rPr>
          <w:color w:val="000000"/>
        </w:rPr>
        <w:t>Increased AST = 2.0%</w:t>
      </w:r>
    </w:p>
    <w:p w14:paraId="000002D4" w14:textId="77777777" w:rsidR="005D7E20" w:rsidRDefault="00507B07">
      <w:r>
        <w:t xml:space="preserve">Among patients with NSCLC treated at 400 mg once daily (treatment emergent adverse events (TEAE) within 30 days of last treatment, </w:t>
      </w:r>
      <w:proofErr w:type="gramStart"/>
      <w:r>
        <w:t>90 day</w:t>
      </w:r>
      <w:proofErr w:type="gramEnd"/>
      <w:r>
        <w:t xml:space="preserve"> update; n = 220):</w:t>
      </w:r>
    </w:p>
    <w:p w14:paraId="000002D5" w14:textId="77777777" w:rsidR="005D7E20" w:rsidRDefault="00507B07">
      <w:pPr>
        <w:numPr>
          <w:ilvl w:val="0"/>
          <w:numId w:val="6"/>
        </w:numPr>
        <w:pBdr>
          <w:top w:val="nil"/>
          <w:left w:val="nil"/>
          <w:bottom w:val="nil"/>
          <w:right w:val="nil"/>
          <w:between w:val="nil"/>
        </w:pBdr>
        <w:spacing w:before="120" w:after="180"/>
      </w:pPr>
      <w:r>
        <w:rPr>
          <w:color w:val="000000"/>
        </w:rPr>
        <w:t>Fatigue = 35%</w:t>
      </w:r>
    </w:p>
    <w:p w14:paraId="000002D6" w14:textId="77777777" w:rsidR="005D7E20" w:rsidRDefault="00507B07">
      <w:pPr>
        <w:numPr>
          <w:ilvl w:val="0"/>
          <w:numId w:val="6"/>
        </w:numPr>
        <w:pBdr>
          <w:top w:val="nil"/>
          <w:left w:val="nil"/>
          <w:bottom w:val="nil"/>
          <w:right w:val="nil"/>
          <w:between w:val="nil"/>
        </w:pBdr>
        <w:spacing w:before="120" w:after="180"/>
      </w:pPr>
      <w:r>
        <w:rPr>
          <w:color w:val="000000"/>
        </w:rPr>
        <w:t>Constipation = 35%</w:t>
      </w:r>
    </w:p>
    <w:p w14:paraId="000002D7" w14:textId="77777777" w:rsidR="005D7E20" w:rsidRDefault="00507B07">
      <w:pPr>
        <w:numPr>
          <w:ilvl w:val="0"/>
          <w:numId w:val="6"/>
        </w:numPr>
        <w:pBdr>
          <w:top w:val="nil"/>
          <w:left w:val="nil"/>
          <w:bottom w:val="nil"/>
          <w:right w:val="nil"/>
          <w:between w:val="nil"/>
        </w:pBdr>
        <w:spacing w:before="120" w:after="180"/>
      </w:pPr>
      <w:r>
        <w:rPr>
          <w:color w:val="000000"/>
        </w:rPr>
        <w:t>Musculoskeletal pain = 32%</w:t>
      </w:r>
    </w:p>
    <w:p w14:paraId="000002D8" w14:textId="77777777" w:rsidR="005D7E20" w:rsidRDefault="00507B07">
      <w:pPr>
        <w:numPr>
          <w:ilvl w:val="0"/>
          <w:numId w:val="6"/>
        </w:numPr>
        <w:pBdr>
          <w:top w:val="nil"/>
          <w:left w:val="nil"/>
          <w:bottom w:val="nil"/>
          <w:right w:val="nil"/>
          <w:between w:val="nil"/>
        </w:pBdr>
        <w:spacing w:before="120" w:after="180"/>
      </w:pPr>
      <w:r>
        <w:rPr>
          <w:color w:val="000000"/>
        </w:rPr>
        <w:t>Hypertension = 28%</w:t>
      </w:r>
    </w:p>
    <w:p w14:paraId="000002D9" w14:textId="77777777" w:rsidR="005D7E20" w:rsidRDefault="00507B07">
      <w:pPr>
        <w:numPr>
          <w:ilvl w:val="0"/>
          <w:numId w:val="6"/>
        </w:numPr>
        <w:pBdr>
          <w:top w:val="nil"/>
          <w:left w:val="nil"/>
          <w:bottom w:val="nil"/>
          <w:right w:val="nil"/>
          <w:between w:val="nil"/>
        </w:pBdr>
        <w:spacing w:before="120" w:after="180"/>
      </w:pPr>
      <w:r>
        <w:rPr>
          <w:color w:val="000000"/>
        </w:rPr>
        <w:t>Diarrhea = 24%</w:t>
      </w:r>
    </w:p>
    <w:p w14:paraId="000002DA" w14:textId="77777777" w:rsidR="005D7E20" w:rsidRDefault="00507B07">
      <w:pPr>
        <w:numPr>
          <w:ilvl w:val="0"/>
          <w:numId w:val="6"/>
        </w:numPr>
        <w:pBdr>
          <w:top w:val="nil"/>
          <w:left w:val="nil"/>
          <w:bottom w:val="nil"/>
          <w:right w:val="nil"/>
          <w:between w:val="nil"/>
        </w:pBdr>
        <w:spacing w:before="120" w:after="180"/>
      </w:pPr>
      <w:r>
        <w:rPr>
          <w:color w:val="000000"/>
        </w:rPr>
        <w:t>Cough = 23%</w:t>
      </w:r>
    </w:p>
    <w:p w14:paraId="000002DB" w14:textId="77777777" w:rsidR="005D7E20" w:rsidRDefault="00507B07">
      <w:pPr>
        <w:numPr>
          <w:ilvl w:val="0"/>
          <w:numId w:val="6"/>
        </w:numPr>
        <w:pBdr>
          <w:top w:val="nil"/>
          <w:left w:val="nil"/>
          <w:bottom w:val="nil"/>
          <w:right w:val="nil"/>
          <w:between w:val="nil"/>
        </w:pBdr>
        <w:spacing w:before="120" w:after="180"/>
      </w:pPr>
      <w:r>
        <w:rPr>
          <w:color w:val="000000"/>
        </w:rPr>
        <w:t>Pyrexia = 20%</w:t>
      </w:r>
    </w:p>
    <w:p w14:paraId="000002DC" w14:textId="77777777" w:rsidR="005D7E20" w:rsidRDefault="00507B07">
      <w:pPr>
        <w:numPr>
          <w:ilvl w:val="0"/>
          <w:numId w:val="6"/>
        </w:numPr>
        <w:pBdr>
          <w:top w:val="nil"/>
          <w:left w:val="nil"/>
          <w:bottom w:val="nil"/>
          <w:right w:val="nil"/>
          <w:between w:val="nil"/>
        </w:pBdr>
        <w:spacing w:before="120" w:after="180"/>
      </w:pPr>
      <w:r>
        <w:rPr>
          <w:color w:val="000000"/>
        </w:rPr>
        <w:t>Oedema = 20%</w:t>
      </w:r>
    </w:p>
    <w:p w14:paraId="000002DD" w14:textId="77777777" w:rsidR="005D7E20" w:rsidRDefault="00507B07">
      <w:pPr>
        <w:numPr>
          <w:ilvl w:val="0"/>
          <w:numId w:val="6"/>
        </w:numPr>
        <w:pBdr>
          <w:top w:val="nil"/>
          <w:left w:val="nil"/>
          <w:bottom w:val="nil"/>
          <w:right w:val="nil"/>
          <w:between w:val="nil"/>
        </w:pBdr>
        <w:spacing w:before="120" w:after="180"/>
      </w:pPr>
      <w:r>
        <w:rPr>
          <w:color w:val="000000"/>
        </w:rPr>
        <w:t>Pneumonia = 17%</w:t>
      </w:r>
    </w:p>
    <w:p w14:paraId="000002DE" w14:textId="77777777" w:rsidR="005D7E20" w:rsidRDefault="00507B07">
      <w:pPr>
        <w:numPr>
          <w:ilvl w:val="0"/>
          <w:numId w:val="6"/>
        </w:numPr>
        <w:pBdr>
          <w:top w:val="nil"/>
          <w:left w:val="nil"/>
          <w:bottom w:val="nil"/>
          <w:right w:val="nil"/>
          <w:between w:val="nil"/>
        </w:pBdr>
        <w:spacing w:before="120" w:after="180"/>
      </w:pPr>
      <w:r>
        <w:rPr>
          <w:color w:val="000000"/>
        </w:rPr>
        <w:t>Dry mouth = 16%</w:t>
      </w:r>
    </w:p>
    <w:p w14:paraId="000002DF"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Laboratory findings</w:t>
      </w:r>
    </w:p>
    <w:p w14:paraId="000002E0" w14:textId="77777777" w:rsidR="005D7E20" w:rsidRDefault="00507B07">
      <w:r>
        <w:t>Among patients with NSCLC treated at 400 mg once daily (n = 220), the following laboratory abnormalities were observed:</w:t>
      </w:r>
    </w:p>
    <w:p w14:paraId="000002E1" w14:textId="77777777" w:rsidR="005D7E20" w:rsidRDefault="00507B07" w:rsidP="00D63D0E">
      <w:pPr>
        <w:pStyle w:val="TableTitle"/>
      </w:pPr>
      <w:r>
        <w:lastRenderedPageBreak/>
        <w:t>Table 8: Laboratory findings</w:t>
      </w:r>
    </w:p>
    <w:p w14:paraId="000002E2" w14:textId="77777777" w:rsidR="005D7E20" w:rsidRDefault="00507B07">
      <w:r>
        <w:rPr>
          <w:noProof/>
          <w:lang w:val="en-NZ"/>
        </w:rPr>
        <w:drawing>
          <wp:inline distT="0" distB="0" distL="0" distR="0" wp14:anchorId="3C1547BC" wp14:editId="176DD4BC">
            <wp:extent cx="5046663" cy="3382148"/>
            <wp:effectExtent l="0" t="0" r="0" b="0"/>
            <wp:docPr id="52" name="image16.png" descr="Laboratory findings"/>
            <wp:cNvGraphicFramePr/>
            <a:graphic xmlns:a="http://schemas.openxmlformats.org/drawingml/2006/main">
              <a:graphicData uri="http://schemas.openxmlformats.org/drawingml/2006/picture">
                <pic:pic xmlns:pic="http://schemas.openxmlformats.org/drawingml/2006/picture">
                  <pic:nvPicPr>
                    <pic:cNvPr id="0" name="image16.png" descr="Laboratory findings"/>
                    <pic:cNvPicPr preferRelativeResize="0"/>
                  </pic:nvPicPr>
                  <pic:blipFill>
                    <a:blip r:embed="rId43"/>
                    <a:srcRect/>
                    <a:stretch>
                      <a:fillRect/>
                    </a:stretch>
                  </pic:blipFill>
                  <pic:spPr>
                    <a:xfrm>
                      <a:off x="0" y="0"/>
                      <a:ext cx="5046663" cy="3382148"/>
                    </a:xfrm>
                    <a:prstGeom prst="rect">
                      <a:avLst/>
                    </a:prstGeom>
                    <a:ln/>
                  </pic:spPr>
                </pic:pic>
              </a:graphicData>
            </a:graphic>
          </wp:inline>
        </w:drawing>
      </w:r>
    </w:p>
    <w:p w14:paraId="000002E3"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ECG findings</w:t>
      </w:r>
    </w:p>
    <w:p w14:paraId="000002E4" w14:textId="77777777" w:rsidR="005D7E20" w:rsidRDefault="00507B07">
      <w:r>
        <w:t>QT prolongation as an AE was reported in 5.3% of patients (all patients treated at 400 mg once daily).</w:t>
      </w:r>
    </w:p>
    <w:p w14:paraId="000002E5" w14:textId="77777777" w:rsidR="005D7E20" w:rsidRDefault="00507B07">
      <w:r>
        <w:t xml:space="preserve">An analysis of data from Phase II of ARROW trial was performed, consisting of 34 patients in the QT/QTc population. Analysis of the regression relationship between </w:t>
      </w:r>
      <w:proofErr w:type="spellStart"/>
      <w:r>
        <w:t>ΔQTcF</w:t>
      </w:r>
      <w:proofErr w:type="spellEnd"/>
      <w:r>
        <w:t xml:space="preserve"> and the plasma concentration of </w:t>
      </w:r>
      <w:proofErr w:type="spellStart"/>
      <w:r>
        <w:t>pralsetinib</w:t>
      </w:r>
      <w:proofErr w:type="spellEnd"/>
      <w:r>
        <w:t xml:space="preserve"> at matching times post-dose showed that </w:t>
      </w:r>
      <w:proofErr w:type="spellStart"/>
      <w:r>
        <w:t>pralsetinib</w:t>
      </w:r>
      <w:proofErr w:type="spellEnd"/>
      <w:r>
        <w:t xml:space="preserve"> had no significant effect on QT prolongation with a linear slope of -0.0003 </w:t>
      </w:r>
      <w:proofErr w:type="spellStart"/>
      <w:r>
        <w:t>ms</w:t>
      </w:r>
      <w:proofErr w:type="spellEnd"/>
      <w:r>
        <w:t xml:space="preserve">/ng/mL (p-value = 0.841), and no patients had a </w:t>
      </w:r>
      <w:proofErr w:type="spellStart"/>
      <w:r>
        <w:t>QTcF</w:t>
      </w:r>
      <w:proofErr w:type="spellEnd"/>
      <w:r>
        <w:t xml:space="preserve"> value &gt; 500ms</w:t>
      </w:r>
    </w:p>
    <w:p w14:paraId="000002E6" w14:textId="77777777" w:rsidR="005D7E20" w:rsidRDefault="00507B07">
      <w:pPr>
        <w:keepNext/>
        <w:keepLines/>
        <w:pBdr>
          <w:top w:val="nil"/>
          <w:left w:val="nil"/>
          <w:bottom w:val="nil"/>
          <w:right w:val="nil"/>
          <w:between w:val="nil"/>
        </w:pBdr>
        <w:spacing w:before="40" w:after="0"/>
        <w:rPr>
          <w:rFonts w:ascii="Calibri" w:eastAsia="Calibri" w:hAnsi="Calibri" w:cs="Calibri"/>
          <w:i/>
          <w:color w:val="1F3863"/>
        </w:rPr>
      </w:pPr>
      <w:r>
        <w:rPr>
          <w:rFonts w:ascii="Calibri" w:eastAsia="Calibri" w:hAnsi="Calibri" w:cs="Calibri"/>
          <w:i/>
          <w:color w:val="1F3863"/>
        </w:rPr>
        <w:t>Submission specific safety issues</w:t>
      </w:r>
    </w:p>
    <w:p w14:paraId="000002E7"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Pneumonia</w:t>
      </w:r>
    </w:p>
    <w:p w14:paraId="000002E8" w14:textId="77777777" w:rsidR="005D7E20" w:rsidRDefault="00507B07">
      <w:r>
        <w:t>Among all patients treated at 400 mg once daily (n = 354), pneumonia was reported in 13% of patients (n = 47):</w:t>
      </w:r>
    </w:p>
    <w:p w14:paraId="000002E9" w14:textId="77777777" w:rsidR="005D7E20" w:rsidRDefault="00507B07">
      <w:pPr>
        <w:numPr>
          <w:ilvl w:val="0"/>
          <w:numId w:val="6"/>
        </w:numPr>
        <w:pBdr>
          <w:top w:val="nil"/>
          <w:left w:val="nil"/>
          <w:bottom w:val="nil"/>
          <w:right w:val="nil"/>
          <w:between w:val="nil"/>
        </w:pBdr>
        <w:spacing w:before="120" w:after="180"/>
      </w:pPr>
      <w:r>
        <w:rPr>
          <w:color w:val="000000"/>
        </w:rPr>
        <w:t>Related to study drug = 4%</w:t>
      </w:r>
    </w:p>
    <w:p w14:paraId="000002EA" w14:textId="77777777" w:rsidR="005D7E20" w:rsidRDefault="00507B07">
      <w:pPr>
        <w:numPr>
          <w:ilvl w:val="0"/>
          <w:numId w:val="6"/>
        </w:numPr>
        <w:pBdr>
          <w:top w:val="nil"/>
          <w:left w:val="nil"/>
          <w:bottom w:val="nil"/>
          <w:right w:val="nil"/>
          <w:between w:val="nil"/>
        </w:pBdr>
        <w:spacing w:before="120" w:after="180"/>
      </w:pPr>
      <w:r>
        <w:rPr>
          <w:color w:val="000000"/>
        </w:rPr>
        <w:t>Serious grouped pneumonia events = 10%</w:t>
      </w:r>
    </w:p>
    <w:p w14:paraId="000002EB" w14:textId="77777777" w:rsidR="005D7E20" w:rsidRDefault="00507B07">
      <w:pPr>
        <w:numPr>
          <w:ilvl w:val="0"/>
          <w:numId w:val="6"/>
        </w:numPr>
        <w:pBdr>
          <w:top w:val="nil"/>
          <w:left w:val="nil"/>
          <w:bottom w:val="nil"/>
          <w:right w:val="nil"/>
          <w:between w:val="nil"/>
        </w:pBdr>
        <w:spacing w:before="120" w:after="180"/>
      </w:pPr>
      <w:r>
        <w:rPr>
          <w:color w:val="000000"/>
        </w:rPr>
        <w:t>Serious grouped pneumonia events related to study drug = 3%</w:t>
      </w:r>
    </w:p>
    <w:p w14:paraId="000002EC" w14:textId="77777777" w:rsidR="005D7E20" w:rsidRDefault="00507B07">
      <w:r>
        <w:t xml:space="preserve">In the safety population of 438 patients treated with </w:t>
      </w:r>
      <w:proofErr w:type="spellStart"/>
      <w:r>
        <w:t>pralsetinib</w:t>
      </w:r>
      <w:proofErr w:type="spellEnd"/>
      <w:r>
        <w:t xml:space="preserve"> at 400 mg once daily, the incidence of pneumonia = 14%. In those with an adverse event of pneumonia, 1.4% permanently discontinued </w:t>
      </w:r>
      <w:proofErr w:type="spellStart"/>
      <w:r>
        <w:t>pralsetinib</w:t>
      </w:r>
      <w:proofErr w:type="spellEnd"/>
      <w:r>
        <w:t>, 6% had treatment interruptions, and 1.6% had dose reductions. Five deaths due to pneumonia were reported.</w:t>
      </w:r>
    </w:p>
    <w:p w14:paraId="000002ED"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 xml:space="preserve">Pneumonitis </w:t>
      </w:r>
    </w:p>
    <w:p w14:paraId="000002EE" w14:textId="77777777" w:rsidR="005D7E20" w:rsidRDefault="00507B07">
      <w:r>
        <w:t>Among all patients treated at 400 mg once daily at initial new drug application submission (n = 354), pneumonitis was reported in 10% of patients (n = 35); 9% were related to study drug.</w:t>
      </w:r>
    </w:p>
    <w:p w14:paraId="000002EF" w14:textId="77777777" w:rsidR="005D7E20" w:rsidRDefault="00507B07">
      <w:pPr>
        <w:numPr>
          <w:ilvl w:val="0"/>
          <w:numId w:val="6"/>
        </w:numPr>
        <w:pBdr>
          <w:top w:val="nil"/>
          <w:left w:val="nil"/>
          <w:bottom w:val="nil"/>
          <w:right w:val="nil"/>
          <w:between w:val="nil"/>
        </w:pBdr>
        <w:spacing w:before="120" w:after="180"/>
      </w:pPr>
      <w:r>
        <w:rPr>
          <w:color w:val="000000"/>
        </w:rPr>
        <w:t>At least Grade 3: n = 9</w:t>
      </w:r>
    </w:p>
    <w:p w14:paraId="000002F0" w14:textId="77777777" w:rsidR="005D7E20" w:rsidRDefault="00507B07">
      <w:pPr>
        <w:numPr>
          <w:ilvl w:val="0"/>
          <w:numId w:val="6"/>
        </w:numPr>
        <w:pBdr>
          <w:top w:val="nil"/>
          <w:left w:val="nil"/>
          <w:bottom w:val="nil"/>
          <w:right w:val="nil"/>
          <w:between w:val="nil"/>
        </w:pBdr>
        <w:spacing w:before="120" w:after="180"/>
      </w:pPr>
      <w:r>
        <w:rPr>
          <w:color w:val="000000"/>
        </w:rPr>
        <w:t>Serious pneumonitis events = 4%</w:t>
      </w:r>
    </w:p>
    <w:p w14:paraId="000002F1" w14:textId="77777777" w:rsidR="005D7E20" w:rsidRDefault="00507B07">
      <w:pPr>
        <w:numPr>
          <w:ilvl w:val="0"/>
          <w:numId w:val="6"/>
        </w:numPr>
        <w:pBdr>
          <w:top w:val="nil"/>
          <w:left w:val="nil"/>
          <w:bottom w:val="nil"/>
          <w:right w:val="nil"/>
          <w:between w:val="nil"/>
        </w:pBdr>
        <w:spacing w:before="120" w:after="180"/>
      </w:pPr>
      <w:r>
        <w:rPr>
          <w:color w:val="000000"/>
        </w:rPr>
        <w:t>Serious grouped pneumonitis events related to study drug = 3%</w:t>
      </w:r>
    </w:p>
    <w:p w14:paraId="000002F2" w14:textId="77777777" w:rsidR="005D7E20" w:rsidRDefault="00507B07">
      <w:r>
        <w:lastRenderedPageBreak/>
        <w:t xml:space="preserve">In the safety population of 438 patients treated with </w:t>
      </w:r>
      <w:proofErr w:type="spellStart"/>
      <w:r>
        <w:t>pralsetinib</w:t>
      </w:r>
      <w:proofErr w:type="spellEnd"/>
      <w:r>
        <w:t xml:space="preserve"> at 400 mg once daily, the incidence of pneumonitis was 10% (n = 43):</w:t>
      </w:r>
    </w:p>
    <w:p w14:paraId="000002F3" w14:textId="77777777" w:rsidR="005D7E20" w:rsidRDefault="00507B07">
      <w:pPr>
        <w:numPr>
          <w:ilvl w:val="0"/>
          <w:numId w:val="6"/>
        </w:numPr>
        <w:pBdr>
          <w:top w:val="nil"/>
          <w:left w:val="nil"/>
          <w:bottom w:val="nil"/>
          <w:right w:val="nil"/>
          <w:between w:val="nil"/>
        </w:pBdr>
        <w:spacing w:before="120" w:after="180"/>
      </w:pPr>
      <w:r>
        <w:rPr>
          <w:color w:val="000000"/>
        </w:rPr>
        <w:t>Grade 3 to 4 events = 2.7%</w:t>
      </w:r>
    </w:p>
    <w:p w14:paraId="000002F4" w14:textId="77777777" w:rsidR="005D7E20" w:rsidRDefault="00507B07">
      <w:pPr>
        <w:numPr>
          <w:ilvl w:val="0"/>
          <w:numId w:val="6"/>
        </w:numPr>
        <w:pBdr>
          <w:top w:val="nil"/>
          <w:left w:val="nil"/>
          <w:bottom w:val="nil"/>
          <w:right w:val="nil"/>
          <w:between w:val="nil"/>
        </w:pBdr>
        <w:spacing w:before="120" w:after="180"/>
      </w:pPr>
      <w:r>
        <w:rPr>
          <w:color w:val="000000"/>
        </w:rPr>
        <w:t>Deaths attributed to pneumonitis = 0.5%</w:t>
      </w:r>
    </w:p>
    <w:p w14:paraId="000002F5" w14:textId="77777777" w:rsidR="005D7E20" w:rsidRDefault="00507B07">
      <w:r>
        <w:t xml:space="preserve">Pneumonitis/interstitial lung disease is a known serious adverse event of tyrosine kinase inhibitors (TKIs) and requires appropriate management. The sponsor was asked to complete additional analyses of patients who experienced Grade 1 to 2 pneumonitis events to explore if continuing </w:t>
      </w:r>
      <w:proofErr w:type="spellStart"/>
      <w:r>
        <w:t>pralsetinib</w:t>
      </w:r>
      <w:proofErr w:type="spellEnd"/>
      <w:r>
        <w:t xml:space="preserve"> after dose reduction would be appropriate (see following table):</w:t>
      </w:r>
    </w:p>
    <w:p w14:paraId="000002F6" w14:textId="77777777" w:rsidR="005D7E20" w:rsidRDefault="00507B07" w:rsidP="00D63D0E">
      <w:pPr>
        <w:pStyle w:val="TableTitle"/>
      </w:pPr>
      <w:r>
        <w:t xml:space="preserve">Table 9: Pneumonitis dose modifications and rechallenge for all patients treated with </w:t>
      </w:r>
      <w:proofErr w:type="spellStart"/>
      <w:r>
        <w:t>pralsetinib</w:t>
      </w:r>
      <w:proofErr w:type="spellEnd"/>
      <w:r>
        <w:t xml:space="preserve"> at 400 mg daily (N = 438)</w:t>
      </w:r>
    </w:p>
    <w:p w14:paraId="000002F7" w14:textId="77777777" w:rsidR="005D7E20" w:rsidRDefault="00507B07">
      <w:pPr>
        <w:pBdr>
          <w:top w:val="nil"/>
          <w:left w:val="nil"/>
          <w:bottom w:val="nil"/>
          <w:right w:val="nil"/>
          <w:between w:val="nil"/>
        </w:pBdr>
        <w:spacing w:after="200" w:line="240" w:lineRule="auto"/>
        <w:rPr>
          <w:i/>
          <w:color w:val="44546A"/>
          <w:sz w:val="18"/>
          <w:szCs w:val="18"/>
        </w:rPr>
      </w:pPr>
      <w:r>
        <w:rPr>
          <w:i/>
          <w:noProof/>
          <w:color w:val="44546A"/>
          <w:sz w:val="18"/>
          <w:szCs w:val="18"/>
          <w:lang w:val="en-NZ"/>
        </w:rPr>
        <w:drawing>
          <wp:inline distT="0" distB="0" distL="0" distR="0" wp14:anchorId="6B86F72D" wp14:editId="33C5731B">
            <wp:extent cx="4735000" cy="4910301"/>
            <wp:effectExtent l="0" t="0" r="0" b="0"/>
            <wp:docPr id="29" name="image12.png" descr="Pneumonitis dose modifications and rechallenge for all patients treated with pralsetinib at 400 mg daily (N = 438)"/>
            <wp:cNvGraphicFramePr/>
            <a:graphic xmlns:a="http://schemas.openxmlformats.org/drawingml/2006/main">
              <a:graphicData uri="http://schemas.openxmlformats.org/drawingml/2006/picture">
                <pic:pic xmlns:pic="http://schemas.openxmlformats.org/drawingml/2006/picture">
                  <pic:nvPicPr>
                    <pic:cNvPr id="0" name="image12.png" descr="Pneumonitis dose modifications and rechallenge for all patients treated with pralsetinib at 400 mg daily (N = 438)"/>
                    <pic:cNvPicPr preferRelativeResize="0"/>
                  </pic:nvPicPr>
                  <pic:blipFill>
                    <a:blip r:embed="rId44"/>
                    <a:srcRect t="6632" b="748"/>
                    <a:stretch>
                      <a:fillRect/>
                    </a:stretch>
                  </pic:blipFill>
                  <pic:spPr>
                    <a:xfrm>
                      <a:off x="0" y="0"/>
                      <a:ext cx="4735000" cy="4910301"/>
                    </a:xfrm>
                    <a:prstGeom prst="rect">
                      <a:avLst/>
                    </a:prstGeom>
                    <a:ln/>
                  </pic:spPr>
                </pic:pic>
              </a:graphicData>
            </a:graphic>
          </wp:inline>
        </w:drawing>
      </w:r>
    </w:p>
    <w:p w14:paraId="000002F8" w14:textId="77777777" w:rsidR="005D7E20" w:rsidRDefault="00507B07">
      <w:r>
        <w:t xml:space="preserve">Review of these results suggested that it would be acceptable to withhold </w:t>
      </w:r>
      <w:proofErr w:type="spellStart"/>
      <w:r>
        <w:t>pralsetinib</w:t>
      </w:r>
      <w:proofErr w:type="spellEnd"/>
      <w:r>
        <w:t xml:space="preserve"> until resolution of pneumonitis and re-challenge at a reduced dose if they experience Grade 1 or 2 pneumonitis; </w:t>
      </w:r>
      <w:proofErr w:type="spellStart"/>
      <w:r>
        <w:t>pralsetinib</w:t>
      </w:r>
      <w:proofErr w:type="spellEnd"/>
      <w:r>
        <w:t xml:space="preserve"> should be discontinued if pneumonitis recurs.</w:t>
      </w:r>
    </w:p>
    <w:p w14:paraId="000002F9"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 xml:space="preserve">Tumour lysis syndrome </w:t>
      </w:r>
    </w:p>
    <w:p w14:paraId="000002FA" w14:textId="77777777" w:rsidR="005D7E20" w:rsidRDefault="00507B07">
      <w:r>
        <w:t>This occurred in three patients and 2 out of 3 patients experienced a Grade 3 event.</w:t>
      </w:r>
    </w:p>
    <w:p w14:paraId="000002FB" w14:textId="77777777" w:rsidR="005D7E20" w:rsidRDefault="00507B07">
      <w:pPr>
        <w:keepNext/>
        <w:keepLines/>
        <w:pBdr>
          <w:top w:val="nil"/>
          <w:left w:val="nil"/>
          <w:bottom w:val="nil"/>
          <w:right w:val="nil"/>
          <w:between w:val="nil"/>
        </w:pBdr>
        <w:spacing w:before="40" w:after="0"/>
        <w:rPr>
          <w:rFonts w:ascii="Calibri" w:eastAsia="Calibri" w:hAnsi="Calibri" w:cs="Calibri"/>
          <w:color w:val="272727"/>
          <w:sz w:val="21"/>
          <w:szCs w:val="21"/>
        </w:rPr>
      </w:pPr>
      <w:r>
        <w:rPr>
          <w:rFonts w:ascii="Calibri" w:eastAsia="Calibri" w:hAnsi="Calibri" w:cs="Calibri"/>
          <w:color w:val="272727"/>
          <w:sz w:val="21"/>
          <w:szCs w:val="21"/>
        </w:rPr>
        <w:t>Safety analyses by demographic subgroups</w:t>
      </w:r>
    </w:p>
    <w:p w14:paraId="000002FC" w14:textId="77777777" w:rsidR="005D7E20" w:rsidRDefault="00507B07">
      <w:r>
        <w:t xml:space="preserve">The incidence of at least Grade 3 TEAEs and serious TEAEs were approximately 20% higher in the subgroup of patients age at least 65 years old than in those under 65 years of age, and the incidence of </w:t>
      </w:r>
      <w:proofErr w:type="spellStart"/>
      <w:r>
        <w:t>pralsetinib</w:t>
      </w:r>
      <w:proofErr w:type="spellEnd"/>
      <w:r>
        <w:t xml:space="preserve"> for TEAE was about 10% higher.</w:t>
      </w:r>
    </w:p>
    <w:bookmarkStart w:id="24" w:name="_Toc148339742"/>
    <w:p w14:paraId="000002FD" w14:textId="77777777" w:rsidR="005D7E20" w:rsidRDefault="00D63D0E">
      <w:pPr>
        <w:pStyle w:val="Heading3"/>
      </w:pPr>
      <w:sdt>
        <w:sdtPr>
          <w:tag w:val="goog_rdk_39"/>
          <w:id w:val="179478754"/>
        </w:sdtPr>
        <w:sdtEndPr/>
        <w:sdtContent/>
      </w:sdt>
      <w:r w:rsidR="00507B07">
        <w:t>Risk management plan</w:t>
      </w:r>
      <w:bookmarkEnd w:id="24"/>
    </w:p>
    <w:p w14:paraId="000002FE" w14:textId="77777777" w:rsidR="005D7E20" w:rsidRDefault="00507B07">
      <w:bookmarkStart w:id="25" w:name="_heading=h.3whwml4" w:colFirst="0" w:colLast="0"/>
      <w:bookmarkEnd w:id="25"/>
      <w:r>
        <w:t xml:space="preserve">The sponsor has applied to register a new chemical entity, </w:t>
      </w:r>
      <w:proofErr w:type="spellStart"/>
      <w:r>
        <w:t>pralsetinib</w:t>
      </w:r>
      <w:proofErr w:type="spellEnd"/>
      <w:r>
        <w:t xml:space="preserve"> (Gavreto) through Project Orbis and the Provisional Approval Pathway. The Regulators involved in this Project Orbis submission are US FDA, the TGA and Health Canada.</w:t>
      </w:r>
    </w:p>
    <w:p w14:paraId="000002FF" w14:textId="77777777" w:rsidR="005D7E20" w:rsidRDefault="00507B07">
      <w:r>
        <w:t xml:space="preserve">Gavreto is proposed to be used for the treatment of adult patients with </w:t>
      </w:r>
      <w:r>
        <w:rPr>
          <w:i/>
        </w:rPr>
        <w:t>RET</w:t>
      </w:r>
      <w:r>
        <w:t xml:space="preserve">-fusion positive, locally advanced or </w:t>
      </w:r>
      <w:proofErr w:type="spellStart"/>
      <w:proofErr w:type="gramStart"/>
      <w:r>
        <w:t>metastatic.The</w:t>
      </w:r>
      <w:proofErr w:type="spellEnd"/>
      <w:proofErr w:type="gramEnd"/>
      <w:r>
        <w:t xml:space="preserve"> proposed dosing regimen involves oral administration of four capsules (4 x 100 mg) once daily. The dose is the same for each indication as well as for paediatric patients (12 years and older) and adults. Patients should receive treatment with Gavreto until disease progression or unmanageable toxicity.</w:t>
      </w:r>
    </w:p>
    <w:p w14:paraId="00000300" w14:textId="77777777" w:rsidR="005D7E20" w:rsidRDefault="00507B07">
      <w:r>
        <w:t>The sponsor has submitted EU-risk management plan (RMP) version 1.0 (dated 15 September 2021; data lock point (DLP) 6 November 2020) and Australia specific annex (ASA) version 1.0 (dated 20 December 2021) in support of these applications. In its Section 31 response, the sponsor has submitted EU-RMP version 1.2 (dated 3 February 2022; DLP January 2022) and ASA version 1.1 (dated 26 August 2022) in support of its application</w:t>
      </w:r>
    </w:p>
    <w:p w14:paraId="00000301" w14:textId="77777777" w:rsidR="005D7E20" w:rsidRDefault="00507B07">
      <w:r>
        <w:t xml:space="preserve">The summary of safety concerns and their associated risk monitoring and mitigation strategies are summarised in Table 10. The TGA may request an updated RMP at any stage of a product's </w:t>
      </w:r>
      <w:proofErr w:type="gramStart"/>
      <w:r>
        <w:t>life-cycle</w:t>
      </w:r>
      <w:proofErr w:type="gramEnd"/>
      <w:r>
        <w:t>, during both the pre-approval and post-approval phases.</w:t>
      </w:r>
    </w:p>
    <w:p w14:paraId="00000302" w14:textId="77777777" w:rsidR="005D7E20" w:rsidRDefault="00507B07" w:rsidP="00D63D0E">
      <w:pPr>
        <w:pStyle w:val="TableTitle"/>
      </w:pPr>
      <w:bookmarkStart w:id="26" w:name="_heading=h.2bn6wsx" w:colFirst="0" w:colLast="0"/>
      <w:bookmarkEnd w:id="26"/>
      <w:r>
        <w:t>Table 10: Summary of safety concerns</w:t>
      </w:r>
    </w:p>
    <w:tbl>
      <w:tblPr>
        <w:tblStyle w:val="TableTGAblue2023"/>
        <w:tblW w:w="5000" w:type="pct"/>
        <w:tblLook w:val="04A0" w:firstRow="1" w:lastRow="0" w:firstColumn="1" w:lastColumn="0" w:noHBand="0" w:noVBand="1"/>
      </w:tblPr>
      <w:tblGrid>
        <w:gridCol w:w="1438"/>
        <w:gridCol w:w="3306"/>
        <w:gridCol w:w="957"/>
        <w:gridCol w:w="1201"/>
        <w:gridCol w:w="957"/>
        <w:gridCol w:w="1201"/>
      </w:tblGrid>
      <w:tr w:rsidR="005D7E20" w:rsidRPr="001823C5" w14:paraId="215F0691" w14:textId="77777777" w:rsidTr="001823C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00000303" w14:textId="77777777" w:rsidR="005D7E20" w:rsidRPr="001823C5" w:rsidRDefault="00507B07">
            <w:pPr>
              <w:pBdr>
                <w:top w:val="nil"/>
                <w:left w:val="nil"/>
                <w:bottom w:val="nil"/>
                <w:right w:val="nil"/>
                <w:between w:val="nil"/>
              </w:pBdr>
              <w:spacing w:before="20" w:after="20" w:line="252" w:lineRule="auto"/>
              <w:ind w:left="0"/>
              <w:rPr>
                <w:rFonts w:ascii="Cambria" w:hAnsi="Cambria"/>
                <w:szCs w:val="22"/>
              </w:rPr>
            </w:pPr>
            <w:r w:rsidRPr="001823C5">
              <w:rPr>
                <w:rFonts w:ascii="Cambria" w:hAnsi="Cambria" w:cs="Cambria"/>
                <w:b w:val="0"/>
                <w:color w:val="000000"/>
                <w:szCs w:val="22"/>
              </w:rPr>
              <w:t>Summary of safety concerns</w:t>
            </w:r>
          </w:p>
        </w:tc>
        <w:tc>
          <w:tcPr>
            <w:tcW w:w="1142" w:type="pct"/>
            <w:gridSpan w:val="2"/>
          </w:tcPr>
          <w:p w14:paraId="00000305" w14:textId="77777777" w:rsidR="005D7E20" w:rsidRPr="001823C5" w:rsidRDefault="00507B07">
            <w:pPr>
              <w:pBdr>
                <w:top w:val="nil"/>
                <w:left w:val="nil"/>
                <w:bottom w:val="nil"/>
                <w:right w:val="nil"/>
                <w:between w:val="nil"/>
              </w:pBdr>
              <w:spacing w:before="20" w:after="20" w:line="252" w:lineRule="auto"/>
              <w:ind w:left="0"/>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cs="Cambria"/>
                <w:b w:val="0"/>
                <w:color w:val="000000"/>
                <w:szCs w:val="22"/>
              </w:rPr>
              <w:t>Pharmacovigilance</w:t>
            </w:r>
          </w:p>
        </w:tc>
        <w:tc>
          <w:tcPr>
            <w:tcW w:w="1142" w:type="pct"/>
            <w:gridSpan w:val="2"/>
          </w:tcPr>
          <w:p w14:paraId="00000307" w14:textId="77777777" w:rsidR="005D7E20" w:rsidRPr="001823C5" w:rsidRDefault="00507B07">
            <w:pPr>
              <w:pBdr>
                <w:top w:val="nil"/>
                <w:left w:val="nil"/>
                <w:bottom w:val="nil"/>
                <w:right w:val="nil"/>
                <w:between w:val="nil"/>
              </w:pBdr>
              <w:spacing w:before="20" w:after="20" w:line="252" w:lineRule="auto"/>
              <w:ind w:left="0"/>
              <w:cnfStyle w:val="100000000000" w:firstRow="1" w:lastRow="0" w:firstColumn="0" w:lastColumn="0" w:oddVBand="0" w:evenVBand="0" w:oddHBand="0" w:evenHBand="0" w:firstRowFirstColumn="0" w:firstRowLastColumn="0" w:lastRowFirstColumn="0" w:lastRowLastColumn="0"/>
              <w:rPr>
                <w:rFonts w:ascii="Cambria" w:hAnsi="Cambria"/>
                <w:szCs w:val="22"/>
              </w:rPr>
            </w:pPr>
            <w:r w:rsidRPr="001823C5">
              <w:rPr>
                <w:rFonts w:ascii="Cambria" w:hAnsi="Cambria" w:cs="Cambria"/>
                <w:b w:val="0"/>
                <w:color w:val="000000"/>
                <w:szCs w:val="22"/>
              </w:rPr>
              <w:t>Risk Minimisation</w:t>
            </w:r>
          </w:p>
        </w:tc>
      </w:tr>
      <w:tr w:rsidR="005D7E20" w:rsidRPr="001823C5" w14:paraId="558BBEC4" w14:textId="77777777" w:rsidTr="001823C5">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00000309"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516" w:type="pct"/>
          </w:tcPr>
          <w:p w14:paraId="0000030B"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Routine</w:t>
            </w:r>
          </w:p>
        </w:tc>
        <w:tc>
          <w:tcPr>
            <w:tcW w:w="626" w:type="pct"/>
          </w:tcPr>
          <w:p w14:paraId="0000030C"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Additional</w:t>
            </w:r>
          </w:p>
        </w:tc>
        <w:tc>
          <w:tcPr>
            <w:tcW w:w="516" w:type="pct"/>
          </w:tcPr>
          <w:p w14:paraId="0000030D"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Routine</w:t>
            </w:r>
          </w:p>
        </w:tc>
        <w:tc>
          <w:tcPr>
            <w:tcW w:w="626" w:type="pct"/>
          </w:tcPr>
          <w:p w14:paraId="0000030E"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Additional</w:t>
            </w:r>
          </w:p>
        </w:tc>
      </w:tr>
      <w:tr w:rsidR="005D7E20" w:rsidRPr="001823C5" w14:paraId="6D225A17" w14:textId="77777777" w:rsidTr="001823C5">
        <w:trPr>
          <w:trHeight w:val="137"/>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0000030F" w14:textId="77777777" w:rsidR="005D7E20" w:rsidRPr="001823C5" w:rsidRDefault="00507B07">
            <w:pPr>
              <w:pBdr>
                <w:top w:val="nil"/>
                <w:left w:val="nil"/>
                <w:bottom w:val="nil"/>
                <w:right w:val="nil"/>
                <w:between w:val="nil"/>
              </w:pBdr>
              <w:spacing w:before="20" w:after="20" w:line="252" w:lineRule="auto"/>
              <w:ind w:left="0"/>
              <w:rPr>
                <w:rFonts w:ascii="Cambria" w:hAnsi="Cambria"/>
                <w:b/>
                <w:sz w:val="22"/>
                <w:szCs w:val="22"/>
              </w:rPr>
            </w:pPr>
            <w:r w:rsidRPr="001823C5">
              <w:rPr>
                <w:rFonts w:ascii="Cambria" w:hAnsi="Cambria"/>
                <w:b/>
                <w:sz w:val="22"/>
                <w:szCs w:val="22"/>
              </w:rPr>
              <w:t>Important identified risks</w:t>
            </w:r>
          </w:p>
        </w:tc>
        <w:tc>
          <w:tcPr>
            <w:tcW w:w="1921" w:type="pct"/>
          </w:tcPr>
          <w:p w14:paraId="00000310"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Pneumonitis</w:t>
            </w:r>
          </w:p>
        </w:tc>
        <w:tc>
          <w:tcPr>
            <w:tcW w:w="516" w:type="pct"/>
          </w:tcPr>
          <w:p w14:paraId="00000311"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12"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13"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14"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59E70BFB" w14:textId="77777777" w:rsidTr="001823C5">
        <w:trPr>
          <w:trHeight w:val="94"/>
        </w:trPr>
        <w:tc>
          <w:tcPr>
            <w:cnfStyle w:val="001000000000" w:firstRow="0" w:lastRow="0" w:firstColumn="1" w:lastColumn="0" w:oddVBand="0" w:evenVBand="0" w:oddHBand="0" w:evenHBand="0" w:firstRowFirstColumn="0" w:firstRowLastColumn="0" w:lastRowFirstColumn="0" w:lastRowLastColumn="0"/>
            <w:tcW w:w="795" w:type="pct"/>
            <w:vMerge/>
          </w:tcPr>
          <w:p w14:paraId="00000315"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16"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Hypertension</w:t>
            </w:r>
          </w:p>
        </w:tc>
        <w:tc>
          <w:tcPr>
            <w:tcW w:w="516" w:type="pct"/>
          </w:tcPr>
          <w:p w14:paraId="00000317"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18"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19"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1A"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0FC37E1E" w14:textId="77777777" w:rsidTr="001823C5">
        <w:trPr>
          <w:trHeight w:val="94"/>
        </w:trPr>
        <w:tc>
          <w:tcPr>
            <w:cnfStyle w:val="001000000000" w:firstRow="0" w:lastRow="0" w:firstColumn="1" w:lastColumn="0" w:oddVBand="0" w:evenVBand="0" w:oddHBand="0" w:evenHBand="0" w:firstRowFirstColumn="0" w:firstRowLastColumn="0" w:lastRowFirstColumn="0" w:lastRowLastColumn="0"/>
            <w:tcW w:w="795" w:type="pct"/>
            <w:vMerge/>
          </w:tcPr>
          <w:p w14:paraId="0000031B"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1C"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Haemorrhage</w:t>
            </w:r>
          </w:p>
        </w:tc>
        <w:tc>
          <w:tcPr>
            <w:tcW w:w="516" w:type="pct"/>
          </w:tcPr>
          <w:p w14:paraId="0000031D"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1E"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1F"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20"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59CA07E2" w14:textId="77777777" w:rsidTr="001823C5">
        <w:trPr>
          <w:trHeight w:val="187"/>
        </w:trPr>
        <w:tc>
          <w:tcPr>
            <w:cnfStyle w:val="001000000000" w:firstRow="0" w:lastRow="0" w:firstColumn="1" w:lastColumn="0" w:oddVBand="0" w:evenVBand="0" w:oddHBand="0" w:evenHBand="0" w:firstRowFirstColumn="0" w:firstRowLastColumn="0" w:lastRowFirstColumn="0" w:lastRowLastColumn="0"/>
            <w:tcW w:w="795" w:type="pct"/>
            <w:vMerge/>
          </w:tcPr>
          <w:p w14:paraId="00000321"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22"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Transaminase Elevations</w:t>
            </w:r>
          </w:p>
        </w:tc>
        <w:tc>
          <w:tcPr>
            <w:tcW w:w="516" w:type="pct"/>
          </w:tcPr>
          <w:p w14:paraId="00000323"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24"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25"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26"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369D51C7" w14:textId="77777777" w:rsidTr="001823C5">
        <w:trPr>
          <w:trHeight w:val="159"/>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00000327" w14:textId="77777777" w:rsidR="005D7E20" w:rsidRPr="001823C5" w:rsidRDefault="00507B07">
            <w:pPr>
              <w:pBdr>
                <w:top w:val="nil"/>
                <w:left w:val="nil"/>
                <w:bottom w:val="nil"/>
                <w:right w:val="nil"/>
                <w:between w:val="nil"/>
              </w:pBdr>
              <w:spacing w:before="20" w:after="20" w:line="252" w:lineRule="auto"/>
              <w:ind w:left="0"/>
              <w:rPr>
                <w:rFonts w:ascii="Cambria" w:hAnsi="Cambria"/>
                <w:b/>
                <w:sz w:val="22"/>
                <w:szCs w:val="22"/>
              </w:rPr>
            </w:pPr>
            <w:r w:rsidRPr="001823C5">
              <w:rPr>
                <w:rFonts w:ascii="Cambria" w:hAnsi="Cambria"/>
                <w:b/>
                <w:sz w:val="22"/>
                <w:szCs w:val="22"/>
              </w:rPr>
              <w:t>Important potential risks</w:t>
            </w:r>
          </w:p>
        </w:tc>
        <w:tc>
          <w:tcPr>
            <w:tcW w:w="1921" w:type="pct"/>
          </w:tcPr>
          <w:p w14:paraId="00000328"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Embryo-foetal toxicity</w:t>
            </w:r>
          </w:p>
        </w:tc>
        <w:tc>
          <w:tcPr>
            <w:tcW w:w="516" w:type="pct"/>
          </w:tcPr>
          <w:p w14:paraId="00000329"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2A"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2B"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2C"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4C570F9E" w14:textId="77777777" w:rsidTr="001823C5">
        <w:trPr>
          <w:trHeight w:val="122"/>
        </w:trPr>
        <w:tc>
          <w:tcPr>
            <w:cnfStyle w:val="001000000000" w:firstRow="0" w:lastRow="0" w:firstColumn="1" w:lastColumn="0" w:oddVBand="0" w:evenVBand="0" w:oddHBand="0" w:evenHBand="0" w:firstRowFirstColumn="0" w:firstRowLastColumn="0" w:lastRowFirstColumn="0" w:lastRowLastColumn="0"/>
            <w:tcW w:w="795" w:type="pct"/>
            <w:vMerge/>
          </w:tcPr>
          <w:p w14:paraId="0000032D"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2E"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Severe Infections</w:t>
            </w:r>
          </w:p>
        </w:tc>
        <w:tc>
          <w:tcPr>
            <w:tcW w:w="516" w:type="pct"/>
          </w:tcPr>
          <w:p w14:paraId="0000032F"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0"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31"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2"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42FEEF73" w14:textId="77777777" w:rsidTr="001823C5">
        <w:trPr>
          <w:trHeight w:val="112"/>
        </w:trPr>
        <w:tc>
          <w:tcPr>
            <w:cnfStyle w:val="001000000000" w:firstRow="0" w:lastRow="0" w:firstColumn="1" w:lastColumn="0" w:oddVBand="0" w:evenVBand="0" w:oddHBand="0" w:evenHBand="0" w:firstRowFirstColumn="0" w:firstRowLastColumn="0" w:lastRowFirstColumn="0" w:lastRowLastColumn="0"/>
            <w:tcW w:w="795" w:type="pct"/>
            <w:vMerge/>
          </w:tcPr>
          <w:p w14:paraId="00000333"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34"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QT prolongation</w:t>
            </w:r>
          </w:p>
        </w:tc>
        <w:tc>
          <w:tcPr>
            <w:tcW w:w="516" w:type="pct"/>
          </w:tcPr>
          <w:p w14:paraId="00000335"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6"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c>
          <w:tcPr>
            <w:tcW w:w="516" w:type="pct"/>
          </w:tcPr>
          <w:p w14:paraId="00000337"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8"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4934DA74" w14:textId="77777777" w:rsidTr="001823C5">
        <w:trPr>
          <w:trHeight w:val="178"/>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00000339" w14:textId="77777777" w:rsidR="005D7E20" w:rsidRPr="001823C5" w:rsidRDefault="00507B07">
            <w:pPr>
              <w:pBdr>
                <w:top w:val="nil"/>
                <w:left w:val="nil"/>
                <w:bottom w:val="nil"/>
                <w:right w:val="nil"/>
                <w:between w:val="nil"/>
              </w:pBdr>
              <w:spacing w:before="20" w:after="20" w:line="252" w:lineRule="auto"/>
              <w:ind w:left="0"/>
              <w:rPr>
                <w:rFonts w:ascii="Cambria" w:hAnsi="Cambria"/>
                <w:b/>
                <w:sz w:val="22"/>
                <w:szCs w:val="22"/>
              </w:rPr>
            </w:pPr>
            <w:r w:rsidRPr="001823C5">
              <w:rPr>
                <w:rFonts w:ascii="Cambria" w:hAnsi="Cambria"/>
                <w:b/>
                <w:sz w:val="22"/>
                <w:szCs w:val="22"/>
              </w:rPr>
              <w:t>Missing information</w:t>
            </w:r>
          </w:p>
        </w:tc>
        <w:tc>
          <w:tcPr>
            <w:tcW w:w="1921" w:type="pct"/>
          </w:tcPr>
          <w:p w14:paraId="0000033A"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Use in patients with severe hepatic impairment</w:t>
            </w:r>
          </w:p>
        </w:tc>
        <w:tc>
          <w:tcPr>
            <w:tcW w:w="516" w:type="pct"/>
          </w:tcPr>
          <w:p w14:paraId="0000033B"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C"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r w:rsidRPr="001823C5">
              <w:rPr>
                <w:rFonts w:ascii="Cambria" w:hAnsi="Cambria"/>
                <w:sz w:val="22"/>
                <w:szCs w:val="22"/>
              </w:rPr>
              <w:t>*</w:t>
            </w:r>
          </w:p>
        </w:tc>
        <w:tc>
          <w:tcPr>
            <w:tcW w:w="516" w:type="pct"/>
          </w:tcPr>
          <w:p w14:paraId="0000033D"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3E"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r w:rsidR="005D7E20" w:rsidRPr="001823C5" w14:paraId="0BAD7F84" w14:textId="77777777" w:rsidTr="001823C5">
        <w:trPr>
          <w:trHeight w:val="140"/>
        </w:trPr>
        <w:tc>
          <w:tcPr>
            <w:cnfStyle w:val="001000000000" w:firstRow="0" w:lastRow="0" w:firstColumn="1" w:lastColumn="0" w:oddVBand="0" w:evenVBand="0" w:oddHBand="0" w:evenHBand="0" w:firstRowFirstColumn="0" w:firstRowLastColumn="0" w:lastRowFirstColumn="0" w:lastRowLastColumn="0"/>
            <w:tcW w:w="795" w:type="pct"/>
            <w:vMerge/>
          </w:tcPr>
          <w:p w14:paraId="0000033F" w14:textId="77777777" w:rsidR="005D7E20" w:rsidRPr="001823C5" w:rsidRDefault="005D7E20">
            <w:pPr>
              <w:widowControl w:val="0"/>
              <w:pBdr>
                <w:top w:val="nil"/>
                <w:left w:val="nil"/>
                <w:bottom w:val="nil"/>
                <w:right w:val="nil"/>
                <w:between w:val="nil"/>
              </w:pBdr>
              <w:spacing w:before="0" w:line="276" w:lineRule="auto"/>
              <w:ind w:left="0"/>
              <w:rPr>
                <w:rFonts w:ascii="Cambria" w:hAnsi="Cambria"/>
                <w:sz w:val="22"/>
                <w:szCs w:val="22"/>
              </w:rPr>
            </w:pPr>
          </w:p>
        </w:tc>
        <w:tc>
          <w:tcPr>
            <w:tcW w:w="1921" w:type="pct"/>
          </w:tcPr>
          <w:p w14:paraId="00000340" w14:textId="77777777" w:rsidR="005D7E20" w:rsidRPr="001823C5" w:rsidRDefault="00507B07">
            <w:pPr>
              <w:pBdr>
                <w:top w:val="nil"/>
                <w:left w:val="nil"/>
                <w:bottom w:val="nil"/>
                <w:right w:val="nil"/>
                <w:between w:val="nil"/>
              </w:pBdr>
              <w:spacing w:before="20" w:after="20" w:line="252" w:lineRule="auto"/>
              <w:ind w:left="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Drug-drug Interactions</w:t>
            </w:r>
          </w:p>
        </w:tc>
        <w:tc>
          <w:tcPr>
            <w:tcW w:w="516" w:type="pct"/>
          </w:tcPr>
          <w:p w14:paraId="00000341"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42"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r w:rsidRPr="001823C5">
              <w:rPr>
                <w:rFonts w:ascii="Cambria" w:eastAsia="Calibri" w:hAnsi="Cambria" w:cs="Calibri"/>
                <w:sz w:val="22"/>
                <w:szCs w:val="22"/>
              </w:rPr>
              <w:t>†</w:t>
            </w:r>
          </w:p>
        </w:tc>
        <w:tc>
          <w:tcPr>
            <w:tcW w:w="516" w:type="pct"/>
          </w:tcPr>
          <w:p w14:paraId="00000343"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Segoe UI Symbol" w:eastAsia="Wingdings" w:hAnsi="Segoe UI Symbol" w:cs="Segoe UI Symbol"/>
                <w:sz w:val="22"/>
                <w:szCs w:val="22"/>
              </w:rPr>
              <w:t>✔</w:t>
            </w:r>
          </w:p>
        </w:tc>
        <w:tc>
          <w:tcPr>
            <w:tcW w:w="626" w:type="pct"/>
          </w:tcPr>
          <w:p w14:paraId="00000344" w14:textId="77777777" w:rsidR="005D7E20" w:rsidRPr="001823C5" w:rsidRDefault="00507B07">
            <w:pPr>
              <w:pBdr>
                <w:top w:val="nil"/>
                <w:left w:val="nil"/>
                <w:bottom w:val="nil"/>
                <w:right w:val="nil"/>
                <w:between w:val="nil"/>
              </w:pBdr>
              <w:spacing w:before="20" w:after="20" w:line="252" w:lineRule="auto"/>
              <w:ind w:left="0"/>
              <w:jc w:val="cente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823C5">
              <w:rPr>
                <w:rFonts w:ascii="Cambria" w:hAnsi="Cambria"/>
                <w:sz w:val="22"/>
                <w:szCs w:val="22"/>
              </w:rPr>
              <w:t>–</w:t>
            </w:r>
          </w:p>
        </w:tc>
      </w:tr>
    </w:tbl>
    <w:p w14:paraId="00000345" w14:textId="77777777" w:rsidR="005D7E20" w:rsidRPr="001823C5" w:rsidRDefault="00507B07" w:rsidP="001823C5">
      <w:pPr>
        <w:pStyle w:val="TableDescription"/>
      </w:pPr>
      <w:r w:rsidRPr="001823C5">
        <w:t>*Study GP43163</w:t>
      </w:r>
    </w:p>
    <w:p w14:paraId="00000346" w14:textId="77777777" w:rsidR="005D7E20" w:rsidRPr="001823C5" w:rsidRDefault="00507B07" w:rsidP="001823C5">
      <w:pPr>
        <w:pStyle w:val="TableDescription"/>
      </w:pPr>
      <w:r w:rsidRPr="001823C5">
        <w:t>†Study GP43162</w:t>
      </w:r>
    </w:p>
    <w:p w14:paraId="00000347" w14:textId="77777777" w:rsidR="005D7E20" w:rsidRDefault="00507B07">
      <w:r>
        <w:t>No new safety concerns have been identified and the summary of safety concerns is acceptable.</w:t>
      </w:r>
    </w:p>
    <w:p w14:paraId="00000348" w14:textId="77777777" w:rsidR="005D7E20" w:rsidRDefault="00507B07">
      <w:r>
        <w:t>Routine and additional pharmacovigilance activities are proposed. Additional pharmacovigilance activities include a drug-drug interaction study (Study GP43162) and a pharmacokinetic study in patients with severe hepatic impairment (Study GP43163). This will provide information on the Missing Information (as listed in the table above). This is acceptable.</w:t>
      </w:r>
    </w:p>
    <w:p w14:paraId="00000349" w14:textId="77777777" w:rsidR="005D7E20" w:rsidRDefault="00507B07">
      <w:r>
        <w:t xml:space="preserve">Routine risk minimisation activities only are proposed which is acceptable as </w:t>
      </w:r>
      <w:proofErr w:type="spellStart"/>
      <w:r>
        <w:t>pralsetinib</w:t>
      </w:r>
      <w:proofErr w:type="spellEnd"/>
      <w:r>
        <w:t xml:space="preserve"> is an oral medicine prescribed by specialists.</w:t>
      </w:r>
    </w:p>
    <w:p w14:paraId="0000034A" w14:textId="77777777" w:rsidR="005D7E20" w:rsidRDefault="00507B07">
      <w:pPr>
        <w:pStyle w:val="Heading4"/>
      </w:pPr>
      <w:bookmarkStart w:id="27" w:name="_Toc148339743"/>
      <w:r>
        <w:lastRenderedPageBreak/>
        <w:t>Proposed wording for condition of registration</w:t>
      </w:r>
      <w:bookmarkEnd w:id="27"/>
    </w:p>
    <w:p w14:paraId="0000034B" w14:textId="77777777" w:rsidR="005D7E20" w:rsidRDefault="00507B07">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0000034C" w14:textId="77777777" w:rsidR="005D7E20" w:rsidRDefault="00507B07">
      <w:r>
        <w:t xml:space="preserve">The suggested wording is: </w:t>
      </w:r>
    </w:p>
    <w:p w14:paraId="0000034D" w14:textId="77777777" w:rsidR="005D7E20" w:rsidRDefault="00507B07">
      <w:pPr>
        <w:ind w:left="720"/>
      </w:pPr>
      <w:r>
        <w:t>‘The Gavreto EU-Risk Management Plan (RMP) (version 1.2, dated 3 February 2022 data lock point January 2022), with Australian Specific Annex (version 1.1, dated 26 August 2022), included with submission PM-2021-05760-1-4; PM-2021-05761-1-4 and PM-2021-05762-1-4, and any subsequent revisions, as agreed with the TGA will be implemented in Australia.’</w:t>
      </w:r>
    </w:p>
    <w:p w14:paraId="0000034E" w14:textId="77777777" w:rsidR="005D7E20" w:rsidRDefault="00507B07">
      <w:r>
        <w:t>The following wording is recommended for the PSUR requirement:</w:t>
      </w:r>
    </w:p>
    <w:p w14:paraId="0000034F" w14:textId="77777777" w:rsidR="005D7E20" w:rsidRDefault="00507B07">
      <w:pPr>
        <w:ind w:left="720"/>
      </w:pPr>
      <w:r>
        <w:t>‘An obligatory component of risk management plans is routine pharmacovigilance. Routine pharmacovigilance includes the submission of periodic safety update reports (PSURs).</w:t>
      </w:r>
    </w:p>
    <w:p w14:paraId="00000350" w14:textId="77777777" w:rsidR="005D7E20" w:rsidRDefault="00507B07">
      <w:pPr>
        <w:ind w:left="720"/>
      </w:pPr>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00000351" w14:textId="77777777" w:rsidR="005D7E20" w:rsidRDefault="00507B07">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0000352" w14:textId="77777777" w:rsidR="005D7E20" w:rsidRDefault="00507B07">
      <w:r>
        <w:t>As Gavreto is being considered for a provisional registration it should be included in the Black Triangle Scheme as a condition of registration. The following wording is recommended for the condition of registration:</w:t>
      </w:r>
    </w:p>
    <w:p w14:paraId="00000353" w14:textId="77777777" w:rsidR="005D7E20" w:rsidRDefault="00507B07">
      <w:pPr>
        <w:ind w:left="720"/>
      </w:pPr>
      <w:r>
        <w:t>‘Gavreto (</w:t>
      </w:r>
      <w:proofErr w:type="spellStart"/>
      <w:r>
        <w:t>pralsetinib</w:t>
      </w:r>
      <w:proofErr w:type="spellEnd"/>
      <w:r>
        <w:t>) is to be included in the Black Triangle Scheme. The PI and CMI for Gavreto must include the black triangle symbol and mandatory accompanying text for five years, or the product’s entire period of provisional registration, whichever is longer.’</w:t>
      </w:r>
    </w:p>
    <w:p w14:paraId="00000354" w14:textId="77777777" w:rsidR="005D7E20" w:rsidRDefault="00507B07">
      <w:r>
        <w:t>As Gavreto is being considered for a provisional registration, confirmatory trial data is recommended for the condition of registration. The following wording based on the proposed clinical study plan is provided as a preliminary suggestion for the TGA Delegate to consider. The final condition of registration is to be determined by the TGA Delegate:</w:t>
      </w:r>
    </w:p>
    <w:p w14:paraId="00000355" w14:textId="77777777" w:rsidR="005D7E20" w:rsidRDefault="00507B07">
      <w:pPr>
        <w:ind w:left="360"/>
      </w:pPr>
      <w:r>
        <w:t>‘</w:t>
      </w:r>
      <w:proofErr w:type="gramStart"/>
      <w:r>
        <w:t>Specifically</w:t>
      </w:r>
      <w:proofErr w:type="gramEnd"/>
      <w:r>
        <w:t xml:space="preserve"> the sponsor must conduct studies as described in the clinical study plan in version 1.1 (dated 26 August 2022) of the Australia specific annex. The following study report(s) should be submitted to TGA:</w:t>
      </w:r>
    </w:p>
    <w:p w14:paraId="00000356" w14:textId="77777777" w:rsidR="005D7E20" w:rsidRDefault="00507B07">
      <w:pPr>
        <w:numPr>
          <w:ilvl w:val="0"/>
          <w:numId w:val="6"/>
        </w:numPr>
        <w:pBdr>
          <w:top w:val="nil"/>
          <w:left w:val="nil"/>
          <w:bottom w:val="nil"/>
          <w:right w:val="nil"/>
          <w:between w:val="nil"/>
        </w:pBdr>
        <w:spacing w:before="120" w:after="180"/>
        <w:ind w:left="720"/>
      </w:pPr>
      <w:r>
        <w:rPr>
          <w:color w:val="000000"/>
        </w:rPr>
        <w:t>ARROW trial (Study BO42863) by fourth quarter of 2022</w:t>
      </w:r>
    </w:p>
    <w:p w14:paraId="00000357" w14:textId="77777777" w:rsidR="005D7E20" w:rsidRDefault="00507B07">
      <w:pPr>
        <w:numPr>
          <w:ilvl w:val="0"/>
          <w:numId w:val="6"/>
        </w:numPr>
        <w:pBdr>
          <w:top w:val="nil"/>
          <w:left w:val="nil"/>
          <w:bottom w:val="nil"/>
          <w:right w:val="nil"/>
          <w:between w:val="nil"/>
        </w:pBdr>
        <w:spacing w:before="120" w:after="180"/>
        <w:ind w:left="720"/>
      </w:pPr>
      <w:proofErr w:type="spellStart"/>
      <w:r>
        <w:rPr>
          <w:color w:val="000000"/>
        </w:rPr>
        <w:t>AcceleRET</w:t>
      </w:r>
      <w:proofErr w:type="spellEnd"/>
      <w:r>
        <w:rPr>
          <w:color w:val="000000"/>
        </w:rPr>
        <w:t>-Lung by fourth quarter of 2026</w:t>
      </w:r>
    </w:p>
    <w:p w14:paraId="00000358" w14:textId="77777777" w:rsidR="005D7E20" w:rsidRDefault="00507B07">
      <w:pPr>
        <w:numPr>
          <w:ilvl w:val="0"/>
          <w:numId w:val="6"/>
        </w:numPr>
        <w:pBdr>
          <w:top w:val="nil"/>
          <w:left w:val="nil"/>
          <w:bottom w:val="nil"/>
          <w:right w:val="nil"/>
          <w:between w:val="nil"/>
        </w:pBdr>
        <w:spacing w:before="120" w:after="180"/>
        <w:ind w:left="720"/>
      </w:pPr>
      <w:proofErr w:type="spellStart"/>
      <w:r>
        <w:rPr>
          <w:color w:val="000000"/>
        </w:rPr>
        <w:t>AcceleRET</w:t>
      </w:r>
      <w:proofErr w:type="spellEnd"/>
      <w:r>
        <w:rPr>
          <w:color w:val="000000"/>
        </w:rPr>
        <w:t>-MTC Study by fourth quarter of 2028</w:t>
      </w:r>
    </w:p>
    <w:p w14:paraId="00000359" w14:textId="77777777" w:rsidR="005D7E20" w:rsidRDefault="00507B07">
      <w:pPr>
        <w:numPr>
          <w:ilvl w:val="0"/>
          <w:numId w:val="6"/>
        </w:numPr>
        <w:pBdr>
          <w:top w:val="nil"/>
          <w:left w:val="nil"/>
          <w:bottom w:val="nil"/>
          <w:right w:val="nil"/>
          <w:between w:val="nil"/>
        </w:pBdr>
        <w:spacing w:before="120" w:after="180"/>
        <w:ind w:left="720"/>
      </w:pPr>
      <w:r>
        <w:rPr>
          <w:color w:val="000000"/>
        </w:rPr>
        <w:t xml:space="preserve">TAPISTRY (Tumour-Agnostic Precision Immuno-Oncology and Somatic Targeting Rational </w:t>
      </w:r>
      <w:proofErr w:type="gramStart"/>
      <w:r>
        <w:rPr>
          <w:color w:val="000000"/>
        </w:rPr>
        <w:t>For</w:t>
      </w:r>
      <w:proofErr w:type="gramEnd"/>
      <w:r>
        <w:rPr>
          <w:color w:val="000000"/>
        </w:rPr>
        <w:t xml:space="preserve"> You) by second quarter of 2025</w:t>
      </w:r>
    </w:p>
    <w:p w14:paraId="0000035A" w14:textId="7C3FF41E" w:rsidR="005D7E20" w:rsidRDefault="00507B07">
      <w:pPr>
        <w:ind w:firstLine="360"/>
      </w:pPr>
      <w:r>
        <w:lastRenderedPageBreak/>
        <w:t xml:space="preserve">Further </w:t>
      </w:r>
      <w:hyperlink r:id="rId45">
        <w:r>
          <w:rPr>
            <w:color w:val="0000FF"/>
            <w:u w:val="single"/>
          </w:rPr>
          <w:t>guidance</w:t>
        </w:r>
      </w:hyperlink>
      <w:r>
        <w:t xml:space="preserve"> for sponsors is available on the TGA website.’</w:t>
      </w:r>
    </w:p>
    <w:p w14:paraId="0000035B" w14:textId="77777777" w:rsidR="005D7E20" w:rsidRDefault="00507B07">
      <w:pPr>
        <w:pStyle w:val="Heading3"/>
      </w:pPr>
      <w:bookmarkStart w:id="28" w:name="_Toc148339744"/>
      <w:r>
        <w:t>Risk-benefit analysis</w:t>
      </w:r>
      <w:bookmarkEnd w:id="28"/>
    </w:p>
    <w:p w14:paraId="0000035C" w14:textId="77777777" w:rsidR="005D7E20" w:rsidRDefault="00507B07">
      <w:pPr>
        <w:pStyle w:val="Heading4"/>
      </w:pPr>
      <w:bookmarkStart w:id="29" w:name="_Toc148339745"/>
      <w:r>
        <w:t>Delegate’s considerations</w:t>
      </w:r>
      <w:bookmarkEnd w:id="29"/>
    </w:p>
    <w:p w14:paraId="0000035D" w14:textId="77777777" w:rsidR="005D7E20" w:rsidRDefault="00507B07">
      <w:pPr>
        <w:pStyle w:val="Heading5"/>
      </w:pPr>
      <w:r>
        <w:t>Proposed indication</w:t>
      </w:r>
    </w:p>
    <w:p w14:paraId="0000035E" w14:textId="77777777" w:rsidR="005D7E20" w:rsidRDefault="00507B07">
      <w:r>
        <w:t>The sponsor proposes to register a new therapeutic entity under the provisional approval pathway for the following:</w:t>
      </w:r>
    </w:p>
    <w:p w14:paraId="0000035F" w14:textId="77777777" w:rsidR="005D7E20" w:rsidRDefault="00507B07">
      <w:pPr>
        <w:ind w:left="720"/>
        <w:rPr>
          <w:i/>
        </w:rPr>
      </w:pPr>
      <w:r>
        <w:rPr>
          <w:i/>
        </w:rPr>
        <w:t xml:space="preserve">For the treatment of adult patients with RET-fusion positive, locally </w:t>
      </w:r>
      <w:proofErr w:type="gramStart"/>
      <w:r>
        <w:rPr>
          <w:i/>
        </w:rPr>
        <w:t>advanced</w:t>
      </w:r>
      <w:proofErr w:type="gramEnd"/>
      <w:r>
        <w:rPr>
          <w:i/>
        </w:rPr>
        <w:t xml:space="preserve"> or metastatic NSCLC.</w:t>
      </w:r>
    </w:p>
    <w:p w14:paraId="00000360" w14:textId="2D134A2F" w:rsidR="005D7E20" w:rsidRDefault="00507B07">
      <w:pPr>
        <w:pStyle w:val="Heading5"/>
      </w:pPr>
      <w:r>
        <w:t>Benefits/Uncertainties of benefit</w:t>
      </w:r>
    </w:p>
    <w:p w14:paraId="00000361" w14:textId="77777777" w:rsidR="005D7E20" w:rsidRDefault="00507B07">
      <w:r>
        <w:t xml:space="preserve">Based on clinical data from Study BLU-667-1101 (ARROW trial), substantial evidence of effectiveness of </w:t>
      </w:r>
      <w:proofErr w:type="spellStart"/>
      <w:r>
        <w:t>pralsetinib</w:t>
      </w:r>
      <w:proofErr w:type="spellEnd"/>
      <w:r>
        <w:t xml:space="preserve"> has been provided by the sponsor to support provisional approval of </w:t>
      </w:r>
      <w:proofErr w:type="spellStart"/>
      <w:r>
        <w:t>pralsetinib</w:t>
      </w:r>
      <w:proofErr w:type="spellEnd"/>
      <w:r>
        <w:t xml:space="preserve"> in adult patients with treatment naïve </w:t>
      </w:r>
      <w:r>
        <w:rPr>
          <w:i/>
        </w:rPr>
        <w:t>RET</w:t>
      </w:r>
      <w:r>
        <w:t xml:space="preserve"> fusion positive metastatic NSCLC and adult patients with </w:t>
      </w:r>
      <w:r>
        <w:rPr>
          <w:i/>
        </w:rPr>
        <w:t>RET</w:t>
      </w:r>
      <w:r>
        <w:t xml:space="preserve">-fusion positive metastatic NSCLC who have previously received platinum-based chemotherapy. </w:t>
      </w:r>
    </w:p>
    <w:p w14:paraId="00000362" w14:textId="77777777" w:rsidR="005D7E20" w:rsidRDefault="00507B07">
      <w:r>
        <w:t xml:space="preserve">Key efficacy data from ARROW trial demonstrated an ORR of 57% (95% CI: 46, 68) in patients with RET fusion positive metastatic NSCLC who have previously received platinum-based chemotherapy (n = 87), with durable responses (80% having responses lasting at least 6 months. In the population of patients with treatment naïve </w:t>
      </w:r>
      <w:r>
        <w:rPr>
          <w:i/>
        </w:rPr>
        <w:t>RET</w:t>
      </w:r>
      <w:r>
        <w:t xml:space="preserve"> fusion positive NSCLC (n = 27), the ORR was 70% (95% CI: 50, 86), with 58% having responses lasting at least 6 months.</w:t>
      </w:r>
    </w:p>
    <w:p w14:paraId="00000363" w14:textId="77777777" w:rsidR="005D7E20" w:rsidRDefault="00507B07">
      <w:r>
        <w:t>Overall response rate of sufficient magnitude in conjunction with a clinically meaningful duration of response is considered reasonably likely to predict clinical benefit in patients with rare NSCLC mutations.</w:t>
      </w:r>
    </w:p>
    <w:p w14:paraId="00000364" w14:textId="77777777" w:rsidR="005D7E20" w:rsidRDefault="00507B07">
      <w:pPr>
        <w:pStyle w:val="Heading5"/>
      </w:pPr>
      <w:r>
        <w:t>Uncertainties</w:t>
      </w:r>
    </w:p>
    <w:p w14:paraId="00000365" w14:textId="77777777" w:rsidR="005D7E20" w:rsidRDefault="00507B07">
      <w:r>
        <w:t xml:space="preserve">Given the small sample size, </w:t>
      </w:r>
      <w:proofErr w:type="gramStart"/>
      <w:r>
        <w:t>in particular for</w:t>
      </w:r>
      <w:proofErr w:type="gramEnd"/>
      <w:r>
        <w:t xml:space="preserve"> the population of patients with treatment naïve </w:t>
      </w:r>
      <w:r>
        <w:rPr>
          <w:i/>
        </w:rPr>
        <w:t>RET</w:t>
      </w:r>
      <w:r>
        <w:t xml:space="preserve"> fusion positive NSCLC (n = 27), the magnitude of ORR and duration of response with </w:t>
      </w:r>
      <w:proofErr w:type="spellStart"/>
      <w:r>
        <w:t>pralsetinib</w:t>
      </w:r>
      <w:proofErr w:type="spellEnd"/>
      <w:r>
        <w:t xml:space="preserve"> is associated with some uncertainty.</w:t>
      </w:r>
    </w:p>
    <w:p w14:paraId="00000366" w14:textId="77777777" w:rsidR="005D7E20" w:rsidRDefault="00507B07">
      <w:r>
        <w:t xml:space="preserve">No direct head-to-head comparison of </w:t>
      </w:r>
      <w:proofErr w:type="spellStart"/>
      <w:r>
        <w:t>pralsetinib</w:t>
      </w:r>
      <w:proofErr w:type="spellEnd"/>
      <w:r>
        <w:t xml:space="preserve"> with standard treatment in the proposed population is available. Consequently, additional data from the ongoing Study BLU-667-1101 (ARROW trial) are warranted to verify benefit in this population. Submission of data from Study BLU-667-2303 (</w:t>
      </w:r>
      <w:proofErr w:type="spellStart"/>
      <w:r>
        <w:t>AcceleRET</w:t>
      </w:r>
      <w:proofErr w:type="spellEnd"/>
      <w:r>
        <w:t xml:space="preserve"> Lung trial), a randomized controlled trial of </w:t>
      </w:r>
      <w:proofErr w:type="spellStart"/>
      <w:r>
        <w:t>pralsetinib</w:t>
      </w:r>
      <w:proofErr w:type="spellEnd"/>
      <w:r>
        <w:t xml:space="preserve"> compared to platinum-based chemotherapy with or without pembrolizumab as first line treatment for patients with metastatic </w:t>
      </w:r>
      <w:r>
        <w:rPr>
          <w:i/>
        </w:rPr>
        <w:t>RET</w:t>
      </w:r>
      <w:r>
        <w:t xml:space="preserve"> fusion positive NSCLC will be requested as a condition of registration.</w:t>
      </w:r>
    </w:p>
    <w:p w14:paraId="00000367" w14:textId="77777777" w:rsidR="005D7E20" w:rsidRDefault="00507B07">
      <w:pPr>
        <w:pStyle w:val="Heading5"/>
      </w:pPr>
      <w:r>
        <w:t>Risks/Uncertainties of risk</w:t>
      </w:r>
    </w:p>
    <w:p w14:paraId="00000368" w14:textId="77777777" w:rsidR="005D7E20" w:rsidRDefault="00507B07">
      <w:r>
        <w:t xml:space="preserve">In the safety population of all patients (n = 354, data from initial new drug application) with </w:t>
      </w:r>
      <w:r>
        <w:rPr>
          <w:i/>
        </w:rPr>
        <w:t xml:space="preserve">RET </w:t>
      </w:r>
      <w:r>
        <w:t xml:space="preserve">fusion positive tumours treated with 400 mg once daily oral </w:t>
      </w:r>
      <w:proofErr w:type="spellStart"/>
      <w:r>
        <w:t>pralsetinib</w:t>
      </w:r>
      <w:proofErr w:type="spellEnd"/>
      <w:r>
        <w:t>, the most common AEs were: increased AST (38.7%), constipation (34.2%), anaemia (31.9%), diarrhea (27.7%), increased ALT (27.1%) and hypertension (28.0%).</w:t>
      </w:r>
    </w:p>
    <w:p w14:paraId="00000369" w14:textId="77777777" w:rsidR="005D7E20" w:rsidRDefault="00507B07">
      <w:r>
        <w:t xml:space="preserve">90.4% of patients experienced AEs related to </w:t>
      </w:r>
      <w:proofErr w:type="spellStart"/>
      <w:r>
        <w:t>pralsetinib</w:t>
      </w:r>
      <w:proofErr w:type="spellEnd"/>
      <w:r>
        <w:t>. The most common treatment related AEs (at least 20% of patients) were:</w:t>
      </w:r>
    </w:p>
    <w:p w14:paraId="0000036A" w14:textId="77777777" w:rsidR="005D7E20" w:rsidRDefault="00507B07">
      <w:pPr>
        <w:numPr>
          <w:ilvl w:val="0"/>
          <w:numId w:val="6"/>
        </w:numPr>
        <w:pBdr>
          <w:top w:val="nil"/>
          <w:left w:val="nil"/>
          <w:bottom w:val="nil"/>
          <w:right w:val="nil"/>
          <w:between w:val="nil"/>
        </w:pBdr>
        <w:spacing w:before="120" w:after="180"/>
      </w:pPr>
      <w:r>
        <w:rPr>
          <w:color w:val="000000"/>
        </w:rPr>
        <w:lastRenderedPageBreak/>
        <w:t>Increased AST = 31.4%</w:t>
      </w:r>
    </w:p>
    <w:p w14:paraId="0000036B" w14:textId="77777777" w:rsidR="005D7E20" w:rsidRDefault="00507B07">
      <w:pPr>
        <w:numPr>
          <w:ilvl w:val="0"/>
          <w:numId w:val="6"/>
        </w:numPr>
        <w:pBdr>
          <w:top w:val="nil"/>
          <w:left w:val="nil"/>
          <w:bottom w:val="nil"/>
          <w:right w:val="nil"/>
          <w:between w:val="nil"/>
        </w:pBdr>
        <w:spacing w:before="120" w:after="180"/>
      </w:pPr>
      <w:r>
        <w:rPr>
          <w:color w:val="000000"/>
        </w:rPr>
        <w:t>Increased ALT = 21.5%</w:t>
      </w:r>
    </w:p>
    <w:p w14:paraId="0000036C" w14:textId="77777777" w:rsidR="005D7E20" w:rsidRDefault="00507B07">
      <w:pPr>
        <w:numPr>
          <w:ilvl w:val="0"/>
          <w:numId w:val="6"/>
        </w:numPr>
        <w:pBdr>
          <w:top w:val="nil"/>
          <w:left w:val="nil"/>
          <w:bottom w:val="nil"/>
          <w:right w:val="nil"/>
          <w:between w:val="nil"/>
        </w:pBdr>
        <w:spacing w:before="120" w:after="180"/>
      </w:pPr>
      <w:r>
        <w:rPr>
          <w:color w:val="000000"/>
        </w:rPr>
        <w:t>Anaemia = 21.8%</w:t>
      </w:r>
    </w:p>
    <w:p w14:paraId="0000036D" w14:textId="77777777" w:rsidR="005D7E20" w:rsidRDefault="00507B07">
      <w:pPr>
        <w:numPr>
          <w:ilvl w:val="0"/>
          <w:numId w:val="6"/>
        </w:numPr>
        <w:pBdr>
          <w:top w:val="nil"/>
          <w:left w:val="nil"/>
          <w:bottom w:val="nil"/>
          <w:right w:val="nil"/>
          <w:between w:val="nil"/>
        </w:pBdr>
        <w:spacing w:before="120" w:after="180"/>
      </w:pPr>
      <w:r>
        <w:rPr>
          <w:color w:val="000000"/>
        </w:rPr>
        <w:t>Hypertension = 20.3%</w:t>
      </w:r>
    </w:p>
    <w:p w14:paraId="0000036E" w14:textId="77777777" w:rsidR="005D7E20" w:rsidRDefault="00507B07">
      <w:r>
        <w:t>65.5% of patients experienced TEAEs of at least Grade 3.</w:t>
      </w:r>
    </w:p>
    <w:p w14:paraId="0000036F" w14:textId="77777777" w:rsidR="005D7E20" w:rsidRDefault="00507B07">
      <w:r>
        <w:t>43.8% of patients experienced treatment related TEAEs of at least Grade 3.</w:t>
      </w:r>
    </w:p>
    <w:p w14:paraId="00000370" w14:textId="77777777" w:rsidR="005D7E20" w:rsidRDefault="00507B07">
      <w:r>
        <w:t>44.1% of patients experienced any SAEs. The most common SAEs (more than 2% of patients) were:</w:t>
      </w:r>
    </w:p>
    <w:p w14:paraId="00000371" w14:textId="77777777" w:rsidR="005D7E20" w:rsidRDefault="00507B07">
      <w:pPr>
        <w:numPr>
          <w:ilvl w:val="0"/>
          <w:numId w:val="6"/>
        </w:numPr>
        <w:pBdr>
          <w:top w:val="nil"/>
          <w:left w:val="nil"/>
          <w:bottom w:val="nil"/>
          <w:right w:val="nil"/>
          <w:between w:val="nil"/>
        </w:pBdr>
        <w:spacing w:before="120" w:after="180"/>
      </w:pPr>
      <w:r>
        <w:rPr>
          <w:color w:val="000000"/>
        </w:rPr>
        <w:t>Pneumonia = 8.2%</w:t>
      </w:r>
    </w:p>
    <w:p w14:paraId="00000372" w14:textId="77777777" w:rsidR="005D7E20" w:rsidRDefault="00507B07">
      <w:pPr>
        <w:numPr>
          <w:ilvl w:val="0"/>
          <w:numId w:val="6"/>
        </w:numPr>
        <w:pBdr>
          <w:top w:val="nil"/>
          <w:left w:val="nil"/>
          <w:bottom w:val="nil"/>
          <w:right w:val="nil"/>
          <w:between w:val="nil"/>
        </w:pBdr>
        <w:spacing w:before="120" w:after="180"/>
      </w:pPr>
      <w:r>
        <w:rPr>
          <w:color w:val="000000"/>
        </w:rPr>
        <w:t>Disease progression = 5.1%</w:t>
      </w:r>
    </w:p>
    <w:p w14:paraId="00000373" w14:textId="77777777" w:rsidR="005D7E20" w:rsidRDefault="00507B07">
      <w:pPr>
        <w:numPr>
          <w:ilvl w:val="0"/>
          <w:numId w:val="6"/>
        </w:numPr>
        <w:pBdr>
          <w:top w:val="nil"/>
          <w:left w:val="nil"/>
          <w:bottom w:val="nil"/>
          <w:right w:val="nil"/>
          <w:between w:val="nil"/>
        </w:pBdr>
        <w:spacing w:before="120" w:after="180"/>
      </w:pPr>
      <w:r>
        <w:rPr>
          <w:color w:val="000000"/>
        </w:rPr>
        <w:t>Pneumonitis = 4%</w:t>
      </w:r>
    </w:p>
    <w:p w14:paraId="00000374" w14:textId="77777777" w:rsidR="005D7E20" w:rsidRDefault="00507B07">
      <w:pPr>
        <w:numPr>
          <w:ilvl w:val="0"/>
          <w:numId w:val="6"/>
        </w:numPr>
        <w:pBdr>
          <w:top w:val="nil"/>
          <w:left w:val="nil"/>
          <w:bottom w:val="nil"/>
          <w:right w:val="nil"/>
          <w:between w:val="nil"/>
        </w:pBdr>
        <w:spacing w:before="120" w:after="180"/>
      </w:pPr>
      <w:r>
        <w:rPr>
          <w:color w:val="000000"/>
        </w:rPr>
        <w:t>UTI = 2.8%</w:t>
      </w:r>
    </w:p>
    <w:p w14:paraId="00000375" w14:textId="77777777" w:rsidR="005D7E20" w:rsidRDefault="00507B07">
      <w:pPr>
        <w:numPr>
          <w:ilvl w:val="0"/>
          <w:numId w:val="6"/>
        </w:numPr>
        <w:pBdr>
          <w:top w:val="nil"/>
          <w:left w:val="nil"/>
          <w:bottom w:val="nil"/>
          <w:right w:val="nil"/>
          <w:between w:val="nil"/>
        </w:pBdr>
        <w:spacing w:before="120" w:after="180"/>
      </w:pPr>
      <w:r>
        <w:rPr>
          <w:color w:val="000000"/>
        </w:rPr>
        <w:t>Sepsis = 2.5%</w:t>
      </w:r>
    </w:p>
    <w:p w14:paraId="00000376" w14:textId="77777777" w:rsidR="005D7E20" w:rsidRDefault="00507B07">
      <w:pPr>
        <w:numPr>
          <w:ilvl w:val="0"/>
          <w:numId w:val="6"/>
        </w:numPr>
        <w:pBdr>
          <w:top w:val="nil"/>
          <w:left w:val="nil"/>
          <w:bottom w:val="nil"/>
          <w:right w:val="nil"/>
          <w:between w:val="nil"/>
        </w:pBdr>
        <w:spacing w:before="120" w:after="180"/>
      </w:pPr>
      <w:r>
        <w:rPr>
          <w:color w:val="000000"/>
        </w:rPr>
        <w:t>Pyrexia = 2.5%</w:t>
      </w:r>
    </w:p>
    <w:p w14:paraId="00000377" w14:textId="77777777" w:rsidR="005D7E20" w:rsidRDefault="00507B07">
      <w:r>
        <w:t>16.4% of patients experienced treatment related SAEs. The most common treatment related SAEs (more than 2 patients) were:</w:t>
      </w:r>
    </w:p>
    <w:p w14:paraId="00000378" w14:textId="77777777" w:rsidR="005D7E20" w:rsidRDefault="00507B07">
      <w:pPr>
        <w:numPr>
          <w:ilvl w:val="0"/>
          <w:numId w:val="6"/>
        </w:numPr>
        <w:pBdr>
          <w:top w:val="nil"/>
          <w:left w:val="nil"/>
          <w:bottom w:val="nil"/>
          <w:right w:val="nil"/>
          <w:between w:val="nil"/>
        </w:pBdr>
        <w:spacing w:before="120" w:after="180"/>
      </w:pPr>
      <w:r>
        <w:rPr>
          <w:color w:val="000000"/>
        </w:rPr>
        <w:t>Pneumonitis = 3.1%</w:t>
      </w:r>
    </w:p>
    <w:p w14:paraId="00000379" w14:textId="77777777" w:rsidR="005D7E20" w:rsidRDefault="00507B07">
      <w:pPr>
        <w:numPr>
          <w:ilvl w:val="0"/>
          <w:numId w:val="6"/>
        </w:numPr>
        <w:pBdr>
          <w:top w:val="nil"/>
          <w:left w:val="nil"/>
          <w:bottom w:val="nil"/>
          <w:right w:val="nil"/>
          <w:between w:val="nil"/>
        </w:pBdr>
        <w:spacing w:before="120" w:after="180"/>
      </w:pPr>
      <w:r>
        <w:rPr>
          <w:color w:val="000000"/>
        </w:rPr>
        <w:t>Pneumonia = 2%</w:t>
      </w:r>
    </w:p>
    <w:p w14:paraId="0000037A" w14:textId="77777777" w:rsidR="005D7E20" w:rsidRDefault="00507B07">
      <w:pPr>
        <w:numPr>
          <w:ilvl w:val="0"/>
          <w:numId w:val="6"/>
        </w:numPr>
        <w:pBdr>
          <w:top w:val="nil"/>
          <w:left w:val="nil"/>
          <w:bottom w:val="nil"/>
          <w:right w:val="nil"/>
          <w:between w:val="nil"/>
        </w:pBdr>
        <w:spacing w:before="120" w:after="180"/>
      </w:pPr>
      <w:r>
        <w:rPr>
          <w:color w:val="000000"/>
        </w:rPr>
        <w:t>Anaemia &lt; 1%</w:t>
      </w:r>
    </w:p>
    <w:p w14:paraId="0000037B" w14:textId="77777777" w:rsidR="005D7E20" w:rsidRDefault="00507B07">
      <w:pPr>
        <w:numPr>
          <w:ilvl w:val="0"/>
          <w:numId w:val="6"/>
        </w:numPr>
        <w:pBdr>
          <w:top w:val="nil"/>
          <w:left w:val="nil"/>
          <w:bottom w:val="nil"/>
          <w:right w:val="nil"/>
          <w:between w:val="nil"/>
        </w:pBdr>
        <w:spacing w:before="120" w:after="180"/>
      </w:pPr>
      <w:r>
        <w:rPr>
          <w:color w:val="000000"/>
        </w:rPr>
        <w:t>Hypertension &lt; 1%</w:t>
      </w:r>
    </w:p>
    <w:p w14:paraId="0000037C" w14:textId="77777777" w:rsidR="005D7E20" w:rsidRDefault="00507B07">
      <w:pPr>
        <w:numPr>
          <w:ilvl w:val="0"/>
          <w:numId w:val="6"/>
        </w:numPr>
        <w:pBdr>
          <w:top w:val="nil"/>
          <w:left w:val="nil"/>
          <w:bottom w:val="nil"/>
          <w:right w:val="nil"/>
          <w:between w:val="nil"/>
        </w:pBdr>
        <w:spacing w:before="120" w:after="180"/>
      </w:pPr>
      <w:r>
        <w:rPr>
          <w:color w:val="000000"/>
        </w:rPr>
        <w:t>Neutropenia &lt; 1%</w:t>
      </w:r>
    </w:p>
    <w:p w14:paraId="0000037D" w14:textId="77777777" w:rsidR="005D7E20" w:rsidRDefault="00507B07">
      <w:pPr>
        <w:numPr>
          <w:ilvl w:val="0"/>
          <w:numId w:val="6"/>
        </w:numPr>
        <w:pBdr>
          <w:top w:val="nil"/>
          <w:left w:val="nil"/>
          <w:bottom w:val="nil"/>
          <w:right w:val="nil"/>
          <w:between w:val="nil"/>
        </w:pBdr>
        <w:spacing w:before="120" w:after="180"/>
      </w:pPr>
      <w:r>
        <w:rPr>
          <w:color w:val="000000"/>
        </w:rPr>
        <w:t xml:space="preserve">Pneumocystis </w:t>
      </w:r>
      <w:proofErr w:type="spellStart"/>
      <w:r>
        <w:rPr>
          <w:color w:val="000000"/>
        </w:rPr>
        <w:t>jirovecii</w:t>
      </w:r>
      <w:proofErr w:type="spellEnd"/>
      <w:r>
        <w:rPr>
          <w:color w:val="000000"/>
        </w:rPr>
        <w:t xml:space="preserve"> pneumonia &lt; 1%</w:t>
      </w:r>
    </w:p>
    <w:p w14:paraId="0000037E" w14:textId="77777777" w:rsidR="005D7E20" w:rsidRDefault="00507B07">
      <w:pPr>
        <w:numPr>
          <w:ilvl w:val="0"/>
          <w:numId w:val="6"/>
        </w:numPr>
        <w:pBdr>
          <w:top w:val="nil"/>
          <w:left w:val="nil"/>
          <w:bottom w:val="nil"/>
          <w:right w:val="nil"/>
          <w:between w:val="nil"/>
        </w:pBdr>
        <w:spacing w:before="120" w:after="180"/>
      </w:pPr>
      <w:r>
        <w:rPr>
          <w:color w:val="000000"/>
        </w:rPr>
        <w:t>Sepsis &lt; 1%</w:t>
      </w:r>
    </w:p>
    <w:p w14:paraId="0000037F" w14:textId="77777777" w:rsidR="005D7E20" w:rsidRDefault="00507B07">
      <w:pPr>
        <w:numPr>
          <w:ilvl w:val="0"/>
          <w:numId w:val="6"/>
        </w:numPr>
        <w:pBdr>
          <w:top w:val="nil"/>
          <w:left w:val="nil"/>
          <w:bottom w:val="nil"/>
          <w:right w:val="nil"/>
          <w:between w:val="nil"/>
        </w:pBdr>
        <w:spacing w:before="120" w:after="180"/>
      </w:pPr>
      <w:r>
        <w:rPr>
          <w:color w:val="000000"/>
        </w:rPr>
        <w:t>Thrombocytopenia &lt; 1%</w:t>
      </w:r>
    </w:p>
    <w:p w14:paraId="00000380" w14:textId="77777777" w:rsidR="005D7E20" w:rsidRDefault="00507B07">
      <w:r>
        <w:t>9.1% of patients died due to an AE during the study (less than 1% due to related AE).</w:t>
      </w:r>
    </w:p>
    <w:p w14:paraId="00000381" w14:textId="77777777" w:rsidR="005D7E20" w:rsidRDefault="00507B07">
      <w:r>
        <w:t>60.7% of patients had at least 1 dose reduction or interruption due to an AE during the study; a total of 16.4% patients had AEs leading to treatment discontinuation.</w:t>
      </w:r>
    </w:p>
    <w:p w14:paraId="00000382" w14:textId="77777777" w:rsidR="005D7E20" w:rsidRDefault="00507B07">
      <w:r>
        <w:t xml:space="preserve">The safety profile for patients with NSCLC treated at 400 mg was </w:t>
      </w:r>
      <w:proofErr w:type="gramStart"/>
      <w:r>
        <w:t>similar to</w:t>
      </w:r>
      <w:proofErr w:type="gramEnd"/>
      <w:r>
        <w:t xml:space="preserve"> the overall safety profile of all patients in the study. </w:t>
      </w:r>
    </w:p>
    <w:p w14:paraId="00000383" w14:textId="77777777" w:rsidR="005D7E20" w:rsidRDefault="00507B07">
      <w:r>
        <w:t>The safety data from the Day 90 Safety Update period was consistent with that reported in the initial new drug application submission.</w:t>
      </w:r>
    </w:p>
    <w:p w14:paraId="00000384" w14:textId="77777777" w:rsidR="005D7E20" w:rsidRDefault="00507B07">
      <w:r>
        <w:t xml:space="preserve">While </w:t>
      </w:r>
      <w:proofErr w:type="spellStart"/>
      <w:r>
        <w:t>pralsetinib</w:t>
      </w:r>
      <w:proofErr w:type="spellEnd"/>
      <w:r>
        <w:t xml:space="preserve"> is a selective RET inhibitor, there are other kinases it can inhibit at lower levels resulting in some ‘off target’ toxicities. Some of these effects seen in non-clinical studies were the result of off-target effects involving VEGFR, JAK2 and/or FGFR pathways. AE profiles seen in humans (as reported in Study BLU-667-1101) include hypertension and abnormal haematological parameters, consistent with non-clinical findings.</w:t>
      </w:r>
    </w:p>
    <w:p w14:paraId="00000385" w14:textId="77777777" w:rsidR="005D7E20" w:rsidRDefault="00507B07">
      <w:r>
        <w:lastRenderedPageBreak/>
        <w:t xml:space="preserve">Overall, </w:t>
      </w:r>
      <w:proofErr w:type="spellStart"/>
      <w:r>
        <w:t>pralsetinib</w:t>
      </w:r>
      <w:proofErr w:type="spellEnd"/>
      <w:r>
        <w:t xml:space="preserve"> appears to have an acceptable safety profile in view of the seriousness of the disease in the proposed population, the high activity of </w:t>
      </w:r>
      <w:proofErr w:type="spellStart"/>
      <w:r>
        <w:t>pralsetinib</w:t>
      </w:r>
      <w:proofErr w:type="spellEnd"/>
      <w:r>
        <w:t xml:space="preserve"> observed, </w:t>
      </w:r>
      <w:proofErr w:type="gramStart"/>
      <w:r>
        <w:t>and also</w:t>
      </w:r>
      <w:proofErr w:type="gramEnd"/>
      <w:r>
        <w:t xml:space="preserve"> the toxicity generally associated with alternative treatment options.</w:t>
      </w:r>
    </w:p>
    <w:p w14:paraId="00000386" w14:textId="77777777" w:rsidR="005D7E20" w:rsidRDefault="00507B07">
      <w:r>
        <w:t xml:space="preserve">Clinical evaluation highlighted that in the following should be included in the Warnings and Precautions section of the PI, in addition to interstitial lung disease/pneumonitis: hepatotoxicity, haemorrhagic events, hypertension, and risk of impaired and/or delayed wound healing. </w:t>
      </w:r>
    </w:p>
    <w:p w14:paraId="00000387" w14:textId="77777777" w:rsidR="005D7E20" w:rsidRDefault="00507B07">
      <w:pPr>
        <w:pStyle w:val="Heading5"/>
      </w:pPr>
      <w:r>
        <w:t>Uncertainties</w:t>
      </w:r>
    </w:p>
    <w:p w14:paraId="00000388" w14:textId="77777777" w:rsidR="005D7E20" w:rsidRDefault="00507B07">
      <w:r>
        <w:t xml:space="preserve">Uncertainty remains regarding the long-term safety profile, including that in the elderly subgroup. In addition, the single arm study design of ARROW trial precludes the direct comparison of safety/toxicity profile of </w:t>
      </w:r>
      <w:proofErr w:type="spellStart"/>
      <w:r>
        <w:t>pralsetinib</w:t>
      </w:r>
      <w:proofErr w:type="spellEnd"/>
      <w:r>
        <w:t xml:space="preserve"> with the standard of care.</w:t>
      </w:r>
    </w:p>
    <w:p w14:paraId="00000389" w14:textId="77777777" w:rsidR="005D7E20" w:rsidRDefault="00507B07">
      <w:pPr>
        <w:pStyle w:val="Heading5"/>
      </w:pPr>
      <w:r>
        <w:t>Benefit/Risk balance</w:t>
      </w:r>
    </w:p>
    <w:p w14:paraId="0000038A" w14:textId="77777777" w:rsidR="005D7E20" w:rsidRDefault="00507B07">
      <w:r>
        <w:t xml:space="preserve">Overall, the benefit risk assessment for </w:t>
      </w:r>
      <w:proofErr w:type="spellStart"/>
      <w:r>
        <w:t>pralsetinib</w:t>
      </w:r>
      <w:proofErr w:type="spellEnd"/>
      <w:r>
        <w:t xml:space="preserve"> is favourable in the proposed population based on the high response rate and durable responses seen in a patient population with a life-threatening disease and unmet medical need. The ORR and DOR </w:t>
      </w:r>
      <w:proofErr w:type="gramStart"/>
      <w:r>
        <w:t>are considered to be</w:t>
      </w:r>
      <w:proofErr w:type="gramEnd"/>
      <w:r>
        <w:t xml:space="preserve"> clinically meaningful and reasonably likely to predict clinical benefit in the proposed population. Although </w:t>
      </w:r>
      <w:proofErr w:type="spellStart"/>
      <w:r>
        <w:t>pralsetinib</w:t>
      </w:r>
      <w:proofErr w:type="spellEnd"/>
      <w:r>
        <w:t xml:space="preserve"> can cause serious toxicities, the safety profile demonstrated is generally manageable and considered acceptable in the context of the </w:t>
      </w:r>
      <w:proofErr w:type="gramStart"/>
      <w:r>
        <w:t>life threatening</w:t>
      </w:r>
      <w:proofErr w:type="gramEnd"/>
      <w:r>
        <w:t xml:space="preserve"> nature of advanced NSCLC and the lack of available targeted therapy options in Australia for the intended patient population at present.</w:t>
      </w:r>
    </w:p>
    <w:p w14:paraId="0000038B" w14:textId="77777777" w:rsidR="005D7E20" w:rsidRDefault="00507B07">
      <w:r>
        <w:t xml:space="preserve">The study design limits interpretation of survival; given the limited duration of follow up for other cohorts and the small number of treatment-naïve patients in the primary efficacy analysis population for this submission, only provisional approval is supported at present. Further data is required </w:t>
      </w:r>
      <w:proofErr w:type="gramStart"/>
      <w:r>
        <w:t>in order to</w:t>
      </w:r>
      <w:proofErr w:type="gramEnd"/>
      <w:r>
        <w:t xml:space="preserve"> confirm clinical benefit, including additional data from study BLU-667-1101, and Study BLU-667-2303 (</w:t>
      </w:r>
      <w:proofErr w:type="spellStart"/>
      <w:r>
        <w:t>AcceleRET</w:t>
      </w:r>
      <w:proofErr w:type="spellEnd"/>
      <w:r>
        <w:t xml:space="preserve"> Lung trial). The sponsor will be required to submit final reports of post-marketing requirement studies as per conditions of registration (see International Regulatory Status section, and RMP section).</w:t>
      </w:r>
    </w:p>
    <w:p w14:paraId="0000038C" w14:textId="77777777" w:rsidR="005D7E20" w:rsidRDefault="00507B07">
      <w:pPr>
        <w:pStyle w:val="Heading4"/>
      </w:pPr>
      <w:bookmarkStart w:id="30" w:name="_Toc148339746"/>
      <w:r>
        <w:t>Proposed action</w:t>
      </w:r>
      <w:bookmarkEnd w:id="30"/>
    </w:p>
    <w:p w14:paraId="0000038D" w14:textId="77777777" w:rsidR="005D7E20" w:rsidRDefault="00507B07">
      <w:r>
        <w:t xml:space="preserve">The benefit risk assessment for </w:t>
      </w:r>
      <w:proofErr w:type="spellStart"/>
      <w:r>
        <w:t>pralsetinib</w:t>
      </w:r>
      <w:proofErr w:type="spellEnd"/>
      <w:r>
        <w:t xml:space="preserve"> </w:t>
      </w:r>
      <w:proofErr w:type="gramStart"/>
      <w:r>
        <w:t>is considered to be</w:t>
      </w:r>
      <w:proofErr w:type="gramEnd"/>
      <w:r>
        <w:t xml:space="preserve"> favourable in the proposed population to support provisional registration. The Delegate therefore supports provisional registration of </w:t>
      </w:r>
      <w:proofErr w:type="spellStart"/>
      <w:r>
        <w:t>pralsetinib</w:t>
      </w:r>
      <w:proofErr w:type="spellEnd"/>
      <w:r>
        <w:t xml:space="preserve"> for the following indication: </w:t>
      </w:r>
    </w:p>
    <w:p w14:paraId="0000038E" w14:textId="77777777" w:rsidR="005D7E20" w:rsidRDefault="00507B07">
      <w:pPr>
        <w:ind w:left="720"/>
        <w:rPr>
          <w:i/>
        </w:rPr>
      </w:pPr>
      <w:r>
        <w:rPr>
          <w:i/>
        </w:rPr>
        <w:t>Gavreto has provisional approval in Australia “for the treatment of adult patients with locally advanced or metastatic rearranged during transfection (RET) fusion-positive non-small cell lung cancer (NSCLC).</w:t>
      </w:r>
    </w:p>
    <w:p w14:paraId="0000038F" w14:textId="77777777" w:rsidR="005D7E20" w:rsidRDefault="00507B07">
      <w:pPr>
        <w:ind w:left="720"/>
        <w:rPr>
          <w:i/>
        </w:rPr>
      </w:pPr>
      <w:r>
        <w:rPr>
          <w:i/>
        </w:rPr>
        <w:t xml:space="preserve">The decision to approve this indication has been made </w:t>
      </w:r>
      <w:proofErr w:type="gramStart"/>
      <w:r>
        <w:rPr>
          <w:i/>
        </w:rPr>
        <w:t>on the basis of</w:t>
      </w:r>
      <w:proofErr w:type="gramEnd"/>
      <w:r>
        <w:rPr>
          <w:i/>
        </w:rPr>
        <w:t xml:space="preserve"> overall response rate (ORR) and duration of response (DOR). Continued approval of this indication depends on verification and description of benefit in confirmatory trials.</w:t>
      </w:r>
    </w:p>
    <w:p w14:paraId="00000390" w14:textId="77777777" w:rsidR="005D7E20" w:rsidRDefault="00507B07">
      <w:r>
        <w:t>In addition to the standard conditions of registration, additional conditions of registration are proposed as discussed in the body of this overview, that is the sponsor will be required to provide confirmatory data in the form of:</w:t>
      </w:r>
    </w:p>
    <w:p w14:paraId="00000391" w14:textId="77777777" w:rsidR="005D7E20" w:rsidRDefault="00507B07">
      <w:pPr>
        <w:numPr>
          <w:ilvl w:val="0"/>
          <w:numId w:val="6"/>
        </w:numPr>
        <w:pBdr>
          <w:top w:val="nil"/>
          <w:left w:val="nil"/>
          <w:bottom w:val="nil"/>
          <w:right w:val="nil"/>
          <w:between w:val="nil"/>
        </w:pBdr>
        <w:spacing w:before="120" w:after="180"/>
      </w:pPr>
      <w:r>
        <w:rPr>
          <w:color w:val="000000"/>
        </w:rPr>
        <w:t xml:space="preserve">Confirmatory data from the ongoing </w:t>
      </w:r>
      <w:proofErr w:type="spellStart"/>
      <w:r>
        <w:rPr>
          <w:color w:val="000000"/>
        </w:rPr>
        <w:t>AcceleRET</w:t>
      </w:r>
      <w:proofErr w:type="spellEnd"/>
      <w:r>
        <w:rPr>
          <w:color w:val="000000"/>
        </w:rPr>
        <w:t xml:space="preserve"> study (BLU-667-2303), an open-label, randomised, controlled multi-centre Phase III study in RET fusion-positive NSCLC patients; this study is designed to assess the efficacy of </w:t>
      </w:r>
      <w:proofErr w:type="spellStart"/>
      <w:r>
        <w:rPr>
          <w:color w:val="000000"/>
        </w:rPr>
        <w:t>pralsetinib</w:t>
      </w:r>
      <w:proofErr w:type="spellEnd"/>
      <w:r>
        <w:rPr>
          <w:color w:val="000000"/>
        </w:rPr>
        <w:t xml:space="preserve"> as compared to Investigator’s choice platinum-based chemotherapy regimen for patients with metastatic NSCLC </w:t>
      </w:r>
      <w:r>
        <w:rPr>
          <w:color w:val="000000"/>
        </w:rPr>
        <w:lastRenderedPageBreak/>
        <w:t>harbouring an oncogenic RET fusion and who have not received prior systemic therapy. Submission of the final report is expected by fourth quarter of 2026.</w:t>
      </w:r>
    </w:p>
    <w:p w14:paraId="00000392" w14:textId="77777777" w:rsidR="005D7E20" w:rsidRDefault="00507B07">
      <w:pPr>
        <w:numPr>
          <w:ilvl w:val="0"/>
          <w:numId w:val="6"/>
        </w:numPr>
        <w:pBdr>
          <w:top w:val="nil"/>
          <w:left w:val="nil"/>
          <w:bottom w:val="nil"/>
          <w:right w:val="nil"/>
          <w:between w:val="nil"/>
        </w:pBdr>
        <w:spacing w:before="120" w:after="180"/>
      </w:pPr>
      <w:r>
        <w:rPr>
          <w:color w:val="000000"/>
        </w:rPr>
        <w:t>Longer follow up of efficacy evaluable patients (116 treatment naïve patients and more follow up of the 136 NSCLC previously treated with platinum therapy) from the relevant cohorts from study ARROW (BLU-667-1101).</w:t>
      </w:r>
    </w:p>
    <w:p w14:paraId="00000393" w14:textId="77777777" w:rsidR="005D7E20" w:rsidRDefault="00507B07">
      <w:pPr>
        <w:numPr>
          <w:ilvl w:val="0"/>
          <w:numId w:val="6"/>
        </w:numPr>
        <w:pBdr>
          <w:top w:val="nil"/>
          <w:left w:val="nil"/>
          <w:bottom w:val="nil"/>
          <w:right w:val="nil"/>
          <w:between w:val="nil"/>
        </w:pBdr>
        <w:spacing w:before="120" w:after="180"/>
      </w:pPr>
      <w:r>
        <w:rPr>
          <w:color w:val="000000"/>
        </w:rPr>
        <w:t xml:space="preserve">Comprehensive analysis evaluating and characterising the incidence, clinical presentation, </w:t>
      </w:r>
      <w:proofErr w:type="gramStart"/>
      <w:r>
        <w:rPr>
          <w:color w:val="000000"/>
        </w:rPr>
        <w:t>management</w:t>
      </w:r>
      <w:proofErr w:type="gramEnd"/>
      <w:r>
        <w:rPr>
          <w:color w:val="000000"/>
        </w:rPr>
        <w:t xml:space="preserve"> and outcome of the potential serious risk of </w:t>
      </w:r>
      <w:proofErr w:type="spellStart"/>
      <w:r>
        <w:rPr>
          <w:color w:val="000000"/>
        </w:rPr>
        <w:t>pralsetinib</w:t>
      </w:r>
      <w:proofErr w:type="spellEnd"/>
      <w:r>
        <w:rPr>
          <w:color w:val="000000"/>
        </w:rPr>
        <w:t xml:space="preserve"> associated gastrointestinal perforations and fistulas. Submit an integrated final report containing data from patient-level and pooled analyses of ongoing and completed clinical trials, post-marketing reports and/or literature reports and a comprehensive pharmacovigilance assessment for this risk.</w:t>
      </w:r>
    </w:p>
    <w:p w14:paraId="00000394" w14:textId="77777777" w:rsidR="005D7E20" w:rsidRDefault="00507B07">
      <w:pPr>
        <w:numPr>
          <w:ilvl w:val="0"/>
          <w:numId w:val="6"/>
        </w:numPr>
        <w:pBdr>
          <w:top w:val="nil"/>
          <w:left w:val="nil"/>
          <w:bottom w:val="nil"/>
          <w:right w:val="nil"/>
          <w:between w:val="nil"/>
        </w:pBdr>
        <w:spacing w:before="120" w:after="180"/>
      </w:pPr>
      <w:r>
        <w:rPr>
          <w:color w:val="000000"/>
        </w:rPr>
        <w:t>Other conditions of registration as outlined under ‘Clinical Pharmacology’</w:t>
      </w:r>
    </w:p>
    <w:p w14:paraId="00000395" w14:textId="77777777" w:rsidR="005D7E20" w:rsidRDefault="00507B07">
      <w:pPr>
        <w:pStyle w:val="Heading4"/>
      </w:pPr>
      <w:bookmarkStart w:id="31" w:name="_Toc148339747"/>
      <w:r>
        <w:t>Advisory Committee considerations</w:t>
      </w:r>
      <w:bookmarkEnd w:id="31"/>
    </w:p>
    <w:p w14:paraId="00000396" w14:textId="58338A20" w:rsidR="005D7E20" w:rsidRDefault="00507B07">
      <w:r>
        <w:t xml:space="preserve">The </w:t>
      </w:r>
      <w:hyperlink r:id="rId46">
        <w:r>
          <w:rPr>
            <w:color w:val="0000FF"/>
            <w:u w:val="single"/>
          </w:rPr>
          <w:t>Advisory Committee on Medicines (ACM)</w:t>
        </w:r>
      </w:hyperlink>
      <w:r>
        <w:t>, having considered the evaluations and the Delegate’s overview, as well as the sponsor’s response to these documents, advised the following.</w:t>
      </w:r>
    </w:p>
    <w:p w14:paraId="00000397" w14:textId="77777777" w:rsidR="005D7E20" w:rsidRDefault="00507B07">
      <w:pPr>
        <w:pStyle w:val="Heading5"/>
      </w:pPr>
      <w:r>
        <w:t>Specific advice to the Delegate</w:t>
      </w:r>
    </w:p>
    <w:p w14:paraId="00000398" w14:textId="77777777" w:rsidR="005D7E20" w:rsidRDefault="00507B07">
      <w:r>
        <w:t>The ACM advised the following in response to the Delegate’s specific request for advice:</w:t>
      </w:r>
    </w:p>
    <w:p w14:paraId="00000399" w14:textId="77777777" w:rsidR="005D7E20" w:rsidRDefault="00507B07">
      <w:pPr>
        <w:numPr>
          <w:ilvl w:val="0"/>
          <w:numId w:val="5"/>
        </w:numPr>
        <w:pBdr>
          <w:top w:val="nil"/>
          <w:left w:val="nil"/>
          <w:bottom w:val="nil"/>
          <w:right w:val="nil"/>
          <w:between w:val="nil"/>
        </w:pBdr>
        <w:spacing w:before="120" w:after="180"/>
        <w:rPr>
          <w:b/>
          <w:i/>
          <w:color w:val="000000"/>
        </w:rPr>
      </w:pPr>
      <w:r>
        <w:rPr>
          <w:b/>
          <w:i/>
          <w:color w:val="000000"/>
        </w:rPr>
        <w:t xml:space="preserve">Are the results from the Phase I/II Study BLU-667-1101 (ARROW) sufficient to support the use of </w:t>
      </w:r>
      <w:proofErr w:type="spellStart"/>
      <w:r>
        <w:rPr>
          <w:b/>
          <w:i/>
          <w:color w:val="000000"/>
        </w:rPr>
        <w:t>pralsetinib</w:t>
      </w:r>
      <w:proofErr w:type="spellEnd"/>
      <w:r>
        <w:rPr>
          <w:b/>
          <w:i/>
          <w:color w:val="000000"/>
        </w:rPr>
        <w:t xml:space="preserve"> in the proposed population?</w:t>
      </w:r>
    </w:p>
    <w:p w14:paraId="0000039A" w14:textId="77777777" w:rsidR="005D7E20" w:rsidRDefault="00507B07">
      <w:r>
        <w:t xml:space="preserve">The ACM advised that data from the ARROW trial is sufficient to support the use of </w:t>
      </w:r>
      <w:proofErr w:type="spellStart"/>
      <w:r>
        <w:t>pralsetinib</w:t>
      </w:r>
      <w:proofErr w:type="spellEnd"/>
      <w:r>
        <w:t xml:space="preserve"> in the proposed population.</w:t>
      </w:r>
    </w:p>
    <w:p w14:paraId="0000039B" w14:textId="77777777" w:rsidR="005D7E20" w:rsidRDefault="00507B07">
      <w:r>
        <w:t xml:space="preserve">Given the unmet need in </w:t>
      </w:r>
      <w:r>
        <w:rPr>
          <w:i/>
        </w:rPr>
        <w:t>RET</w:t>
      </w:r>
      <w:r>
        <w:t xml:space="preserve"> fusion NSCLC, the ACM considered that </w:t>
      </w:r>
      <w:proofErr w:type="spellStart"/>
      <w:r>
        <w:t>pralsetinib</w:t>
      </w:r>
      <w:proofErr w:type="spellEnd"/>
      <w:r>
        <w:t xml:space="preserve"> has a positive risk benefit profile for provisional registration for </w:t>
      </w:r>
      <w:r>
        <w:rPr>
          <w:i/>
        </w:rPr>
        <w:t>RET</w:t>
      </w:r>
      <w:r>
        <w:t xml:space="preserve"> fusion NSCLC indication. The ACM also advised that there is benefit for use of </w:t>
      </w:r>
      <w:proofErr w:type="spellStart"/>
      <w:r>
        <w:t>pralsetinib</w:t>
      </w:r>
      <w:proofErr w:type="spellEnd"/>
      <w:r>
        <w:t xml:space="preserve"> in first line treatment and after prior treatment.</w:t>
      </w:r>
    </w:p>
    <w:p w14:paraId="0000039C" w14:textId="77777777" w:rsidR="005D7E20" w:rsidRDefault="00507B07">
      <w:pPr>
        <w:pStyle w:val="Heading5"/>
      </w:pPr>
      <w:r>
        <w:t>Conclusion</w:t>
      </w:r>
    </w:p>
    <w:p w14:paraId="0000039D" w14:textId="77777777" w:rsidR="005D7E20" w:rsidRDefault="00507B07">
      <w:r>
        <w:t>The ACM considered this product to have an overall positive benefit-risk profile for the indication:</w:t>
      </w:r>
    </w:p>
    <w:p w14:paraId="0000039E" w14:textId="77777777" w:rsidR="005D7E20" w:rsidRDefault="00507B07">
      <w:pPr>
        <w:ind w:left="720"/>
        <w:rPr>
          <w:i/>
        </w:rPr>
      </w:pPr>
      <w:r>
        <w:rPr>
          <w:i/>
        </w:rPr>
        <w:t>Gavreto is provisionally indicated for the treatment of adult patients with locally advanced or metastatic rearranged during transfection (RET) fusion-positive non-small cell lung cancer (NSCLC).</w:t>
      </w:r>
    </w:p>
    <w:p w14:paraId="0000039F" w14:textId="77777777" w:rsidR="005D7E20" w:rsidRDefault="00507B07">
      <w:pPr>
        <w:ind w:left="720"/>
      </w:pPr>
      <w:r>
        <w:rPr>
          <w:i/>
        </w:rPr>
        <w:t xml:space="preserve">The decision to approve this indication has been made </w:t>
      </w:r>
      <w:proofErr w:type="gramStart"/>
      <w:r>
        <w:rPr>
          <w:i/>
        </w:rPr>
        <w:t>on the basis of</w:t>
      </w:r>
      <w:proofErr w:type="gramEnd"/>
      <w:r>
        <w:rPr>
          <w:i/>
        </w:rPr>
        <w:t xml:space="preserve"> overall response rate (ORR) and duration of response (DOR). Continued approval of this indication depends on verification and description of benefit in confirmatory trials.</w:t>
      </w:r>
    </w:p>
    <w:p w14:paraId="000003A0" w14:textId="77777777" w:rsidR="005D7E20" w:rsidRDefault="00507B07">
      <w:pPr>
        <w:pStyle w:val="Heading2"/>
      </w:pPr>
      <w:bookmarkStart w:id="32" w:name="_Toc148339748"/>
      <w:r>
        <w:t>Outcome</w:t>
      </w:r>
      <w:bookmarkEnd w:id="32"/>
    </w:p>
    <w:p w14:paraId="000003A1" w14:textId="77777777" w:rsidR="005D7E20" w:rsidRDefault="00507B07">
      <w:pPr>
        <w:spacing w:after="480"/>
      </w:pPr>
      <w:r>
        <w:t>Based on a review of quality, safety, and efficacy, the TGA approved the registration of Gavreto (</w:t>
      </w:r>
      <w:proofErr w:type="spellStart"/>
      <w:r>
        <w:t>pralsetinib</w:t>
      </w:r>
      <w:proofErr w:type="spellEnd"/>
      <w:r>
        <w:t>) 100 mg, capsule, bottle, indicated for:</w:t>
      </w:r>
    </w:p>
    <w:p w14:paraId="000003A2" w14:textId="77777777" w:rsidR="005D7E20" w:rsidRDefault="00507B07">
      <w:pPr>
        <w:ind w:left="720"/>
        <w:rPr>
          <w:i/>
        </w:rPr>
      </w:pPr>
      <w:bookmarkStart w:id="33" w:name="_heading=h.3o7alnk" w:colFirst="0" w:colLast="0"/>
      <w:bookmarkEnd w:id="33"/>
      <w:r>
        <w:rPr>
          <w:i/>
        </w:rPr>
        <w:lastRenderedPageBreak/>
        <w:t>Non-Small Cell Lung Cancer (NSCLC)</w:t>
      </w:r>
    </w:p>
    <w:p w14:paraId="000003A3" w14:textId="77777777" w:rsidR="005D7E20" w:rsidRDefault="00507B07">
      <w:pPr>
        <w:ind w:left="720"/>
      </w:pPr>
      <w:r>
        <w:rPr>
          <w:i/>
        </w:rPr>
        <w:t xml:space="preserve">Gavreto has provisional approval in Australia for the treatment of adult patients with locally advanced or metastatic rearranged during transfection (RET) fusion-positive non-small cell lung cancer (NSCLC). The decision to approve this indication has been made </w:t>
      </w:r>
      <w:proofErr w:type="gramStart"/>
      <w:r>
        <w:rPr>
          <w:i/>
        </w:rPr>
        <w:t>on the basis of</w:t>
      </w:r>
      <w:proofErr w:type="gramEnd"/>
      <w:r>
        <w:rPr>
          <w:i/>
        </w:rPr>
        <w:t xml:space="preserve"> overall response rate (ORR) and duration of response (DOR) in single-arm trials. Continued approval of this indication depends on verification and description of benefit in confirmatory trials.</w:t>
      </w:r>
    </w:p>
    <w:p w14:paraId="000003A4" w14:textId="77777777" w:rsidR="005D7E20" w:rsidRDefault="00507B07">
      <w:pPr>
        <w:pStyle w:val="Heading3"/>
      </w:pPr>
      <w:bookmarkStart w:id="34" w:name="_Toc148339749"/>
      <w:r>
        <w:t>Specific conditions of registration applying to these goods</w:t>
      </w:r>
      <w:bookmarkEnd w:id="34"/>
    </w:p>
    <w:p w14:paraId="000003A5" w14:textId="77777777" w:rsidR="005D7E20" w:rsidRDefault="00507B07">
      <w:pPr>
        <w:numPr>
          <w:ilvl w:val="0"/>
          <w:numId w:val="6"/>
        </w:numPr>
        <w:pBdr>
          <w:top w:val="nil"/>
          <w:left w:val="nil"/>
          <w:bottom w:val="nil"/>
          <w:right w:val="nil"/>
          <w:between w:val="nil"/>
        </w:pBdr>
        <w:spacing w:before="120" w:after="180"/>
      </w:pPr>
      <w:r>
        <w:rPr>
          <w:color w:val="000000"/>
        </w:rPr>
        <w:t>Gavreto (</w:t>
      </w:r>
      <w:proofErr w:type="spellStart"/>
      <w:r>
        <w:rPr>
          <w:color w:val="000000"/>
        </w:rPr>
        <w:t>pralsetinib</w:t>
      </w:r>
      <w:proofErr w:type="spellEnd"/>
      <w:r>
        <w:rPr>
          <w:color w:val="000000"/>
        </w:rPr>
        <w:t>) is to be included in the Black Triangle Scheme. The PI and CMI for Gavreto must include the black triangle symbol and mandatory accompanying text for five years, or the product’s entire period of provisional registration, whichever is longer.</w:t>
      </w:r>
    </w:p>
    <w:p w14:paraId="000003A6" w14:textId="77777777" w:rsidR="005D7E20" w:rsidRDefault="00507B07">
      <w:pPr>
        <w:numPr>
          <w:ilvl w:val="0"/>
          <w:numId w:val="6"/>
        </w:numPr>
        <w:pBdr>
          <w:top w:val="nil"/>
          <w:left w:val="nil"/>
          <w:bottom w:val="nil"/>
          <w:right w:val="nil"/>
          <w:between w:val="nil"/>
        </w:pBdr>
        <w:spacing w:before="120" w:after="180"/>
      </w:pPr>
      <w:r>
        <w:rPr>
          <w:color w:val="000000"/>
        </w:rPr>
        <w:t>The Gavreto EU-RMP (version 1.2, dated 3 February 2022 DLP January 2022), with ASA (version 1.1, dated 26 August 2022), included with submission PM-2021-05760-1-4; PM-2021-05761-1-4 and PM-2021-05762-1-4, and any subsequent revisions, as agreed with the TGA will be implemented in Australia.</w:t>
      </w:r>
    </w:p>
    <w:p w14:paraId="000003A7" w14:textId="77777777" w:rsidR="005D7E20" w:rsidRDefault="00507B07">
      <w:pPr>
        <w:pBdr>
          <w:top w:val="nil"/>
          <w:left w:val="nil"/>
          <w:bottom w:val="nil"/>
          <w:right w:val="nil"/>
          <w:between w:val="nil"/>
        </w:pBdr>
        <w:spacing w:before="120" w:after="180"/>
        <w:ind w:left="360" w:hanging="360"/>
        <w:rPr>
          <w:color w:val="000000"/>
        </w:rPr>
      </w:pPr>
      <w:r>
        <w:rPr>
          <w:color w:val="000000"/>
        </w:rPr>
        <w:t>An obligatory component of risk management plans is routine pharmacovigilance. Routine pharmacovigilance includes the submission of periodic safety update reports (PSURs).</w:t>
      </w:r>
    </w:p>
    <w:p w14:paraId="000003A8" w14:textId="77777777" w:rsidR="005D7E20" w:rsidRDefault="00507B07">
      <w:pPr>
        <w:pBdr>
          <w:top w:val="nil"/>
          <w:left w:val="nil"/>
          <w:bottom w:val="nil"/>
          <w:right w:val="nil"/>
          <w:between w:val="nil"/>
        </w:pBdr>
        <w:spacing w:before="120" w:after="180"/>
        <w:ind w:left="360" w:hanging="360"/>
        <w:rPr>
          <w:color w:val="000000"/>
        </w:rPr>
      </w:pPr>
      <w:r>
        <w:rPr>
          <w:color w:val="000000"/>
        </w:rP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000003A9" w14:textId="77777777" w:rsidR="005D7E20" w:rsidRDefault="00507B07">
      <w:pPr>
        <w:pBdr>
          <w:top w:val="nil"/>
          <w:left w:val="nil"/>
          <w:bottom w:val="nil"/>
          <w:right w:val="nil"/>
          <w:between w:val="nil"/>
        </w:pBdr>
        <w:spacing w:before="120" w:after="180"/>
        <w:ind w:left="360" w:hanging="360"/>
        <w:rPr>
          <w:color w:val="000000"/>
        </w:rPr>
      </w:pPr>
      <w:r>
        <w:rPr>
          <w:color w:val="000000"/>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00003AA" w14:textId="77777777" w:rsidR="005D7E20" w:rsidRDefault="00507B07">
      <w:pPr>
        <w:numPr>
          <w:ilvl w:val="0"/>
          <w:numId w:val="6"/>
        </w:numPr>
        <w:pBdr>
          <w:top w:val="nil"/>
          <w:left w:val="nil"/>
          <w:bottom w:val="nil"/>
          <w:right w:val="nil"/>
          <w:between w:val="nil"/>
        </w:pBdr>
        <w:spacing w:before="120" w:after="180"/>
      </w:pPr>
      <w:r>
        <w:rPr>
          <w:color w:val="000000"/>
        </w:rPr>
        <w:t>Longer follow up of efficacy evaluable patients (116 treatment naïve patients and more follow up of the 136 NSCLC previously treated with platinum therapy) from the relevant cohorts from study ARROW (BLU-667-1101).</w:t>
      </w:r>
    </w:p>
    <w:p w14:paraId="000003AB" w14:textId="77777777" w:rsidR="005D7E20" w:rsidRDefault="00507B07">
      <w:pPr>
        <w:numPr>
          <w:ilvl w:val="0"/>
          <w:numId w:val="6"/>
        </w:numPr>
        <w:pBdr>
          <w:top w:val="nil"/>
          <w:left w:val="nil"/>
          <w:bottom w:val="nil"/>
          <w:right w:val="nil"/>
          <w:between w:val="nil"/>
        </w:pBdr>
        <w:spacing w:before="120" w:after="180"/>
      </w:pPr>
      <w:r>
        <w:rPr>
          <w:color w:val="000000"/>
        </w:rPr>
        <w:t xml:space="preserve">Confirmatory data from the ongoing </w:t>
      </w:r>
      <w:proofErr w:type="spellStart"/>
      <w:r>
        <w:rPr>
          <w:color w:val="000000"/>
        </w:rPr>
        <w:t>AcceleRET</w:t>
      </w:r>
      <w:proofErr w:type="spellEnd"/>
      <w:r>
        <w:rPr>
          <w:color w:val="000000"/>
        </w:rPr>
        <w:t xml:space="preserve"> Lung study (BLU-667-2303), an open-label, randomized, controlled multi-centre phase III study in RET fusion-positive NSCLC patients; this study is designed to assess the efficacy of </w:t>
      </w:r>
      <w:proofErr w:type="spellStart"/>
      <w:r>
        <w:rPr>
          <w:color w:val="000000"/>
        </w:rPr>
        <w:t>pralsetinib</w:t>
      </w:r>
      <w:proofErr w:type="spellEnd"/>
      <w:r>
        <w:rPr>
          <w:color w:val="000000"/>
        </w:rPr>
        <w:t xml:space="preserve"> as compared to Investigator’s choice platinum-based chemotherapy regimen (with or without pembrolizumab) for patients with metastatic NSCLC harbouring an oncogenic RET fusion and who have not received prior systemic therapy. Submission of the final report is expected by fourth quarter of 2026.</w:t>
      </w:r>
    </w:p>
    <w:p w14:paraId="000003AC" w14:textId="77777777" w:rsidR="005D7E20" w:rsidRDefault="00507B07">
      <w:pPr>
        <w:numPr>
          <w:ilvl w:val="0"/>
          <w:numId w:val="6"/>
        </w:numPr>
        <w:pBdr>
          <w:top w:val="nil"/>
          <w:left w:val="nil"/>
          <w:bottom w:val="nil"/>
          <w:right w:val="nil"/>
          <w:between w:val="nil"/>
        </w:pBdr>
        <w:spacing w:before="120" w:after="180"/>
      </w:pPr>
      <w:r>
        <w:rPr>
          <w:color w:val="000000"/>
        </w:rPr>
        <w:t xml:space="preserve">Comprehensive analysis evaluating and characterising the incidence, clinical presentation, </w:t>
      </w:r>
      <w:proofErr w:type="gramStart"/>
      <w:r>
        <w:rPr>
          <w:color w:val="000000"/>
        </w:rPr>
        <w:t>management</w:t>
      </w:r>
      <w:proofErr w:type="gramEnd"/>
      <w:r>
        <w:rPr>
          <w:color w:val="000000"/>
        </w:rPr>
        <w:t xml:space="preserve"> and outcome of the potential serious risk of </w:t>
      </w:r>
      <w:proofErr w:type="spellStart"/>
      <w:r>
        <w:rPr>
          <w:color w:val="000000"/>
        </w:rPr>
        <w:t>pralsetinib</w:t>
      </w:r>
      <w:proofErr w:type="spellEnd"/>
      <w:r>
        <w:rPr>
          <w:color w:val="000000"/>
        </w:rPr>
        <w:t xml:space="preserve"> associated gastrointestinal perforations and fistulas. Submit an integrated final report containing data from patient-level and pooled analyses of ongoing and completed clinical trials, post-marketing reports and/or literature reports and a comprehensive pharmacovigilance assessment for this risk.</w:t>
      </w:r>
    </w:p>
    <w:p w14:paraId="000003AD" w14:textId="77777777" w:rsidR="005D7E20" w:rsidRDefault="00507B07">
      <w:pPr>
        <w:numPr>
          <w:ilvl w:val="0"/>
          <w:numId w:val="6"/>
        </w:numPr>
        <w:pBdr>
          <w:top w:val="nil"/>
          <w:left w:val="nil"/>
          <w:bottom w:val="nil"/>
          <w:right w:val="nil"/>
          <w:between w:val="nil"/>
        </w:pBdr>
        <w:spacing w:before="120" w:after="180"/>
      </w:pPr>
      <w:r>
        <w:rPr>
          <w:color w:val="000000"/>
        </w:rPr>
        <w:lastRenderedPageBreak/>
        <w:t xml:space="preserve">Conduct a hepatic impairment clinical trial to evaluate the pharmacokinetics and safety of </w:t>
      </w:r>
      <w:proofErr w:type="spellStart"/>
      <w:r>
        <w:rPr>
          <w:color w:val="000000"/>
        </w:rPr>
        <w:t>pralsetinib</w:t>
      </w:r>
      <w:proofErr w:type="spellEnd"/>
      <w:r>
        <w:rPr>
          <w:color w:val="000000"/>
        </w:rPr>
        <w:t xml:space="preserve"> in subjects with moderate and severe hepatic impairment compared to subjects with normal hepatic function. Design and conduct the trial in accordance with FDA guidance and submit the datasets with the final report.</w:t>
      </w:r>
    </w:p>
    <w:p w14:paraId="000003AE" w14:textId="2E56F0CE" w:rsidR="005D7E20" w:rsidRDefault="00507B07">
      <w:pPr>
        <w:numPr>
          <w:ilvl w:val="0"/>
          <w:numId w:val="6"/>
        </w:numPr>
        <w:pBdr>
          <w:top w:val="nil"/>
          <w:left w:val="nil"/>
          <w:bottom w:val="nil"/>
          <w:right w:val="nil"/>
          <w:between w:val="nil"/>
        </w:pBdr>
        <w:spacing w:before="120" w:after="180"/>
      </w:pPr>
      <w:r>
        <w:rPr>
          <w:color w:val="000000"/>
        </w:rPr>
        <w:t>Conduct a clinical drug-drug interaction study to evaluate the effect of a P-</w:t>
      </w:r>
      <w:proofErr w:type="spellStart"/>
      <w:r>
        <w:rPr>
          <w:color w:val="000000"/>
        </w:rPr>
        <w:t>gp</w:t>
      </w:r>
      <w:proofErr w:type="spellEnd"/>
      <w:r>
        <w:rPr>
          <w:color w:val="000000"/>
        </w:rPr>
        <w:t xml:space="preserve"> inhibitor on the pharmacokinetics of </w:t>
      </w:r>
      <w:proofErr w:type="spellStart"/>
      <w:r>
        <w:rPr>
          <w:color w:val="000000"/>
        </w:rPr>
        <w:t>pralsetinib</w:t>
      </w:r>
      <w:proofErr w:type="spellEnd"/>
      <w:r>
        <w:rPr>
          <w:color w:val="000000"/>
        </w:rPr>
        <w:t xml:space="preserve"> and to inform appropriate dosing strategies for safe co-administration of </w:t>
      </w:r>
      <w:proofErr w:type="spellStart"/>
      <w:r>
        <w:rPr>
          <w:color w:val="000000"/>
        </w:rPr>
        <w:t>pralsetinib</w:t>
      </w:r>
      <w:proofErr w:type="spellEnd"/>
      <w:r>
        <w:rPr>
          <w:color w:val="000000"/>
        </w:rPr>
        <w:t xml:space="preserve"> with P-</w:t>
      </w:r>
      <w:proofErr w:type="spellStart"/>
      <w:r>
        <w:rPr>
          <w:color w:val="000000"/>
        </w:rPr>
        <w:t>gp</w:t>
      </w:r>
      <w:proofErr w:type="spellEnd"/>
      <w:r>
        <w:rPr>
          <w:color w:val="000000"/>
        </w:rPr>
        <w:t xml:space="preserve"> inhibitors. Design and conduct the trial in accordance with FDA guidance and submit the datasets with the final report.</w:t>
      </w:r>
    </w:p>
    <w:p w14:paraId="000003AF" w14:textId="0378FEB7" w:rsidR="005D7E20" w:rsidRDefault="00507B07">
      <w:pPr>
        <w:numPr>
          <w:ilvl w:val="0"/>
          <w:numId w:val="6"/>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modelling/simulation study to evaluate the effect of repeat doses of a moderate CYP3A inhibitor on the pharmacokinetics of </w:t>
      </w:r>
      <w:proofErr w:type="spellStart"/>
      <w:r>
        <w:rPr>
          <w:color w:val="000000"/>
        </w:rPr>
        <w:t>pralsetinib</w:t>
      </w:r>
      <w:proofErr w:type="spellEnd"/>
      <w:r>
        <w:rPr>
          <w:color w:val="000000"/>
        </w:rPr>
        <w:t xml:space="preserve">, assess the magnitude of increased </w:t>
      </w:r>
      <w:proofErr w:type="spellStart"/>
      <w:r>
        <w:rPr>
          <w:color w:val="000000"/>
        </w:rPr>
        <w:t>pralsetinib</w:t>
      </w:r>
      <w:proofErr w:type="spellEnd"/>
      <w:r>
        <w:rPr>
          <w:color w:val="000000"/>
        </w:rPr>
        <w:t xml:space="preserve"> exposure, and inform appropriate dosing strategies for safe co-administration of </w:t>
      </w:r>
      <w:proofErr w:type="spellStart"/>
      <w:r>
        <w:rPr>
          <w:color w:val="000000"/>
        </w:rPr>
        <w:t>pralsetinib</w:t>
      </w:r>
      <w:proofErr w:type="spellEnd"/>
      <w:r>
        <w:rPr>
          <w:color w:val="000000"/>
        </w:rPr>
        <w:t xml:space="preserve"> with moderate CYP3A inhibitors. Design and conduct the trial in accordance with FDA </w:t>
      </w:r>
      <w:r w:rsidR="00D63D0E">
        <w:rPr>
          <w:color w:val="000000"/>
        </w:rPr>
        <w:t>guidance and</w:t>
      </w:r>
      <w:r>
        <w:rPr>
          <w:color w:val="000000"/>
        </w:rPr>
        <w:t xml:space="preserve"> submit the model with the final report.</w:t>
      </w:r>
    </w:p>
    <w:p w14:paraId="000003B0" w14:textId="7B3ACCD0" w:rsidR="005D7E20" w:rsidRDefault="00507B07">
      <w:pPr>
        <w:numPr>
          <w:ilvl w:val="0"/>
          <w:numId w:val="6"/>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modelling/simulation study to evaluate the effect of repeat doses of a combined P-</w:t>
      </w:r>
      <w:proofErr w:type="spellStart"/>
      <w:r>
        <w:rPr>
          <w:color w:val="000000"/>
        </w:rPr>
        <w:t>gp</w:t>
      </w:r>
      <w:proofErr w:type="spellEnd"/>
      <w:r>
        <w:rPr>
          <w:color w:val="000000"/>
        </w:rPr>
        <w:t xml:space="preserve"> and moderate CYP3A inhibitor on the pharmacokinetics of </w:t>
      </w:r>
      <w:proofErr w:type="spellStart"/>
      <w:r>
        <w:rPr>
          <w:color w:val="000000"/>
        </w:rPr>
        <w:t>pralsetinib</w:t>
      </w:r>
      <w:proofErr w:type="spellEnd"/>
      <w:r>
        <w:rPr>
          <w:color w:val="000000"/>
        </w:rPr>
        <w:t xml:space="preserve">, assess the magnitude of increased </w:t>
      </w:r>
      <w:proofErr w:type="spellStart"/>
      <w:r>
        <w:rPr>
          <w:color w:val="000000"/>
        </w:rPr>
        <w:t>pralsetinib</w:t>
      </w:r>
      <w:proofErr w:type="spellEnd"/>
      <w:r>
        <w:rPr>
          <w:color w:val="000000"/>
        </w:rPr>
        <w:t xml:space="preserve"> exposure, and inform appropriate dosing strategies for safe co-administration of </w:t>
      </w:r>
      <w:proofErr w:type="spellStart"/>
      <w:r>
        <w:rPr>
          <w:color w:val="000000"/>
        </w:rPr>
        <w:t>pralsetinib</w:t>
      </w:r>
      <w:proofErr w:type="spellEnd"/>
      <w:r>
        <w:rPr>
          <w:color w:val="000000"/>
        </w:rPr>
        <w:t xml:space="preserve"> with combined P-</w:t>
      </w:r>
      <w:proofErr w:type="spellStart"/>
      <w:r>
        <w:rPr>
          <w:color w:val="000000"/>
        </w:rPr>
        <w:t>gp</w:t>
      </w:r>
      <w:proofErr w:type="spellEnd"/>
      <w:r>
        <w:rPr>
          <w:color w:val="000000"/>
        </w:rPr>
        <w:t xml:space="preserve"> and moderate CYP3A inhibitors. Design and conduct the trial in accordance with FDA </w:t>
      </w:r>
      <w:r w:rsidR="00D63D0E">
        <w:rPr>
          <w:color w:val="000000"/>
        </w:rPr>
        <w:t>guidance and</w:t>
      </w:r>
      <w:r>
        <w:rPr>
          <w:color w:val="000000"/>
        </w:rPr>
        <w:t xml:space="preserve"> submit the model with the final report.</w:t>
      </w:r>
    </w:p>
    <w:p w14:paraId="000003B1" w14:textId="65B74373" w:rsidR="005D7E20" w:rsidRDefault="00507B07">
      <w:pPr>
        <w:numPr>
          <w:ilvl w:val="0"/>
          <w:numId w:val="6"/>
        </w:numPr>
        <w:pBdr>
          <w:top w:val="nil"/>
          <w:left w:val="nil"/>
          <w:bottom w:val="nil"/>
          <w:right w:val="nil"/>
          <w:between w:val="nil"/>
        </w:pBdr>
        <w:spacing w:before="120" w:after="180"/>
      </w:pPr>
      <w:r>
        <w:rPr>
          <w:color w:val="000000"/>
        </w:rPr>
        <w:t xml:space="preserve">Conduct a clinical drug interaction study to evaluate the effect of repeat doses of </w:t>
      </w:r>
      <w:proofErr w:type="spellStart"/>
      <w:r>
        <w:rPr>
          <w:color w:val="000000"/>
        </w:rPr>
        <w:t>pralsetinib</w:t>
      </w:r>
      <w:proofErr w:type="spellEnd"/>
      <w:r>
        <w:rPr>
          <w:color w:val="000000"/>
        </w:rPr>
        <w:t xml:space="preserve"> on the pharmacokinetics of transporter substrates of P-</w:t>
      </w:r>
      <w:proofErr w:type="spellStart"/>
      <w:r>
        <w:rPr>
          <w:color w:val="000000"/>
        </w:rPr>
        <w:t>gp</w:t>
      </w:r>
      <w:proofErr w:type="spellEnd"/>
      <w:r>
        <w:rPr>
          <w:color w:val="000000"/>
        </w:rPr>
        <w:t xml:space="preserve">, BCRP, OATP1B1, OATP1B3, MATE-1 and MATE-2K, assess the magnitude of exposure change, and inform appropriate dosing strategies for co-administration of </w:t>
      </w:r>
      <w:proofErr w:type="spellStart"/>
      <w:r>
        <w:rPr>
          <w:color w:val="000000"/>
        </w:rPr>
        <w:t>pralsetinib</w:t>
      </w:r>
      <w:proofErr w:type="spellEnd"/>
      <w:r>
        <w:rPr>
          <w:color w:val="000000"/>
        </w:rPr>
        <w:t xml:space="preserve"> with these transporter substrates. Design and conduct the trial in accordance with FDA </w:t>
      </w:r>
      <w:r w:rsidR="00D63D0E">
        <w:rPr>
          <w:color w:val="000000"/>
        </w:rPr>
        <w:t>guidance and</w:t>
      </w:r>
      <w:r>
        <w:rPr>
          <w:color w:val="000000"/>
        </w:rPr>
        <w:t xml:space="preserve"> submit the datasets with the final report.</w:t>
      </w:r>
    </w:p>
    <w:p w14:paraId="000003B2" w14:textId="14D80090" w:rsidR="005D7E20" w:rsidRDefault="00507B07">
      <w:pPr>
        <w:numPr>
          <w:ilvl w:val="0"/>
          <w:numId w:val="6"/>
        </w:numPr>
        <w:pBdr>
          <w:top w:val="nil"/>
          <w:left w:val="nil"/>
          <w:bottom w:val="nil"/>
          <w:right w:val="nil"/>
          <w:between w:val="nil"/>
        </w:pBdr>
        <w:spacing w:before="120" w:after="180"/>
      </w:pPr>
      <w:r>
        <w:rPr>
          <w:color w:val="000000"/>
        </w:rPr>
        <w:t xml:space="preserve">Conduct a clinical drug interaction study to evaluate the effect of repeat doses of </w:t>
      </w:r>
      <w:proofErr w:type="spellStart"/>
      <w:r>
        <w:rPr>
          <w:color w:val="000000"/>
        </w:rPr>
        <w:t>pralsetinib</w:t>
      </w:r>
      <w:proofErr w:type="spellEnd"/>
      <w:r>
        <w:rPr>
          <w:color w:val="000000"/>
        </w:rPr>
        <w:t xml:space="preserve"> on the pharmacokinetics of sensitive substrates of CYP3A4/5, CYP2C8, and CYP2C9, assess the magnitude of exposure change, and inform appropriate dosing strategies for safe co-administration of </w:t>
      </w:r>
      <w:proofErr w:type="spellStart"/>
      <w:r>
        <w:rPr>
          <w:color w:val="000000"/>
        </w:rPr>
        <w:t>pralsetinib</w:t>
      </w:r>
      <w:proofErr w:type="spellEnd"/>
      <w:r>
        <w:rPr>
          <w:color w:val="000000"/>
        </w:rPr>
        <w:t xml:space="preserve"> with sensitive substrates of CYP3A4/5, CYP2C8 and CYP2C9. Design and conduct the trial in accordance with FDA </w:t>
      </w:r>
      <w:r w:rsidR="00D63D0E">
        <w:rPr>
          <w:color w:val="000000"/>
        </w:rPr>
        <w:t>guidance and</w:t>
      </w:r>
      <w:r>
        <w:rPr>
          <w:color w:val="000000"/>
        </w:rPr>
        <w:t xml:space="preserve"> submit the datasets with the final report.</w:t>
      </w:r>
    </w:p>
    <w:p w14:paraId="000003B3" w14:textId="62900440" w:rsidR="005D7E20" w:rsidRDefault="00507B07">
      <w:pPr>
        <w:numPr>
          <w:ilvl w:val="0"/>
          <w:numId w:val="6"/>
        </w:numPr>
        <w:pBdr>
          <w:top w:val="nil"/>
          <w:left w:val="nil"/>
          <w:bottom w:val="nil"/>
          <w:right w:val="nil"/>
          <w:between w:val="nil"/>
        </w:pBdr>
        <w:spacing w:before="120" w:after="180"/>
      </w:pPr>
      <w:r>
        <w:rPr>
          <w:color w:val="000000"/>
        </w:rPr>
        <w:t xml:space="preserve">Conduct a </w:t>
      </w:r>
      <w:proofErr w:type="gramStart"/>
      <w:r>
        <w:rPr>
          <w:color w:val="000000"/>
        </w:rPr>
        <w:t>physiologically-based</w:t>
      </w:r>
      <w:proofErr w:type="gramEnd"/>
      <w:r>
        <w:rPr>
          <w:color w:val="000000"/>
        </w:rPr>
        <w:t xml:space="preserve"> pharmacokinetic modelling/simulation study to evaluate the effect of repeat doses of a moderate CYP3A inducer on the pharmacokinetics of </w:t>
      </w:r>
      <w:proofErr w:type="spellStart"/>
      <w:r>
        <w:rPr>
          <w:color w:val="000000"/>
        </w:rPr>
        <w:t>pralsetinib</w:t>
      </w:r>
      <w:proofErr w:type="spellEnd"/>
      <w:r>
        <w:rPr>
          <w:color w:val="000000"/>
        </w:rPr>
        <w:t xml:space="preserve">, assess the magnitude of decreased </w:t>
      </w:r>
      <w:proofErr w:type="spellStart"/>
      <w:r>
        <w:rPr>
          <w:color w:val="000000"/>
        </w:rPr>
        <w:t>pralsetinib</w:t>
      </w:r>
      <w:proofErr w:type="spellEnd"/>
      <w:r>
        <w:rPr>
          <w:color w:val="000000"/>
        </w:rPr>
        <w:t xml:space="preserve"> exposure, and inform appropriate dosing strategies for co-administration of </w:t>
      </w:r>
      <w:proofErr w:type="spellStart"/>
      <w:r>
        <w:rPr>
          <w:color w:val="000000"/>
        </w:rPr>
        <w:t>pralsetinib</w:t>
      </w:r>
      <w:proofErr w:type="spellEnd"/>
      <w:r>
        <w:rPr>
          <w:color w:val="000000"/>
        </w:rPr>
        <w:t xml:space="preserve"> with moderate CYP3A inducers. Design and conduct the trial in accordance with FDA </w:t>
      </w:r>
      <w:r w:rsidR="00D63D0E">
        <w:rPr>
          <w:color w:val="000000"/>
        </w:rPr>
        <w:t>guidance and</w:t>
      </w:r>
      <w:r>
        <w:rPr>
          <w:color w:val="000000"/>
        </w:rPr>
        <w:t xml:space="preserve"> submit the model with the final report.</w:t>
      </w:r>
    </w:p>
    <w:p w14:paraId="000003B4" w14:textId="7AEEFD36" w:rsidR="005D7E20" w:rsidRDefault="00507B07">
      <w:pPr>
        <w:pStyle w:val="Heading2"/>
      </w:pPr>
      <w:bookmarkStart w:id="35" w:name="_Toc148339750"/>
      <w:r>
        <w:t>Attachment 1. Product Information</w:t>
      </w:r>
      <w:bookmarkEnd w:id="35"/>
    </w:p>
    <w:p w14:paraId="000003B5" w14:textId="5483F933" w:rsidR="005D7E20" w:rsidRDefault="00507B07">
      <w:pPr>
        <w:sectPr w:rsidR="005D7E20">
          <w:headerReference w:type="default" r:id="rId47"/>
          <w:footerReference w:type="default" r:id="rId48"/>
          <w:pgSz w:w="11906" w:h="16838"/>
          <w:pgMar w:top="1134" w:right="1418" w:bottom="1361" w:left="1418" w:header="573" w:footer="567" w:gutter="0"/>
          <w:cols w:space="720"/>
        </w:sectPr>
      </w:pPr>
      <w:r>
        <w:t xml:space="preserve">The PI for Gavreto approved with the submission which is described in this AusPAR is at Attachment 1. For the most recent PI, please refer to the TGA </w:t>
      </w:r>
      <w:hyperlink r:id="rId49">
        <w:r>
          <w:rPr>
            <w:color w:val="0000FF"/>
            <w:u w:val="single"/>
          </w:rPr>
          <w:t>PI/CMI search facility.</w:t>
        </w:r>
      </w:hyperlink>
      <w:r>
        <w:t xml:space="preserve"> </w:t>
      </w:r>
      <w:r>
        <w:br w:type="page"/>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451953" w:rsidRPr="00215D48" w14:paraId="0F1AB7DB" w14:textId="77777777" w:rsidTr="008A6043">
        <w:trPr>
          <w:trHeight w:hRule="exact" w:val="565"/>
          <w:jc w:val="center"/>
        </w:trPr>
        <w:tc>
          <w:tcPr>
            <w:tcW w:w="9145" w:type="dxa"/>
          </w:tcPr>
          <w:p w14:paraId="06308994" w14:textId="77777777" w:rsidR="00451953" w:rsidRPr="00215D48" w:rsidRDefault="00451953" w:rsidP="008A6043">
            <w:pPr>
              <w:pStyle w:val="TGASignoff"/>
            </w:pPr>
            <w:r w:rsidRPr="00215D48">
              <w:lastRenderedPageBreak/>
              <w:t>Therapeutic Goods Administration</w:t>
            </w:r>
          </w:p>
        </w:tc>
      </w:tr>
      <w:tr w:rsidR="00451953" w:rsidRPr="00215D48" w14:paraId="535065C7" w14:textId="77777777" w:rsidTr="008A6043">
        <w:trPr>
          <w:trHeight w:val="963"/>
          <w:jc w:val="center"/>
        </w:trPr>
        <w:tc>
          <w:tcPr>
            <w:tcW w:w="9145" w:type="dxa"/>
            <w:tcMar>
              <w:top w:w="28" w:type="dxa"/>
            </w:tcMar>
          </w:tcPr>
          <w:p w14:paraId="0F0BF74E" w14:textId="77777777" w:rsidR="00451953" w:rsidRPr="00215D48" w:rsidRDefault="00451953" w:rsidP="008A6043">
            <w:pPr>
              <w:pStyle w:val="Address"/>
              <w:jc w:val="center"/>
            </w:pPr>
            <w:r w:rsidRPr="00215D48">
              <w:t>PO Box 100 Woden ACT 2606 Australia</w:t>
            </w:r>
          </w:p>
          <w:p w14:paraId="591B1C05" w14:textId="77777777" w:rsidR="00451953" w:rsidRDefault="00451953" w:rsidP="008A6043">
            <w:pPr>
              <w:pStyle w:val="Address"/>
              <w:jc w:val="center"/>
              <w:rPr>
                <w:sz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000ED00E" w14:textId="77777777" w:rsidR="00451953" w:rsidRPr="00215D48" w:rsidRDefault="00D63D0E" w:rsidP="008A6043">
            <w:pPr>
              <w:pStyle w:val="Address"/>
              <w:jc w:val="center"/>
              <w:rPr>
                <w:rStyle w:val="Hyperlink"/>
                <w:b/>
                <w:color w:val="auto"/>
                <w:sz w:val="22"/>
              </w:rPr>
            </w:pPr>
            <w:hyperlink r:id="rId51" w:history="1">
              <w:r w:rsidR="00451953" w:rsidRPr="00C4721A">
                <w:rPr>
                  <w:rStyle w:val="Hyperlink"/>
                  <w:b/>
                </w:rPr>
                <w:t>https://www.tga.gov.au</w:t>
              </w:r>
            </w:hyperlink>
          </w:p>
        </w:tc>
      </w:tr>
      <w:tr w:rsidR="00451953" w:rsidRPr="00215D48" w14:paraId="6F88781F" w14:textId="77777777" w:rsidTr="008A6043">
        <w:trPr>
          <w:trHeight w:val="251"/>
          <w:jc w:val="center"/>
        </w:trPr>
        <w:tc>
          <w:tcPr>
            <w:tcW w:w="9145" w:type="dxa"/>
            <w:tcMar>
              <w:top w:w="28" w:type="dxa"/>
            </w:tcMar>
          </w:tcPr>
          <w:p w14:paraId="4E5D6214" w14:textId="77777777" w:rsidR="00451953" w:rsidRPr="00215D48" w:rsidRDefault="00451953" w:rsidP="008A6043">
            <w:pPr>
              <w:pStyle w:val="Address"/>
              <w:jc w:val="center"/>
            </w:pPr>
            <w:r w:rsidRPr="00215D48">
              <w:t>Reference/Publication #</w:t>
            </w:r>
          </w:p>
        </w:tc>
      </w:tr>
    </w:tbl>
    <w:p w14:paraId="000003BC" w14:textId="77777777" w:rsidR="005D7E20" w:rsidRDefault="005D7E20"/>
    <w:sectPr w:rsidR="005D7E20">
      <w:headerReference w:type="first" r:id="rId52"/>
      <w:footerReference w:type="first" r:id="rId53"/>
      <w:pgSz w:w="11906" w:h="16838"/>
      <w:pgMar w:top="13571" w:right="1701" w:bottom="567" w:left="1701" w:header="1134" w:footer="7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6C57E" w14:textId="77777777" w:rsidR="001E59FA" w:rsidRDefault="001E59FA">
      <w:pPr>
        <w:spacing w:after="0" w:line="240" w:lineRule="auto"/>
      </w:pPr>
      <w:r>
        <w:separator/>
      </w:r>
    </w:p>
  </w:endnote>
  <w:endnote w:type="continuationSeparator" w:id="0">
    <w:p w14:paraId="00AC2B8C" w14:textId="77777777" w:rsidR="001E59FA" w:rsidRDefault="001E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3" w14:textId="77777777" w:rsidR="005D7E20" w:rsidRDefault="005D7E20">
    <w:pPr>
      <w:widowControl w:val="0"/>
      <w:pBdr>
        <w:top w:val="nil"/>
        <w:left w:val="nil"/>
        <w:bottom w:val="nil"/>
        <w:right w:val="nil"/>
        <w:between w:val="nil"/>
      </w:pBdr>
      <w:spacing w:after="0" w:line="276" w:lineRule="auto"/>
      <w:rPr>
        <w:color w:val="333F4A"/>
        <w:sz w:val="17"/>
        <w:szCs w:val="17"/>
      </w:rPr>
    </w:pPr>
  </w:p>
  <w:tbl>
    <w:tblPr>
      <w:tblStyle w:val="a8"/>
      <w:tblW w:w="8720" w:type="dxa"/>
      <w:tblBorders>
        <w:top w:val="nil"/>
        <w:left w:val="nil"/>
        <w:bottom w:val="nil"/>
        <w:right w:val="nil"/>
        <w:insideH w:val="nil"/>
        <w:insideV w:val="nil"/>
      </w:tblBorders>
      <w:tblLayout w:type="fixed"/>
      <w:tblLook w:val="0400" w:firstRow="0" w:lastRow="0" w:firstColumn="0" w:lastColumn="0" w:noHBand="0" w:noVBand="1"/>
    </w:tblPr>
    <w:tblGrid>
      <w:gridCol w:w="4360"/>
      <w:gridCol w:w="4360"/>
    </w:tblGrid>
    <w:tr w:rsidR="005D7E20" w14:paraId="3597999A" w14:textId="77777777">
      <w:trPr>
        <w:cantSplit/>
        <w:trHeight w:val="423"/>
      </w:trPr>
      <w:tc>
        <w:tcPr>
          <w:tcW w:w="4360" w:type="dxa"/>
          <w:tcBorders>
            <w:top w:val="single" w:sz="4" w:space="0" w:color="000000"/>
          </w:tcBorders>
        </w:tcPr>
        <w:p w14:paraId="000003D4" w14:textId="77777777" w:rsidR="005D7E20" w:rsidRDefault="005D7E20">
          <w:pPr>
            <w:pBdr>
              <w:top w:val="nil"/>
              <w:left w:val="nil"/>
              <w:bottom w:val="nil"/>
              <w:right w:val="nil"/>
              <w:between w:val="nil"/>
            </w:pBdr>
            <w:tabs>
              <w:tab w:val="center" w:pos="4513"/>
              <w:tab w:val="right" w:pos="9026"/>
            </w:tabs>
            <w:spacing w:before="0"/>
            <w:ind w:left="0" w:right="0"/>
            <w:rPr>
              <w:color w:val="333F4A"/>
              <w:sz w:val="17"/>
              <w:szCs w:val="17"/>
            </w:rPr>
          </w:pPr>
        </w:p>
        <w:p w14:paraId="000003D5" w14:textId="77777777" w:rsidR="005D7E20" w:rsidRDefault="00507B07">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Document title</w:t>
          </w:r>
        </w:p>
      </w:tc>
      <w:tc>
        <w:tcPr>
          <w:tcW w:w="4360" w:type="dxa"/>
          <w:tcBorders>
            <w:top w:val="single" w:sz="4" w:space="0" w:color="000000"/>
          </w:tcBorders>
        </w:tcPr>
        <w:p w14:paraId="000003D6" w14:textId="77777777" w:rsidR="005D7E20" w:rsidRDefault="005D7E20">
          <w:pPr>
            <w:pBdr>
              <w:top w:val="nil"/>
              <w:left w:val="nil"/>
              <w:bottom w:val="nil"/>
              <w:right w:val="nil"/>
              <w:between w:val="nil"/>
            </w:pBdr>
            <w:tabs>
              <w:tab w:val="center" w:pos="4513"/>
              <w:tab w:val="right" w:pos="9026"/>
            </w:tabs>
            <w:spacing w:before="0"/>
            <w:ind w:left="0" w:right="0"/>
            <w:jc w:val="right"/>
            <w:rPr>
              <w:color w:val="333F4A"/>
              <w:sz w:val="17"/>
              <w:szCs w:val="17"/>
            </w:rPr>
          </w:pPr>
        </w:p>
        <w:p w14:paraId="000003D7" w14:textId="77777777" w:rsidR="005D7E20" w:rsidRDefault="00507B07">
          <w:pPr>
            <w:pBdr>
              <w:top w:val="nil"/>
              <w:left w:val="nil"/>
              <w:bottom w:val="nil"/>
              <w:right w:val="nil"/>
              <w:between w:val="nil"/>
            </w:pBdr>
            <w:tabs>
              <w:tab w:val="center" w:pos="4513"/>
              <w:tab w:val="right" w:pos="9026"/>
            </w:tabs>
            <w:spacing w:before="0"/>
            <w:ind w:left="0" w:right="0"/>
            <w:jc w:val="right"/>
            <w:rPr>
              <w:color w:val="333F4A"/>
              <w:sz w:val="17"/>
              <w:szCs w:val="17"/>
            </w:rPr>
          </w:pPr>
          <w:r>
            <w:rPr>
              <w:color w:val="333F4A"/>
              <w:sz w:val="17"/>
              <w:szCs w:val="17"/>
            </w:rPr>
            <w:t xml:space="preserve">Page </w:t>
          </w:r>
          <w:r>
            <w:rPr>
              <w:color w:val="333F4A"/>
              <w:sz w:val="17"/>
              <w:szCs w:val="17"/>
            </w:rPr>
            <w:fldChar w:fldCharType="begin"/>
          </w:r>
          <w:r>
            <w:rPr>
              <w:color w:val="333F4A"/>
              <w:sz w:val="17"/>
              <w:szCs w:val="17"/>
            </w:rPr>
            <w:instrText>PAGE</w:instrText>
          </w:r>
          <w:r>
            <w:rPr>
              <w:color w:val="333F4A"/>
              <w:sz w:val="17"/>
              <w:szCs w:val="17"/>
            </w:rPr>
            <w:fldChar w:fldCharType="end"/>
          </w:r>
          <w:r>
            <w:rPr>
              <w:color w:val="333F4A"/>
              <w:sz w:val="17"/>
              <w:szCs w:val="17"/>
            </w:rPr>
            <w:t xml:space="preserve"> of </w:t>
          </w:r>
          <w:r>
            <w:rPr>
              <w:color w:val="333F4A"/>
              <w:sz w:val="17"/>
              <w:szCs w:val="17"/>
            </w:rPr>
            <w:fldChar w:fldCharType="begin"/>
          </w:r>
          <w:r>
            <w:rPr>
              <w:color w:val="333F4A"/>
              <w:sz w:val="17"/>
              <w:szCs w:val="17"/>
            </w:rPr>
            <w:instrText>NUMPAGES</w:instrText>
          </w:r>
          <w:r>
            <w:rPr>
              <w:color w:val="333F4A"/>
              <w:sz w:val="17"/>
              <w:szCs w:val="17"/>
            </w:rPr>
            <w:fldChar w:fldCharType="end"/>
          </w:r>
        </w:p>
      </w:tc>
    </w:tr>
    <w:tr w:rsidR="005D7E20" w14:paraId="13EC8389" w14:textId="77777777">
      <w:trPr>
        <w:cantSplit/>
        <w:trHeight w:val="263"/>
      </w:trPr>
      <w:tc>
        <w:tcPr>
          <w:tcW w:w="4360" w:type="dxa"/>
        </w:tcPr>
        <w:p w14:paraId="000003D8" w14:textId="77777777" w:rsidR="005D7E20" w:rsidRDefault="00507B07">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V1.0 Month 2012</w:t>
          </w:r>
        </w:p>
      </w:tc>
      <w:tc>
        <w:tcPr>
          <w:tcW w:w="4360" w:type="dxa"/>
        </w:tcPr>
        <w:p w14:paraId="000003D9" w14:textId="77777777" w:rsidR="005D7E20" w:rsidRDefault="005D7E20">
          <w:pPr>
            <w:pBdr>
              <w:top w:val="nil"/>
              <w:left w:val="nil"/>
              <w:bottom w:val="nil"/>
              <w:right w:val="nil"/>
              <w:between w:val="nil"/>
            </w:pBdr>
            <w:tabs>
              <w:tab w:val="center" w:pos="4513"/>
              <w:tab w:val="right" w:pos="9026"/>
            </w:tabs>
            <w:spacing w:before="0"/>
            <w:ind w:left="0" w:right="0"/>
            <w:jc w:val="right"/>
            <w:rPr>
              <w:color w:val="333F4A"/>
              <w:sz w:val="17"/>
              <w:szCs w:val="17"/>
            </w:rPr>
          </w:pPr>
        </w:p>
      </w:tc>
    </w:tr>
  </w:tbl>
  <w:p w14:paraId="000003DA" w14:textId="77777777" w:rsidR="005D7E20" w:rsidRDefault="005D7E20">
    <w:pPr>
      <w:pBdr>
        <w:top w:val="nil"/>
        <w:left w:val="nil"/>
        <w:bottom w:val="nil"/>
        <w:right w:val="nil"/>
        <w:between w:val="nil"/>
      </w:pBdr>
      <w:tabs>
        <w:tab w:val="center" w:pos="4513"/>
        <w:tab w:val="right" w:pos="9026"/>
        <w:tab w:val="left" w:pos="7620"/>
        <w:tab w:val="right" w:pos="8504"/>
      </w:tabs>
      <w:spacing w:after="0" w:line="240" w:lineRule="auto"/>
      <w:rPr>
        <w:color w:val="333F4A"/>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2" w14:textId="77777777" w:rsidR="005D7E20" w:rsidRDefault="00507B07">
    <w:pPr>
      <w:pBdr>
        <w:top w:val="nil"/>
        <w:left w:val="nil"/>
        <w:bottom w:val="nil"/>
        <w:right w:val="nil"/>
        <w:between w:val="nil"/>
      </w:pBdr>
      <w:tabs>
        <w:tab w:val="center" w:pos="4513"/>
        <w:tab w:val="right" w:pos="9026"/>
      </w:tabs>
      <w:spacing w:after="0" w:line="240" w:lineRule="auto"/>
      <w:ind w:left="-1701"/>
      <w:rPr>
        <w:color w:val="333F4A"/>
        <w:sz w:val="17"/>
        <w:szCs w:val="17"/>
      </w:rPr>
    </w:pPr>
    <w:r>
      <w:rPr>
        <w:color w:val="333F4A"/>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9072" w:type="dxa"/>
      <w:tblBorders>
        <w:top w:val="nil"/>
        <w:left w:val="nil"/>
        <w:bottom w:val="nil"/>
        <w:right w:val="nil"/>
        <w:insideH w:val="nil"/>
        <w:insideV w:val="nil"/>
      </w:tblBorders>
      <w:tblLayout w:type="fixed"/>
      <w:tblLook w:val="0400" w:firstRow="0" w:lastRow="0" w:firstColumn="0" w:lastColumn="0" w:noHBand="0" w:noVBand="1"/>
    </w:tblPr>
    <w:tblGrid>
      <w:gridCol w:w="7338"/>
      <w:gridCol w:w="1734"/>
    </w:tblGrid>
    <w:tr w:rsidR="005D7E20" w14:paraId="618039C5" w14:textId="77777777">
      <w:trPr>
        <w:cantSplit/>
        <w:trHeight w:val="423"/>
      </w:trPr>
      <w:tc>
        <w:tcPr>
          <w:tcW w:w="7338" w:type="dxa"/>
          <w:tcBorders>
            <w:top w:val="single" w:sz="4" w:space="0" w:color="000000"/>
          </w:tcBorders>
        </w:tcPr>
        <w:p w14:paraId="000003DC" w14:textId="28A44CB8" w:rsidR="005D7E20" w:rsidRDefault="00507B07">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 xml:space="preserve">AusPAR - Gavreto - </w:t>
          </w:r>
          <w:proofErr w:type="spellStart"/>
          <w:r>
            <w:rPr>
              <w:color w:val="333F4A"/>
              <w:sz w:val="17"/>
              <w:szCs w:val="17"/>
            </w:rPr>
            <w:t>Pralsetinib</w:t>
          </w:r>
          <w:proofErr w:type="spellEnd"/>
          <w:r>
            <w:rPr>
              <w:color w:val="333F4A"/>
              <w:sz w:val="17"/>
              <w:szCs w:val="17"/>
            </w:rPr>
            <w:t xml:space="preserve"> - Roche Products Pty Ltd - PM-2021-05760-1-4</w:t>
          </w:r>
          <w:r>
            <w:rPr>
              <w:color w:val="333F4A"/>
              <w:sz w:val="17"/>
              <w:szCs w:val="17"/>
            </w:rPr>
            <w:br/>
          </w:r>
          <w:r w:rsidR="001823C5">
            <w:rPr>
              <w:color w:val="333F4A"/>
              <w:sz w:val="17"/>
              <w:szCs w:val="17"/>
            </w:rPr>
            <w:t>FINAL</w:t>
          </w:r>
          <w:r>
            <w:rPr>
              <w:color w:val="333F4A"/>
              <w:sz w:val="17"/>
              <w:szCs w:val="17"/>
            </w:rPr>
            <w:t xml:space="preserve"> </w:t>
          </w:r>
          <w:r w:rsidR="001823C5">
            <w:rPr>
              <w:color w:val="333F4A"/>
              <w:sz w:val="17"/>
              <w:szCs w:val="17"/>
            </w:rPr>
            <w:t>16 October</w:t>
          </w:r>
          <w:r>
            <w:rPr>
              <w:color w:val="333F4A"/>
              <w:sz w:val="17"/>
              <w:szCs w:val="17"/>
            </w:rPr>
            <w:t xml:space="preserve"> 2023</w:t>
          </w:r>
        </w:p>
      </w:tc>
      <w:tc>
        <w:tcPr>
          <w:tcW w:w="1734" w:type="dxa"/>
          <w:tcBorders>
            <w:top w:val="single" w:sz="4" w:space="0" w:color="000000"/>
          </w:tcBorders>
        </w:tcPr>
        <w:p w14:paraId="000003DD" w14:textId="62EEB405" w:rsidR="005D7E20" w:rsidRDefault="00507B07">
          <w:pPr>
            <w:pBdr>
              <w:top w:val="nil"/>
              <w:left w:val="nil"/>
              <w:bottom w:val="nil"/>
              <w:right w:val="nil"/>
              <w:between w:val="nil"/>
            </w:pBdr>
            <w:tabs>
              <w:tab w:val="center" w:pos="4513"/>
              <w:tab w:val="right" w:pos="9026"/>
            </w:tabs>
            <w:spacing w:before="0"/>
            <w:ind w:left="0" w:right="0"/>
            <w:jc w:val="right"/>
            <w:rPr>
              <w:color w:val="333F4A"/>
              <w:sz w:val="17"/>
              <w:szCs w:val="17"/>
            </w:rPr>
          </w:pPr>
          <w:r>
            <w:rPr>
              <w:color w:val="333F4A"/>
              <w:sz w:val="17"/>
              <w:szCs w:val="17"/>
            </w:rPr>
            <w:t xml:space="preserve">Page </w:t>
          </w:r>
          <w:r>
            <w:rPr>
              <w:color w:val="333F4A"/>
              <w:sz w:val="17"/>
              <w:szCs w:val="17"/>
            </w:rPr>
            <w:fldChar w:fldCharType="begin"/>
          </w:r>
          <w:r>
            <w:rPr>
              <w:color w:val="333F4A"/>
              <w:sz w:val="17"/>
              <w:szCs w:val="17"/>
            </w:rPr>
            <w:instrText>PAGE</w:instrText>
          </w:r>
          <w:r>
            <w:rPr>
              <w:color w:val="333F4A"/>
              <w:sz w:val="17"/>
              <w:szCs w:val="17"/>
            </w:rPr>
            <w:fldChar w:fldCharType="separate"/>
          </w:r>
          <w:r w:rsidR="009C191D">
            <w:rPr>
              <w:noProof/>
              <w:color w:val="333F4A"/>
              <w:sz w:val="17"/>
              <w:szCs w:val="17"/>
            </w:rPr>
            <w:t>47</w:t>
          </w:r>
          <w:r>
            <w:rPr>
              <w:color w:val="333F4A"/>
              <w:sz w:val="17"/>
              <w:szCs w:val="17"/>
            </w:rPr>
            <w:fldChar w:fldCharType="end"/>
          </w:r>
          <w:r>
            <w:rPr>
              <w:color w:val="333F4A"/>
              <w:sz w:val="17"/>
              <w:szCs w:val="17"/>
            </w:rPr>
            <w:t xml:space="preserve"> of </w:t>
          </w:r>
          <w:r>
            <w:rPr>
              <w:color w:val="333F4A"/>
              <w:sz w:val="17"/>
              <w:szCs w:val="17"/>
            </w:rPr>
            <w:fldChar w:fldCharType="begin"/>
          </w:r>
          <w:r>
            <w:rPr>
              <w:color w:val="333F4A"/>
              <w:sz w:val="17"/>
              <w:szCs w:val="17"/>
            </w:rPr>
            <w:instrText>NUMPAGES</w:instrText>
          </w:r>
          <w:r>
            <w:rPr>
              <w:color w:val="333F4A"/>
              <w:sz w:val="17"/>
              <w:szCs w:val="17"/>
            </w:rPr>
            <w:fldChar w:fldCharType="separate"/>
          </w:r>
          <w:r w:rsidR="009C191D">
            <w:rPr>
              <w:noProof/>
              <w:color w:val="333F4A"/>
              <w:sz w:val="17"/>
              <w:szCs w:val="17"/>
            </w:rPr>
            <w:t>47</w:t>
          </w:r>
          <w:r>
            <w:rPr>
              <w:color w:val="333F4A"/>
              <w:sz w:val="17"/>
              <w:szCs w:val="17"/>
            </w:rPr>
            <w:fldChar w:fldCharType="end"/>
          </w:r>
        </w:p>
      </w:tc>
    </w:tr>
  </w:tbl>
  <w:p w14:paraId="000003DE" w14:textId="77777777" w:rsidR="005D7E20" w:rsidRDefault="005D7E20" w:rsidP="001823C5">
    <w:pPr>
      <w:keepLines/>
      <w:tabs>
        <w:tab w:val="center" w:pos="4513"/>
        <w:tab w:val="right" w:pos="9026"/>
        <w:tab w:val="left" w:pos="7620"/>
        <w:tab w:val="right" w:pos="8504"/>
      </w:tabs>
      <w:spacing w:after="0"/>
      <w:rPr>
        <w:color w:val="333F48"/>
        <w:sz w:val="17"/>
        <w:szCs w:val="17"/>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0" w14:textId="77777777" w:rsidR="005D7E20" w:rsidRDefault="005D7E20">
    <w:pPr>
      <w:pBdr>
        <w:top w:val="nil"/>
        <w:left w:val="nil"/>
        <w:bottom w:val="nil"/>
        <w:right w:val="nil"/>
        <w:between w:val="nil"/>
      </w:pBdr>
      <w:tabs>
        <w:tab w:val="center" w:pos="4513"/>
        <w:tab w:val="right" w:pos="9026"/>
      </w:tabs>
      <w:spacing w:after="0" w:line="240" w:lineRule="auto"/>
      <w:rPr>
        <w:color w:val="333F4A"/>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6EB75" w14:textId="77777777" w:rsidR="001E59FA" w:rsidRDefault="001E59FA">
      <w:pPr>
        <w:spacing w:after="0" w:line="240" w:lineRule="auto"/>
      </w:pPr>
      <w:r>
        <w:separator/>
      </w:r>
    </w:p>
  </w:footnote>
  <w:footnote w:type="continuationSeparator" w:id="0">
    <w:p w14:paraId="359EC570" w14:textId="77777777" w:rsidR="001E59FA" w:rsidRDefault="001E59FA">
      <w:pPr>
        <w:spacing w:after="0" w:line="240" w:lineRule="auto"/>
      </w:pPr>
      <w:r>
        <w:continuationSeparator/>
      </w:r>
    </w:p>
  </w:footnote>
  <w:footnote w:id="1">
    <w:p w14:paraId="000003BD"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This is the original indication proposed by the sponsor when the TGA commenced the evaluation of this submission. It may differ to the final indication approved by the TGA and registered on the Australian Register of Therapeutic Goods.</w:t>
      </w:r>
    </w:p>
  </w:footnote>
  <w:footnote w:id="2">
    <w:p w14:paraId="000003BE"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N2 disease in non–small cell lung cancer (NSCLC) is the presence of ipsilateral mediastinal nodal metastases.</w:t>
      </w:r>
    </w:p>
  </w:footnote>
  <w:footnote w:id="3">
    <w:p w14:paraId="000003BF"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International Conference on Harmonisation of Technical Requirements for Registration of Pharmaceuticals for Human Use Harmonised Tripartite </w:t>
      </w:r>
      <w:proofErr w:type="gramStart"/>
      <w:r>
        <w:rPr>
          <w:color w:val="333F48"/>
          <w:sz w:val="17"/>
          <w:szCs w:val="17"/>
        </w:rPr>
        <w:t>Guideline ,</w:t>
      </w:r>
      <w:proofErr w:type="gramEnd"/>
      <w:r>
        <w:rPr>
          <w:color w:val="333F48"/>
          <w:sz w:val="17"/>
          <w:szCs w:val="17"/>
        </w:rPr>
        <w:t xml:space="preserve"> Nonclinical evaluation for anti-cancer pharmaceuticals.</w:t>
      </w:r>
    </w:p>
  </w:footnote>
  <w:footnote w:id="4">
    <w:p w14:paraId="000003C0"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The QT interval is the time from the start of the QRS wave complex to the end of the corresponding T wave. It approximates to the time taken for ventricular depolarisation and repolarisation</w:t>
      </w:r>
      <w:proofErr w:type="gramStart"/>
      <w:r>
        <w:rPr>
          <w:color w:val="333F48"/>
          <w:sz w:val="17"/>
          <w:szCs w:val="17"/>
        </w:rPr>
        <w:t>, that is to say, the</w:t>
      </w:r>
      <w:proofErr w:type="gramEnd"/>
      <w:r>
        <w:rPr>
          <w:color w:val="333F48"/>
          <w:sz w:val="17"/>
          <w:szCs w:val="17"/>
        </w:rPr>
        <w:t xml:space="preserve"> period of ventricular systole from ventricular isovolumetric contraction to isovolumetric relaxation. The corrected QT interval (QTc) estimates the QT interval at a standard heart rate. This allows comparison of QT values over time at different heart rates and improves detection of patients at increased risk of arrhythmias.</w:t>
      </w:r>
    </w:p>
  </w:footnote>
  <w:footnote w:id="5">
    <w:p w14:paraId="000003C1"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Cytochrome P450 (CYP)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rPr>
          <w:color w:val="333F48"/>
          <w:sz w:val="17"/>
          <w:szCs w:val="17"/>
        </w:rPr>
        <w:t>interactions, since</w:t>
      </w:r>
      <w:proofErr w:type="gramEnd"/>
      <w:r>
        <w:rPr>
          <w:color w:val="333F48"/>
          <w:sz w:val="17"/>
          <w:szCs w:val="17"/>
        </w:rPr>
        <w:t xml:space="preserve"> changes in CYP enzyme activity may affect the metabolism and clearance of various drugs. Such drug interactions are especially important to </w:t>
      </w:r>
      <w:proofErr w:type="gramStart"/>
      <w:r>
        <w:rPr>
          <w:color w:val="333F48"/>
          <w:sz w:val="17"/>
          <w:szCs w:val="17"/>
        </w:rPr>
        <w:t>take into account</w:t>
      </w:r>
      <w:proofErr w:type="gramEnd"/>
      <w:r>
        <w:rPr>
          <w:color w:val="333F48"/>
          <w:sz w:val="17"/>
          <w:szCs w:val="17"/>
        </w:rPr>
        <w:t xml:space="preserve"> when using drugs of vital importance to the patient, drugs with important side-effects and drugs with small therapeutic windows, but any drug may be subject to an altered plasma concentration due to altered drug metabolism.</w:t>
      </w:r>
    </w:p>
  </w:footnote>
  <w:footnote w:id="6">
    <w:p w14:paraId="000003C2"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New drug application multi-disciplinary review and evaluation {213721} </w:t>
      </w:r>
      <w:proofErr w:type="spellStart"/>
      <w:r>
        <w:rPr>
          <w:color w:val="333F48"/>
          <w:sz w:val="17"/>
          <w:szCs w:val="17"/>
        </w:rPr>
        <w:t>Pralsetinib</w:t>
      </w:r>
      <w:proofErr w:type="spellEnd"/>
      <w:r>
        <w:rPr>
          <w:color w:val="333F48"/>
          <w:sz w:val="17"/>
          <w:szCs w:val="17"/>
        </w:rPr>
        <w:t>. Available at https://www.accessdata.fda.gov/drugsatfda_docs/nda/2020/213721Orig1s000MultidisciplineR.pdf</w:t>
      </w:r>
    </w:p>
  </w:footnote>
  <w:footnote w:id="7">
    <w:p w14:paraId="000003C3"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14:paraId="000003C4"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0 - Fully active, able to carry on all pre-disease performance without restriction</w:t>
      </w:r>
    </w:p>
    <w:p w14:paraId="000003C5"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 xml:space="preserve">1- Restricted in physically strenuous activity but ambulatory and able to carry out work of a light or sedentary nature, for example, light </w:t>
      </w:r>
      <w:proofErr w:type="gramStart"/>
      <w:r>
        <w:rPr>
          <w:color w:val="333F48"/>
          <w:sz w:val="17"/>
          <w:szCs w:val="17"/>
        </w:rPr>
        <w:t>house work</w:t>
      </w:r>
      <w:proofErr w:type="gramEnd"/>
      <w:r>
        <w:rPr>
          <w:color w:val="333F48"/>
          <w:sz w:val="17"/>
          <w:szCs w:val="17"/>
        </w:rPr>
        <w:t>, office work</w:t>
      </w:r>
    </w:p>
    <w:p w14:paraId="000003C6"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2 - Ambulatory and capable of all selfcare but unable to carry out any work activities. Up and about more than 50% of waking hours</w:t>
      </w:r>
    </w:p>
    <w:p w14:paraId="000003C7"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3 - Capable of only limited selfcare, confined to bed or chair more than 50% of waking hours</w:t>
      </w:r>
    </w:p>
    <w:p w14:paraId="000003C8"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4 - Completely disabled. Cannot carry on any selfcare. Totally confined to bed or chair</w:t>
      </w:r>
    </w:p>
    <w:p w14:paraId="000003C9" w14:textId="77777777" w:rsidR="005D7E20" w:rsidRDefault="00507B07">
      <w:pPr>
        <w:keepLines/>
        <w:pBdr>
          <w:top w:val="nil"/>
          <w:left w:val="nil"/>
          <w:bottom w:val="nil"/>
          <w:right w:val="nil"/>
          <w:between w:val="nil"/>
        </w:pBdr>
        <w:spacing w:after="0"/>
        <w:rPr>
          <w:color w:val="333F48"/>
          <w:sz w:val="17"/>
          <w:szCs w:val="17"/>
        </w:rPr>
      </w:pPr>
      <w:r>
        <w:rPr>
          <w:color w:val="333F48"/>
          <w:sz w:val="17"/>
          <w:szCs w:val="17"/>
        </w:rPr>
        <w:t>5 – Dead</w:t>
      </w:r>
    </w:p>
  </w:footnote>
  <w:footnote w:id="8">
    <w:p w14:paraId="000003CA"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sdt>
        <w:sdtPr>
          <w:tag w:val="goog_rdk_41"/>
          <w:id w:val="908499562"/>
        </w:sdtPr>
        <w:sdtEndPr/>
        <w:sdtContent/>
      </w:sdt>
      <w:r>
        <w:rPr>
          <w:color w:val="333F48"/>
          <w:sz w:val="17"/>
          <w:szCs w:val="17"/>
        </w:rPr>
        <w:t xml:space="preserve"> The TNM Staging System includes the extent of the </w:t>
      </w:r>
      <w:proofErr w:type="spellStart"/>
      <w:r>
        <w:rPr>
          <w:color w:val="333F48"/>
          <w:sz w:val="17"/>
          <w:szCs w:val="17"/>
        </w:rPr>
        <w:t>tumor</w:t>
      </w:r>
      <w:proofErr w:type="spellEnd"/>
      <w:r>
        <w:rPr>
          <w:color w:val="333F48"/>
          <w:sz w:val="17"/>
          <w:szCs w:val="17"/>
        </w:rPr>
        <w:t xml:space="preserve"> (T), extent of spread to the lymph nodes (N), and presence of metastasis (M)</w:t>
      </w:r>
    </w:p>
  </w:footnote>
  <w:footnote w:id="9">
    <w:p w14:paraId="000003CB" w14:textId="77777777" w:rsidR="005D7E20" w:rsidRDefault="00507B07">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FDA guidance, Clinical trial endpoints for the approval of cancer drugs and biologics, Guidance for Industry. Available at https://www.fda.gov/media/71195/download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F" w14:textId="77777777" w:rsidR="005D7E20" w:rsidRDefault="005D7E20">
    <w:pPr>
      <w:pBdr>
        <w:top w:val="nil"/>
        <w:left w:val="nil"/>
        <w:bottom w:val="single" w:sz="4" w:space="3" w:color="000000"/>
        <w:right w:val="nil"/>
        <w:between w:val="nil"/>
      </w:pBdr>
      <w:tabs>
        <w:tab w:val="center" w:pos="4513"/>
        <w:tab w:val="right" w:pos="9026"/>
      </w:tabs>
      <w:spacing w:after="0" w:line="240" w:lineRule="auto"/>
      <w:rPr>
        <w:rFonts w:ascii="Arial" w:eastAsia="Arial" w:hAnsi="Arial" w:cs="Arial"/>
        <w:color w:val="333F4A"/>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C" w14:textId="77777777" w:rsidR="005D7E20" w:rsidRDefault="005D7E20">
    <w:pPr>
      <w:widowControl w:val="0"/>
      <w:pBdr>
        <w:top w:val="nil"/>
        <w:left w:val="nil"/>
        <w:bottom w:val="nil"/>
        <w:right w:val="nil"/>
        <w:between w:val="nil"/>
      </w:pBdr>
      <w:spacing w:after="0" w:line="276" w:lineRule="auto"/>
      <w:rPr>
        <w:color w:val="333F48"/>
        <w:sz w:val="17"/>
        <w:szCs w:val="17"/>
      </w:rPr>
    </w:pPr>
  </w:p>
  <w:tbl>
    <w:tblPr>
      <w:tblStyle w:val="a7"/>
      <w:tblpPr w:leftFromText="181" w:rightFromText="181" w:vertAnchor="page" w:horzAnchor="page" w:tblpX="1" w:tblpY="8999"/>
      <w:tblW w:w="11964" w:type="dxa"/>
      <w:tblBorders>
        <w:top w:val="nil"/>
        <w:left w:val="nil"/>
        <w:bottom w:val="nil"/>
        <w:right w:val="nil"/>
        <w:insideH w:val="nil"/>
        <w:insideV w:val="nil"/>
      </w:tblBorders>
      <w:tblLayout w:type="fixed"/>
      <w:tblLook w:val="0400" w:firstRow="0" w:lastRow="0" w:firstColumn="0" w:lastColumn="0" w:noHBand="0" w:noVBand="1"/>
    </w:tblPr>
    <w:tblGrid>
      <w:gridCol w:w="11964"/>
    </w:tblGrid>
    <w:tr w:rsidR="005D7E20" w14:paraId="2BFAA91F" w14:textId="77777777">
      <w:trPr>
        <w:cantSplit/>
        <w:trHeight w:val="8845"/>
      </w:trPr>
      <w:tc>
        <w:tcPr>
          <w:tcW w:w="11964" w:type="dxa"/>
          <w:vAlign w:val="center"/>
        </w:tcPr>
        <w:p w14:paraId="000003CD" w14:textId="77777777" w:rsidR="005D7E20" w:rsidRDefault="00507B07">
          <w:pPr>
            <w:ind w:left="-57"/>
          </w:pPr>
          <w:r>
            <w:rPr>
              <w:noProof/>
              <w:lang w:val="en-NZ"/>
            </w:rPr>
            <w:drawing>
              <wp:inline distT="0" distB="0" distL="0" distR="0" wp14:anchorId="38DDB318" wp14:editId="2C2C62DB">
                <wp:extent cx="7631430" cy="552386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1430" cy="5523865"/>
                        </a:xfrm>
                        <a:prstGeom prst="rect">
                          <a:avLst/>
                        </a:prstGeom>
                        <a:ln/>
                      </pic:spPr>
                    </pic:pic>
                  </a:graphicData>
                </a:graphic>
              </wp:inline>
            </w:drawing>
          </w:r>
        </w:p>
      </w:tc>
    </w:tr>
  </w:tbl>
  <w:p w14:paraId="000003CE" w14:textId="77777777" w:rsidR="005D7E20" w:rsidRDefault="00507B07">
    <w:r>
      <w:rPr>
        <w:noProof/>
        <w:lang w:val="en-NZ"/>
      </w:rPr>
      <w:drawing>
        <wp:anchor distT="0" distB="0" distL="114300" distR="114300" simplePos="0" relativeHeight="251658240" behindDoc="0" locked="0" layoutInCell="1" hidden="0" allowOverlap="1" wp14:anchorId="3DD93BCF" wp14:editId="51D83C48">
          <wp:simplePos x="0" y="0"/>
          <wp:positionH relativeFrom="page">
            <wp:posOffset>0</wp:posOffset>
          </wp:positionH>
          <wp:positionV relativeFrom="page">
            <wp:posOffset>3963395</wp:posOffset>
          </wp:positionV>
          <wp:extent cx="7663815" cy="4323091"/>
          <wp:effectExtent l="0" t="0" r="0" b="0"/>
          <wp:wrapNone/>
          <wp:docPr id="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a:stretch>
                    <a:fillRect/>
                  </a:stretch>
                </pic:blipFill>
                <pic:spPr>
                  <a:xfrm>
                    <a:off x="0" y="0"/>
                    <a:ext cx="7663815" cy="4323091"/>
                  </a:xfrm>
                  <a:prstGeom prst="rect">
                    <a:avLst/>
                  </a:prstGeom>
                  <a:ln/>
                </pic:spPr>
              </pic:pic>
            </a:graphicData>
          </a:graphic>
        </wp:anchor>
      </w:drawing>
    </w:r>
    <w:r>
      <w:rPr>
        <w:noProof/>
        <w:lang w:val="en-NZ"/>
      </w:rPr>
      <w:drawing>
        <wp:anchor distT="0" distB="0" distL="114300" distR="114300" simplePos="0" relativeHeight="251659264" behindDoc="0" locked="0" layoutInCell="1" hidden="0" allowOverlap="1" wp14:anchorId="6F8D65F4" wp14:editId="1E8D2CA4">
          <wp:simplePos x="0" y="0"/>
          <wp:positionH relativeFrom="column">
            <wp:posOffset>-400049</wp:posOffset>
          </wp:positionH>
          <wp:positionV relativeFrom="paragraph">
            <wp:posOffset>-116203</wp:posOffset>
          </wp:positionV>
          <wp:extent cx="2676525" cy="621665"/>
          <wp:effectExtent l="0" t="0" r="0" b="0"/>
          <wp:wrapTopAndBottom distT="0" dist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
                  <a:srcRect/>
                  <a:stretch>
                    <a:fillRect/>
                  </a:stretch>
                </pic:blipFill>
                <pic:spPr>
                  <a:xfrm>
                    <a:off x="0" y="0"/>
                    <a:ext cx="2676525" cy="621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0" w14:textId="77777777" w:rsidR="005D7E20" w:rsidRDefault="00507B07">
    <w:pPr>
      <w:pBdr>
        <w:top w:val="nil"/>
        <w:left w:val="nil"/>
        <w:bottom w:val="single" w:sz="4" w:space="3"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r>
      <w:rPr>
        <w:rFonts w:ascii="Arial" w:eastAsia="Arial" w:hAnsi="Arial" w:cs="Arial"/>
        <w:color w:val="333F4A"/>
        <w:sz w:val="17"/>
        <w:szCs w:val="17"/>
      </w:rPr>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1" w14:textId="77777777" w:rsidR="005D7E20" w:rsidRDefault="005D7E20">
    <w:pPr>
      <w:pBdr>
        <w:top w:val="nil"/>
        <w:left w:val="nil"/>
        <w:bottom w:val="none" w:sz="0" w:space="0"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41F40"/>
    <w:multiLevelType w:val="multilevel"/>
    <w:tmpl w:val="07CA0E28"/>
    <w:lvl w:ilvl="0">
      <w:start w:val="1"/>
      <w:numFmt w:val="bullet"/>
      <w:pStyle w:val="Numberbullet"/>
      <w:lvlText w:val="●"/>
      <w:lvlJc w:val="left"/>
      <w:pPr>
        <w:ind w:left="720" w:hanging="360"/>
      </w:pPr>
      <w:rPr>
        <w:rFonts w:ascii="Noto Sans Symbols" w:eastAsia="Noto Sans Symbols" w:hAnsi="Noto Sans Symbols" w:cs="Noto Sans Symbols"/>
      </w:rPr>
    </w:lvl>
    <w:lvl w:ilvl="1">
      <w:start w:val="1"/>
      <w:numFmt w:val="bullet"/>
      <w:pStyle w:val="Number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934CB3"/>
    <w:multiLevelType w:val="multilevel"/>
    <w:tmpl w:val="6BEEEE2A"/>
    <w:lvl w:ilvl="0">
      <w:start w:val="1"/>
      <w:numFmt w:val="bullet"/>
      <w:pStyle w:val="ListBullet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3DD6DC4"/>
    <w:multiLevelType w:val="multilevel"/>
    <w:tmpl w:val="AD70117A"/>
    <w:lvl w:ilvl="0">
      <w:start w:val="1"/>
      <w:numFmt w:val="decimal"/>
      <w:pStyle w:val="ListBullet-dotick"/>
      <w:lvlText w:val="%1."/>
      <w:lvlJc w:val="left"/>
      <w:pPr>
        <w:ind w:left="360" w:hanging="360"/>
      </w:pPr>
      <w:rPr>
        <w:rFonts w:ascii="Arial" w:eastAsia="Arial" w:hAnsi="Arial" w:cs="Arial"/>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3" w15:restartNumberingAfterBreak="0">
    <w:nsid w:val="3AFF1BAF"/>
    <w:multiLevelType w:val="multilevel"/>
    <w:tmpl w:val="73F87ABC"/>
    <w:lvl w:ilvl="0">
      <w:start w:val="1"/>
      <w:numFmt w:val="decimal"/>
      <w:pStyle w:val="Bulletpoint"/>
      <w:lvlText w:val="%1."/>
      <w:lvlJc w:val="left"/>
      <w:pPr>
        <w:ind w:left="360" w:hanging="360"/>
      </w:pPr>
      <w:rPr>
        <w:rFonts w:ascii="Arial" w:eastAsia="Arial" w:hAnsi="Arial" w:cs="Arial"/>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4" w15:restartNumberingAfterBreak="0">
    <w:nsid w:val="3F130C69"/>
    <w:multiLevelType w:val="multilevel"/>
    <w:tmpl w:val="6EE4B11E"/>
    <w:lvl w:ilvl="0">
      <w:start w:val="1"/>
      <w:numFmt w:val="bullet"/>
      <w:pStyle w:val="Number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5002D3"/>
    <w:multiLevelType w:val="multilevel"/>
    <w:tmpl w:val="F640860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pStyle w:val="List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75250D"/>
    <w:multiLevelType w:val="multilevel"/>
    <w:tmpl w:val="55E6BC5A"/>
    <w:lvl w:ilvl="0">
      <w:start w:val="4"/>
      <w:numFmt w:val="bullet"/>
      <w:pStyle w:val="ListBullet-donotcross"/>
      <w:lvlText w:val="•"/>
      <w:lvlJc w:val="left"/>
      <w:pPr>
        <w:ind w:left="360" w:hanging="360"/>
      </w:pPr>
      <w:rPr>
        <w:rFonts w:ascii="Cambria" w:eastAsia="Cambria" w:hAnsi="Cambria" w:cs="Cambria"/>
      </w:rPr>
    </w:lvl>
    <w:lvl w:ilvl="1">
      <w:start w:val="1"/>
      <w:numFmt w:val="bullet"/>
      <w:lvlText w:val="–"/>
      <w:lvlJc w:val="left"/>
      <w:pPr>
        <w:ind w:left="720" w:hanging="360"/>
      </w:pPr>
      <w:rPr>
        <w:rFonts w:ascii="Arial" w:eastAsia="Arial" w:hAnsi="Arial" w:cs="Arial"/>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 w15:restartNumberingAfterBreak="0">
    <w:nsid w:val="7C325A8B"/>
    <w:multiLevelType w:val="multilevel"/>
    <w:tmpl w:val="ACACCB12"/>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99667950">
    <w:abstractNumId w:val="5"/>
  </w:num>
  <w:num w:numId="2" w16cid:durableId="397438593">
    <w:abstractNumId w:val="0"/>
  </w:num>
  <w:num w:numId="3" w16cid:durableId="431244265">
    <w:abstractNumId w:val="1"/>
  </w:num>
  <w:num w:numId="4" w16cid:durableId="861017635">
    <w:abstractNumId w:val="4"/>
  </w:num>
  <w:num w:numId="5" w16cid:durableId="1805348515">
    <w:abstractNumId w:val="2"/>
  </w:num>
  <w:num w:numId="6" w16cid:durableId="163277413">
    <w:abstractNumId w:val="6"/>
  </w:num>
  <w:num w:numId="7" w16cid:durableId="994379552">
    <w:abstractNumId w:val="3"/>
  </w:num>
  <w:num w:numId="8" w16cid:durableId="1220358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20"/>
    <w:rsid w:val="000B7A55"/>
    <w:rsid w:val="001823C5"/>
    <w:rsid w:val="001E0B2F"/>
    <w:rsid w:val="001E59FA"/>
    <w:rsid w:val="00451953"/>
    <w:rsid w:val="00507B07"/>
    <w:rsid w:val="005D7E20"/>
    <w:rsid w:val="0076507A"/>
    <w:rsid w:val="009C191D"/>
    <w:rsid w:val="00D63D0E"/>
    <w:rsid w:val="00F96F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357A"/>
  <w15:docId w15:val="{752E9E6F-3C51-424D-A569-17D8CF50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AU" w:eastAsia="en-NZ"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6617D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7261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table" w:customStyle="1" w:styleId="TableTGAblue2023">
    <w:name w:val="Table TGA blue 2023"/>
    <w:basedOn w:val="TableNormal"/>
    <w:uiPriority w:val="99"/>
    <w:qFormat/>
    <w:rsid w:val="008329DB"/>
    <w:pPr>
      <w:spacing w:before="80" w:after="40" w:line="264" w:lineRule="auto"/>
      <w:ind w:left="113"/>
    </w:pPr>
    <w:rPr>
      <w:rFonts w:ascii="Arial"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cs="Times New Roman"/>
    </w:rPr>
  </w:style>
  <w:style w:type="numbering" w:customStyle="1" w:styleId="ListBullets">
    <w:name w:val="ListBullets"/>
    <w:uiPriority w:val="99"/>
    <w:locked/>
    <w:rsid w:val="00F02AEC"/>
  </w:style>
  <w:style w:type="paragraph" w:customStyle="1" w:styleId="Numberbullet">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hAnsi="Arial" w:cs="Times New Roman"/>
      <w:color w:val="333F48"/>
    </w:rPr>
  </w:style>
  <w:style w:type="numbering" w:customStyle="1" w:styleId="NumberBullet0">
    <w:name w:val="NumberBullet"/>
    <w:uiPriority w:val="99"/>
    <w:locked/>
    <w:rsid w:val="00F02AEC"/>
  </w:style>
  <w:style w:type="paragraph" w:styleId="Subtitle">
    <w:name w:val="Subtitle"/>
    <w:basedOn w:val="Normal"/>
    <w:next w:val="Normal"/>
    <w:link w:val="SubtitleChar"/>
    <w:pPr>
      <w:spacing w:after="0"/>
      <w:ind w:left="170"/>
    </w:pPr>
    <w:rPr>
      <w:rFonts w:ascii="Arial" w:eastAsia="Arial" w:hAnsi="Arial" w:cs="Arial"/>
      <w:color w:val="006BA6"/>
      <w:sz w:val="40"/>
      <w:szCs w:val="40"/>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hAnsi="Arial" w:cs="Times New Roman"/>
      <w:b/>
      <w:color w:val="333F48"/>
      <w:sz w:val="28"/>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hAnsi="Arial" w:cs="Times New Roman"/>
      <w:b/>
      <w:sz w:val="32"/>
    </w:rPr>
  </w:style>
  <w:style w:type="table" w:customStyle="1" w:styleId="TableTGAblue">
    <w:name w:val="Table TGA blue"/>
    <w:basedOn w:val="TableNormal"/>
    <w:uiPriority w:val="99"/>
    <w:qFormat/>
    <w:rsid w:val="00324B33"/>
    <w:pPr>
      <w:spacing w:after="0" w:line="240" w:lineRule="auto"/>
      <w:ind w:left="170" w:right="170"/>
    </w:pPr>
    <w:rPr>
      <w:rFonts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cs="Times New Roman"/>
      <w:i/>
      <w:color w:val="007099"/>
    </w:rPr>
  </w:style>
  <w:style w:type="paragraph" w:customStyle="1" w:styleId="TableTitle">
    <w:name w:val="Table Title"/>
    <w:basedOn w:val="Normal"/>
    <w:rsid w:val="00324B33"/>
    <w:pPr>
      <w:keepNext/>
      <w:spacing w:before="120" w:line="240" w:lineRule="atLeast"/>
    </w:pPr>
    <w:rPr>
      <w:rFonts w:cs="Times New Roman"/>
      <w:b/>
    </w:rPr>
  </w:style>
  <w:style w:type="paragraph" w:customStyle="1" w:styleId="TableDescription">
    <w:name w:val="Table Description"/>
    <w:basedOn w:val="Normal"/>
    <w:qFormat/>
    <w:rsid w:val="00854D98"/>
    <w:pPr>
      <w:spacing w:before="120" w:line="240" w:lineRule="auto"/>
    </w:pPr>
    <w:rPr>
      <w:rFonts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Bulletpoint">
    <w:name w:val="Bullet point"/>
    <w:basedOn w:val="Normal"/>
    <w:rsid w:val="00BD620A"/>
    <w:pPr>
      <w:numPr>
        <w:numId w:val="7"/>
      </w:numPr>
      <w:tabs>
        <w:tab w:val="left" w:pos="397"/>
        <w:tab w:val="num" w:pos="511"/>
      </w:tabs>
      <w:spacing w:after="180" w:line="252" w:lineRule="auto"/>
    </w:pPr>
    <w:rPr>
      <w:rFonts w:eastAsia="Times New Roman" w:cs="Times New Roman"/>
      <w:snapToGrid w:val="0"/>
      <w:kern w:val="16"/>
      <w:szCs w:val="24"/>
    </w:rPr>
  </w:style>
  <w:style w:type="paragraph" w:styleId="ListParagraph">
    <w:name w:val="List Paragraph"/>
    <w:basedOn w:val="Normal"/>
    <w:link w:val="ListParagraphChar"/>
    <w:uiPriority w:val="34"/>
    <w:qFormat/>
    <w:rsid w:val="00BD620A"/>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locked/>
    <w:rsid w:val="00BD620A"/>
    <w:rPr>
      <w:rFonts w:ascii="Cambria" w:eastAsia="MS Mincho" w:hAnsi="Cambria" w:cs="Times New Roman"/>
      <w:sz w:val="22"/>
      <w:lang w:eastAsia="ja-JP"/>
    </w:rPr>
  </w:style>
  <w:style w:type="character" w:customStyle="1" w:styleId="Heading7Char">
    <w:name w:val="Heading 7 Char"/>
    <w:basedOn w:val="DefaultParagraphFont"/>
    <w:link w:val="Heading7"/>
    <w:uiPriority w:val="9"/>
    <w:rsid w:val="006617DC"/>
    <w:rPr>
      <w:rFonts w:asciiTheme="majorHAnsi" w:eastAsiaTheme="majorEastAsia" w:hAnsiTheme="majorHAnsi" w:cstheme="majorBidi"/>
      <w:i/>
      <w:iCs/>
      <w:color w:val="1F3763" w:themeColor="accent1" w:themeShade="7F"/>
      <w:sz w:val="22"/>
    </w:rPr>
  </w:style>
  <w:style w:type="paragraph" w:styleId="NoSpacing">
    <w:name w:val="No Spacing"/>
    <w:uiPriority w:val="1"/>
    <w:qFormat/>
    <w:rsid w:val="007111F1"/>
    <w:pPr>
      <w:spacing w:after="0" w:line="240" w:lineRule="auto"/>
    </w:pPr>
  </w:style>
  <w:style w:type="character" w:customStyle="1" w:styleId="Heading8Char">
    <w:name w:val="Heading 8 Char"/>
    <w:basedOn w:val="DefaultParagraphFont"/>
    <w:link w:val="Heading8"/>
    <w:uiPriority w:val="9"/>
    <w:rsid w:val="00772617"/>
    <w:rPr>
      <w:rFonts w:asciiTheme="majorHAnsi" w:eastAsiaTheme="majorEastAsia" w:hAnsiTheme="majorHAnsi" w:cstheme="majorBidi"/>
      <w:color w:val="272727" w:themeColor="text1" w:themeTint="D8"/>
      <w:sz w:val="21"/>
      <w:szCs w:val="21"/>
    </w:rPr>
  </w:style>
  <w:style w:type="paragraph" w:customStyle="1" w:styleId="Bulletlist">
    <w:name w:val="Bullet list"/>
    <w:basedOn w:val="Normal"/>
    <w:link w:val="BulletlistChar"/>
    <w:qFormat/>
    <w:rsid w:val="006D0489"/>
    <w:pPr>
      <w:numPr>
        <w:numId w:val="8"/>
      </w:numPr>
      <w:spacing w:after="180" w:line="252" w:lineRule="auto"/>
      <w:ind w:left="426" w:hanging="284"/>
    </w:pPr>
    <w:rPr>
      <w:rFonts w:eastAsia="Times New Roman" w:cs="Times New Roman"/>
      <w:snapToGrid w:val="0"/>
      <w:kern w:val="2"/>
      <w:sz w:val="23"/>
    </w:rPr>
  </w:style>
  <w:style w:type="character" w:customStyle="1" w:styleId="BulletlistChar">
    <w:name w:val="Bullet list Char"/>
    <w:basedOn w:val="DefaultParagraphFont"/>
    <w:link w:val="Bulletlist"/>
    <w:rsid w:val="006D0489"/>
    <w:rPr>
      <w:rFonts w:ascii="Cambria" w:eastAsia="Times New Roman" w:hAnsi="Cambria" w:cs="Times New Roman"/>
      <w:snapToGrid w:val="0"/>
      <w:kern w:val="2"/>
      <w:sz w:val="23"/>
      <w:szCs w:val="22"/>
    </w:rPr>
  </w:style>
  <w:style w:type="paragraph" w:customStyle="1" w:styleId="Tabletext0">
    <w:name w:val="Table text"/>
    <w:basedOn w:val="Normal"/>
    <w:link w:val="TabletextChar"/>
    <w:qFormat/>
    <w:rsid w:val="006D0489"/>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6D0489"/>
    <w:rPr>
      <w:rFonts w:ascii="Cambria" w:eastAsia="Times New Roman" w:hAnsi="Cambria" w:cs="Times New Roman"/>
      <w:snapToGrid w:val="0"/>
      <w:kern w:val="16"/>
      <w:szCs w:val="24"/>
    </w:rPr>
  </w:style>
  <w:style w:type="paragraph" w:customStyle="1" w:styleId="Standard">
    <w:name w:val="Standard"/>
    <w:basedOn w:val="Normal"/>
    <w:link w:val="StandardChar"/>
    <w:qFormat/>
    <w:rsid w:val="006D0489"/>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6D0489"/>
    <w:rPr>
      <w:rFonts w:ascii="Cambria" w:eastAsia="Times New Roman" w:hAnsi="Cambria" w:cs="Times New Roman"/>
      <w:snapToGrid w:val="0"/>
      <w:kern w:val="16"/>
      <w:sz w:val="23"/>
      <w:szCs w:val="24"/>
    </w:rPr>
  </w:style>
  <w:style w:type="paragraph" w:customStyle="1" w:styleId="Default">
    <w:name w:val="Default"/>
    <w:rsid w:val="00232037"/>
    <w:pPr>
      <w:autoSpaceDE w:val="0"/>
      <w:autoSpaceDN w:val="0"/>
      <w:adjustRightInd w:val="0"/>
      <w:spacing w:after="0" w:line="240" w:lineRule="auto"/>
    </w:pPr>
    <w:rPr>
      <w:color w:val="000000"/>
      <w:sz w:val="24"/>
      <w:szCs w:val="24"/>
    </w:rPr>
  </w:style>
  <w:style w:type="table" w:customStyle="1" w:styleId="a">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0">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3">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4">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5">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before="80" w:after="0" w:line="240" w:lineRule="auto"/>
      <w:ind w:left="170" w:right="170"/>
    </w:pPr>
    <w:rPr>
      <w:color w:val="000000"/>
    </w:rPr>
    <w:tblPr>
      <w:tblStyleRowBandSize w:val="1"/>
      <w:tblStyleColBandSize w:val="1"/>
      <w:tblCellMar>
        <w:left w:w="0" w:type="dxa"/>
        <w:right w:w="0" w:type="dxa"/>
      </w:tblCellMar>
    </w:tblPr>
    <w:tcPr>
      <w:shd w:val="clear" w:color="auto" w:fill="auto"/>
    </w:tcPr>
  </w:style>
  <w:style w:type="table" w:customStyle="1" w:styleId="a8">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9">
    <w:basedOn w:val="TableNormal"/>
    <w:pPr>
      <w:spacing w:before="80" w:after="0" w:line="240" w:lineRule="auto"/>
      <w:ind w:left="170" w:right="170"/>
    </w:pPr>
    <w:rPr>
      <w:color w:val="000000"/>
    </w:rPr>
    <w:tblPr>
      <w:tblStyleRowBandSize w:val="1"/>
      <w:tblStyleColBandSize w:val="1"/>
      <w:tblCellMar>
        <w:top w:w="85" w:type="dxa"/>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85427">
      <w:bodyDiv w:val="1"/>
      <w:marLeft w:val="0"/>
      <w:marRight w:val="0"/>
      <w:marTop w:val="0"/>
      <w:marBottom w:val="0"/>
      <w:divBdr>
        <w:top w:val="none" w:sz="0" w:space="0" w:color="auto"/>
        <w:left w:val="none" w:sz="0" w:space="0" w:color="auto"/>
        <w:bottom w:val="none" w:sz="0" w:space="0" w:color="auto"/>
        <w:right w:val="none" w:sz="0" w:space="0" w:color="auto"/>
      </w:divBdr>
    </w:div>
    <w:div w:id="838885866">
      <w:bodyDiv w:val="1"/>
      <w:marLeft w:val="0"/>
      <w:marRight w:val="0"/>
      <w:marTop w:val="0"/>
      <w:marBottom w:val="0"/>
      <w:divBdr>
        <w:top w:val="none" w:sz="0" w:space="0" w:color="auto"/>
        <w:left w:val="none" w:sz="0" w:space="0" w:color="auto"/>
        <w:bottom w:val="none" w:sz="0" w:space="0" w:color="auto"/>
        <w:right w:val="none" w:sz="0" w:space="0" w:color="auto"/>
      </w:divBdr>
    </w:div>
    <w:div w:id="1278492280">
      <w:bodyDiv w:val="1"/>
      <w:marLeft w:val="0"/>
      <w:marRight w:val="0"/>
      <w:marTop w:val="0"/>
      <w:marBottom w:val="0"/>
      <w:divBdr>
        <w:top w:val="none" w:sz="0" w:space="0" w:color="auto"/>
        <w:left w:val="none" w:sz="0" w:space="0" w:color="auto"/>
        <w:bottom w:val="none" w:sz="0" w:space="0" w:color="auto"/>
        <w:right w:val="none" w:sz="0" w:space="0" w:color="auto"/>
      </w:divBdr>
    </w:div>
    <w:div w:id="166181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yperlink" Target="https://www.accessdata.fda.gov/drugsatfda_docs/nda/2020/213721Orig1s000MultidisciplineR.pdf"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hyperlink" Target="https://www.tga.gov.au/picmi-search-facility" TargetMode="External"/><Relationship Id="rId42" Type="http://schemas.openxmlformats.org/officeDocument/2006/relationships/image" Target="media/image22.png"/><Relationship Id="rId47" Type="http://schemas.openxmlformats.org/officeDocument/2006/relationships/header" Target="header3.xm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ga.gov.au/project-orbis" TargetMode="External"/><Relationship Id="rId25" Type="http://schemas.openxmlformats.org/officeDocument/2006/relationships/image" Target="media/image10.png"/><Relationship Id="rId33" Type="http://schemas.openxmlformats.org/officeDocument/2006/relationships/hyperlink" Target="https://www.tga.gov.au/products/australian-register-therapeutic-goods-artg/consumer-medicines-information-cmi" TargetMode="External"/><Relationship Id="rId38" Type="http://schemas.openxmlformats.org/officeDocument/2006/relationships/image" Target="media/image18.png"/><Relationship Id="rId46" Type="http://schemas.openxmlformats.org/officeDocument/2006/relationships/hyperlink" Target="https://www.tga.gov.au/committee/advisory-committee-medicines-acm" TargetMode="External"/><Relationship Id="rId2" Type="http://schemas.openxmlformats.org/officeDocument/2006/relationships/customXml" Target="../customXml/item2.xml"/><Relationship Id="rId16" Type="http://schemas.openxmlformats.org/officeDocument/2006/relationships/hyperlink" Target="https://www.tga.gov.au/black-triangle-scheme"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tga.gov.au/products/australian-register-therapeutic-goods-artg/product-information-one"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tga.gov.au/publication/provisional-registration-extension-and-transition-full-registration" TargetMode="Externa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tga.copyright@tga.gov.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s://www.tga.gov.au/picmi-search-facility"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tga.gov.au/products/australian-register-therapeutic-goods-artg/product-information-one" TargetMode="External"/><Relationship Id="rId44" Type="http://schemas.openxmlformats.org/officeDocument/2006/relationships/image" Target="media/image24.pn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tga.gov.au/australian-public-assessment-report-auspar-guidanc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ga.gov.au/provisional-approval-pathway-prescription-medicines" TargetMode="External"/><Relationship Id="rId43" Type="http://schemas.openxmlformats.org/officeDocument/2006/relationships/image" Target="media/image23.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IWxZI+N+TrrgpzXujY7KqyaXw==">CgMxLjAaJwoBMBIiCiAIBCocCgtBQUFBNktXN2sxTRAIGgtBQUFBNktXN2sxTRonCgExEiIKIAgEKhwKC0FBQUE1RmhLTXFrEAgaC0FBQUE1RmhLTXFrGhoKATISFQoTCAQqDwoLQUFBQTVEbE5NZ0EQARoaCgEzEhUKEwgEKg8KC0FBQUE1RGxOTWdBEAIaJwoBNBIiCiAIBCocCgtBQUFBNktXN2t2OBAIGgtBQUFBNktXN2t2OBoaCgE1EhUKEwgEKg8KC0FBQUE2dndfaHNVEAEaJwoBNhIiCiAIBCocCgtBQUFBNktXN2t2NBAIGgtBQUFBNktXN2t2NBoaCgE3EhUKEwgEKg8KC0FBQUE2dndfaHNZEAEaJwoBOBIiCiAIBCocCgtBQUFBNktXN2t2MBAIGgtBQUFBNktXN2t2MBonCgE5EiIKIAgEKhwKC0FBQUE2S1c3a3ZvEAgaC0FBQUE2S1c3a3ZvGigKAjEwEiIKIAgEKhwKC0FBQUE2S1c3a3dBEAgaC0FBQUE2S1c3a3dBGigKAjExEiIKIAgEKhwKC0FBQUE2S1c3a3dFEAgaC0FBQUE2S1c3a3dFGhsKAjEyEhUKEwgEKg8KC0FBQUE2dndfaHNjEAEaKAoCMTMSIgogCAQqHAoLQUFBQTZLVzdrd00QCBoLQUFBQTZLVzdrd00aGwoCMTQSFQoTCAQqDwoLQUFBQTZ2d19oc2cQAhooCgIxNRIiCiAIBCocCgtBQUFBNktXN2t3VRAIGgtBQUFBNktXN2t3VRobCgIxNhIVChMIBCoPCgtBQUFBNnZ3X2hzZxABGigKAjE3EiIKIAgEKhwKC0FBQUE2S1c3a3dvEAgaC0FBQUE2S1c3a3dvGigKAjE4EiIKIAgEKhwKC0FBQUE2S1c3a3c4EAgaC0FBQUE2S1c3a3c4GigKAjE5EiIKIAgEKhwKC0FBQUE2S1c3a3hJEAgaC0FBQUE2S1c3a3hJGhsKAjIwEhUKEwgEKg8KC0FBQUE2dndfaHNrEAIaKAoCMjESIgogCAQqHAoLQUFBQTZLVzdreUEQCBoLQUFBQTZLVzdreUEaKAoCMjISIgogCAQqHAoLQUFBQTZ2d19oczgQCBoLQUFBQTZ2d19oczgaKAoCMjMSIgogCAQqHAoLQUFBQTZLVzdreUkQCBoLQUFBQTZLVzdreUkaKAoCMjQSIgogCAQqHAoLQUFBQTZ2d19oczAQCBoLQUFBQTZ2d19oczAaKAoCMjUSIgogCAQqHAoLQUFBQTZLVzdreVEQCBoLQUFBQTZLVzdreVEaKAoCMjYSIgogCAQqHAoLQUFBQTZ2d19oczQQCBoLQUFBQTZ2d19oczQaKAoCMjcSIgogCAQqHAoLQUFBQTZ2d19odEEQCBoLQUFBQTZ2d19odEEaKAoCMjgSIgogCAQqHAoLQUFBQTZ2d19odEEQCBoLQUFBQTU5NXNCM0UaKAoCMjkSIgogCAQqHAoLQUFBQTZLVzdrekkQCBoLQUFBQTZLVzdrekkaGwoCMzASFQoTCAQqDwoLQUFBQTZ2d19odEUQARobCgIzMRIVChMIBCoPCgtBQUFBNnZ3X2h0SRABGhsKAjMyEhUKEwgEKg8KC0FBQUE2dndfaHRNEAEaGwoCMzMSFQoTCAQqDwoLQUFBQTZ2d19odFEQARooCgIzNBIiCiAIBCocCgtBQUFBNktXN2t5YxAIGgtBQUFBNktXN2t5YxooCgIzNRIiCiAIBCocCgtBQUFBNURsTk1rVRAIGgtBQUFBNURsTk1rVRooCgIzNhIiCiAIBCocCgtBQUFBNktXN2t5ZxAIGgtBQUFBNktXN2t5ZxooCgIzNxIiCiAIBCocCgtBQUFBNktXN2t5bxAIGgtBQUFBNktXN2t5bxooCgIzOBIiCiAIBCocCgtBQUFBNktXN2t5NBAIGgtBQUFBNktXN2t5NBooCgIzORIiCiAIBCocCgtBQUFBNUZoS01xZxAIGgtBQUFBNUZoS01xZxooCgI0MBIiCiAIBCocCgtBQUFBNnZ3X2h0YxAIGgtBQUFBNnZ3X2h0YxooCgI0MRIiCiAIBCocCgtBQUFBNnZ3X2hzdxAIGgtBQUFBNnZ3X2hzdyL7AQoLQUFBQTZLVzdrd1USyQEKC0FBQUE2S1c3a3dVEgtBQUFBNktXN2t3VRobCgl0ZXh0L2h0bWwSDnNob3VsZCBiZSA6IG9yIhwKCnRleHQvcGxhaW4SDnNob3VsZCBiZSA6IG9yKhsiFTEwMjk0OTkxOTY1MDAxNzY2MjIwNigAOAAw16bolK4xONem6JSuMUoRCgp0ZXh0L3BsYWluEgNhbmRaDG5xb2hodmgxeDA3OHICIAB4AJoBBggAEAAYAKoBEBIOc2hvdWxkIGJlIDogb3KwAQC4AQAY16bolK4xINem6JSuMTAAQhBraXguNmlrMHN2d3IwczliIrwGCgtBQUFBNktXN2t2NBKKBgoLQUFBQTZLVzdrdjQSC0FBQUE2S1c3a3Y0GroBCgl0ZXh0L2h0bWwSrAFzaG91bGQgYmUgOsKgRG9zZS1kZXBlbmRlbnQgaW5jcmVhc2VzIGluIHN5c3RlbWljIGV4cG9zdXJlIGNvdWxkIGJlIGNvbmNsdWRlZCBvdmVyIHRoZTxicj5kb3NlIHJhbmdlIG9mIDIwMCB0byA0MDBtZyBRRCBpbiBoZWFsdGh5IHN1YmplY3RzPGJyPlJhdGlvbmFsZSA6IFNDUCBzZWN0aW9uIDMuMS4yIrUBCgp0ZXh0L3BsYWluEqYBc2hvdWxkIGJlIDrCoERvc2UtZGVwZW5kZW50IGluY3JlYXNlcyBpbiBzeXN0ZW1pYyBleHBvc3VyZSBjb3VsZCBiZSBjb25jbHVkZWQgb3ZlciB0aGUKZG9zZSByYW5nZSBvZiAyMDAgdG8gNDAwbWcgUUQgaW4gaGVhbHRoeSBzdWJqZWN0cwpSYXRpb25hbGUgOiBTQ1Agc2VjdGlvbiAzLjEuMiobIhUxMDI5NDk5MTk2NTAwMTc2NjIyMDYoADgAMMvQz5SuMTjL0M+UrjFKeAoKdGV4dC9wbGFpbhJqRG9zZSBkZXBlbmRlbnQgaW5jcmVhc2VzIGluIHN5c3RlbWljIGV4cG9zdXJlIGNvdWxkIGJlIGNvbmNsdWRlZCBvdmVyIHRoZSBkb3NlIHJhbmdlIG9mIDIwMCB0byA0MDBtZyBkYWlseVoMYnZwc2oxM3JvY2JhcgIgAHgAmgEGCAAQABgAqgGvARKsAXNob3VsZCBiZSA6wqBEb3NlLWRlcGVuZGVudCBpbmNyZWFzZXMgaW4gc3lzdGVtaWMgZXhwb3N1cmUgY291bGQgYmUgY29uY2x1ZGVkIG92ZXIgdGhlPGJyPmRvc2UgcmFuZ2Ugb2YgMjAwIHRvIDQwMG1nIFFEIGluIGhlYWx0aHkgc3ViamVjdHM8YnI+UmF0aW9uYWxlIDogU0NQIHNlY3Rpb24gMy4xLjKwAQC4AQAYy9DPlK4xIMvQz5SuMTAAQhBraXguZ2Ztb2plYmVmZW1yIu8KCgtBQUFBNnZ3X2h0QRK9CgoLQUFBQTZ2d19odEESC0FBQUE2dndfaHRBGogCCgl0ZXh0L2h0bWwS+gFAPGEgaHJlZj0ibWFpbHRvOm1jY2FsbHM1QGdlbmUuY29tIiBkYXRhLXJhd0hyZWY9Im1haWx0bzptY2NhbGxzNUBnZW5lLmNvbSIgdGFyZ2V0PSJfYmxhbmsiPm1jY2FsbHM1QGdlbmUuY29tPC9hPiBUaGlzIGlzIHN1cmVseSBub3QgY29ycmVjdC4gVGhlIGFkZGl0aW9uYWwgcGF0aWVudHMgY29tZSBmcm9tIHRoZSBDQ09EIGZvciB0aGUgaW5pdGlhbCBzdWJtaXNzaW9uIChOb3YgMjAxOSkgYW5kIHRoZSBEOTAgcmVwb3J0IGN1dCBvZmYuIqoBCgp0ZXh0L3BsYWluEpsBQG1jY2FsbHM1QGdlbmUuY29tIFRoaXMgaXMgc3VyZWx5IG5vdCBjb3JyZWN0LiBUaGUgYWRkaXRpb25hbCBwYXRpZW50cyBjb21lIGZyb20gdGhlIENDT0QgZm9yIHRoZSBpbml0aWFsIHN1Ym1pc3Npb24gKE5vdiAyMDE5KSBhbmQgdGhlIEQ5MCByZXBvcnQgY3V0IG9mZi4qGyIVMTA2ODIzMDM5MDQyNDQ4NTI2NTY5KAA4ADDJ2KKqrjE4xv3V664xQtICCgtBQUFBNTk1c0IzRRILQUFBQTZ2d19odEEaUQoJdGV4dC9odG1sEkRBZ3JlZS4gVGhpcyB3aG9sZSBwYXJhZ3JhcGggaXMgYWxzbyB3cml0dGVuIGluIGEgdmVyeSBjb25mdXNpbmcgd2F5LiJSCgp0ZXh0L3BsYWluEkRBZ3JlZS4gVGhpcyB3aG9sZSBwYXJhZ3JhcGggaXMgYWxzbyB3cml0dGVuIGluIGEgdmVyeSBjb25mdXNpbmcgd2F5LiobIhUxMDk1OTI0MDAzNzg4NTA2MDIwMjEoADgAMMb91euuMTjG/dXrrjFaDGVmaWF1cGF2ZGlzanICIAB4AJoBBggAEAAYAKoBRhJEQWdyZWUuIFRoaXMgd2hvbGUgcGFyYWdyYXBoIGlzIGFsc28gd3JpdHRlbiBpbiBhIHZlcnkgY29uZnVzaW5nIHdheS5KogEKCnRleHQvcGxhaW4SkwFhbmQgYWRkaXRpb25hbCBwYXRpZW50cyB3aG8gcmVjZWl2ZWQgYSBzdGFydGluZyBkb3NlIG9mIDQwMMKgbWcgb25jZSBkYWlseSBhdmFpbGFibGUgYWZ0ZXIgdGhlIDkwLWRheSBzYWZldHkgdXBkYXRlIChkYXRhIGN1dG9mZiAxMyBGZWJydWFyeSAyMDIwKS5QBFoMZHd1YTdpcWF4d255cgIgAHgAkgEdChsiFTEwOTU5MjQwMDM3ODg1MDYwMjAyMSgAOACaAQYIABAAGACqAf0BEvoBQDxhIGhyZWY9Im1haWx0bzptY2NhbGxzNUBnZW5lLmNvbSIgZGF0YS1yYXdocmVmPSJtYWlsdG86bWNjYWxsczVAZ2VuZS5jb20iIHRhcmdldD0iX2JsYW5rIj5tY2NhbGxzNUBnZW5lLmNvbTwvYT4gVGhpcyBpcyBzdXJlbHkgbm90IGNvcnJlY3QuIFRoZSBhZGRpdGlvbmFsIHBhdGllbnRzIGNvbWUgZnJvbSB0aGUgQ0NPRCBmb3IgdGhlIGluaXRpYWwgc3VibWlzc2lvbiAoTm92IDIwMTkpIGFuZCB0aGUgRDkwIHJlcG9ydCBjdXQgb2ZmLrABALgBABjJ2KKqrjEgxv3V664xMABCEGtpeC53a2h5c3dtaWNjZzci8gcKC0FBQUE2S1c3a3YwEsAHCgtBQUFBNktXN2t2MBILQUFBQTZLVzdrdjAa7QEKCXRleHQvaHRtbBLfAXNob3VsZCBiZcKgwqBDb25jb21pdGFudCB0cmVhdG1lbnQgd2l0aCBkcnVncyB0aGF0IGFyZSBDWVAzQSBpbmhpYml0b3JzIG9yIGluZHVjZXJzIGNhbjxicj5pbmNyZWFzZSAod2l0aCBpbmhpYml0b3JzKSBvciBkZWNyZWFzZSAod2l0aCBpbmR1Y2VycykgdGhlIGV4cG9zdXJlIHRvIHByYWxzZXRpbmliIHJlc3BlY3RpdmVseTxicj48YnI+UkFUSU9OQUxFID0gU0NQIHNlY3Rpb24gMy42LjIi5QEKCnRleHQvcGxhaW4S1gFzaG91bGQgYmXCoMKgQ29uY29taXRhbnQgdHJlYXRtZW50IHdpdGggZHJ1Z3MgdGhhdCBhcmUgQ1lQM0EgaW5oaWJpdG9ycyBvciBpbmR1Y2VycyBjYW4KaW5jcmVhc2UgKHdpdGggaW5oaWJpdG9ycykgb3IgZGVjcmVhc2UgKHdpdGggaW5kdWNlcnMpIHRoZSBleHBvc3VyZSB0byBwcmFsc2V0aW5pYiByZXNwZWN0aXZlbHkKClJBVElPTkFMRSA9IFNDUCBzZWN0aW9uIDMuNi4yKhsiFTEwMjk0OTkxOTY1MDAxNzY2MjIwNigAOAAwnOfGlK4xOJznxpSuMUqXAQoKdGV4dC9wbGFpbhKIAUNvbmNvbWl0YW50IHRyZWF0bWVudCB3aXRoIGRydWdzIHRoYXQgYXJlIENZUDNBIGluaGliaXRvcnMgb3IgaW5kdWNlcnMgY2FuIGluY3JlYXNlIG9yIGRlY3JlYXNlIHRoZSBleHBvc3VyZSB0byBwcmFsc2V0aW5pYiByZXNwZWN0aXZlbHlaDDQzNHY4M3E1NHd2aXICIAB4AJoBBggAEAAYAKoB4gES3wFzaG91bGQgYmXCoMKgQ29uY29taXRhbnQgdHJlYXRtZW50IHdpdGggZHJ1Z3MgdGhhdCBhcmUgQ1lQM0EgaW5oaWJpdG9ycyBvciBpbmR1Y2VycyBjYW48YnI+aW5jcmVhc2UgKHdpdGggaW5oaWJpdG9ycykgb3IgZGVjcmVhc2UgKHdpdGggaW5kdWNlcnMpIHRoZSBleHBvc3VyZSB0byBwcmFsc2V0aW5pYiByZXNwZWN0aXZlbHk8YnI+PGJyPlJBVElPTkFMRSA9IFNDUCBzZWN0aW9uIDMuNi4ysAEAuAEAGJznxpSuMSCc58aUrjEwAEIQa2l4LjZuZXRlZTczNTZjNiLjGQoLQUFBQTZLVzdrMU0SsRkKC0FBQUE2S1c3azFNEgtBQUFBNktXN2sxTRrrCAoJdGV4dC9odG1sEt0IQDxhIGhyZWY9Im1haWx0bzpuYWRpYS5rYWllbnVhQHJvY2hlLmNvbSIgZGF0YS1yYXdIcmVmPSJtYWlsdG86bmFkaWEua2FpZW51YUByb2NoZS5jb20iIHRhcmdldD0iX2JsYW5rIj5uYWRpYS5rYWllbnVhQHJvY2hlLmNvbTwvYT7CoDxicj5QbGVhc2Ugc2VlIHRoZSBlcnJvcnMgdGhhdCByZW1haW4gaW4gdGhpcyBBdXNQQVIgYXMgd2VsbC4gSXMgaXQgdG9vIGxhdGUgdG8gY29ycmVjdCBiZWZvcmUgdGhlIGRvY3VtZW50IGdvZXMgcHVibGljID/CoCAtIFBsZWFzZSBsZXQgdXMga25vdy7CoDxicj5Tb3JyeSB0aGF0IHRoaXMgd2FzIG5vdCBwaWNrZWQgZHVyaW5nIG91ciBsYXN0IGNoYW5jZSB0byByZXZpZXcgMiB3ZWVrcyBhZ28gLSBJIGhvd2V2ZXIgZG8gbm90IHVuZGVyc3RhbmQgdGhhdCBUR0EgZG9lcyBub3QgdGFrZSBpbnRvIGFjY291bnQgdGhlIGVycm9ycy9vbWlzc2lvbnMgdGhhdCB3ZSBzaGFyZWQgcHJpb3IgYXBwcm92YWwgLi5UaGUgdGVhbSBzcGVuZHMgYSBsb3Qgb2YgdGltZSB0byBwaWNrIHRoZW0gdXAgYW5kIHRvIGZpbGwgdXAgdGhlIGVycm9yL29taXNzaW9ucyB0YWJsZSwgYWRkaW5nIHRoZXJlIHRoZSByYXRpb25hbGUgZm9yIGVhY2ggY2hhbmdlLi4uSXQmIzM5O3MgYSBwaXR5wqB0aGF0IHRoaXMgd29yayB3YXMgbm90IGNvbnNpZGVyZWQgYXMgaXQgaXMgYSBwaXR5IHRoYXQgd2UgZGlkIG5vdCByZWFsaXplIHRoaXMgZWFybGllciAuLi48YnI+VGhlIGVycm9ycyB0aGF0IHJlbWFpbiBoZXJlIGFyZSBob3dldmVyIG92ZXJhbGwgbGVzcyBkcmFtYXRpY8KgIHRoYW4gdGhvc2UgdGhhdCBhcmUgbGVmdCBpbiB0aGUgVEMgQXVzUEFSwqAuLi48YnI+QDxhIGhyZWY9Im1haWx0bzppbmVzLmNoYXJtaUByb2NoZS5jb20iIGRhdGEtcmF3SHJlZj0ibWFpbHRvOmluZXMuY2hhcm1pQHJvY2hlLmNvbSIgdGFyZ2V0PSJfYmxhbmsiPmluZXMuY2hhcm1pQHJvY2hlLmNvbTwvYT7CoDxicj5APGEgaHJlZj0ibWFpbHRvOmxvdWlzZS5oYXllcy5saDFAcm9jaGUuY29tIiBkYXRhLXJhd0hyZWY9Im1haWx0bzpsb3Vpc2UuaGF5ZXMubGgxQHJvY2hlLmNvbSIgdGFyZ2V0PSJfYmxhbmsiPmxvdWlzZS5oYXllcy5saDFAcm9jaGUuY29tPC9hPsKgPGJyPkZZSSKTBgoKdGV4dC9wbGFpbhKEBkBuYWRpYS5rYWllbnVhQHJvY2hlLmNvbcKgClBsZWFzZSBzZWUgdGhlIGVycm9ycyB0aGF0IHJlbWFpbiBpbiB0aGlzIEF1c1BBUiBhcyB3ZWxsLiBJcyBpdCB0b28gbGF0ZSB0byBjb3JyZWN0IGJlZm9yZSB0aGUgZG9jdW1lbnQgZ29lcyBwdWJsaWMgP8KgIC0gUGxlYXNlIGxldCB1cyBrbm93LsKgClNvcnJ5IHRoYXQgdGhpcyB3YXMgbm90IHBpY2tlZCBkdXJpbmcgb3VyIGxhc3QgY2hhbmNlIHRvIHJldmlldyAyIHdlZWtzIGFnbyAtIEkgaG93ZXZlciBkbyBub3QgdW5kZXJzdGFuZCB0aGF0IFRHQSBkb2VzIG5vdCB0YWtlIGludG8gYWNjb3VudCB0aGUgZXJyb3JzL29taXNzaW9ucyB0aGF0IHdlIHNoYXJlZCBwcmlvciBhcHByb3ZhbCAuLlRoZSB0ZWFtIHNwZW5kcyBhIGxvdCBvZiB0aW1lIHRvIHBpY2sgdGhlbSB1cCBhbmQgdG8gZmlsbCB1cCB0aGUgZXJyb3Ivb21pc3Npb25zIHRhYmxlLCBhZGRpbmcgdGhlcmUgdGhlIHJhdGlvbmFsZSBmb3IgZWFjaCBjaGFuZ2UuLi5JdCdzIGEgcGl0ecKgdGhhdCB0aGlzIHdvcmsgd2FzIG5vdCBjb25zaWRlcmVkIGFzIGl0IGlzIGEgcGl0eSB0aGF0IHdlIGRpZCBub3QgcmVhbGl6ZSB0aGlzIGVhcmxpZXIgLi4uClRoZSBlcnJvcnMgdGhhdCByZW1haW4gaGVyZSBhcmUgaG93ZXZlciBvdmVyYWxsIGxlc3MgZHJhbWF0aWPCoCB0aGFuIHRob3NlIHRoYXQgYXJlIGxlZnQgaW4gdGhlIFRDIEF1c1BBUsKgLi4uCkBpbmVzLmNoYXJtaUByb2NoZS5jb23CoApAbG91aXNlLmhheWVzLmxoMUByb2NoZS5jb23CoApGWUkqGyIVMTAyOTQ5OTE5NjUwMDE3NjYyMjA2KAA4ADC1pvKVrjE4tabyla4xSj0KCnRleHQvcGxhaW4SL0F1c3RyYWxpYW4gUHVibGljIEFzc2Vzc21lbnQgUmVwb3J0IGZvciBHYXZyZXRvUARaDG9yNXZmM3U3MWx4cnICIAB4AJIBHQobIhUxMDI4MzQ3OTg2MTY0MTExNDUwMDMoADgAmgEGCAAQABgAqgHgCBLdCEA8YSBocmVmPSJtYWlsdG86bmFkaWEua2FpZW51YUByb2NoZS5jb20iIGRhdGEtcmF3aHJlZj0ibWFpbHRvOm5hZGlhLmthaWVudWFAcm9jaGUuY29tIiB0YXJnZXQ9Il9ibGFuayI+bmFkaWEua2FpZW51YUByb2NoZS5jb208L2E+wqA8YnI+UGxlYXNlIHNlZSB0aGUgZXJyb3JzIHRoYXQgcmVtYWluIGluIHRoaXMgQXVzUEFSIGFzIHdlbGwuIElzIGl0IHRvbyBsYXRlIHRvIGNvcnJlY3QgYmVmb3JlIHRoZSBkb2N1bWVudCBnb2VzIHB1YmxpYyA/wqAgLSBQbGVhc2UgbGV0IHVzIGtub3cuwqA8YnI+U29ycnkgdGhhdCB0aGlzIHdhcyBub3QgcGlja2VkIGR1cmluZyBvdXIgbGFzdCBjaGFuY2UgdG8gcmV2aWV3IDIgd2Vla3MgYWdvIC0gSSBob3dldmVyIGRvIG5vdCB1bmRlcnN0YW5kIHRoYXQgVEdBIGRvZXMgbm90IHRha2UgaW50byBhY2NvdW50IHRoZSBlcnJvcnMvb21pc3Npb25zIHRoYXQgd2Ugc2hhcmVkIHByaW9yIGFwcHJvdmFsIC4uVGhlIHRlYW0gc3BlbmRzIGEgbG90IG9mIHRpbWUgdG8gcGljayB0aGVtIHVwIGFuZCB0byBmaWxsIHVwIHRoZSBlcnJvci9vbWlzc2lvbnMgdGFibGUsIGFkZGluZyB0aGVyZSB0aGUgcmF0aW9uYWxlIGZvciBlYWNoIGNoYW5nZS4uLkl0JiMzOTtzIGEgcGl0ecKgdGhhdCB0aGlzIHdvcmsgd2FzIG5vdCBjb25zaWRlcmVkIGFzIGl0IGlzIGEgcGl0eSB0aGF0IHdlIGRpZCBub3QgcmVhbGl6ZSB0aGlzIGVhcmxpZXIgLi4uPGJyPlRoZSBlcnJvcnMgdGhhdCByZW1haW4gaGVyZSBhcmUgaG93ZXZlciBvdmVyYWxsIGxlc3MgZHJhbWF0aWPCoCB0aGFuIHRob3NlIHRoYXQgYXJlIGxlZnQgaW4gdGhlIFRDIEF1c1BBUsKgLi4uPGJyPkA8YSBocmVmPSJtYWlsdG86aW5lcy5jaGFybWlAcm9jaGUuY29tIiBkYXRhLXJhd2hyZWY9Im1haWx0bzppbmVzLmNoYXJtaUByb2NoZS5jb20iIHRhcmdldD0iX2JsYW5rIj5pbmVzLmNoYXJtaUByb2NoZS5jb208L2E+wqA8YnI+QDxhIGhyZWY9Im1haWx0bzpsb3Vpc2UuaGF5ZXMubGgxQHJvY2hlLmNvbSIgZGF0YS1yYXdocmVmPSJtYWlsdG86bG91aXNlLmhheWVzLmxoMUByb2NoZS5jb20iIHRhcmdldD0iX2JsYW5rIj5sb3Vpc2UuaGF5ZXMubGgxQHJvY2hlLmNvbTwvYT7CoDxicj5GWUmwAQC4AQAYtabyla4xILWm8pWuMTAAQhBraXguZnVpZGdrZGZ0d2tvIpMCCgtBQUFBNnZ3X2hzVRLdAQoLQUFBQTZ2d19oc1USC0FBQUE2dndfaHNVGg0KCXRleHQvaHRtbBIAIg4KCnRleHQvcGxhaW4SACobIhUxMDY4MjMwMzkwNDI0NDg1MjY1NjkoADgAMNzx1qmuMTjA+9aprjFKPgokYXBwbGljYXRpb24vdm5kLmdvb2dsZS1hcHBzLmRvY3MubWRzGhbC19rkARAaDgoKCgR0byBhEAEYABABWgsxYWY2ODc1ZXhlYXICIAB4AIIBFHN1Z2dlc3QuYWkwYmN1NnA3czhlmgEGCAAQABgAsAEAuAEAGNzx1qmuMSDA+9aprjEwAEIUc3VnZ2VzdC5haTBiY3U2cDdzOGUi3gEKC0FBQUE2S1c3a3Y4EqwBCgtBQUFBNktXN2t2OBILQUFBQTZLVzdrdjgaEQoJdGV4dC9odG1sEgRWei9GIhIKCnRleHQvcGxhaW4SBFZ6L0YqGyIVMTAyOTQ5OTE5NjUwMDE3NjYyMjA2KAA4ADCruNWUrjE4q7jVlK4xShIKCnRleHQvcGxhaW4SBFYyL0ZaDGRranR0ZXk4YnFzenICIAB4AJoBBggAEAAYAKoBBhIEVnovRrABALgBABiruNWUrjEgq7jVlK4xMABCEGtpeC5qZ2IycG03eGphc3QikAIKC0FBQUE2dndfaHNZEtoBCgtBQUFBNnZ3X2hzWRILQUFBQTZ2d19oc1kaDQoJdGV4dC9odG1sEgAiDgoKdGV4dC9wbGFpbhIAKhsiFTEwNjgyMzAzOTA0MjQ0ODUyNjU2OSgAOAAw2vDXqa4xOO3316muMUo6CiRhcHBsaWNhdGlvbi92bmQuZ29vZ2xlLWFwcHMuZG9jcy5tZHMaEsLX2uQBDBoKCgYKABAUGAAQAVoMeTNmdDlzdmZwY2J5cgIgAHgAggEUc3VnZ2VzdC5tZzNmZWZrNnBuNmmaAQYIABAAGACwAQC4AQAY2vDXqa4xIO3316muMTAAQhRzdWdnZXN0Lm1nM2ZlZms2cG42aSKPAgoLQUFBQTZ2d19odE0S2QEKC0FBQUE2dndfaHRNEgtBQUFBNnZ3X2h0TRoNCgl0ZXh0L2h0bWwSACIOCgp0ZXh0L3BsYWluEgAqGyIVMTA2ODIzMDM5MDQyNDQ4NTI2NTY5KAA4ADDp2aaqrjE4vN+mqq4xSjoKJGFwcGxpY2F0aW9uL3ZuZC5nb29nbGUtYXBwcy5kb2NzLm1kcxoSwtfa5AEMGgoKBgoAEBQYABABWgt4bnFyeGNuazNob3ICIAB4AIIBFHN1Z2dlc3QubTkwN2tmaXR3eXI0mgEGCAAQABgAsAEAuAEAGOnZpqquMSC836aqrjEwAEIUc3VnZ2VzdC5tOTA3a2ZpdHd5cjQi/QEKC0FBQUE2S1c3a3dFEssBCgtBQUFBNktXN2t3RRILQUFBQTZLVzdrd0UaHAoJdGV4dC9odG1sEg9zaG91bGQgYmUgOiBCU0EiHQoKdGV4dC9wbGFpbhIPc2hvdWxkIGJlIDogQlNBKhsiFTEwMjk0OTkxOTY1MDAxNzY2MjIwNigAOAAw5f/jlK4xOOX/45SuMUoQCgp0ZXh0L3BsYWluEgJCU1oMMWxzMTBocXgwbGx2cgIgAHgAmgEGCAAQABgAqgEREg9zaG91bGQgYmUgOiBCU0GwAQC4AQAY5f/jlK4xIOX/45SuMTAAQhBraXguc2U5MzV3N3ZyczA0IpUCCgtBQUFBNnZ3X2hzaxLfAQoLQUFBQTZ2d19oc2sSC0FBQUE2dndfaHNrGg0KCXRleHQvaHRtbBIAIg4KCnRleHQvcGxhaW4SACobIhUxMDY4MjMwMzkwNDI0NDg1MjY1NjkoADgAMMqj5KmuMTjGsuSprjFKPwokYXBwbGljYXRpb24vdm5kLmdvb2dsZS1hcHBzLmRvY3MubWRzGhfC19rkARESDwoLCgV0cmlhbBABGAAQAVoMYzk3bDUxcmQ1ank3cgIgAHgAggEUc3VnZ2VzdC4zbjV2dHRvcXJxdDOaAQYIABAAGACwAQC4AQAYyqPkqa4xIMay5KmuMTAAQhRzdWdnZXN0LjNuNXZ0dG9xcnF0MyKVCAoLQUFBQTZLVzdreUkS4wcKC0FBQUE2S1c3a3lJEgtBQUFBNktXN2t5SRqRAgoJdGV4dC9odG1sEoMCc2hvdWxkIGJlIDogJnF1b3Q7RE9SIGluIHBhdGllbnRzIHdpdGggbWVhc3VyYWJsZSBtZXRhc3RhdGljIFJFVCBmdXNpb24gcG9zaXRpdmUgTlNDTEMsIGRhdGEgY3V0b2ZmIDIyIE1heSAyMDIwJnF1b3Q7PGJyPlJhdGlvbmFsZSA6wqBGREEgcmV2aWV3IDogVGFibGUgMzMgZm9vdG5vdGUgLiBJZiBubyBjdXRvZmYgZGF0ZSBzcGVjaWZpZWQsIHRoZSBhc3N1bWVkIGRhdGUgd291bGQgYmUgRDkwIDEzIEZlYiAyMDIwIC0gQ05TIHJlc3VsdHMgUGFnZSAxOCKFAgoKdGV4dC9wbGFpbhL2AXNob3VsZCBiZSA6ICJET1IgaW4gcGF0aWVudHMgd2l0aCBtZWFzdXJhYmxlIG1ldGFzdGF0aWMgUkVUIGZ1c2lvbiBwb3NpdGl2ZSBOU0NMQywgZGF0YSBjdXRvZmYgMjIgTWF5IDIwMjAiClJhdGlvbmFsZSA6wqBGREEgcmV2aWV3IDogVGFibGUgMzMgZm9vdG5vdGUgLiBJZiBubyBjdXRvZmYgZGF0ZSBzcGVjaWZpZWQsIHRoZSBhc3N1bWVkIGRhdGUgd291bGQgYmUgRDkwIDEzIEZlYiAyMDIwIC0gQ05TIHJlc3VsdHMgUGFnZSAxOCobIhUxMDI5NDk5MTk2NTAwMTc2NjIyMDYoADgAMMGIlJWuMTjBiJSVrjFKUwoKdGV4dC9wbGFpbhJFRE9SIGluIHBhdGllbnRzIHdpdGggbWVhc3VyYWJsZSBtZXRhc3RhdGljIFJFVCBmdXNpb24gcG9zaXRpdmUgTlNDTEM6WgxjdDB2cjhpMzA3azlyAiAAeACaAQYIABAAGACqAYYCEoMCc2hvdWxkIGJlIDogJnF1b3Q7RE9SIGluIHBhdGllbnRzIHdpdGggbWVhc3VyYWJsZSBtZXRhc3RhdGljIFJFVCBmdXNpb24gcG9zaXRpdmUgTlNDTEMsIGRhdGEgY3V0b2ZmIDIyIE1heSAyMDIwJnF1b3Q7PGJyPlJhdGlvbmFsZSA6wqBGREEgcmV2aWV3IDogVGFibGUgMzMgZm9vdG5vdGUgLiBJZiBubyBjdXRvZmYgZGF0ZSBzcGVjaWZpZWQsIHRoZSBhc3N1bWVkIGRhdGUgd291bGQgYmUgRDkwIDEzIEZlYiAyMDIwIC0gQ05TIHJlc3VsdHMgUGFnZSAxOLABALgBABjBiJSVrjEgwYiUla4xMABCEGtpeC4ycXk5Z2tjc3hhdTcikAIKC0FBQUE2dndfaHRREtoBCgtBQUFBNnZ3X2h0URILQUFBQTZ2d19odFEaDQoJdGV4dC9odG1sEgAiDgoKdGV4dC9wbGFpbhIAKhsiFTEwNjgyMzAzOTA0MjQ0ODUyNjU2OSgAOAAwyuamqq4xOIvspqquMUo6CiRhcHBsaWNhdGlvbi92bmQuZ29vZ2xlLWFwcHMuZG9jcy5tZHMaEsLX2uQBDBoKCgYKABAUGAAQAVoMbDYyZTBnY2o2azRvcgIgAHgAggEUc3VnZ2VzdC5kYzduZm1xYjZ4OGyaAQYIABAAGACwAQC4AQAYyuamqq4xIIvspqquMTAAQhRzdWdnZXN0LmRjN25mbXFiNng4bCKZAgoLQUFBQTZ2d19oczAS5wEKC0FBQUE2dndfaHMwEgtBQUFBNnZ3X2hzMBoaCgl0ZXh0L2h0bWwSDVNhbWUgYXMgYWJvdmUiGwoKdGV4dC9wbGFpbhINU2FtZSBhcyBhYm92ZSobIhUxMDY4MjMwMzkwNDI0NDg1MjY1NjkoADgAMJbdg6quMTiW3YOqrjFKMgoKdGV4dC9wbGFpbhIkTm8gcHJpb3Igc3lzdGVtaWMgdHJlYXRtZW50IChuID0gMjcpWgxiOHRrc3BrOTR3OWdyAiAAeACaAQYIABAAGACqAQ8SDVNhbWUgYXMgYWJvdmWwAQC4AQAYlt2Dqq4xIJbdg6quMTAAQhBraXguc2J3bHpnN3lkeTNpIooMCgtBQUFBNktXN2t3QRLYCwoLQUFBQTZLVzdrd0ESC0FBQUE2S1c3a3dBGrsCCgl0ZXh0L2h0bWwSrQJzaG91bGQgYmUgOsKgVGhlIG1lYW4gc3RlYWR5IHN0YXRlIEN0cm91Z2ggKEN0cm91Z2gsc3MpIHZhbHVlIG9ic2VydmVkIHdpdGggNDAwbWcgUUQgY29tcGFyZWQgd2l0aCBsb3dlciBkb3NlcyB3YXMgY2xvc2VyIHRvIHRoZSBwcmVkaWN0ZWQgYnJhaW4gSUM5MCBvZiBwcmFsc2V0aW5pYiBmb3IgUkVUIGluaGliaXRpb24gaW4gaHVtYW5zICgxNTE0IG5nL21MKS4gVGhlIGdlb21ldHJpYyBtZWFuIChyYW5nZSkgQ3Ryb3VnaCxzcyB2YWx1ZSB3aXRoIDQwMG1nIFFEIHdhcyAxMTUwIG5nL21MICgxNzkgdG8gNDI4MCBuZy9tTCkuIrwCCgp0ZXh0L3BsYWluEq0Cc2hvdWxkIGJlIDrCoFRoZSBtZWFuIHN0ZWFkeSBzdGF0ZSBDdHJvdWdoIChDdHJvdWdoLHNzKSB2YWx1ZSBvYnNlcnZlZCB3aXRoIDQwMG1nIFFEIGNvbXBhcmVkIHdpdGggbG93ZXIgZG9zZXMgd2FzIGNsb3NlciB0byB0aGUgcHJlZGljdGVkIGJyYWluIElDOTAgb2YgcHJhbHNldGluaWIgZm9yIFJFVCBpbmhpYml0aW9uIGluIGh1bWFucyAoMTUxNCBuZy9tTCkuIFRoZSBnZW9tZXRyaWMgbWVhbiAocmFuZ2UpIEN0cm91Z2gsc3MgdmFsdWUgd2l0aCA0MDBtZyBRRCB3YXMgMTE1MCBuZy9tTCAoMTc5IHRvIDQyODAgbmcvbUwpLiobIhUxMDI5NDk5MTk2NTAwMTc2NjIyMDYoADgAMMKZ4ZSuMTjCmeGUrjFKvAMKCnRleHQvcGxhaW4SrQNUaGUgbWVhbiB0cm91Z2ggY29uY2VudHJhdGlvbiAoQ3Ryb3VnaCkgdmFsdWUgb2JzZXJ2ZWQgd2l0aCA0MDAgbWcgb25jZSBkYWlseSBjb21wYXJlZCB3aXRoIGxvd2VyIGRvc2VzIHdhcyBjbG9zZXIgdG8gdGhlIHByZWRpY3RlZCBicmFpbiA5MCUgaW5oaWJpdG9yeSBjb25jZW50cmF0aW9uIChJQzkwKSBvZiBwcmFsc2V0aW5pYiBmb3IgUkVUIGluaGliaXRpb24gaW4gaHVtYW5zICgxNTE0IG5nL21MKS4gVGhlIGdlb21ldHJpYyBtZWFuIChyYW5nZSkgQ3Ryb3VnaCB2YWx1ZSB3aXRoIDQwMCBtZyBvbmNlIGRhaWx5IHdhcyAxMTUwIG5nL21MICgxNzkgdG8gNDI4MCBuZy9tTCkuIEluaXRpYXRpbmcgcHJhbHNldGluaWIgNDAwIG1nIG9uY2UgZGFpbHkgd2FzIGFzc29jaWF0ZWQgd2l0aCBhIHJhcGlkIGRlY2xpbmUgaW4gYnJhaW4gbGVzaW9uIHNpemVaDHI0Z3Q4enExNHZ5a3ICIAB4AJoBBggAEAAYAKoBsAISrQJzaG91bGQgYmUgOsKgVGhlIG1lYW4gc3RlYWR5IHN0YXRlIEN0cm91Z2ggKEN0cm91Z2gsc3MpIHZhbHVlIG9ic2VydmVkIHdpdGggNDAwbWcgUUQgY29tcGFyZWQgd2l0aCBsb3dlciBkb3NlcyB3YXMgY2xvc2VyIHRvIHRoZSBwcmVkaWN0ZWQgYnJhaW4gSUM5MCBvZiBwcmFsc2V0aW5pYiBmb3IgUkVUIGluaGliaXRpb24gaW4gaHVtYW5zICgxNTE0IG5nL21MKS4gVGhlIGdlb21ldHJpYyBtZWFuIChyYW5nZSkgQ3Ryb3VnaCxzcyB2YWx1ZSB3aXRoIDQwMG1nIFFEIHdhcyAxMTUwIG5nL21MICgxNzkgdG8gNDI4MCBuZy9tTCkusAEAuAEAGMKZ4ZSuMSDCmeGUrjEwAEIQa2l4LjQ5NzQ1cnYyZnVkcSKQAgoLQUFBQTZ2d19odEUS2gEKC0FBQUE2dndfaHRFEgtBQUFBNnZ3X2h0RRoNCgl0ZXh0L2h0bWwSACIOCgp0ZXh0L3BsYWluEgAqGyIVMTA2ODIzMDM5MDQyNDQ4NTI2NTY5KAA4ADCNjKaqrjE40JWmqq4xSjoKJGFwcGxpY2F0aW9uL3ZuZC5nb29nbGUtYXBwcy5kb2NzLm1kcxoSwtfa5AEMGgoKBgoAEBQYABABWgx3bXptNXlnazFpbHByAiAAeACCARRzdWdnZXN0Lmk5ODA5d251enJmOJoBBggAEAAYALABALgBABiNjKaqrjEg0JWmqq4xMABCFHN1Z2dlc3QuaTk4MDl3bnV6cmY4IrAICgtBQUFBNktXN2t3TRL+BwoLQUFBQTZLVzdrd00SC0FBQUE2S1c3a3dNGv4BCgl0ZXh0L2h0bWwS8AFzaG91bGQgYmUgOsKg4oCiIE1hcmtlcnMgb2YgaGVwYXRpYyBmdW5jdGlvbiAoQUxULCBBU1QsIGFsYnVtaW4sIGJpbGlydWJpbikgaW4gcGF0aWVudHMgd2l0aCBtaWxkIGhlcGF0aWM8YnI+aW1wYWlybWVudCBoYWQgbm8gc2lnbmlmaWNhbnQgZWZmZWN0IG9uIFBLIHBhcmFtZXRlcnMuIE5vIGRvc2UgYWRqdXN0bWVudCBpcyByZWNvbW1lbmRlZCBmb3IgcGF0aWVudHMgd2l0aCBtaWxkIGhlcGF0aWMgaW1wYWlybWVudC4i/AEKCnRleHQvcGxhaW4S7QFzaG91bGQgYmUgOsKg4oCiIE1hcmtlcnMgb2YgaGVwYXRpYyBmdW5jdGlvbiAoQUxULCBBU1QsIGFsYnVtaW4sIGJpbGlydWJpbikgaW4gcGF0aWVudHMgd2l0aCBtaWxkIGhlcGF0aWMKaW1wYWlybWVudCBoYWQgbm8gc2lnbmlmaWNhbnQgZWZmZWN0IG9uIFBLIHBhcmFtZXRlcnMuIE5vIGRvc2UgYWRqdXN0bWVudCBpcyByZWNvbW1lbmRlZCBmb3IgcGF0aWVudHMgd2l0aCBtaWxkIGhlcGF0aWMgaW1wYWlybWVudC4qGyIVMTAyOTQ5OTE5NjUwMDE3NjYyMjA2KAA4ADCzq+aUrjE4s6vmlK4xSp0BCgp0ZXh0L3BsYWluEo4BTWFya2VycyBvZiBoZXBhdGljIGZ1bmN0aW9uIChBTFQsIEFTVCwgYWxidW1pbiwgYmlsaXJ1YmluKSBpbiBwYXRpZW50cyB3aXRoIG1pbGQgaGVwYXRpYyBpbXBhaXJtZW50IGhhZCBubyBzaWduaWZpY2FudCBlZmZlY3Qgb24gUEsgcGFyYW1ldGVyc1oLNmJrOWEyZHM5YzVyAiAAeACaAQYIABAAGACqAfMBEvABc2hvdWxkIGJlIDrCoOKAoiBNYXJrZXJzIG9mIGhlcGF0aWMgZnVuY3Rpb24gKEFMVCwgQVNULCBhbGJ1bWluLCBiaWxpcnViaW4pIGluIHBhdGllbnRzIHdpdGggbWlsZCBoZXBhdGljPGJyPmltcGFpcm1lbnQgaGFkIG5vIHNpZ25pZmljYW50IGVmZmVjdCBvbiBQSyBwYXJhbWV0ZXJzLiBObyBkb3NlIGFkanVzdG1lbnQgaXMgcmVjb21tZW5kZWQgZm9yIHBhdGllbnRzIHdpdGggbWlsZCBoZXBhdGljIGltcGFpcm1lbnQusAEAuAEAGLOr5pSuMSCzq+aUrjEwAEIQa2l4LjdvdnFsZnltcnA5NyKpAgoLQUFBQTVEbE5NZ0ES8wEKC0FBQUE1RGxOTWdBEgtBQUFBNURsTk1nQRoNCgl0ZXh0L2h0bWwSACIOCgp0ZXh0L3BsYWluEgAqGyIVMTA5NTkyNDAwMzc4ODUwNjAyMDIxKAA4ADCOp86qqDE477POqqgxSlMKJGFwcGxpY2F0aW9uL3ZuZC5nb29nbGUtYXBwcy5kb2NzLm1kcxorwtfa5AElCiMKDwoJY2VyaXRpbmliEAEYABIOCghjZXJ0aW5pYhABGAAYAVoMemEwZHhseWZhMXNvcgIgAHgAggEUc3VnZ2VzdC5mcmJkZDJ4cTg2NnaaAQYIABAAGACwAQC4AQAYjqfOqqgxIO+zzqqoMTAAQhRzdWdnZXN0LmZyYmRkMnhxODY2diKRAgoLQUFBQTZ2d19oc2MS2wEKC0FBQUE2dndfaHNjEgtBQUFBNnZ3X2hzYxoNCgl0ZXh0L2h0bWwSACIOCgp0ZXh0L3BsYWluEgAqGyIVMTA2ODIzMDM5MDQyNDQ4NTI2NTY5KAA4ADCB+9mprjE4zILaqa4xSjsKJGFwcGxpY2F0aW9uL3ZuZC5nb29nbGUtYXBwcy5kb2NzLm1kcxoTwtfa5AENGgsKBwoBQRABGAAQAVoMaGtzNzVkbGUyazQ1cgIgAHgAggEUc3VnZ2VzdC5pb2Rienh6MGk3bziaAQYIABAAGACwAQC4AQAYgfvZqa4xIMyC2qmuMTAAQhRzdWdnZXN0LmlvZGJ6eHowaTdvOCKTAwoLQUFBQTZLVzdreVES4QIKC0FBQUE2S1c3a3lREgtBQUFBNktXN2t5URpJCgl0ZXh0L2h0bWwSPHNob3VsZCBiZSA6IEZvciBjb21wbGV0ZW5lc3MgaW4gRWZmaWNhY3kgcG9wdWxhdGlvbiAobj0xMzIpOiJKCgp0ZXh0L3BsYWluEjxzaG91bGQgYmUgOiBGb3IgY29tcGxldGVuZXNzIGluIEVmZmljYWN5IHBvcHVsYXRpb24gKG49MTMyKToqGyIVMTAyOTQ5OTE5NjUwMDE3NjYyMjA2KAA4ADC3n5eVrjE4t5+Xla4xSh8KCnRleHQvcGxhaW4SEUZvciBjb21wbGV0ZW5lc3M6Wgw1YXUxZmF4b2R5MnFyAiAAeACaAQYIABAAGACqAT4SPHNob3VsZCBiZSA6IEZvciBjb21wbGV0ZW5lc3MgaW4gRWZmaWNhY3kgcG9wdWxhdGlvbiAobj0xMzIpOrABALgBABi3n5eVrjEgt5+Xla4xMABCEGtpeC53MWp0aXQ3a2RqY2kiuAcKC0FBQUE2S1c3a3ZvEoYHCgtBQUFBNktXN2t2bxILQUFBQTZLVzdrdm8a3QEKCXRleHQvaHRtbBLPAXNob3VsZCBiZcKgIDogJnF1b3Q7Q29uY29taXRhbnQgYWRtaW5pc3RyYXRpb24gb2YgcHJhbHNldGluaWIgd2l0aCBpdHJhY29uYXpvbGUgKGNvbWJpbmVkIFAtZ3AgYW5kIHN0cm9uZyBDWVAzQSBpbmhpYml0b3IpIGxlZCB0byBhIDMuNS1mb2xkIGluY3JlYXNlIGluIHByYWxzZXRpbmliIEFVQyZxdW90Ozxicj5SYXRpb25hbGUgOiBTQ1Agc2VjdGlvbiAzLjMuMiLRAQoKdGV4dC9wbGFpbhLCAXNob3VsZCBiZcKgIDogIkNvbmNvbWl0YW50IGFkbWluaXN0cmF0aW9uIG9mIHByYWxzZXRpbmliIHdpdGggaXRyYWNvbmF6b2xlIChjb21iaW5lZCBQLWdwIGFuZCBzdHJvbmcgQ1lQM0EgaW5oaWJpdG9yKSBsZWQgdG8gYSAzLjUtZm9sZCBpbmNyZWFzZSBpbiBwcmFsc2V0aW5pYiBBVUMiClJhdGlvbmFsZSA6IFNDUCBzZWN0aW9uIDMuMy4yKhsiFTEwMjk0OTkxOTY1MDAxNzY2MjIwNigAOAAw0/e5lK4xOLj7yJSuMUqRAQoKdGV4dC9wbGFpbhKCAUNvbmNvbWl0YW50IGFkbWluaXN0cmF0aW9uIG9mIHByYWxzZXRpbmliIHdpdGggaXRyYWNvbmF6b2xlIChzdHJvbmcgQ1lQM0EgaW5oaWJpdG9yKSBsZWQgdG8gYSAyLjUtZm9sZCBpbmNyZWFzZSBpbiBwcmFsc2V0aW5pYiBBVUNaDG9qbGdyenB6bzdobXICIAB4AJoBBggAEAAYAKoB0gESzwFzaG91bGQgYmXCoCA6ICZxdW90O0NvbmNvbWl0YW50IGFkbWluaXN0cmF0aW9uIG9mIHByYWxzZXRpbmliIHdpdGggaXRyYWNvbmF6b2xlIChjb21iaW5lZCBQLWdwIGFuZCBzdHJvbmcgQ1lQM0EgaW5oaWJpdG9yKSBsZWQgdG8gYSAzLjUtZm9sZCBpbmNyZWFzZSBpbiBwcmFsc2V0aW5pYiBBVUMmcXVvdDs8YnI+UmF0aW9uYWxlIDogU0NQIHNlY3Rpb24gMy4zLjKwAQC4AQAY0/e5lK4xILj7yJSuMTAAQhBraXgueWloc2tvM3V1eTRzIo4CCgtBQUFBNnZ3X2h0SRLZAQoLQUFBQTZ2d19odEkSC0FBQUE2dndfaHRJGg0KCXRleHQvaHRtbBIAIg4KCnRleHQvcGxhaW4SACobIhUxMDY4MjMwMzkwNDI0NDg1MjY1NjkoADgAMOubpqquMTjtoaaqrjFKOgokYXBwbGljYXRpb24vdm5kLmdvb2dsZS1hcHBzLmRvY3MubWRzGhLC19rkAQwaCgoGCgAQFBgAEAFaDGsxcmU4dGVkbjc5MHICIAB4AIIBE3N1Z2dlc3QuaGljdnAyd3Z2aziaAQYIABAAGACwAQC4AQAY65umqq4xIO2hpqquMTAAQhNzdWdnZXN0LmhpY3ZwMnd2dms4Ip0CCgtBQUFBNnZ3X2hzZxLnAQoLQUFBQTZ2d19oc2cSC0FBQUE2dndfaHNnGg0KCXRleHQvaHRtbBIAIg4KCnRleHQvcGxhaW4SACobIhUxMDY4MjMwMzkwNDI0NDg1MjY1NjkoADgAMPD92qmuMTjgjNuprjFKRwokYXBwbGljYXRpb24vdm5kLmdvb2dsZS1hcHBzLmRvY3MubWRzGh/C19rkARkKFwoICgJvchABGAASCQoDYW5kEAEYABgBWgx1bnNycXZhcGtjMDVyAiAAeACCARRzdWdnZXN0LmFhaTNvbXRtcm90dpoBBggAEAAYALABALgBABjw/dqprjEg4Izbqa4xMABCFHN1Z2dlc3QuYWFpM29tdG1yb3R2Io8CCgtBQUFBNktXN2t3OBLdAQoLQUFBQTZLVzdrdzgSC0FBQUE2S1c3a3c4GiAKCXRleHQvaHRtbBITc2hvdWxkwqBiZSAzLjUgZm9sZCIhCgp0ZXh0L3BsYWluEhNzaG91bGTCoGJlIDMuNSBmb2xkKhsiFTEwMjk0OTkxOTY1MDAxNzY2MjIwNigAOAAwv+LulK4xOL/i7pSuMUoWCgp0ZXh0L3BsYWluEggyLjUtZm9sZFoMd3BqOGFxNndjMDlycgIgAHgAmgEGCAAQABgAqgEVEhNzaG91bGTCoGJlIDMuNSBmb2xksAEAuAEAGL/i7pSuMSC/4u6UrjEwAEIQa2l4Lno5OWVkbWVocXloMiKdDwoLQUFBQTZLVzdreTQS6w4KC0FBQUE2S1c3a3k0EgtBQUFBNktXN2t5NBrQAwoJdGV4dC9odG1sEsIDU2hvdWxkIGJlIDrCoEluIHBhdGllbnRzIHdpdGggTlNDTEMgdHJlYXRlZCB3aXRoIHByYWxzZXRpbmliIDQwMG1nIFFEICg5MC1kYXkgdXBkYXRlIGRhdGEsIG49MjIwKTo8YnI+4oCiIERvc2UgaW50ZXJydXB0aW9uIGR1ZSB0byBBRSA9IDYwJTxicj5vIE1vc3QgY29tbW9ubHkgZHVlIHRvIG5ldXRyb3BlbmlhLCBoeXBlcnRlbnNpb24sIHBuZXVtb25pdGlzLCBhbmFlbWlhLCBwbmV1bW9uaWEsIGRlY3JlYXNlZCBBTkMsIEFTVCBpbmNyZWFzZSwgQ0sgaW5jcmVhc2UsIHB5cmV4aWEsIGFuZCBkaWFycmhvZWEgZmF0aWd1ZSA8YnI+4oCiIERvc2UgcmVkdWN0aW9uIGR1ZSB0byBBRSA9IDM2JTxicj5vIE1vc3QgY29tbW9ubHkgZHVlIHRvIG5ldXRyb3BlbmlhLCBhbmFlbWlhLCBwbmV1bW9uaXRpcywgaHlwZXJ0ZW5zaW9uLCBkZWNyZWFzZWQgQU5DLCBmYXRpZ3VlLCBhbmQgcG5ldW1vbmlhIsUDCgp0ZXh0L3BsYWluErYDU2hvdWxkIGJlIDrCoEluIHBhdGllbnRzIHdpdGggTlNDTEMgdHJlYXRlZCB3aXRoIHByYWxzZXRpbmliIDQwMG1nIFFEICg5MC1kYXkgdXBkYXRlIGRhdGEsIG49MjIwKToK4oCiIERvc2UgaW50ZXJydXB0aW9uIGR1ZSB0byBBRSA9IDYwJQpvIE1vc3QgY29tbW9ubHkgZHVlIHRvIG5ldXRyb3BlbmlhLCBoeXBlcnRlbnNpb24sIHBuZXVtb25pdGlzLCBhbmFlbWlhLCBwbmV1bW9uaWEsIGRlY3JlYXNlZCBBTkMsIEFTVCBpbmNyZWFzZSwgQ0sgaW5jcmVhc2UsIHB5cmV4aWEsIGFuZCBkaWFycmhvZWEgZmF0aWd1ZSAK4oCiIERvc2UgcmVkdWN0aW9uIGR1ZSB0byBBRSA9IDM2JQpvIE1vc3QgY29tbW9ubHkgZHVlIHRvIG5ldXRyb3BlbmlhLCBhbmFlbWlhLCBwbmV1bW9uaXRpcywgaHlwZXJ0ZW5zaW9uLCBkZWNyZWFzZWQgQU5DLCBmYXRpZ3VlLCBhbmQgcG5ldW1vbmlhKhsiFTEwMjk0OTkxOTY1MDAxNzY2MjIwNigAOAAwjYyvla4xOI2Mr5WuMUqcAwoKdGV4dC9wbGFpbhKNA0luIHBhdGllbnRzIHdpdGggTlNDTEMgdHJlYXRlZCB3aXRoIHByYWxzZXRpbmliIDQwMCBtZyBvbmNlIGRhaWx5ICg5MC1kYXkgdXBkYXRlIGRhdGEsIG4gPSA0MzgpOgpEb3NlIGludGVycnVwdGlvbiBkdWUgdG8gQUUgPSA2MCUKTW9zdCBjb21tb25seSBkdWUgdG8gbmV1dHJvcGVuaWEsIGh5cGVydGVuc2lvbiwgcG5ldW1vbml0aXMsIGFuYWVtaWEsIHBuZXVtb25pYSwgQVNUIGluY3JlYXNlLCBDSyBpbmNyZWFzZSwgcHlyZXhpYSBhbmQgZGlhcnJob2VhCkRvc2UgcmVkdWN0aW9uIGR1ZSB0byBBRSA9IDM2JQpNb3N0IGNvbW1vbmx5IGR1ZSB0byBuZXV0cm9wZW5pYSwgYW5hZW1pYSwgcG5ldW1vbml0aXMsIGh5cGVydGVuc2lvbiwgZGVjcmVhc2VkIGFic29sdXRlIG5ldXRyb3BoaWwgY291bnRaDGR0ZzF5dWFubjdoOHICIAB4AJoBBggAEAAYAKoBxQMSwgNTaG91bGQgYmUgOsKgSW4gcGF0aWVudHMgd2l0aCBOU0NMQyB0cmVhdGVkIHdpdGggcHJhbHNldGluaWIgNDAwbWcgUUQgKDkwLWRheSB1cGRhdGUgZGF0YSwgbj0yMjApOjxicj7igKIgRG9zZSBpbnRlcnJ1cHRpb24gZHVlIHRvIEFFID0gNjAlPGJyPm8gTW9zdCBjb21tb25seSBkdWUgdG8gbmV1dHJvcGVuaWEsIGh5cGVydGVuc2lvbiwgcG5ldW1vbml0aXMsIGFuYWVtaWEsIHBuZXVtb25pYSwgZGVjcmVhc2VkIEFOQywgQVNUIGluY3JlYXNlLCBDSyBpbmNyZWFzZSwgcHlyZXhpYSwgYW5kIGRpYXJyaG9lYSBmYXRpZ3VlIDxicj7igKIgRG9zZSByZWR1Y3Rpb24gZHVlIHRvIEFFID0gMzYlPGJyPm8gTW9zdCBjb21tb25seSBkdWUgdG8gbmV1dHJvcGVuaWEsIGFuYWVtaWEsIHBuZXVtb25pdGlzLCBoeXBlcnRlbnNpb24sIGRlY3JlYXNlZCBBTkMsIGZhdGlndWUsIGFuZCBwbmV1bW9uaWGwAQC4AQAYjYyvla4xII2Mr5WuMTAAQhBraXguYWFqZXV4bXEwZWxpIqsCCgtBQUFBNnZ3X2h0YxL5AQoLQUFBQTZ2d19odGMSC0FBQUE2dndfaHRjGigKCXRleHQvaHRtbBIbc2luZ2xlIGRvc2UgYWdyZWVkIHdpdGggRkRBIikKCnRleHQvcGxhaW4SG3NpbmdsZSBkb3NlIGFncmVlZCB3aXRoIEZEQSobIhUxMDY4MjMwMzkwNDI0NDg1MjY1NjkoADgAMIa8iKuuMTiGvIirrjFKGgoKdGV4dC9wbGFpbhIMcmVwZWF0IGRvc2VzWgwxNmEyZ3ZxYzY0cmlyAiAAeACaAQYIABAAGACqAR0SG3NpbmdsZSBkb3NlIGFncmVlZCB3aXRoIEZEQbABALgBABiGvIirrjEghryIq64xMABCEGtpeC5zZTNpcmhhc2Q1eXYi2gIKC0FBQUE2dndfaHM0EqgCCgtBQUFBNnZ3X2hzNBILQUFBQTZ2d19oczQaOAoJdGV4dC9odG1sEitUaGlzIGlzIGFnYWluIG1lYXN1cmFibGUgZGlzZWFzZSBwb3B1bGF0aW9uIjkKCnRleHQvcGxhaW4SK1RoaXMgaXMgYWdhaW4gbWVhc3VyYWJsZSBkaXNlYXNlIHBvcHVsYXRpb24qGyIVMTA2ODIzMDM5MDQyNDQ4NTI2NTY5KAA4ADClpYmqrjE4paWJqq4xShkKCnRleHQvcGxhaW4SCzg3IHBhdGllbnRzWgw1YmlubmVkcHpwbWVyAiAAeACaAQYIABAAGACqAS0SK1RoaXMgaXMgYWdhaW4gbWVhc3VyYWJsZSBkaXNlYXNlIHBvcHVsYXRpb26wAQC4AQAYpaWJqq4xIKWliaquMTAAQhBraXguZTE4ajNjbXJ2bnliIrECCgtBQUFBNURsTk1rVRL/AQoLQUFBQTVEbE5Na1USC0FBQUE1RGxOTWtVGi0KCXRleHQvaHRtbBIgSG93IGNhbiAyLjUgcGF0aWVudHMgaGF2ZSBhbiBBRT8iLgoKdGV4dC9wbGFpbhIgSG93IGNhbiAyLjUgcGF0aWVudHMgaGF2ZSBhbiBBRT8qGyIVMTA5NTkyNDAwMzc4ODUwNjAyMDIxKAA4ADDKyKSrqDE4ysikq6gxShEKCnRleHQvcGxhaW4SAzIuNVoMZWxwNzMycG4zb3dscgIgAHgAmgEGCAAQABgAqgEiEiBIb3cgY2FuIDIuNSBwYXRpZW50cyBoYXZlIGFuIEFFP7ABALgBABjKyKSrqDEgysikq6gxMABCEGtpeC53OWF4NG44aTdxeTgihQcKC0FBQUE2S1c3a3lBEtMGCgtBQUFBNktXN2t5QRILQUFBQTZLVzdreUEa7gEKCXRleHQvaHRtbBLgAXNob3VsZCBiZSA6ICZxdW90O1ByaW9yIHBsYXRpbnVtIHRyZWF0bWVudCAobj04NykgaW4gUkVUIGFsdGVyZWQgTWVhc3VyYWJsZSBkaXNlYXNlIHBvcHVsYXRpb247ICZxdW90Ozxicj48YnI+UmF0aW9uYWxlIDrCoFByaW9yIHBsYXRpbnVtIHRyZWF0bWVudCAobj05MikgaW4gRWZmaWNhY3kgcG9wdWxhdGlvbiAtIEZEQSByZXZpZXc6IFByaW1hcnkgZWZmaWNhY3kgc291cmNlIFRhYmxlIDMxIt8BCgp0ZXh0L3BsYWluEtABc2hvdWxkIGJlIDogIlByaW9yIHBsYXRpbnVtIHRyZWF0bWVudCAobj04NykgaW4gUkVUIGFsdGVyZWQgTWVhc3VyYWJsZSBkaXNlYXNlIHBvcHVsYXRpb247ICIKClJhdGlvbmFsZSA6wqBQcmlvciBwbGF0aW51bSB0cmVhdG1lbnQgKG49OTIpIGluIEVmZmljYWN5IHBvcHVsYXRpb24gLSBGREEgcmV2aWV3OiBQcmltYXJ5IGVmZmljYWN5IHNvdXJjZSBUYWJsZSAzMSobIhUxMDI5NDk5MTk2NTAwMTc2NjIyMDYoADgAMIn0jZWuMTiJ9I2VrjFKLwoKdGV4dC9wbGFpbhIhUHJpb3IgcGxhdGludW0gdHJlYXRtZW50IChuPTg3KTs2WgxvcWVsbTB4dXQ0ZjdyAiAAeACaAQYIABAAGACqAeMBEuABc2hvdWxkIGJlIDogJnF1b3Q7UHJpb3IgcGxhdGludW0gdHJlYXRtZW50IChuPTg3KSBpbiBSRVQgYWx0ZXJlZCBNZWFzdXJhYmxlIGRpc2Vhc2UgcG9wdWxhdGlvbjsgJnF1b3Q7PGJyPjxicj5SYXRpb25hbGUgOsKgUHJpb3IgcGxhdGludW0gdHJlYXRtZW50IChuPTkyKSBpbiBFZmZpY2FjeSBwb3B1bGF0aW9uIC0gRkRBIHJldmlldzogUHJpbWFyeSBlZmZpY2FjeSBzb3VyY2UgVGFibGUgMzGwAQC4AQAYifSNla4xIIn0jZWuMTAAQhBraXgucGlwa3AwbnV0ZnA0Ir4GCgtBQUFBNnZ3X2hzOBKMBgoLQUFBQTZ2d19oczgSC0FBQUE2dndfaHM4GtkBCgl0ZXh0L2h0bWwSywFTaG91bGQgYmUgJnF1b3Q7VHJlYXRtZW50IG5haXZlIChuPTI3KSBpbiBSRVQgYWx0ZXJlZCBNZWFzdXJhYmxlIGRpc2Vhc2UgcG9wdWxhdGlvbjsgJnF1b3Q7PGJyPjxicj5SYXRpb25hbGUgOiBUcmVhdG1lbnQgbmFpdmUgKG49MjkpIGluIEVmZmljYWN5IHBvcHVsYXRpb24gLSBGREEgcmV2aWV3OiBQcmltYXJ5IGVmZmljYWN5IHNvdXJjZSBUYWJsZSAzMSLKAQoKdGV4dC9wbGFpbhK7AVNob3VsZCBiZSAiVHJlYXRtZW50IG5haXZlIChuPTI3KSBpbiBSRVQgYWx0ZXJlZCBNZWFzdXJhYmxlIGRpc2Vhc2UgcG9wdWxhdGlvbjsgIgoKUmF0aW9uYWxlIDogVHJlYXRtZW50IG5haXZlIChuPTI5KSBpbiBFZmZpY2FjeSBwb3B1bGF0aW9uIC0gRkRBIHJldmlldzogUHJpbWFyeSBlZmZpY2FjeSBzb3VyY2UgVGFibGUgMzEqGyIVMTA2ODIzMDM5MDQyNDQ4NTI2NTY5KAA4ADDMm6KqrjE4zJuiqq4xSicKCnRleHQvcGxhaW4SGVRyZWF0bWVudCBuYcOvdmUgKG49MjcpOzZaDHFoNXl0Zm44MXYycnICIAB4AJoBBggAEAAYAKoBzgESywFTaG91bGQgYmUgJnF1b3Q7VHJlYXRtZW50IG5haXZlIChuPTI3KSBpbiBSRVQgYWx0ZXJlZCBNZWFzdXJhYmxlIGRpc2Vhc2UgcG9wdWxhdGlvbjsgJnF1b3Q7PGJyPjxicj5SYXRpb25hbGUgOiBUcmVhdG1lbnQgbmFpdmUgKG49MjkpIGluIEVmZmljYWN5IHBvcHVsYXRpb24gLSBGREEgcmV2aWV3OiBQcmltYXJ5IGVmZmljYWN5IHNvdXJjZSBUYWJsZSAzMbABALgBABjMm6KqrjEgzJuiqq4xMABCEGtpeC4zczAxMjhwZWlqeHciuQMKC0FBQUE2dndfaHN3EocDCgtBQUFBNnZ3X2hzdxILQUFBQTZ2d19oc3caMAoJdGV4dC9odG1sEiMxICZhbXA7IDYgYXJlIG1pc3NpbmcgZnJvbSBmb290bm90ZSItCgp0ZXh0L3BsYWluEh8xICYgNiBhcmUgbWlzc2luZyBmcm9tIGZvb3Rub3RlKhsiFTEwNjgyMzAzOTA0MjQ0ODUyNjU2OSgAOAAwgcKAqq4xOIHCgKquMUqTAQoKdGV4dC9wbGFpbhKEAVRoZSBUTk0gU3RhZ2luZyBTeXN0ZW0gaW5jbHVkZXMgdGhlIGV4dGVudCBvZiB0aGUgdHVtb3IgKFQpLCBleHRlbnQgb2Ygc3ByZWFkIHRvIHRoZSBseW1waCBub2RlcyAoTiksIGFuZCBwcmVzZW5jZSBvZiBtZXRhc3Rhc2lzIChNKVoMZWFoM285MzdwMzMwcgIgAHgAmgEGCAAQABgAqgElEiMxICZhbXA7IDYgYXJlIG1pc3NpbmcgZnJvbSBmb290bm90ZbABALgBABiBwoCqrjEggcKAqq4xMABCEGtpeC5iNDdvbGI0a2RmcHQitwIKC0FBQUE1RmhLTXFrEoUCCgtBQUFBNUZoS01xaxILQUFBQTVGaEtNcWsaKgoJdGV4dC9odG1sEh13aWxsIGJlIHJldmlld2VkIGJ5IGxvY2FsIERSQSIrCgp0ZXh0L3BsYWluEh13aWxsIGJlIHJldmlld2VkIGJ5IGxvY2FsIERSQSobIhUxMDMyNDQwNzMwOTgyMDAzNDQ1MjgoADgAMOvZrJyoMTjr2aycqDFKIAoKdGV4dC9wbGFpbhISU3VibWlzc2lvbiBkZXRhaWxzWgw3OHk0bXM4OXh5ejByAiAAeACaAQYIABAAGACqAR8SHXdpbGwgYmUgcmV2aWV3ZWQgYnkgbG9jYWwgRFJBsAEAuAEAGOvZrJyoMSDr2aycqDEwAEIQa2l4LmxxYXdiNmh2Mjg0MCL7AQoLQUFBQTZLVzdreWcSyQEKC0FBQUE2S1c3a3lnEgtBQUFBNktXN2t5ZxobCgl0ZXh0L2h0bWwSDnNob3VsZCBiZSAyLjUlIhwKCnRleHQvcGxhaW4SDnNob3VsZCBiZSAyLjUlKhsiFTEwMjk0OTkxOTY1MDAxNzY2MjIwNigAOAAw2f6ila4xONn+opWuMUoRCgp0ZXh0L3BsYWluEgMyLjVaDDU3eG1nZGppdHJzdnICIAB4AJoBBggAEAAYAKoBEBIOc2hvdWxkIGJlIDIuNSWwAQC4AQAY2f6ila4xINn+opWuMTAAQhBraXguM2JhaHc5NzUyeW93IrYRCgtBQUFBNktXN2t6SRKEEQoLQUFBQTZLVzdrekkSC0FBQUE2S1c3a3pJGpkGCgl0ZXh0L2h0bWwSiwZ0aGlzIGlzIHRoZSBvbmx5IGVycm9yIHRoYXQgd2FzIGNvcnJlY3RlZCBiYXNlZCBvbiBvdXIgZXJyb3Ivb21pc3Npb24gdGFibGUgb2YgdGhlIGRlbGVnYXRlIG92ZXJ2aWV3IC4uLndhcyAxOSUgYW5kIHdlIGNvcnJlY3RlZCB0byAxMSAlwqA8YnI+PGJyPmFnYWluIGhlcmUgYWxsIG90aGVyIHByb3Bvc2VkIGNoYW5nZXMgd2VyZSBub3QgdGFrZW4gaW50byBhY2NvdW50wqBldmVuIGZvciB0aG9zZSB0aGF0IGFyZSByZWxhdGVkIHRvIG51bWJlcnMvZGF0YSAuLi48YnI+PGJyPlBsZWFzZSBzZWUgdGhlIHJlbGF0ZWQgZXJyb3Ivb21pc3Npb24gZG9jIHdlIGhhZCBwcmVwYXJlZCAvIHNoYXJlZCBmb3Igc3VibWlzc2lvbsKgdG8gVEdBOsKgPGEgaHJlZj0iaHR0cHM6Ly93d3cuZ29vZ2xlLmNvbS91cmw/cT1odHRwczovL2RvY3MuZ29vZ2xlLmNvbS9kb2N1bWVudC9kLzFRYnR1X29IMnNwT3RFSlA2dWJJUFJjTWFZUUF1bFFCLS1OUDZRdWlsWFJJL2VkaXQmYW1wO3NhPUQmYW1wO3NvdXJjZT1kb2NzJmFtcDt1c3Q9MTY5NjIwMzcwMzM5MDAwNSZhbXA7dXNnPUFPdlZhdzNCWUotdC1LQ2RWb25yTk9qNVhHUmYiIGRhdGEtcmF3SHJlZj0iaHR0cHM6Ly9kb2NzLmdvb2dsZS5jb20vZG9jdW1lbnQvZC8xUWJ0dV9vSDJzcE90RUpQNnViSVBSY01hWVFBdWxRQi0tTlA2UXVpbFhSSS9lZGl0IiB0YXJnZXQ9Il9ibGFuayI+aHR0cHM6Ly9kb2NzLmdvb2dsZS5jb20vZG9jdW1lbnQvZC8xUWJ0dV9vSDJzcE90RUpQNnViSVBSY01hWVFBdWxRQi0tTlA2UXVpbFhSSS9lZGl0PC9hPiLDAwoKdGV4dC9wbGFpbhK0A3RoaXMgaXMgdGhlIG9ubHkgZXJyb3IgdGhhdCB3YXMgY29ycmVjdGVkIGJhc2VkIG9uIG91ciBlcnJvci9vbWlzc2lvbiB0YWJsZSBvZiB0aGUgZGVsZWdhdGUgb3ZlcnZpZXcgLi4ud2FzIDE5JSBhbmQgd2UgY29ycmVjdGVkIHRvIDExICXCoAoKYWdhaW4gaGVyZSBhbGwgb3RoZXIgcHJvcG9zZWQgY2hhbmdlcyB3ZXJlIG5vdCB0YWtlbiBpbnRvIGFjY291bnTCoGV2ZW4gZm9yIHRob3NlIHRoYXQgYXJlIHJlbGF0ZWQgdG8gbnVtYmVycy9kYXRhIC4uLgoKUGxlYXNlIHNlZSB0aGUgcmVsYXRlZCBlcnJvci9vbWlzc2lvbiBkb2Mgd2UgaGFkIHByZXBhcmVkIC8gc2hhcmVkIGZvciBzdWJtaXNzaW9uwqB0byBUR0E6wqBodHRwczovL2RvY3MuZ29vZ2xlLmNvbS9kb2N1bWVudC9kLzFRYnR1X29IMnNwT3RFSlA2dWJJUFJjTWFZUUF1bFFCLS1OUDZRdWlsWFJJL2VkaXQqGyIVMTAyOTQ5OTE5NjUwMDE3NjYyMjA2KAA4ADCAzcWVrjE4gM3Fla4xSiYKCnRleHQvcGxhaW4SGEFkdmVyc2UgZXZlbnQgKEFFKSA9IDExJVoMbHIzaWR5dTg5c3k4cgIgAHgAmgEGCAAQABgAqgGOBhKLBnRoaXMgaXMgdGhlIG9ubHkgZXJyb3IgdGhhdCB3YXMgY29ycmVjdGVkIGJhc2VkIG9uIG91ciBlcnJvci9vbWlzc2lvbiB0YWJsZSBvZiB0aGUgZGVsZWdhdGUgb3ZlcnZpZXcgLi4ud2FzIDE5JSBhbmQgd2UgY29ycmVjdGVkIHRvIDExICXCoDxicj48YnI+YWdhaW4gaGVyZSBhbGwgb3RoZXIgcHJvcG9zZWQgY2hhbmdlcyB3ZXJlIG5vdCB0YWtlbiBpbnRvIGFjY291bnTCoGV2ZW4gZm9yIHRob3NlIHRoYXQgYXJlIHJlbGF0ZWQgdG8gbnVtYmVycy9kYXRhIC4uLjxicj48YnI+UGxlYXNlIHNlZSB0aGUgcmVsYXRlZCBlcnJvci9vbWlzc2lvbiBkb2Mgd2UgaGFkIHByZXBhcmVkIC8gc2hhcmVkIGZvciBzdWJtaXNzaW9uwqB0byBUR0E6wqA8YSBocmVmPSJodHRwczovL3d3dy5nb29nbGUuY29tL3VybD9xPWh0dHBzOi8vZG9jcy5nb29nbGUuY29tL2RvY3VtZW50L2QvMVFidHVfb0gyc3BPdEVKUDZ1YklQUmNNYVlRQXVsUUItLU5QNlF1aWxYUkkvZWRpdCZhbXA7c2E9RCZhbXA7c291cmNlPWRvY3MmYW1wO3VzdD0xNjk2MjAzNzAzMzkwMDA1JmFtcDt1c2c9QU92VmF3M0JZSi10LUtDZFZvbnJOT2o1WEdSZiIgZGF0YS1yYXdocmVmPSJodHRwczovL2RvY3MuZ29vZ2xlLmNvbS9kb2N1bWVudC9kLzFRYnR1X29IMnNwT3RFSlA2dWJJUFJjTWFZUUF1bFFCLS1OUDZRdWlsWFJJL2VkaXQiIHRhcmdldD0iX2JsYW5rIj5odHRwczovL2RvY3MuZ29vZ2xlLmNvbS9kb2N1bWVudC9kLzFRYnR1X29IMnNwT3RFSlA2dWJJUFJjTWFZUUF1bFFCLS1OUDZRdWlsWFJJL2VkaXQ8L2E+sAEAuAEAGIDNxZWuMSCAzcWVrjEwAEIQa2l4LmQ5MGFqYmVtZ3BvMiK7AgoLQUFBQTVGaEtNcWcSiQIKC0FBQUE1RmhLTXFnEgtBQUFBNUZoS01xZxorCgl0ZXh0L2h0bWwSHndpbGwgYmUgcmV2aWV3ZWTCoGJ5IGxvY2FsIERSQSIsCgp0ZXh0L3BsYWluEh53aWxsIGJlIHJldmlld2VkwqBieSBsb2NhbCBEUkEqGyIVMTAzMjQ0MDczMDk4MjAwMzQ0NTI4KAA4ADD79qqcqDE4+/aqnKgxSiIKCnRleHQvcGxhaW4SFFJpc2sgbWFuYWdlbWVudCBwbGFuWgsxanphbWpnM2szY3ICIAB4AJoBBggAEAAYAKoBIBIed2lsbCBiZSByZXZpZXdlZMKgYnkgbG9jYWwgRFJBsAEAuAEAGPv2qpyoMSD79qqcqDEwAEIQa2l4LnRmcmxwNWJjOWkwayLsBAoLQUFBQTZLVzdreEkSugQKC0FBQUE2S1c3a3hJEgtBQUFBNktXN2t4SRqSAQoJdGV4dC9odG1sEoQBc2hvdWxkIGJlIGRlbGV0ZWQgKCByYXRpb25hbGUgOsKgQSBzaW5nbGUgZG9zZSBvZiBDeWNsb3Nwb3JpbmUgKFAtZ3AgaW5oaWJpdG9yKSB3YXMgdXNlZCB0byBjb25kdWN0IGEgRERJIHN0dWR5IHRvIG1lZXQgdGhlIEZEQSBQTVIuIpMBCgp0ZXh0L3BsYWluEoQBc2hvdWxkIGJlIGRlbGV0ZWQgKCByYXRpb25hbGUgOsKgQSBzaW5nbGUgZG9zZSBvZiBDeWNsb3Nwb3JpbmUgKFAtZ3AgaW5oaWJpdG9yKSB3YXMgdXNlZCB0byBjb25kdWN0IGEgRERJIHN0dWR5IHRvIG1lZXQgdGhlIEZEQSBQTVIuKhsiFTEwMjk0OTkxOTY1MDAxNzY2MjIwNigAOAAwvLHzlK4xOLyx85SuMUoaCgp0ZXh0L3BsYWluEgxyZXBlYXQgZG9zZXNaDHV0eXJwM3IxN3J2ZXICIAB4AJoBBggAEAAYAKoBhwEShAFzaG91bGQgYmUgZGVsZXRlZCAoIHJhdGlvbmFsZSA6wqBBIHNpbmdsZSBkb3NlIG9mIEN5Y2xvc3BvcmluZSAoUC1ncCBpbmhpYml0b3IpIHdhcyB1c2VkIHRvIGNvbmR1Y3QgYSBEREkgc3R1ZHkgdG8gbWVldCB0aGUgRkRBIFBNUi6wAQC4AQAYvLHzlK4xILyx85SuMTAAQhBraXguZGt2MG5jaTZuY2hmIuwOCgtBQUFBNktXN2t5YxK6DgoLQUFBQTZLVzdreWMSC0FBQUE2S1c3a3ljGpkFCgl0ZXh0L2h0bWwSiwVzaG91bGQgYmUgOiAmcXVvdDtTaW5jZSB0aGUgZGF0YSBjdXRvZmYgb2YgMTggTm92ZW1iZXIgMjAxOSwgNSBhZGRpdGlvbmFsIGRlYXRocyB3ZXJlIHJlcG9ydGVkIHRocm91Z2ggdGhlIGxhdGUtYnJlYWtpbmcgZGF0YSBjdXRvZmYgZGF0ZSBvZiAxOCBEZWNlbWJlciAyMDE5LiZxdW90Ozxicj5zZWUgcmF0aW9uYWxlIGluIERlbGVnYXRlIE92ZXJ2aWV3IGVycm9yL29taXNzaW9uwqBMdW5nIGRvYyBIRVJFIDrCoDxhIGhyZWY9Imh0dHBzOi8vd3d3Lmdvb2dsZS5jb20vdXJsP3E9aHR0cHM6Ly9kb2NzLmdvb2dsZS5jb20vZG9jdW1lbnQvZC8xUWJ0dV9vSDJzcE90RUpQNnViSVBSY01hWVFBdWxRQi0tTlA2UXVpbFhSSS9lZGl0JmFtcDtzYT1EJmFtcDtzb3VyY2U9ZG9jcyZhbXA7dXN0PTE2OTYyMDM3MDMzODczMjYmYW1wO3VzZz1BT3ZWYXczb2FkSmFVM1daUXBaaGY2QnVjYTJ1IiBkYXRhLXJhd0hyZWY9Imh0dHBzOi8vZG9jcy5nb29nbGUuY29tL2RvY3VtZW50L2QvMVFidHVfb0gyc3BPdEVKUDZ1YklQUmNNYVlRQXVsUUItLU5QNlF1aWxYUkkvZWRpdCIgdGFyZ2V0PSJfYmxhbmsiPmh0dHBzOi8vZG9jcy5nb29nbGUuY29tL2RvY3VtZW50L2QvMVFidHVfb0gyc3BPdEVKUDZ1YklQUmNNYVlRQXVsUUItLU5QNlF1aWxYUkkvZWRpdDwvYT4iwgIKCnRleHQvcGxhaW4SswJzaG91bGQgYmUgOiAiU2luY2UgdGhlIGRhdGEgY3V0b2ZmIG9mIDE4IE5vdmVtYmVyIDIwMTksIDUgYWRkaXRpb25hbCBkZWF0aHMgd2VyZSByZXBvcnRlZCB0aHJvdWdoIHRoZSBsYXRlLWJyZWFraW5nIGRhdGEgY3V0b2ZmIGRhdGUgb2YgMTggRGVjZW1iZXIgMjAxOS4iCnNlZSByYXRpb25hbGUgaW4gRGVsZWdhdGUgT3ZlcnZpZXcgZXJyb3Ivb21pc3Npb27CoEx1bmcgZG9jIEhFUkUgOsKgaHR0cHM6Ly9kb2NzLmdvb2dsZS5jb20vZG9jdW1lbnQvZC8xUWJ0dV9vSDJzcE90RUpQNnViSVBSY01hWVFBdWxRQi0tTlA2UXVpbFhSSS9lZGl0KhsiFTEwMjk0OTkxOTY1MDAxNzY2MjIwNigAOAAwy+6dla4xOMvunZWuMUpeCgp0ZXh0L3BsYWluElBTaW5jZSB0aGUgZGF0YSBjdXRvZmYgb2YgMTggTm92ZW1iZXIgMjAxOSwgZml2ZSBhZGRpdGlvbmFsIGRlYXRocyB3ZXJlIHJlcG9ydGVkO1oLdWJ4Nmg4ajZnb2tyAiAAeACaAQYIABAAGACqAY4FEosFc2hvdWxkIGJlIDogJnF1b3Q7U2luY2UgdGhlIGRhdGEgY3V0b2ZmIG9mIDE4IE5vdmVtYmVyIDIwMTksIDUgYWRkaXRpb25hbCBkZWF0aHMgd2VyZSByZXBvcnRlZCB0aHJvdWdoIHRoZSBsYXRlLWJyZWFraW5nIGRhdGEgY3V0b2ZmIGRhdGUgb2YgMTggRGVjZW1iZXIgMjAxOS4mcXVvdDs8YnI+c2VlIHJhdGlvbmFsZSBpbiBEZWxlZ2F0ZSBPdmVydmlldyBlcnJvci9vbWlzc2lvbsKgTHVuZyBkb2MgSEVSRSA6wqA8YSBocmVmPSJodHRwczovL3d3dy5nb29nbGUuY29tL3VybD9xPWh0dHBzOi8vZG9jcy5nb29nbGUuY29tL2RvY3VtZW50L2QvMVFidHVfb0gyc3BPdEVKUDZ1YklQUmNNYVlRQXVsUUItLU5QNlF1aWxYUkkvZWRpdCZhbXA7c2E9RCZhbXA7c291cmNlPWRvY3MmYW1wO3VzdD0xNjk2MjAzNzAzMzg3MzI2JmFtcDt1c2c9QU92VmF3M29hZEphVTNXWlFwWmhmNkJ1Y2EydSIgZGF0YS1yYXdocmVmPSJodHRwczovL2RvY3MuZ29vZ2xlLmNvbS9kb2N1bWVudC9kLzFRYnR1X29IMnNwT3RFSlA2dWJJUFJjTWFZUUF1bFFCLS1OUDZRdWlsWFJJL2VkaXQiIHRhcmdldD0iX2JsYW5rIj5odHRwczovL2RvY3MuZ29vZ2xlLmNvbS9kb2N1bWVudC9kLzFRYnR1X29IMnNwT3RFSlA2dWJJUFJjTWFZUUF1bFFCLS1OUDZRdWlsWFJJL2VkaXQ8L2E+sAEAuAEAGMvunZWuMSDL7p2VrjEwAEIQa2l4LjhoNWthNGZ5emdkaCLCAwoLQUFBQTZLVzdreW8SkAMKC0FBQUE2S1c3a3lvEgtBQUFBNktXN2t5bxpNCgl0ZXh0L2h0bWwSQHNob3VsZCBiZSA6wqBPZiB0aGVzZSA3IHBhdGllbnRzLCA1IHJlcXVpcmVkIGRvc2UgbW9kaWZpY2F0aW9ucy4iTgoKdGV4dC9wbGFpbhJAc2hvdWxkIGJlIDrCoE9mIHRoZXNlIDcgcGF0aWVudHMsIDUgcmVxdWlyZWQgZG9zZSBtb2RpZmljYXRpb25zLiobIhUxMDI5NDk5MTk2NTAwMTc2NjIyMDYoADgAMJLJp5WuMTiSyaeVrjFKQgoKdGV4dC9wbGFpbhI0T2YgdGhlc2UgcGF0aWVudHMsIGZpdmUgcmVxdWlyZWQgZG9zZSBtb2RpZmljYXRpb25zLloMMmFvZnJjYXB0ZTFmcgIgAHgAmgEGCAAQABgAqgFCEkBzaG91bGQgYmUgOsKgT2YgdGhlc2UgNyBwYXRpZW50cywgNSByZXF1aXJlZCBkb3NlIG1vZGlmaWNhdGlvbnMusAEAuAEAGJLJp5WuMSCSyaeVrjEwAEIQa2l4LmFoemxqbDJtamFjcyLiBQoLQUFBQTZLVzdrd28SsAUKC0FBQUE2S1c3a3dvEgtBQUFBNktXN2t3bxp4Cgl0ZXh0L2h0bWwSa3dlIHN1Z2dlc3RlZCB0byBkZWxldGUgYmVjYXVzZcKgZGV0YWlsZWQgZG9zZSBtb2RpZmljYXRpb25zIGFyZSBwcm92aWRlZCBpbiB0aGUgYnVsbGV0IHBvaW50cyBsaXN0ZWQgbGF0ZXIuInkKCnRleHQvcGxhaW4Sa3dlIHN1Z2dlc3RlZCB0byBkZWxldGUgYmVjYXVzZcKgZGV0YWlsZWQgZG9zZSBtb2RpZmljYXRpb25zIGFyZSBwcm92aWRlZCBpbiB0aGUgYnVsbGV0IHBvaW50cyBsaXN0ZWQgbGF0ZXIuKhsiFTEwMjk0OTkxOTY1MDAxNzY2MjIwNigAOAAwvOHrlK4xOLzh65SuMUrgAQoKdGV4dC9wbGFpbhLRAUNvbmNvbWl0YW50IHRyZWF0bWVudCB3aXRoIGEgc3Ryb25nIENZUDNBIGluaGliaXRvciBvciBpbmR1Y2VyIGFmZmVjdGVkIHRoZSBleHBvc3VyZSB0byBwcmFsc2V0aW5pYjsgc3Ryb25nIENZUDNBNCBpbmhpYml0b3JzIGFuZCBpbmR1Y2VycyBzaG91bGQgYmUgYXZvaWRlZCwgYW5kIGlmIG5vdCwgdGhlIHByYWxzZXRpbmliIGRvc2Ugc2hvdWxkIGJlIHJlZHVjZWQuWgxpbDN1cDk0MmRxeHFyAiAAeACaAQYIABAAGACqAW0Sa3dlIHN1Z2dlc3RlZCB0byBkZWxldGUgYmVjYXVzZcKgZGV0YWlsZWQgZG9zZSBtb2RpZmljYXRpb25zIGFyZSBwcm92aWRlZCBpbiB0aGUgYnVsbGV0IHBvaW50cyBsaXN0ZWQgbGF0ZXIusAEAuAEAGLzh65SuMSC84euUrjEwAEIQa2l4LjV1Mndua2Jna3lmN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4AGokChRzdWdnZXN0LmFpMGJjdTZwN3M4ZRIMTG91aXNlIEhheWVzaiQKFHN1Z2dlc3QubWczZmVmazZwbjZpEgxMb3Vpc2UgSGF5ZXNqJAoUc3VnZ2VzdC5tOTA3a2ZpdHd5cjQSDExvdWlzZSBIYXllc2okChRzdWdnZXN0LjNuNXZ0dG9xcnF0MxIMTG91aXNlIEhheWVzaiQKFHN1Z2dlc3QuZGM3bmZtcWI2eDhsEgxMb3Vpc2UgSGF5ZXNqJAoUc3VnZ2VzdC5pOTgwOXdudXpyZjgSDExvdWlzZSBIYXllc2okChRzdWdnZXN0LmZyYmRkMnhxODY2dhIMU2FtIE1jQ2FsbHVtaiQKFHN1Z2dlc3QuaW9kYnp4ejBpN284EgxMb3Vpc2UgSGF5ZXNqIwoTc3VnZ2VzdC5oaWN2cDJ3dnZrOBIMTG91aXNlIEhheWVzaiQKFHN1Z2dlc3QuYWFpM29tdG1yb3R2EgxMb3Vpc2UgSGF5ZXNyITFXSkxqYURwS0plR3FZRFNhVGlGbW5PQmtjZmhrZEY4VQ==</go:docsCustomData>
</go:gDocsCustomXmlDataStorage>
</file>

<file path=customXml/itemProps1.xml><?xml version="1.0" encoding="utf-8"?>
<ds:datastoreItem xmlns:ds="http://schemas.openxmlformats.org/officeDocument/2006/customXml" ds:itemID="{6707EBF8-5D29-46B1-972B-1CF5016370A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12414</Words>
  <Characters>71755</Characters>
  <Application>Microsoft Office Word</Application>
  <DocSecurity>0</DocSecurity>
  <Lines>2050</Lines>
  <Paragraphs>1039</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83130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Gavreto</dc:title>
  <dc:subject>prescription medicines</dc:subject>
  <dc:creator>Therapeutic Goods Administration</dc:creator>
  <cp:lastModifiedBy>LACK, Janet</cp:lastModifiedBy>
  <cp:revision>2</cp:revision>
  <dcterms:created xsi:type="dcterms:W3CDTF">2023-10-17T03:47:00Z</dcterms:created>
  <dcterms:modified xsi:type="dcterms:W3CDTF">2023-10-17T03:47:00Z</dcterms:modified>
</cp:coreProperties>
</file>