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BB88" w14:textId="77777777" w:rsidR="00AB4CEC" w:rsidRDefault="00AB4CEC" w:rsidP="00980EF6">
      <w:pPr>
        <w:pBdr>
          <w:top w:val="single" w:sz="4" w:space="1" w:color="auto"/>
        </w:pBdr>
        <w:jc w:val="left"/>
      </w:pPr>
    </w:p>
    <w:p w14:paraId="0A514838" w14:textId="02B7C292" w:rsidR="00AB4CEC" w:rsidRDefault="00AB4CEC" w:rsidP="00980EF6">
      <w:pPr>
        <w:jc w:val="left"/>
      </w:pPr>
      <w:r>
        <w:rPr>
          <w:rFonts w:ascii="Arial" w:eastAsia="SimSun" w:hAnsi="Arial" w:cs="Arial"/>
          <w:spacing w:val="-5"/>
          <w:position w:val="-4"/>
        </w:rPr>
        <w:t>▼</w:t>
      </w:r>
      <w:r>
        <w:rPr>
          <w:rFonts w:eastAsia="Cambria" w:cstheme="minorHAnsi"/>
          <w:spacing w:val="1"/>
          <w:position w:val="-3"/>
        </w:rPr>
        <w:t>T</w:t>
      </w:r>
      <w:r>
        <w:rPr>
          <w:rFonts w:eastAsia="Cambria" w:cstheme="minorHAnsi"/>
          <w:spacing w:val="-2"/>
          <w:position w:val="-3"/>
        </w:rPr>
        <w:t>h</w:t>
      </w:r>
      <w:r>
        <w:rPr>
          <w:rFonts w:eastAsia="Cambria" w:cstheme="minorHAnsi"/>
          <w:spacing w:val="1"/>
          <w:position w:val="-3"/>
        </w:rPr>
        <w:t>i</w:t>
      </w:r>
      <w:r>
        <w:rPr>
          <w:rFonts w:eastAsia="Cambria" w:cstheme="minorHAnsi"/>
          <w:position w:val="-3"/>
        </w:rPr>
        <w:t>s</w:t>
      </w:r>
      <w:r>
        <w:rPr>
          <w:rFonts w:eastAsia="Cambria" w:cstheme="minorHAnsi"/>
          <w:spacing w:val="-2"/>
          <w:position w:val="-3"/>
        </w:rPr>
        <w:t xml:space="preserve"> </w:t>
      </w:r>
      <w:r>
        <w:rPr>
          <w:rFonts w:eastAsia="Cambria" w:cstheme="minorHAnsi"/>
          <w:spacing w:val="1"/>
          <w:position w:val="-3"/>
        </w:rPr>
        <w:t>m</w:t>
      </w:r>
      <w:r>
        <w:rPr>
          <w:rFonts w:eastAsia="Cambria" w:cstheme="minorHAnsi"/>
          <w:position w:val="-3"/>
        </w:rPr>
        <w:t>e</w:t>
      </w:r>
      <w:r>
        <w:rPr>
          <w:rFonts w:eastAsia="Cambria" w:cstheme="minorHAnsi"/>
          <w:spacing w:val="-2"/>
          <w:position w:val="-3"/>
        </w:rPr>
        <w:t>d</w:t>
      </w:r>
      <w:r>
        <w:rPr>
          <w:rFonts w:eastAsia="Cambria" w:cstheme="minorHAnsi"/>
          <w:spacing w:val="1"/>
          <w:position w:val="-3"/>
        </w:rPr>
        <w:t>i</w:t>
      </w:r>
      <w:r>
        <w:rPr>
          <w:rFonts w:eastAsia="Cambria" w:cstheme="minorHAnsi"/>
          <w:spacing w:val="-1"/>
          <w:position w:val="-3"/>
        </w:rPr>
        <w:t>c</w:t>
      </w:r>
      <w:r>
        <w:rPr>
          <w:rFonts w:eastAsia="Cambria" w:cstheme="minorHAnsi"/>
          <w:spacing w:val="1"/>
          <w:position w:val="-3"/>
        </w:rPr>
        <w:t>i</w:t>
      </w:r>
      <w:r>
        <w:rPr>
          <w:rFonts w:eastAsia="Cambria" w:cstheme="minorHAnsi"/>
          <w:spacing w:val="-1"/>
          <w:position w:val="-3"/>
        </w:rPr>
        <w:t>n</w:t>
      </w:r>
      <w:r>
        <w:rPr>
          <w:rFonts w:eastAsia="Cambria" w:cstheme="minorHAnsi"/>
          <w:position w:val="-3"/>
        </w:rPr>
        <w:t>al p</w:t>
      </w:r>
      <w:r>
        <w:rPr>
          <w:rFonts w:eastAsia="Cambria" w:cstheme="minorHAnsi"/>
          <w:spacing w:val="-1"/>
          <w:position w:val="-3"/>
        </w:rPr>
        <w:t>r</w:t>
      </w:r>
      <w:r>
        <w:rPr>
          <w:rFonts w:eastAsia="Cambria" w:cstheme="minorHAnsi"/>
          <w:position w:val="-3"/>
        </w:rPr>
        <w:t>o</w:t>
      </w:r>
      <w:r>
        <w:rPr>
          <w:rFonts w:eastAsia="Cambria" w:cstheme="minorHAnsi"/>
          <w:spacing w:val="-2"/>
          <w:position w:val="-3"/>
        </w:rPr>
        <w:t>d</w:t>
      </w:r>
      <w:r>
        <w:rPr>
          <w:rFonts w:eastAsia="Cambria" w:cstheme="minorHAnsi"/>
          <w:position w:val="-3"/>
        </w:rPr>
        <w:t>u</w:t>
      </w:r>
      <w:r>
        <w:rPr>
          <w:rFonts w:eastAsia="Cambria" w:cstheme="minorHAnsi"/>
          <w:spacing w:val="1"/>
          <w:position w:val="-3"/>
        </w:rPr>
        <w:t>c</w:t>
      </w:r>
      <w:r>
        <w:rPr>
          <w:rFonts w:eastAsia="Cambria" w:cstheme="minorHAnsi"/>
          <w:position w:val="-3"/>
        </w:rPr>
        <w:t>t</w:t>
      </w:r>
      <w:r>
        <w:rPr>
          <w:rFonts w:eastAsia="Cambria" w:cstheme="minorHAnsi"/>
          <w:spacing w:val="-3"/>
          <w:position w:val="-3"/>
        </w:rPr>
        <w:t xml:space="preserve"> </w:t>
      </w:r>
      <w:r>
        <w:rPr>
          <w:rFonts w:eastAsia="Cambria" w:cstheme="minorHAnsi"/>
          <w:spacing w:val="1"/>
          <w:position w:val="-3"/>
        </w:rPr>
        <w:t>i</w:t>
      </w:r>
      <w:r>
        <w:rPr>
          <w:rFonts w:eastAsia="Cambria" w:cstheme="minorHAnsi"/>
          <w:position w:val="-3"/>
        </w:rPr>
        <w:t>s</w:t>
      </w:r>
      <w:r>
        <w:rPr>
          <w:rFonts w:eastAsia="Cambria" w:cstheme="minorHAnsi"/>
          <w:spacing w:val="-2"/>
          <w:position w:val="-3"/>
        </w:rPr>
        <w:t xml:space="preserve"> </w:t>
      </w:r>
      <w:r>
        <w:rPr>
          <w:rFonts w:eastAsia="Cambria" w:cstheme="minorHAnsi"/>
          <w:spacing w:val="1"/>
          <w:position w:val="-3"/>
        </w:rPr>
        <w:t>s</w:t>
      </w:r>
      <w:r>
        <w:rPr>
          <w:rFonts w:eastAsia="Cambria" w:cstheme="minorHAnsi"/>
          <w:position w:val="-3"/>
        </w:rPr>
        <w:t>ub</w:t>
      </w:r>
      <w:r>
        <w:rPr>
          <w:rFonts w:eastAsia="Cambria" w:cstheme="minorHAnsi"/>
          <w:spacing w:val="-1"/>
          <w:position w:val="-3"/>
        </w:rPr>
        <w:t>j</w:t>
      </w:r>
      <w:r>
        <w:rPr>
          <w:rFonts w:eastAsia="Cambria" w:cstheme="minorHAnsi"/>
          <w:position w:val="-3"/>
        </w:rPr>
        <w:t>e</w:t>
      </w:r>
      <w:r>
        <w:rPr>
          <w:rFonts w:eastAsia="Cambria" w:cstheme="minorHAnsi"/>
          <w:spacing w:val="1"/>
          <w:position w:val="-3"/>
        </w:rPr>
        <w:t>c</w:t>
      </w:r>
      <w:r>
        <w:rPr>
          <w:rFonts w:eastAsia="Cambria" w:cstheme="minorHAnsi"/>
          <w:position w:val="-3"/>
        </w:rPr>
        <w:t>t</w:t>
      </w:r>
      <w:r>
        <w:rPr>
          <w:rFonts w:eastAsia="Cambria" w:cstheme="minorHAnsi"/>
          <w:spacing w:val="-1"/>
          <w:position w:val="-3"/>
        </w:rPr>
        <w:t xml:space="preserve"> </w:t>
      </w:r>
      <w:r>
        <w:rPr>
          <w:rFonts w:eastAsia="Cambria" w:cstheme="minorHAnsi"/>
          <w:position w:val="-3"/>
        </w:rPr>
        <w:t xml:space="preserve">to </w:t>
      </w:r>
      <w:r>
        <w:rPr>
          <w:rFonts w:eastAsia="Cambria" w:cstheme="minorHAnsi"/>
          <w:spacing w:val="-3"/>
          <w:position w:val="-3"/>
        </w:rPr>
        <w:t>a</w:t>
      </w:r>
      <w:r>
        <w:rPr>
          <w:rFonts w:eastAsia="Cambria" w:cstheme="minorHAnsi"/>
          <w:position w:val="-3"/>
        </w:rPr>
        <w:t>dd</w:t>
      </w:r>
      <w:r>
        <w:rPr>
          <w:rFonts w:eastAsia="Cambria" w:cstheme="minorHAnsi"/>
          <w:spacing w:val="1"/>
          <w:position w:val="-3"/>
        </w:rPr>
        <w:t>i</w:t>
      </w:r>
      <w:r>
        <w:rPr>
          <w:rFonts w:eastAsia="Cambria" w:cstheme="minorHAnsi"/>
          <w:spacing w:val="-3"/>
          <w:position w:val="-3"/>
        </w:rPr>
        <w:t>t</w:t>
      </w:r>
      <w:r>
        <w:rPr>
          <w:rFonts w:eastAsia="Cambria" w:cstheme="minorHAnsi"/>
          <w:spacing w:val="1"/>
          <w:position w:val="-3"/>
        </w:rPr>
        <w:t>i</w:t>
      </w:r>
      <w:r>
        <w:rPr>
          <w:rFonts w:eastAsia="Cambria" w:cstheme="minorHAnsi"/>
          <w:position w:val="-3"/>
        </w:rPr>
        <w:t>onal</w:t>
      </w:r>
      <w:r>
        <w:rPr>
          <w:rFonts w:eastAsia="Cambria" w:cstheme="minorHAnsi"/>
          <w:spacing w:val="-3"/>
          <w:position w:val="-3"/>
        </w:rPr>
        <w:t xml:space="preserve"> </w:t>
      </w:r>
      <w:r>
        <w:rPr>
          <w:rFonts w:eastAsia="Cambria" w:cstheme="minorHAnsi"/>
          <w:spacing w:val="1"/>
          <w:position w:val="-3"/>
        </w:rPr>
        <w:t>m</w:t>
      </w:r>
      <w:r>
        <w:rPr>
          <w:rFonts w:eastAsia="Cambria" w:cstheme="minorHAnsi"/>
          <w:position w:val="-3"/>
        </w:rPr>
        <w:t>o</w:t>
      </w:r>
      <w:r>
        <w:rPr>
          <w:rFonts w:eastAsia="Cambria" w:cstheme="minorHAnsi"/>
          <w:spacing w:val="-3"/>
          <w:position w:val="-3"/>
        </w:rPr>
        <w:t>n</w:t>
      </w:r>
      <w:r>
        <w:rPr>
          <w:rFonts w:eastAsia="Cambria" w:cstheme="minorHAnsi"/>
          <w:spacing w:val="-1"/>
          <w:position w:val="-3"/>
        </w:rPr>
        <w:t>i</w:t>
      </w:r>
      <w:r>
        <w:rPr>
          <w:rFonts w:eastAsia="Cambria" w:cstheme="minorHAnsi"/>
          <w:position w:val="-3"/>
        </w:rPr>
        <w:t>tor</w:t>
      </w:r>
      <w:r>
        <w:rPr>
          <w:rFonts w:eastAsia="Cambria" w:cstheme="minorHAnsi"/>
          <w:spacing w:val="1"/>
          <w:position w:val="-3"/>
        </w:rPr>
        <w:t>i</w:t>
      </w:r>
      <w:r>
        <w:rPr>
          <w:rFonts w:eastAsia="Cambria" w:cstheme="minorHAnsi"/>
          <w:spacing w:val="-1"/>
          <w:position w:val="-3"/>
        </w:rPr>
        <w:t>n</w:t>
      </w:r>
      <w:r>
        <w:rPr>
          <w:rFonts w:eastAsia="Cambria" w:cstheme="minorHAnsi"/>
          <w:position w:val="-3"/>
        </w:rPr>
        <w:t>g</w:t>
      </w:r>
      <w:r>
        <w:rPr>
          <w:rFonts w:eastAsia="Cambria" w:cstheme="minorHAnsi"/>
          <w:spacing w:val="-1"/>
          <w:position w:val="-3"/>
        </w:rPr>
        <w:t xml:space="preserve"> </w:t>
      </w:r>
      <w:r>
        <w:rPr>
          <w:rFonts w:eastAsia="Cambria" w:cstheme="minorHAnsi"/>
          <w:position w:val="-3"/>
        </w:rPr>
        <w:t>in</w:t>
      </w:r>
      <w:r>
        <w:rPr>
          <w:rFonts w:eastAsia="Cambria" w:cstheme="minorHAnsi"/>
          <w:spacing w:val="-1"/>
          <w:position w:val="-3"/>
        </w:rPr>
        <w:t xml:space="preserve"> A</w:t>
      </w:r>
      <w:r>
        <w:rPr>
          <w:rFonts w:eastAsia="Cambria" w:cstheme="minorHAnsi"/>
          <w:position w:val="-3"/>
        </w:rPr>
        <w:t>u</w:t>
      </w:r>
      <w:r>
        <w:rPr>
          <w:rFonts w:eastAsia="Cambria" w:cstheme="minorHAnsi"/>
          <w:spacing w:val="1"/>
          <w:position w:val="-3"/>
        </w:rPr>
        <w:t>s</w:t>
      </w:r>
      <w:r>
        <w:rPr>
          <w:rFonts w:eastAsia="Cambria" w:cstheme="minorHAnsi"/>
          <w:position w:val="-3"/>
        </w:rPr>
        <w:t>t</w:t>
      </w:r>
      <w:r>
        <w:rPr>
          <w:rFonts w:eastAsia="Cambria" w:cstheme="minorHAnsi"/>
          <w:spacing w:val="-3"/>
          <w:position w:val="-3"/>
        </w:rPr>
        <w:t>r</w:t>
      </w:r>
      <w:r>
        <w:rPr>
          <w:rFonts w:eastAsia="Cambria" w:cstheme="minorHAnsi"/>
          <w:position w:val="-3"/>
        </w:rPr>
        <w:t>al</w:t>
      </w:r>
      <w:r>
        <w:rPr>
          <w:rFonts w:eastAsia="Cambria" w:cstheme="minorHAnsi"/>
          <w:spacing w:val="-1"/>
          <w:position w:val="-3"/>
        </w:rPr>
        <w:t>i</w:t>
      </w:r>
      <w:r>
        <w:rPr>
          <w:rFonts w:eastAsia="Cambria" w:cstheme="minorHAnsi"/>
          <w:position w:val="-3"/>
        </w:rPr>
        <w:t xml:space="preserve">a. </w:t>
      </w:r>
      <w:r>
        <w:rPr>
          <w:rFonts w:eastAsia="Cambria" w:cstheme="minorHAnsi"/>
          <w:spacing w:val="1"/>
          <w:position w:val="-3"/>
        </w:rPr>
        <w:t>This will allow quick identification of new safety information. Healthcare professionals are asked to report any suspected adverse events at</w:t>
      </w:r>
      <w:r>
        <w:rPr>
          <w:rFonts w:eastAsia="Cambria" w:cstheme="minorHAnsi"/>
          <w:position w:val="-1"/>
        </w:rPr>
        <w:t xml:space="preserve"> </w:t>
      </w:r>
      <w:r>
        <w:rPr>
          <w:rFonts w:eastAsia="Cambria" w:cstheme="minorHAnsi"/>
          <w:color w:val="0000FF"/>
          <w:spacing w:val="-47"/>
          <w:position w:val="-1"/>
        </w:rPr>
        <w:t xml:space="preserve"> </w:t>
      </w:r>
      <w:hyperlink r:id="rId8" w:history="1">
        <w:r>
          <w:rPr>
            <w:rStyle w:val="Hyperlink"/>
            <w:rFonts w:eastAsia="Cambria"/>
            <w:color w:val="0000FF"/>
            <w:position w:val="-1"/>
          </w:rPr>
          <w:t>https</w:t>
        </w:r>
        <w:r>
          <w:rPr>
            <w:rStyle w:val="Hyperlink"/>
            <w:rFonts w:eastAsia="Cambria"/>
            <w:color w:val="0000FF"/>
            <w:spacing w:val="-1"/>
            <w:position w:val="-1"/>
          </w:rPr>
          <w:t>:</w:t>
        </w:r>
        <w:r>
          <w:rPr>
            <w:rStyle w:val="Hyperlink"/>
            <w:rFonts w:eastAsia="Cambria"/>
            <w:color w:val="0000FF"/>
            <w:position w:val="-1"/>
          </w:rPr>
          <w:t>//</w:t>
        </w:r>
        <w:r>
          <w:rPr>
            <w:rStyle w:val="Hyperlink"/>
            <w:rFonts w:eastAsia="Cambria"/>
            <w:color w:val="0000FF"/>
            <w:spacing w:val="-1"/>
            <w:position w:val="-1"/>
          </w:rPr>
          <w:t>w</w:t>
        </w:r>
        <w:r>
          <w:rPr>
            <w:rStyle w:val="Hyperlink"/>
            <w:rFonts w:eastAsia="Cambria"/>
            <w:color w:val="0000FF"/>
            <w:position w:val="-1"/>
          </w:rPr>
          <w:t>w</w:t>
        </w:r>
        <w:r>
          <w:rPr>
            <w:rStyle w:val="Hyperlink"/>
            <w:rFonts w:eastAsia="Cambria"/>
            <w:color w:val="0000FF"/>
            <w:spacing w:val="-1"/>
            <w:position w:val="-1"/>
          </w:rPr>
          <w:t>w</w:t>
        </w:r>
        <w:r>
          <w:rPr>
            <w:rStyle w:val="Hyperlink"/>
            <w:rFonts w:eastAsia="Cambria"/>
            <w:color w:val="0000FF"/>
            <w:position w:val="-1"/>
          </w:rPr>
          <w:t>.t</w:t>
        </w:r>
        <w:r>
          <w:rPr>
            <w:rStyle w:val="Hyperlink"/>
            <w:rFonts w:eastAsia="Cambria"/>
            <w:color w:val="0000FF"/>
            <w:spacing w:val="-1"/>
            <w:position w:val="-1"/>
          </w:rPr>
          <w:t>g</w:t>
        </w:r>
        <w:r>
          <w:rPr>
            <w:rStyle w:val="Hyperlink"/>
            <w:rFonts w:eastAsia="Cambria"/>
            <w:color w:val="0000FF"/>
            <w:position w:val="-1"/>
          </w:rPr>
          <w:t>a.go</w:t>
        </w:r>
        <w:r>
          <w:rPr>
            <w:rStyle w:val="Hyperlink"/>
            <w:rFonts w:eastAsia="Cambria"/>
            <w:color w:val="0000FF"/>
            <w:spacing w:val="-1"/>
            <w:position w:val="-1"/>
          </w:rPr>
          <w:t>v</w:t>
        </w:r>
        <w:r>
          <w:rPr>
            <w:rStyle w:val="Hyperlink"/>
            <w:rFonts w:eastAsia="Cambria"/>
            <w:color w:val="0000FF"/>
            <w:spacing w:val="-2"/>
            <w:position w:val="-1"/>
          </w:rPr>
          <w:t>.a</w:t>
        </w:r>
        <w:r>
          <w:rPr>
            <w:rStyle w:val="Hyperlink"/>
            <w:rFonts w:eastAsia="Cambria"/>
            <w:color w:val="0000FF"/>
            <w:position w:val="-1"/>
          </w:rPr>
          <w:t>u/repor</w:t>
        </w:r>
        <w:r>
          <w:rPr>
            <w:rStyle w:val="Hyperlink"/>
            <w:rFonts w:eastAsia="Cambria"/>
            <w:color w:val="0000FF"/>
            <w:spacing w:val="-2"/>
            <w:position w:val="-1"/>
          </w:rPr>
          <w:t>t</w:t>
        </w:r>
        <w:r>
          <w:rPr>
            <w:rStyle w:val="Hyperlink"/>
            <w:rFonts w:eastAsia="Cambria"/>
            <w:color w:val="0000FF"/>
            <w:spacing w:val="1"/>
            <w:position w:val="-1"/>
          </w:rPr>
          <w:t>i</w:t>
        </w:r>
        <w:r>
          <w:rPr>
            <w:rStyle w:val="Hyperlink"/>
            <w:rFonts w:eastAsia="Cambria"/>
            <w:color w:val="0000FF"/>
            <w:spacing w:val="-1"/>
            <w:position w:val="-1"/>
          </w:rPr>
          <w:t>n</w:t>
        </w:r>
        <w:r>
          <w:rPr>
            <w:rStyle w:val="Hyperlink"/>
            <w:rFonts w:eastAsia="Cambria"/>
            <w:color w:val="0000FF"/>
            <w:position w:val="-1"/>
          </w:rPr>
          <w:t>g</w:t>
        </w:r>
        <w:r>
          <w:rPr>
            <w:rStyle w:val="Hyperlink"/>
            <w:rFonts w:eastAsia="Cambria"/>
            <w:color w:val="0000FF"/>
            <w:spacing w:val="1"/>
            <w:position w:val="-1"/>
          </w:rPr>
          <w:t>-</w:t>
        </w:r>
        <w:r>
          <w:rPr>
            <w:rStyle w:val="Hyperlink"/>
            <w:rFonts w:eastAsia="Cambria"/>
            <w:color w:val="0000FF"/>
            <w:position w:val="-1"/>
          </w:rPr>
          <w:t>pro</w:t>
        </w:r>
        <w:r>
          <w:rPr>
            <w:rStyle w:val="Hyperlink"/>
            <w:rFonts w:eastAsia="Cambria"/>
            <w:color w:val="0000FF"/>
            <w:spacing w:val="-1"/>
            <w:position w:val="-1"/>
          </w:rPr>
          <w:t>b</w:t>
        </w:r>
        <w:r>
          <w:rPr>
            <w:rStyle w:val="Hyperlink"/>
            <w:rFonts w:eastAsia="Cambria"/>
            <w:color w:val="0000FF"/>
            <w:spacing w:val="-2"/>
            <w:position w:val="-1"/>
          </w:rPr>
          <w:t>l</w:t>
        </w:r>
        <w:r>
          <w:rPr>
            <w:rStyle w:val="Hyperlink"/>
            <w:rFonts w:eastAsia="Cambria"/>
            <w:color w:val="0000FF"/>
            <w:position w:val="-1"/>
          </w:rPr>
          <w:t>e</w:t>
        </w:r>
        <w:r>
          <w:rPr>
            <w:rStyle w:val="Hyperlink"/>
            <w:rFonts w:eastAsia="Cambria"/>
            <w:color w:val="0000FF"/>
            <w:spacing w:val="-1"/>
            <w:position w:val="-1"/>
          </w:rPr>
          <w:t>m</w:t>
        </w:r>
        <w:r>
          <w:rPr>
            <w:rStyle w:val="Hyperlink"/>
            <w:rFonts w:eastAsia="Cambria"/>
            <w:color w:val="0000FF"/>
            <w:spacing w:val="1"/>
            <w:position w:val="-1"/>
          </w:rPr>
          <w:t>s</w:t>
        </w:r>
        <w:r>
          <w:rPr>
            <w:rStyle w:val="Hyperlink"/>
            <w:rFonts w:eastAsia="Cambria"/>
            <w:color w:val="000000"/>
            <w:position w:val="-1"/>
          </w:rPr>
          <w:t>.</w:t>
        </w:r>
      </w:hyperlink>
    </w:p>
    <w:p w14:paraId="5EB0169B" w14:textId="77777777" w:rsidR="00AB4CEC" w:rsidRDefault="00AB4CEC" w:rsidP="00980EF6">
      <w:pPr>
        <w:jc w:val="left"/>
        <w:rPr>
          <w:rFonts w:eastAsia="Cambria" w:cstheme="minorHAnsi"/>
        </w:rPr>
      </w:pPr>
    </w:p>
    <w:p w14:paraId="69C5AF9A" w14:textId="451E643C" w:rsidR="00AB4CEC" w:rsidRDefault="00AB4CEC" w:rsidP="00980EF6">
      <w:pPr>
        <w:pBdr>
          <w:top w:val="single" w:sz="4" w:space="1" w:color="auto"/>
        </w:pBdr>
        <w:jc w:val="left"/>
        <w:rPr>
          <w:rFonts w:cstheme="minorHAnsi"/>
          <w:b/>
          <w:sz w:val="28"/>
          <w:szCs w:val="28"/>
        </w:rPr>
      </w:pPr>
    </w:p>
    <w:p w14:paraId="18776BA4" w14:textId="5FBAA1AC" w:rsidR="003571D4" w:rsidRPr="009F1189" w:rsidRDefault="009F1189" w:rsidP="00980EF6">
      <w:pPr>
        <w:pStyle w:val="Title"/>
        <w:jc w:val="left"/>
      </w:pPr>
      <w:r w:rsidRPr="009F1189">
        <w:t>AUSTRALIAN P</w:t>
      </w:r>
      <w:r w:rsidR="00877C37">
        <w:t xml:space="preserve">RODUCT </w:t>
      </w:r>
      <w:r w:rsidRPr="009F1189">
        <w:t>I</w:t>
      </w:r>
      <w:r w:rsidR="00877C37">
        <w:t>NFORMATION</w:t>
      </w:r>
      <w:r w:rsidRPr="009F1189">
        <w:t xml:space="preserve"> – </w:t>
      </w:r>
      <w:r w:rsidR="00D31FB8">
        <w:t>TERIPARATIDE LUPIN</w:t>
      </w:r>
    </w:p>
    <w:p w14:paraId="2D005302" w14:textId="3D2BCA76" w:rsidR="0024642F" w:rsidRDefault="0024534E" w:rsidP="00980EF6">
      <w:pPr>
        <w:jc w:val="left"/>
        <w:rPr>
          <w:b/>
          <w:bCs/>
          <w:sz w:val="32"/>
          <w:szCs w:val="32"/>
        </w:rPr>
      </w:pPr>
      <w:r w:rsidRPr="00BF032A">
        <w:rPr>
          <w:b/>
          <w:bCs/>
          <w:sz w:val="32"/>
          <w:szCs w:val="32"/>
        </w:rPr>
        <w:t xml:space="preserve">(teriparatide) solution for injection </w:t>
      </w:r>
    </w:p>
    <w:p w14:paraId="0D778480" w14:textId="77777777" w:rsidR="00AF7D64" w:rsidRDefault="00AF7D64" w:rsidP="00980EF6">
      <w:pPr>
        <w:jc w:val="left"/>
        <w:rPr>
          <w:rFonts w:eastAsia="Cambria" w:cstheme="minorHAnsi"/>
        </w:rPr>
      </w:pPr>
    </w:p>
    <w:p w14:paraId="3D22DC6C" w14:textId="77777777" w:rsidR="00AF7D64" w:rsidRDefault="00AF7D64" w:rsidP="00980EF6">
      <w:pPr>
        <w:pBdr>
          <w:top w:val="single" w:sz="4" w:space="1" w:color="auto"/>
        </w:pBdr>
        <w:jc w:val="left"/>
        <w:rPr>
          <w:rFonts w:cstheme="minorHAnsi"/>
          <w:b/>
          <w:sz w:val="28"/>
          <w:szCs w:val="28"/>
        </w:rPr>
      </w:pPr>
    </w:p>
    <w:p w14:paraId="007D3059" w14:textId="77777777" w:rsidR="001A3992" w:rsidRPr="009F1189" w:rsidRDefault="005D690B" w:rsidP="00980EF6">
      <w:pPr>
        <w:pStyle w:val="Heading1"/>
        <w:jc w:val="left"/>
      </w:pPr>
      <w:r w:rsidRPr="009F1189">
        <w:t>NAME OF THE MEDICINE</w:t>
      </w:r>
    </w:p>
    <w:p w14:paraId="5DB477C9" w14:textId="77777777" w:rsidR="001D41C0" w:rsidRPr="00AA1A3D" w:rsidRDefault="001D41C0" w:rsidP="00980EF6">
      <w:pPr>
        <w:pStyle w:val="NormalIndent1"/>
        <w:jc w:val="left"/>
      </w:pPr>
    </w:p>
    <w:p w14:paraId="7179E3D1" w14:textId="42621C17" w:rsidR="001D41C0" w:rsidRPr="00AA1A3D" w:rsidRDefault="0024534E" w:rsidP="00980EF6">
      <w:pPr>
        <w:pStyle w:val="NormalIndent1"/>
        <w:jc w:val="left"/>
      </w:pPr>
      <w:r w:rsidRPr="0024534E">
        <w:t>Teriparatide</w:t>
      </w:r>
      <w:r w:rsidR="00931D0C">
        <w:t>.</w:t>
      </w:r>
    </w:p>
    <w:p w14:paraId="6C25AB74" w14:textId="3F488352" w:rsidR="001D41C0" w:rsidRDefault="001D41C0" w:rsidP="00980EF6">
      <w:pPr>
        <w:pStyle w:val="NormalIndent1"/>
        <w:jc w:val="left"/>
      </w:pPr>
    </w:p>
    <w:p w14:paraId="5BE2C677" w14:textId="77777777" w:rsidR="00AF7D64" w:rsidRPr="00AA1A3D" w:rsidRDefault="00AF7D64" w:rsidP="00980EF6">
      <w:pPr>
        <w:pStyle w:val="NormalIndent1"/>
        <w:jc w:val="left"/>
      </w:pPr>
    </w:p>
    <w:p w14:paraId="7C2F7BF2" w14:textId="77777777" w:rsidR="001A3992" w:rsidRPr="009F1189" w:rsidRDefault="005D690B" w:rsidP="00980EF6">
      <w:pPr>
        <w:pStyle w:val="Heading1"/>
        <w:jc w:val="left"/>
      </w:pPr>
      <w:r w:rsidRPr="009F1189">
        <w:t>QUALITATIVE AND QUANTITATIVE COMPOSITION</w:t>
      </w:r>
    </w:p>
    <w:p w14:paraId="44B2E807" w14:textId="77777777" w:rsidR="001D41C0" w:rsidRPr="00F70019" w:rsidRDefault="001D41C0" w:rsidP="00980EF6">
      <w:pPr>
        <w:pStyle w:val="NormalIndent1"/>
        <w:jc w:val="left"/>
        <w:rPr>
          <w:lang w:val="en"/>
        </w:rPr>
      </w:pPr>
    </w:p>
    <w:p w14:paraId="1DD25239" w14:textId="2277FEB0" w:rsidR="00C0621F" w:rsidRPr="00BB7499" w:rsidRDefault="007C747D" w:rsidP="00980EF6">
      <w:pPr>
        <w:pStyle w:val="NormalIndent1"/>
        <w:jc w:val="left"/>
        <w:rPr>
          <w:iCs/>
        </w:rPr>
      </w:pPr>
      <w:r w:rsidRPr="007C747D">
        <w:rPr>
          <w:color w:val="000000" w:themeColor="text1"/>
        </w:rPr>
        <w:t xml:space="preserve">One pre-filled pen of </w:t>
      </w:r>
      <w:r w:rsidR="001F054C">
        <w:rPr>
          <w:color w:val="000000" w:themeColor="text1"/>
        </w:rPr>
        <w:t xml:space="preserve">Teriparatide Lupin of </w:t>
      </w:r>
      <w:r w:rsidRPr="007C747D">
        <w:rPr>
          <w:color w:val="000000" w:themeColor="text1"/>
        </w:rPr>
        <w:t>2.4</w:t>
      </w:r>
      <w:r w:rsidR="00BB7499">
        <w:rPr>
          <w:color w:val="000000" w:themeColor="text1"/>
        </w:rPr>
        <w:t> </w:t>
      </w:r>
      <w:r w:rsidRPr="007C747D">
        <w:rPr>
          <w:color w:val="000000" w:themeColor="text1"/>
        </w:rPr>
        <w:t>m</w:t>
      </w:r>
      <w:r w:rsidR="00F42CA5">
        <w:rPr>
          <w:color w:val="000000" w:themeColor="text1"/>
        </w:rPr>
        <w:t>L</w:t>
      </w:r>
      <w:r w:rsidRPr="007C747D">
        <w:rPr>
          <w:color w:val="000000" w:themeColor="text1"/>
        </w:rPr>
        <w:t xml:space="preserve"> contains 600</w:t>
      </w:r>
      <w:r w:rsidR="00BB7499">
        <w:rPr>
          <w:color w:val="000000" w:themeColor="text1"/>
        </w:rPr>
        <w:t> </w:t>
      </w:r>
      <w:r w:rsidRPr="007C747D">
        <w:rPr>
          <w:color w:val="000000" w:themeColor="text1"/>
        </w:rPr>
        <w:t>micrograms of teriparatide (corresponding to 250</w:t>
      </w:r>
      <w:r w:rsidR="00BB7499">
        <w:rPr>
          <w:color w:val="000000" w:themeColor="text1"/>
        </w:rPr>
        <w:t> </w:t>
      </w:r>
      <w:r w:rsidRPr="007C747D">
        <w:rPr>
          <w:color w:val="000000" w:themeColor="text1"/>
        </w:rPr>
        <w:t>micrograms per m</w:t>
      </w:r>
      <w:r w:rsidR="00F42CA5">
        <w:rPr>
          <w:color w:val="000000" w:themeColor="text1"/>
        </w:rPr>
        <w:t>L</w:t>
      </w:r>
      <w:r w:rsidRPr="007C747D">
        <w:rPr>
          <w:color w:val="000000" w:themeColor="text1"/>
        </w:rPr>
        <w:t xml:space="preserve">). </w:t>
      </w:r>
    </w:p>
    <w:p w14:paraId="6347F3D9" w14:textId="77777777" w:rsidR="00482542" w:rsidRDefault="00482542" w:rsidP="00980EF6">
      <w:pPr>
        <w:pStyle w:val="NormalIndent1"/>
        <w:jc w:val="left"/>
      </w:pPr>
    </w:p>
    <w:p w14:paraId="28A92867" w14:textId="1114BA9E" w:rsidR="00A923B2" w:rsidRPr="000A5F32" w:rsidRDefault="00A923B2" w:rsidP="00980EF6">
      <w:pPr>
        <w:pStyle w:val="NormalIndent1"/>
        <w:jc w:val="left"/>
      </w:pPr>
      <w:r w:rsidRPr="000A5F32">
        <w:t xml:space="preserve">For the full list of excipients, see </w:t>
      </w:r>
      <w:r w:rsidRPr="006B7C2D">
        <w:rPr>
          <w:b/>
        </w:rPr>
        <w:t xml:space="preserve">Section 6.1 List of </w:t>
      </w:r>
      <w:r w:rsidR="006B7C2D" w:rsidRPr="006B7C2D">
        <w:rPr>
          <w:b/>
        </w:rPr>
        <w:t>Excipients</w:t>
      </w:r>
      <w:r w:rsidRPr="000A5F32">
        <w:t xml:space="preserve">. </w:t>
      </w:r>
    </w:p>
    <w:p w14:paraId="7C7FCD22" w14:textId="77777777" w:rsidR="001D41C0" w:rsidRDefault="001D41C0" w:rsidP="00980EF6">
      <w:pPr>
        <w:pStyle w:val="NormalIndent1"/>
        <w:jc w:val="left"/>
      </w:pPr>
    </w:p>
    <w:p w14:paraId="4DED89C3" w14:textId="77777777" w:rsidR="0024642F" w:rsidRPr="00F70019" w:rsidRDefault="0024642F" w:rsidP="00980EF6">
      <w:pPr>
        <w:pStyle w:val="NormalIndent1"/>
        <w:jc w:val="left"/>
      </w:pPr>
    </w:p>
    <w:p w14:paraId="2CCAD3C9" w14:textId="77777777" w:rsidR="001A3992" w:rsidRPr="005D690B" w:rsidRDefault="005D690B" w:rsidP="00980EF6">
      <w:pPr>
        <w:pStyle w:val="Heading1"/>
        <w:jc w:val="left"/>
        <w:rPr>
          <w:caps/>
        </w:rPr>
      </w:pPr>
      <w:r w:rsidRPr="005D690B">
        <w:t>PHARMACEUTICAL FORM</w:t>
      </w:r>
    </w:p>
    <w:p w14:paraId="7C2B869B" w14:textId="77777777" w:rsidR="001D41C0" w:rsidRPr="00F70019" w:rsidRDefault="001D41C0" w:rsidP="00980EF6">
      <w:pPr>
        <w:pStyle w:val="NormalIndent1"/>
        <w:jc w:val="left"/>
      </w:pPr>
    </w:p>
    <w:p w14:paraId="2CD7D82E" w14:textId="62A5B9C3" w:rsidR="001D41C0" w:rsidRPr="00F70019" w:rsidRDefault="0024534E" w:rsidP="00980EF6">
      <w:pPr>
        <w:pStyle w:val="NormalIndent1"/>
        <w:jc w:val="left"/>
      </w:pPr>
      <w:r>
        <w:t>Solution for injection.</w:t>
      </w:r>
    </w:p>
    <w:p w14:paraId="6F8D1787" w14:textId="17D747CC" w:rsidR="001D41C0" w:rsidRDefault="001D41C0" w:rsidP="00980EF6">
      <w:pPr>
        <w:pStyle w:val="NormalIndent1"/>
        <w:jc w:val="left"/>
      </w:pPr>
    </w:p>
    <w:p w14:paraId="38EA1C6D" w14:textId="70727357" w:rsidR="0024534E" w:rsidRPr="00F70019" w:rsidRDefault="00D31FB8" w:rsidP="00980EF6">
      <w:pPr>
        <w:pStyle w:val="NormalIndent1"/>
        <w:jc w:val="left"/>
      </w:pPr>
      <w:r w:rsidRPr="00BF032A">
        <w:rPr>
          <w:color w:val="000000" w:themeColor="text1"/>
        </w:rPr>
        <w:t>Teriparatide</w:t>
      </w:r>
      <w:r>
        <w:rPr>
          <w:color w:val="000000" w:themeColor="text1"/>
        </w:rPr>
        <w:t xml:space="preserve"> </w:t>
      </w:r>
      <w:r w:rsidR="00482542">
        <w:rPr>
          <w:color w:val="000000" w:themeColor="text1"/>
        </w:rPr>
        <w:t>Lupin</w:t>
      </w:r>
      <w:r w:rsidR="00482542" w:rsidRPr="0024534E">
        <w:t xml:space="preserve"> </w:t>
      </w:r>
      <w:r w:rsidR="0024534E" w:rsidRPr="0024534E">
        <w:t>is a sterile, colourless, clear, isotonic solution in pre</w:t>
      </w:r>
      <w:r w:rsidR="007C747D">
        <w:t>-</w:t>
      </w:r>
      <w:r w:rsidR="0024534E" w:rsidRPr="0024534E">
        <w:t>filled pens.</w:t>
      </w:r>
    </w:p>
    <w:p w14:paraId="12CC8670" w14:textId="364C8972" w:rsidR="001D41C0" w:rsidRDefault="001D41C0" w:rsidP="00980EF6">
      <w:pPr>
        <w:pStyle w:val="NormalIndent1"/>
        <w:jc w:val="left"/>
      </w:pPr>
    </w:p>
    <w:p w14:paraId="3141AAF7" w14:textId="77777777" w:rsidR="00AF7D64" w:rsidRPr="00F70019" w:rsidRDefault="00AF7D64" w:rsidP="00980EF6">
      <w:pPr>
        <w:pStyle w:val="NormalIndent1"/>
        <w:jc w:val="left"/>
      </w:pPr>
    </w:p>
    <w:p w14:paraId="4B4E3BD9" w14:textId="77777777" w:rsidR="001A3992" w:rsidRPr="005D690B" w:rsidRDefault="005D690B" w:rsidP="00980EF6">
      <w:pPr>
        <w:pStyle w:val="Heading1"/>
        <w:jc w:val="left"/>
        <w:rPr>
          <w:caps/>
        </w:rPr>
      </w:pPr>
      <w:r w:rsidRPr="005D690B">
        <w:t>CLINICAL PARTICULARS</w:t>
      </w:r>
    </w:p>
    <w:p w14:paraId="135AC069" w14:textId="77777777" w:rsidR="001D41C0" w:rsidRPr="00F70019" w:rsidRDefault="001D41C0" w:rsidP="00980EF6">
      <w:pPr>
        <w:jc w:val="left"/>
        <w:rPr>
          <w:sz w:val="24"/>
          <w:szCs w:val="24"/>
        </w:rPr>
      </w:pPr>
    </w:p>
    <w:p w14:paraId="1B94480D" w14:textId="77777777" w:rsidR="001A3992" w:rsidRPr="009F1189" w:rsidRDefault="004A3628" w:rsidP="00980EF6">
      <w:pPr>
        <w:pStyle w:val="Heading2"/>
        <w:jc w:val="left"/>
      </w:pPr>
      <w:r w:rsidRPr="009F1189">
        <w:t>4.1</w:t>
      </w:r>
      <w:r w:rsidRPr="009F1189">
        <w:tab/>
      </w:r>
      <w:r w:rsidR="009F1189" w:rsidRPr="009F1189">
        <w:t>Therapeutic Indications</w:t>
      </w:r>
    </w:p>
    <w:p w14:paraId="229CCE47" w14:textId="77777777" w:rsidR="001D41C0" w:rsidRPr="00F70019" w:rsidRDefault="001D41C0" w:rsidP="00980EF6">
      <w:pPr>
        <w:pStyle w:val="NormalIndent1"/>
        <w:jc w:val="left"/>
      </w:pPr>
    </w:p>
    <w:p w14:paraId="4043C3C9" w14:textId="71BFB36F" w:rsidR="0024534E" w:rsidRDefault="00D31FB8" w:rsidP="00980EF6">
      <w:pPr>
        <w:pStyle w:val="NormalIndent1"/>
        <w:jc w:val="left"/>
      </w:pPr>
      <w:r w:rsidRPr="00BF032A">
        <w:rPr>
          <w:color w:val="000000" w:themeColor="text1"/>
        </w:rPr>
        <w:t>Teriparatide</w:t>
      </w:r>
      <w:r>
        <w:rPr>
          <w:color w:val="000000" w:themeColor="text1"/>
        </w:rPr>
        <w:t xml:space="preserve"> </w:t>
      </w:r>
      <w:r w:rsidR="00482542">
        <w:rPr>
          <w:color w:val="000000" w:themeColor="text1"/>
        </w:rPr>
        <w:t>Lupin</w:t>
      </w:r>
      <w:r w:rsidR="00482542">
        <w:t xml:space="preserve"> </w:t>
      </w:r>
      <w:r w:rsidR="0024534E">
        <w:t xml:space="preserve">is indicated for the treatment of osteoporosis in postmenopausal women and the treatment of primary osteoporosis in men when other agents are considered unsuitable and when there is a high risk of fractures. </w:t>
      </w:r>
    </w:p>
    <w:p w14:paraId="02BAC24D" w14:textId="77777777" w:rsidR="0024534E" w:rsidRDefault="0024534E" w:rsidP="00980EF6">
      <w:pPr>
        <w:pStyle w:val="NormalIndent1"/>
        <w:jc w:val="left"/>
      </w:pPr>
      <w:r>
        <w:t xml:space="preserve"> </w:t>
      </w:r>
    </w:p>
    <w:p w14:paraId="0C8183D0" w14:textId="625399A4" w:rsidR="001D41C0" w:rsidRDefault="00D31FB8" w:rsidP="00980EF6">
      <w:pPr>
        <w:pStyle w:val="NormalIndent1"/>
        <w:jc w:val="left"/>
      </w:pPr>
      <w:r w:rsidRPr="00BF032A">
        <w:rPr>
          <w:color w:val="000000" w:themeColor="text1"/>
        </w:rPr>
        <w:t>Teriparatide</w:t>
      </w:r>
      <w:r>
        <w:rPr>
          <w:color w:val="000000" w:themeColor="text1"/>
        </w:rPr>
        <w:t xml:space="preserve"> </w:t>
      </w:r>
      <w:r w:rsidR="00482542">
        <w:rPr>
          <w:color w:val="000000" w:themeColor="text1"/>
        </w:rPr>
        <w:t>Lupin</w:t>
      </w:r>
      <w:r w:rsidR="00482542">
        <w:t xml:space="preserve"> </w:t>
      </w:r>
      <w:r w:rsidR="0024534E">
        <w:t xml:space="preserve">is indicated for the treatment of osteoporosis associated with sustained systemic glucocorticoid therapy in women and men at high risk for fracture. </w:t>
      </w:r>
    </w:p>
    <w:p w14:paraId="316D2106" w14:textId="77777777" w:rsidR="00BF032A" w:rsidRPr="00F70019" w:rsidRDefault="00BF032A" w:rsidP="00980EF6">
      <w:pPr>
        <w:pStyle w:val="NormalIndent1"/>
        <w:jc w:val="left"/>
      </w:pPr>
    </w:p>
    <w:p w14:paraId="5FAA6AF2" w14:textId="77777777" w:rsidR="001A3992" w:rsidRPr="007C4C71" w:rsidRDefault="004A3628" w:rsidP="00980EF6">
      <w:pPr>
        <w:pStyle w:val="Heading2"/>
        <w:jc w:val="left"/>
        <w:rPr>
          <w:smallCaps/>
        </w:rPr>
      </w:pPr>
      <w:r>
        <w:t>4.2</w:t>
      </w:r>
      <w:r>
        <w:tab/>
      </w:r>
      <w:r w:rsidR="001A3992" w:rsidRPr="007C4C71">
        <w:t xml:space="preserve">Dose and </w:t>
      </w:r>
      <w:r w:rsidR="001D41C0" w:rsidRPr="007C4C71">
        <w:t xml:space="preserve">Method </w:t>
      </w:r>
      <w:r w:rsidR="001A3992" w:rsidRPr="007C4C71">
        <w:t xml:space="preserve">of </w:t>
      </w:r>
      <w:r w:rsidR="001D41C0" w:rsidRPr="007C4C71">
        <w:t>Administration</w:t>
      </w:r>
    </w:p>
    <w:p w14:paraId="27D5C272" w14:textId="77777777" w:rsidR="001D41C0" w:rsidRPr="00F70019" w:rsidRDefault="001D41C0" w:rsidP="00980EF6">
      <w:pPr>
        <w:pStyle w:val="NormalIndent1"/>
        <w:jc w:val="left"/>
      </w:pPr>
    </w:p>
    <w:p w14:paraId="0640B370" w14:textId="77777777" w:rsidR="00D91A03" w:rsidRPr="007C747D" w:rsidRDefault="00D91A03" w:rsidP="00980EF6">
      <w:pPr>
        <w:pStyle w:val="NormalIndent1"/>
        <w:jc w:val="left"/>
        <w:rPr>
          <w:color w:val="000000" w:themeColor="text1"/>
        </w:rPr>
      </w:pPr>
      <w:r w:rsidRPr="007C747D">
        <w:rPr>
          <w:color w:val="000000" w:themeColor="text1"/>
        </w:rPr>
        <w:t>Each dose of 80</w:t>
      </w:r>
      <w:r>
        <w:rPr>
          <w:color w:val="000000" w:themeColor="text1"/>
        </w:rPr>
        <w:t> </w:t>
      </w:r>
      <w:r w:rsidRPr="007C747D">
        <w:rPr>
          <w:color w:val="000000" w:themeColor="text1"/>
        </w:rPr>
        <w:t>microlit</w:t>
      </w:r>
      <w:r>
        <w:rPr>
          <w:color w:val="000000" w:themeColor="text1"/>
        </w:rPr>
        <w:t>r</w:t>
      </w:r>
      <w:r w:rsidRPr="007C747D">
        <w:rPr>
          <w:color w:val="000000" w:themeColor="text1"/>
        </w:rPr>
        <w:t>es contains 20</w:t>
      </w:r>
      <w:r>
        <w:rPr>
          <w:color w:val="000000" w:themeColor="text1"/>
        </w:rPr>
        <w:t> </w:t>
      </w:r>
      <w:r w:rsidRPr="007C747D">
        <w:rPr>
          <w:color w:val="000000" w:themeColor="text1"/>
        </w:rPr>
        <w:t xml:space="preserve">micrograms of teriparatide. </w:t>
      </w:r>
    </w:p>
    <w:p w14:paraId="7B6D4F4A" w14:textId="77777777" w:rsidR="00D91A03" w:rsidRDefault="00D91A03" w:rsidP="00980EF6">
      <w:pPr>
        <w:pStyle w:val="NormalIndent1"/>
        <w:jc w:val="left"/>
      </w:pPr>
    </w:p>
    <w:p w14:paraId="6053F6FD" w14:textId="5F9A0224" w:rsidR="0024534E" w:rsidRDefault="0024534E" w:rsidP="00980EF6">
      <w:pPr>
        <w:pStyle w:val="NormalIndent1"/>
        <w:jc w:val="left"/>
      </w:pPr>
      <w:r>
        <w:t xml:space="preserve">The recommended dose of </w:t>
      </w:r>
      <w:r w:rsidR="00D31FB8" w:rsidRPr="00BF032A">
        <w:rPr>
          <w:color w:val="000000" w:themeColor="text1"/>
        </w:rPr>
        <w:t>Teriparatide</w:t>
      </w:r>
      <w:r w:rsidR="00D31FB8">
        <w:rPr>
          <w:color w:val="000000" w:themeColor="text1"/>
        </w:rPr>
        <w:t xml:space="preserve"> </w:t>
      </w:r>
      <w:r w:rsidR="00482542">
        <w:rPr>
          <w:color w:val="000000" w:themeColor="text1"/>
        </w:rPr>
        <w:t>Lupin</w:t>
      </w:r>
      <w:r w:rsidR="00482542">
        <w:t xml:space="preserve"> </w:t>
      </w:r>
      <w:r>
        <w:t>is 20</w:t>
      </w:r>
      <w:r w:rsidR="00BB7499">
        <w:t> micrograms</w:t>
      </w:r>
      <w:r>
        <w:t xml:space="preserve"> administered once daily by subcutaneous injection in the thigh or abdomen. </w:t>
      </w:r>
    </w:p>
    <w:p w14:paraId="10373A8E" w14:textId="77777777" w:rsidR="0024534E" w:rsidRDefault="0024534E" w:rsidP="00980EF6">
      <w:pPr>
        <w:pStyle w:val="NormalIndent1"/>
        <w:jc w:val="left"/>
      </w:pPr>
      <w:r>
        <w:t xml:space="preserve"> </w:t>
      </w:r>
    </w:p>
    <w:p w14:paraId="0984C2B8" w14:textId="70B74AEF" w:rsidR="0024534E" w:rsidRDefault="0024534E" w:rsidP="00980EF6">
      <w:pPr>
        <w:pStyle w:val="NormalIndent1"/>
        <w:jc w:val="left"/>
      </w:pPr>
      <w:r>
        <w:lastRenderedPageBreak/>
        <w:t xml:space="preserve">Based on clinical experience, treatment with </w:t>
      </w:r>
      <w:r w:rsidR="00D31FB8" w:rsidRPr="00BF032A">
        <w:rPr>
          <w:color w:val="000000" w:themeColor="text1"/>
        </w:rPr>
        <w:t>Teriparatide</w:t>
      </w:r>
      <w:r w:rsidR="00D31FB8">
        <w:rPr>
          <w:color w:val="000000" w:themeColor="text1"/>
        </w:rPr>
        <w:t xml:space="preserve"> </w:t>
      </w:r>
      <w:r w:rsidR="00482542">
        <w:rPr>
          <w:color w:val="000000" w:themeColor="text1"/>
        </w:rPr>
        <w:t>Lupin</w:t>
      </w:r>
      <w:r w:rsidR="00482542">
        <w:t xml:space="preserve"> </w:t>
      </w:r>
      <w:r>
        <w:t xml:space="preserve">is recommended for a lifetime duration of 24 months treatment (for post-treatment efficacy, see </w:t>
      </w:r>
      <w:r w:rsidRPr="006E11AA">
        <w:rPr>
          <w:b/>
          <w:bCs/>
        </w:rPr>
        <w:t xml:space="preserve">Section 5.1 </w:t>
      </w:r>
      <w:r w:rsidR="00482542" w:rsidRPr="006E11AA">
        <w:rPr>
          <w:b/>
          <w:bCs/>
        </w:rPr>
        <w:t xml:space="preserve">Pharmacodynamic Properties </w:t>
      </w:r>
      <w:r w:rsidR="00482542">
        <w:rPr>
          <w:b/>
          <w:bCs/>
        </w:rPr>
        <w:t>-</w:t>
      </w:r>
      <w:r w:rsidRPr="006E11AA">
        <w:rPr>
          <w:b/>
          <w:bCs/>
        </w:rPr>
        <w:t xml:space="preserve"> Clinical </w:t>
      </w:r>
      <w:r w:rsidR="00BB7499" w:rsidRPr="006E11AA">
        <w:rPr>
          <w:b/>
          <w:bCs/>
        </w:rPr>
        <w:t>Trials</w:t>
      </w:r>
      <w:r>
        <w:t xml:space="preserve">). </w:t>
      </w:r>
      <w:r w:rsidR="00D31FB8" w:rsidRPr="00BF032A">
        <w:rPr>
          <w:color w:val="000000" w:themeColor="text1"/>
        </w:rPr>
        <w:t>Teriparatide</w:t>
      </w:r>
      <w:r w:rsidR="00D31FB8">
        <w:rPr>
          <w:color w:val="000000" w:themeColor="text1"/>
        </w:rPr>
        <w:t xml:space="preserve"> </w:t>
      </w:r>
      <w:r w:rsidR="00482542">
        <w:rPr>
          <w:color w:val="000000" w:themeColor="text1"/>
        </w:rPr>
        <w:t>Lupin</w:t>
      </w:r>
      <w:r w:rsidR="00482542">
        <w:t xml:space="preserve"> </w:t>
      </w:r>
      <w:r>
        <w:t xml:space="preserve">should be prescribed to patients with a full explanation and their informed consent on the lifetime duration of 24 months treatment. </w:t>
      </w:r>
    </w:p>
    <w:p w14:paraId="30101EE2" w14:textId="77777777" w:rsidR="0024534E" w:rsidRPr="00F70019" w:rsidRDefault="0024534E" w:rsidP="00980EF6">
      <w:pPr>
        <w:pStyle w:val="NormalIndent1"/>
        <w:jc w:val="left"/>
      </w:pPr>
    </w:p>
    <w:p w14:paraId="4223C3F6" w14:textId="77777777" w:rsidR="0024534E" w:rsidRDefault="0024534E" w:rsidP="00980EF6">
      <w:pPr>
        <w:pStyle w:val="NormalIndent1"/>
        <w:jc w:val="left"/>
      </w:pPr>
      <w:r>
        <w:t xml:space="preserve">Calcium and vitamin D supplements are advised in patients with a low dietary intake of these nutrients. </w:t>
      </w:r>
    </w:p>
    <w:p w14:paraId="712195B2" w14:textId="77777777" w:rsidR="0024534E" w:rsidRDefault="0024534E" w:rsidP="00980EF6">
      <w:pPr>
        <w:pStyle w:val="NormalIndent1"/>
        <w:jc w:val="left"/>
      </w:pPr>
      <w:r>
        <w:t xml:space="preserve"> </w:t>
      </w:r>
    </w:p>
    <w:p w14:paraId="3078CBFF" w14:textId="42C2AA1C" w:rsidR="0024534E" w:rsidRDefault="0024534E" w:rsidP="00980EF6">
      <w:pPr>
        <w:pStyle w:val="NormalIndent1"/>
        <w:jc w:val="left"/>
      </w:pPr>
      <w:r w:rsidRPr="0024534E">
        <w:rPr>
          <w:b/>
          <w:bCs/>
        </w:rPr>
        <w:t>Use in Males</w:t>
      </w:r>
      <w:r>
        <w:t xml:space="preserve"> – Primary or secondary hypogonadism should first be excluded and, if relevant, be treated (see </w:t>
      </w:r>
      <w:r w:rsidRPr="006E11AA">
        <w:rPr>
          <w:b/>
          <w:bCs/>
        </w:rPr>
        <w:t xml:space="preserve">Section 5.1 </w:t>
      </w:r>
      <w:r w:rsidR="00482542" w:rsidRPr="006E11AA">
        <w:rPr>
          <w:b/>
          <w:bCs/>
        </w:rPr>
        <w:t xml:space="preserve">Pharmacodynamic Properties </w:t>
      </w:r>
      <w:r w:rsidR="00482542">
        <w:rPr>
          <w:b/>
          <w:bCs/>
        </w:rPr>
        <w:t>-</w:t>
      </w:r>
      <w:r w:rsidRPr="006E11AA">
        <w:rPr>
          <w:b/>
          <w:bCs/>
        </w:rPr>
        <w:t xml:space="preserve"> Clinical </w:t>
      </w:r>
      <w:r w:rsidR="00BB7499" w:rsidRPr="006E11AA">
        <w:rPr>
          <w:b/>
          <w:bCs/>
        </w:rPr>
        <w:t>Trials</w:t>
      </w:r>
      <w:r>
        <w:t xml:space="preserve">) </w:t>
      </w:r>
    </w:p>
    <w:p w14:paraId="2536B2B5" w14:textId="77777777" w:rsidR="0024534E" w:rsidRDefault="0024534E" w:rsidP="00980EF6">
      <w:pPr>
        <w:pStyle w:val="NormalIndent1"/>
        <w:jc w:val="left"/>
      </w:pPr>
      <w:r>
        <w:t xml:space="preserve"> </w:t>
      </w:r>
    </w:p>
    <w:p w14:paraId="3E727EA7" w14:textId="77777777" w:rsidR="0024534E" w:rsidRPr="0024534E" w:rsidRDefault="0024534E" w:rsidP="00980EF6">
      <w:pPr>
        <w:pStyle w:val="Heading3"/>
        <w:jc w:val="left"/>
      </w:pPr>
      <w:r w:rsidRPr="0024534E">
        <w:t xml:space="preserve">Instructions for Use/Handling </w:t>
      </w:r>
    </w:p>
    <w:p w14:paraId="59CF42BF" w14:textId="77777777" w:rsidR="00BB7499" w:rsidRDefault="00BB7499" w:rsidP="00980EF6">
      <w:pPr>
        <w:pStyle w:val="NormalIndent1"/>
        <w:jc w:val="left"/>
      </w:pPr>
    </w:p>
    <w:p w14:paraId="4971AFA6" w14:textId="77643196" w:rsidR="0024534E" w:rsidRDefault="0024534E" w:rsidP="00980EF6">
      <w:pPr>
        <w:pStyle w:val="NormalIndent1"/>
        <w:jc w:val="left"/>
      </w:pPr>
      <w:r>
        <w:t xml:space="preserve">To prevent the possible transmission of disease, each pen must be used by one patient only, even if the needle is changed. </w:t>
      </w:r>
    </w:p>
    <w:p w14:paraId="296C4B1F" w14:textId="77777777" w:rsidR="0024534E" w:rsidRDefault="0024534E" w:rsidP="00980EF6">
      <w:pPr>
        <w:pStyle w:val="NormalIndent1"/>
        <w:jc w:val="left"/>
      </w:pPr>
      <w:r>
        <w:t xml:space="preserve"> </w:t>
      </w:r>
    </w:p>
    <w:p w14:paraId="3A8AB99B" w14:textId="4104D49B" w:rsidR="0024534E" w:rsidRDefault="0024534E" w:rsidP="00980EF6">
      <w:pPr>
        <w:pStyle w:val="NormalIndent1"/>
        <w:jc w:val="left"/>
      </w:pPr>
      <w:r>
        <w:t xml:space="preserve">Following cessation of </w:t>
      </w:r>
      <w:r w:rsidR="00D31FB8" w:rsidRPr="00BF032A">
        <w:rPr>
          <w:color w:val="000000" w:themeColor="text1"/>
        </w:rPr>
        <w:t>Teriparatide</w:t>
      </w:r>
      <w:r w:rsidR="00D31FB8">
        <w:rPr>
          <w:color w:val="000000" w:themeColor="text1"/>
        </w:rPr>
        <w:t xml:space="preserve"> </w:t>
      </w:r>
      <w:r w:rsidR="00482542">
        <w:rPr>
          <w:color w:val="000000" w:themeColor="text1"/>
        </w:rPr>
        <w:t>Lupin</w:t>
      </w:r>
      <w:r w:rsidR="00482542">
        <w:t xml:space="preserve"> </w:t>
      </w:r>
      <w:r>
        <w:t xml:space="preserve">therapy, patients may be continued on other osteoporosis therapies. </w:t>
      </w:r>
    </w:p>
    <w:p w14:paraId="76FF44E0" w14:textId="77777777" w:rsidR="0024534E" w:rsidRDefault="0024534E" w:rsidP="00980EF6">
      <w:pPr>
        <w:pStyle w:val="NormalIndent1"/>
        <w:jc w:val="left"/>
      </w:pPr>
      <w:r>
        <w:t xml:space="preserve"> </w:t>
      </w:r>
    </w:p>
    <w:p w14:paraId="3A022FD9" w14:textId="1A23EA9C" w:rsidR="0024534E" w:rsidRDefault="0024534E" w:rsidP="00980EF6">
      <w:pPr>
        <w:pStyle w:val="NormalIndent1"/>
        <w:jc w:val="left"/>
      </w:pPr>
      <w:r>
        <w:t>The pen delivers 20</w:t>
      </w:r>
      <w:r w:rsidR="00BB7499">
        <w:t> micrograms</w:t>
      </w:r>
      <w:r>
        <w:t xml:space="preserve"> per dose and contains dosing for 28 treatment days. Patients must be educated to use the proper injection techniques. Please refer to the User Manual for instructions for the pen.  </w:t>
      </w:r>
    </w:p>
    <w:p w14:paraId="00F27605" w14:textId="77777777" w:rsidR="0024534E" w:rsidRDefault="0024534E" w:rsidP="00980EF6">
      <w:pPr>
        <w:pStyle w:val="NormalIndent1"/>
        <w:jc w:val="left"/>
      </w:pPr>
      <w:r>
        <w:t xml:space="preserve"> </w:t>
      </w:r>
    </w:p>
    <w:p w14:paraId="70A65DA7" w14:textId="2AAAF469" w:rsidR="0024534E" w:rsidRDefault="00D31FB8" w:rsidP="00980EF6">
      <w:pPr>
        <w:pStyle w:val="NormalIndent1"/>
        <w:jc w:val="left"/>
      </w:pPr>
      <w:r w:rsidRPr="00BF032A">
        <w:rPr>
          <w:color w:val="000000" w:themeColor="text1"/>
        </w:rPr>
        <w:t>Teriparatide</w:t>
      </w:r>
      <w:r>
        <w:rPr>
          <w:color w:val="000000" w:themeColor="text1"/>
        </w:rPr>
        <w:t xml:space="preserve"> </w:t>
      </w:r>
      <w:r w:rsidR="00482542">
        <w:rPr>
          <w:color w:val="000000" w:themeColor="text1"/>
        </w:rPr>
        <w:t>Lupin</w:t>
      </w:r>
      <w:r w:rsidR="00482542">
        <w:t xml:space="preserve"> </w:t>
      </w:r>
      <w:r w:rsidR="0024534E">
        <w:t xml:space="preserve">is a clear and colourless liquid. Do not use if solid particles appear or if the solution is cloudy or coloured. The </w:t>
      </w:r>
      <w:r w:rsidRPr="00BF032A">
        <w:rPr>
          <w:color w:val="000000" w:themeColor="text1"/>
        </w:rPr>
        <w:t>Teriparatide</w:t>
      </w:r>
      <w:r>
        <w:rPr>
          <w:color w:val="000000" w:themeColor="text1"/>
        </w:rPr>
        <w:t xml:space="preserve"> </w:t>
      </w:r>
      <w:r w:rsidR="00482542">
        <w:rPr>
          <w:color w:val="000000" w:themeColor="text1"/>
        </w:rPr>
        <w:t>Lupin</w:t>
      </w:r>
      <w:r w:rsidR="00482542">
        <w:t xml:space="preserve"> </w:t>
      </w:r>
      <w:r w:rsidR="0024534E">
        <w:t xml:space="preserve">pen should not be used after the stated expiration date. </w:t>
      </w:r>
    </w:p>
    <w:p w14:paraId="3963C695" w14:textId="77777777" w:rsidR="0024534E" w:rsidRDefault="0024534E" w:rsidP="00980EF6">
      <w:pPr>
        <w:pStyle w:val="NormalIndent1"/>
        <w:jc w:val="left"/>
      </w:pPr>
      <w:r>
        <w:t xml:space="preserve"> </w:t>
      </w:r>
    </w:p>
    <w:p w14:paraId="3AD8FBC9" w14:textId="7B6F291F" w:rsidR="001D41C0" w:rsidRDefault="0024534E" w:rsidP="00980EF6">
      <w:pPr>
        <w:pStyle w:val="NormalIndent1"/>
        <w:jc w:val="left"/>
      </w:pPr>
      <w:r>
        <w:t xml:space="preserve">Data are not available on the safety or efficacy of intravenous or intramuscular injection of </w:t>
      </w:r>
      <w:r w:rsidR="00D31FB8" w:rsidRPr="00BF032A">
        <w:rPr>
          <w:color w:val="000000" w:themeColor="text1"/>
        </w:rPr>
        <w:t>Teriparatide</w:t>
      </w:r>
      <w:r w:rsidR="00D31FB8">
        <w:rPr>
          <w:color w:val="000000" w:themeColor="text1"/>
        </w:rPr>
        <w:t xml:space="preserve"> </w:t>
      </w:r>
      <w:r w:rsidR="00482542">
        <w:rPr>
          <w:color w:val="000000" w:themeColor="text1"/>
        </w:rPr>
        <w:t>Lupin</w:t>
      </w:r>
      <w:r>
        <w:t>.</w:t>
      </w:r>
    </w:p>
    <w:p w14:paraId="283A0BD3" w14:textId="77777777" w:rsidR="0024534E" w:rsidRPr="00F70019" w:rsidRDefault="0024534E" w:rsidP="00980EF6">
      <w:pPr>
        <w:pStyle w:val="NormalIndent1"/>
        <w:jc w:val="left"/>
      </w:pPr>
    </w:p>
    <w:p w14:paraId="31403040" w14:textId="77777777" w:rsidR="001A3992" w:rsidRPr="004A3628" w:rsidRDefault="004A3628" w:rsidP="00980EF6">
      <w:pPr>
        <w:pStyle w:val="Heading2"/>
        <w:jc w:val="left"/>
        <w:rPr>
          <w:smallCaps/>
        </w:rPr>
      </w:pPr>
      <w:r w:rsidRPr="004A3628">
        <w:t>4.3</w:t>
      </w:r>
      <w:r w:rsidRPr="004A3628">
        <w:tab/>
      </w:r>
      <w:r w:rsidR="001A3992" w:rsidRPr="004A3628">
        <w:t>Contraindications</w:t>
      </w:r>
    </w:p>
    <w:p w14:paraId="0687E61D" w14:textId="77777777" w:rsidR="001D41C0" w:rsidRPr="00F70019" w:rsidRDefault="001D41C0" w:rsidP="00980EF6">
      <w:pPr>
        <w:pStyle w:val="NormalIndent1"/>
        <w:jc w:val="left"/>
      </w:pPr>
    </w:p>
    <w:p w14:paraId="3CBDBD40" w14:textId="5A55026B" w:rsidR="0024534E" w:rsidRDefault="00D31FB8" w:rsidP="00980EF6">
      <w:pPr>
        <w:pStyle w:val="Bullet1"/>
        <w:jc w:val="left"/>
      </w:pPr>
      <w:r w:rsidRPr="00BF032A">
        <w:rPr>
          <w:color w:val="000000" w:themeColor="text1"/>
        </w:rPr>
        <w:t>Teriparatide</w:t>
      </w:r>
      <w:r>
        <w:rPr>
          <w:color w:val="000000" w:themeColor="text1"/>
        </w:rPr>
        <w:t xml:space="preserve"> </w:t>
      </w:r>
      <w:r w:rsidR="00482542">
        <w:rPr>
          <w:color w:val="000000" w:themeColor="text1"/>
        </w:rPr>
        <w:t>Lupin</w:t>
      </w:r>
      <w:r w:rsidR="00482542">
        <w:t xml:space="preserve"> </w:t>
      </w:r>
      <w:r w:rsidR="0024534E">
        <w:t xml:space="preserve">should not be given to patients with hypersensitivity to teriparatide or to any of its excipients. </w:t>
      </w:r>
    </w:p>
    <w:p w14:paraId="1902B480" w14:textId="0A2D289F" w:rsidR="00381E15" w:rsidRDefault="00381E15" w:rsidP="00980EF6">
      <w:pPr>
        <w:pStyle w:val="Bullet1"/>
        <w:jc w:val="left"/>
      </w:pPr>
      <w:r>
        <w:t xml:space="preserve">Pregnancy and breast-feeding (see </w:t>
      </w:r>
      <w:r w:rsidRPr="00381E15">
        <w:rPr>
          <w:b/>
          <w:bCs/>
        </w:rPr>
        <w:t>Section 4.6 F</w:t>
      </w:r>
      <w:r>
        <w:rPr>
          <w:b/>
          <w:bCs/>
        </w:rPr>
        <w:t>ertility Pregnancy and Lactation</w:t>
      </w:r>
      <w:r>
        <w:t xml:space="preserve">)  </w:t>
      </w:r>
    </w:p>
    <w:p w14:paraId="17D355A3" w14:textId="3E66A047" w:rsidR="00381E15" w:rsidRDefault="00381E15" w:rsidP="00980EF6">
      <w:pPr>
        <w:pStyle w:val="Bullet1"/>
        <w:jc w:val="left"/>
      </w:pPr>
      <w:r>
        <w:t xml:space="preserve">Pre-existing hypercalcaemia  </w:t>
      </w:r>
    </w:p>
    <w:p w14:paraId="21891E77" w14:textId="5D7FAFE0" w:rsidR="00381E15" w:rsidRDefault="00381E15" w:rsidP="00980EF6">
      <w:pPr>
        <w:pStyle w:val="Bullet1"/>
        <w:jc w:val="left"/>
      </w:pPr>
      <w:r>
        <w:t xml:space="preserve">Severe renal impairment  </w:t>
      </w:r>
    </w:p>
    <w:p w14:paraId="0748F99C" w14:textId="776D911A" w:rsidR="001D41C0" w:rsidRDefault="00381E15" w:rsidP="00980EF6">
      <w:pPr>
        <w:pStyle w:val="Bullet1"/>
        <w:jc w:val="left"/>
      </w:pPr>
      <w:r>
        <w:t xml:space="preserve">Metabolic bone diseases (including hyperparathyroidism and </w:t>
      </w:r>
      <w:r w:rsidR="0024534E">
        <w:t>Paget’s disease of the bone</w:t>
      </w:r>
      <w:r>
        <w:t xml:space="preserve">) other than primary </w:t>
      </w:r>
      <w:r w:rsidRPr="00381E15">
        <w:t>osteoporosis or glucocorticoid-induced osteoporosis</w:t>
      </w:r>
      <w:r w:rsidR="00BB3EFA">
        <w:t>.</w:t>
      </w:r>
      <w:r w:rsidR="0024534E">
        <w:t xml:space="preserve"> </w:t>
      </w:r>
    </w:p>
    <w:p w14:paraId="50018325" w14:textId="77777777" w:rsidR="00381E15" w:rsidRDefault="00381E15" w:rsidP="00980EF6">
      <w:pPr>
        <w:pStyle w:val="Bullet1"/>
        <w:jc w:val="left"/>
      </w:pPr>
      <w:r>
        <w:t xml:space="preserve">Unexplained elevations of alkaline phosphatase  </w:t>
      </w:r>
    </w:p>
    <w:p w14:paraId="6510F144" w14:textId="21DC47DB" w:rsidR="00381E15" w:rsidRDefault="00381E15" w:rsidP="00980EF6">
      <w:pPr>
        <w:pStyle w:val="Bullet1"/>
        <w:jc w:val="left"/>
      </w:pPr>
      <w:r>
        <w:t xml:space="preserve">Prior external beam or implant radiation therapy to the skeleton  </w:t>
      </w:r>
    </w:p>
    <w:p w14:paraId="56049AD7" w14:textId="73B7DD24" w:rsidR="00381E15" w:rsidRDefault="00381E15" w:rsidP="00980EF6">
      <w:pPr>
        <w:pStyle w:val="Bullet1"/>
        <w:jc w:val="left"/>
      </w:pPr>
      <w:r>
        <w:t xml:space="preserve">Patients with skeletal malignancies or bone metastases should be excluded from treatment with teriparatide  </w:t>
      </w:r>
    </w:p>
    <w:p w14:paraId="76B83015" w14:textId="77777777" w:rsidR="00BF032A" w:rsidRPr="00F70019" w:rsidRDefault="00BF032A" w:rsidP="00980EF6">
      <w:pPr>
        <w:pStyle w:val="NormalIndent1"/>
        <w:jc w:val="left"/>
      </w:pPr>
    </w:p>
    <w:p w14:paraId="159C96A3" w14:textId="77777777" w:rsidR="001A3992" w:rsidRPr="007C4C71" w:rsidRDefault="004A3628" w:rsidP="00884815">
      <w:pPr>
        <w:pStyle w:val="Heading2"/>
        <w:pageBreakBefore/>
        <w:jc w:val="left"/>
        <w:rPr>
          <w:smallCaps/>
        </w:rPr>
      </w:pPr>
      <w:r>
        <w:lastRenderedPageBreak/>
        <w:t>4.4</w:t>
      </w:r>
      <w:r>
        <w:tab/>
      </w:r>
      <w:r w:rsidR="00E74A56" w:rsidRPr="007C4C71">
        <w:t xml:space="preserve">Special </w:t>
      </w:r>
      <w:r w:rsidR="001D41C0" w:rsidRPr="007C4C71">
        <w:t xml:space="preserve">Warnings </w:t>
      </w:r>
      <w:r w:rsidR="00E74A56" w:rsidRPr="007C4C71">
        <w:t xml:space="preserve">and </w:t>
      </w:r>
      <w:r w:rsidR="001D41C0" w:rsidRPr="007C4C71">
        <w:t xml:space="preserve">Precautions </w:t>
      </w:r>
      <w:r w:rsidR="00E74A56" w:rsidRPr="007C4C71">
        <w:t xml:space="preserve">for </w:t>
      </w:r>
      <w:r w:rsidR="001D41C0" w:rsidRPr="007C4C71">
        <w:t>Use</w:t>
      </w:r>
    </w:p>
    <w:p w14:paraId="334BB133" w14:textId="77777777" w:rsidR="005D690B" w:rsidRPr="00F70019" w:rsidRDefault="005D690B" w:rsidP="00980EF6">
      <w:pPr>
        <w:pStyle w:val="NormalIndent1"/>
        <w:jc w:val="left"/>
      </w:pPr>
    </w:p>
    <w:p w14:paraId="0CBC0FCE" w14:textId="77777777" w:rsidR="00381E15" w:rsidRDefault="00381E15" w:rsidP="00980EF6">
      <w:pPr>
        <w:pStyle w:val="Heading3"/>
        <w:jc w:val="left"/>
      </w:pPr>
      <w:r>
        <w:t xml:space="preserve">Duration of treatment  </w:t>
      </w:r>
    </w:p>
    <w:p w14:paraId="0A6DCE60" w14:textId="77777777" w:rsidR="00381E15" w:rsidRDefault="00381E15" w:rsidP="00980EF6">
      <w:pPr>
        <w:pStyle w:val="Heading3"/>
        <w:jc w:val="left"/>
      </w:pPr>
    </w:p>
    <w:p w14:paraId="11DF2885" w14:textId="2DEA0068" w:rsidR="00381E15" w:rsidRDefault="00381E15" w:rsidP="00980EF6">
      <w:pPr>
        <w:pStyle w:val="NormalIndent1"/>
        <w:jc w:val="left"/>
      </w:pPr>
      <w:r>
        <w:t xml:space="preserve">The maximum lifetime exposure to </w:t>
      </w:r>
      <w:r w:rsidR="00302907">
        <w:t>teriparatide</w:t>
      </w:r>
      <w:r>
        <w:t xml:space="preserve"> for an individual patient is 24 months (see </w:t>
      </w:r>
      <w:r w:rsidRPr="00381E15">
        <w:rPr>
          <w:b/>
          <w:bCs/>
        </w:rPr>
        <w:t xml:space="preserve">Section 4.2 </w:t>
      </w:r>
      <w:r>
        <w:rPr>
          <w:b/>
          <w:bCs/>
        </w:rPr>
        <w:t>Dose and Method of Administration</w:t>
      </w:r>
      <w:r>
        <w:t xml:space="preserve">). For post-treatment efficacy, see </w:t>
      </w:r>
      <w:r w:rsidRPr="00381E15">
        <w:rPr>
          <w:b/>
          <w:bCs/>
        </w:rPr>
        <w:t>Section 5.1 Pharmacodynamic Properties</w:t>
      </w:r>
      <w:r>
        <w:t xml:space="preserve"> </w:t>
      </w:r>
      <w:r w:rsidRPr="00381E15">
        <w:rPr>
          <w:b/>
          <w:bCs/>
        </w:rPr>
        <w:t>- Clinical trials</w:t>
      </w:r>
      <w:r>
        <w:t xml:space="preserve">.  </w:t>
      </w:r>
    </w:p>
    <w:p w14:paraId="3F2E514B" w14:textId="3714A003" w:rsidR="0024534E" w:rsidRPr="0024534E" w:rsidRDefault="00BB7499" w:rsidP="00884815">
      <w:pPr>
        <w:pStyle w:val="Heading3"/>
        <w:jc w:val="left"/>
      </w:pPr>
      <w:r w:rsidRPr="0024534E">
        <w:t xml:space="preserve">Risk </w:t>
      </w:r>
      <w:r w:rsidR="0024534E" w:rsidRPr="0024534E">
        <w:t xml:space="preserve">of </w:t>
      </w:r>
      <w:r w:rsidRPr="0024534E">
        <w:t xml:space="preserve">Osteosarcoma </w:t>
      </w:r>
    </w:p>
    <w:p w14:paraId="34F5441B" w14:textId="77777777" w:rsidR="00BB7499" w:rsidRDefault="00BB7499" w:rsidP="00980EF6">
      <w:pPr>
        <w:pStyle w:val="NormalIndent1"/>
        <w:jc w:val="left"/>
      </w:pPr>
    </w:p>
    <w:p w14:paraId="6EF17120" w14:textId="21190E69" w:rsidR="0024534E" w:rsidRDefault="0024534E" w:rsidP="00980EF6">
      <w:pPr>
        <w:pStyle w:val="NormalIndent1"/>
        <w:jc w:val="left"/>
      </w:pPr>
      <w:r>
        <w:t>In male and female rats, teriparatide caused an increase in the incidence of osteosarcoma (a malignant bone tumour) that was dependent on dose and treatment duration. The effect was observed at systemic exposures to teriparatide ranging from 3 to 60 times the exposure in humans given a 20</w:t>
      </w:r>
      <w:r w:rsidR="00BB7499">
        <w:t> microgram</w:t>
      </w:r>
      <w:r>
        <w:t xml:space="preserve"> dose. </w:t>
      </w:r>
    </w:p>
    <w:p w14:paraId="3F8DD262" w14:textId="77777777" w:rsidR="0024534E" w:rsidRDefault="0024534E" w:rsidP="00980EF6">
      <w:pPr>
        <w:pStyle w:val="NormalIndent1"/>
        <w:jc w:val="left"/>
      </w:pPr>
      <w:r>
        <w:t xml:space="preserve"> </w:t>
      </w:r>
    </w:p>
    <w:p w14:paraId="3ECCD9E3" w14:textId="594A9FD8" w:rsidR="0024534E" w:rsidRDefault="0024534E" w:rsidP="00980EF6">
      <w:pPr>
        <w:pStyle w:val="NormalIndent1"/>
        <w:jc w:val="left"/>
      </w:pPr>
      <w:r>
        <w:t>However no increased risk was identified in a study in which 30 monkeys were treated with teriparatide for 18 months and then observed for a further 3 years. Post</w:t>
      </w:r>
      <w:r w:rsidR="00BB7499">
        <w:t>-</w:t>
      </w:r>
      <w:r>
        <w:t xml:space="preserve">marketing data in humans has not identified an increased risk. </w:t>
      </w:r>
    </w:p>
    <w:p w14:paraId="53CF9C9A" w14:textId="77777777" w:rsidR="0024534E" w:rsidRDefault="0024534E" w:rsidP="00980EF6">
      <w:pPr>
        <w:pStyle w:val="NormalIndent1"/>
        <w:jc w:val="left"/>
      </w:pPr>
      <w:r>
        <w:t xml:space="preserve"> </w:t>
      </w:r>
    </w:p>
    <w:p w14:paraId="5EB79031" w14:textId="467C4F39" w:rsidR="0024534E" w:rsidRPr="00BF032A" w:rsidRDefault="0024534E" w:rsidP="00980EF6">
      <w:pPr>
        <w:pStyle w:val="NormalIndent1"/>
        <w:jc w:val="left"/>
        <w:rPr>
          <w:b/>
          <w:bCs/>
        </w:rPr>
      </w:pPr>
      <w:r w:rsidRPr="00BF032A">
        <w:rPr>
          <w:b/>
          <w:bCs/>
        </w:rPr>
        <w:t>To minimise the potential risk of osteosarcoma (seen in the life-time rat studies)</w:t>
      </w:r>
      <w:r w:rsidR="00BB3EFA">
        <w:rPr>
          <w:b/>
          <w:bCs/>
        </w:rPr>
        <w:t>:</w:t>
      </w:r>
      <w:r w:rsidRPr="00BF032A">
        <w:rPr>
          <w:b/>
          <w:bCs/>
        </w:rPr>
        <w:t xml:space="preserve"> </w:t>
      </w:r>
    </w:p>
    <w:p w14:paraId="4323963F" w14:textId="3563A39E" w:rsidR="0024534E" w:rsidRPr="00BB7499" w:rsidRDefault="0024534E" w:rsidP="00980EF6">
      <w:pPr>
        <w:pStyle w:val="Numbering1"/>
        <w:jc w:val="left"/>
        <w:rPr>
          <w:b/>
          <w:bCs/>
        </w:rPr>
      </w:pPr>
      <w:r w:rsidRPr="00BB7499">
        <w:rPr>
          <w:b/>
          <w:bCs/>
        </w:rPr>
        <w:t xml:space="preserve">the maximum lifetime exposure to </w:t>
      </w:r>
      <w:r w:rsidR="00D31FB8" w:rsidRPr="00BB7499">
        <w:rPr>
          <w:b/>
          <w:bCs/>
        </w:rPr>
        <w:t xml:space="preserve">Teriparatide </w:t>
      </w:r>
      <w:r w:rsidR="00BB3EFA" w:rsidRPr="00BB7499">
        <w:rPr>
          <w:b/>
          <w:bCs/>
        </w:rPr>
        <w:t xml:space="preserve">Lupin </w:t>
      </w:r>
      <w:r w:rsidRPr="00BB7499">
        <w:rPr>
          <w:b/>
          <w:bCs/>
        </w:rPr>
        <w:t>for an individual patient is 24 months</w:t>
      </w:r>
      <w:r w:rsidR="00381E15">
        <w:rPr>
          <w:b/>
          <w:bCs/>
        </w:rPr>
        <w:t xml:space="preserve"> (</w:t>
      </w:r>
      <w:r w:rsidR="00381E15" w:rsidRPr="00381E15">
        <w:rPr>
          <w:b/>
          <w:bCs/>
        </w:rPr>
        <w:t xml:space="preserve">see Section 4.2 </w:t>
      </w:r>
      <w:r w:rsidR="00381E15">
        <w:rPr>
          <w:b/>
          <w:bCs/>
        </w:rPr>
        <w:t xml:space="preserve">Dose and Method of Administration </w:t>
      </w:r>
      <w:r w:rsidR="00381E15" w:rsidRPr="00381E15">
        <w:rPr>
          <w:b/>
          <w:bCs/>
        </w:rPr>
        <w:t>and Section 5.1 P</w:t>
      </w:r>
      <w:r w:rsidR="00381E15">
        <w:rPr>
          <w:b/>
          <w:bCs/>
        </w:rPr>
        <w:t>harmacodynamic Properties)</w:t>
      </w:r>
      <w:r w:rsidR="00BB3EFA" w:rsidRPr="00BB7499">
        <w:rPr>
          <w:b/>
          <w:bCs/>
        </w:rPr>
        <w:t>;</w:t>
      </w:r>
      <w:r w:rsidRPr="00BB7499">
        <w:rPr>
          <w:b/>
          <w:bCs/>
        </w:rPr>
        <w:t xml:space="preserve"> </w:t>
      </w:r>
    </w:p>
    <w:p w14:paraId="5B0A8559" w14:textId="41961885" w:rsidR="00381E15" w:rsidRPr="00381E15" w:rsidRDefault="0024534E" w:rsidP="00980EF6">
      <w:pPr>
        <w:pStyle w:val="Numbering1"/>
        <w:jc w:val="left"/>
        <w:rPr>
          <w:b/>
          <w:bCs/>
        </w:rPr>
      </w:pPr>
      <w:r w:rsidRPr="00BB7499">
        <w:t>teriparatide should not be prescribed to patients where there is an increased background risk of osteosarcoma (</w:t>
      </w:r>
      <w:r w:rsidR="00381E15">
        <w:t xml:space="preserve">such as </w:t>
      </w:r>
      <w:r w:rsidRPr="00BB7499">
        <w:t>Paget</w:t>
      </w:r>
      <w:r w:rsidR="00BB7499">
        <w:t>’</w:t>
      </w:r>
      <w:r w:rsidRPr="00BB7499">
        <w:t>s disease of bone, prior radiation therapy involving the skeleton, open epiphysis, unexplained elevations of alkaline phosphatase)</w:t>
      </w:r>
      <w:r w:rsidR="00BB7499">
        <w:t>.</w:t>
      </w:r>
      <w:r w:rsidRPr="00BB7499">
        <w:t xml:space="preserve"> </w:t>
      </w:r>
      <w:r w:rsidRPr="00E629E1">
        <w:t>(</w:t>
      </w:r>
      <w:r w:rsidR="00BB7499" w:rsidRPr="00E629E1">
        <w:t>See</w:t>
      </w:r>
      <w:r w:rsidR="00BB7499" w:rsidRPr="00BB7499">
        <w:t xml:space="preserve"> </w:t>
      </w:r>
      <w:r w:rsidRPr="003621B7">
        <w:rPr>
          <w:b/>
          <w:bCs/>
        </w:rPr>
        <w:t>Section 4.</w:t>
      </w:r>
      <w:r w:rsidR="00381E15" w:rsidRPr="003621B7">
        <w:rPr>
          <w:b/>
          <w:bCs/>
        </w:rPr>
        <w:t>3</w:t>
      </w:r>
      <w:r w:rsidR="00381E15" w:rsidRPr="00BB7499">
        <w:t xml:space="preserve"> </w:t>
      </w:r>
      <w:r w:rsidR="00381E15" w:rsidRPr="003621B7">
        <w:rPr>
          <w:b/>
          <w:bCs/>
        </w:rPr>
        <w:t>Contraindications</w:t>
      </w:r>
      <w:r w:rsidR="00BB3EFA" w:rsidRPr="00BB7499">
        <w:t xml:space="preserve"> </w:t>
      </w:r>
      <w:r w:rsidRPr="00E629E1">
        <w:t>and</w:t>
      </w:r>
      <w:r w:rsidRPr="00BB7499">
        <w:t xml:space="preserve"> </w:t>
      </w:r>
      <w:r w:rsidRPr="003621B7">
        <w:rPr>
          <w:b/>
          <w:bCs/>
        </w:rPr>
        <w:t xml:space="preserve">Section 5.3 </w:t>
      </w:r>
      <w:r w:rsidR="00BB3EFA" w:rsidRPr="003621B7">
        <w:rPr>
          <w:b/>
          <w:bCs/>
        </w:rPr>
        <w:t xml:space="preserve">Preclinical Safety Data - </w:t>
      </w:r>
      <w:r w:rsidRPr="003621B7">
        <w:rPr>
          <w:b/>
          <w:bCs/>
        </w:rPr>
        <w:t>Carcinogenicity</w:t>
      </w:r>
      <w:r w:rsidRPr="00E629E1">
        <w:t>).</w:t>
      </w:r>
      <w:r w:rsidRPr="00BB7499">
        <w:t xml:space="preserve"> </w:t>
      </w:r>
    </w:p>
    <w:p w14:paraId="0C092591" w14:textId="77777777" w:rsidR="00381E15" w:rsidRDefault="00381E15" w:rsidP="00980EF6">
      <w:pPr>
        <w:pStyle w:val="NormalIndent1"/>
        <w:jc w:val="left"/>
      </w:pPr>
    </w:p>
    <w:p w14:paraId="3EC17C10" w14:textId="7D34D1A7" w:rsidR="0024534E" w:rsidRDefault="00D31FB8" w:rsidP="00980EF6">
      <w:pPr>
        <w:pStyle w:val="NormalIndent1"/>
        <w:jc w:val="left"/>
      </w:pPr>
      <w:r w:rsidRPr="00BF032A">
        <w:rPr>
          <w:color w:val="000000" w:themeColor="text1"/>
        </w:rPr>
        <w:t>Teriparatide</w:t>
      </w:r>
      <w:r>
        <w:rPr>
          <w:color w:val="000000" w:themeColor="text1"/>
        </w:rPr>
        <w:t xml:space="preserve"> </w:t>
      </w:r>
      <w:r w:rsidR="00BB3EFA">
        <w:rPr>
          <w:color w:val="000000" w:themeColor="text1"/>
        </w:rPr>
        <w:t>Lupin</w:t>
      </w:r>
      <w:r w:rsidR="00BB3EFA">
        <w:t xml:space="preserve"> </w:t>
      </w:r>
      <w:r w:rsidR="0024534E">
        <w:t xml:space="preserve">should be prescribed to patients with a full explanation and their informed consent on the lifetime duration of 24 months treatment.   </w:t>
      </w:r>
    </w:p>
    <w:p w14:paraId="1FC14942" w14:textId="77777777" w:rsidR="0024534E" w:rsidRDefault="0024534E" w:rsidP="00980EF6">
      <w:pPr>
        <w:pStyle w:val="NormalIndent1"/>
        <w:jc w:val="left"/>
      </w:pPr>
      <w:r>
        <w:t xml:space="preserve"> </w:t>
      </w:r>
    </w:p>
    <w:p w14:paraId="119DCC64" w14:textId="56A4FAD5" w:rsidR="00BB7499" w:rsidRDefault="0024534E" w:rsidP="00980EF6">
      <w:pPr>
        <w:pStyle w:val="Heading4"/>
        <w:jc w:val="left"/>
      </w:pPr>
      <w:r w:rsidRPr="00BF032A">
        <w:t xml:space="preserve">Information for </w:t>
      </w:r>
      <w:r w:rsidR="00BB7499" w:rsidRPr="00BF032A">
        <w:t>Patients</w:t>
      </w:r>
    </w:p>
    <w:p w14:paraId="1BFCC9BF" w14:textId="77777777" w:rsidR="00BB7499" w:rsidRDefault="00BB7499" w:rsidP="00980EF6">
      <w:pPr>
        <w:pStyle w:val="NormalIndent1"/>
        <w:jc w:val="left"/>
      </w:pPr>
    </w:p>
    <w:p w14:paraId="55241B7A" w14:textId="12379F9D" w:rsidR="0024534E" w:rsidRDefault="0024534E" w:rsidP="00980EF6">
      <w:pPr>
        <w:pStyle w:val="NormalIndent1"/>
        <w:jc w:val="left"/>
      </w:pPr>
      <w:r>
        <w:t xml:space="preserve">For safe and effective use of </w:t>
      </w:r>
      <w:r w:rsidR="00D31FB8" w:rsidRPr="00BF032A">
        <w:rPr>
          <w:color w:val="000000" w:themeColor="text1"/>
        </w:rPr>
        <w:t>Teriparatide</w:t>
      </w:r>
      <w:r w:rsidR="00D31FB8">
        <w:rPr>
          <w:color w:val="000000" w:themeColor="text1"/>
        </w:rPr>
        <w:t xml:space="preserve"> </w:t>
      </w:r>
      <w:r w:rsidR="00BB3EFA">
        <w:rPr>
          <w:color w:val="000000" w:themeColor="text1"/>
        </w:rPr>
        <w:t>Lupin</w:t>
      </w:r>
      <w:r>
        <w:t xml:space="preserve">, the physician should inform the patient on the following: </w:t>
      </w:r>
    </w:p>
    <w:p w14:paraId="0BACBDB9" w14:textId="77777777" w:rsidR="00BB7499" w:rsidRDefault="00BB7499" w:rsidP="00980EF6">
      <w:pPr>
        <w:pStyle w:val="NormalIndent1"/>
        <w:jc w:val="left"/>
      </w:pPr>
    </w:p>
    <w:p w14:paraId="653F017E" w14:textId="7AF30287" w:rsidR="0024534E" w:rsidRDefault="0024534E" w:rsidP="00980EF6">
      <w:pPr>
        <w:pStyle w:val="Bullet1"/>
        <w:jc w:val="left"/>
      </w:pPr>
      <w:r w:rsidRPr="00E629E1">
        <w:rPr>
          <w:i/>
          <w:iCs/>
        </w:rPr>
        <w:t>General</w:t>
      </w:r>
      <w:r>
        <w:t xml:space="preserve"> – Patients will need to read the Consumer Medicine Information leaflet and </w:t>
      </w:r>
      <w:r w:rsidRPr="007C747D">
        <w:t>pen User Manual before starting therapy</w:t>
      </w:r>
      <w:r>
        <w:t xml:space="preserve"> with </w:t>
      </w:r>
      <w:r w:rsidR="00D31FB8" w:rsidRPr="00BF032A">
        <w:rPr>
          <w:color w:val="000000" w:themeColor="text1"/>
        </w:rPr>
        <w:t>Teriparatide</w:t>
      </w:r>
      <w:r w:rsidR="00D31FB8">
        <w:rPr>
          <w:color w:val="000000" w:themeColor="text1"/>
        </w:rPr>
        <w:t xml:space="preserve"> </w:t>
      </w:r>
      <w:r w:rsidR="00BB3EFA">
        <w:rPr>
          <w:color w:val="000000" w:themeColor="text1"/>
        </w:rPr>
        <w:t>Lupin</w:t>
      </w:r>
      <w:r w:rsidR="00BB3EFA">
        <w:t xml:space="preserve"> </w:t>
      </w:r>
      <w:r>
        <w:t xml:space="preserve">and re-read them each time the prescription is renewed. </w:t>
      </w:r>
    </w:p>
    <w:p w14:paraId="3D292760" w14:textId="57B4F399" w:rsidR="0024534E" w:rsidRDefault="0024534E" w:rsidP="00980EF6">
      <w:pPr>
        <w:pStyle w:val="Bullet1"/>
        <w:jc w:val="left"/>
      </w:pPr>
      <w:r w:rsidRPr="00E629E1">
        <w:rPr>
          <w:i/>
          <w:iCs/>
        </w:rPr>
        <w:t xml:space="preserve">Osteosarcoma in </w:t>
      </w:r>
      <w:r w:rsidR="00BB7499" w:rsidRPr="00BB7499">
        <w:rPr>
          <w:i/>
          <w:iCs/>
        </w:rPr>
        <w:t>Rats</w:t>
      </w:r>
      <w:r w:rsidR="00BB7499">
        <w:t xml:space="preserve"> </w:t>
      </w:r>
      <w:r>
        <w:t xml:space="preserve">– Patients should be made aware that </w:t>
      </w:r>
      <w:r w:rsidR="00D31FB8" w:rsidRPr="00BF032A">
        <w:rPr>
          <w:color w:val="000000" w:themeColor="text1"/>
        </w:rPr>
        <w:t>Teriparatide</w:t>
      </w:r>
      <w:r w:rsidR="00D31FB8">
        <w:rPr>
          <w:color w:val="000000" w:themeColor="text1"/>
        </w:rPr>
        <w:t xml:space="preserve"> </w:t>
      </w:r>
      <w:r w:rsidR="00BB3EFA">
        <w:rPr>
          <w:color w:val="000000" w:themeColor="text1"/>
        </w:rPr>
        <w:t>Lupin</w:t>
      </w:r>
      <w:r w:rsidR="00BB3EFA">
        <w:t xml:space="preserve"> </w:t>
      </w:r>
      <w:r>
        <w:t xml:space="preserve">caused osteosarcoma in rats and that the clinical relevance of these findings is unknown.   </w:t>
      </w:r>
    </w:p>
    <w:p w14:paraId="6ED8573A" w14:textId="36378C12" w:rsidR="0024534E" w:rsidRDefault="0024534E" w:rsidP="00980EF6">
      <w:pPr>
        <w:pStyle w:val="Bullet1"/>
        <w:jc w:val="left"/>
      </w:pPr>
      <w:r w:rsidRPr="00D81FC1">
        <w:t>Consent form</w:t>
      </w:r>
      <w:r>
        <w:t xml:space="preserve"> – </w:t>
      </w:r>
      <w:r w:rsidRPr="00BF032A">
        <w:rPr>
          <w:b/>
          <w:bCs/>
        </w:rPr>
        <w:t xml:space="preserve">Use of </w:t>
      </w:r>
      <w:r w:rsidR="001161F1">
        <w:rPr>
          <w:b/>
          <w:bCs/>
        </w:rPr>
        <w:t>T</w:t>
      </w:r>
      <w:r w:rsidR="00302907">
        <w:rPr>
          <w:b/>
          <w:bCs/>
        </w:rPr>
        <w:t>eriparatide</w:t>
      </w:r>
      <w:r w:rsidR="001161F1">
        <w:rPr>
          <w:b/>
          <w:bCs/>
        </w:rPr>
        <w:t xml:space="preserve"> Lupin</w:t>
      </w:r>
      <w:r w:rsidR="00302907" w:rsidRPr="00BF032A">
        <w:rPr>
          <w:b/>
          <w:bCs/>
        </w:rPr>
        <w:t xml:space="preserve"> </w:t>
      </w:r>
      <w:r w:rsidRPr="00BF032A">
        <w:rPr>
          <w:b/>
          <w:bCs/>
        </w:rPr>
        <w:t>is restricted to 24 months lifetime duration</w:t>
      </w:r>
      <w:r>
        <w:t xml:space="preserve">.  </w:t>
      </w:r>
      <w:r w:rsidR="00F34471">
        <w:t>To access or download</w:t>
      </w:r>
      <w:r w:rsidR="00B4592B">
        <w:t xml:space="preserve"> a copy of the consent form,</w:t>
      </w:r>
      <w:r w:rsidR="00F34471">
        <w:t xml:space="preserve"> visit: </w:t>
      </w:r>
      <w:hyperlink r:id="rId9" w:history="1">
        <w:r w:rsidR="00F34471" w:rsidRPr="00F34471">
          <w:rPr>
            <w:rStyle w:val="Hyperlink"/>
          </w:rPr>
          <w:t>https://www.generichealth.com.au/</w:t>
        </w:r>
      </w:hyperlink>
    </w:p>
    <w:p w14:paraId="7C97459A" w14:textId="53F2067A" w:rsidR="0024534E" w:rsidRDefault="0024534E" w:rsidP="00980EF6">
      <w:pPr>
        <w:pStyle w:val="NormalIndent1"/>
        <w:jc w:val="left"/>
      </w:pPr>
    </w:p>
    <w:p w14:paraId="525616C3" w14:textId="77777777" w:rsidR="0024534E" w:rsidRPr="0024534E" w:rsidRDefault="0024534E" w:rsidP="00980EF6">
      <w:pPr>
        <w:pStyle w:val="Heading3"/>
        <w:jc w:val="left"/>
      </w:pPr>
      <w:r w:rsidRPr="0024534E">
        <w:t xml:space="preserve">Hypercalcaemia </w:t>
      </w:r>
    </w:p>
    <w:p w14:paraId="1EC722AC" w14:textId="77777777" w:rsidR="00D578BA" w:rsidRDefault="00D578BA" w:rsidP="00980EF6">
      <w:pPr>
        <w:pStyle w:val="NormalIndent1"/>
        <w:jc w:val="left"/>
        <w:rPr>
          <w:color w:val="000000" w:themeColor="text1"/>
        </w:rPr>
      </w:pPr>
    </w:p>
    <w:p w14:paraId="4760A156" w14:textId="449978E5" w:rsidR="00641084" w:rsidRDefault="00D31FB8" w:rsidP="00980EF6">
      <w:pPr>
        <w:pStyle w:val="Bullet1"/>
        <w:jc w:val="left"/>
      </w:pPr>
      <w:r w:rsidRPr="00BF032A">
        <w:rPr>
          <w:color w:val="000000" w:themeColor="text1"/>
        </w:rPr>
        <w:t>Teriparatide</w:t>
      </w:r>
      <w:r>
        <w:rPr>
          <w:color w:val="000000" w:themeColor="text1"/>
        </w:rPr>
        <w:t xml:space="preserve"> </w:t>
      </w:r>
      <w:r w:rsidR="0024534E">
        <w:t xml:space="preserve"> has not been studied in patients with pre</w:t>
      </w:r>
      <w:r w:rsidR="00D578BA">
        <w:t>-</w:t>
      </w:r>
      <w:r w:rsidR="0024534E">
        <w:t xml:space="preserve">existing hypercalcaemia. </w:t>
      </w:r>
      <w:r w:rsidR="00641084">
        <w:t>P</w:t>
      </w:r>
      <w:r w:rsidR="0024534E">
        <w:t xml:space="preserve">atients </w:t>
      </w:r>
      <w:r w:rsidR="00641084" w:rsidRPr="00641084">
        <w:t xml:space="preserve">with pre-existing hypercalcaemia </w:t>
      </w:r>
      <w:r w:rsidR="0024534E">
        <w:t xml:space="preserve">should be excluded from treatment with </w:t>
      </w:r>
      <w:r>
        <w:rPr>
          <w:color w:val="000000" w:themeColor="text1"/>
        </w:rPr>
        <w:t>t</w:t>
      </w:r>
      <w:r w:rsidRPr="00BF032A">
        <w:rPr>
          <w:color w:val="000000" w:themeColor="text1"/>
        </w:rPr>
        <w:t>eriparatide</w:t>
      </w:r>
      <w:r w:rsidR="0024534E">
        <w:t xml:space="preserve"> because of the possibility of exacerbating hypercalcaemia</w:t>
      </w:r>
      <w:r w:rsidR="00641084">
        <w:t xml:space="preserve"> (see </w:t>
      </w:r>
      <w:r w:rsidR="00641084" w:rsidRPr="00641084">
        <w:rPr>
          <w:b/>
          <w:bCs/>
        </w:rPr>
        <w:t>Section 4.3 Contraindications</w:t>
      </w:r>
      <w:r w:rsidR="00641084">
        <w:t>)</w:t>
      </w:r>
      <w:r w:rsidR="0024534E">
        <w:t xml:space="preserve">. </w:t>
      </w:r>
    </w:p>
    <w:p w14:paraId="4BB40D62" w14:textId="46FF3352" w:rsidR="0024534E" w:rsidRDefault="0024534E" w:rsidP="00980EF6">
      <w:pPr>
        <w:pStyle w:val="Bullet1"/>
        <w:jc w:val="left"/>
      </w:pPr>
      <w:r>
        <w:t xml:space="preserve">In normocalcaemic patients, slight and transient elevations of serum calcium concentrations have been observed following teriparatide injection. Serum calcium concentrations reach a maximum </w:t>
      </w:r>
      <w:r>
        <w:lastRenderedPageBreak/>
        <w:t xml:space="preserve">between 4 and 6 hours and return to baseline by 16 to 24 hours after each dose of teriparatide. Routine calcium monitoring during therapy is not required.  </w:t>
      </w:r>
    </w:p>
    <w:p w14:paraId="55723A92" w14:textId="77777777" w:rsidR="0024534E" w:rsidRDefault="0024534E" w:rsidP="00980EF6">
      <w:pPr>
        <w:pStyle w:val="NormalIndent1"/>
        <w:jc w:val="left"/>
      </w:pPr>
      <w:r>
        <w:t xml:space="preserve"> </w:t>
      </w:r>
    </w:p>
    <w:p w14:paraId="1A3DE84E" w14:textId="64618524" w:rsidR="0024534E" w:rsidRPr="0024534E" w:rsidRDefault="0024534E" w:rsidP="00980EF6">
      <w:pPr>
        <w:pStyle w:val="Heading3"/>
        <w:jc w:val="left"/>
      </w:pPr>
      <w:r w:rsidRPr="0024534E">
        <w:t xml:space="preserve">Bone Disorders </w:t>
      </w:r>
      <w:r w:rsidR="00D578BA" w:rsidRPr="0024534E">
        <w:t xml:space="preserve">Other Than </w:t>
      </w:r>
      <w:r w:rsidRPr="0024534E">
        <w:t xml:space="preserve">Osteoporosis </w:t>
      </w:r>
    </w:p>
    <w:p w14:paraId="3425553F" w14:textId="77777777" w:rsidR="00D578BA" w:rsidRDefault="00D578BA" w:rsidP="00980EF6">
      <w:pPr>
        <w:pStyle w:val="NormalIndent1"/>
        <w:jc w:val="left"/>
      </w:pPr>
    </w:p>
    <w:p w14:paraId="7A26EA83" w14:textId="0680D505" w:rsidR="0024534E" w:rsidRDefault="0024534E" w:rsidP="00980EF6">
      <w:pPr>
        <w:pStyle w:val="NormalIndent1"/>
        <w:jc w:val="left"/>
      </w:pPr>
      <w:r>
        <w:t xml:space="preserve">Patients with metabolic bone diseases other than primary osteoporosis (including hyperparathyroidism and Paget’s disease of the bone) (see </w:t>
      </w:r>
      <w:r w:rsidRPr="006E11AA">
        <w:rPr>
          <w:b/>
          <w:bCs/>
        </w:rPr>
        <w:t>Section 4.</w:t>
      </w:r>
      <w:r w:rsidR="003F106F" w:rsidRPr="006E11AA">
        <w:rPr>
          <w:b/>
          <w:bCs/>
        </w:rPr>
        <w:t xml:space="preserve">3 </w:t>
      </w:r>
      <w:r w:rsidR="00BB3EFA" w:rsidRPr="006E11AA">
        <w:rPr>
          <w:b/>
          <w:bCs/>
        </w:rPr>
        <w:t>Contraindications</w:t>
      </w:r>
      <w:r>
        <w:t xml:space="preserve">) and those with otherwise unexplained elevations of alkaline phosphatase, should generally be excluded from treatment with </w:t>
      </w:r>
      <w:r w:rsidR="00D31FB8">
        <w:rPr>
          <w:color w:val="000000" w:themeColor="text1"/>
        </w:rPr>
        <w:t>t</w:t>
      </w:r>
      <w:r w:rsidR="00D31FB8" w:rsidRPr="00BF032A">
        <w:rPr>
          <w:color w:val="000000" w:themeColor="text1"/>
        </w:rPr>
        <w:t>eriparatide</w:t>
      </w:r>
      <w:r>
        <w:t xml:space="preserve">. Patients with skeletal malignancies or bone metastases should also be excluded from treatment with </w:t>
      </w:r>
      <w:r w:rsidR="000E00DA">
        <w:rPr>
          <w:color w:val="000000" w:themeColor="text1"/>
        </w:rPr>
        <w:t>t</w:t>
      </w:r>
      <w:r w:rsidR="000E00DA" w:rsidRPr="00BF032A">
        <w:rPr>
          <w:color w:val="000000" w:themeColor="text1"/>
        </w:rPr>
        <w:t>eriparatide</w:t>
      </w:r>
      <w:r w:rsidR="000E00DA">
        <w:rPr>
          <w:color w:val="000000" w:themeColor="text1"/>
        </w:rPr>
        <w:t>.</w:t>
      </w:r>
    </w:p>
    <w:p w14:paraId="08CB0298" w14:textId="12FC0155" w:rsidR="0024534E" w:rsidRDefault="0024534E" w:rsidP="00980EF6">
      <w:pPr>
        <w:pStyle w:val="NormalIndent1"/>
        <w:jc w:val="left"/>
      </w:pPr>
    </w:p>
    <w:p w14:paraId="6F2F44CD" w14:textId="77777777" w:rsidR="0024534E" w:rsidRPr="0024534E" w:rsidRDefault="0024534E" w:rsidP="00980EF6">
      <w:pPr>
        <w:pStyle w:val="Heading3"/>
        <w:jc w:val="left"/>
      </w:pPr>
      <w:r w:rsidRPr="0024534E">
        <w:t xml:space="preserve">Urolithiasis </w:t>
      </w:r>
    </w:p>
    <w:p w14:paraId="2BEFA005" w14:textId="77777777" w:rsidR="00D578BA" w:rsidRDefault="00D578BA" w:rsidP="00980EF6">
      <w:pPr>
        <w:pStyle w:val="NormalIndent1"/>
        <w:jc w:val="left"/>
        <w:rPr>
          <w:color w:val="000000" w:themeColor="text1"/>
        </w:rPr>
      </w:pPr>
    </w:p>
    <w:p w14:paraId="036F6689" w14:textId="23B6371D" w:rsidR="0024534E" w:rsidRDefault="00D31FB8" w:rsidP="00980EF6">
      <w:pPr>
        <w:pStyle w:val="NormalIndent1"/>
        <w:jc w:val="left"/>
      </w:pPr>
      <w:r>
        <w:rPr>
          <w:color w:val="000000" w:themeColor="text1"/>
        </w:rPr>
        <w:t>T</w:t>
      </w:r>
      <w:r w:rsidRPr="00BF032A">
        <w:rPr>
          <w:color w:val="000000" w:themeColor="text1"/>
        </w:rPr>
        <w:t>eriparatide</w:t>
      </w:r>
      <w:r w:rsidR="0024534E">
        <w:t xml:space="preserve"> has not been studied in patients with active urolithiasis. </w:t>
      </w:r>
      <w:r w:rsidR="000E00DA">
        <w:rPr>
          <w:color w:val="000000" w:themeColor="text1"/>
        </w:rPr>
        <w:t>T</w:t>
      </w:r>
      <w:r w:rsidR="000E00DA" w:rsidRPr="00BF032A">
        <w:rPr>
          <w:color w:val="000000" w:themeColor="text1"/>
        </w:rPr>
        <w:t>eriparatide</w:t>
      </w:r>
      <w:r w:rsidR="0024534E">
        <w:t xml:space="preserve"> should be used with caution in patients with active or recent urolithiasis because of the potential to exacerbate this condition. </w:t>
      </w:r>
    </w:p>
    <w:p w14:paraId="63BD4533" w14:textId="77777777" w:rsidR="0024534E" w:rsidRDefault="0024534E" w:rsidP="00980EF6">
      <w:pPr>
        <w:pStyle w:val="NormalIndent1"/>
        <w:jc w:val="left"/>
      </w:pPr>
      <w:r>
        <w:t xml:space="preserve"> </w:t>
      </w:r>
    </w:p>
    <w:p w14:paraId="6F148E8A" w14:textId="77777777" w:rsidR="0024534E" w:rsidRPr="0024534E" w:rsidRDefault="0024534E" w:rsidP="00980EF6">
      <w:pPr>
        <w:pStyle w:val="Heading3"/>
        <w:jc w:val="left"/>
      </w:pPr>
      <w:r w:rsidRPr="0024534E">
        <w:t xml:space="preserve">Hypotension </w:t>
      </w:r>
    </w:p>
    <w:p w14:paraId="3C9B2D7F" w14:textId="77777777" w:rsidR="00D578BA" w:rsidRDefault="00D578BA" w:rsidP="00980EF6">
      <w:pPr>
        <w:pStyle w:val="NormalIndent1"/>
        <w:jc w:val="left"/>
      </w:pPr>
    </w:p>
    <w:p w14:paraId="02AD3C3F" w14:textId="077703FF" w:rsidR="0024534E" w:rsidRDefault="0024534E" w:rsidP="00980EF6">
      <w:pPr>
        <w:pStyle w:val="NormalIndent1"/>
        <w:jc w:val="left"/>
      </w:pPr>
      <w:r>
        <w:t xml:space="preserve">In short-term clinical studies with </w:t>
      </w:r>
      <w:r w:rsidR="00D31FB8">
        <w:rPr>
          <w:color w:val="000000" w:themeColor="text1"/>
        </w:rPr>
        <w:t>t</w:t>
      </w:r>
      <w:r w:rsidR="00D31FB8" w:rsidRPr="00BF032A">
        <w:rPr>
          <w:color w:val="000000" w:themeColor="text1"/>
        </w:rPr>
        <w:t>eriparatide</w:t>
      </w:r>
      <w:r>
        <w:t xml:space="preserve">, isolated episodes of transient orthostatic hypotension were observed. Typically, an event began within 4 hours of dosing and spontaneously resolved within a few minutes to a few hours. When transient orthostatic hypotension occurred, it happened within the first several doses, was relieved by placing subjects in a reclining position and did not preclude continued treatment.  </w:t>
      </w:r>
    </w:p>
    <w:p w14:paraId="4AECF6F5" w14:textId="77777777" w:rsidR="0024534E" w:rsidRDefault="0024534E" w:rsidP="00980EF6">
      <w:pPr>
        <w:pStyle w:val="NormalIndent1"/>
        <w:jc w:val="left"/>
      </w:pPr>
      <w:r>
        <w:t xml:space="preserve"> </w:t>
      </w:r>
    </w:p>
    <w:p w14:paraId="7FCAE613" w14:textId="6945259D" w:rsidR="0024534E" w:rsidRPr="0024534E" w:rsidRDefault="0024534E" w:rsidP="00980EF6">
      <w:pPr>
        <w:pStyle w:val="Heading3"/>
        <w:jc w:val="left"/>
      </w:pPr>
      <w:r w:rsidRPr="0024534E">
        <w:t xml:space="preserve">Use in the </w:t>
      </w:r>
      <w:r w:rsidR="00D578BA" w:rsidRPr="0024534E">
        <w:t xml:space="preserve">Elderly </w:t>
      </w:r>
    </w:p>
    <w:p w14:paraId="2D8DC10C" w14:textId="77777777" w:rsidR="00D578BA" w:rsidRDefault="00D578BA" w:rsidP="00980EF6">
      <w:pPr>
        <w:pStyle w:val="NormalIndent1"/>
        <w:jc w:val="left"/>
      </w:pPr>
    </w:p>
    <w:p w14:paraId="25E96C47" w14:textId="7BE0F44C" w:rsidR="0024534E" w:rsidRDefault="0024534E" w:rsidP="00980EF6">
      <w:pPr>
        <w:pStyle w:val="NormalIndent1"/>
        <w:jc w:val="left"/>
      </w:pPr>
      <w:r>
        <w:t xml:space="preserve">No differences in </w:t>
      </w:r>
      <w:r w:rsidR="00D31FB8">
        <w:rPr>
          <w:color w:val="000000" w:themeColor="text1"/>
        </w:rPr>
        <w:t>t</w:t>
      </w:r>
      <w:r w:rsidR="00D31FB8" w:rsidRPr="00BF032A">
        <w:rPr>
          <w:color w:val="000000" w:themeColor="text1"/>
        </w:rPr>
        <w:t>eriparatide</w:t>
      </w:r>
      <w:r>
        <w:t xml:space="preserve"> pharmacokinetics were detected with regard to age (range 31 to 85 years). Dosage adjustment based on age is not required.   </w:t>
      </w:r>
    </w:p>
    <w:p w14:paraId="06EB9F90" w14:textId="77777777" w:rsidR="0024534E" w:rsidRDefault="0024534E" w:rsidP="00980EF6">
      <w:pPr>
        <w:pStyle w:val="NormalIndent1"/>
        <w:jc w:val="left"/>
      </w:pPr>
      <w:r>
        <w:t xml:space="preserve"> </w:t>
      </w:r>
    </w:p>
    <w:p w14:paraId="1854FA88" w14:textId="77777777" w:rsidR="0024534E" w:rsidRPr="0024534E" w:rsidRDefault="0024534E" w:rsidP="00980EF6">
      <w:pPr>
        <w:pStyle w:val="Heading3"/>
        <w:jc w:val="left"/>
      </w:pPr>
      <w:r w:rsidRPr="0024534E">
        <w:t xml:space="preserve">Paediatric Use </w:t>
      </w:r>
    </w:p>
    <w:p w14:paraId="041CAC80" w14:textId="77777777" w:rsidR="00D578BA" w:rsidRDefault="00D578BA" w:rsidP="00980EF6">
      <w:pPr>
        <w:pStyle w:val="NormalIndent1"/>
        <w:jc w:val="left"/>
        <w:rPr>
          <w:color w:val="000000" w:themeColor="text1"/>
        </w:rPr>
      </w:pPr>
    </w:p>
    <w:p w14:paraId="0F1BF51F" w14:textId="1D61365E" w:rsidR="0024534E" w:rsidRDefault="00D31FB8" w:rsidP="00980EF6">
      <w:pPr>
        <w:pStyle w:val="NormalIndent1"/>
        <w:jc w:val="left"/>
      </w:pPr>
      <w:r>
        <w:rPr>
          <w:color w:val="000000" w:themeColor="text1"/>
        </w:rPr>
        <w:t>T</w:t>
      </w:r>
      <w:r w:rsidRPr="00BF032A">
        <w:rPr>
          <w:color w:val="000000" w:themeColor="text1"/>
        </w:rPr>
        <w:t>eriparatide</w:t>
      </w:r>
      <w:r w:rsidR="0024534E">
        <w:t xml:space="preserve"> has not been studied in paediatric populations. </w:t>
      </w:r>
      <w:r>
        <w:rPr>
          <w:color w:val="000000" w:themeColor="text1"/>
        </w:rPr>
        <w:t>T</w:t>
      </w:r>
      <w:r w:rsidRPr="00BF032A">
        <w:rPr>
          <w:color w:val="000000" w:themeColor="text1"/>
        </w:rPr>
        <w:t>eriparatide</w:t>
      </w:r>
      <w:r w:rsidR="0024534E">
        <w:t xml:space="preserve"> should not be used in paediatric patients or young adults with open epiphyses. </w:t>
      </w:r>
    </w:p>
    <w:p w14:paraId="3E976534" w14:textId="77777777" w:rsidR="0024534E" w:rsidRDefault="0024534E" w:rsidP="00980EF6">
      <w:pPr>
        <w:pStyle w:val="NormalIndent1"/>
        <w:jc w:val="left"/>
      </w:pPr>
      <w:r>
        <w:t xml:space="preserve"> </w:t>
      </w:r>
    </w:p>
    <w:p w14:paraId="5112458B" w14:textId="77777777" w:rsidR="0024534E" w:rsidRPr="0024534E" w:rsidRDefault="0024534E" w:rsidP="00980EF6">
      <w:pPr>
        <w:pStyle w:val="Heading3"/>
        <w:jc w:val="left"/>
      </w:pPr>
      <w:r w:rsidRPr="0024534E">
        <w:t xml:space="preserve">Effects on Laboratory Tests </w:t>
      </w:r>
    </w:p>
    <w:p w14:paraId="6A951286" w14:textId="77777777" w:rsidR="00D578BA" w:rsidRDefault="00D578BA" w:rsidP="00980EF6">
      <w:pPr>
        <w:pStyle w:val="NormalIndent1"/>
        <w:jc w:val="left"/>
      </w:pPr>
    </w:p>
    <w:p w14:paraId="411A7633" w14:textId="113FD043" w:rsidR="00D578BA" w:rsidRDefault="0024534E" w:rsidP="00980EF6">
      <w:pPr>
        <w:pStyle w:val="Heading4"/>
        <w:jc w:val="left"/>
      </w:pPr>
      <w:r>
        <w:t>Serum Calcium</w:t>
      </w:r>
    </w:p>
    <w:p w14:paraId="2BF4A188" w14:textId="77777777" w:rsidR="00D578BA" w:rsidRDefault="00D578BA" w:rsidP="00980EF6">
      <w:pPr>
        <w:pStyle w:val="NormalIndent1"/>
        <w:jc w:val="left"/>
      </w:pPr>
    </w:p>
    <w:p w14:paraId="4502D48A" w14:textId="4EBFCC9F" w:rsidR="0024534E" w:rsidRDefault="00D31FB8" w:rsidP="00980EF6">
      <w:pPr>
        <w:pStyle w:val="NormalIndent1"/>
        <w:jc w:val="left"/>
      </w:pPr>
      <w:r>
        <w:t>T</w:t>
      </w:r>
      <w:r w:rsidRPr="00BF032A">
        <w:rPr>
          <w:color w:val="000000" w:themeColor="text1"/>
        </w:rPr>
        <w:t>eriparatide</w:t>
      </w:r>
      <w:r w:rsidR="0024534E">
        <w:t xml:space="preserve"> transiently increases serum calcium, with the maximal effect observed at approximately 4 to 6 hours post-dose. By 16 hours post-dose, serum calcium generally has returned to, or near, baseline. These effects should be kept in mind because serum calcium concentrations observed within 16 hours after a dose may reflect the pharmacologic effect of teriparatide. Persistent hypercalcaemia was not observed in clinical trials with </w:t>
      </w:r>
      <w:r>
        <w:rPr>
          <w:color w:val="000000" w:themeColor="text1"/>
        </w:rPr>
        <w:t>t</w:t>
      </w:r>
      <w:r w:rsidRPr="00BF032A">
        <w:rPr>
          <w:color w:val="000000" w:themeColor="text1"/>
        </w:rPr>
        <w:t>eriparatide</w:t>
      </w:r>
      <w:r w:rsidR="0024534E">
        <w:t xml:space="preserve">. If persistent hypercalcaemia is detected, treatment with </w:t>
      </w:r>
      <w:r>
        <w:rPr>
          <w:color w:val="000000" w:themeColor="text1"/>
        </w:rPr>
        <w:t>t</w:t>
      </w:r>
      <w:r w:rsidRPr="00BF032A">
        <w:rPr>
          <w:color w:val="000000" w:themeColor="text1"/>
        </w:rPr>
        <w:t>eriparatide</w:t>
      </w:r>
      <w:r w:rsidR="0024534E">
        <w:t xml:space="preserve"> should be discontinued pending further evaluation of the cause of hypercalcaemia. Patients known to have an underlying hypercalcaemic disorder, such as primary hyperparathyroidism, should not be treated with </w:t>
      </w:r>
      <w:r>
        <w:rPr>
          <w:color w:val="000000" w:themeColor="text1"/>
        </w:rPr>
        <w:t>t</w:t>
      </w:r>
      <w:r w:rsidRPr="00BF032A">
        <w:rPr>
          <w:color w:val="000000" w:themeColor="text1"/>
        </w:rPr>
        <w:t>eriparatide</w:t>
      </w:r>
      <w:r w:rsidR="0024534E">
        <w:t xml:space="preserve"> (see </w:t>
      </w:r>
      <w:r w:rsidR="0024534E" w:rsidRPr="006E11AA">
        <w:rPr>
          <w:b/>
          <w:bCs/>
        </w:rPr>
        <w:t xml:space="preserve">Section 4.4 </w:t>
      </w:r>
      <w:r w:rsidR="00BB3EFA" w:rsidRPr="006E11AA">
        <w:rPr>
          <w:b/>
          <w:bCs/>
        </w:rPr>
        <w:t xml:space="preserve">Special Warnings </w:t>
      </w:r>
      <w:r w:rsidR="00BB3EFA">
        <w:rPr>
          <w:b/>
          <w:bCs/>
        </w:rPr>
        <w:t>a</w:t>
      </w:r>
      <w:r w:rsidR="00BB3EFA" w:rsidRPr="006E11AA">
        <w:rPr>
          <w:b/>
          <w:bCs/>
        </w:rPr>
        <w:t xml:space="preserve">nd Precautions </w:t>
      </w:r>
      <w:r w:rsidR="00302907">
        <w:rPr>
          <w:b/>
          <w:bCs/>
        </w:rPr>
        <w:t>f</w:t>
      </w:r>
      <w:r w:rsidR="00302907" w:rsidRPr="006E11AA">
        <w:rPr>
          <w:b/>
          <w:bCs/>
        </w:rPr>
        <w:t xml:space="preserve">or </w:t>
      </w:r>
      <w:r w:rsidR="00BB3EFA" w:rsidRPr="006E11AA">
        <w:rPr>
          <w:b/>
          <w:bCs/>
        </w:rPr>
        <w:t>Use</w:t>
      </w:r>
      <w:r w:rsidR="0024534E" w:rsidRPr="006E11AA">
        <w:rPr>
          <w:b/>
          <w:bCs/>
        </w:rPr>
        <w:t xml:space="preserve"> </w:t>
      </w:r>
      <w:r w:rsidR="00BB3EFA">
        <w:rPr>
          <w:b/>
          <w:bCs/>
        </w:rPr>
        <w:t>-</w:t>
      </w:r>
      <w:r w:rsidR="0024534E" w:rsidRPr="006E11AA">
        <w:rPr>
          <w:b/>
          <w:bCs/>
        </w:rPr>
        <w:t xml:space="preserve"> Hypercalcaemia</w:t>
      </w:r>
      <w:r w:rsidR="0024534E">
        <w:t xml:space="preserve">). </w:t>
      </w:r>
    </w:p>
    <w:p w14:paraId="18A09351" w14:textId="77777777" w:rsidR="0024534E" w:rsidRDefault="0024534E" w:rsidP="00980EF6">
      <w:pPr>
        <w:pStyle w:val="NormalIndent1"/>
        <w:jc w:val="left"/>
      </w:pPr>
      <w:r>
        <w:t xml:space="preserve"> </w:t>
      </w:r>
    </w:p>
    <w:p w14:paraId="63405474" w14:textId="77777777" w:rsidR="0024534E" w:rsidRDefault="0024534E" w:rsidP="00980EF6">
      <w:pPr>
        <w:pStyle w:val="NormalIndent1"/>
        <w:jc w:val="left"/>
      </w:pPr>
      <w:r>
        <w:lastRenderedPageBreak/>
        <w:t xml:space="preserve">Teriparatide has not been studied in non-ambulant patients, thus monitoring of serum calcium may be appropriate when a previously ambulant patient is confined to bed. </w:t>
      </w:r>
    </w:p>
    <w:p w14:paraId="35F4D1AA" w14:textId="77777777" w:rsidR="0024534E" w:rsidRDefault="0024534E" w:rsidP="00980EF6">
      <w:pPr>
        <w:pStyle w:val="NormalIndent1"/>
        <w:jc w:val="left"/>
      </w:pPr>
      <w:r>
        <w:t xml:space="preserve"> </w:t>
      </w:r>
    </w:p>
    <w:p w14:paraId="2BD1FE13" w14:textId="3C0E24A5" w:rsidR="00D578BA" w:rsidRDefault="0024534E" w:rsidP="00980EF6">
      <w:pPr>
        <w:pStyle w:val="Heading4"/>
        <w:jc w:val="left"/>
      </w:pPr>
      <w:r w:rsidRPr="00BF032A">
        <w:t>Urinary Calcium</w:t>
      </w:r>
    </w:p>
    <w:p w14:paraId="17C44C16" w14:textId="77777777" w:rsidR="00D578BA" w:rsidRDefault="00D578BA" w:rsidP="00980EF6">
      <w:pPr>
        <w:pStyle w:val="NormalIndent1"/>
        <w:jc w:val="left"/>
        <w:rPr>
          <w:color w:val="000000" w:themeColor="text1"/>
        </w:rPr>
      </w:pPr>
    </w:p>
    <w:p w14:paraId="0C1C3357" w14:textId="56049179" w:rsidR="0024534E" w:rsidRDefault="00D578BA" w:rsidP="00980EF6">
      <w:pPr>
        <w:pStyle w:val="NormalIndent1"/>
        <w:jc w:val="left"/>
      </w:pPr>
      <w:r>
        <w:rPr>
          <w:color w:val="000000" w:themeColor="text1"/>
        </w:rPr>
        <w:t>T</w:t>
      </w:r>
      <w:r w:rsidR="00D31FB8" w:rsidRPr="00BF032A">
        <w:rPr>
          <w:color w:val="000000" w:themeColor="text1"/>
        </w:rPr>
        <w:t>eriparatide</w:t>
      </w:r>
      <w:r w:rsidR="0024534E">
        <w:t xml:space="preserve"> may cause small increases in urinary calcium excretion. However, in the clinical trials, the incidence of hypercalciuria in </w:t>
      </w:r>
      <w:r w:rsidR="00D31FB8">
        <w:rPr>
          <w:color w:val="000000" w:themeColor="text1"/>
        </w:rPr>
        <w:t>t</w:t>
      </w:r>
      <w:r w:rsidR="00D31FB8" w:rsidRPr="00BF032A">
        <w:rPr>
          <w:color w:val="000000" w:themeColor="text1"/>
        </w:rPr>
        <w:t>eriparatide</w:t>
      </w:r>
      <w:r w:rsidR="0024534E">
        <w:t xml:space="preserve"> patients did not differ from that in the placebo-treated patients. </w:t>
      </w:r>
    </w:p>
    <w:p w14:paraId="30EA3625" w14:textId="77777777" w:rsidR="0024534E" w:rsidRDefault="0024534E" w:rsidP="00980EF6">
      <w:pPr>
        <w:pStyle w:val="NormalIndent1"/>
        <w:jc w:val="left"/>
      </w:pPr>
      <w:r>
        <w:t xml:space="preserve"> </w:t>
      </w:r>
    </w:p>
    <w:p w14:paraId="07807CED" w14:textId="2F19CB07" w:rsidR="00D578BA" w:rsidRDefault="00641084" w:rsidP="00980EF6">
      <w:pPr>
        <w:pStyle w:val="Heading4"/>
        <w:jc w:val="left"/>
      </w:pPr>
      <w:r>
        <w:t xml:space="preserve">Use in </w:t>
      </w:r>
      <w:r w:rsidR="0024534E" w:rsidRPr="00BF032A">
        <w:t xml:space="preserve">Renal </w:t>
      </w:r>
      <w:r>
        <w:t>Impairment</w:t>
      </w:r>
    </w:p>
    <w:p w14:paraId="4F71A987" w14:textId="77777777" w:rsidR="00D578BA" w:rsidRDefault="00D578BA" w:rsidP="00980EF6">
      <w:pPr>
        <w:pStyle w:val="NormalIndent1"/>
        <w:jc w:val="left"/>
      </w:pPr>
    </w:p>
    <w:p w14:paraId="2AEFA4BF" w14:textId="77777777" w:rsidR="00641084" w:rsidRDefault="0024534E" w:rsidP="00980EF6">
      <w:pPr>
        <w:pStyle w:val="Bullet1"/>
        <w:jc w:val="left"/>
      </w:pPr>
      <w:r>
        <w:t>No significant adverse renal effects were observed in long-term clinical studies. Assessments included creatinine clearance, measurements of blood urea nitrogen (BUN), creatinine, and electrolytes in serum, urine specific gravity and pH and examination of urine sediment. Long-term evaluation of patients with severe renal insufficiency, patients undergoing acute or chronic dialysis, or patients who have a functioning renal transplant has not been performed.</w:t>
      </w:r>
      <w:r w:rsidR="00641084" w:rsidRPr="00641084">
        <w:t xml:space="preserve"> </w:t>
      </w:r>
    </w:p>
    <w:p w14:paraId="44FFA9E2" w14:textId="77777777" w:rsidR="00641084" w:rsidRDefault="00641084" w:rsidP="00980EF6">
      <w:pPr>
        <w:pStyle w:val="Bullet1"/>
        <w:jc w:val="left"/>
      </w:pPr>
      <w:r>
        <w:t xml:space="preserve">Caution should be exercised in patients with moderate renal impairment.  </w:t>
      </w:r>
    </w:p>
    <w:p w14:paraId="478992B3" w14:textId="2A922E1C" w:rsidR="0024534E" w:rsidRDefault="00641084" w:rsidP="00980EF6">
      <w:pPr>
        <w:pStyle w:val="Bullet1"/>
        <w:jc w:val="left"/>
      </w:pPr>
      <w:r>
        <w:t xml:space="preserve">Contraindicated for use in severe renal impairment.  </w:t>
      </w:r>
      <w:r w:rsidR="0024534E">
        <w:t xml:space="preserve"> </w:t>
      </w:r>
    </w:p>
    <w:p w14:paraId="66CFE622" w14:textId="77777777" w:rsidR="00641084" w:rsidRDefault="00641084" w:rsidP="00980EF6">
      <w:pPr>
        <w:pStyle w:val="NormalIndent1"/>
        <w:jc w:val="left"/>
      </w:pPr>
    </w:p>
    <w:p w14:paraId="5D212F25" w14:textId="77777777" w:rsidR="00641084" w:rsidRDefault="00641084" w:rsidP="00980EF6">
      <w:pPr>
        <w:pStyle w:val="Heading4"/>
        <w:jc w:val="left"/>
      </w:pPr>
      <w:r>
        <w:t xml:space="preserve">Younger adult population  </w:t>
      </w:r>
    </w:p>
    <w:p w14:paraId="3B2F6417" w14:textId="77777777" w:rsidR="00302907" w:rsidRDefault="00302907" w:rsidP="00980EF6">
      <w:pPr>
        <w:pStyle w:val="NormalIndent1"/>
        <w:jc w:val="left"/>
      </w:pPr>
    </w:p>
    <w:p w14:paraId="5D1A77AE" w14:textId="656051CF" w:rsidR="00641084" w:rsidRDefault="00641084" w:rsidP="00980EF6">
      <w:pPr>
        <w:pStyle w:val="NormalIndent1"/>
        <w:jc w:val="left"/>
      </w:pPr>
      <w:r>
        <w:t xml:space="preserve">Experience in the younger adult population, including premenopausal women, is limited </w:t>
      </w:r>
    </w:p>
    <w:p w14:paraId="5B6E34DD" w14:textId="3946947B" w:rsidR="00641084" w:rsidRDefault="00641084" w:rsidP="00980EF6">
      <w:pPr>
        <w:pStyle w:val="NormalIndent1"/>
        <w:jc w:val="left"/>
      </w:pPr>
      <w:r>
        <w:t xml:space="preserve">(see </w:t>
      </w:r>
      <w:r w:rsidRPr="00641084">
        <w:rPr>
          <w:b/>
          <w:bCs/>
        </w:rPr>
        <w:t>Section 5.1 Pharmacodynamic Properties</w:t>
      </w:r>
      <w:r>
        <w:t xml:space="preserve">). Treatment should only be initiated if the benefit clearly outweighs risks in this population.  </w:t>
      </w:r>
    </w:p>
    <w:p w14:paraId="2DEED648" w14:textId="77777777" w:rsidR="00641084" w:rsidRDefault="00641084" w:rsidP="00980EF6">
      <w:pPr>
        <w:pStyle w:val="NormalIndent1"/>
        <w:jc w:val="left"/>
      </w:pPr>
      <w:r>
        <w:t xml:space="preserve"> </w:t>
      </w:r>
    </w:p>
    <w:p w14:paraId="3E9F5362" w14:textId="77777777" w:rsidR="00641084" w:rsidRDefault="00641084" w:rsidP="00980EF6">
      <w:pPr>
        <w:pStyle w:val="Heading4"/>
        <w:jc w:val="left"/>
      </w:pPr>
      <w:r>
        <w:t xml:space="preserve">Contraception and women of childbearing potential  </w:t>
      </w:r>
    </w:p>
    <w:p w14:paraId="5266C602" w14:textId="77777777" w:rsidR="00302907" w:rsidRDefault="00302907" w:rsidP="00980EF6">
      <w:pPr>
        <w:pStyle w:val="NormalIndent1"/>
        <w:jc w:val="left"/>
      </w:pPr>
    </w:p>
    <w:p w14:paraId="03CDB24D" w14:textId="4C5E22B8" w:rsidR="0024534E" w:rsidRDefault="00641084" w:rsidP="00980EF6">
      <w:pPr>
        <w:pStyle w:val="NormalIndent1"/>
        <w:jc w:val="left"/>
      </w:pPr>
      <w:r>
        <w:t xml:space="preserve">Women of childbearing potential should use effective methods of contraception during treatment with teriparatide. If pregnancy occurs, teriparatide should be discontinued (see </w:t>
      </w:r>
      <w:r w:rsidRPr="00641084">
        <w:rPr>
          <w:b/>
          <w:bCs/>
        </w:rPr>
        <w:t>Section 4.6 Fertility, Pregnancy and Lactation</w:t>
      </w:r>
      <w:r>
        <w:t xml:space="preserve">).  </w:t>
      </w:r>
      <w:r w:rsidR="0024534E">
        <w:t xml:space="preserve"> </w:t>
      </w:r>
    </w:p>
    <w:p w14:paraId="52D55CE9" w14:textId="77777777" w:rsidR="00641084" w:rsidRDefault="00641084" w:rsidP="00980EF6">
      <w:pPr>
        <w:pStyle w:val="NormalIndent1"/>
        <w:jc w:val="left"/>
      </w:pPr>
    </w:p>
    <w:p w14:paraId="0A02D3F9" w14:textId="71556C19" w:rsidR="00D578BA" w:rsidRDefault="0024534E" w:rsidP="00980EF6">
      <w:pPr>
        <w:pStyle w:val="Heading4"/>
        <w:jc w:val="left"/>
      </w:pPr>
      <w:r w:rsidRPr="00BF032A">
        <w:t>Serum Uric Acid</w:t>
      </w:r>
    </w:p>
    <w:p w14:paraId="62D23EF3" w14:textId="77777777" w:rsidR="00D578BA" w:rsidRDefault="00D578BA" w:rsidP="00980EF6">
      <w:pPr>
        <w:pStyle w:val="NormalIndent1"/>
        <w:jc w:val="left"/>
        <w:rPr>
          <w:color w:val="000000" w:themeColor="text1"/>
        </w:rPr>
      </w:pPr>
    </w:p>
    <w:p w14:paraId="053DDC37" w14:textId="5F5C3429" w:rsidR="0024534E" w:rsidRDefault="00D31FB8" w:rsidP="00980EF6">
      <w:pPr>
        <w:pStyle w:val="NormalIndent1"/>
        <w:jc w:val="left"/>
      </w:pPr>
      <w:r>
        <w:rPr>
          <w:color w:val="000000" w:themeColor="text1"/>
        </w:rPr>
        <w:t>T</w:t>
      </w:r>
      <w:r w:rsidRPr="00BF032A">
        <w:rPr>
          <w:color w:val="000000" w:themeColor="text1"/>
        </w:rPr>
        <w:t>eriparatide</w:t>
      </w:r>
      <w:r w:rsidR="0024534E">
        <w:t xml:space="preserve"> may cause small increases in serum uric acid concentrations. In clinical trials, 2.8% of </w:t>
      </w:r>
      <w:r>
        <w:rPr>
          <w:color w:val="000000" w:themeColor="text1"/>
        </w:rPr>
        <w:t>t</w:t>
      </w:r>
      <w:r w:rsidRPr="00BF032A">
        <w:rPr>
          <w:color w:val="000000" w:themeColor="text1"/>
        </w:rPr>
        <w:t>eriparatide</w:t>
      </w:r>
      <w:r w:rsidR="0024534E">
        <w:t xml:space="preserve"> patients had an elevated serum uric acid concentration compared to 0.7% of placebo patients. However, the hyperuricaemia did not result in an increase in gout, urolithiasis or arthralgia. </w:t>
      </w:r>
    </w:p>
    <w:p w14:paraId="3135CBD9" w14:textId="77777777" w:rsidR="0024534E" w:rsidRDefault="0024534E" w:rsidP="00980EF6">
      <w:pPr>
        <w:pStyle w:val="NormalIndent1"/>
        <w:jc w:val="left"/>
      </w:pPr>
      <w:r>
        <w:t xml:space="preserve"> </w:t>
      </w:r>
    </w:p>
    <w:p w14:paraId="3A677A93" w14:textId="02FBDBE9" w:rsidR="00D578BA" w:rsidRDefault="0024534E" w:rsidP="00980EF6">
      <w:pPr>
        <w:pStyle w:val="Heading4"/>
        <w:jc w:val="left"/>
      </w:pPr>
      <w:r w:rsidRPr="00BF032A">
        <w:t xml:space="preserve">Anti-PTH </w:t>
      </w:r>
      <w:r w:rsidR="00D578BA" w:rsidRPr="00BF032A">
        <w:t>Antibody Formation</w:t>
      </w:r>
    </w:p>
    <w:p w14:paraId="6936B1AD" w14:textId="77777777" w:rsidR="00D578BA" w:rsidRDefault="00D578BA" w:rsidP="00980EF6">
      <w:pPr>
        <w:pStyle w:val="NormalIndent1"/>
        <w:jc w:val="left"/>
      </w:pPr>
    </w:p>
    <w:p w14:paraId="77DA2190" w14:textId="2ED62ADA" w:rsidR="0024534E" w:rsidRDefault="0024534E" w:rsidP="00980EF6">
      <w:pPr>
        <w:pStyle w:val="NormalIndent1"/>
        <w:jc w:val="left"/>
      </w:pPr>
      <w:r>
        <w:t xml:space="preserve">Anti-PTH antibodies, while apparently clinically irrelevant and only occurring in a small number of treated individuals, have the potential to interfere with serum PTH estimations. </w:t>
      </w:r>
    </w:p>
    <w:p w14:paraId="06469A6F" w14:textId="77777777" w:rsidR="0024534E" w:rsidRDefault="0024534E" w:rsidP="00980EF6">
      <w:pPr>
        <w:pStyle w:val="NormalIndent1"/>
        <w:jc w:val="left"/>
      </w:pPr>
      <w:r>
        <w:t xml:space="preserve"> </w:t>
      </w:r>
    </w:p>
    <w:p w14:paraId="70049EDE" w14:textId="38686525" w:rsidR="00D578BA" w:rsidRDefault="0024534E" w:rsidP="00980EF6">
      <w:pPr>
        <w:pStyle w:val="Heading4"/>
        <w:jc w:val="left"/>
      </w:pPr>
      <w:r w:rsidRPr="00BF032A">
        <w:t xml:space="preserve">PTH </w:t>
      </w:r>
      <w:r w:rsidR="00D578BA" w:rsidRPr="00BF032A">
        <w:t>Receptors</w:t>
      </w:r>
    </w:p>
    <w:p w14:paraId="17A94B6D" w14:textId="77777777" w:rsidR="00D578BA" w:rsidRDefault="00D578BA" w:rsidP="00980EF6">
      <w:pPr>
        <w:pStyle w:val="NormalIndent1"/>
        <w:jc w:val="left"/>
      </w:pPr>
    </w:p>
    <w:p w14:paraId="5D9F5762" w14:textId="4797A1ED" w:rsidR="0024534E" w:rsidRDefault="0024534E" w:rsidP="00980EF6">
      <w:pPr>
        <w:pStyle w:val="NormalIndent1"/>
        <w:jc w:val="left"/>
      </w:pPr>
      <w:r>
        <w:t>As is generally known, PTH/PTH-related peptide receptors are on multiple tissues. There was no increase in non-osseous tumours in the two 24-month (lifetime) rat studies and in the two 18-month primate studies. There was no increase in incidence of any specific cancer or cancer overall in 2</w:t>
      </w:r>
      <w:r w:rsidR="00D578BA">
        <w:t>,</w:t>
      </w:r>
      <w:r>
        <w:t>074 patients in long-term clinical studies or in follow</w:t>
      </w:r>
      <w:r w:rsidR="00D578BA">
        <w:t>-</w:t>
      </w:r>
      <w:r>
        <w:t xml:space="preserve">up studies conducted in a number of these patients for a median of 18 months after teriparatide treatment. Osteosarcoma is a very rare cancer that occurs </w:t>
      </w:r>
      <w:r>
        <w:lastRenderedPageBreak/>
        <w:t xml:space="preserve">in 4 out of every million people each year. None of the patients in the clinical trials or post-treatment follow-up developed osteosarcomas. </w:t>
      </w:r>
    </w:p>
    <w:p w14:paraId="44E83A3F" w14:textId="77777777" w:rsidR="0024534E" w:rsidRDefault="0024534E" w:rsidP="00980EF6">
      <w:pPr>
        <w:pStyle w:val="NormalIndent1"/>
        <w:jc w:val="left"/>
      </w:pPr>
      <w:r>
        <w:t xml:space="preserve"> </w:t>
      </w:r>
    </w:p>
    <w:p w14:paraId="7CEE2739" w14:textId="1F2BD04D" w:rsidR="00D578BA" w:rsidRDefault="0024534E" w:rsidP="00980EF6">
      <w:pPr>
        <w:pStyle w:val="Heading4"/>
        <w:jc w:val="left"/>
      </w:pPr>
      <w:r w:rsidRPr="00BF032A">
        <w:t>Other</w:t>
      </w:r>
    </w:p>
    <w:p w14:paraId="253B54EE" w14:textId="77777777" w:rsidR="00D578BA" w:rsidRDefault="00D578BA" w:rsidP="00980EF6">
      <w:pPr>
        <w:pStyle w:val="NormalIndent1"/>
        <w:jc w:val="left"/>
      </w:pPr>
    </w:p>
    <w:p w14:paraId="315BFDD7" w14:textId="562A6063" w:rsidR="005D690B" w:rsidRPr="00F70019" w:rsidRDefault="0024534E" w:rsidP="00980EF6">
      <w:pPr>
        <w:pStyle w:val="NormalIndent1"/>
        <w:jc w:val="left"/>
      </w:pPr>
      <w:r>
        <w:t>New or worsened spinal stenosis was observed in 2 (0.3%) patients who received placebo, 3 (0.4%) patients who received teriparatide 20</w:t>
      </w:r>
      <w:r w:rsidR="00D578BA">
        <w:t> micrograms</w:t>
      </w:r>
      <w:r>
        <w:t>, and 3 (0.4%) patients who received teriparatide 40</w:t>
      </w:r>
      <w:r w:rsidR="00E13F59">
        <w:t> </w:t>
      </w:r>
      <w:r w:rsidR="00D578BA">
        <w:t>micrograms</w:t>
      </w:r>
      <w:r>
        <w:t>. One patient who received teriparatide 20</w:t>
      </w:r>
      <w:r w:rsidR="00D578BA">
        <w:t> micrograms</w:t>
      </w:r>
      <w:r>
        <w:t xml:space="preserve"> had worsening conductive hearing loss. One patient who received teriparatide 40</w:t>
      </w:r>
      <w:r w:rsidR="00D578BA">
        <w:t> micrograms</w:t>
      </w:r>
      <w:r>
        <w:t xml:space="preserve"> required removal of a bone spur and another patient receiving teriparatide 40</w:t>
      </w:r>
      <w:r w:rsidR="00E13F59">
        <w:t> </w:t>
      </w:r>
      <w:r w:rsidR="00D578BA">
        <w:t>micrograms</w:t>
      </w:r>
      <w:r>
        <w:t xml:space="preserve"> required surgical removal of a hyperostosis. </w:t>
      </w:r>
    </w:p>
    <w:p w14:paraId="4815AA96" w14:textId="77777777" w:rsidR="00F70019" w:rsidRPr="00F70019" w:rsidRDefault="00F70019" w:rsidP="00980EF6">
      <w:pPr>
        <w:pStyle w:val="NormalIndent1"/>
        <w:jc w:val="left"/>
      </w:pPr>
    </w:p>
    <w:p w14:paraId="023E2386" w14:textId="77777777" w:rsidR="001A3992" w:rsidRPr="00541FDD" w:rsidRDefault="004A3628" w:rsidP="00980EF6">
      <w:pPr>
        <w:pStyle w:val="Heading2"/>
        <w:jc w:val="left"/>
        <w:rPr>
          <w:smallCaps/>
        </w:rPr>
      </w:pPr>
      <w:r>
        <w:t>4.5</w:t>
      </w:r>
      <w:r>
        <w:tab/>
      </w:r>
      <w:r w:rsidR="001A3992" w:rsidRPr="00541FDD">
        <w:t xml:space="preserve">Interactions with </w:t>
      </w:r>
      <w:r w:rsidR="00F70019" w:rsidRPr="00541FDD">
        <w:t xml:space="preserve">Other Medicines </w:t>
      </w:r>
      <w:r w:rsidR="001A3992" w:rsidRPr="00541FDD">
        <w:t xml:space="preserve">and </w:t>
      </w:r>
      <w:r w:rsidR="00F70019" w:rsidRPr="00541FDD">
        <w:t xml:space="preserve">Other Forms </w:t>
      </w:r>
      <w:r w:rsidR="001A3992" w:rsidRPr="00541FDD">
        <w:t xml:space="preserve">of </w:t>
      </w:r>
      <w:r w:rsidR="00F70019" w:rsidRPr="00541FDD">
        <w:t>Interactions</w:t>
      </w:r>
    </w:p>
    <w:p w14:paraId="24E575CB" w14:textId="77777777" w:rsidR="00F70019" w:rsidRPr="00F70019" w:rsidRDefault="00F70019" w:rsidP="00980EF6">
      <w:pPr>
        <w:pStyle w:val="NormalIndent1"/>
        <w:jc w:val="left"/>
      </w:pPr>
    </w:p>
    <w:p w14:paraId="360CDDBC" w14:textId="41AE253D" w:rsidR="005902E6" w:rsidRDefault="005902E6" w:rsidP="00980EF6">
      <w:pPr>
        <w:pStyle w:val="NormalIndent1"/>
        <w:jc w:val="left"/>
      </w:pPr>
      <w:r>
        <w:t>No clinically relevant drug interactions have been identified in studies administering teriparatide 40</w:t>
      </w:r>
      <w:r w:rsidR="00E13F59">
        <w:t> </w:t>
      </w:r>
      <w:r w:rsidR="00D578BA">
        <w:t>micrograms</w:t>
      </w:r>
      <w:r>
        <w:t xml:space="preserve"> (twice the recommended dose of </w:t>
      </w:r>
      <w:r w:rsidR="00D31FB8">
        <w:rPr>
          <w:color w:val="000000" w:themeColor="text1"/>
        </w:rPr>
        <w:t>t</w:t>
      </w:r>
      <w:r w:rsidR="00D31FB8" w:rsidRPr="00BF032A">
        <w:rPr>
          <w:color w:val="000000" w:themeColor="text1"/>
        </w:rPr>
        <w:t>eriparatide</w:t>
      </w:r>
      <w:r>
        <w:t xml:space="preserve">). </w:t>
      </w:r>
    </w:p>
    <w:p w14:paraId="26A34865" w14:textId="77777777" w:rsidR="005902E6" w:rsidRDefault="005902E6" w:rsidP="00980EF6">
      <w:pPr>
        <w:pStyle w:val="NormalIndent1"/>
        <w:jc w:val="left"/>
      </w:pPr>
      <w:r>
        <w:t xml:space="preserve"> </w:t>
      </w:r>
    </w:p>
    <w:p w14:paraId="6F8F441C" w14:textId="50D768C8" w:rsidR="00D578BA" w:rsidRDefault="005902E6" w:rsidP="00980EF6">
      <w:pPr>
        <w:pStyle w:val="Heading3"/>
        <w:jc w:val="left"/>
      </w:pPr>
      <w:r w:rsidRPr="00BF032A">
        <w:t>Hydrochlorothiazide</w:t>
      </w:r>
    </w:p>
    <w:p w14:paraId="1221348B" w14:textId="77777777" w:rsidR="00D578BA" w:rsidRDefault="00D578BA" w:rsidP="00980EF6">
      <w:pPr>
        <w:pStyle w:val="NormalIndent1"/>
        <w:jc w:val="left"/>
      </w:pPr>
    </w:p>
    <w:p w14:paraId="611D0F06" w14:textId="245C65EC" w:rsidR="005902E6" w:rsidRDefault="005902E6" w:rsidP="00980EF6">
      <w:pPr>
        <w:pStyle w:val="NormalIndent1"/>
        <w:jc w:val="left"/>
      </w:pPr>
      <w:r>
        <w:t>In a study of healthy subjects, the co-administration of 25</w:t>
      </w:r>
      <w:r w:rsidR="00D578BA">
        <w:t> </w:t>
      </w:r>
      <w:r>
        <w:t>mg hydrochlorothiazide with teriparatide did not affect the serum calcium response to teriparatide 40</w:t>
      </w:r>
      <w:r w:rsidR="00D578BA">
        <w:t> micrograms</w:t>
      </w:r>
      <w:r>
        <w:t xml:space="preserve">. The </w:t>
      </w:r>
      <w:r w:rsidR="00E13F59">
        <w:t>24-hour</w:t>
      </w:r>
      <w:r>
        <w:t xml:space="preserve"> urine excretion of calcium was reduced by a clinically insignificant amount (15%). </w:t>
      </w:r>
    </w:p>
    <w:p w14:paraId="32D64C32" w14:textId="77777777" w:rsidR="005902E6" w:rsidRDefault="005902E6" w:rsidP="00980EF6">
      <w:pPr>
        <w:pStyle w:val="NormalIndent1"/>
        <w:jc w:val="left"/>
      </w:pPr>
      <w:r>
        <w:t xml:space="preserve"> </w:t>
      </w:r>
    </w:p>
    <w:p w14:paraId="7F863718" w14:textId="07BED9E4" w:rsidR="00D578BA" w:rsidRDefault="005902E6" w:rsidP="00980EF6">
      <w:pPr>
        <w:pStyle w:val="Heading3"/>
        <w:jc w:val="left"/>
      </w:pPr>
      <w:r w:rsidRPr="00BF032A">
        <w:t>Frusemide</w:t>
      </w:r>
    </w:p>
    <w:p w14:paraId="2733B184" w14:textId="77777777" w:rsidR="00D578BA" w:rsidRDefault="00D578BA" w:rsidP="00980EF6">
      <w:pPr>
        <w:pStyle w:val="NormalIndent1"/>
        <w:jc w:val="left"/>
      </w:pPr>
    </w:p>
    <w:p w14:paraId="6235ED08" w14:textId="315636BB" w:rsidR="005902E6" w:rsidRDefault="005902E6" w:rsidP="00980EF6">
      <w:pPr>
        <w:pStyle w:val="NormalIndent1"/>
        <w:jc w:val="left"/>
      </w:pPr>
      <w:r>
        <w:t>In a study of healthy subjects and patients with mild, moderate and severe renal insufficiency (creatinine clearance 13 to 72</w:t>
      </w:r>
      <w:r w:rsidR="00D578BA">
        <w:t> </w:t>
      </w:r>
      <w:r>
        <w:t>mL/min), co-administration of intravenous frusemide (20 to 100</w:t>
      </w:r>
      <w:r w:rsidR="00D578BA">
        <w:t> </w:t>
      </w:r>
      <w:r>
        <w:t>mg) with teriparatide 40</w:t>
      </w:r>
      <w:r w:rsidR="00D578BA">
        <w:t> micrograms</w:t>
      </w:r>
      <w:r>
        <w:t xml:space="preserve"> resulted in small, clinically insignificant increases in serum calcium (2%) and in 24-hour urine calcium (37%). </w:t>
      </w:r>
    </w:p>
    <w:p w14:paraId="49D34810" w14:textId="77777777" w:rsidR="005902E6" w:rsidRDefault="005902E6" w:rsidP="00980EF6">
      <w:pPr>
        <w:pStyle w:val="NormalIndent1"/>
        <w:jc w:val="left"/>
      </w:pPr>
      <w:r>
        <w:t xml:space="preserve"> </w:t>
      </w:r>
    </w:p>
    <w:p w14:paraId="495D8AE6" w14:textId="537E6F63" w:rsidR="00D578BA" w:rsidRDefault="005902E6" w:rsidP="00980EF6">
      <w:pPr>
        <w:pStyle w:val="Heading3"/>
        <w:jc w:val="left"/>
      </w:pPr>
      <w:r w:rsidRPr="00BF032A">
        <w:t xml:space="preserve">Calcium </w:t>
      </w:r>
      <w:r w:rsidR="00D578BA" w:rsidRPr="00BF032A">
        <w:t>Channel Antagonists</w:t>
      </w:r>
    </w:p>
    <w:p w14:paraId="21101695" w14:textId="77777777" w:rsidR="00D578BA" w:rsidRDefault="00D578BA" w:rsidP="00980EF6">
      <w:pPr>
        <w:pStyle w:val="NormalIndent1"/>
        <w:jc w:val="left"/>
      </w:pPr>
    </w:p>
    <w:p w14:paraId="498066D4" w14:textId="3483FF6F" w:rsidR="005902E6" w:rsidRDefault="005902E6" w:rsidP="00980EF6">
      <w:pPr>
        <w:pStyle w:val="NormalIndent1"/>
        <w:jc w:val="left"/>
      </w:pPr>
      <w:r>
        <w:t>In a study of women with hypertension treated with an extended release preparation of either diltiazem, nifedipine or felodipine, the blood pressure observed after injection of teriparatide 40</w:t>
      </w:r>
      <w:r w:rsidR="00D578BA">
        <w:t> micrograms</w:t>
      </w:r>
      <w:r>
        <w:t xml:space="preserve"> was similar when administered alone or in combination with the long-acting calcium channel antagonists. </w:t>
      </w:r>
    </w:p>
    <w:p w14:paraId="5DF5A4C3" w14:textId="77777777" w:rsidR="005902E6" w:rsidRDefault="005902E6" w:rsidP="00980EF6">
      <w:pPr>
        <w:pStyle w:val="NormalIndent1"/>
        <w:jc w:val="left"/>
      </w:pPr>
      <w:r>
        <w:t xml:space="preserve"> </w:t>
      </w:r>
    </w:p>
    <w:p w14:paraId="69DAFC13" w14:textId="46EB1054" w:rsidR="00D578BA" w:rsidRDefault="005902E6" w:rsidP="00980EF6">
      <w:pPr>
        <w:pStyle w:val="Heading3"/>
        <w:jc w:val="left"/>
      </w:pPr>
      <w:r w:rsidRPr="00BF032A">
        <w:t>Atenolol</w:t>
      </w:r>
    </w:p>
    <w:p w14:paraId="12A0AC84" w14:textId="77777777" w:rsidR="00D578BA" w:rsidRDefault="00D578BA" w:rsidP="00980EF6">
      <w:pPr>
        <w:pStyle w:val="NormalIndent1"/>
        <w:jc w:val="left"/>
      </w:pPr>
    </w:p>
    <w:p w14:paraId="33BEAD33" w14:textId="42DE3989" w:rsidR="005902E6" w:rsidRDefault="005902E6" w:rsidP="00980EF6">
      <w:pPr>
        <w:pStyle w:val="NormalIndent1"/>
        <w:jc w:val="left"/>
      </w:pPr>
      <w:r>
        <w:t>In a study of women with hypertension treated with atenolol, the blood pressure observed after injection of teriparatide 40</w:t>
      </w:r>
      <w:r w:rsidR="00D578BA">
        <w:t> micrograms</w:t>
      </w:r>
      <w:r>
        <w:t xml:space="preserve"> was similar when administered alone or in combination with atenolol. </w:t>
      </w:r>
    </w:p>
    <w:p w14:paraId="350747A2" w14:textId="77777777" w:rsidR="005902E6" w:rsidRDefault="005902E6" w:rsidP="00980EF6">
      <w:pPr>
        <w:pStyle w:val="NormalIndent1"/>
        <w:jc w:val="left"/>
      </w:pPr>
      <w:r>
        <w:t xml:space="preserve"> </w:t>
      </w:r>
    </w:p>
    <w:p w14:paraId="5A0D171E" w14:textId="6252207F" w:rsidR="00D578BA" w:rsidRDefault="005902E6" w:rsidP="00980EF6">
      <w:pPr>
        <w:pStyle w:val="Heading3"/>
        <w:jc w:val="left"/>
      </w:pPr>
      <w:r w:rsidRPr="00BF032A">
        <w:t>Digoxin</w:t>
      </w:r>
    </w:p>
    <w:p w14:paraId="0AE4EA0B" w14:textId="77777777" w:rsidR="00D578BA" w:rsidRDefault="00D578BA" w:rsidP="00980EF6">
      <w:pPr>
        <w:pStyle w:val="NormalIndent1"/>
        <w:jc w:val="left"/>
      </w:pPr>
    </w:p>
    <w:p w14:paraId="7353DDFA" w14:textId="7AB7F313" w:rsidR="005902E6" w:rsidRDefault="005902E6" w:rsidP="00980EF6">
      <w:pPr>
        <w:pStyle w:val="NormalIndent1"/>
        <w:jc w:val="left"/>
      </w:pPr>
      <w:r>
        <w:t xml:space="preserve">In a study of 15 healthy people administered digoxin daily to steady state, a single </w:t>
      </w:r>
      <w:r w:rsidR="00D31FB8">
        <w:rPr>
          <w:color w:val="000000" w:themeColor="text1"/>
        </w:rPr>
        <w:t>t</w:t>
      </w:r>
      <w:r w:rsidR="00D31FB8" w:rsidRPr="00BF032A">
        <w:rPr>
          <w:color w:val="000000" w:themeColor="text1"/>
        </w:rPr>
        <w:t>eriparatide</w:t>
      </w:r>
      <w:r>
        <w:t xml:space="preserve"> dose did not alter the effect of digoxin on the systolic time interval (from electrocardiographic Q-wave onset to aortic valve closure, a measure of digoxin’s calcium</w:t>
      </w:r>
      <w:r w:rsidR="00D578BA">
        <w:t>-</w:t>
      </w:r>
      <w:r>
        <w:t xml:space="preserve">mediated cardiac effect). However, sporadic case reports have suggested that hypercalcaemia may predispose patients to digitalis toxicity. Because </w:t>
      </w:r>
      <w:r w:rsidR="00D31FB8">
        <w:rPr>
          <w:color w:val="000000" w:themeColor="text1"/>
        </w:rPr>
        <w:t>t</w:t>
      </w:r>
      <w:r w:rsidR="00D31FB8" w:rsidRPr="00BF032A">
        <w:rPr>
          <w:color w:val="000000" w:themeColor="text1"/>
        </w:rPr>
        <w:t>eriparatide</w:t>
      </w:r>
      <w:r>
        <w:t xml:space="preserve"> transiently increases serum calcium, </w:t>
      </w:r>
      <w:r w:rsidR="00820A2A">
        <w:rPr>
          <w:color w:val="000000" w:themeColor="text1"/>
        </w:rPr>
        <w:t>t</w:t>
      </w:r>
      <w:r w:rsidR="00820A2A" w:rsidRPr="00BF032A">
        <w:rPr>
          <w:color w:val="000000" w:themeColor="text1"/>
        </w:rPr>
        <w:t>eriparatide</w:t>
      </w:r>
      <w:r>
        <w:t xml:space="preserve"> should be used with caution in patients taking digoxin. </w:t>
      </w:r>
    </w:p>
    <w:p w14:paraId="7377AEA3" w14:textId="77777777" w:rsidR="005902E6" w:rsidRDefault="005902E6" w:rsidP="00980EF6">
      <w:pPr>
        <w:pStyle w:val="NormalIndent1"/>
        <w:jc w:val="left"/>
      </w:pPr>
      <w:r>
        <w:lastRenderedPageBreak/>
        <w:t xml:space="preserve"> </w:t>
      </w:r>
    </w:p>
    <w:p w14:paraId="403ADD89" w14:textId="7DF511DD" w:rsidR="00D578BA" w:rsidRDefault="005902E6" w:rsidP="00980EF6">
      <w:pPr>
        <w:pStyle w:val="Heading3"/>
        <w:jc w:val="left"/>
      </w:pPr>
      <w:r w:rsidRPr="00BF032A">
        <w:t>Raloxifene</w:t>
      </w:r>
    </w:p>
    <w:p w14:paraId="32108894" w14:textId="77777777" w:rsidR="00D578BA" w:rsidRDefault="00D578BA" w:rsidP="00980EF6">
      <w:pPr>
        <w:pStyle w:val="NormalIndent1"/>
        <w:jc w:val="left"/>
      </w:pPr>
    </w:p>
    <w:p w14:paraId="517395EE" w14:textId="3DBB5621" w:rsidR="005902E6" w:rsidRDefault="005902E6" w:rsidP="00980EF6">
      <w:pPr>
        <w:pStyle w:val="NormalIndent1"/>
        <w:jc w:val="left"/>
      </w:pPr>
      <w:r>
        <w:t>In a study of healthy postmenopausal women, the co-administration of raloxifene with teriparatide 40</w:t>
      </w:r>
      <w:r w:rsidR="00D578BA">
        <w:t> micrograms</w:t>
      </w:r>
      <w:r>
        <w:t xml:space="preserve"> did not alter the effects of teriparatide on serum or urine calcium or on clinical adverse events. </w:t>
      </w:r>
    </w:p>
    <w:p w14:paraId="5A4BA8E5" w14:textId="77777777" w:rsidR="005902E6" w:rsidRDefault="005902E6" w:rsidP="00980EF6">
      <w:pPr>
        <w:pStyle w:val="NormalIndent1"/>
        <w:jc w:val="left"/>
      </w:pPr>
      <w:r>
        <w:t xml:space="preserve"> </w:t>
      </w:r>
    </w:p>
    <w:p w14:paraId="20C3F31A" w14:textId="56E3F9CB" w:rsidR="00D578BA" w:rsidRDefault="005902E6" w:rsidP="00884815">
      <w:pPr>
        <w:pStyle w:val="Heading3"/>
        <w:jc w:val="left"/>
      </w:pPr>
      <w:r w:rsidRPr="00BF032A">
        <w:t>Anti-</w:t>
      </w:r>
      <w:r w:rsidR="00D578BA" w:rsidRPr="00BF032A">
        <w:t>coagulants</w:t>
      </w:r>
    </w:p>
    <w:p w14:paraId="19A33FEA" w14:textId="77777777" w:rsidR="00D578BA" w:rsidRDefault="00D578BA" w:rsidP="00980EF6">
      <w:pPr>
        <w:pStyle w:val="NormalIndent1"/>
        <w:jc w:val="left"/>
      </w:pPr>
    </w:p>
    <w:p w14:paraId="0B5C4DF4" w14:textId="02F2B75E" w:rsidR="00F70019" w:rsidRDefault="005902E6" w:rsidP="00980EF6">
      <w:pPr>
        <w:pStyle w:val="NormalIndent1"/>
        <w:jc w:val="left"/>
      </w:pPr>
      <w:r>
        <w:t xml:space="preserve">While this has not been studied, co-administration of anti-coagulants would not be expected to alter the effects of teriparatide. Patients co-administering anticoagulants and teriparatide need to be advised to take appropriate precautions against the formation of haematomas at the injection sites. </w:t>
      </w:r>
    </w:p>
    <w:p w14:paraId="572B82FC" w14:textId="77777777" w:rsidR="00BF032A" w:rsidRPr="00F70019" w:rsidRDefault="00BF032A" w:rsidP="00980EF6">
      <w:pPr>
        <w:pStyle w:val="NormalIndent1"/>
        <w:jc w:val="left"/>
      </w:pPr>
    </w:p>
    <w:p w14:paraId="6F274654" w14:textId="77777777" w:rsidR="001A3992" w:rsidRPr="00541FDD" w:rsidRDefault="004A3628" w:rsidP="00980EF6">
      <w:pPr>
        <w:pStyle w:val="Heading2"/>
        <w:jc w:val="left"/>
        <w:rPr>
          <w:smallCaps/>
        </w:rPr>
      </w:pPr>
      <w:r>
        <w:t>4.6</w:t>
      </w:r>
      <w:r>
        <w:tab/>
      </w:r>
      <w:r w:rsidR="001A3992" w:rsidRPr="00541FDD">
        <w:t xml:space="preserve">Fertility, </w:t>
      </w:r>
      <w:r w:rsidR="00F70019" w:rsidRPr="00541FDD">
        <w:t xml:space="preserve">Pregnancy </w:t>
      </w:r>
      <w:r w:rsidR="001A3992" w:rsidRPr="00541FDD">
        <w:t xml:space="preserve">and </w:t>
      </w:r>
      <w:r w:rsidR="00F70019" w:rsidRPr="00541FDD">
        <w:t>Lactation</w:t>
      </w:r>
    </w:p>
    <w:p w14:paraId="50C209AA" w14:textId="77777777" w:rsidR="005D690B" w:rsidRPr="00F70019" w:rsidRDefault="005D690B" w:rsidP="00980EF6">
      <w:pPr>
        <w:jc w:val="left"/>
      </w:pPr>
    </w:p>
    <w:p w14:paraId="3EF9900E" w14:textId="77777777" w:rsidR="001A3992" w:rsidRPr="00541FDD" w:rsidRDefault="001A3992" w:rsidP="00980EF6">
      <w:pPr>
        <w:pStyle w:val="Heading3"/>
        <w:jc w:val="left"/>
      </w:pPr>
      <w:r w:rsidRPr="00541FDD">
        <w:t xml:space="preserve">Effects on </w:t>
      </w:r>
      <w:r w:rsidR="005D690B" w:rsidRPr="00541FDD">
        <w:t>Fertility</w:t>
      </w:r>
    </w:p>
    <w:p w14:paraId="07184600" w14:textId="77777777" w:rsidR="005D690B" w:rsidRPr="00F70019" w:rsidRDefault="005D690B" w:rsidP="00980EF6">
      <w:pPr>
        <w:pStyle w:val="NormalIndent1"/>
        <w:jc w:val="left"/>
      </w:pPr>
    </w:p>
    <w:p w14:paraId="3A7F8A8B" w14:textId="310634BF" w:rsidR="005D690B" w:rsidRPr="00F70019" w:rsidRDefault="005902E6" w:rsidP="00980EF6">
      <w:pPr>
        <w:pStyle w:val="NormalIndent1"/>
        <w:jc w:val="left"/>
      </w:pPr>
      <w:r>
        <w:t>Teriparatide had no adverse effects on fertility of male or female rats at doses up to 300</w:t>
      </w:r>
      <w:r w:rsidR="00D578BA">
        <w:t> micrograms</w:t>
      </w:r>
      <w:r>
        <w:t xml:space="preserve">/kg/day SC (about 120 times the human dose based on body surface area). In juvenile rats, treatment with teriparatide was associated with degeneration of the testes at doses </w:t>
      </w:r>
      <w:r w:rsidR="00F0302D">
        <w:rPr>
          <w:rFonts w:cstheme="minorHAnsi"/>
        </w:rPr>
        <w:t>≥</w:t>
      </w:r>
      <w:r>
        <w:t>10</w:t>
      </w:r>
      <w:r w:rsidR="00D578BA">
        <w:t> micrograms</w:t>
      </w:r>
      <w:r>
        <w:t xml:space="preserve">/kg/day SC (about 4 times the human dose based on body surface area). Teriparatide should not be used in paediatric patients or young adults (see </w:t>
      </w:r>
      <w:r w:rsidRPr="006E11AA">
        <w:rPr>
          <w:b/>
          <w:bCs/>
        </w:rPr>
        <w:t xml:space="preserve">Section also 4.4 </w:t>
      </w:r>
      <w:r w:rsidR="00E13F59" w:rsidRPr="006E11AA">
        <w:rPr>
          <w:b/>
          <w:bCs/>
        </w:rPr>
        <w:t xml:space="preserve">Special Warnings and Precautions </w:t>
      </w:r>
      <w:r w:rsidR="00980EF6" w:rsidRPr="006E11AA">
        <w:rPr>
          <w:b/>
          <w:bCs/>
        </w:rPr>
        <w:t>for</w:t>
      </w:r>
      <w:r w:rsidR="00E13F59" w:rsidRPr="006E11AA">
        <w:rPr>
          <w:b/>
          <w:bCs/>
        </w:rPr>
        <w:t xml:space="preserve"> Use</w:t>
      </w:r>
      <w:r>
        <w:t xml:space="preserve">). </w:t>
      </w:r>
    </w:p>
    <w:p w14:paraId="0F33400A" w14:textId="77777777" w:rsidR="00BF032A" w:rsidRPr="00F70019" w:rsidRDefault="00BF032A" w:rsidP="00980EF6">
      <w:pPr>
        <w:pStyle w:val="NormalIndent1"/>
        <w:jc w:val="left"/>
      </w:pPr>
    </w:p>
    <w:p w14:paraId="49F2CB51" w14:textId="2D857A25" w:rsidR="006B7C2D" w:rsidRDefault="001A3992" w:rsidP="00980EF6">
      <w:pPr>
        <w:pStyle w:val="Heading3"/>
        <w:jc w:val="left"/>
      </w:pPr>
      <w:r w:rsidRPr="00541FDD">
        <w:t xml:space="preserve">Use in </w:t>
      </w:r>
      <w:r w:rsidR="005D690B" w:rsidRPr="00541FDD">
        <w:t>Pregnancy</w:t>
      </w:r>
    </w:p>
    <w:p w14:paraId="6B05E7B8" w14:textId="0B137B4C" w:rsidR="001A3992" w:rsidRPr="006B7C2D" w:rsidRDefault="00497C85" w:rsidP="00980EF6">
      <w:pPr>
        <w:pStyle w:val="NormalIndent1"/>
        <w:jc w:val="left"/>
        <w:rPr>
          <w:b/>
        </w:rPr>
      </w:pPr>
      <w:r w:rsidRPr="006B7C2D">
        <w:rPr>
          <w:b/>
        </w:rPr>
        <w:t xml:space="preserve">Category </w:t>
      </w:r>
      <w:r w:rsidR="005902E6">
        <w:rPr>
          <w:b/>
        </w:rPr>
        <w:t>B3</w:t>
      </w:r>
    </w:p>
    <w:p w14:paraId="5C977FB2" w14:textId="77777777" w:rsidR="005D690B" w:rsidRPr="00F70019" w:rsidRDefault="005D690B" w:rsidP="00980EF6">
      <w:pPr>
        <w:pStyle w:val="NormalIndent1"/>
        <w:jc w:val="left"/>
      </w:pPr>
    </w:p>
    <w:p w14:paraId="675FF636" w14:textId="0B8E882A" w:rsidR="005902E6" w:rsidRDefault="005902E6" w:rsidP="00980EF6">
      <w:pPr>
        <w:pStyle w:val="NormalIndent1"/>
        <w:jc w:val="left"/>
      </w:pPr>
      <w:r>
        <w:t xml:space="preserve">In pregnant rats given subcutaneous teriparatide doses up to 1000 </w:t>
      </w:r>
      <w:r w:rsidR="00D578BA">
        <w:t>micrograms</w:t>
      </w:r>
      <w:r>
        <w:t xml:space="preserve">/kg/day, there were no findings. In pregnant mice given subcutaneous doses of </w:t>
      </w:r>
      <w:r w:rsidR="00F0302D">
        <w:rPr>
          <w:rFonts w:cstheme="minorHAnsi"/>
        </w:rPr>
        <w:t>≥</w:t>
      </w:r>
      <w:r>
        <w:t xml:space="preserve">30 </w:t>
      </w:r>
      <w:r w:rsidR="00D578BA">
        <w:t>micrograms</w:t>
      </w:r>
      <w:r>
        <w:t xml:space="preserve">/kg/day (6 times the human dose based on body surface area) from gestation Day 6 through 15, the </w:t>
      </w:r>
      <w:r w:rsidR="00C71CD4">
        <w:t xml:space="preserve">fetuses </w:t>
      </w:r>
      <w:r>
        <w:t xml:space="preserve">showed an increased incidence of skeletal deviations or variations (interrupted rib, extra vertebra or rib). </w:t>
      </w:r>
    </w:p>
    <w:p w14:paraId="67755E11" w14:textId="41922835" w:rsidR="005902E6" w:rsidRDefault="005902E6" w:rsidP="00980EF6">
      <w:pPr>
        <w:pStyle w:val="NormalIndent1"/>
        <w:jc w:val="left"/>
      </w:pPr>
    </w:p>
    <w:p w14:paraId="1CA693F6" w14:textId="56EA9E2A" w:rsidR="005902E6" w:rsidRDefault="005902E6" w:rsidP="00980EF6">
      <w:pPr>
        <w:pStyle w:val="NormalIndent1"/>
        <w:jc w:val="left"/>
      </w:pPr>
      <w:r>
        <w:t>Developmental effects in a perinatal/postnatal study in pregnant rats given subcutaneous doses of teriparatide from gestation Day 6 through postpartum Day 20 included mild growth retardation in female offspring at doses of 225</w:t>
      </w:r>
      <w:r w:rsidR="00D578BA">
        <w:t> micrograms</w:t>
      </w:r>
      <w:r>
        <w:t>/kg/day (approximately 95 times the human dose based on BSA) and in male offspring at 1000</w:t>
      </w:r>
      <w:r w:rsidR="00D578BA">
        <w:t> micrograms</w:t>
      </w:r>
      <w:r>
        <w:t>/kg/day (420 times the human dose based on BSA). There was also reduced motor activity in both male and female offspring at 1000</w:t>
      </w:r>
      <w:r w:rsidR="00D578BA">
        <w:t> micrograms</w:t>
      </w:r>
      <w:r>
        <w:t>/kg/day. There were no developmental or reproductive effects in rats at a dose of 30</w:t>
      </w:r>
      <w:r w:rsidR="00D578BA">
        <w:t> </w:t>
      </w:r>
      <w:r w:rsidR="000D48F0">
        <w:t>m</w:t>
      </w:r>
      <w:r w:rsidR="00D578BA">
        <w:t>icrograms</w:t>
      </w:r>
      <w:r>
        <w:t xml:space="preserve">/kg (12 times the human dose based on BSA).   </w:t>
      </w:r>
    </w:p>
    <w:p w14:paraId="3D86F96B" w14:textId="1F1D3DD1" w:rsidR="005902E6" w:rsidRDefault="005902E6" w:rsidP="00980EF6">
      <w:pPr>
        <w:pStyle w:val="NormalIndent1"/>
        <w:jc w:val="left"/>
      </w:pPr>
    </w:p>
    <w:p w14:paraId="0B09A105" w14:textId="760A64B5" w:rsidR="00641084" w:rsidRDefault="005902E6" w:rsidP="00980EF6">
      <w:pPr>
        <w:pStyle w:val="NormalIndent1"/>
        <w:jc w:val="left"/>
      </w:pPr>
      <w:r>
        <w:t xml:space="preserve">The effects of teriparatide on the human </w:t>
      </w:r>
      <w:r w:rsidR="00C71CD4">
        <w:t xml:space="preserve">fetus </w:t>
      </w:r>
      <w:r>
        <w:t xml:space="preserve">have not been studied. </w:t>
      </w:r>
      <w:r w:rsidR="00D31FB8">
        <w:rPr>
          <w:color w:val="000000" w:themeColor="text1"/>
        </w:rPr>
        <w:t>T</w:t>
      </w:r>
      <w:r w:rsidR="00D31FB8" w:rsidRPr="00BF032A">
        <w:rPr>
          <w:color w:val="000000" w:themeColor="text1"/>
        </w:rPr>
        <w:t>eriparatide</w:t>
      </w:r>
      <w:r>
        <w:t xml:space="preserve"> should not be used in pregnant women</w:t>
      </w:r>
      <w:r w:rsidR="00C71CD4">
        <w:t xml:space="preserve"> (see </w:t>
      </w:r>
      <w:r w:rsidR="00C71CD4" w:rsidRPr="00C71CD4">
        <w:t>Section 4.3 Contraindications</w:t>
      </w:r>
      <w:r w:rsidR="00C71CD4">
        <w:t>)</w:t>
      </w:r>
      <w:r>
        <w:t xml:space="preserve">. </w:t>
      </w:r>
    </w:p>
    <w:p w14:paraId="7CD78D24" w14:textId="77777777" w:rsidR="00641084" w:rsidRDefault="00641084" w:rsidP="00980EF6">
      <w:pPr>
        <w:pStyle w:val="NormalIndent1"/>
        <w:jc w:val="left"/>
      </w:pPr>
    </w:p>
    <w:p w14:paraId="667C2621" w14:textId="77777777" w:rsidR="00641084" w:rsidRDefault="00641084" w:rsidP="00980EF6">
      <w:pPr>
        <w:pStyle w:val="Heading3"/>
        <w:jc w:val="left"/>
      </w:pPr>
      <w:r w:rsidRPr="00641084">
        <w:t xml:space="preserve">Contraception and women of childbearing potential  </w:t>
      </w:r>
    </w:p>
    <w:p w14:paraId="4D0AC417" w14:textId="77777777" w:rsidR="00641084" w:rsidRDefault="00641084" w:rsidP="00980EF6">
      <w:pPr>
        <w:pStyle w:val="NormalIndent1"/>
        <w:jc w:val="left"/>
      </w:pPr>
    </w:p>
    <w:p w14:paraId="7A7FF2BA" w14:textId="2E24E833" w:rsidR="005D690B" w:rsidRDefault="005902E6" w:rsidP="00980EF6">
      <w:pPr>
        <w:pStyle w:val="NormalIndent1"/>
        <w:jc w:val="left"/>
      </w:pPr>
      <w:r>
        <w:t xml:space="preserve">Women of childbearing potential should use effective methods of contraception during use of </w:t>
      </w:r>
      <w:r w:rsidR="00D31FB8">
        <w:rPr>
          <w:color w:val="000000" w:themeColor="text1"/>
        </w:rPr>
        <w:t>t</w:t>
      </w:r>
      <w:r w:rsidR="00D31FB8" w:rsidRPr="00BF032A">
        <w:rPr>
          <w:color w:val="000000" w:themeColor="text1"/>
        </w:rPr>
        <w:t>eriparatide</w:t>
      </w:r>
      <w:r>
        <w:t>. If pregnancy occurs</w:t>
      </w:r>
      <w:r w:rsidR="00D578BA">
        <w:t>,</w:t>
      </w:r>
      <w:r>
        <w:t xml:space="preserve"> </w:t>
      </w:r>
      <w:r w:rsidR="00D31FB8">
        <w:rPr>
          <w:color w:val="000000" w:themeColor="text1"/>
        </w:rPr>
        <w:t>t</w:t>
      </w:r>
      <w:r w:rsidR="00D31FB8" w:rsidRPr="00BF032A">
        <w:rPr>
          <w:color w:val="000000" w:themeColor="text1"/>
        </w:rPr>
        <w:t>eriparatide</w:t>
      </w:r>
      <w:r>
        <w:t xml:space="preserve"> should be discontinued</w:t>
      </w:r>
      <w:r w:rsidR="00641084">
        <w:t xml:space="preserve"> (see </w:t>
      </w:r>
      <w:r w:rsidR="00641084" w:rsidRPr="003621B7">
        <w:rPr>
          <w:b/>
          <w:bCs/>
        </w:rPr>
        <w:t>Section 4.3 Contraindications</w:t>
      </w:r>
      <w:r w:rsidR="00641084">
        <w:t>)</w:t>
      </w:r>
      <w:r>
        <w:t xml:space="preserve">. </w:t>
      </w:r>
    </w:p>
    <w:p w14:paraId="2895F24B" w14:textId="77777777" w:rsidR="00F0302D" w:rsidRPr="00F70019" w:rsidRDefault="00F0302D" w:rsidP="00980EF6">
      <w:pPr>
        <w:pStyle w:val="NormalIndent1"/>
        <w:jc w:val="left"/>
      </w:pPr>
    </w:p>
    <w:p w14:paraId="198FBADD" w14:textId="77777777" w:rsidR="001A3992" w:rsidRPr="00541FDD" w:rsidRDefault="001A3992" w:rsidP="00980EF6">
      <w:pPr>
        <w:pStyle w:val="Heading3"/>
        <w:jc w:val="left"/>
      </w:pPr>
      <w:r w:rsidRPr="00541FDD">
        <w:lastRenderedPageBreak/>
        <w:t xml:space="preserve">Use in </w:t>
      </w:r>
      <w:r w:rsidR="005D690B" w:rsidRPr="00541FDD">
        <w:t>Lactation</w:t>
      </w:r>
    </w:p>
    <w:p w14:paraId="3A007C57" w14:textId="77777777" w:rsidR="005D690B" w:rsidRPr="00F70019" w:rsidRDefault="005D690B" w:rsidP="00980EF6">
      <w:pPr>
        <w:pStyle w:val="NormalIndent1"/>
        <w:jc w:val="left"/>
      </w:pPr>
    </w:p>
    <w:p w14:paraId="5D9F48EA" w14:textId="7C10B33B" w:rsidR="00CE27B1" w:rsidRDefault="005902E6" w:rsidP="00980EF6">
      <w:pPr>
        <w:pStyle w:val="NormalIndent1"/>
        <w:jc w:val="left"/>
      </w:pPr>
      <w:r w:rsidRPr="005902E6">
        <w:t xml:space="preserve">It is not known whether teriparatide is excreted in human milk. </w:t>
      </w:r>
      <w:r w:rsidR="00D31FB8">
        <w:t>T</w:t>
      </w:r>
      <w:r w:rsidR="00D31FB8" w:rsidRPr="00D31FB8">
        <w:t>eriparatide</w:t>
      </w:r>
      <w:r w:rsidRPr="005902E6">
        <w:t xml:space="preserve"> should not be administered to women who are breast-feeding their children</w:t>
      </w:r>
      <w:r w:rsidR="00641084">
        <w:t xml:space="preserve"> (see </w:t>
      </w:r>
      <w:r w:rsidR="00641084" w:rsidRPr="005E03B6">
        <w:rPr>
          <w:b/>
          <w:bCs/>
        </w:rPr>
        <w:t>Section 4.3 Contraindications</w:t>
      </w:r>
      <w:r w:rsidR="00641084">
        <w:t>)</w:t>
      </w:r>
      <w:r w:rsidRPr="005902E6">
        <w:t xml:space="preserve">.  </w:t>
      </w:r>
    </w:p>
    <w:p w14:paraId="54014726" w14:textId="77777777" w:rsidR="00BF032A" w:rsidRPr="00F70019" w:rsidRDefault="00BF032A" w:rsidP="00980EF6">
      <w:pPr>
        <w:pStyle w:val="NormalIndent1"/>
        <w:jc w:val="left"/>
      </w:pPr>
    </w:p>
    <w:p w14:paraId="42BD26EE" w14:textId="36F922AA" w:rsidR="001A3992" w:rsidRDefault="004A3628" w:rsidP="00884815">
      <w:pPr>
        <w:pStyle w:val="Heading2"/>
        <w:jc w:val="left"/>
        <w:rPr>
          <w:smallCaps/>
        </w:rPr>
      </w:pPr>
      <w:r>
        <w:t>4.7</w:t>
      </w:r>
      <w:r>
        <w:tab/>
      </w:r>
      <w:r w:rsidR="001A3992" w:rsidRPr="00541FDD">
        <w:t xml:space="preserve">Effects on </w:t>
      </w:r>
      <w:r w:rsidR="005D690B" w:rsidRPr="00541FDD">
        <w:t xml:space="preserve">Ability </w:t>
      </w:r>
      <w:r w:rsidR="001A3992" w:rsidRPr="00541FDD">
        <w:t xml:space="preserve">to </w:t>
      </w:r>
      <w:r w:rsidR="005D690B" w:rsidRPr="00541FDD">
        <w:t xml:space="preserve">Drive </w:t>
      </w:r>
      <w:r w:rsidR="001A3992" w:rsidRPr="00541FDD">
        <w:t xml:space="preserve">and </w:t>
      </w:r>
      <w:r w:rsidR="005D690B" w:rsidRPr="00541FDD">
        <w:t>Use Machines</w:t>
      </w:r>
    </w:p>
    <w:p w14:paraId="03571842" w14:textId="77777777" w:rsidR="005D690B" w:rsidRPr="005D690B" w:rsidRDefault="005D690B" w:rsidP="00980EF6">
      <w:pPr>
        <w:pStyle w:val="NormalIndent1"/>
        <w:jc w:val="left"/>
        <w:rPr>
          <w:lang w:val="en"/>
        </w:rPr>
      </w:pPr>
    </w:p>
    <w:p w14:paraId="3F4A579F" w14:textId="54AED3C2" w:rsidR="00497C85" w:rsidRDefault="00D31FB8" w:rsidP="00980EF6">
      <w:pPr>
        <w:pStyle w:val="NormalIndent1"/>
        <w:jc w:val="left"/>
        <w:rPr>
          <w:lang w:val="en"/>
        </w:rPr>
      </w:pPr>
      <w:r>
        <w:rPr>
          <w:color w:val="000000" w:themeColor="text1"/>
        </w:rPr>
        <w:t>T</w:t>
      </w:r>
      <w:r w:rsidRPr="00BF032A">
        <w:rPr>
          <w:color w:val="000000" w:themeColor="text1"/>
        </w:rPr>
        <w:t>eriparatide</w:t>
      </w:r>
      <w:r w:rsidR="00FB2529" w:rsidRPr="00FB2529">
        <w:rPr>
          <w:lang w:val="en"/>
        </w:rPr>
        <w:t xml:space="preserve"> has no or negligible influence on the ability to drive and use machines. Transient, orthostatic hypotension or dizziness was observed in some patients. These patients should refrain from driving or the use of machines until symptoms have subsided</w:t>
      </w:r>
      <w:r w:rsidR="00FB2529">
        <w:rPr>
          <w:lang w:val="en"/>
        </w:rPr>
        <w:t>.</w:t>
      </w:r>
    </w:p>
    <w:p w14:paraId="221038B8" w14:textId="77777777" w:rsidR="005D690B" w:rsidRDefault="005D690B" w:rsidP="00980EF6">
      <w:pPr>
        <w:pStyle w:val="NormalIndent1"/>
        <w:jc w:val="left"/>
      </w:pPr>
    </w:p>
    <w:p w14:paraId="635CA908" w14:textId="77777777" w:rsidR="001A3992" w:rsidRPr="00541FDD" w:rsidRDefault="004A3628" w:rsidP="00980EF6">
      <w:pPr>
        <w:pStyle w:val="Heading2"/>
        <w:jc w:val="left"/>
        <w:rPr>
          <w:smallCaps/>
        </w:rPr>
      </w:pPr>
      <w:r>
        <w:t>4.8</w:t>
      </w:r>
      <w:r>
        <w:tab/>
        <w:t>A</w:t>
      </w:r>
      <w:r w:rsidR="001A3992" w:rsidRPr="00541FDD">
        <w:t xml:space="preserve">dverse </w:t>
      </w:r>
      <w:r w:rsidR="005D690B" w:rsidRPr="00541FDD">
        <w:t xml:space="preserve">Effects </w:t>
      </w:r>
      <w:r w:rsidR="001A3992" w:rsidRPr="00541FDD">
        <w:t xml:space="preserve">(Undesirable </w:t>
      </w:r>
      <w:r w:rsidR="005D690B" w:rsidRPr="00541FDD">
        <w:t>Effects</w:t>
      </w:r>
      <w:r w:rsidR="001A3992" w:rsidRPr="00541FDD">
        <w:t>)</w:t>
      </w:r>
    </w:p>
    <w:p w14:paraId="23E77A98" w14:textId="0256D730" w:rsidR="005902E6" w:rsidRDefault="005902E6" w:rsidP="00980EF6">
      <w:pPr>
        <w:pStyle w:val="NormalIndent1"/>
        <w:jc w:val="left"/>
        <w:rPr>
          <w:lang w:val="en"/>
        </w:rPr>
      </w:pPr>
    </w:p>
    <w:p w14:paraId="3616ED00" w14:textId="729A2B0A" w:rsidR="005902E6" w:rsidRPr="005902E6" w:rsidRDefault="008A22FC" w:rsidP="00980EF6">
      <w:pPr>
        <w:pStyle w:val="NormalIndent1"/>
        <w:jc w:val="left"/>
        <w:rPr>
          <w:lang w:val="en"/>
        </w:rPr>
      </w:pPr>
      <w:r w:rsidRPr="008A22FC">
        <w:rPr>
          <w:lang w:val="en"/>
        </w:rPr>
        <w:t xml:space="preserve">Clinical trials were conducted with the reference medicine FORTEO. </w:t>
      </w:r>
      <w:r w:rsidR="005902E6" w:rsidRPr="005902E6">
        <w:rPr>
          <w:lang w:val="en"/>
        </w:rPr>
        <w:t>The safety of teriparatide has been evaluated in 21 clinical trials in over 2</w:t>
      </w:r>
      <w:r w:rsidR="00D578BA">
        <w:rPr>
          <w:lang w:val="en"/>
        </w:rPr>
        <w:t>,</w:t>
      </w:r>
      <w:r w:rsidR="005902E6" w:rsidRPr="005902E6">
        <w:rPr>
          <w:lang w:val="en"/>
        </w:rPr>
        <w:t>800 women and men. Four long-term, Phase 3 clinical trials included one large placebo-controlled, double</w:t>
      </w:r>
      <w:r w:rsidR="00E13F59">
        <w:rPr>
          <w:lang w:val="en"/>
        </w:rPr>
        <w:t>-</w:t>
      </w:r>
      <w:r w:rsidR="005902E6" w:rsidRPr="005902E6">
        <w:rPr>
          <w:lang w:val="en"/>
        </w:rPr>
        <w:t>blind multinational trial with 1</w:t>
      </w:r>
      <w:r w:rsidR="00D578BA">
        <w:rPr>
          <w:lang w:val="en"/>
        </w:rPr>
        <w:t>,</w:t>
      </w:r>
      <w:r w:rsidR="005902E6" w:rsidRPr="005902E6">
        <w:rPr>
          <w:lang w:val="en"/>
        </w:rPr>
        <w:t>637 postmenopausal women, one placebo-controlled, double-blind multinational trial with 437</w:t>
      </w:r>
      <w:r w:rsidR="00F70E77">
        <w:rPr>
          <w:lang w:val="en"/>
        </w:rPr>
        <w:t> </w:t>
      </w:r>
      <w:r w:rsidR="005902E6" w:rsidRPr="005902E6">
        <w:rPr>
          <w:lang w:val="en"/>
        </w:rPr>
        <w:t>men and two active-controlled trials including 393 postmenopausal women. Teriparatide doses ranged from 5 to 100</w:t>
      </w:r>
      <w:r w:rsidR="00320561">
        <w:rPr>
          <w:lang w:val="en"/>
        </w:rPr>
        <w:t> </w:t>
      </w:r>
      <w:r w:rsidR="00D578BA">
        <w:t>micrograms</w:t>
      </w:r>
      <w:r w:rsidR="005902E6" w:rsidRPr="005902E6">
        <w:rPr>
          <w:lang w:val="en"/>
        </w:rPr>
        <w:t>/day in short-term trials and 20 to 40</w:t>
      </w:r>
      <w:r w:rsidR="00320561">
        <w:rPr>
          <w:lang w:val="en"/>
        </w:rPr>
        <w:t> </w:t>
      </w:r>
      <w:r w:rsidR="00D578BA">
        <w:t>micrograms</w:t>
      </w:r>
      <w:r w:rsidR="005902E6" w:rsidRPr="005902E6">
        <w:rPr>
          <w:lang w:val="en"/>
        </w:rPr>
        <w:t>/day in the long-term trials. A total of 1</w:t>
      </w:r>
      <w:r w:rsidR="00D578BA">
        <w:rPr>
          <w:lang w:val="en"/>
        </w:rPr>
        <w:t>,</w:t>
      </w:r>
      <w:r w:rsidR="005902E6" w:rsidRPr="005902E6">
        <w:rPr>
          <w:lang w:val="en"/>
        </w:rPr>
        <w:t>970 of the patients studied received teriparatide, including 738 patients at 20</w:t>
      </w:r>
      <w:r w:rsidR="00320561">
        <w:rPr>
          <w:lang w:val="en"/>
        </w:rPr>
        <w:t> </w:t>
      </w:r>
      <w:r w:rsidR="00D578BA">
        <w:t>micrograms</w:t>
      </w:r>
      <w:r w:rsidR="005902E6" w:rsidRPr="005902E6">
        <w:rPr>
          <w:lang w:val="en"/>
        </w:rPr>
        <w:t>/day and 1</w:t>
      </w:r>
      <w:r w:rsidR="00D578BA">
        <w:rPr>
          <w:lang w:val="en"/>
        </w:rPr>
        <w:t>,</w:t>
      </w:r>
      <w:r w:rsidR="005902E6" w:rsidRPr="005902E6">
        <w:rPr>
          <w:lang w:val="en"/>
        </w:rPr>
        <w:t>107 patients at 40</w:t>
      </w:r>
      <w:r w:rsidR="00320561">
        <w:rPr>
          <w:lang w:val="en"/>
        </w:rPr>
        <w:t> </w:t>
      </w:r>
      <w:r w:rsidR="00D578BA">
        <w:t>micrograms</w:t>
      </w:r>
      <w:r w:rsidR="005902E6" w:rsidRPr="005902E6">
        <w:rPr>
          <w:lang w:val="en"/>
        </w:rPr>
        <w:t>/day. In the long-term clinical trials, 1</w:t>
      </w:r>
      <w:r w:rsidR="00D578BA">
        <w:rPr>
          <w:lang w:val="en"/>
        </w:rPr>
        <w:t>,</w:t>
      </w:r>
      <w:r w:rsidR="005902E6" w:rsidRPr="005902E6">
        <w:rPr>
          <w:lang w:val="en"/>
        </w:rPr>
        <w:t>137 patients were exposed to teriparatide for greater than 1</w:t>
      </w:r>
      <w:r w:rsidR="005D0427">
        <w:rPr>
          <w:lang w:val="en"/>
        </w:rPr>
        <w:t> </w:t>
      </w:r>
      <w:r w:rsidR="005902E6" w:rsidRPr="005902E6">
        <w:rPr>
          <w:lang w:val="en"/>
        </w:rPr>
        <w:t>year (500 at 20</w:t>
      </w:r>
      <w:r w:rsidR="00320561">
        <w:rPr>
          <w:lang w:val="en"/>
        </w:rPr>
        <w:t> </w:t>
      </w:r>
      <w:r w:rsidR="00320561">
        <w:t>micrograms</w:t>
      </w:r>
      <w:r w:rsidR="005902E6" w:rsidRPr="005902E6">
        <w:rPr>
          <w:lang w:val="en"/>
        </w:rPr>
        <w:t>/day and 637 at 40</w:t>
      </w:r>
      <w:r w:rsidR="00320561">
        <w:rPr>
          <w:lang w:val="en"/>
        </w:rPr>
        <w:t> </w:t>
      </w:r>
      <w:r w:rsidR="00320561">
        <w:t>micrograms</w:t>
      </w:r>
      <w:r w:rsidR="005902E6" w:rsidRPr="005902E6">
        <w:rPr>
          <w:lang w:val="en"/>
        </w:rPr>
        <w:t>/day). The maximum exposure duration to teriparatide was 2</w:t>
      </w:r>
      <w:r w:rsidR="00F70E77">
        <w:rPr>
          <w:lang w:val="en"/>
        </w:rPr>
        <w:t> </w:t>
      </w:r>
      <w:r w:rsidR="005902E6" w:rsidRPr="005902E6">
        <w:rPr>
          <w:lang w:val="en"/>
        </w:rPr>
        <w:t xml:space="preserve">years. Adverse events associated with </w:t>
      </w:r>
      <w:r w:rsidR="00D31FB8">
        <w:rPr>
          <w:color w:val="000000" w:themeColor="text1"/>
        </w:rPr>
        <w:t>t</w:t>
      </w:r>
      <w:r w:rsidR="00D31FB8" w:rsidRPr="00BF032A">
        <w:rPr>
          <w:color w:val="000000" w:themeColor="text1"/>
        </w:rPr>
        <w:t>eriparatide</w:t>
      </w:r>
      <w:r w:rsidR="005902E6" w:rsidRPr="005902E6">
        <w:rPr>
          <w:lang w:val="en"/>
        </w:rPr>
        <w:t xml:space="preserve"> were usually mild and generally did not require discontinuation of therapy. </w:t>
      </w:r>
    </w:p>
    <w:p w14:paraId="288EE115" w14:textId="77777777" w:rsidR="005902E6" w:rsidRPr="005902E6" w:rsidRDefault="005902E6" w:rsidP="00980EF6">
      <w:pPr>
        <w:pStyle w:val="NormalIndent1"/>
        <w:jc w:val="left"/>
        <w:rPr>
          <w:lang w:val="en"/>
        </w:rPr>
      </w:pPr>
      <w:r w:rsidRPr="005902E6">
        <w:rPr>
          <w:lang w:val="en"/>
        </w:rPr>
        <w:t xml:space="preserve"> </w:t>
      </w:r>
    </w:p>
    <w:p w14:paraId="0C5DB26E" w14:textId="2A313A97" w:rsidR="005902E6" w:rsidRPr="005902E6" w:rsidRDefault="005902E6" w:rsidP="00980EF6">
      <w:pPr>
        <w:pStyle w:val="NormalIndent1"/>
        <w:jc w:val="left"/>
        <w:rPr>
          <w:lang w:val="en"/>
        </w:rPr>
      </w:pPr>
      <w:r w:rsidRPr="005902E6">
        <w:rPr>
          <w:lang w:val="en"/>
        </w:rPr>
        <w:t xml:space="preserve">In the two Phase 3, placebo-controlled clinical trials in men and postmenopausal women, early discontinuation due to an adverse event occurred in 5.6% of patients on placebo and 7.1% of patients on </w:t>
      </w:r>
      <w:r w:rsidR="00D31FB8">
        <w:rPr>
          <w:color w:val="000000" w:themeColor="text1"/>
        </w:rPr>
        <w:t>t</w:t>
      </w:r>
      <w:r w:rsidR="00D31FB8" w:rsidRPr="00BF032A">
        <w:rPr>
          <w:color w:val="000000" w:themeColor="text1"/>
        </w:rPr>
        <w:t>eriparatide</w:t>
      </w:r>
      <w:r w:rsidRPr="005902E6">
        <w:rPr>
          <w:lang w:val="en"/>
        </w:rPr>
        <w:t xml:space="preserve">. Adverse events considered to be related to </w:t>
      </w:r>
      <w:r w:rsidR="00D31FB8">
        <w:rPr>
          <w:color w:val="000000" w:themeColor="text1"/>
        </w:rPr>
        <w:t>t</w:t>
      </w:r>
      <w:r w:rsidR="00D31FB8" w:rsidRPr="00BF032A">
        <w:rPr>
          <w:color w:val="000000" w:themeColor="text1"/>
        </w:rPr>
        <w:t>eriparatide</w:t>
      </w:r>
      <w:r w:rsidRPr="005902E6">
        <w:rPr>
          <w:lang w:val="en"/>
        </w:rPr>
        <w:t xml:space="preserve"> therapy were nausea and leg cramps. </w:t>
      </w:r>
    </w:p>
    <w:p w14:paraId="0192EA99" w14:textId="77777777" w:rsidR="005902E6" w:rsidRPr="005902E6" w:rsidRDefault="005902E6" w:rsidP="00980EF6">
      <w:pPr>
        <w:pStyle w:val="NormalIndent1"/>
        <w:jc w:val="left"/>
        <w:rPr>
          <w:lang w:val="en"/>
        </w:rPr>
      </w:pPr>
      <w:r w:rsidRPr="005902E6">
        <w:rPr>
          <w:lang w:val="en"/>
        </w:rPr>
        <w:t xml:space="preserve"> </w:t>
      </w:r>
    </w:p>
    <w:p w14:paraId="588A083B" w14:textId="38BC3B7F" w:rsidR="005902E6" w:rsidRPr="005D690B" w:rsidRDefault="005902E6" w:rsidP="00980EF6">
      <w:pPr>
        <w:pStyle w:val="NormalIndent1"/>
        <w:jc w:val="left"/>
        <w:rPr>
          <w:lang w:val="en"/>
        </w:rPr>
      </w:pPr>
      <w:r w:rsidRPr="00E629E1">
        <w:rPr>
          <w:b/>
          <w:bCs/>
          <w:lang w:val="en"/>
        </w:rPr>
        <w:t>Table 1</w:t>
      </w:r>
      <w:r w:rsidRPr="005902E6">
        <w:rPr>
          <w:lang w:val="en"/>
        </w:rPr>
        <w:t xml:space="preserve"> lists adverse events occurring in the Phase 3, placebo-controlled clinical trials in postmenopausal women and in men at a frequency </w:t>
      </w:r>
      <w:r w:rsidR="00F0302D" w:rsidRPr="00F0302D">
        <w:rPr>
          <w:rFonts w:cstheme="minorHAnsi"/>
          <w:lang w:val="en"/>
        </w:rPr>
        <w:t>≥</w:t>
      </w:r>
      <w:r w:rsidRPr="005902E6">
        <w:rPr>
          <w:lang w:val="en"/>
        </w:rPr>
        <w:t xml:space="preserve">2.0% in the </w:t>
      </w:r>
      <w:r w:rsidR="00D31FB8">
        <w:rPr>
          <w:color w:val="000000" w:themeColor="text1"/>
        </w:rPr>
        <w:t>t</w:t>
      </w:r>
      <w:r w:rsidR="00D31FB8" w:rsidRPr="00BF032A">
        <w:rPr>
          <w:color w:val="000000" w:themeColor="text1"/>
        </w:rPr>
        <w:t>eriparatide</w:t>
      </w:r>
      <w:r w:rsidRPr="005902E6">
        <w:rPr>
          <w:lang w:val="en"/>
        </w:rPr>
        <w:t xml:space="preserve"> groups and in more </w:t>
      </w:r>
      <w:r w:rsidR="00D31FB8">
        <w:rPr>
          <w:color w:val="000000" w:themeColor="text1"/>
        </w:rPr>
        <w:t>t</w:t>
      </w:r>
      <w:r w:rsidR="00D31FB8" w:rsidRPr="00BF032A">
        <w:rPr>
          <w:color w:val="000000" w:themeColor="text1"/>
        </w:rPr>
        <w:t>eriparatide</w:t>
      </w:r>
      <w:r w:rsidRPr="005902E6">
        <w:rPr>
          <w:lang w:val="en"/>
        </w:rPr>
        <w:t>-treated patients than in placebo-treated patients. Adverse events are shown without attributing causality.</w:t>
      </w:r>
    </w:p>
    <w:p w14:paraId="7773E86A" w14:textId="099B5310" w:rsidR="005D690B" w:rsidRDefault="005D690B" w:rsidP="00980EF6">
      <w:pPr>
        <w:pStyle w:val="NormalIndent1"/>
        <w:jc w:val="left"/>
      </w:pPr>
    </w:p>
    <w:p w14:paraId="09F8C5F6" w14:textId="794A8D0D" w:rsidR="005902E6" w:rsidRPr="000D27A3" w:rsidRDefault="005902E6" w:rsidP="00980EF6">
      <w:pPr>
        <w:pStyle w:val="NormalIndent1"/>
        <w:jc w:val="left"/>
        <w:rPr>
          <w:b/>
          <w:iCs/>
          <w:color w:val="000000" w:themeColor="text1"/>
        </w:rPr>
      </w:pPr>
      <w:r w:rsidRPr="000D27A3">
        <w:rPr>
          <w:b/>
          <w:color w:val="000000" w:themeColor="text1"/>
        </w:rPr>
        <w:t>Table 1</w:t>
      </w:r>
      <w:r w:rsidR="00A570D8" w:rsidRPr="000D27A3">
        <w:rPr>
          <w:b/>
          <w:color w:val="000000" w:themeColor="text1"/>
        </w:rPr>
        <w:t>:</w:t>
      </w:r>
      <w:r w:rsidRPr="000D27A3">
        <w:rPr>
          <w:b/>
          <w:color w:val="000000" w:themeColor="text1"/>
        </w:rPr>
        <w:t xml:space="preserve"> </w:t>
      </w:r>
      <w:r w:rsidRPr="000D27A3">
        <w:rPr>
          <w:b/>
          <w:iCs/>
          <w:color w:val="000000" w:themeColor="text1"/>
        </w:rPr>
        <w:t xml:space="preserve">Adverse events that occurred in placebo-controlled osteoporosis clinical trials at a frequency of at least 2% in the </w:t>
      </w:r>
      <w:r w:rsidR="00D31FB8" w:rsidRPr="00D31FB8">
        <w:rPr>
          <w:b/>
          <w:iCs/>
          <w:color w:val="000000" w:themeColor="text1"/>
        </w:rPr>
        <w:t>teriparatide</w:t>
      </w:r>
      <w:r w:rsidRPr="000D27A3">
        <w:rPr>
          <w:b/>
          <w:iCs/>
          <w:color w:val="000000" w:themeColor="text1"/>
        </w:rPr>
        <w:t>-treated patients (20</w:t>
      </w:r>
      <w:r w:rsidR="00320561">
        <w:rPr>
          <w:b/>
          <w:iCs/>
          <w:color w:val="000000" w:themeColor="text1"/>
        </w:rPr>
        <w:t> micrograms</w:t>
      </w:r>
      <w:r w:rsidRPr="000D27A3">
        <w:rPr>
          <w:b/>
          <w:iCs/>
          <w:color w:val="000000" w:themeColor="text1"/>
        </w:rPr>
        <w:t xml:space="preserve">/day) and in more </w:t>
      </w:r>
      <w:r w:rsidR="00D31FB8" w:rsidRPr="00D31FB8">
        <w:rPr>
          <w:b/>
          <w:iCs/>
          <w:color w:val="000000" w:themeColor="text1"/>
        </w:rPr>
        <w:t>teriparatide</w:t>
      </w:r>
      <w:r w:rsidRPr="000D27A3">
        <w:rPr>
          <w:b/>
          <w:iCs/>
          <w:color w:val="000000" w:themeColor="text1"/>
        </w:rPr>
        <w:t>-treated patients than placebo-treated patients</w:t>
      </w:r>
      <w:r w:rsidR="00320561">
        <w:rPr>
          <w:b/>
          <w:iCs/>
          <w:color w:val="000000" w:themeColor="text1"/>
        </w:rPr>
        <w:t>.</w:t>
      </w:r>
      <w:r w:rsidRPr="000D27A3">
        <w:rPr>
          <w:b/>
          <w:iCs/>
          <w:color w:val="000000" w:themeColor="text1"/>
        </w:rPr>
        <w:t xml:space="preserve"> Adverse events are shown without attributing causality</w:t>
      </w:r>
      <w:r w:rsidR="00320561">
        <w:rPr>
          <w:b/>
          <w:iCs/>
          <w:color w:val="000000" w:themeColor="text1"/>
        </w:rPr>
        <w:t>.</w:t>
      </w:r>
    </w:p>
    <w:p w14:paraId="78F6ED0E" w14:textId="33F1368F" w:rsidR="005902E6" w:rsidRDefault="005902E6" w:rsidP="00980EF6">
      <w:pPr>
        <w:pStyle w:val="NormalIndent1"/>
        <w:jc w:val="left"/>
        <w:rPr>
          <w:iCs/>
        </w:rPr>
      </w:pPr>
    </w:p>
    <w:tbl>
      <w:tblPr>
        <w:tblStyle w:val="TableGrid"/>
        <w:tblW w:w="9204" w:type="dxa"/>
        <w:tblInd w:w="425" w:type="dxa"/>
        <w:tblLook w:val="04A0" w:firstRow="1" w:lastRow="0" w:firstColumn="1" w:lastColumn="0" w:noHBand="0" w:noVBand="1"/>
      </w:tblPr>
      <w:tblGrid>
        <w:gridCol w:w="3068"/>
        <w:gridCol w:w="3068"/>
        <w:gridCol w:w="3068"/>
      </w:tblGrid>
      <w:tr w:rsidR="00320561" w:rsidRPr="00320561" w14:paraId="40BE83F7" w14:textId="1A71CCAA" w:rsidTr="00320561">
        <w:tc>
          <w:tcPr>
            <w:tcW w:w="3068" w:type="dxa"/>
            <w:tcBorders>
              <w:top w:val="single" w:sz="12" w:space="0" w:color="auto"/>
              <w:left w:val="single" w:sz="12" w:space="0" w:color="auto"/>
              <w:bottom w:val="single" w:sz="12" w:space="0" w:color="auto"/>
              <w:right w:val="single" w:sz="12" w:space="0" w:color="auto"/>
            </w:tcBorders>
          </w:tcPr>
          <w:p w14:paraId="6B8A1724" w14:textId="77777777" w:rsidR="00320561" w:rsidRPr="00320561" w:rsidRDefault="00320561" w:rsidP="00980EF6">
            <w:pPr>
              <w:jc w:val="left"/>
              <w:rPr>
                <w:rFonts w:cstheme="minorHAnsi"/>
                <w:b/>
                <w:bCs/>
                <w:sz w:val="20"/>
                <w:szCs w:val="20"/>
              </w:rPr>
            </w:pPr>
          </w:p>
          <w:p w14:paraId="06DAF4E1" w14:textId="77777777" w:rsidR="00320561" w:rsidRPr="00320561" w:rsidRDefault="00320561" w:rsidP="00980EF6">
            <w:pPr>
              <w:jc w:val="left"/>
              <w:rPr>
                <w:rFonts w:cstheme="minorHAnsi"/>
                <w:b/>
                <w:bCs/>
                <w:sz w:val="20"/>
                <w:szCs w:val="20"/>
              </w:rPr>
            </w:pPr>
            <w:r w:rsidRPr="00320561">
              <w:rPr>
                <w:rFonts w:eastAsia="Arial" w:cstheme="minorHAnsi"/>
                <w:b/>
                <w:bCs/>
                <w:sz w:val="20"/>
                <w:szCs w:val="20"/>
              </w:rPr>
              <w:t xml:space="preserve"> </w:t>
            </w:r>
          </w:p>
          <w:p w14:paraId="2BA6C12E" w14:textId="18F10481" w:rsidR="00320561" w:rsidRPr="00320561" w:rsidRDefault="00320561" w:rsidP="00980EF6">
            <w:pPr>
              <w:jc w:val="left"/>
              <w:rPr>
                <w:rFonts w:cstheme="minorHAnsi"/>
                <w:b/>
                <w:bCs/>
                <w:sz w:val="20"/>
                <w:szCs w:val="20"/>
              </w:rPr>
            </w:pPr>
            <w:r w:rsidRPr="00320561">
              <w:rPr>
                <w:rFonts w:eastAsia="Arial" w:cstheme="minorHAnsi"/>
                <w:b/>
                <w:bCs/>
                <w:sz w:val="20"/>
                <w:szCs w:val="20"/>
              </w:rPr>
              <w:t xml:space="preserve">Event Classification </w:t>
            </w:r>
          </w:p>
        </w:tc>
        <w:tc>
          <w:tcPr>
            <w:tcW w:w="3068" w:type="dxa"/>
            <w:tcBorders>
              <w:top w:val="single" w:sz="12" w:space="0" w:color="auto"/>
              <w:left w:val="single" w:sz="12" w:space="0" w:color="auto"/>
              <w:right w:val="single" w:sz="12" w:space="0" w:color="auto"/>
            </w:tcBorders>
          </w:tcPr>
          <w:p w14:paraId="568902ED" w14:textId="3C1229AD" w:rsidR="00320561" w:rsidRPr="00320561" w:rsidRDefault="00320561" w:rsidP="00980EF6">
            <w:pPr>
              <w:tabs>
                <w:tab w:val="center" w:pos="806"/>
                <w:tab w:val="center" w:pos="2379"/>
              </w:tabs>
              <w:jc w:val="left"/>
              <w:rPr>
                <w:rFonts w:cstheme="minorHAnsi"/>
                <w:b/>
                <w:bCs/>
                <w:sz w:val="20"/>
                <w:szCs w:val="20"/>
              </w:rPr>
            </w:pPr>
            <w:r w:rsidRPr="00320561">
              <w:rPr>
                <w:rFonts w:eastAsia="Arial" w:cstheme="minorHAnsi"/>
                <w:b/>
                <w:bCs/>
                <w:sz w:val="20"/>
                <w:szCs w:val="20"/>
              </w:rPr>
              <w:t>Teriparatide</w:t>
            </w:r>
          </w:p>
          <w:p w14:paraId="61423262" w14:textId="77777777" w:rsidR="00320561" w:rsidRPr="00320561" w:rsidRDefault="00320561" w:rsidP="00980EF6">
            <w:pPr>
              <w:jc w:val="left"/>
              <w:rPr>
                <w:rFonts w:cstheme="minorHAnsi"/>
                <w:b/>
                <w:bCs/>
                <w:sz w:val="20"/>
                <w:szCs w:val="20"/>
              </w:rPr>
            </w:pPr>
            <w:r w:rsidRPr="00320561">
              <w:rPr>
                <w:rFonts w:eastAsia="Arial" w:cstheme="minorHAnsi"/>
                <w:b/>
                <w:bCs/>
                <w:sz w:val="20"/>
                <w:szCs w:val="20"/>
              </w:rPr>
              <w:t xml:space="preserve">N=691 </w:t>
            </w:r>
          </w:p>
          <w:p w14:paraId="374DDA5A" w14:textId="4393D635" w:rsidR="00320561" w:rsidRPr="00320561" w:rsidRDefault="00320561" w:rsidP="00980EF6">
            <w:pPr>
              <w:jc w:val="left"/>
              <w:rPr>
                <w:rFonts w:cstheme="minorHAnsi"/>
                <w:b/>
                <w:bCs/>
                <w:sz w:val="20"/>
                <w:szCs w:val="20"/>
              </w:rPr>
            </w:pPr>
            <w:r w:rsidRPr="00320561">
              <w:rPr>
                <w:rFonts w:eastAsia="Arial" w:cstheme="minorHAnsi"/>
                <w:b/>
                <w:bCs/>
                <w:sz w:val="20"/>
                <w:szCs w:val="20"/>
              </w:rPr>
              <w:t xml:space="preserve">(%) </w:t>
            </w:r>
          </w:p>
        </w:tc>
        <w:tc>
          <w:tcPr>
            <w:tcW w:w="3068" w:type="dxa"/>
            <w:tcBorders>
              <w:top w:val="single" w:sz="12" w:space="0" w:color="auto"/>
              <w:left w:val="single" w:sz="12" w:space="0" w:color="auto"/>
              <w:right w:val="single" w:sz="12" w:space="0" w:color="auto"/>
            </w:tcBorders>
          </w:tcPr>
          <w:p w14:paraId="5AD76FB1" w14:textId="77777777" w:rsidR="00320561" w:rsidRPr="00320561" w:rsidRDefault="00320561" w:rsidP="00980EF6">
            <w:pPr>
              <w:tabs>
                <w:tab w:val="center" w:pos="806"/>
                <w:tab w:val="center" w:pos="2379"/>
              </w:tabs>
              <w:jc w:val="left"/>
              <w:rPr>
                <w:rFonts w:eastAsia="Calibri" w:cstheme="minorHAnsi"/>
                <w:b/>
                <w:bCs/>
                <w:sz w:val="20"/>
                <w:szCs w:val="20"/>
              </w:rPr>
            </w:pPr>
            <w:r w:rsidRPr="00320561">
              <w:rPr>
                <w:rFonts w:eastAsia="Arial" w:cstheme="minorHAnsi"/>
                <w:b/>
                <w:bCs/>
                <w:sz w:val="20"/>
                <w:szCs w:val="20"/>
              </w:rPr>
              <w:t>Placebo</w:t>
            </w:r>
          </w:p>
          <w:p w14:paraId="15E4B65D" w14:textId="77777777" w:rsidR="00320561" w:rsidRPr="00320561" w:rsidRDefault="00320561" w:rsidP="00980EF6">
            <w:pPr>
              <w:jc w:val="left"/>
              <w:rPr>
                <w:rFonts w:eastAsia="Arial" w:cstheme="minorHAnsi"/>
                <w:b/>
                <w:bCs/>
                <w:sz w:val="20"/>
                <w:szCs w:val="20"/>
              </w:rPr>
            </w:pPr>
            <w:r w:rsidRPr="00320561">
              <w:rPr>
                <w:rFonts w:eastAsia="Arial" w:cstheme="minorHAnsi"/>
                <w:b/>
                <w:bCs/>
                <w:sz w:val="20"/>
                <w:szCs w:val="20"/>
              </w:rPr>
              <w:t xml:space="preserve">N=691 </w:t>
            </w:r>
          </w:p>
          <w:p w14:paraId="1AC54D82" w14:textId="0234D831" w:rsidR="00320561" w:rsidRPr="00320561" w:rsidRDefault="00320561" w:rsidP="00980EF6">
            <w:pPr>
              <w:jc w:val="left"/>
              <w:rPr>
                <w:rFonts w:eastAsia="Calibri" w:cstheme="minorHAnsi"/>
                <w:b/>
                <w:bCs/>
                <w:sz w:val="20"/>
                <w:szCs w:val="20"/>
              </w:rPr>
            </w:pPr>
            <w:r w:rsidRPr="00320561">
              <w:rPr>
                <w:rFonts w:eastAsia="Arial" w:cstheme="minorHAnsi"/>
                <w:b/>
                <w:bCs/>
                <w:sz w:val="20"/>
                <w:szCs w:val="20"/>
              </w:rPr>
              <w:t xml:space="preserve">(%) </w:t>
            </w:r>
          </w:p>
        </w:tc>
      </w:tr>
      <w:tr w:rsidR="00320561" w:rsidRPr="00F0302D" w14:paraId="5DF73CEF" w14:textId="77777777" w:rsidTr="00555407">
        <w:trPr>
          <w:trHeight w:val="199"/>
        </w:trPr>
        <w:tc>
          <w:tcPr>
            <w:tcW w:w="9204" w:type="dxa"/>
            <w:gridSpan w:val="3"/>
            <w:tcBorders>
              <w:top w:val="single" w:sz="12" w:space="0" w:color="auto"/>
            </w:tcBorders>
          </w:tcPr>
          <w:p w14:paraId="5862B7E8" w14:textId="664B6AD1" w:rsidR="00320561" w:rsidRPr="00F0302D" w:rsidRDefault="00320561" w:rsidP="00980EF6">
            <w:pPr>
              <w:spacing w:line="259" w:lineRule="auto"/>
              <w:jc w:val="left"/>
              <w:rPr>
                <w:rFonts w:eastAsia="Arial" w:cstheme="minorHAnsi"/>
                <w:b/>
                <w:sz w:val="20"/>
                <w:szCs w:val="20"/>
              </w:rPr>
            </w:pPr>
            <w:r w:rsidRPr="00F0302D">
              <w:rPr>
                <w:rFonts w:eastAsia="Arial" w:cstheme="minorHAnsi"/>
                <w:b/>
                <w:sz w:val="20"/>
                <w:szCs w:val="20"/>
              </w:rPr>
              <w:t xml:space="preserve">BODY AS A WHOLE </w:t>
            </w:r>
          </w:p>
        </w:tc>
      </w:tr>
      <w:tr w:rsidR="005902E6" w:rsidRPr="00F0302D" w14:paraId="538DB511" w14:textId="77777777" w:rsidTr="00E629E1">
        <w:trPr>
          <w:trHeight w:val="262"/>
        </w:trPr>
        <w:tc>
          <w:tcPr>
            <w:tcW w:w="3068" w:type="dxa"/>
          </w:tcPr>
          <w:p w14:paraId="70E99754"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Pain </w:t>
            </w:r>
          </w:p>
        </w:tc>
        <w:tc>
          <w:tcPr>
            <w:tcW w:w="3068" w:type="dxa"/>
          </w:tcPr>
          <w:p w14:paraId="4C5F710B"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21.3 </w:t>
            </w:r>
          </w:p>
        </w:tc>
        <w:tc>
          <w:tcPr>
            <w:tcW w:w="3068" w:type="dxa"/>
          </w:tcPr>
          <w:p w14:paraId="60739DA2" w14:textId="76E9CFCA"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20.5 </w:t>
            </w:r>
          </w:p>
        </w:tc>
      </w:tr>
      <w:tr w:rsidR="005902E6" w:rsidRPr="00F0302D" w14:paraId="1F3467B7" w14:textId="77777777" w:rsidTr="00E629E1">
        <w:trPr>
          <w:trHeight w:val="262"/>
        </w:trPr>
        <w:tc>
          <w:tcPr>
            <w:tcW w:w="3068" w:type="dxa"/>
          </w:tcPr>
          <w:p w14:paraId="7E683626"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Headache </w:t>
            </w:r>
          </w:p>
        </w:tc>
        <w:tc>
          <w:tcPr>
            <w:tcW w:w="3068" w:type="dxa"/>
          </w:tcPr>
          <w:p w14:paraId="7EF23BFF"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7.5 </w:t>
            </w:r>
          </w:p>
        </w:tc>
        <w:tc>
          <w:tcPr>
            <w:tcW w:w="3068" w:type="dxa"/>
          </w:tcPr>
          <w:p w14:paraId="362119CC" w14:textId="02D581CE"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7.4 </w:t>
            </w:r>
          </w:p>
        </w:tc>
      </w:tr>
      <w:tr w:rsidR="005902E6" w:rsidRPr="00F0302D" w14:paraId="4384E692" w14:textId="77777777" w:rsidTr="00E629E1">
        <w:trPr>
          <w:trHeight w:val="262"/>
        </w:trPr>
        <w:tc>
          <w:tcPr>
            <w:tcW w:w="3068" w:type="dxa"/>
          </w:tcPr>
          <w:p w14:paraId="387B955F"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Asthenia </w:t>
            </w:r>
          </w:p>
        </w:tc>
        <w:tc>
          <w:tcPr>
            <w:tcW w:w="3068" w:type="dxa"/>
          </w:tcPr>
          <w:p w14:paraId="781E38B2"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8.7 </w:t>
            </w:r>
          </w:p>
        </w:tc>
        <w:tc>
          <w:tcPr>
            <w:tcW w:w="3068" w:type="dxa"/>
          </w:tcPr>
          <w:p w14:paraId="00F78B37" w14:textId="53E17468"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6.8 </w:t>
            </w:r>
          </w:p>
        </w:tc>
      </w:tr>
      <w:tr w:rsidR="005902E6" w:rsidRPr="00F0302D" w14:paraId="14F712D1" w14:textId="77777777" w:rsidTr="00E629E1">
        <w:trPr>
          <w:trHeight w:val="264"/>
        </w:trPr>
        <w:tc>
          <w:tcPr>
            <w:tcW w:w="3068" w:type="dxa"/>
          </w:tcPr>
          <w:p w14:paraId="5C8E4402"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Neck Pain </w:t>
            </w:r>
          </w:p>
        </w:tc>
        <w:tc>
          <w:tcPr>
            <w:tcW w:w="3068" w:type="dxa"/>
          </w:tcPr>
          <w:p w14:paraId="58D3D9D1"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3.0 </w:t>
            </w:r>
          </w:p>
        </w:tc>
        <w:tc>
          <w:tcPr>
            <w:tcW w:w="3068" w:type="dxa"/>
          </w:tcPr>
          <w:p w14:paraId="448CA06C" w14:textId="0B3B98F2"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2.7 </w:t>
            </w:r>
          </w:p>
        </w:tc>
      </w:tr>
      <w:tr w:rsidR="00320561" w:rsidRPr="00F0302D" w14:paraId="449EAEDC" w14:textId="77777777" w:rsidTr="00555407">
        <w:trPr>
          <w:trHeight w:val="197"/>
        </w:trPr>
        <w:tc>
          <w:tcPr>
            <w:tcW w:w="9204" w:type="dxa"/>
            <w:gridSpan w:val="3"/>
          </w:tcPr>
          <w:p w14:paraId="47212F32" w14:textId="5BEA8F41" w:rsidR="00320561" w:rsidRPr="00F0302D" w:rsidRDefault="00320561" w:rsidP="00980EF6">
            <w:pPr>
              <w:spacing w:line="259" w:lineRule="auto"/>
              <w:jc w:val="left"/>
              <w:rPr>
                <w:rFonts w:eastAsia="Arial" w:cstheme="minorHAnsi"/>
                <w:sz w:val="20"/>
                <w:szCs w:val="20"/>
              </w:rPr>
            </w:pPr>
            <w:r w:rsidRPr="00F0302D">
              <w:rPr>
                <w:rFonts w:eastAsia="Arial" w:cstheme="minorHAnsi"/>
                <w:b/>
                <w:sz w:val="20"/>
                <w:szCs w:val="20"/>
              </w:rPr>
              <w:t xml:space="preserve">CARDIOVASCULAR </w:t>
            </w:r>
          </w:p>
        </w:tc>
      </w:tr>
      <w:tr w:rsidR="005902E6" w:rsidRPr="00F0302D" w14:paraId="4916193F" w14:textId="77777777" w:rsidTr="00E629E1">
        <w:trPr>
          <w:trHeight w:val="264"/>
        </w:trPr>
        <w:tc>
          <w:tcPr>
            <w:tcW w:w="3068" w:type="dxa"/>
          </w:tcPr>
          <w:p w14:paraId="16A71912"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Hypertension </w:t>
            </w:r>
          </w:p>
        </w:tc>
        <w:tc>
          <w:tcPr>
            <w:tcW w:w="3068" w:type="dxa"/>
          </w:tcPr>
          <w:p w14:paraId="237997A4"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7.1 </w:t>
            </w:r>
          </w:p>
        </w:tc>
        <w:tc>
          <w:tcPr>
            <w:tcW w:w="3068" w:type="dxa"/>
          </w:tcPr>
          <w:p w14:paraId="6064557B" w14:textId="7B32AE3F"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6.8 </w:t>
            </w:r>
          </w:p>
        </w:tc>
      </w:tr>
      <w:tr w:rsidR="005902E6" w:rsidRPr="00F0302D" w14:paraId="18B0E683" w14:textId="77777777" w:rsidTr="00E629E1">
        <w:trPr>
          <w:trHeight w:val="262"/>
        </w:trPr>
        <w:tc>
          <w:tcPr>
            <w:tcW w:w="3068" w:type="dxa"/>
          </w:tcPr>
          <w:p w14:paraId="6FD37022"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lastRenderedPageBreak/>
              <w:t xml:space="preserve">Angina Pectoris </w:t>
            </w:r>
          </w:p>
        </w:tc>
        <w:tc>
          <w:tcPr>
            <w:tcW w:w="3068" w:type="dxa"/>
          </w:tcPr>
          <w:p w14:paraId="1D81B7EC"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2.5 </w:t>
            </w:r>
          </w:p>
        </w:tc>
        <w:tc>
          <w:tcPr>
            <w:tcW w:w="3068" w:type="dxa"/>
          </w:tcPr>
          <w:p w14:paraId="4ABADD0D" w14:textId="62539089"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1.6 </w:t>
            </w:r>
          </w:p>
        </w:tc>
      </w:tr>
      <w:tr w:rsidR="005902E6" w:rsidRPr="00F0302D" w14:paraId="66A09EBA" w14:textId="77777777" w:rsidTr="00E629E1">
        <w:trPr>
          <w:trHeight w:val="262"/>
        </w:trPr>
        <w:tc>
          <w:tcPr>
            <w:tcW w:w="3068" w:type="dxa"/>
          </w:tcPr>
          <w:p w14:paraId="5587F340"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Syncope </w:t>
            </w:r>
          </w:p>
        </w:tc>
        <w:tc>
          <w:tcPr>
            <w:tcW w:w="3068" w:type="dxa"/>
          </w:tcPr>
          <w:p w14:paraId="5B8BB8E9"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2.6 </w:t>
            </w:r>
          </w:p>
        </w:tc>
        <w:tc>
          <w:tcPr>
            <w:tcW w:w="3068" w:type="dxa"/>
          </w:tcPr>
          <w:p w14:paraId="29B8E3CF" w14:textId="3ADCB61B"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1.4 </w:t>
            </w:r>
          </w:p>
        </w:tc>
      </w:tr>
      <w:tr w:rsidR="00320561" w:rsidRPr="00F0302D" w14:paraId="63E1F430" w14:textId="77777777" w:rsidTr="00555407">
        <w:trPr>
          <w:trHeight w:val="199"/>
        </w:trPr>
        <w:tc>
          <w:tcPr>
            <w:tcW w:w="9204" w:type="dxa"/>
            <w:gridSpan w:val="3"/>
          </w:tcPr>
          <w:p w14:paraId="1A8C1E4F" w14:textId="4D2CE8AA" w:rsidR="00320561" w:rsidRPr="00F0302D" w:rsidRDefault="00320561" w:rsidP="00980EF6">
            <w:pPr>
              <w:spacing w:line="259" w:lineRule="auto"/>
              <w:jc w:val="left"/>
              <w:rPr>
                <w:rFonts w:eastAsia="Arial" w:cstheme="minorHAnsi"/>
                <w:b/>
                <w:sz w:val="20"/>
                <w:szCs w:val="20"/>
              </w:rPr>
            </w:pPr>
            <w:r w:rsidRPr="00F0302D">
              <w:rPr>
                <w:rFonts w:eastAsia="Arial" w:cstheme="minorHAnsi"/>
                <w:b/>
                <w:sz w:val="20"/>
                <w:szCs w:val="20"/>
              </w:rPr>
              <w:t xml:space="preserve">DIGESTIVE SYSTEM </w:t>
            </w:r>
          </w:p>
        </w:tc>
      </w:tr>
      <w:tr w:rsidR="005902E6" w:rsidRPr="00F0302D" w14:paraId="76923413" w14:textId="77777777" w:rsidTr="00E629E1">
        <w:trPr>
          <w:trHeight w:val="262"/>
        </w:trPr>
        <w:tc>
          <w:tcPr>
            <w:tcW w:w="3068" w:type="dxa"/>
          </w:tcPr>
          <w:p w14:paraId="6E61CE72"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Nausea </w:t>
            </w:r>
          </w:p>
        </w:tc>
        <w:tc>
          <w:tcPr>
            <w:tcW w:w="3068" w:type="dxa"/>
          </w:tcPr>
          <w:p w14:paraId="3939D2AA"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8.5 </w:t>
            </w:r>
          </w:p>
        </w:tc>
        <w:tc>
          <w:tcPr>
            <w:tcW w:w="3068" w:type="dxa"/>
          </w:tcPr>
          <w:p w14:paraId="46386246" w14:textId="6420FDCC"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6.7 </w:t>
            </w:r>
          </w:p>
        </w:tc>
      </w:tr>
      <w:tr w:rsidR="005902E6" w:rsidRPr="00F0302D" w14:paraId="0EAF075A" w14:textId="77777777" w:rsidTr="00E629E1">
        <w:trPr>
          <w:trHeight w:val="262"/>
        </w:trPr>
        <w:tc>
          <w:tcPr>
            <w:tcW w:w="3068" w:type="dxa"/>
          </w:tcPr>
          <w:p w14:paraId="61E4C618"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Constipation </w:t>
            </w:r>
          </w:p>
        </w:tc>
        <w:tc>
          <w:tcPr>
            <w:tcW w:w="3068" w:type="dxa"/>
          </w:tcPr>
          <w:p w14:paraId="2090770A"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5.4 </w:t>
            </w:r>
          </w:p>
        </w:tc>
        <w:tc>
          <w:tcPr>
            <w:tcW w:w="3068" w:type="dxa"/>
          </w:tcPr>
          <w:p w14:paraId="4BB8A31D" w14:textId="60B55FD0"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4.5 </w:t>
            </w:r>
          </w:p>
        </w:tc>
      </w:tr>
      <w:tr w:rsidR="005902E6" w:rsidRPr="00F0302D" w14:paraId="02FFB46C" w14:textId="77777777" w:rsidTr="00E629E1">
        <w:trPr>
          <w:trHeight w:val="262"/>
        </w:trPr>
        <w:tc>
          <w:tcPr>
            <w:tcW w:w="3068" w:type="dxa"/>
          </w:tcPr>
          <w:p w14:paraId="6BB9D338"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Diarrhoea </w:t>
            </w:r>
          </w:p>
        </w:tc>
        <w:tc>
          <w:tcPr>
            <w:tcW w:w="3068" w:type="dxa"/>
          </w:tcPr>
          <w:p w14:paraId="52E90F24"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5.1 </w:t>
            </w:r>
          </w:p>
        </w:tc>
        <w:tc>
          <w:tcPr>
            <w:tcW w:w="3068" w:type="dxa"/>
          </w:tcPr>
          <w:p w14:paraId="6217B6E3" w14:textId="29298D33"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4.6 </w:t>
            </w:r>
          </w:p>
        </w:tc>
      </w:tr>
      <w:tr w:rsidR="005902E6" w:rsidRPr="00F0302D" w14:paraId="0D6FAB8A" w14:textId="77777777" w:rsidTr="00E629E1">
        <w:trPr>
          <w:trHeight w:val="264"/>
        </w:trPr>
        <w:tc>
          <w:tcPr>
            <w:tcW w:w="3068" w:type="dxa"/>
          </w:tcPr>
          <w:p w14:paraId="26B948F6"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Dyspepsia </w:t>
            </w:r>
          </w:p>
        </w:tc>
        <w:tc>
          <w:tcPr>
            <w:tcW w:w="3068" w:type="dxa"/>
          </w:tcPr>
          <w:p w14:paraId="2D30C1EA"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5.2 </w:t>
            </w:r>
          </w:p>
        </w:tc>
        <w:tc>
          <w:tcPr>
            <w:tcW w:w="3068" w:type="dxa"/>
          </w:tcPr>
          <w:p w14:paraId="413440D1" w14:textId="3A1AA0D0"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4.1 </w:t>
            </w:r>
          </w:p>
        </w:tc>
      </w:tr>
      <w:tr w:rsidR="005902E6" w:rsidRPr="00F0302D" w14:paraId="536DA474" w14:textId="77777777" w:rsidTr="00E629E1">
        <w:trPr>
          <w:trHeight w:val="262"/>
        </w:trPr>
        <w:tc>
          <w:tcPr>
            <w:tcW w:w="3068" w:type="dxa"/>
          </w:tcPr>
          <w:p w14:paraId="10147CCA"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Vomiting </w:t>
            </w:r>
          </w:p>
        </w:tc>
        <w:tc>
          <w:tcPr>
            <w:tcW w:w="3068" w:type="dxa"/>
          </w:tcPr>
          <w:p w14:paraId="7D0418F0"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3.0 </w:t>
            </w:r>
          </w:p>
        </w:tc>
        <w:tc>
          <w:tcPr>
            <w:tcW w:w="3068" w:type="dxa"/>
          </w:tcPr>
          <w:p w14:paraId="0E0C0DCF" w14:textId="2A9829C0"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2.3 </w:t>
            </w:r>
          </w:p>
        </w:tc>
      </w:tr>
      <w:tr w:rsidR="005902E6" w:rsidRPr="00F0302D" w14:paraId="627119DC" w14:textId="77777777" w:rsidTr="00E629E1">
        <w:trPr>
          <w:trHeight w:val="262"/>
        </w:trPr>
        <w:tc>
          <w:tcPr>
            <w:tcW w:w="3068" w:type="dxa"/>
          </w:tcPr>
          <w:p w14:paraId="304AE9FB"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Gastrointestinal Disorder </w:t>
            </w:r>
          </w:p>
        </w:tc>
        <w:tc>
          <w:tcPr>
            <w:tcW w:w="3068" w:type="dxa"/>
          </w:tcPr>
          <w:p w14:paraId="44FF14FB"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2.3 </w:t>
            </w:r>
          </w:p>
        </w:tc>
        <w:tc>
          <w:tcPr>
            <w:tcW w:w="3068" w:type="dxa"/>
          </w:tcPr>
          <w:p w14:paraId="18F479AD" w14:textId="2A866A97"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2.0 </w:t>
            </w:r>
          </w:p>
        </w:tc>
      </w:tr>
      <w:tr w:rsidR="005902E6" w:rsidRPr="00F0302D" w14:paraId="55011650" w14:textId="77777777" w:rsidTr="00E629E1">
        <w:trPr>
          <w:trHeight w:val="262"/>
        </w:trPr>
        <w:tc>
          <w:tcPr>
            <w:tcW w:w="3068" w:type="dxa"/>
          </w:tcPr>
          <w:p w14:paraId="27FA04A9"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Tooth Disorder </w:t>
            </w:r>
          </w:p>
        </w:tc>
        <w:tc>
          <w:tcPr>
            <w:tcW w:w="3068" w:type="dxa"/>
          </w:tcPr>
          <w:p w14:paraId="3D9184E9"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2.0 </w:t>
            </w:r>
          </w:p>
        </w:tc>
        <w:tc>
          <w:tcPr>
            <w:tcW w:w="3068" w:type="dxa"/>
          </w:tcPr>
          <w:p w14:paraId="111AD7F7" w14:textId="01B3F368"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1.3 </w:t>
            </w:r>
          </w:p>
        </w:tc>
      </w:tr>
      <w:tr w:rsidR="00320561" w:rsidRPr="00F0302D" w14:paraId="5994CCB8" w14:textId="77777777" w:rsidTr="00555407">
        <w:trPr>
          <w:trHeight w:val="199"/>
        </w:trPr>
        <w:tc>
          <w:tcPr>
            <w:tcW w:w="9204" w:type="dxa"/>
            <w:gridSpan w:val="3"/>
          </w:tcPr>
          <w:p w14:paraId="04EE0F00" w14:textId="01478516" w:rsidR="00320561" w:rsidRPr="00F0302D" w:rsidRDefault="00320561" w:rsidP="00980EF6">
            <w:pPr>
              <w:spacing w:line="259" w:lineRule="auto"/>
              <w:jc w:val="left"/>
              <w:rPr>
                <w:rFonts w:eastAsia="Arial" w:cstheme="minorHAnsi"/>
                <w:b/>
                <w:sz w:val="20"/>
                <w:szCs w:val="20"/>
              </w:rPr>
            </w:pPr>
            <w:r w:rsidRPr="00F0302D">
              <w:rPr>
                <w:rFonts w:eastAsia="Arial" w:cstheme="minorHAnsi"/>
                <w:b/>
                <w:sz w:val="20"/>
                <w:szCs w:val="20"/>
              </w:rPr>
              <w:t xml:space="preserve">MUSCULOSKELETAL </w:t>
            </w:r>
          </w:p>
        </w:tc>
      </w:tr>
      <w:tr w:rsidR="005902E6" w:rsidRPr="00F0302D" w14:paraId="1738F421" w14:textId="77777777" w:rsidTr="00E629E1">
        <w:trPr>
          <w:trHeight w:val="262"/>
        </w:trPr>
        <w:tc>
          <w:tcPr>
            <w:tcW w:w="3068" w:type="dxa"/>
          </w:tcPr>
          <w:p w14:paraId="3C7E9665"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Arthralgia </w:t>
            </w:r>
          </w:p>
        </w:tc>
        <w:tc>
          <w:tcPr>
            <w:tcW w:w="3068" w:type="dxa"/>
          </w:tcPr>
          <w:p w14:paraId="5F5C7B94"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10.1 </w:t>
            </w:r>
          </w:p>
        </w:tc>
        <w:tc>
          <w:tcPr>
            <w:tcW w:w="3068" w:type="dxa"/>
          </w:tcPr>
          <w:p w14:paraId="209BBB65" w14:textId="26681432"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8.4 </w:t>
            </w:r>
          </w:p>
        </w:tc>
      </w:tr>
      <w:tr w:rsidR="005902E6" w:rsidRPr="00F0302D" w14:paraId="668611A2" w14:textId="77777777" w:rsidTr="00E629E1">
        <w:trPr>
          <w:trHeight w:val="262"/>
        </w:trPr>
        <w:tc>
          <w:tcPr>
            <w:tcW w:w="3068" w:type="dxa"/>
          </w:tcPr>
          <w:p w14:paraId="7EFA432B"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Leg Cramps </w:t>
            </w:r>
          </w:p>
        </w:tc>
        <w:tc>
          <w:tcPr>
            <w:tcW w:w="3068" w:type="dxa"/>
          </w:tcPr>
          <w:p w14:paraId="61EFB6C4"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2.6 </w:t>
            </w:r>
          </w:p>
        </w:tc>
        <w:tc>
          <w:tcPr>
            <w:tcW w:w="3068" w:type="dxa"/>
          </w:tcPr>
          <w:p w14:paraId="2EDE4D92" w14:textId="01DB78F1"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1.3 </w:t>
            </w:r>
          </w:p>
        </w:tc>
      </w:tr>
      <w:tr w:rsidR="00320561" w:rsidRPr="00F0302D" w14:paraId="3B4BB571" w14:textId="77777777" w:rsidTr="00555407">
        <w:trPr>
          <w:trHeight w:val="199"/>
        </w:trPr>
        <w:tc>
          <w:tcPr>
            <w:tcW w:w="9204" w:type="dxa"/>
            <w:gridSpan w:val="3"/>
          </w:tcPr>
          <w:p w14:paraId="795BF7FB" w14:textId="2FE02258" w:rsidR="00320561" w:rsidRPr="00F0302D" w:rsidRDefault="00320561" w:rsidP="00980EF6">
            <w:pPr>
              <w:spacing w:line="259" w:lineRule="auto"/>
              <w:jc w:val="left"/>
              <w:rPr>
                <w:rFonts w:eastAsia="Arial" w:cstheme="minorHAnsi"/>
                <w:sz w:val="20"/>
                <w:szCs w:val="20"/>
              </w:rPr>
            </w:pPr>
            <w:r w:rsidRPr="00F0302D">
              <w:rPr>
                <w:rFonts w:eastAsia="Arial" w:cstheme="minorHAnsi"/>
                <w:b/>
                <w:sz w:val="20"/>
                <w:szCs w:val="20"/>
              </w:rPr>
              <w:t xml:space="preserve">NERVOUS SYSTEM </w:t>
            </w:r>
          </w:p>
        </w:tc>
      </w:tr>
      <w:tr w:rsidR="005902E6" w:rsidRPr="00F0302D" w14:paraId="1645C0DA" w14:textId="77777777" w:rsidTr="00E629E1">
        <w:trPr>
          <w:trHeight w:val="262"/>
        </w:trPr>
        <w:tc>
          <w:tcPr>
            <w:tcW w:w="3068" w:type="dxa"/>
          </w:tcPr>
          <w:p w14:paraId="627C798E"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Dizziness </w:t>
            </w:r>
          </w:p>
        </w:tc>
        <w:tc>
          <w:tcPr>
            <w:tcW w:w="3068" w:type="dxa"/>
          </w:tcPr>
          <w:p w14:paraId="5C501DB1"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8.0 </w:t>
            </w:r>
          </w:p>
        </w:tc>
        <w:tc>
          <w:tcPr>
            <w:tcW w:w="3068" w:type="dxa"/>
          </w:tcPr>
          <w:p w14:paraId="768DA905" w14:textId="3E7431D5"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5.4 </w:t>
            </w:r>
          </w:p>
        </w:tc>
      </w:tr>
      <w:tr w:rsidR="005902E6" w:rsidRPr="00F0302D" w14:paraId="675B97F2" w14:textId="77777777" w:rsidTr="00E629E1">
        <w:trPr>
          <w:trHeight w:val="264"/>
        </w:trPr>
        <w:tc>
          <w:tcPr>
            <w:tcW w:w="3068" w:type="dxa"/>
          </w:tcPr>
          <w:p w14:paraId="0D043767"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Depression </w:t>
            </w:r>
          </w:p>
        </w:tc>
        <w:tc>
          <w:tcPr>
            <w:tcW w:w="3068" w:type="dxa"/>
          </w:tcPr>
          <w:p w14:paraId="75CE137A"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4.1 </w:t>
            </w:r>
          </w:p>
        </w:tc>
        <w:tc>
          <w:tcPr>
            <w:tcW w:w="3068" w:type="dxa"/>
          </w:tcPr>
          <w:p w14:paraId="3AFE28FA" w14:textId="0AA887BB"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2.7 </w:t>
            </w:r>
          </w:p>
        </w:tc>
      </w:tr>
      <w:tr w:rsidR="005902E6" w:rsidRPr="00F0302D" w14:paraId="5EDFD5B6" w14:textId="77777777" w:rsidTr="00E629E1">
        <w:trPr>
          <w:trHeight w:val="262"/>
        </w:trPr>
        <w:tc>
          <w:tcPr>
            <w:tcW w:w="3068" w:type="dxa"/>
          </w:tcPr>
          <w:p w14:paraId="3FE10CD6"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Insomnia </w:t>
            </w:r>
          </w:p>
        </w:tc>
        <w:tc>
          <w:tcPr>
            <w:tcW w:w="3068" w:type="dxa"/>
          </w:tcPr>
          <w:p w14:paraId="37B63320"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4.3 </w:t>
            </w:r>
          </w:p>
        </w:tc>
        <w:tc>
          <w:tcPr>
            <w:tcW w:w="3068" w:type="dxa"/>
          </w:tcPr>
          <w:p w14:paraId="3F2C568B" w14:textId="7E6BD21E"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3.6 </w:t>
            </w:r>
          </w:p>
        </w:tc>
      </w:tr>
      <w:tr w:rsidR="005902E6" w:rsidRPr="00F0302D" w14:paraId="62112BA1" w14:textId="77777777" w:rsidTr="00E629E1">
        <w:trPr>
          <w:trHeight w:val="262"/>
        </w:trPr>
        <w:tc>
          <w:tcPr>
            <w:tcW w:w="3068" w:type="dxa"/>
          </w:tcPr>
          <w:p w14:paraId="4C168228"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Vertigo </w:t>
            </w:r>
          </w:p>
        </w:tc>
        <w:tc>
          <w:tcPr>
            <w:tcW w:w="3068" w:type="dxa"/>
          </w:tcPr>
          <w:p w14:paraId="168C069C"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3.8 </w:t>
            </w:r>
          </w:p>
        </w:tc>
        <w:tc>
          <w:tcPr>
            <w:tcW w:w="3068" w:type="dxa"/>
          </w:tcPr>
          <w:p w14:paraId="7654C6F4" w14:textId="0968CA27"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2.7 </w:t>
            </w:r>
          </w:p>
        </w:tc>
      </w:tr>
      <w:tr w:rsidR="00320561" w:rsidRPr="00F0302D" w14:paraId="720F2B45" w14:textId="77777777" w:rsidTr="00555407">
        <w:trPr>
          <w:trHeight w:val="200"/>
        </w:trPr>
        <w:tc>
          <w:tcPr>
            <w:tcW w:w="9204" w:type="dxa"/>
            <w:gridSpan w:val="3"/>
          </w:tcPr>
          <w:p w14:paraId="0EAB290C" w14:textId="70A1CBFF" w:rsidR="00320561" w:rsidRPr="00F0302D" w:rsidRDefault="00320561" w:rsidP="00980EF6">
            <w:pPr>
              <w:spacing w:line="259" w:lineRule="auto"/>
              <w:jc w:val="left"/>
              <w:rPr>
                <w:rFonts w:eastAsia="Arial" w:cstheme="minorHAnsi"/>
                <w:sz w:val="20"/>
                <w:szCs w:val="20"/>
              </w:rPr>
            </w:pPr>
            <w:r w:rsidRPr="00F0302D">
              <w:rPr>
                <w:rFonts w:eastAsia="Arial" w:cstheme="minorHAnsi"/>
                <w:b/>
                <w:sz w:val="20"/>
                <w:szCs w:val="20"/>
              </w:rPr>
              <w:t xml:space="preserve">RESPIRATORY SYSTEM </w:t>
            </w:r>
          </w:p>
        </w:tc>
      </w:tr>
      <w:tr w:rsidR="005902E6" w:rsidRPr="00F0302D" w14:paraId="46B7D4BA" w14:textId="77777777" w:rsidTr="00E629E1">
        <w:trPr>
          <w:trHeight w:val="262"/>
        </w:trPr>
        <w:tc>
          <w:tcPr>
            <w:tcW w:w="3068" w:type="dxa"/>
          </w:tcPr>
          <w:p w14:paraId="4AFBF345"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Rhinitis </w:t>
            </w:r>
          </w:p>
        </w:tc>
        <w:tc>
          <w:tcPr>
            <w:tcW w:w="3068" w:type="dxa"/>
          </w:tcPr>
          <w:p w14:paraId="3EB08BFD"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9.6 </w:t>
            </w:r>
          </w:p>
        </w:tc>
        <w:tc>
          <w:tcPr>
            <w:tcW w:w="3068" w:type="dxa"/>
          </w:tcPr>
          <w:p w14:paraId="0E88DC34" w14:textId="29D54EA1"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8.8 </w:t>
            </w:r>
          </w:p>
        </w:tc>
      </w:tr>
      <w:tr w:rsidR="005902E6" w:rsidRPr="00F0302D" w14:paraId="31BC6773" w14:textId="77777777" w:rsidTr="00E629E1">
        <w:trPr>
          <w:trHeight w:val="262"/>
        </w:trPr>
        <w:tc>
          <w:tcPr>
            <w:tcW w:w="3068" w:type="dxa"/>
          </w:tcPr>
          <w:p w14:paraId="1568C97A"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Cough Increased </w:t>
            </w:r>
          </w:p>
        </w:tc>
        <w:tc>
          <w:tcPr>
            <w:tcW w:w="3068" w:type="dxa"/>
          </w:tcPr>
          <w:p w14:paraId="700601FE"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6.4 </w:t>
            </w:r>
          </w:p>
        </w:tc>
        <w:tc>
          <w:tcPr>
            <w:tcW w:w="3068" w:type="dxa"/>
          </w:tcPr>
          <w:p w14:paraId="13EACC48" w14:textId="773645D6"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5.5 </w:t>
            </w:r>
          </w:p>
        </w:tc>
      </w:tr>
      <w:tr w:rsidR="005902E6" w:rsidRPr="00F0302D" w14:paraId="35988D61" w14:textId="77777777" w:rsidTr="00E629E1">
        <w:trPr>
          <w:trHeight w:val="262"/>
        </w:trPr>
        <w:tc>
          <w:tcPr>
            <w:tcW w:w="3068" w:type="dxa"/>
          </w:tcPr>
          <w:p w14:paraId="23D96292"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Pharyngitis </w:t>
            </w:r>
          </w:p>
        </w:tc>
        <w:tc>
          <w:tcPr>
            <w:tcW w:w="3068" w:type="dxa"/>
          </w:tcPr>
          <w:p w14:paraId="65A752EE"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5.5 </w:t>
            </w:r>
          </w:p>
        </w:tc>
        <w:tc>
          <w:tcPr>
            <w:tcW w:w="3068" w:type="dxa"/>
          </w:tcPr>
          <w:p w14:paraId="1F5CCB96" w14:textId="78220A4A"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4.8 </w:t>
            </w:r>
          </w:p>
        </w:tc>
      </w:tr>
      <w:tr w:rsidR="005902E6" w:rsidRPr="00F0302D" w14:paraId="72EA9E33" w14:textId="77777777" w:rsidTr="00E629E1">
        <w:trPr>
          <w:trHeight w:val="261"/>
        </w:trPr>
        <w:tc>
          <w:tcPr>
            <w:tcW w:w="3068" w:type="dxa"/>
          </w:tcPr>
          <w:p w14:paraId="387486B9"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Dyspnoea </w:t>
            </w:r>
          </w:p>
        </w:tc>
        <w:tc>
          <w:tcPr>
            <w:tcW w:w="3068" w:type="dxa"/>
          </w:tcPr>
          <w:p w14:paraId="696141CB"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3.6 </w:t>
            </w:r>
          </w:p>
        </w:tc>
        <w:tc>
          <w:tcPr>
            <w:tcW w:w="3068" w:type="dxa"/>
          </w:tcPr>
          <w:p w14:paraId="488C7ECE" w14:textId="4CF1BA49"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2.6 </w:t>
            </w:r>
          </w:p>
        </w:tc>
      </w:tr>
      <w:tr w:rsidR="005902E6" w:rsidRPr="00F0302D" w14:paraId="01C477BF" w14:textId="77777777" w:rsidTr="00E629E1">
        <w:trPr>
          <w:trHeight w:val="264"/>
        </w:trPr>
        <w:tc>
          <w:tcPr>
            <w:tcW w:w="3068" w:type="dxa"/>
          </w:tcPr>
          <w:p w14:paraId="2DC402DD"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Pneumonia </w:t>
            </w:r>
          </w:p>
        </w:tc>
        <w:tc>
          <w:tcPr>
            <w:tcW w:w="3068" w:type="dxa"/>
          </w:tcPr>
          <w:p w14:paraId="53AEA755"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3.9 </w:t>
            </w:r>
          </w:p>
        </w:tc>
        <w:tc>
          <w:tcPr>
            <w:tcW w:w="3068" w:type="dxa"/>
          </w:tcPr>
          <w:p w14:paraId="2A261394" w14:textId="708450AB"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3.3 </w:t>
            </w:r>
          </w:p>
        </w:tc>
      </w:tr>
      <w:tr w:rsidR="00320561" w:rsidRPr="00F0302D" w14:paraId="1E4F1FA1" w14:textId="77777777" w:rsidTr="00555407">
        <w:trPr>
          <w:trHeight w:val="262"/>
        </w:trPr>
        <w:tc>
          <w:tcPr>
            <w:tcW w:w="9204" w:type="dxa"/>
            <w:gridSpan w:val="3"/>
          </w:tcPr>
          <w:p w14:paraId="0A57E78C" w14:textId="75D4A9D4" w:rsidR="00320561" w:rsidRPr="00F0302D" w:rsidRDefault="00320561" w:rsidP="00980EF6">
            <w:pPr>
              <w:spacing w:line="259" w:lineRule="auto"/>
              <w:jc w:val="left"/>
              <w:rPr>
                <w:rFonts w:eastAsia="Arial" w:cstheme="minorHAnsi"/>
                <w:sz w:val="20"/>
                <w:szCs w:val="20"/>
              </w:rPr>
            </w:pPr>
            <w:r w:rsidRPr="00F0302D">
              <w:rPr>
                <w:rFonts w:eastAsia="Arial" w:cstheme="minorHAnsi"/>
                <w:b/>
                <w:sz w:val="20"/>
                <w:szCs w:val="20"/>
              </w:rPr>
              <w:t>SKIN AND APPENDAGES</w:t>
            </w:r>
            <w:r w:rsidRPr="00F0302D">
              <w:rPr>
                <w:rFonts w:eastAsia="Arial" w:cstheme="minorHAnsi"/>
                <w:sz w:val="20"/>
                <w:szCs w:val="20"/>
              </w:rPr>
              <w:t xml:space="preserve"> </w:t>
            </w:r>
          </w:p>
        </w:tc>
      </w:tr>
      <w:tr w:rsidR="005902E6" w:rsidRPr="00F0302D" w14:paraId="362E9247" w14:textId="77777777" w:rsidTr="00E629E1">
        <w:trPr>
          <w:trHeight w:val="262"/>
        </w:trPr>
        <w:tc>
          <w:tcPr>
            <w:tcW w:w="3068" w:type="dxa"/>
          </w:tcPr>
          <w:p w14:paraId="5C7D38E8"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Rash </w:t>
            </w:r>
          </w:p>
        </w:tc>
        <w:tc>
          <w:tcPr>
            <w:tcW w:w="3068" w:type="dxa"/>
          </w:tcPr>
          <w:p w14:paraId="4AFCF8D1"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4.9 </w:t>
            </w:r>
          </w:p>
        </w:tc>
        <w:tc>
          <w:tcPr>
            <w:tcW w:w="3068" w:type="dxa"/>
          </w:tcPr>
          <w:p w14:paraId="517783E8" w14:textId="67AC7650"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4.5 </w:t>
            </w:r>
          </w:p>
        </w:tc>
      </w:tr>
      <w:tr w:rsidR="005902E6" w:rsidRPr="00F0302D" w14:paraId="678646D5" w14:textId="77777777" w:rsidTr="00E629E1">
        <w:trPr>
          <w:trHeight w:val="262"/>
        </w:trPr>
        <w:tc>
          <w:tcPr>
            <w:tcW w:w="3068" w:type="dxa"/>
          </w:tcPr>
          <w:p w14:paraId="33AE8982"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Sweating </w:t>
            </w:r>
          </w:p>
        </w:tc>
        <w:tc>
          <w:tcPr>
            <w:tcW w:w="3068" w:type="dxa"/>
          </w:tcPr>
          <w:p w14:paraId="49DE004A"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2.2 </w:t>
            </w:r>
          </w:p>
        </w:tc>
        <w:tc>
          <w:tcPr>
            <w:tcW w:w="3068" w:type="dxa"/>
          </w:tcPr>
          <w:p w14:paraId="7FB47185" w14:textId="5E43C981"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1.7 </w:t>
            </w:r>
          </w:p>
        </w:tc>
      </w:tr>
      <w:tr w:rsidR="00320561" w:rsidRPr="00F0302D" w14:paraId="0AA42EC7" w14:textId="77777777" w:rsidTr="00555407">
        <w:trPr>
          <w:trHeight w:val="262"/>
        </w:trPr>
        <w:tc>
          <w:tcPr>
            <w:tcW w:w="9204" w:type="dxa"/>
            <w:gridSpan w:val="3"/>
          </w:tcPr>
          <w:p w14:paraId="25036960" w14:textId="4C377679" w:rsidR="00320561" w:rsidRPr="00F0302D" w:rsidRDefault="00320561" w:rsidP="00980EF6">
            <w:pPr>
              <w:spacing w:line="259" w:lineRule="auto"/>
              <w:jc w:val="left"/>
              <w:rPr>
                <w:rFonts w:eastAsia="Arial" w:cstheme="minorHAnsi"/>
                <w:sz w:val="20"/>
                <w:szCs w:val="20"/>
              </w:rPr>
            </w:pPr>
            <w:r w:rsidRPr="00F0302D">
              <w:rPr>
                <w:rFonts w:eastAsia="Arial" w:cstheme="minorHAnsi"/>
                <w:b/>
                <w:sz w:val="20"/>
                <w:szCs w:val="20"/>
              </w:rPr>
              <w:t>LABORATORY VALUES</w:t>
            </w:r>
            <w:r w:rsidRPr="00F0302D">
              <w:rPr>
                <w:rFonts w:eastAsia="Arial" w:cstheme="minorHAnsi"/>
                <w:sz w:val="20"/>
                <w:szCs w:val="20"/>
              </w:rPr>
              <w:t xml:space="preserve"> </w:t>
            </w:r>
          </w:p>
        </w:tc>
      </w:tr>
      <w:tr w:rsidR="005902E6" w:rsidRPr="00F0302D" w14:paraId="6F9284B2" w14:textId="77777777" w:rsidTr="00E629E1">
        <w:trPr>
          <w:trHeight w:val="264"/>
        </w:trPr>
        <w:tc>
          <w:tcPr>
            <w:tcW w:w="3068" w:type="dxa"/>
          </w:tcPr>
          <w:p w14:paraId="57A33240" w14:textId="77777777" w:rsidR="005902E6" w:rsidRPr="00F0302D" w:rsidRDefault="005902E6" w:rsidP="00980EF6">
            <w:pPr>
              <w:spacing w:line="259" w:lineRule="auto"/>
              <w:ind w:left="284"/>
              <w:jc w:val="left"/>
              <w:rPr>
                <w:rFonts w:cstheme="minorHAnsi"/>
                <w:sz w:val="20"/>
                <w:szCs w:val="20"/>
              </w:rPr>
            </w:pPr>
            <w:r w:rsidRPr="00F0302D">
              <w:rPr>
                <w:rFonts w:eastAsia="Arial" w:cstheme="minorHAnsi"/>
                <w:sz w:val="20"/>
                <w:szCs w:val="20"/>
              </w:rPr>
              <w:t xml:space="preserve">Hyperuricaemia </w:t>
            </w:r>
          </w:p>
        </w:tc>
        <w:tc>
          <w:tcPr>
            <w:tcW w:w="3068" w:type="dxa"/>
          </w:tcPr>
          <w:p w14:paraId="2ACBB6AA" w14:textId="77777777" w:rsidR="005902E6" w:rsidRPr="00F0302D" w:rsidRDefault="005902E6" w:rsidP="00980EF6">
            <w:pPr>
              <w:spacing w:line="259" w:lineRule="auto"/>
              <w:jc w:val="left"/>
              <w:rPr>
                <w:rFonts w:cstheme="minorHAnsi"/>
                <w:sz w:val="20"/>
                <w:szCs w:val="20"/>
              </w:rPr>
            </w:pPr>
            <w:r w:rsidRPr="00F0302D">
              <w:rPr>
                <w:rFonts w:eastAsia="Arial" w:cstheme="minorHAnsi"/>
                <w:sz w:val="20"/>
                <w:szCs w:val="20"/>
              </w:rPr>
              <w:t xml:space="preserve">2.8  </w:t>
            </w:r>
          </w:p>
        </w:tc>
        <w:tc>
          <w:tcPr>
            <w:tcW w:w="3068" w:type="dxa"/>
          </w:tcPr>
          <w:p w14:paraId="66F44002" w14:textId="4688E12D" w:rsidR="005902E6" w:rsidRPr="00F0302D" w:rsidRDefault="005902E6" w:rsidP="00980EF6">
            <w:pPr>
              <w:spacing w:line="259" w:lineRule="auto"/>
              <w:jc w:val="left"/>
              <w:rPr>
                <w:rFonts w:eastAsia="Arial" w:cstheme="minorHAnsi"/>
                <w:sz w:val="20"/>
                <w:szCs w:val="20"/>
              </w:rPr>
            </w:pPr>
            <w:r w:rsidRPr="00F0302D">
              <w:rPr>
                <w:rFonts w:eastAsia="Arial" w:cstheme="minorHAnsi"/>
                <w:sz w:val="20"/>
                <w:szCs w:val="20"/>
              </w:rPr>
              <w:t xml:space="preserve">0.7 </w:t>
            </w:r>
          </w:p>
        </w:tc>
      </w:tr>
    </w:tbl>
    <w:p w14:paraId="0AB3ECC1" w14:textId="77777777" w:rsidR="00320561" w:rsidRDefault="00320561" w:rsidP="00980EF6">
      <w:pPr>
        <w:pStyle w:val="NormalIndent1"/>
        <w:jc w:val="left"/>
        <w:rPr>
          <w:sz w:val="20"/>
          <w:szCs w:val="20"/>
          <w:lang w:val="en"/>
        </w:rPr>
      </w:pPr>
    </w:p>
    <w:p w14:paraId="2BAAF750" w14:textId="1FD5B8BA" w:rsidR="00A570D8" w:rsidRPr="00320561" w:rsidRDefault="00A570D8" w:rsidP="00980EF6">
      <w:pPr>
        <w:pStyle w:val="NormalIndent1"/>
        <w:jc w:val="left"/>
        <w:rPr>
          <w:sz w:val="20"/>
          <w:szCs w:val="20"/>
          <w:lang w:val="en"/>
        </w:rPr>
      </w:pPr>
      <w:r w:rsidRPr="00320561">
        <w:rPr>
          <w:sz w:val="20"/>
          <w:szCs w:val="20"/>
          <w:lang w:val="en"/>
        </w:rPr>
        <w:t>NOTE: The incidence of hypertension, syncope, dyspepsia, rhinitis and pharyngitis in patients treated with teriparatide 40</w:t>
      </w:r>
      <w:r w:rsidR="00320561">
        <w:rPr>
          <w:sz w:val="20"/>
          <w:szCs w:val="20"/>
          <w:lang w:val="en"/>
        </w:rPr>
        <w:t> micrograms</w:t>
      </w:r>
      <w:r w:rsidRPr="00320561">
        <w:rPr>
          <w:sz w:val="20"/>
          <w:szCs w:val="20"/>
          <w:lang w:val="en"/>
        </w:rPr>
        <w:t xml:space="preserve">/day (twice the recommended dose) was lower than the incidence in placebo-treated patients. </w:t>
      </w:r>
    </w:p>
    <w:p w14:paraId="23D1BA6E" w14:textId="13952FF6" w:rsidR="005902E6" w:rsidRDefault="005902E6" w:rsidP="00980EF6">
      <w:pPr>
        <w:pStyle w:val="NormalIndent1"/>
        <w:jc w:val="left"/>
      </w:pPr>
    </w:p>
    <w:p w14:paraId="74BFA34A" w14:textId="651C7A1B" w:rsidR="00A570D8" w:rsidRDefault="00A570D8" w:rsidP="00980EF6">
      <w:pPr>
        <w:pStyle w:val="Heading3"/>
        <w:jc w:val="left"/>
      </w:pPr>
      <w:r>
        <w:t>Immunogenicity</w:t>
      </w:r>
    </w:p>
    <w:p w14:paraId="3468EA83" w14:textId="77777777" w:rsidR="00320561" w:rsidRPr="00320561" w:rsidRDefault="00320561" w:rsidP="00980EF6">
      <w:pPr>
        <w:jc w:val="left"/>
      </w:pPr>
    </w:p>
    <w:p w14:paraId="76E84863" w14:textId="5762A0A9" w:rsidR="00A570D8" w:rsidRDefault="00A570D8" w:rsidP="00980EF6">
      <w:pPr>
        <w:pStyle w:val="NormalIndent1"/>
        <w:jc w:val="left"/>
      </w:pPr>
      <w:r>
        <w:t xml:space="preserve">In a large clinical trial, antibodies that cross-reacted with teriparatide were detected in 2.8% of female patients receiving </w:t>
      </w:r>
      <w:r w:rsidR="00D31FB8">
        <w:rPr>
          <w:color w:val="000000" w:themeColor="text1"/>
        </w:rPr>
        <w:t>t</w:t>
      </w:r>
      <w:r w:rsidR="00D31FB8" w:rsidRPr="00BF032A">
        <w:rPr>
          <w:color w:val="000000" w:themeColor="text1"/>
        </w:rPr>
        <w:t>eriparatide</w:t>
      </w:r>
      <w:r>
        <w:t xml:space="preserve">. Generally, antibodies were first detected following 12 months of treatment and diminished after withdrawal of therapy. There were no hypersensitivity reactions, allergic reactions, effects on serum calcium or effects on BMD response, which indicates that the antibodies did not cause any clinically significant adverse effects. </w:t>
      </w:r>
    </w:p>
    <w:p w14:paraId="482DFD91" w14:textId="77777777" w:rsidR="00A570D8" w:rsidRDefault="00A570D8" w:rsidP="00980EF6">
      <w:pPr>
        <w:pStyle w:val="NormalIndent1"/>
        <w:jc w:val="left"/>
      </w:pPr>
      <w:r>
        <w:t xml:space="preserve"> </w:t>
      </w:r>
    </w:p>
    <w:p w14:paraId="27658A67" w14:textId="7DBA674E" w:rsidR="00A570D8" w:rsidRDefault="00A570D8" w:rsidP="00980EF6">
      <w:pPr>
        <w:pStyle w:val="Heading3"/>
        <w:jc w:val="left"/>
      </w:pPr>
      <w:r>
        <w:t xml:space="preserve">Spontaneous </w:t>
      </w:r>
      <w:r w:rsidR="00320561">
        <w:t>Data</w:t>
      </w:r>
    </w:p>
    <w:p w14:paraId="7839C30C" w14:textId="77777777" w:rsidR="00320561" w:rsidRPr="00320561" w:rsidRDefault="00320561" w:rsidP="00980EF6">
      <w:pPr>
        <w:jc w:val="left"/>
      </w:pPr>
    </w:p>
    <w:p w14:paraId="7D7B6C61" w14:textId="731A1B76" w:rsidR="00A570D8" w:rsidRDefault="00A570D8" w:rsidP="00980EF6">
      <w:pPr>
        <w:pStyle w:val="NormalIndent1"/>
        <w:jc w:val="left"/>
      </w:pPr>
      <w:r>
        <w:t xml:space="preserve">The following table of adverse reactions is based on post-marketing spontaneous reports since market introduction. The following convention has been used for the classification of the adverse reactions: very common (&gt;1/10), common (&gt;1/100, &lt;1/10), uncommon (&gt;1/1000, &lt;1/100), rare (&gt;1/10,000. &lt;1/1000), very rare (&lt;1/10,000). </w:t>
      </w:r>
    </w:p>
    <w:p w14:paraId="5D5DB4B3" w14:textId="50AB28E5" w:rsidR="00A570D8" w:rsidRDefault="00A570D8" w:rsidP="00980EF6">
      <w:pPr>
        <w:pStyle w:val="NormalIndent1"/>
        <w:jc w:val="left"/>
      </w:pPr>
    </w:p>
    <w:p w14:paraId="09A4C73E" w14:textId="5E232EB6" w:rsidR="00A570D8" w:rsidRPr="00320561" w:rsidRDefault="00A570D8" w:rsidP="00980EF6">
      <w:pPr>
        <w:pStyle w:val="NormalIndent1"/>
        <w:pageBreakBefore/>
        <w:jc w:val="left"/>
        <w:rPr>
          <w:b/>
        </w:rPr>
      </w:pPr>
      <w:r w:rsidRPr="00320561">
        <w:rPr>
          <w:b/>
        </w:rPr>
        <w:lastRenderedPageBreak/>
        <w:t xml:space="preserve">Table 2: Tabulated </w:t>
      </w:r>
      <w:r w:rsidR="00320561" w:rsidRPr="00320561">
        <w:rPr>
          <w:b/>
        </w:rPr>
        <w:t xml:space="preserve">List </w:t>
      </w:r>
      <w:r w:rsidRPr="00320561">
        <w:rPr>
          <w:b/>
        </w:rPr>
        <w:t>of Spontaneously Reported Adverse Reactions</w:t>
      </w:r>
    </w:p>
    <w:p w14:paraId="117C416F" w14:textId="77777777" w:rsidR="00A570D8" w:rsidRDefault="00A570D8" w:rsidP="00980EF6">
      <w:pPr>
        <w:pStyle w:val="NormalIndent1"/>
        <w:jc w:val="left"/>
      </w:pPr>
    </w:p>
    <w:tbl>
      <w:tblPr>
        <w:tblStyle w:val="TableGrid"/>
        <w:tblW w:w="9199" w:type="dxa"/>
        <w:tblInd w:w="425" w:type="dxa"/>
        <w:tblLook w:val="04A0" w:firstRow="1" w:lastRow="0" w:firstColumn="1" w:lastColumn="0" w:noHBand="0" w:noVBand="1"/>
      </w:tblPr>
      <w:tblGrid>
        <w:gridCol w:w="4599"/>
        <w:gridCol w:w="4600"/>
      </w:tblGrid>
      <w:tr w:rsidR="00A570D8" w:rsidRPr="00394136" w14:paraId="2487041F" w14:textId="77777777" w:rsidTr="00E629E1">
        <w:trPr>
          <w:tblHeader/>
        </w:trPr>
        <w:tc>
          <w:tcPr>
            <w:tcW w:w="4599" w:type="dxa"/>
            <w:tcBorders>
              <w:top w:val="single" w:sz="12" w:space="0" w:color="auto"/>
              <w:left w:val="single" w:sz="12" w:space="0" w:color="auto"/>
              <w:bottom w:val="single" w:sz="12" w:space="0" w:color="auto"/>
              <w:right w:val="single" w:sz="12" w:space="0" w:color="auto"/>
            </w:tcBorders>
          </w:tcPr>
          <w:p w14:paraId="66E703BB" w14:textId="710D7CDA" w:rsidR="00A570D8" w:rsidRPr="00394136" w:rsidRDefault="00A570D8" w:rsidP="00980EF6">
            <w:pPr>
              <w:pStyle w:val="NormalIndent1"/>
              <w:ind w:left="0"/>
              <w:jc w:val="left"/>
              <w:rPr>
                <w:b/>
                <w:sz w:val="20"/>
                <w:szCs w:val="20"/>
              </w:rPr>
            </w:pPr>
            <w:r w:rsidRPr="00A570D8">
              <w:rPr>
                <w:b/>
                <w:sz w:val="20"/>
                <w:szCs w:val="20"/>
              </w:rPr>
              <w:t>System Organ Class</w:t>
            </w:r>
          </w:p>
        </w:tc>
        <w:tc>
          <w:tcPr>
            <w:tcW w:w="4600" w:type="dxa"/>
            <w:tcBorders>
              <w:top w:val="single" w:sz="12" w:space="0" w:color="auto"/>
              <w:left w:val="single" w:sz="12" w:space="0" w:color="auto"/>
              <w:bottom w:val="single" w:sz="12" w:space="0" w:color="auto"/>
              <w:right w:val="single" w:sz="12" w:space="0" w:color="auto"/>
            </w:tcBorders>
          </w:tcPr>
          <w:p w14:paraId="478716EB" w14:textId="62846D8F" w:rsidR="00A570D8" w:rsidRPr="00394136" w:rsidRDefault="00A570D8" w:rsidP="00980EF6">
            <w:pPr>
              <w:pStyle w:val="NormalIndent1"/>
              <w:ind w:left="0"/>
              <w:jc w:val="left"/>
              <w:rPr>
                <w:b/>
                <w:sz w:val="20"/>
                <w:szCs w:val="20"/>
              </w:rPr>
            </w:pPr>
            <w:r w:rsidRPr="00A570D8">
              <w:rPr>
                <w:b/>
                <w:sz w:val="20"/>
                <w:szCs w:val="20"/>
              </w:rPr>
              <w:t>Adverse Reactions</w:t>
            </w:r>
          </w:p>
        </w:tc>
      </w:tr>
      <w:tr w:rsidR="00B1558E" w14:paraId="7F3F0F57" w14:textId="77777777" w:rsidTr="00B1558E">
        <w:tc>
          <w:tcPr>
            <w:tcW w:w="4599" w:type="dxa"/>
            <w:tcBorders>
              <w:top w:val="single" w:sz="12" w:space="0" w:color="auto"/>
              <w:bottom w:val="single" w:sz="2" w:space="0" w:color="auto"/>
            </w:tcBorders>
          </w:tcPr>
          <w:p w14:paraId="0807743B" w14:textId="0170AC7A" w:rsidR="00B1558E" w:rsidRPr="00A570D8" w:rsidRDefault="00B1558E" w:rsidP="00980EF6">
            <w:pPr>
              <w:pStyle w:val="NormalIndent1"/>
              <w:ind w:left="0"/>
              <w:jc w:val="left"/>
              <w:rPr>
                <w:sz w:val="20"/>
                <w:szCs w:val="20"/>
              </w:rPr>
            </w:pPr>
            <w:r w:rsidRPr="00B1558E">
              <w:rPr>
                <w:sz w:val="20"/>
                <w:szCs w:val="20"/>
              </w:rPr>
              <w:t xml:space="preserve">Blood and lymphatic system disorders  </w:t>
            </w:r>
          </w:p>
        </w:tc>
        <w:tc>
          <w:tcPr>
            <w:tcW w:w="4600" w:type="dxa"/>
            <w:tcBorders>
              <w:top w:val="single" w:sz="12" w:space="0" w:color="auto"/>
              <w:bottom w:val="single" w:sz="2" w:space="0" w:color="auto"/>
            </w:tcBorders>
          </w:tcPr>
          <w:p w14:paraId="2102B0A3" w14:textId="1C9CD793" w:rsidR="00B1558E" w:rsidRPr="00813278" w:rsidRDefault="00B1558E" w:rsidP="00980EF6">
            <w:pPr>
              <w:pStyle w:val="NormalIndent1"/>
              <w:ind w:left="0"/>
              <w:jc w:val="left"/>
              <w:rPr>
                <w:i/>
                <w:iCs/>
                <w:sz w:val="20"/>
                <w:szCs w:val="20"/>
                <w:u w:val="single"/>
              </w:rPr>
            </w:pPr>
            <w:r w:rsidRPr="00813278">
              <w:rPr>
                <w:i/>
                <w:iCs/>
                <w:sz w:val="20"/>
                <w:szCs w:val="20"/>
              </w:rPr>
              <w:t>Common</w:t>
            </w:r>
            <w:r w:rsidRPr="00813278">
              <w:rPr>
                <w:sz w:val="20"/>
                <w:szCs w:val="20"/>
              </w:rPr>
              <w:t xml:space="preserve">: Anaemia.  </w:t>
            </w:r>
          </w:p>
        </w:tc>
      </w:tr>
      <w:tr w:rsidR="00A570D8" w14:paraId="3A1659A5" w14:textId="77777777" w:rsidTr="00B1558E">
        <w:tc>
          <w:tcPr>
            <w:tcW w:w="4599" w:type="dxa"/>
            <w:tcBorders>
              <w:top w:val="single" w:sz="2" w:space="0" w:color="auto"/>
            </w:tcBorders>
          </w:tcPr>
          <w:p w14:paraId="6AB5EF6D" w14:textId="66053DDB" w:rsidR="00A570D8" w:rsidRPr="00394136" w:rsidRDefault="00A570D8" w:rsidP="00980EF6">
            <w:pPr>
              <w:pStyle w:val="NormalIndent1"/>
              <w:ind w:left="0"/>
              <w:jc w:val="left"/>
              <w:rPr>
                <w:sz w:val="20"/>
                <w:szCs w:val="20"/>
              </w:rPr>
            </w:pPr>
            <w:r w:rsidRPr="00A570D8">
              <w:rPr>
                <w:sz w:val="20"/>
                <w:szCs w:val="20"/>
              </w:rPr>
              <w:t>General Disorders and Administration Site Conditions</w:t>
            </w:r>
          </w:p>
        </w:tc>
        <w:tc>
          <w:tcPr>
            <w:tcW w:w="4600" w:type="dxa"/>
            <w:tcBorders>
              <w:top w:val="single" w:sz="2" w:space="0" w:color="auto"/>
            </w:tcBorders>
          </w:tcPr>
          <w:p w14:paraId="38162709" w14:textId="77777777" w:rsidR="00A570D8" w:rsidRPr="00A570D8" w:rsidRDefault="00A570D8" w:rsidP="00980EF6">
            <w:pPr>
              <w:pStyle w:val="NormalIndent1"/>
              <w:ind w:left="0"/>
              <w:jc w:val="left"/>
              <w:rPr>
                <w:sz w:val="20"/>
                <w:szCs w:val="20"/>
              </w:rPr>
            </w:pPr>
            <w:r w:rsidRPr="00E629E1">
              <w:rPr>
                <w:i/>
                <w:iCs/>
                <w:sz w:val="20"/>
                <w:szCs w:val="20"/>
                <w:u w:val="single"/>
              </w:rPr>
              <w:t>Common</w:t>
            </w:r>
            <w:r w:rsidRPr="00A570D8">
              <w:rPr>
                <w:sz w:val="20"/>
                <w:szCs w:val="20"/>
              </w:rPr>
              <w:t xml:space="preserve">: Mild and transient injection site events, including pain, swelling, erythema, localised bruising, pruritus and minor bleeding at injection site. </w:t>
            </w:r>
          </w:p>
          <w:p w14:paraId="60AF2474" w14:textId="44E448C1" w:rsidR="00A570D8" w:rsidRPr="00394136" w:rsidRDefault="00A570D8" w:rsidP="00980EF6">
            <w:pPr>
              <w:pStyle w:val="NormalIndent1"/>
              <w:ind w:left="0"/>
              <w:jc w:val="left"/>
              <w:rPr>
                <w:sz w:val="20"/>
                <w:szCs w:val="20"/>
              </w:rPr>
            </w:pPr>
            <w:r w:rsidRPr="00E629E1">
              <w:rPr>
                <w:i/>
                <w:iCs/>
                <w:sz w:val="20"/>
                <w:szCs w:val="20"/>
                <w:u w:val="single"/>
              </w:rPr>
              <w:t>Rare</w:t>
            </w:r>
            <w:r w:rsidRPr="00A570D8">
              <w:rPr>
                <w:sz w:val="20"/>
                <w:szCs w:val="20"/>
              </w:rPr>
              <w:t xml:space="preserve">: Possible allergic events soon after injection: acute dyspnoea, oro/facial oedema, generalised urticaria, chest pain, anaphylaxis.  </w:t>
            </w:r>
          </w:p>
        </w:tc>
      </w:tr>
      <w:tr w:rsidR="00A570D8" w14:paraId="406E4DA9" w14:textId="77777777" w:rsidTr="0032756B">
        <w:tc>
          <w:tcPr>
            <w:tcW w:w="4599" w:type="dxa"/>
          </w:tcPr>
          <w:p w14:paraId="0679F12D" w14:textId="32F3ADA1" w:rsidR="00A570D8" w:rsidRPr="00394136" w:rsidRDefault="00A570D8" w:rsidP="00980EF6">
            <w:pPr>
              <w:pStyle w:val="NormalIndent1"/>
              <w:ind w:left="0"/>
              <w:jc w:val="left"/>
              <w:rPr>
                <w:sz w:val="20"/>
                <w:szCs w:val="20"/>
              </w:rPr>
            </w:pPr>
            <w:bookmarkStart w:id="0" w:name="_Hlk115450399"/>
            <w:r w:rsidRPr="00A570D8">
              <w:rPr>
                <w:sz w:val="20"/>
                <w:szCs w:val="20"/>
              </w:rPr>
              <w:t>Metabolism and Nutrition Disorders</w:t>
            </w:r>
          </w:p>
        </w:tc>
        <w:tc>
          <w:tcPr>
            <w:tcW w:w="4600" w:type="dxa"/>
          </w:tcPr>
          <w:p w14:paraId="404582EC" w14:textId="4B9C6F15" w:rsidR="00A570D8" w:rsidRPr="00A570D8" w:rsidRDefault="00A570D8" w:rsidP="00980EF6">
            <w:pPr>
              <w:pStyle w:val="NormalIndent1"/>
              <w:ind w:left="0"/>
              <w:jc w:val="left"/>
              <w:rPr>
                <w:sz w:val="20"/>
                <w:szCs w:val="20"/>
              </w:rPr>
            </w:pPr>
            <w:r w:rsidRPr="00E629E1">
              <w:rPr>
                <w:i/>
                <w:iCs/>
                <w:sz w:val="20"/>
                <w:szCs w:val="20"/>
                <w:u w:val="single"/>
              </w:rPr>
              <w:t>Uncommon</w:t>
            </w:r>
            <w:r w:rsidRPr="00A570D8">
              <w:rPr>
                <w:sz w:val="20"/>
                <w:szCs w:val="20"/>
              </w:rPr>
              <w:t>: Hypercalcaemia greater than 2.76</w:t>
            </w:r>
            <w:r w:rsidR="005D0427">
              <w:rPr>
                <w:sz w:val="20"/>
                <w:szCs w:val="20"/>
              </w:rPr>
              <w:t> </w:t>
            </w:r>
            <w:r w:rsidRPr="00A570D8">
              <w:rPr>
                <w:sz w:val="20"/>
                <w:szCs w:val="20"/>
              </w:rPr>
              <w:t>mmol/L (11</w:t>
            </w:r>
            <w:r w:rsidR="004F0894">
              <w:rPr>
                <w:sz w:val="20"/>
                <w:szCs w:val="20"/>
              </w:rPr>
              <w:t> </w:t>
            </w:r>
            <w:r w:rsidRPr="00A570D8">
              <w:rPr>
                <w:sz w:val="20"/>
                <w:szCs w:val="20"/>
              </w:rPr>
              <w:t xml:space="preserve">mg/dL). </w:t>
            </w:r>
          </w:p>
          <w:p w14:paraId="0F2603D9" w14:textId="4B5E6427" w:rsidR="00A570D8" w:rsidRPr="00394136" w:rsidRDefault="00A570D8" w:rsidP="00980EF6">
            <w:pPr>
              <w:pStyle w:val="NormalIndent1"/>
              <w:ind w:left="0"/>
              <w:jc w:val="left"/>
              <w:rPr>
                <w:sz w:val="20"/>
                <w:szCs w:val="20"/>
              </w:rPr>
            </w:pPr>
            <w:r w:rsidRPr="00E629E1">
              <w:rPr>
                <w:i/>
                <w:iCs/>
                <w:sz w:val="20"/>
                <w:szCs w:val="20"/>
                <w:u w:val="single"/>
              </w:rPr>
              <w:t>Rare</w:t>
            </w:r>
            <w:r w:rsidRPr="00A570D8">
              <w:rPr>
                <w:sz w:val="20"/>
                <w:szCs w:val="20"/>
              </w:rPr>
              <w:t>: hypercalcaemia greater than 3.25</w:t>
            </w:r>
            <w:r w:rsidR="00320561">
              <w:rPr>
                <w:sz w:val="20"/>
                <w:szCs w:val="20"/>
              </w:rPr>
              <w:t> </w:t>
            </w:r>
            <w:r w:rsidRPr="00A570D8">
              <w:rPr>
                <w:sz w:val="20"/>
                <w:szCs w:val="20"/>
              </w:rPr>
              <w:t>mmol/L (13</w:t>
            </w:r>
            <w:r w:rsidR="005D0427">
              <w:rPr>
                <w:sz w:val="20"/>
                <w:szCs w:val="20"/>
              </w:rPr>
              <w:t> </w:t>
            </w:r>
            <w:r w:rsidRPr="00A570D8">
              <w:rPr>
                <w:sz w:val="20"/>
                <w:szCs w:val="20"/>
              </w:rPr>
              <w:t>mg/dL).</w:t>
            </w:r>
          </w:p>
        </w:tc>
      </w:tr>
      <w:bookmarkEnd w:id="0"/>
      <w:tr w:rsidR="00A570D8" w14:paraId="06FF5EBF" w14:textId="77777777" w:rsidTr="0032756B">
        <w:tc>
          <w:tcPr>
            <w:tcW w:w="4599" w:type="dxa"/>
          </w:tcPr>
          <w:p w14:paraId="57FA13EC" w14:textId="247A394F" w:rsidR="00A570D8" w:rsidRPr="00A570D8" w:rsidRDefault="00A570D8" w:rsidP="00980EF6">
            <w:pPr>
              <w:pStyle w:val="NormalIndent1"/>
              <w:ind w:left="0"/>
              <w:jc w:val="left"/>
              <w:rPr>
                <w:sz w:val="20"/>
                <w:szCs w:val="20"/>
              </w:rPr>
            </w:pPr>
            <w:r w:rsidRPr="00A570D8">
              <w:rPr>
                <w:sz w:val="20"/>
                <w:szCs w:val="20"/>
              </w:rPr>
              <w:t>Musculoskeletal and Connective Tissue and Bone Disorders</w:t>
            </w:r>
          </w:p>
        </w:tc>
        <w:tc>
          <w:tcPr>
            <w:tcW w:w="4600" w:type="dxa"/>
          </w:tcPr>
          <w:p w14:paraId="6106315E" w14:textId="77777777" w:rsidR="004F0894" w:rsidRDefault="00A570D8" w:rsidP="00980EF6">
            <w:pPr>
              <w:pStyle w:val="NormalIndent1"/>
              <w:ind w:left="0"/>
              <w:jc w:val="left"/>
              <w:rPr>
                <w:sz w:val="20"/>
                <w:szCs w:val="20"/>
              </w:rPr>
            </w:pPr>
            <w:r w:rsidRPr="00E629E1">
              <w:rPr>
                <w:i/>
                <w:iCs/>
                <w:sz w:val="20"/>
                <w:szCs w:val="20"/>
                <w:u w:val="single"/>
              </w:rPr>
              <w:t>Common</w:t>
            </w:r>
            <w:r w:rsidRPr="00A570D8">
              <w:rPr>
                <w:sz w:val="20"/>
                <w:szCs w:val="20"/>
              </w:rPr>
              <w:t xml:space="preserve">: Muscle spasms, such as leg or back, sometimes shortly after the first dose. </w:t>
            </w:r>
          </w:p>
          <w:p w14:paraId="310A6143" w14:textId="0B1C8AD1" w:rsidR="00A570D8" w:rsidRPr="00A570D8" w:rsidRDefault="00A570D8" w:rsidP="00980EF6">
            <w:pPr>
              <w:pStyle w:val="NormalIndent1"/>
              <w:ind w:left="0"/>
              <w:jc w:val="left"/>
              <w:rPr>
                <w:sz w:val="20"/>
                <w:szCs w:val="20"/>
              </w:rPr>
            </w:pPr>
            <w:r w:rsidRPr="00E629E1">
              <w:rPr>
                <w:i/>
                <w:iCs/>
                <w:sz w:val="20"/>
                <w:szCs w:val="20"/>
                <w:u w:val="single"/>
              </w:rPr>
              <w:t>Uncommon</w:t>
            </w:r>
            <w:r w:rsidRPr="00A570D8">
              <w:rPr>
                <w:sz w:val="20"/>
                <w:szCs w:val="20"/>
              </w:rPr>
              <w:t xml:space="preserve">: myalgia, arthralgia. </w:t>
            </w:r>
          </w:p>
          <w:p w14:paraId="2FDB314F" w14:textId="622C765A" w:rsidR="00A570D8" w:rsidRPr="00A570D8" w:rsidRDefault="00A570D8" w:rsidP="00980EF6">
            <w:pPr>
              <w:pStyle w:val="NormalIndent1"/>
              <w:ind w:left="0"/>
              <w:jc w:val="left"/>
              <w:rPr>
                <w:sz w:val="20"/>
                <w:szCs w:val="20"/>
              </w:rPr>
            </w:pPr>
            <w:r w:rsidRPr="00E629E1">
              <w:rPr>
                <w:i/>
                <w:iCs/>
                <w:sz w:val="20"/>
                <w:szCs w:val="20"/>
                <w:u w:val="single"/>
              </w:rPr>
              <w:t>Very Rare</w:t>
            </w:r>
            <w:r w:rsidRPr="00A570D8">
              <w:rPr>
                <w:sz w:val="20"/>
                <w:szCs w:val="20"/>
              </w:rPr>
              <w:t>: Serious back spasms</w:t>
            </w:r>
            <w:r w:rsidR="005D0427">
              <w:rPr>
                <w:sz w:val="20"/>
                <w:szCs w:val="20"/>
              </w:rPr>
              <w:t>.</w:t>
            </w:r>
          </w:p>
        </w:tc>
      </w:tr>
      <w:tr w:rsidR="00B1558E" w14:paraId="294E42D0" w14:textId="77777777" w:rsidTr="0032756B">
        <w:tc>
          <w:tcPr>
            <w:tcW w:w="4599" w:type="dxa"/>
          </w:tcPr>
          <w:p w14:paraId="3FBC5803" w14:textId="10834BD4" w:rsidR="00B1558E" w:rsidRPr="00A570D8" w:rsidRDefault="00B1558E" w:rsidP="00980EF6">
            <w:pPr>
              <w:pStyle w:val="NormalIndent1"/>
              <w:ind w:left="0"/>
              <w:jc w:val="left"/>
              <w:rPr>
                <w:sz w:val="20"/>
                <w:szCs w:val="20"/>
              </w:rPr>
            </w:pPr>
            <w:r w:rsidRPr="00B1558E">
              <w:rPr>
                <w:sz w:val="20"/>
                <w:szCs w:val="20"/>
              </w:rPr>
              <w:t xml:space="preserve">Renal and urinary disorders  </w:t>
            </w:r>
          </w:p>
        </w:tc>
        <w:tc>
          <w:tcPr>
            <w:tcW w:w="4600" w:type="dxa"/>
          </w:tcPr>
          <w:p w14:paraId="37894CA6" w14:textId="3342197E" w:rsidR="00B1558E" w:rsidRPr="00E629E1" w:rsidRDefault="00B1558E" w:rsidP="00980EF6">
            <w:pPr>
              <w:pStyle w:val="NormalIndent1"/>
              <w:ind w:left="0"/>
              <w:jc w:val="left"/>
              <w:rPr>
                <w:i/>
                <w:iCs/>
                <w:sz w:val="20"/>
                <w:szCs w:val="20"/>
                <w:u w:val="single"/>
              </w:rPr>
            </w:pPr>
            <w:r w:rsidRPr="00B1558E">
              <w:rPr>
                <w:i/>
                <w:iCs/>
                <w:sz w:val="20"/>
                <w:szCs w:val="20"/>
                <w:u w:val="single"/>
              </w:rPr>
              <w:t>Rare</w:t>
            </w:r>
            <w:r w:rsidRPr="00B1558E">
              <w:rPr>
                <w:sz w:val="20"/>
                <w:szCs w:val="20"/>
                <w:u w:val="single"/>
              </w:rPr>
              <w:t xml:space="preserve">: </w:t>
            </w:r>
            <w:r>
              <w:rPr>
                <w:sz w:val="20"/>
                <w:szCs w:val="20"/>
                <w:u w:val="single"/>
              </w:rPr>
              <w:t>R</w:t>
            </w:r>
            <w:r w:rsidRPr="00B1558E">
              <w:rPr>
                <w:sz w:val="20"/>
                <w:szCs w:val="20"/>
                <w:u w:val="single"/>
              </w:rPr>
              <w:t>enal failure/impairment.</w:t>
            </w:r>
            <w:r w:rsidRPr="00B1558E">
              <w:rPr>
                <w:i/>
                <w:iCs/>
                <w:sz w:val="20"/>
                <w:szCs w:val="20"/>
                <w:u w:val="single"/>
              </w:rPr>
              <w:t xml:space="preserve">  </w:t>
            </w:r>
          </w:p>
        </w:tc>
      </w:tr>
    </w:tbl>
    <w:p w14:paraId="62A61E37" w14:textId="40C6E9B8" w:rsidR="00A570D8" w:rsidRDefault="00A570D8" w:rsidP="00980EF6">
      <w:pPr>
        <w:pStyle w:val="NormalIndent1"/>
        <w:jc w:val="left"/>
        <w:rPr>
          <w:lang w:val="en"/>
        </w:rPr>
      </w:pPr>
    </w:p>
    <w:p w14:paraId="2A0116A1" w14:textId="51345179" w:rsidR="00A570D8" w:rsidRDefault="00A570D8" w:rsidP="00980EF6">
      <w:pPr>
        <w:pStyle w:val="NormalIndent1"/>
        <w:jc w:val="left"/>
        <w:rPr>
          <w:lang w:val="en"/>
        </w:rPr>
      </w:pPr>
      <w:r w:rsidRPr="00A570D8">
        <w:rPr>
          <w:lang w:val="en"/>
        </w:rPr>
        <w:t>There has been a report of metastatic osteosarcoma with subsequent fatal outcome in a 72 year old woman with osteoporosis and low back pain who had received teriparatide for 14 months prior to presentation. Causality cannot be established on the basis of this single case and a surveillance program continues. Osteosarcoma occurs at a rate of approximately 4 in one million per year (1 in 250,000 per year) in the general population over 60 years old and at the same rate in women over the age of 70</w:t>
      </w:r>
      <w:r w:rsidR="00F70E77">
        <w:rPr>
          <w:lang w:val="en"/>
        </w:rPr>
        <w:t> </w:t>
      </w:r>
      <w:r w:rsidRPr="00A570D8">
        <w:rPr>
          <w:lang w:val="en"/>
        </w:rPr>
        <w:t xml:space="preserve">years. At present it is not known if humans treated with </w:t>
      </w:r>
      <w:r w:rsidR="00820A2A">
        <w:rPr>
          <w:color w:val="000000" w:themeColor="text1"/>
        </w:rPr>
        <w:t>t</w:t>
      </w:r>
      <w:r w:rsidR="00820A2A" w:rsidRPr="00BF032A">
        <w:rPr>
          <w:color w:val="000000" w:themeColor="text1"/>
        </w:rPr>
        <w:t>eriparatide</w:t>
      </w:r>
      <w:r w:rsidRPr="00A570D8">
        <w:rPr>
          <w:lang w:val="en"/>
        </w:rPr>
        <w:t xml:space="preserve">have an increased risk of osteosarcoma. </w:t>
      </w:r>
      <w:r w:rsidR="005D0427" w:rsidRPr="00A570D8">
        <w:rPr>
          <w:lang w:val="en"/>
        </w:rPr>
        <w:t>However,</w:t>
      </w:r>
      <w:r w:rsidRPr="00A570D8">
        <w:rPr>
          <w:lang w:val="en"/>
        </w:rPr>
        <w:t xml:space="preserve"> post</w:t>
      </w:r>
      <w:r w:rsidR="004F0894">
        <w:rPr>
          <w:lang w:val="en"/>
        </w:rPr>
        <w:t>-</w:t>
      </w:r>
      <w:r w:rsidRPr="00A570D8">
        <w:rPr>
          <w:lang w:val="en"/>
        </w:rPr>
        <w:t>marketing data in humans has not identified an increased risk.</w:t>
      </w:r>
    </w:p>
    <w:p w14:paraId="6CF78FA3" w14:textId="77777777" w:rsidR="00320561" w:rsidRDefault="00320561" w:rsidP="00980EF6">
      <w:pPr>
        <w:pStyle w:val="NormalIndent1"/>
        <w:jc w:val="left"/>
        <w:rPr>
          <w:lang w:val="en"/>
        </w:rPr>
      </w:pPr>
    </w:p>
    <w:p w14:paraId="704E5D58" w14:textId="77777777" w:rsidR="00320561" w:rsidRDefault="00320561" w:rsidP="00980EF6">
      <w:pPr>
        <w:pStyle w:val="Heading3"/>
        <w:jc w:val="left"/>
        <w:rPr>
          <w:lang w:val="en"/>
        </w:rPr>
      </w:pPr>
      <w:r>
        <w:rPr>
          <w:lang w:val="en"/>
        </w:rPr>
        <w:t>Reporting Suspected Adverse Effects</w:t>
      </w:r>
    </w:p>
    <w:p w14:paraId="095FE000" w14:textId="77777777" w:rsidR="00320561" w:rsidRPr="005D690B" w:rsidRDefault="00320561" w:rsidP="00980EF6">
      <w:pPr>
        <w:pStyle w:val="NormalIndent1"/>
        <w:jc w:val="left"/>
        <w:rPr>
          <w:lang w:val="en"/>
        </w:rPr>
      </w:pPr>
    </w:p>
    <w:p w14:paraId="3E210A2F" w14:textId="77777777" w:rsidR="00320561" w:rsidRDefault="00320561" w:rsidP="00980EF6">
      <w:pPr>
        <w:pStyle w:val="NormalIndent1"/>
        <w:jc w:val="left"/>
        <w:rPr>
          <w:lang w:val="en"/>
        </w:rPr>
      </w:pPr>
      <w:r w:rsidRPr="005D690B">
        <w:rPr>
          <w:lang w:val="en"/>
        </w:rPr>
        <w:t>Reporting suspected adverse reactions after registration of the medicinal product is important.</w:t>
      </w:r>
      <w:r>
        <w:rPr>
          <w:lang w:val="en"/>
        </w:rPr>
        <w:t xml:space="preserve"> </w:t>
      </w:r>
      <w:r w:rsidRPr="005D690B">
        <w:rPr>
          <w:lang w:val="en"/>
        </w:rPr>
        <w:t xml:space="preserve">It allows continued monitoring of the benefit-risk balance of the medicinal product. Healthcare professionals are asked to report any suspected adverse reactions </w:t>
      </w:r>
      <w:r w:rsidRPr="00ED2466">
        <w:rPr>
          <w:lang w:val="en"/>
        </w:rPr>
        <w:t xml:space="preserve">at </w:t>
      </w:r>
      <w:hyperlink r:id="rId10" w:history="1">
        <w:r w:rsidRPr="00ED2466">
          <w:rPr>
            <w:rStyle w:val="Hyperlink"/>
            <w:lang w:val="en"/>
          </w:rPr>
          <w:t>www.tga.gov.au/reporting-problems</w:t>
        </w:r>
      </w:hyperlink>
      <w:r>
        <w:rPr>
          <w:lang w:val="en"/>
        </w:rPr>
        <w:t>.</w:t>
      </w:r>
    </w:p>
    <w:p w14:paraId="514CC816" w14:textId="77777777" w:rsidR="00A570D8" w:rsidRPr="005D690B" w:rsidRDefault="00A570D8" w:rsidP="00980EF6">
      <w:pPr>
        <w:pStyle w:val="NormalIndent1"/>
        <w:jc w:val="left"/>
      </w:pPr>
    </w:p>
    <w:p w14:paraId="34A811D6" w14:textId="77777777" w:rsidR="001A3992" w:rsidRPr="00541FDD" w:rsidRDefault="004A3628" w:rsidP="00980EF6">
      <w:pPr>
        <w:pStyle w:val="Heading2"/>
        <w:jc w:val="left"/>
        <w:rPr>
          <w:smallCaps/>
        </w:rPr>
      </w:pPr>
      <w:r>
        <w:t>4.9</w:t>
      </w:r>
      <w:r>
        <w:tab/>
      </w:r>
      <w:r w:rsidR="001A3992" w:rsidRPr="00541FDD">
        <w:t>Overdose</w:t>
      </w:r>
    </w:p>
    <w:p w14:paraId="2EC104CD" w14:textId="77777777" w:rsidR="00AA4CBF" w:rsidRDefault="00AA4CBF" w:rsidP="00980EF6">
      <w:pPr>
        <w:pStyle w:val="NormalIndent1"/>
        <w:jc w:val="left"/>
        <w:rPr>
          <w:lang w:val="en"/>
        </w:rPr>
      </w:pPr>
    </w:p>
    <w:p w14:paraId="628465D0" w14:textId="56B73538" w:rsidR="00A570D8" w:rsidRPr="00A570D8" w:rsidRDefault="00A570D8" w:rsidP="00980EF6">
      <w:pPr>
        <w:pStyle w:val="NormalIndent1"/>
        <w:jc w:val="left"/>
        <w:rPr>
          <w:lang w:val="en"/>
        </w:rPr>
      </w:pPr>
      <w:r w:rsidRPr="00A570D8">
        <w:rPr>
          <w:lang w:val="en"/>
        </w:rPr>
        <w:t>No cases of overdose were reported during clinical trials. Teriparatide has been safely administered in single doses of up to 100</w:t>
      </w:r>
      <w:r w:rsidR="004F0894">
        <w:rPr>
          <w:lang w:val="en"/>
        </w:rPr>
        <w:t> </w:t>
      </w:r>
      <w:r w:rsidR="004F0894">
        <w:t>micrograms</w:t>
      </w:r>
      <w:r w:rsidRPr="00A570D8">
        <w:rPr>
          <w:lang w:val="en"/>
        </w:rPr>
        <w:t>. In a clinical study, doses of 60</w:t>
      </w:r>
      <w:r w:rsidR="004F0894">
        <w:rPr>
          <w:lang w:val="en"/>
        </w:rPr>
        <w:t> </w:t>
      </w:r>
      <w:r w:rsidR="004F0894">
        <w:t>micrograms</w:t>
      </w:r>
      <w:r w:rsidRPr="00A570D8">
        <w:rPr>
          <w:lang w:val="en"/>
        </w:rPr>
        <w:t xml:space="preserve">/day for 6 weeks were safely tolerated. The effects of overdose that might be expected include delayed hypercalcaemia and risk of orthostatic hypotension. Nausea, vomiting, dizziness and headache might also occur. </w:t>
      </w:r>
    </w:p>
    <w:p w14:paraId="0C42BB6D" w14:textId="77777777" w:rsidR="00A570D8" w:rsidRPr="00A570D8" w:rsidRDefault="00A570D8" w:rsidP="00980EF6">
      <w:pPr>
        <w:pStyle w:val="NormalIndent1"/>
        <w:jc w:val="left"/>
        <w:rPr>
          <w:lang w:val="en"/>
        </w:rPr>
      </w:pPr>
      <w:r w:rsidRPr="00A570D8">
        <w:rPr>
          <w:lang w:val="en"/>
        </w:rPr>
        <w:t xml:space="preserve"> </w:t>
      </w:r>
    </w:p>
    <w:p w14:paraId="771CF66C" w14:textId="1FB0538B" w:rsidR="00A570D8" w:rsidRPr="00A570D8" w:rsidRDefault="00A570D8" w:rsidP="00980EF6">
      <w:pPr>
        <w:pStyle w:val="NormalIndent1"/>
        <w:jc w:val="left"/>
        <w:rPr>
          <w:lang w:val="en"/>
        </w:rPr>
      </w:pPr>
      <w:r w:rsidRPr="00A570D8">
        <w:rPr>
          <w:lang w:val="en"/>
        </w:rPr>
        <w:t>In post</w:t>
      </w:r>
      <w:r w:rsidR="004F0894">
        <w:rPr>
          <w:lang w:val="en"/>
        </w:rPr>
        <w:t>-</w:t>
      </w:r>
      <w:r w:rsidRPr="00A570D8">
        <w:rPr>
          <w:lang w:val="en"/>
        </w:rPr>
        <w:t>marketing spontaneous reports, there have been cases of medication error in which the entire contents (up to 800</w:t>
      </w:r>
      <w:r w:rsidR="004F0894">
        <w:rPr>
          <w:lang w:val="en"/>
        </w:rPr>
        <w:t> </w:t>
      </w:r>
      <w:r w:rsidR="004F0894">
        <w:t>micrograms</w:t>
      </w:r>
      <w:r w:rsidRPr="00A570D8">
        <w:rPr>
          <w:lang w:val="en"/>
        </w:rPr>
        <w:t xml:space="preserve">) of the teriparatide pen have been administered as a single dose. Transient events reported have included nausea, weakness/lethargy and hypotension. In some cases, no adverse events occurred as a result of the overdose. No fatalities associated with overdose have been reported. </w:t>
      </w:r>
    </w:p>
    <w:p w14:paraId="2D26856C" w14:textId="77777777" w:rsidR="00A570D8" w:rsidRPr="00A570D8" w:rsidRDefault="00A570D8" w:rsidP="00980EF6">
      <w:pPr>
        <w:pStyle w:val="NormalIndent1"/>
        <w:jc w:val="left"/>
        <w:rPr>
          <w:lang w:val="en"/>
        </w:rPr>
      </w:pPr>
      <w:r w:rsidRPr="00A570D8">
        <w:rPr>
          <w:lang w:val="en"/>
        </w:rPr>
        <w:t xml:space="preserve"> </w:t>
      </w:r>
    </w:p>
    <w:p w14:paraId="39D94133" w14:textId="2DBF4C42" w:rsidR="00A570D8" w:rsidRPr="00A570D8" w:rsidRDefault="00A570D8" w:rsidP="00980EF6">
      <w:pPr>
        <w:pStyle w:val="NormalIndent1"/>
        <w:jc w:val="left"/>
        <w:rPr>
          <w:lang w:val="en"/>
        </w:rPr>
      </w:pPr>
      <w:r w:rsidRPr="00A570D8">
        <w:rPr>
          <w:lang w:val="en"/>
        </w:rPr>
        <w:t>In single-dose rodent studies using subcutaneous injection of teriparatide, no mortality was seen in rats given doses of 1000</w:t>
      </w:r>
      <w:r w:rsidR="004F0894">
        <w:rPr>
          <w:lang w:val="en"/>
        </w:rPr>
        <w:t> </w:t>
      </w:r>
      <w:r w:rsidR="004F0894">
        <w:t>micrograms</w:t>
      </w:r>
      <w:r w:rsidRPr="00A570D8">
        <w:rPr>
          <w:lang w:val="en"/>
        </w:rPr>
        <w:t>/kg (526 times the human dose based on body surface area) or in mice given 10000</w:t>
      </w:r>
      <w:r w:rsidR="004F0894">
        <w:rPr>
          <w:lang w:val="en"/>
        </w:rPr>
        <w:t> </w:t>
      </w:r>
      <w:r w:rsidR="004F0894">
        <w:t>micrograms</w:t>
      </w:r>
      <w:r w:rsidRPr="00A570D8">
        <w:rPr>
          <w:lang w:val="en"/>
        </w:rPr>
        <w:t>/kg (2</w:t>
      </w:r>
      <w:r w:rsidR="004F0894">
        <w:rPr>
          <w:lang w:val="en"/>
        </w:rPr>
        <w:t>,</w:t>
      </w:r>
      <w:r w:rsidRPr="00A570D8">
        <w:rPr>
          <w:lang w:val="en"/>
        </w:rPr>
        <w:t xml:space="preserve">635 times the human dose). </w:t>
      </w:r>
    </w:p>
    <w:p w14:paraId="5EA70782" w14:textId="77777777" w:rsidR="00A570D8" w:rsidRPr="00A570D8" w:rsidRDefault="00A570D8" w:rsidP="00980EF6">
      <w:pPr>
        <w:pStyle w:val="NormalIndent1"/>
        <w:jc w:val="left"/>
        <w:rPr>
          <w:lang w:val="en"/>
        </w:rPr>
      </w:pPr>
      <w:r w:rsidRPr="00A570D8">
        <w:rPr>
          <w:lang w:val="en"/>
        </w:rPr>
        <w:lastRenderedPageBreak/>
        <w:t xml:space="preserve"> </w:t>
      </w:r>
    </w:p>
    <w:p w14:paraId="13301F04" w14:textId="1EDD47D6" w:rsidR="004F0894" w:rsidRDefault="00A570D8" w:rsidP="00980EF6">
      <w:pPr>
        <w:pStyle w:val="Heading3"/>
        <w:jc w:val="left"/>
        <w:rPr>
          <w:lang w:val="en"/>
        </w:rPr>
      </w:pPr>
      <w:r w:rsidRPr="00BF032A">
        <w:rPr>
          <w:lang w:val="en"/>
        </w:rPr>
        <w:t xml:space="preserve">Overdose </w:t>
      </w:r>
      <w:r w:rsidR="004F0894" w:rsidRPr="00BF032A">
        <w:rPr>
          <w:lang w:val="en"/>
        </w:rPr>
        <w:t>Management</w:t>
      </w:r>
    </w:p>
    <w:p w14:paraId="20EA0FC8" w14:textId="77777777" w:rsidR="004F0894" w:rsidRDefault="004F0894" w:rsidP="00980EF6">
      <w:pPr>
        <w:pStyle w:val="NormalIndent1"/>
        <w:jc w:val="left"/>
        <w:rPr>
          <w:lang w:val="en"/>
        </w:rPr>
      </w:pPr>
    </w:p>
    <w:p w14:paraId="48D7F917" w14:textId="2A1997A3" w:rsidR="00A570D8" w:rsidRPr="00A570D8" w:rsidRDefault="00A570D8" w:rsidP="00980EF6">
      <w:pPr>
        <w:pStyle w:val="NormalIndent1"/>
        <w:jc w:val="left"/>
        <w:rPr>
          <w:lang w:val="en"/>
        </w:rPr>
      </w:pPr>
      <w:r w:rsidRPr="00A570D8">
        <w:rPr>
          <w:lang w:val="en"/>
        </w:rPr>
        <w:t xml:space="preserve">There is no specific antidote for teriparatide. Treatment of suspected overdose should include discontinuation of teriparatide, monitoring of serum calcium, and implementation of appropriate supportive measures, such as hydration. </w:t>
      </w:r>
    </w:p>
    <w:p w14:paraId="2224A7BB" w14:textId="77777777" w:rsidR="005D690B" w:rsidRPr="005D690B" w:rsidRDefault="005D690B" w:rsidP="00980EF6">
      <w:pPr>
        <w:pStyle w:val="NormalIndent1"/>
        <w:jc w:val="left"/>
        <w:rPr>
          <w:lang w:val="en"/>
        </w:rPr>
      </w:pPr>
    </w:p>
    <w:p w14:paraId="734368FA" w14:textId="77777777" w:rsidR="00497C85" w:rsidRPr="005D690B" w:rsidRDefault="00497C85" w:rsidP="00980EF6">
      <w:pPr>
        <w:pStyle w:val="NormalIndent1"/>
        <w:jc w:val="left"/>
        <w:rPr>
          <w:lang w:val="en"/>
        </w:rPr>
      </w:pPr>
      <w:r w:rsidRPr="005D690B">
        <w:rPr>
          <w:lang w:val="en"/>
        </w:rPr>
        <w:t>For information on the management of overdose, contact the Poisons Information Centre on 13 11 26 (Australia).</w:t>
      </w:r>
    </w:p>
    <w:p w14:paraId="7C1F39ED" w14:textId="77777777" w:rsidR="005D690B" w:rsidRDefault="005D690B" w:rsidP="00980EF6">
      <w:pPr>
        <w:pStyle w:val="NormalIndent1"/>
        <w:jc w:val="left"/>
      </w:pPr>
    </w:p>
    <w:p w14:paraId="54FE23B8" w14:textId="77777777" w:rsidR="005D690B" w:rsidRPr="005D690B" w:rsidRDefault="005D690B" w:rsidP="00980EF6">
      <w:pPr>
        <w:pStyle w:val="NormalIndent1"/>
        <w:jc w:val="left"/>
      </w:pPr>
    </w:p>
    <w:p w14:paraId="34AD35F7" w14:textId="77777777" w:rsidR="001A3992" w:rsidRPr="005D690B" w:rsidRDefault="005D690B" w:rsidP="00980EF6">
      <w:pPr>
        <w:pStyle w:val="Heading1"/>
        <w:jc w:val="left"/>
        <w:rPr>
          <w:caps/>
          <w:lang w:val="en-US"/>
        </w:rPr>
      </w:pPr>
      <w:r w:rsidRPr="005D690B">
        <w:rPr>
          <w:lang w:val="en-US"/>
        </w:rPr>
        <w:t>PHARMACOLOGICAL PROPERTIES</w:t>
      </w:r>
    </w:p>
    <w:p w14:paraId="73FC22B0" w14:textId="77777777" w:rsidR="005D690B" w:rsidRPr="005D690B" w:rsidRDefault="005D690B" w:rsidP="00980EF6">
      <w:pPr>
        <w:jc w:val="left"/>
        <w:rPr>
          <w:lang w:val="en-US"/>
        </w:rPr>
      </w:pPr>
    </w:p>
    <w:p w14:paraId="2ACBB199" w14:textId="77777777" w:rsidR="001A3992" w:rsidRDefault="004A3628" w:rsidP="00980EF6">
      <w:pPr>
        <w:pStyle w:val="Heading2"/>
        <w:jc w:val="left"/>
        <w:rPr>
          <w:smallCaps/>
          <w:lang w:val="en-US"/>
        </w:rPr>
      </w:pPr>
      <w:r>
        <w:rPr>
          <w:lang w:val="en-US"/>
        </w:rPr>
        <w:t>5.1</w:t>
      </w:r>
      <w:r>
        <w:rPr>
          <w:lang w:val="en-US"/>
        </w:rPr>
        <w:tab/>
      </w:r>
      <w:r w:rsidR="001A3992" w:rsidRPr="005D690B">
        <w:rPr>
          <w:lang w:val="en-US"/>
        </w:rPr>
        <w:t xml:space="preserve">Pharmacodynamic </w:t>
      </w:r>
      <w:r w:rsidR="005D690B" w:rsidRPr="005D690B">
        <w:rPr>
          <w:lang w:val="en-US"/>
        </w:rPr>
        <w:t xml:space="preserve">Properties </w:t>
      </w:r>
    </w:p>
    <w:p w14:paraId="63691791" w14:textId="77777777" w:rsidR="005D690B" w:rsidRPr="00F70019" w:rsidRDefault="005D690B" w:rsidP="00980EF6">
      <w:pPr>
        <w:pStyle w:val="NormalIndent1"/>
        <w:jc w:val="left"/>
      </w:pPr>
    </w:p>
    <w:p w14:paraId="678AB114" w14:textId="1A631405" w:rsidR="005D690B" w:rsidRDefault="00A570D8" w:rsidP="00980EF6">
      <w:pPr>
        <w:pStyle w:val="NormalIndent1"/>
        <w:jc w:val="left"/>
      </w:pPr>
      <w:r w:rsidRPr="00A570D8">
        <w:t>Osteoporosis is characterised by low bone mass and microarchitectural deterioration of bone tissue, leading to bone fragility and an increase in the risk of vertebral and non</w:t>
      </w:r>
      <w:r w:rsidR="00D36442">
        <w:t>-</w:t>
      </w:r>
      <w:r w:rsidRPr="00A570D8">
        <w:t xml:space="preserve">vertebral fractures. The diagnosis of osteoporosis may be confirmed by the finding of low bone mass or the presence or history of osteoporotic fracture. While non-vertebral fractures are usually clinically apparent, vertebral fractures also may be manifested by back pain, height loss or kyphosis. </w:t>
      </w:r>
    </w:p>
    <w:p w14:paraId="44B71EA7" w14:textId="77777777" w:rsidR="00BF032A" w:rsidRPr="00F70019" w:rsidRDefault="00BF032A" w:rsidP="00980EF6">
      <w:pPr>
        <w:pStyle w:val="NormalIndent1"/>
        <w:jc w:val="left"/>
      </w:pPr>
    </w:p>
    <w:p w14:paraId="4EB82A3A" w14:textId="1BDF35E7" w:rsidR="001A3992" w:rsidRDefault="001A3992" w:rsidP="00980EF6">
      <w:pPr>
        <w:pStyle w:val="Heading3"/>
        <w:jc w:val="left"/>
      </w:pPr>
      <w:r w:rsidRPr="005D690B">
        <w:t xml:space="preserve">Mechanism of </w:t>
      </w:r>
      <w:r w:rsidR="005D690B" w:rsidRPr="005D690B">
        <w:t>Action</w:t>
      </w:r>
    </w:p>
    <w:p w14:paraId="0A38C45F" w14:textId="77777777" w:rsidR="005D690B" w:rsidRPr="00F70019" w:rsidRDefault="005D690B" w:rsidP="00980EF6">
      <w:pPr>
        <w:pStyle w:val="NormalIndent1"/>
        <w:jc w:val="left"/>
      </w:pPr>
    </w:p>
    <w:p w14:paraId="1F314D48" w14:textId="07C66F77" w:rsidR="005D690B" w:rsidRDefault="00A570D8" w:rsidP="00980EF6">
      <w:pPr>
        <w:pStyle w:val="NormalIndent1"/>
        <w:jc w:val="left"/>
      </w:pPr>
      <w:r w:rsidRPr="00A570D8">
        <w:t xml:space="preserve">Endogenous 84-amino-acid parathyroid hormone (PTH) is the primary regulator of calcium and phosphate metabolism in bone and kidney. Physiological actions of PTH include regulation of bone metabolism, renal tubular reabsorption of calcium and phosphate, and intestinal calcium absorption. The biological actions of PTH and teriparatide are mediated through binding to specific PTH cell surface receptors. Teriparatide is the </w:t>
      </w:r>
      <w:r w:rsidR="00C71CD4">
        <w:t xml:space="preserve">synthetic </w:t>
      </w:r>
      <w:r w:rsidRPr="00A570D8">
        <w:t>active fragment (1-34) of endogenous human PTH</w:t>
      </w:r>
      <w:r w:rsidR="00014EC3">
        <w:t>.  The proposed teriparatide product is not</w:t>
      </w:r>
      <w:r w:rsidR="00014EC3" w:rsidRPr="00A570D8">
        <w:t xml:space="preserve"> </w:t>
      </w:r>
      <w:r w:rsidRPr="003D0BA6">
        <w:t>manufactured using recombinant DNA technology</w:t>
      </w:r>
      <w:r w:rsidRPr="00A570D8">
        <w:t xml:space="preserve">. Teriparatide binds to these receptors with similar affinity as PTH, and has the same actions in bone and kidney as PTH. Like endogenous PTH, teriparatide is not expected to accumulate in bone or other tissues. </w:t>
      </w:r>
    </w:p>
    <w:p w14:paraId="1DB8FEC8" w14:textId="77777777" w:rsidR="00BF032A" w:rsidRDefault="00BF032A" w:rsidP="00980EF6">
      <w:pPr>
        <w:pStyle w:val="NormalIndent1"/>
        <w:jc w:val="left"/>
      </w:pPr>
    </w:p>
    <w:p w14:paraId="3EF11BD7" w14:textId="188D7623" w:rsidR="00A570D8" w:rsidRDefault="00A570D8" w:rsidP="00980EF6">
      <w:pPr>
        <w:pStyle w:val="Heading3"/>
        <w:jc w:val="left"/>
      </w:pPr>
      <w:r>
        <w:t xml:space="preserve">Pharmacodynamic </w:t>
      </w:r>
      <w:r w:rsidR="004F0894">
        <w:t xml:space="preserve">Effects </w:t>
      </w:r>
    </w:p>
    <w:p w14:paraId="42C5DF39" w14:textId="756548CB" w:rsidR="00A570D8" w:rsidRDefault="00A570D8" w:rsidP="00980EF6">
      <w:pPr>
        <w:pStyle w:val="NormalIndent1"/>
        <w:jc w:val="left"/>
      </w:pPr>
    </w:p>
    <w:p w14:paraId="3C115890" w14:textId="3720056A" w:rsidR="00A570D8" w:rsidRDefault="00A570D8" w:rsidP="00980EF6">
      <w:pPr>
        <w:pStyle w:val="NormalIndent1"/>
        <w:jc w:val="left"/>
      </w:pPr>
      <w:r>
        <w:t>The skeletal effects of teriparatide depend upon the pattern of systemic exposure. Once</w:t>
      </w:r>
      <w:r w:rsidR="005D0427">
        <w:t>-</w:t>
      </w:r>
      <w:r>
        <w:t xml:space="preserve">daily administration of teriparatide increases apposition of new bone on trabecular and cortical (endosteal and periosteal) bone surfaces by preferential stimulation of osteoblastic activity over osteoclastic activity. In contrast, continuous excess of endogenous PTH, as occurs in hyperparathyroidism, may be detrimental to the skeleton because bone resorption may be stimulated more than bone formation. In monkey studies, teriparatide improved trabecular microarchitecture and increased bone mass and strength by stimulating new bone formation in both cancellous and cortical bone. </w:t>
      </w:r>
    </w:p>
    <w:p w14:paraId="007F5167" w14:textId="49A679B9" w:rsidR="00A570D8" w:rsidRDefault="00A570D8" w:rsidP="00980EF6">
      <w:pPr>
        <w:pStyle w:val="NormalIndent1"/>
        <w:jc w:val="left"/>
      </w:pPr>
    </w:p>
    <w:p w14:paraId="2F566C09" w14:textId="702EF8C8" w:rsidR="00A570D8" w:rsidRDefault="00A570D8" w:rsidP="00980EF6">
      <w:pPr>
        <w:pStyle w:val="NormalIndent1"/>
        <w:jc w:val="left"/>
      </w:pPr>
      <w:r>
        <w:t>In humans, teriparatide affects calcium and phosphorus metabolism in a pattern consistent with the known actions of endogenous PTH.</w:t>
      </w:r>
    </w:p>
    <w:p w14:paraId="550AF5B2" w14:textId="77777777" w:rsidR="00A570D8" w:rsidRPr="00F70019" w:rsidRDefault="00A570D8" w:rsidP="00980EF6">
      <w:pPr>
        <w:pStyle w:val="NormalIndent1"/>
        <w:jc w:val="left"/>
      </w:pPr>
    </w:p>
    <w:p w14:paraId="416E8D09" w14:textId="77777777" w:rsidR="001A3992" w:rsidRDefault="001A3992" w:rsidP="00980EF6">
      <w:pPr>
        <w:pStyle w:val="Heading3"/>
        <w:jc w:val="left"/>
        <w:rPr>
          <w:lang w:val="en-US"/>
        </w:rPr>
      </w:pPr>
      <w:r w:rsidRPr="005D690B">
        <w:t>Clinical</w:t>
      </w:r>
      <w:r w:rsidRPr="005D690B">
        <w:rPr>
          <w:lang w:val="en-US"/>
        </w:rPr>
        <w:t xml:space="preserve"> </w:t>
      </w:r>
      <w:r w:rsidR="005D690B" w:rsidRPr="005D690B">
        <w:rPr>
          <w:lang w:val="en-US"/>
        </w:rPr>
        <w:t>Trials</w:t>
      </w:r>
    </w:p>
    <w:p w14:paraId="49256FDB" w14:textId="77777777" w:rsidR="005D690B" w:rsidRPr="00F70019" w:rsidRDefault="005D690B" w:rsidP="00980EF6">
      <w:pPr>
        <w:pStyle w:val="NormalIndent1"/>
        <w:jc w:val="left"/>
      </w:pPr>
    </w:p>
    <w:p w14:paraId="0B347B38" w14:textId="262C93E6" w:rsidR="00A570D8" w:rsidRDefault="00014EC3" w:rsidP="00980EF6">
      <w:pPr>
        <w:pStyle w:val="NormalIndent1"/>
        <w:jc w:val="left"/>
      </w:pPr>
      <w:r>
        <w:t xml:space="preserve">Clinical trials were conducted with the reference medicine FORTEO. </w:t>
      </w:r>
      <w:r w:rsidR="00A570D8">
        <w:t xml:space="preserve">The clinical program included treatment studies in women and men with osteoporosis. Postmenopausal women were treated for up to 24 months to evaluate effects on vertebral fractures. Men were treated for up to 14 months to </w:t>
      </w:r>
      <w:r w:rsidR="00A570D8">
        <w:lastRenderedPageBreak/>
        <w:t>evaluate the effect on BMD. Of the women and men who participated in the teriparatide treatment studies, 1</w:t>
      </w:r>
      <w:r w:rsidR="004F0894">
        <w:t>,</w:t>
      </w:r>
      <w:r w:rsidR="00A570D8">
        <w:t>930 have been systematically observed for 18 months in a post</w:t>
      </w:r>
      <w:r w:rsidR="004F0894">
        <w:t>-</w:t>
      </w:r>
      <w:r w:rsidR="00A570D8">
        <w:t xml:space="preserve">treatment follow-up study. </w:t>
      </w:r>
    </w:p>
    <w:p w14:paraId="7767BA9A" w14:textId="77777777" w:rsidR="00A570D8" w:rsidRDefault="00A570D8" w:rsidP="00980EF6">
      <w:pPr>
        <w:pStyle w:val="NormalIndent1"/>
        <w:jc w:val="left"/>
      </w:pPr>
      <w:r>
        <w:t xml:space="preserve"> </w:t>
      </w:r>
    </w:p>
    <w:p w14:paraId="616EAD0A" w14:textId="4C6A9B19" w:rsidR="00A570D8" w:rsidRPr="00AB2719" w:rsidRDefault="00A570D8" w:rsidP="00980EF6">
      <w:pPr>
        <w:pStyle w:val="Heading4"/>
        <w:jc w:val="left"/>
      </w:pPr>
      <w:r w:rsidRPr="00AB2719">
        <w:t xml:space="preserve">Treatment of </w:t>
      </w:r>
      <w:r w:rsidR="004F0894" w:rsidRPr="00AB2719">
        <w:t xml:space="preserve">Postmenopausal Women </w:t>
      </w:r>
      <w:r w:rsidRPr="00AB2719">
        <w:t xml:space="preserve">with </w:t>
      </w:r>
      <w:r w:rsidR="004F0894" w:rsidRPr="00AB2719">
        <w:t xml:space="preserve">Osteoporosis </w:t>
      </w:r>
    </w:p>
    <w:p w14:paraId="6DF145A7" w14:textId="77777777" w:rsidR="00A570D8" w:rsidRDefault="00A570D8" w:rsidP="00980EF6">
      <w:pPr>
        <w:pStyle w:val="NormalIndent1"/>
        <w:jc w:val="left"/>
      </w:pPr>
      <w:r>
        <w:t xml:space="preserve"> </w:t>
      </w:r>
    </w:p>
    <w:p w14:paraId="5C09FC85" w14:textId="43F9F65D" w:rsidR="00A570D8" w:rsidRDefault="00A570D8" w:rsidP="00980EF6">
      <w:pPr>
        <w:pStyle w:val="NormalIndent1"/>
        <w:jc w:val="left"/>
      </w:pPr>
      <w:r>
        <w:t>The pivotal study included 1</w:t>
      </w:r>
      <w:r w:rsidR="004F0894">
        <w:t>,</w:t>
      </w:r>
      <w:r>
        <w:t>637 postmenopausal women (mean age 69.5 years). At baseline, ninety percent of the patients had one or more vertebral fractures. All patients received 1000</w:t>
      </w:r>
      <w:r w:rsidR="004F0894">
        <w:t> </w:t>
      </w:r>
      <w:r>
        <w:t>mg of calcium per day and at least 400</w:t>
      </w:r>
      <w:r w:rsidR="004F0894">
        <w:t> </w:t>
      </w:r>
      <w:r>
        <w:t xml:space="preserve">IU of vitamin D per day. Results from a treatment period of up to 24 months (median 19 months), with teriparatide, demonstrate significant anti-fracture efficacy. </w:t>
      </w:r>
    </w:p>
    <w:p w14:paraId="0629670B" w14:textId="77777777" w:rsidR="00A570D8" w:rsidRDefault="00A570D8" w:rsidP="00980EF6">
      <w:pPr>
        <w:pStyle w:val="NormalIndent1"/>
        <w:jc w:val="left"/>
      </w:pPr>
      <w:r>
        <w:t xml:space="preserve"> </w:t>
      </w:r>
    </w:p>
    <w:p w14:paraId="7DACBCD2" w14:textId="5F964DD1" w:rsidR="004F0894" w:rsidRDefault="00A570D8" w:rsidP="00980EF6">
      <w:pPr>
        <w:pStyle w:val="Heading5"/>
        <w:jc w:val="left"/>
      </w:pPr>
      <w:r w:rsidRPr="00BF032A">
        <w:t xml:space="preserve">Effect on Vertebral </w:t>
      </w:r>
      <w:r w:rsidR="004F0894" w:rsidRPr="00BF032A">
        <w:t>Fractures</w:t>
      </w:r>
    </w:p>
    <w:p w14:paraId="0891C968" w14:textId="77777777" w:rsidR="004F0894" w:rsidRDefault="004F0894" w:rsidP="00980EF6">
      <w:pPr>
        <w:pStyle w:val="NormalIndent1"/>
        <w:jc w:val="left"/>
      </w:pPr>
    </w:p>
    <w:p w14:paraId="7D62B39C" w14:textId="7E289EC8" w:rsidR="00A570D8" w:rsidRDefault="00A570D8" w:rsidP="00980EF6">
      <w:pPr>
        <w:pStyle w:val="NormalIndent1"/>
        <w:jc w:val="left"/>
      </w:pPr>
      <w:r>
        <w:t>Teriparatide, relative to placebo, given for a median of 19 months, significantly reduced the risk and severity of new vertebral fractures in postmenopausal women with osteoporosis. The relative risk for the incidence of 1 or more new vertebral fractures was reduced by 65% and multiple fractures by 77% with teriparatide treatment (</w:t>
      </w:r>
      <w:r w:rsidRPr="00E629E1">
        <w:rPr>
          <w:b/>
          <w:bCs/>
        </w:rPr>
        <w:t>Table 3</w:t>
      </w:r>
      <w:r>
        <w:t xml:space="preserve"> includes data on absolute risk reduction). Eleven women would need to be treated with teriparatide for a median of 19 months to prevent one or more new vertebral fractures. </w:t>
      </w:r>
    </w:p>
    <w:p w14:paraId="4E9164BA" w14:textId="77777777" w:rsidR="00A570D8" w:rsidRDefault="00A570D8" w:rsidP="00980EF6">
      <w:pPr>
        <w:pStyle w:val="NormalIndent1"/>
        <w:jc w:val="left"/>
      </w:pPr>
      <w:r>
        <w:t xml:space="preserve"> </w:t>
      </w:r>
    </w:p>
    <w:p w14:paraId="7BDDD6D3" w14:textId="77605903" w:rsidR="004F0894" w:rsidRDefault="00A570D8" w:rsidP="00980EF6">
      <w:pPr>
        <w:pStyle w:val="Heading5"/>
        <w:jc w:val="left"/>
      </w:pPr>
      <w:r w:rsidRPr="00BF032A">
        <w:t xml:space="preserve">Effect on Non-vertebral </w:t>
      </w:r>
      <w:r w:rsidR="004F0894" w:rsidRPr="00BF032A">
        <w:t>Fractures</w:t>
      </w:r>
    </w:p>
    <w:p w14:paraId="4A3EC3AF" w14:textId="77777777" w:rsidR="004F0894" w:rsidRDefault="004F0894" w:rsidP="00980EF6">
      <w:pPr>
        <w:pStyle w:val="NormalIndent1"/>
        <w:jc w:val="left"/>
      </w:pPr>
    </w:p>
    <w:p w14:paraId="23ABC965" w14:textId="08875118" w:rsidR="009067ED" w:rsidRDefault="00A570D8" w:rsidP="00980EF6">
      <w:pPr>
        <w:pStyle w:val="NormalIndent1"/>
        <w:jc w:val="left"/>
      </w:pPr>
      <w:r>
        <w:t xml:space="preserve">Teriparatide significantly reduced (by 53%) the overall incidence of non-vertebral fragility fractures including wrist, ribs, ankle, humerus, hip, foot, pelvis and others (see </w:t>
      </w:r>
      <w:r w:rsidRPr="00E629E1">
        <w:rPr>
          <w:b/>
          <w:bCs/>
        </w:rPr>
        <w:t>Figure 1</w:t>
      </w:r>
      <w:r>
        <w:t xml:space="preserve">). </w:t>
      </w:r>
    </w:p>
    <w:p w14:paraId="5F48E761" w14:textId="1894FB67" w:rsidR="00AF7D64" w:rsidRDefault="00AF7D64" w:rsidP="00980EF6">
      <w:pPr>
        <w:jc w:val="left"/>
        <w:rPr>
          <w:b/>
          <w:bCs/>
        </w:rPr>
      </w:pPr>
    </w:p>
    <w:p w14:paraId="0B16C72E" w14:textId="2CCA1308" w:rsidR="0032756B" w:rsidRPr="000D27A3" w:rsidRDefault="0032756B" w:rsidP="00980EF6">
      <w:pPr>
        <w:pStyle w:val="NormalIndent1"/>
        <w:jc w:val="left"/>
        <w:rPr>
          <w:b/>
          <w:bCs/>
        </w:rPr>
      </w:pPr>
      <w:r w:rsidRPr="00BF032A">
        <w:rPr>
          <w:b/>
          <w:bCs/>
        </w:rPr>
        <w:t>Figure 1</w:t>
      </w:r>
      <w:r w:rsidRPr="000D27A3">
        <w:rPr>
          <w:b/>
          <w:bCs/>
        </w:rPr>
        <w:t xml:space="preserve">: Effects of </w:t>
      </w:r>
      <w:r w:rsidR="004F0894" w:rsidRPr="000D27A3">
        <w:rPr>
          <w:b/>
          <w:bCs/>
        </w:rPr>
        <w:t xml:space="preserve">Teriparatide </w:t>
      </w:r>
      <w:r w:rsidRPr="000D27A3">
        <w:rPr>
          <w:b/>
          <w:bCs/>
        </w:rPr>
        <w:t xml:space="preserve">on </w:t>
      </w:r>
      <w:r w:rsidR="004F0894" w:rsidRPr="000D27A3">
        <w:rPr>
          <w:b/>
          <w:bCs/>
        </w:rPr>
        <w:t>New Non</w:t>
      </w:r>
      <w:r w:rsidRPr="000D27A3">
        <w:rPr>
          <w:b/>
          <w:bCs/>
        </w:rPr>
        <w:t xml:space="preserve">-vertebral </w:t>
      </w:r>
      <w:r w:rsidR="004F0894" w:rsidRPr="000D27A3">
        <w:rPr>
          <w:b/>
          <w:bCs/>
        </w:rPr>
        <w:t xml:space="preserve">Fragility Fractures </w:t>
      </w:r>
      <w:r w:rsidRPr="000D27A3">
        <w:rPr>
          <w:b/>
          <w:bCs/>
        </w:rPr>
        <w:t xml:space="preserve">in </w:t>
      </w:r>
      <w:r w:rsidR="004F0894" w:rsidRPr="000D27A3">
        <w:rPr>
          <w:b/>
          <w:bCs/>
        </w:rPr>
        <w:t xml:space="preserve">Postmenopausal Women </w:t>
      </w:r>
      <w:r w:rsidRPr="000D27A3">
        <w:rPr>
          <w:b/>
          <w:bCs/>
        </w:rPr>
        <w:t xml:space="preserve">with </w:t>
      </w:r>
      <w:r w:rsidR="004F0894" w:rsidRPr="000D27A3">
        <w:rPr>
          <w:b/>
          <w:bCs/>
        </w:rPr>
        <w:t>Osteoporosis</w:t>
      </w:r>
    </w:p>
    <w:p w14:paraId="70455E7F" w14:textId="3F9025D5" w:rsidR="0032756B" w:rsidRDefault="00FB2529" w:rsidP="00980EF6">
      <w:pPr>
        <w:pStyle w:val="NormalIndent1"/>
        <w:jc w:val="left"/>
      </w:pPr>
      <w:r>
        <w:rPr>
          <w:noProof/>
        </w:rPr>
        <w:drawing>
          <wp:inline distT="0" distB="0" distL="0" distR="0" wp14:anchorId="6C229901" wp14:editId="4A5B549E">
            <wp:extent cx="5398936" cy="322386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399305" cy="3224088"/>
                    </a:xfrm>
                    <a:prstGeom prst="rect">
                      <a:avLst/>
                    </a:prstGeom>
                    <a:ln>
                      <a:noFill/>
                    </a:ln>
                    <a:extLst>
                      <a:ext uri="{53640926-AAD7-44D8-BBD7-CCE9431645EC}">
                        <a14:shadowObscured xmlns:a14="http://schemas.microsoft.com/office/drawing/2010/main"/>
                      </a:ext>
                    </a:extLst>
                  </pic:spPr>
                </pic:pic>
              </a:graphicData>
            </a:graphic>
          </wp:inline>
        </w:drawing>
      </w:r>
    </w:p>
    <w:p w14:paraId="55FD413E" w14:textId="4643B9C2" w:rsidR="004F0894" w:rsidRDefault="0032756B" w:rsidP="00980EF6">
      <w:pPr>
        <w:pStyle w:val="Heading5"/>
        <w:jc w:val="left"/>
      </w:pPr>
      <w:r w:rsidRPr="00BF032A">
        <w:t>Effect on BMD</w:t>
      </w:r>
    </w:p>
    <w:p w14:paraId="3B52306B" w14:textId="77777777" w:rsidR="004F0894" w:rsidRDefault="004F0894" w:rsidP="00980EF6">
      <w:pPr>
        <w:pStyle w:val="NormalIndent1"/>
        <w:jc w:val="left"/>
      </w:pPr>
    </w:p>
    <w:p w14:paraId="44E544FD" w14:textId="70D22C95" w:rsidR="0032756B" w:rsidRDefault="0032756B" w:rsidP="00980EF6">
      <w:pPr>
        <w:pStyle w:val="NormalIndent1"/>
        <w:jc w:val="left"/>
      </w:pPr>
      <w:r>
        <w:t xml:space="preserve">Teriparatide rapidly increased lumbar spine BMD. Significant increases were seen as early as 3 months and continued throughout the treatment period, as shown in </w:t>
      </w:r>
      <w:r w:rsidRPr="00E629E1">
        <w:rPr>
          <w:b/>
          <w:bCs/>
        </w:rPr>
        <w:t>Figure 2</w:t>
      </w:r>
      <w:r>
        <w:t xml:space="preserve">. After a median treatment period of 19 months, BMD had increased 9% and 4% in the lumbar spine and total hip, respectively, </w:t>
      </w:r>
      <w:r>
        <w:lastRenderedPageBreak/>
        <w:t>compared with placebo (p&lt;0.001). Teriparatide was effective regardless of age, baseline rate of bone turnover and baseline BMD.</w:t>
      </w:r>
    </w:p>
    <w:p w14:paraId="5A1388A6" w14:textId="053713CB" w:rsidR="0032756B" w:rsidRDefault="0032756B" w:rsidP="00980EF6">
      <w:pPr>
        <w:pStyle w:val="NormalIndent1"/>
        <w:jc w:val="left"/>
      </w:pPr>
    </w:p>
    <w:p w14:paraId="6CBA6622" w14:textId="49ADF5A1" w:rsidR="003F106F" w:rsidRPr="000D27A3" w:rsidRDefault="0032756B" w:rsidP="00980EF6">
      <w:pPr>
        <w:pStyle w:val="NormalIndent1"/>
        <w:jc w:val="left"/>
        <w:rPr>
          <w:b/>
          <w:bCs/>
        </w:rPr>
      </w:pPr>
      <w:r w:rsidRPr="00BF032A">
        <w:rPr>
          <w:b/>
          <w:bCs/>
        </w:rPr>
        <w:t>Figure 2</w:t>
      </w:r>
      <w:r w:rsidRPr="000D27A3">
        <w:rPr>
          <w:b/>
          <w:bCs/>
        </w:rPr>
        <w:t>: Time Course of Change in Lumbar Spine BMD in Postmenopausal Women Treated with Teriparatide 20</w:t>
      </w:r>
      <w:r w:rsidR="004F0894">
        <w:rPr>
          <w:b/>
          <w:bCs/>
        </w:rPr>
        <w:t> micrograms</w:t>
      </w:r>
      <w:r w:rsidRPr="000D27A3">
        <w:rPr>
          <w:b/>
          <w:bCs/>
        </w:rPr>
        <w:t xml:space="preserve"> vs Placebo</w:t>
      </w:r>
    </w:p>
    <w:p w14:paraId="1A16794E" w14:textId="1AEB9887" w:rsidR="0032756B" w:rsidRPr="00BF032A" w:rsidRDefault="0032756B" w:rsidP="00980EF6">
      <w:pPr>
        <w:pStyle w:val="NormalIndent1"/>
        <w:jc w:val="left"/>
        <w:rPr>
          <w:sz w:val="20"/>
          <w:szCs w:val="20"/>
        </w:rPr>
      </w:pPr>
      <w:r w:rsidRPr="00BF032A">
        <w:rPr>
          <w:sz w:val="20"/>
          <w:szCs w:val="20"/>
        </w:rPr>
        <w:t>(p&lt;0.001 for Teriparatide compared with placebo at each post-baseline time point)</w:t>
      </w:r>
    </w:p>
    <w:p w14:paraId="6F65DC51" w14:textId="4D59B0EC" w:rsidR="0032756B" w:rsidRDefault="003F106F" w:rsidP="00980EF6">
      <w:pPr>
        <w:pStyle w:val="NormalIndent1"/>
        <w:jc w:val="left"/>
      </w:pPr>
      <w:r w:rsidRPr="003F106F">
        <w:rPr>
          <w:noProof/>
        </w:rPr>
        <w:drawing>
          <wp:inline distT="0" distB="0" distL="0" distR="0" wp14:anchorId="04E519B7" wp14:editId="148938B2">
            <wp:extent cx="4126727" cy="3007448"/>
            <wp:effectExtent l="0" t="0" r="762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134241" cy="3012924"/>
                    </a:xfrm>
                    <a:prstGeom prst="rect">
                      <a:avLst/>
                    </a:prstGeom>
                    <a:ln>
                      <a:noFill/>
                    </a:ln>
                    <a:extLst>
                      <a:ext uri="{53640926-AAD7-44D8-BBD7-CCE9431645EC}">
                        <a14:shadowObscured xmlns:a14="http://schemas.microsoft.com/office/drawing/2010/main"/>
                      </a:ext>
                    </a:extLst>
                  </pic:spPr>
                </pic:pic>
              </a:graphicData>
            </a:graphic>
          </wp:inline>
        </w:drawing>
      </w:r>
    </w:p>
    <w:p w14:paraId="56412296" w14:textId="77777777" w:rsidR="004F0894" w:rsidRDefault="004F0894" w:rsidP="00980EF6">
      <w:pPr>
        <w:pStyle w:val="NormalIndent1"/>
        <w:jc w:val="left"/>
        <w:rPr>
          <w:i/>
          <w:iCs/>
        </w:rPr>
      </w:pPr>
    </w:p>
    <w:p w14:paraId="665F199D" w14:textId="31B4EB12" w:rsidR="004F0894" w:rsidRDefault="0032756B" w:rsidP="00980EF6">
      <w:pPr>
        <w:pStyle w:val="Heading5"/>
        <w:jc w:val="left"/>
      </w:pPr>
      <w:r w:rsidRPr="00BF032A">
        <w:t>Effect on Back Pain</w:t>
      </w:r>
    </w:p>
    <w:p w14:paraId="1CA20E95" w14:textId="77777777" w:rsidR="004F0894" w:rsidRDefault="004F0894" w:rsidP="00980EF6">
      <w:pPr>
        <w:pStyle w:val="NormalIndent1"/>
        <w:jc w:val="left"/>
      </w:pPr>
    </w:p>
    <w:p w14:paraId="4AEE84D3" w14:textId="5C5DBB34" w:rsidR="0032756B" w:rsidRDefault="0032756B" w:rsidP="00980EF6">
      <w:pPr>
        <w:pStyle w:val="NormalIndent1"/>
        <w:jc w:val="left"/>
      </w:pPr>
      <w:r>
        <w:t xml:space="preserve">Teriparatide significantly reduced the incidence and severity of back pain. In women with postmenopausal osteoporosis, there was a significant (p=0.017) 26% reduction in the spontaneous reports of new or worsened back pain compared to placebo. </w:t>
      </w:r>
    </w:p>
    <w:p w14:paraId="3B6A77E2" w14:textId="77777777" w:rsidR="0032756B" w:rsidRDefault="0032756B" w:rsidP="00980EF6">
      <w:pPr>
        <w:pStyle w:val="NormalIndent1"/>
        <w:jc w:val="left"/>
      </w:pPr>
      <w:r>
        <w:t xml:space="preserve"> </w:t>
      </w:r>
    </w:p>
    <w:p w14:paraId="3C608AA3" w14:textId="12E39B3A" w:rsidR="004F0894" w:rsidRDefault="0032756B" w:rsidP="00980EF6">
      <w:pPr>
        <w:pStyle w:val="Heading5"/>
        <w:jc w:val="left"/>
      </w:pPr>
      <w:r w:rsidRPr="00BF032A">
        <w:t>Effects on Height Loss</w:t>
      </w:r>
    </w:p>
    <w:p w14:paraId="2056F7DA" w14:textId="77777777" w:rsidR="004F0894" w:rsidRDefault="004F0894" w:rsidP="00980EF6">
      <w:pPr>
        <w:pStyle w:val="NormalIndent1"/>
        <w:jc w:val="left"/>
      </w:pPr>
    </w:p>
    <w:p w14:paraId="7E85DBC9" w14:textId="219AF6C4" w:rsidR="0032756B" w:rsidRDefault="0032756B" w:rsidP="00980EF6">
      <w:pPr>
        <w:pStyle w:val="NormalIndent1"/>
        <w:jc w:val="left"/>
      </w:pPr>
      <w:r>
        <w:t xml:space="preserve">For the 86 postmenopausal women who experienced vertebral fractures, those treated with teriparatide had significantly less height loss when compared to placebo (p=0.001). </w:t>
      </w:r>
    </w:p>
    <w:p w14:paraId="704DA12F" w14:textId="77777777" w:rsidR="0032756B" w:rsidRDefault="0032756B" w:rsidP="00980EF6">
      <w:pPr>
        <w:pStyle w:val="NormalIndent1"/>
        <w:jc w:val="left"/>
      </w:pPr>
      <w:r>
        <w:t xml:space="preserve"> </w:t>
      </w:r>
    </w:p>
    <w:p w14:paraId="19E21A05" w14:textId="50F98A87" w:rsidR="004F0894" w:rsidRDefault="0032756B" w:rsidP="00980EF6">
      <w:pPr>
        <w:pStyle w:val="Heading5"/>
        <w:jc w:val="left"/>
      </w:pPr>
      <w:r w:rsidRPr="00BF032A">
        <w:t>Bone Histology</w:t>
      </w:r>
    </w:p>
    <w:p w14:paraId="144979F9" w14:textId="77777777" w:rsidR="004F0894" w:rsidRDefault="004F0894" w:rsidP="00980EF6">
      <w:pPr>
        <w:pStyle w:val="NormalIndent1"/>
        <w:jc w:val="left"/>
      </w:pPr>
    </w:p>
    <w:p w14:paraId="6D2D68F4" w14:textId="43D18D0E" w:rsidR="0032756B" w:rsidRDefault="0032756B" w:rsidP="00980EF6">
      <w:pPr>
        <w:pStyle w:val="NormalIndent1"/>
        <w:jc w:val="left"/>
      </w:pPr>
      <w:r>
        <w:t>The effects of teriparatide on bone histology were evaluated in iliac crest biopsies of 61 postmenopausal women treated for up to 24 months with placebo or teriparatide 20</w:t>
      </w:r>
      <w:r w:rsidR="004F0894">
        <w:t> micrograms</w:t>
      </w:r>
      <w:r>
        <w:t xml:space="preserve"> or 40</w:t>
      </w:r>
      <w:r w:rsidR="004F0894">
        <w:t> micrograms</w:t>
      </w:r>
      <w:r>
        <w:t xml:space="preserve"> per day. The increases in BMD and resistance to fracture achieved with teriparatide occurred without evidence of cellular toxicity or adverse effects on bone architecture or mineralisation. The findings in human bone samples paralleled those seen in preclinical primate studies. </w:t>
      </w:r>
    </w:p>
    <w:p w14:paraId="5A4FACA7" w14:textId="591D38D0" w:rsidR="0032756B" w:rsidRDefault="0032756B" w:rsidP="00980EF6">
      <w:pPr>
        <w:pStyle w:val="NormalIndent1"/>
        <w:jc w:val="left"/>
      </w:pPr>
      <w:r>
        <w:t xml:space="preserve"> </w:t>
      </w:r>
    </w:p>
    <w:p w14:paraId="31D82310" w14:textId="77777777" w:rsidR="00884815" w:rsidRDefault="00884815" w:rsidP="00980EF6">
      <w:pPr>
        <w:pStyle w:val="NormalIndent1"/>
        <w:jc w:val="left"/>
        <w:rPr>
          <w:b/>
          <w:bCs/>
        </w:rPr>
      </w:pPr>
    </w:p>
    <w:p w14:paraId="00DCC127" w14:textId="77777777" w:rsidR="00884815" w:rsidRDefault="00884815" w:rsidP="00980EF6">
      <w:pPr>
        <w:pStyle w:val="NormalIndent1"/>
        <w:jc w:val="left"/>
        <w:rPr>
          <w:b/>
          <w:bCs/>
        </w:rPr>
      </w:pPr>
    </w:p>
    <w:p w14:paraId="55B6D1BF" w14:textId="77777777" w:rsidR="00884815" w:rsidRDefault="00884815" w:rsidP="00980EF6">
      <w:pPr>
        <w:pStyle w:val="NormalIndent1"/>
        <w:jc w:val="left"/>
        <w:rPr>
          <w:b/>
          <w:bCs/>
        </w:rPr>
      </w:pPr>
    </w:p>
    <w:p w14:paraId="56C6ABB0" w14:textId="77777777" w:rsidR="00884815" w:rsidRDefault="00884815" w:rsidP="00980EF6">
      <w:pPr>
        <w:pStyle w:val="NormalIndent1"/>
        <w:jc w:val="left"/>
        <w:rPr>
          <w:b/>
          <w:bCs/>
        </w:rPr>
      </w:pPr>
    </w:p>
    <w:p w14:paraId="30A53EBD" w14:textId="77777777" w:rsidR="00884815" w:rsidRDefault="00884815" w:rsidP="00980EF6">
      <w:pPr>
        <w:pStyle w:val="NormalIndent1"/>
        <w:jc w:val="left"/>
        <w:rPr>
          <w:b/>
          <w:bCs/>
        </w:rPr>
      </w:pPr>
    </w:p>
    <w:p w14:paraId="06773D51" w14:textId="77777777" w:rsidR="00884815" w:rsidRDefault="00884815" w:rsidP="00980EF6">
      <w:pPr>
        <w:pStyle w:val="NormalIndent1"/>
        <w:jc w:val="left"/>
        <w:rPr>
          <w:b/>
          <w:bCs/>
        </w:rPr>
      </w:pPr>
    </w:p>
    <w:p w14:paraId="07A84A86" w14:textId="4E64A769" w:rsidR="0032756B" w:rsidRPr="000D27A3" w:rsidRDefault="0032756B" w:rsidP="00980EF6">
      <w:pPr>
        <w:pStyle w:val="NormalIndent1"/>
        <w:jc w:val="left"/>
        <w:rPr>
          <w:b/>
          <w:bCs/>
        </w:rPr>
      </w:pPr>
      <w:r w:rsidRPr="00BF032A">
        <w:rPr>
          <w:b/>
          <w:bCs/>
        </w:rPr>
        <w:lastRenderedPageBreak/>
        <w:t>Table 3</w:t>
      </w:r>
      <w:r w:rsidRPr="000D27A3">
        <w:rPr>
          <w:b/>
          <w:bCs/>
        </w:rPr>
        <w:t>: Vertebral Fracture Incidence in Postmenopausal Women</w:t>
      </w:r>
    </w:p>
    <w:p w14:paraId="563052BE" w14:textId="77777777" w:rsidR="0032756B" w:rsidRDefault="0032756B" w:rsidP="00980EF6">
      <w:pPr>
        <w:pStyle w:val="NormalIndent1"/>
        <w:jc w:val="left"/>
      </w:pPr>
    </w:p>
    <w:tbl>
      <w:tblPr>
        <w:tblStyle w:val="TableGrid"/>
        <w:tblW w:w="9199" w:type="dxa"/>
        <w:tblInd w:w="425" w:type="dxa"/>
        <w:tblLook w:val="04A0" w:firstRow="1" w:lastRow="0" w:firstColumn="1" w:lastColumn="0" w:noHBand="0" w:noVBand="1"/>
      </w:tblPr>
      <w:tblGrid>
        <w:gridCol w:w="3531"/>
        <w:gridCol w:w="1889"/>
        <w:gridCol w:w="1889"/>
        <w:gridCol w:w="1890"/>
      </w:tblGrid>
      <w:tr w:rsidR="0032756B" w:rsidRPr="004F0894" w14:paraId="771139E0" w14:textId="77777777" w:rsidTr="00D36442">
        <w:tc>
          <w:tcPr>
            <w:tcW w:w="9199" w:type="dxa"/>
            <w:gridSpan w:val="4"/>
            <w:tcBorders>
              <w:top w:val="single" w:sz="12" w:space="0" w:color="auto"/>
              <w:left w:val="single" w:sz="12" w:space="0" w:color="auto"/>
              <w:bottom w:val="single" w:sz="12" w:space="0" w:color="auto"/>
              <w:right w:val="single" w:sz="12" w:space="0" w:color="auto"/>
            </w:tcBorders>
          </w:tcPr>
          <w:p w14:paraId="68BB5DFA" w14:textId="55B0DF67" w:rsidR="0032756B" w:rsidRPr="004F0894" w:rsidRDefault="00AB2719" w:rsidP="00980EF6">
            <w:pPr>
              <w:pStyle w:val="NormalIndent1"/>
              <w:ind w:left="0"/>
              <w:jc w:val="left"/>
              <w:rPr>
                <w:b/>
                <w:bCs/>
                <w:sz w:val="20"/>
                <w:szCs w:val="20"/>
              </w:rPr>
            </w:pPr>
            <w:r w:rsidRPr="004F0894">
              <w:rPr>
                <w:b/>
                <w:bCs/>
                <w:sz w:val="20"/>
                <w:szCs w:val="20"/>
              </w:rPr>
              <w:t>Vertebral Fracture Incidence in Postmenopausal Women:</w:t>
            </w:r>
          </w:p>
        </w:tc>
      </w:tr>
      <w:tr w:rsidR="00AB2719" w:rsidRPr="004F0894" w14:paraId="0AF19E20" w14:textId="77777777" w:rsidTr="00D36442">
        <w:tc>
          <w:tcPr>
            <w:tcW w:w="3531" w:type="dxa"/>
            <w:tcBorders>
              <w:top w:val="single" w:sz="12" w:space="0" w:color="auto"/>
              <w:left w:val="single" w:sz="12" w:space="0" w:color="auto"/>
              <w:bottom w:val="single" w:sz="12" w:space="0" w:color="auto"/>
              <w:right w:val="single" w:sz="12" w:space="0" w:color="auto"/>
            </w:tcBorders>
          </w:tcPr>
          <w:p w14:paraId="6AE64274" w14:textId="77777777" w:rsidR="00AB2719" w:rsidRPr="004F0894" w:rsidRDefault="00AB2719" w:rsidP="00980EF6">
            <w:pPr>
              <w:pStyle w:val="NormalIndent1"/>
              <w:ind w:left="0"/>
              <w:jc w:val="left"/>
              <w:rPr>
                <w:b/>
                <w:bCs/>
                <w:sz w:val="20"/>
                <w:szCs w:val="20"/>
              </w:rPr>
            </w:pPr>
          </w:p>
        </w:tc>
        <w:tc>
          <w:tcPr>
            <w:tcW w:w="1889" w:type="dxa"/>
            <w:tcBorders>
              <w:top w:val="single" w:sz="12" w:space="0" w:color="auto"/>
              <w:left w:val="single" w:sz="12" w:space="0" w:color="auto"/>
              <w:bottom w:val="single" w:sz="12" w:space="0" w:color="auto"/>
              <w:right w:val="single" w:sz="12" w:space="0" w:color="auto"/>
            </w:tcBorders>
          </w:tcPr>
          <w:p w14:paraId="1C1A90C5" w14:textId="3D5C7B5C" w:rsidR="00AB2719" w:rsidRPr="004F0894" w:rsidRDefault="00AB2719" w:rsidP="00980EF6">
            <w:pPr>
              <w:spacing w:line="259" w:lineRule="auto"/>
              <w:jc w:val="left"/>
              <w:rPr>
                <w:b/>
                <w:bCs/>
                <w:sz w:val="20"/>
                <w:szCs w:val="20"/>
              </w:rPr>
            </w:pPr>
            <w:r w:rsidRPr="004F0894">
              <w:rPr>
                <w:b/>
                <w:bCs/>
                <w:sz w:val="20"/>
                <w:szCs w:val="20"/>
              </w:rPr>
              <w:t>Placebo</w:t>
            </w:r>
          </w:p>
          <w:p w14:paraId="4230878B" w14:textId="1FF5412E" w:rsidR="00AB2719" w:rsidRPr="004F0894" w:rsidRDefault="00AB2719" w:rsidP="00980EF6">
            <w:pPr>
              <w:spacing w:line="259" w:lineRule="auto"/>
              <w:jc w:val="left"/>
              <w:rPr>
                <w:b/>
                <w:bCs/>
                <w:sz w:val="20"/>
                <w:szCs w:val="20"/>
              </w:rPr>
            </w:pPr>
            <w:r w:rsidRPr="004F0894">
              <w:rPr>
                <w:b/>
                <w:bCs/>
                <w:sz w:val="20"/>
                <w:szCs w:val="20"/>
              </w:rPr>
              <w:t>(N=448)</w:t>
            </w:r>
          </w:p>
          <w:p w14:paraId="1E90548E" w14:textId="1ED24380" w:rsidR="00AB2719" w:rsidRPr="004F0894" w:rsidRDefault="00AB2719" w:rsidP="00980EF6">
            <w:pPr>
              <w:pStyle w:val="NormalIndent1"/>
              <w:ind w:left="0"/>
              <w:jc w:val="left"/>
              <w:rPr>
                <w:b/>
                <w:bCs/>
                <w:sz w:val="20"/>
                <w:szCs w:val="20"/>
              </w:rPr>
            </w:pPr>
            <w:r w:rsidRPr="004F0894">
              <w:rPr>
                <w:b/>
                <w:bCs/>
                <w:sz w:val="20"/>
                <w:szCs w:val="20"/>
              </w:rPr>
              <w:t>(%)</w:t>
            </w:r>
          </w:p>
        </w:tc>
        <w:tc>
          <w:tcPr>
            <w:tcW w:w="1889" w:type="dxa"/>
            <w:tcBorders>
              <w:top w:val="single" w:sz="12" w:space="0" w:color="auto"/>
              <w:left w:val="single" w:sz="12" w:space="0" w:color="auto"/>
              <w:bottom w:val="single" w:sz="12" w:space="0" w:color="auto"/>
              <w:right w:val="single" w:sz="12" w:space="0" w:color="auto"/>
            </w:tcBorders>
          </w:tcPr>
          <w:p w14:paraId="7BD1FFB2" w14:textId="03744B6A" w:rsidR="00AB2719" w:rsidRPr="004F0894" w:rsidRDefault="00AB2719" w:rsidP="00980EF6">
            <w:pPr>
              <w:spacing w:after="17" w:line="259" w:lineRule="auto"/>
              <w:ind w:left="12"/>
              <w:jc w:val="left"/>
              <w:rPr>
                <w:b/>
                <w:bCs/>
                <w:sz w:val="20"/>
                <w:szCs w:val="20"/>
              </w:rPr>
            </w:pPr>
            <w:r w:rsidRPr="004F0894">
              <w:rPr>
                <w:b/>
                <w:bCs/>
                <w:sz w:val="20"/>
                <w:szCs w:val="20"/>
              </w:rPr>
              <w:t>Teriparatide</w:t>
            </w:r>
          </w:p>
          <w:p w14:paraId="424B3CC3" w14:textId="1F7DC0AE" w:rsidR="00AB2719" w:rsidRPr="004F0894" w:rsidRDefault="00AB2719" w:rsidP="00980EF6">
            <w:pPr>
              <w:spacing w:line="259" w:lineRule="auto"/>
              <w:ind w:left="12"/>
              <w:jc w:val="left"/>
              <w:rPr>
                <w:b/>
                <w:bCs/>
                <w:sz w:val="20"/>
                <w:szCs w:val="20"/>
              </w:rPr>
            </w:pPr>
            <w:r w:rsidRPr="004F0894">
              <w:rPr>
                <w:b/>
                <w:bCs/>
                <w:sz w:val="20"/>
                <w:szCs w:val="20"/>
              </w:rPr>
              <w:t>(N=444)</w:t>
            </w:r>
          </w:p>
          <w:p w14:paraId="22087B2B" w14:textId="36559C44" w:rsidR="00AB2719" w:rsidRPr="004F0894" w:rsidRDefault="00AB2719" w:rsidP="00980EF6">
            <w:pPr>
              <w:pStyle w:val="NormalIndent1"/>
              <w:ind w:left="0"/>
              <w:jc w:val="left"/>
              <w:rPr>
                <w:b/>
                <w:bCs/>
                <w:sz w:val="20"/>
                <w:szCs w:val="20"/>
              </w:rPr>
            </w:pPr>
            <w:r w:rsidRPr="004F0894">
              <w:rPr>
                <w:b/>
                <w:bCs/>
                <w:sz w:val="20"/>
                <w:szCs w:val="20"/>
              </w:rPr>
              <w:t>(%)</w:t>
            </w:r>
          </w:p>
        </w:tc>
        <w:tc>
          <w:tcPr>
            <w:tcW w:w="1890" w:type="dxa"/>
            <w:tcBorders>
              <w:top w:val="single" w:sz="12" w:space="0" w:color="auto"/>
              <w:left w:val="single" w:sz="12" w:space="0" w:color="auto"/>
              <w:bottom w:val="single" w:sz="12" w:space="0" w:color="auto"/>
              <w:right w:val="single" w:sz="12" w:space="0" w:color="auto"/>
            </w:tcBorders>
          </w:tcPr>
          <w:p w14:paraId="116BAE10" w14:textId="0D58BA5E" w:rsidR="00AB2719" w:rsidRPr="004F0894" w:rsidRDefault="00AB2719" w:rsidP="00980EF6">
            <w:pPr>
              <w:spacing w:line="259" w:lineRule="auto"/>
              <w:jc w:val="left"/>
              <w:rPr>
                <w:b/>
                <w:bCs/>
                <w:sz w:val="20"/>
                <w:szCs w:val="20"/>
              </w:rPr>
            </w:pPr>
            <w:r w:rsidRPr="004F0894">
              <w:rPr>
                <w:b/>
                <w:bCs/>
                <w:sz w:val="20"/>
                <w:szCs w:val="20"/>
              </w:rPr>
              <w:t>Abs.</w:t>
            </w:r>
          </w:p>
          <w:p w14:paraId="6B01573A" w14:textId="1FF25D93" w:rsidR="00AB2719" w:rsidRPr="004F0894" w:rsidRDefault="00AB2719" w:rsidP="00980EF6">
            <w:pPr>
              <w:spacing w:after="14" w:line="241" w:lineRule="auto"/>
              <w:jc w:val="left"/>
              <w:rPr>
                <w:b/>
                <w:bCs/>
                <w:sz w:val="20"/>
                <w:szCs w:val="20"/>
              </w:rPr>
            </w:pPr>
            <w:r w:rsidRPr="004F0894">
              <w:rPr>
                <w:b/>
                <w:bCs/>
                <w:sz w:val="20"/>
                <w:szCs w:val="20"/>
              </w:rPr>
              <w:t>Risk Reduction</w:t>
            </w:r>
          </w:p>
          <w:p w14:paraId="3A69E136" w14:textId="2FFC9770" w:rsidR="00AB2719" w:rsidRPr="004F0894" w:rsidRDefault="00AB2719" w:rsidP="00980EF6">
            <w:pPr>
              <w:pStyle w:val="NormalIndent1"/>
              <w:ind w:left="0"/>
              <w:jc w:val="left"/>
              <w:rPr>
                <w:b/>
                <w:bCs/>
                <w:sz w:val="20"/>
                <w:szCs w:val="20"/>
              </w:rPr>
            </w:pPr>
            <w:r w:rsidRPr="004F0894">
              <w:rPr>
                <w:b/>
                <w:bCs/>
                <w:sz w:val="20"/>
                <w:szCs w:val="20"/>
              </w:rPr>
              <w:t>(%)</w:t>
            </w:r>
          </w:p>
        </w:tc>
      </w:tr>
      <w:tr w:rsidR="00AB2719" w:rsidRPr="004F0894" w14:paraId="0AEFD39C" w14:textId="77777777" w:rsidTr="00D36442">
        <w:tc>
          <w:tcPr>
            <w:tcW w:w="3531" w:type="dxa"/>
            <w:tcBorders>
              <w:top w:val="single" w:sz="12" w:space="0" w:color="auto"/>
              <w:left w:val="single" w:sz="6" w:space="0" w:color="000000"/>
              <w:bottom w:val="single" w:sz="6" w:space="0" w:color="000000"/>
              <w:right w:val="single" w:sz="6" w:space="0" w:color="000000"/>
            </w:tcBorders>
          </w:tcPr>
          <w:p w14:paraId="724BEC5E" w14:textId="3F5D6E79" w:rsidR="00AB2719" w:rsidRPr="004F0894" w:rsidRDefault="00AB2719" w:rsidP="00980EF6">
            <w:pPr>
              <w:pStyle w:val="NormalIndent1"/>
              <w:ind w:left="0"/>
              <w:jc w:val="left"/>
              <w:rPr>
                <w:rFonts w:cstheme="minorHAnsi"/>
                <w:sz w:val="20"/>
                <w:szCs w:val="20"/>
              </w:rPr>
            </w:pPr>
            <w:r w:rsidRPr="004F0894">
              <w:rPr>
                <w:rFonts w:cstheme="minorHAnsi"/>
                <w:sz w:val="20"/>
                <w:szCs w:val="20"/>
              </w:rPr>
              <w:t>New fracture (</w:t>
            </w:r>
            <w:r w:rsidR="00F0302D" w:rsidRPr="004F0894">
              <w:rPr>
                <w:rFonts w:eastAsia="Segoe UI Symbol" w:cstheme="minorHAnsi"/>
                <w:sz w:val="20"/>
                <w:szCs w:val="20"/>
              </w:rPr>
              <w:t>≥</w:t>
            </w:r>
            <w:r w:rsidRPr="004F0894">
              <w:rPr>
                <w:rFonts w:cstheme="minorHAnsi"/>
                <w:sz w:val="20"/>
                <w:szCs w:val="20"/>
              </w:rPr>
              <w:t xml:space="preserve">1) </w:t>
            </w:r>
          </w:p>
        </w:tc>
        <w:tc>
          <w:tcPr>
            <w:tcW w:w="1889" w:type="dxa"/>
            <w:tcBorders>
              <w:top w:val="single" w:sz="12" w:space="0" w:color="auto"/>
              <w:left w:val="single" w:sz="6" w:space="0" w:color="000000"/>
              <w:bottom w:val="single" w:sz="6" w:space="0" w:color="000000"/>
              <w:right w:val="single" w:sz="6" w:space="0" w:color="000000"/>
            </w:tcBorders>
          </w:tcPr>
          <w:p w14:paraId="65B7BB92" w14:textId="084A5EA9" w:rsidR="00AB2719" w:rsidRPr="004F0894" w:rsidRDefault="00AB2719" w:rsidP="00980EF6">
            <w:pPr>
              <w:pStyle w:val="NormalIndent1"/>
              <w:ind w:left="0"/>
              <w:jc w:val="left"/>
              <w:rPr>
                <w:rFonts w:cstheme="minorHAnsi"/>
                <w:sz w:val="20"/>
                <w:szCs w:val="20"/>
              </w:rPr>
            </w:pPr>
            <w:r w:rsidRPr="004F0894">
              <w:rPr>
                <w:rFonts w:cstheme="minorHAnsi"/>
                <w:sz w:val="20"/>
                <w:szCs w:val="20"/>
              </w:rPr>
              <w:t>14.3</w:t>
            </w:r>
          </w:p>
        </w:tc>
        <w:tc>
          <w:tcPr>
            <w:tcW w:w="1889" w:type="dxa"/>
            <w:tcBorders>
              <w:top w:val="single" w:sz="12" w:space="0" w:color="auto"/>
              <w:left w:val="single" w:sz="6" w:space="0" w:color="000000"/>
              <w:bottom w:val="single" w:sz="6" w:space="0" w:color="000000"/>
              <w:right w:val="single" w:sz="6" w:space="0" w:color="000000"/>
            </w:tcBorders>
          </w:tcPr>
          <w:p w14:paraId="54A3BFC2" w14:textId="281E2B00" w:rsidR="00AB2719" w:rsidRPr="004F0894" w:rsidRDefault="00AB2719" w:rsidP="00980EF6">
            <w:pPr>
              <w:pStyle w:val="NormalIndent1"/>
              <w:ind w:left="0"/>
              <w:jc w:val="left"/>
              <w:rPr>
                <w:rFonts w:cstheme="minorHAnsi"/>
                <w:sz w:val="20"/>
                <w:szCs w:val="20"/>
              </w:rPr>
            </w:pPr>
            <w:r w:rsidRPr="004F0894">
              <w:rPr>
                <w:rFonts w:cstheme="minorHAnsi"/>
                <w:sz w:val="20"/>
                <w:szCs w:val="20"/>
              </w:rPr>
              <w:t>5.0</w:t>
            </w:r>
            <w:r w:rsidRPr="004F0894">
              <w:rPr>
                <w:rFonts w:cstheme="minorHAnsi"/>
                <w:sz w:val="20"/>
                <w:szCs w:val="20"/>
                <w:vertAlign w:val="superscript"/>
              </w:rPr>
              <w:t xml:space="preserve"> a</w:t>
            </w:r>
          </w:p>
        </w:tc>
        <w:tc>
          <w:tcPr>
            <w:tcW w:w="1890" w:type="dxa"/>
            <w:tcBorders>
              <w:top w:val="single" w:sz="12" w:space="0" w:color="auto"/>
              <w:left w:val="single" w:sz="6" w:space="0" w:color="000000"/>
              <w:bottom w:val="single" w:sz="6" w:space="0" w:color="000000"/>
              <w:right w:val="single" w:sz="6" w:space="0" w:color="000000"/>
            </w:tcBorders>
          </w:tcPr>
          <w:p w14:paraId="290048A6" w14:textId="28645BEB" w:rsidR="00AB2719" w:rsidRPr="004F0894" w:rsidRDefault="00AB2719" w:rsidP="00980EF6">
            <w:pPr>
              <w:pStyle w:val="NormalIndent1"/>
              <w:ind w:left="0"/>
              <w:jc w:val="left"/>
              <w:rPr>
                <w:rFonts w:cstheme="minorHAnsi"/>
                <w:sz w:val="20"/>
                <w:szCs w:val="20"/>
              </w:rPr>
            </w:pPr>
            <w:r w:rsidRPr="004F0894">
              <w:rPr>
                <w:rFonts w:cstheme="minorHAnsi"/>
                <w:sz w:val="20"/>
                <w:szCs w:val="20"/>
              </w:rPr>
              <w:t>9.3</w:t>
            </w:r>
          </w:p>
        </w:tc>
      </w:tr>
      <w:tr w:rsidR="00AB2719" w:rsidRPr="004F0894" w14:paraId="642AC968" w14:textId="77777777" w:rsidTr="00D36442">
        <w:tc>
          <w:tcPr>
            <w:tcW w:w="3531" w:type="dxa"/>
            <w:tcBorders>
              <w:top w:val="single" w:sz="6" w:space="0" w:color="000000"/>
              <w:left w:val="single" w:sz="6" w:space="0" w:color="000000"/>
              <w:bottom w:val="single" w:sz="6" w:space="0" w:color="000000"/>
              <w:right w:val="single" w:sz="6" w:space="0" w:color="000000"/>
            </w:tcBorders>
          </w:tcPr>
          <w:p w14:paraId="2D95D034" w14:textId="7E640067" w:rsidR="00AB2719" w:rsidRPr="004F0894" w:rsidRDefault="00AB2719" w:rsidP="00980EF6">
            <w:pPr>
              <w:pStyle w:val="NormalIndent1"/>
              <w:ind w:left="0"/>
              <w:jc w:val="left"/>
              <w:rPr>
                <w:rFonts w:cstheme="minorHAnsi"/>
                <w:sz w:val="20"/>
                <w:szCs w:val="20"/>
              </w:rPr>
            </w:pPr>
            <w:r w:rsidRPr="004F0894">
              <w:rPr>
                <w:rFonts w:cstheme="minorHAnsi"/>
                <w:sz w:val="20"/>
                <w:szCs w:val="20"/>
              </w:rPr>
              <w:t>Multiple fractures (</w:t>
            </w:r>
            <w:r w:rsidR="00F0302D" w:rsidRPr="004F0894">
              <w:rPr>
                <w:rFonts w:eastAsia="Segoe UI Symbol" w:cstheme="minorHAnsi"/>
                <w:sz w:val="20"/>
                <w:szCs w:val="20"/>
              </w:rPr>
              <w:t>≥</w:t>
            </w:r>
            <w:r w:rsidRPr="004F0894">
              <w:rPr>
                <w:rFonts w:cstheme="minorHAnsi"/>
                <w:sz w:val="20"/>
                <w:szCs w:val="20"/>
              </w:rPr>
              <w:t xml:space="preserve">2) </w:t>
            </w:r>
          </w:p>
        </w:tc>
        <w:tc>
          <w:tcPr>
            <w:tcW w:w="1889" w:type="dxa"/>
            <w:tcBorders>
              <w:top w:val="single" w:sz="6" w:space="0" w:color="000000"/>
              <w:left w:val="single" w:sz="6" w:space="0" w:color="000000"/>
              <w:bottom w:val="single" w:sz="6" w:space="0" w:color="000000"/>
              <w:right w:val="single" w:sz="6" w:space="0" w:color="000000"/>
            </w:tcBorders>
          </w:tcPr>
          <w:p w14:paraId="67612E22" w14:textId="2D2713B3" w:rsidR="00AB2719" w:rsidRPr="004F0894" w:rsidRDefault="00AB2719" w:rsidP="00980EF6">
            <w:pPr>
              <w:pStyle w:val="NormalIndent1"/>
              <w:ind w:left="0"/>
              <w:jc w:val="left"/>
              <w:rPr>
                <w:rFonts w:cstheme="minorHAnsi"/>
                <w:sz w:val="20"/>
                <w:szCs w:val="20"/>
              </w:rPr>
            </w:pPr>
            <w:r w:rsidRPr="004F0894">
              <w:rPr>
                <w:rFonts w:cstheme="minorHAnsi"/>
                <w:sz w:val="20"/>
                <w:szCs w:val="20"/>
              </w:rPr>
              <w:t>4.9</w:t>
            </w:r>
          </w:p>
        </w:tc>
        <w:tc>
          <w:tcPr>
            <w:tcW w:w="1889" w:type="dxa"/>
            <w:tcBorders>
              <w:top w:val="single" w:sz="6" w:space="0" w:color="000000"/>
              <w:left w:val="single" w:sz="6" w:space="0" w:color="000000"/>
              <w:bottom w:val="single" w:sz="6" w:space="0" w:color="000000"/>
              <w:right w:val="single" w:sz="6" w:space="0" w:color="000000"/>
            </w:tcBorders>
          </w:tcPr>
          <w:p w14:paraId="1633C6FD" w14:textId="4F2B7EE3" w:rsidR="00AB2719" w:rsidRPr="004F0894" w:rsidRDefault="00AB2719" w:rsidP="00980EF6">
            <w:pPr>
              <w:pStyle w:val="NormalIndent1"/>
              <w:ind w:left="0"/>
              <w:jc w:val="left"/>
              <w:rPr>
                <w:rFonts w:cstheme="minorHAnsi"/>
                <w:sz w:val="20"/>
                <w:szCs w:val="20"/>
              </w:rPr>
            </w:pPr>
            <w:r w:rsidRPr="004F0894">
              <w:rPr>
                <w:rFonts w:cstheme="minorHAnsi"/>
                <w:sz w:val="20"/>
                <w:szCs w:val="20"/>
              </w:rPr>
              <w:t>1.1</w:t>
            </w:r>
            <w:r w:rsidRPr="004F0894">
              <w:rPr>
                <w:rFonts w:cstheme="minorHAnsi"/>
                <w:sz w:val="20"/>
                <w:szCs w:val="20"/>
                <w:vertAlign w:val="superscript"/>
              </w:rPr>
              <w:t xml:space="preserve"> a</w:t>
            </w:r>
          </w:p>
        </w:tc>
        <w:tc>
          <w:tcPr>
            <w:tcW w:w="1890" w:type="dxa"/>
            <w:tcBorders>
              <w:top w:val="single" w:sz="6" w:space="0" w:color="000000"/>
              <w:left w:val="single" w:sz="6" w:space="0" w:color="000000"/>
              <w:bottom w:val="single" w:sz="6" w:space="0" w:color="000000"/>
              <w:right w:val="single" w:sz="6" w:space="0" w:color="000000"/>
            </w:tcBorders>
          </w:tcPr>
          <w:p w14:paraId="5B659C51" w14:textId="52AFA188" w:rsidR="00AB2719" w:rsidRPr="004F0894" w:rsidRDefault="00AB2719" w:rsidP="00980EF6">
            <w:pPr>
              <w:pStyle w:val="NormalIndent1"/>
              <w:ind w:left="0"/>
              <w:jc w:val="left"/>
              <w:rPr>
                <w:rFonts w:cstheme="minorHAnsi"/>
                <w:sz w:val="20"/>
                <w:szCs w:val="20"/>
              </w:rPr>
            </w:pPr>
            <w:r w:rsidRPr="004F0894">
              <w:rPr>
                <w:rFonts w:cstheme="minorHAnsi"/>
                <w:sz w:val="20"/>
                <w:szCs w:val="20"/>
              </w:rPr>
              <w:t>3.8</w:t>
            </w:r>
          </w:p>
        </w:tc>
      </w:tr>
      <w:tr w:rsidR="00AB2719" w:rsidRPr="004F0894" w14:paraId="1FDC84B7" w14:textId="77777777" w:rsidTr="00D36442">
        <w:tc>
          <w:tcPr>
            <w:tcW w:w="3531" w:type="dxa"/>
            <w:tcBorders>
              <w:top w:val="single" w:sz="6" w:space="0" w:color="000000"/>
              <w:left w:val="single" w:sz="6" w:space="0" w:color="000000"/>
              <w:bottom w:val="single" w:sz="6" w:space="0" w:color="000000"/>
              <w:right w:val="single" w:sz="6" w:space="0" w:color="000000"/>
            </w:tcBorders>
          </w:tcPr>
          <w:p w14:paraId="1E5BBC3A" w14:textId="5D707790" w:rsidR="00AB2719" w:rsidRPr="004F0894" w:rsidRDefault="00AB2719" w:rsidP="00980EF6">
            <w:pPr>
              <w:pStyle w:val="NormalIndent1"/>
              <w:ind w:left="0"/>
              <w:jc w:val="left"/>
              <w:rPr>
                <w:rFonts w:cstheme="minorHAnsi"/>
                <w:sz w:val="20"/>
                <w:szCs w:val="20"/>
              </w:rPr>
            </w:pPr>
            <w:r w:rsidRPr="004F0894">
              <w:rPr>
                <w:rFonts w:cstheme="minorHAnsi"/>
                <w:sz w:val="20"/>
                <w:szCs w:val="20"/>
              </w:rPr>
              <w:t>Moderate or severe fracture (</w:t>
            </w:r>
            <w:r w:rsidR="00F0302D" w:rsidRPr="004F0894">
              <w:rPr>
                <w:rFonts w:eastAsia="Segoe UI Symbol" w:cstheme="minorHAnsi"/>
                <w:sz w:val="20"/>
                <w:szCs w:val="20"/>
              </w:rPr>
              <w:t>≥</w:t>
            </w:r>
            <w:r w:rsidRPr="004F0894">
              <w:rPr>
                <w:rFonts w:cstheme="minorHAnsi"/>
                <w:sz w:val="20"/>
                <w:szCs w:val="20"/>
              </w:rPr>
              <w:t xml:space="preserve">1) </w:t>
            </w:r>
          </w:p>
        </w:tc>
        <w:tc>
          <w:tcPr>
            <w:tcW w:w="1889" w:type="dxa"/>
            <w:tcBorders>
              <w:top w:val="single" w:sz="6" w:space="0" w:color="000000"/>
              <w:left w:val="single" w:sz="6" w:space="0" w:color="000000"/>
              <w:bottom w:val="single" w:sz="6" w:space="0" w:color="000000"/>
              <w:right w:val="single" w:sz="6" w:space="0" w:color="000000"/>
            </w:tcBorders>
          </w:tcPr>
          <w:p w14:paraId="4050B8CA" w14:textId="36D4BACB" w:rsidR="00AB2719" w:rsidRPr="004F0894" w:rsidRDefault="00AB2719" w:rsidP="00980EF6">
            <w:pPr>
              <w:pStyle w:val="NormalIndent1"/>
              <w:ind w:left="0"/>
              <w:jc w:val="left"/>
              <w:rPr>
                <w:rFonts w:cstheme="minorHAnsi"/>
                <w:sz w:val="20"/>
                <w:szCs w:val="20"/>
              </w:rPr>
            </w:pPr>
            <w:r w:rsidRPr="004F0894">
              <w:rPr>
                <w:rFonts w:cstheme="minorHAnsi"/>
                <w:sz w:val="20"/>
                <w:szCs w:val="20"/>
              </w:rPr>
              <w:t>9.4</w:t>
            </w:r>
          </w:p>
        </w:tc>
        <w:tc>
          <w:tcPr>
            <w:tcW w:w="1889" w:type="dxa"/>
            <w:tcBorders>
              <w:top w:val="single" w:sz="6" w:space="0" w:color="000000"/>
              <w:left w:val="single" w:sz="6" w:space="0" w:color="000000"/>
              <w:bottom w:val="single" w:sz="6" w:space="0" w:color="000000"/>
              <w:right w:val="single" w:sz="6" w:space="0" w:color="000000"/>
            </w:tcBorders>
          </w:tcPr>
          <w:p w14:paraId="73CDEE4D" w14:textId="1A0ED62A" w:rsidR="00AB2719" w:rsidRPr="004F0894" w:rsidRDefault="00AB2719" w:rsidP="00980EF6">
            <w:pPr>
              <w:pStyle w:val="NormalIndent1"/>
              <w:ind w:left="0"/>
              <w:jc w:val="left"/>
              <w:rPr>
                <w:rFonts w:cstheme="minorHAnsi"/>
                <w:sz w:val="20"/>
                <w:szCs w:val="20"/>
              </w:rPr>
            </w:pPr>
            <w:r w:rsidRPr="004F0894">
              <w:rPr>
                <w:rFonts w:cstheme="minorHAnsi"/>
                <w:sz w:val="20"/>
                <w:szCs w:val="20"/>
              </w:rPr>
              <w:t>0.9</w:t>
            </w:r>
            <w:r w:rsidRPr="004F0894">
              <w:rPr>
                <w:rFonts w:cstheme="minorHAnsi"/>
                <w:sz w:val="20"/>
                <w:szCs w:val="20"/>
                <w:vertAlign w:val="superscript"/>
              </w:rPr>
              <w:t xml:space="preserve"> a</w:t>
            </w:r>
          </w:p>
        </w:tc>
        <w:tc>
          <w:tcPr>
            <w:tcW w:w="1890" w:type="dxa"/>
            <w:tcBorders>
              <w:top w:val="single" w:sz="6" w:space="0" w:color="000000"/>
              <w:left w:val="single" w:sz="6" w:space="0" w:color="000000"/>
              <w:bottom w:val="single" w:sz="6" w:space="0" w:color="000000"/>
              <w:right w:val="single" w:sz="6" w:space="0" w:color="000000"/>
            </w:tcBorders>
          </w:tcPr>
          <w:p w14:paraId="3E3C06C5" w14:textId="463AC99F" w:rsidR="00AB2719" w:rsidRPr="004F0894" w:rsidRDefault="00AB2719" w:rsidP="00980EF6">
            <w:pPr>
              <w:pStyle w:val="NormalIndent1"/>
              <w:ind w:left="0"/>
              <w:jc w:val="left"/>
              <w:rPr>
                <w:rFonts w:cstheme="minorHAnsi"/>
                <w:sz w:val="20"/>
                <w:szCs w:val="20"/>
              </w:rPr>
            </w:pPr>
            <w:r w:rsidRPr="004F0894">
              <w:rPr>
                <w:rFonts w:cstheme="minorHAnsi"/>
                <w:sz w:val="20"/>
                <w:szCs w:val="20"/>
              </w:rPr>
              <w:t>8.5</w:t>
            </w:r>
          </w:p>
        </w:tc>
      </w:tr>
    </w:tbl>
    <w:p w14:paraId="58E28813" w14:textId="77777777" w:rsidR="004F0894" w:rsidRDefault="004F0894" w:rsidP="00980EF6">
      <w:pPr>
        <w:pStyle w:val="NormalIndent1"/>
        <w:jc w:val="left"/>
      </w:pPr>
    </w:p>
    <w:p w14:paraId="4E91A704" w14:textId="60DCF2CE" w:rsidR="0032756B" w:rsidRPr="002E5D93" w:rsidRDefault="00AB2719" w:rsidP="00980EF6">
      <w:pPr>
        <w:pStyle w:val="NormalIndent1"/>
        <w:ind w:left="709" w:hanging="284"/>
        <w:jc w:val="left"/>
        <w:rPr>
          <w:sz w:val="20"/>
          <w:szCs w:val="20"/>
        </w:rPr>
      </w:pPr>
      <w:r w:rsidRPr="00E629E1">
        <w:rPr>
          <w:sz w:val="20"/>
          <w:szCs w:val="20"/>
          <w:vertAlign w:val="superscript"/>
        </w:rPr>
        <w:t>a</w:t>
      </w:r>
      <w:r w:rsidRPr="00E629E1">
        <w:rPr>
          <w:sz w:val="20"/>
          <w:szCs w:val="20"/>
        </w:rPr>
        <w:t xml:space="preserve"> </w:t>
      </w:r>
      <w:r w:rsidR="002E5D93">
        <w:rPr>
          <w:sz w:val="20"/>
          <w:szCs w:val="20"/>
        </w:rPr>
        <w:tab/>
      </w:r>
      <w:r w:rsidRPr="002E5D93">
        <w:rPr>
          <w:sz w:val="20"/>
          <w:szCs w:val="20"/>
        </w:rPr>
        <w:t>p</w:t>
      </w:r>
      <w:r w:rsidR="00F0302D" w:rsidRPr="002E5D93">
        <w:rPr>
          <w:rFonts w:cstheme="minorHAnsi"/>
          <w:sz w:val="20"/>
          <w:szCs w:val="20"/>
        </w:rPr>
        <w:t>≤</w:t>
      </w:r>
      <w:r w:rsidRPr="002E5D93">
        <w:rPr>
          <w:sz w:val="20"/>
          <w:szCs w:val="20"/>
        </w:rPr>
        <w:t>0.001 compared with placebo</w:t>
      </w:r>
    </w:p>
    <w:p w14:paraId="268A1D54" w14:textId="5FF9D726" w:rsidR="0032756B" w:rsidRDefault="0032756B" w:rsidP="00980EF6">
      <w:pPr>
        <w:pStyle w:val="NormalIndent1"/>
        <w:jc w:val="left"/>
      </w:pPr>
    </w:p>
    <w:p w14:paraId="35ACC848" w14:textId="51195E86" w:rsidR="002E5D93" w:rsidRDefault="00AB2719" w:rsidP="00980EF6">
      <w:pPr>
        <w:pStyle w:val="NormalIndent1"/>
        <w:jc w:val="left"/>
      </w:pPr>
      <w:r w:rsidRPr="00BF032A">
        <w:rPr>
          <w:i/>
          <w:iCs/>
        </w:rPr>
        <w:t>Post-treatment Fracture Efficacy</w:t>
      </w:r>
    </w:p>
    <w:p w14:paraId="60D66C9C" w14:textId="77777777" w:rsidR="002E5D93" w:rsidRDefault="002E5D93" w:rsidP="00980EF6">
      <w:pPr>
        <w:pStyle w:val="NormalIndent1"/>
        <w:jc w:val="left"/>
      </w:pPr>
    </w:p>
    <w:p w14:paraId="5D913F35" w14:textId="3E0239A7" w:rsidR="00AB2719" w:rsidRDefault="00AB2719" w:rsidP="00980EF6">
      <w:pPr>
        <w:pStyle w:val="NormalIndent1"/>
        <w:jc w:val="left"/>
      </w:pPr>
      <w:r>
        <w:t>Following treatment with teriparatide, 1</w:t>
      </w:r>
      <w:r w:rsidR="002E5D93">
        <w:t>,</w:t>
      </w:r>
      <w:r>
        <w:t>262 postmenopausal women from the pivotal trial enrolled in a post-treatment follow-up study. After 18 months, approximately 50% of the women in each former treatment group had begun an approved osteoporosis therapy (not including teriparatide) at the discretion of their physician. All women were offered 1000</w:t>
      </w:r>
      <w:r w:rsidR="002E5D93">
        <w:t> </w:t>
      </w:r>
      <w:r>
        <w:t>mg of calcium per day and at least 400</w:t>
      </w:r>
      <w:r w:rsidR="002E5D93">
        <w:t> </w:t>
      </w:r>
      <w:r>
        <w:t xml:space="preserve">IU of vitamin D per day.  </w:t>
      </w:r>
    </w:p>
    <w:p w14:paraId="2832B357" w14:textId="77777777" w:rsidR="00AB2719" w:rsidRDefault="00AB2719" w:rsidP="00980EF6">
      <w:pPr>
        <w:pStyle w:val="NormalIndent1"/>
        <w:jc w:val="left"/>
      </w:pPr>
      <w:r>
        <w:t xml:space="preserve"> </w:t>
      </w:r>
    </w:p>
    <w:p w14:paraId="3C16D757" w14:textId="1FCABDC0" w:rsidR="00AB2719" w:rsidRDefault="00AB2719" w:rsidP="00980EF6">
      <w:pPr>
        <w:pStyle w:val="NormalIndent1"/>
        <w:jc w:val="left"/>
      </w:pPr>
      <w:r>
        <w:t>During a median of 18 months following discontinuation of teriparatide treatment, there was a significant 40% reduction in relative risk for new vertebral fractures in women previously treated with teriparatide, compared to placebo. (The relative risk reduction was similar for women with and without osteoporosis treatment, 41% and 37%, respectively</w:t>
      </w:r>
      <w:r w:rsidR="002E5D93">
        <w:t>.</w:t>
      </w:r>
      <w:r>
        <w:t>) During the same observation period, there was a 42% risk reduction for non</w:t>
      </w:r>
      <w:r w:rsidR="00D36442">
        <w:t>-</w:t>
      </w:r>
      <w:r>
        <w:t xml:space="preserve">vertebral fragility fractures in women previously treated with teriparatide, compared with placebo. </w:t>
      </w:r>
    </w:p>
    <w:p w14:paraId="534FEA10" w14:textId="77777777" w:rsidR="00AB2719" w:rsidRDefault="00AB2719" w:rsidP="00980EF6">
      <w:pPr>
        <w:pStyle w:val="NormalIndent1"/>
        <w:jc w:val="left"/>
      </w:pPr>
      <w:r>
        <w:t xml:space="preserve"> </w:t>
      </w:r>
    </w:p>
    <w:p w14:paraId="3BD35043" w14:textId="77777777" w:rsidR="00AB2719" w:rsidRDefault="00AB2719" w:rsidP="00980EF6">
      <w:pPr>
        <w:pStyle w:val="NormalIndent1"/>
        <w:jc w:val="left"/>
      </w:pPr>
      <w:r>
        <w:t xml:space="preserve">Data from this study demonstrate that regardless of the follow-up treatment options, fracture risk was reduced for women previously treated with teriparatide. </w:t>
      </w:r>
    </w:p>
    <w:p w14:paraId="34BAFC1F" w14:textId="77777777" w:rsidR="00AB2719" w:rsidRDefault="00AB2719" w:rsidP="00980EF6">
      <w:pPr>
        <w:pStyle w:val="NormalIndent1"/>
        <w:jc w:val="left"/>
      </w:pPr>
      <w:r>
        <w:t xml:space="preserve"> </w:t>
      </w:r>
    </w:p>
    <w:p w14:paraId="04670CAE" w14:textId="620F7141" w:rsidR="00AB2719" w:rsidRDefault="00AB2719" w:rsidP="00980EF6">
      <w:pPr>
        <w:pStyle w:val="NormalIndent1"/>
        <w:jc w:val="left"/>
      </w:pPr>
      <w:r>
        <w:t xml:space="preserve">A 24-month, randomised, double-blind, comparator-controlled Phase 4 study included 1,360 postmenopausal women with established osteoporosis. 680 subjects were randomised to </w:t>
      </w:r>
      <w:r w:rsidR="00884357">
        <w:rPr>
          <w:color w:val="000000" w:themeColor="text1"/>
        </w:rPr>
        <w:t>t</w:t>
      </w:r>
      <w:r w:rsidR="00884357" w:rsidRPr="00BF032A">
        <w:rPr>
          <w:color w:val="000000" w:themeColor="text1"/>
        </w:rPr>
        <w:t>eriparatide</w:t>
      </w:r>
      <w:r>
        <w:t xml:space="preserve"> and 680 subjects were randomised to oral risedronate 35</w:t>
      </w:r>
      <w:r w:rsidR="002E5D93">
        <w:t> </w:t>
      </w:r>
      <w:r>
        <w:t>mg/week. At baseline, the women had a mean age of 72.1 years and a median of 2 prevalent vertebral fractures; 57.9% of patients had received previous bisphosphonate therapy and 18.8% took concomitant glucocorticoids during the study. 1,013 (74.5%) patients completed the 24</w:t>
      </w:r>
      <w:r w:rsidR="005D0427">
        <w:t>-</w:t>
      </w:r>
      <w:r>
        <w:t>month follow-up. The mean (median) cumulative dose of glucocorticoid was 474.3</w:t>
      </w:r>
      <w:r w:rsidR="002E5D93">
        <w:t> </w:t>
      </w:r>
      <w:r>
        <w:t>(66.2)</w:t>
      </w:r>
      <w:r w:rsidR="002E5D93">
        <w:t> </w:t>
      </w:r>
      <w:r>
        <w:t>mg in the teriparatide arm and 898.0</w:t>
      </w:r>
      <w:r w:rsidR="002E5D93">
        <w:t> </w:t>
      </w:r>
      <w:r>
        <w:t>(100.0)</w:t>
      </w:r>
      <w:r w:rsidR="002E5D93">
        <w:t> </w:t>
      </w:r>
      <w:r>
        <w:t>mg in the risedronate arm. The mean (median) vitamin D intake for the teriparatide arm was 1408.4</w:t>
      </w:r>
      <w:r w:rsidR="002E5D93">
        <w:t> </w:t>
      </w:r>
      <w:r>
        <w:t>IU/day (1380.4</w:t>
      </w:r>
      <w:r w:rsidR="002E5D93">
        <w:t> </w:t>
      </w:r>
      <w:r>
        <w:t>IU/day) and for the risedronate arm was 1206.4</w:t>
      </w:r>
      <w:r w:rsidR="002E5D93">
        <w:t> </w:t>
      </w:r>
      <w:r>
        <w:t>IU/day (900</w:t>
      </w:r>
      <w:r w:rsidR="002E5D93">
        <w:t> </w:t>
      </w:r>
      <w:r>
        <w:t xml:space="preserve">IU/day). For those subjects who had baseline and follow-up spine radiographs, the incidence of new vertebral fractures was 28/516 (5.4%) in </w:t>
      </w:r>
      <w:r w:rsidR="00884357">
        <w:rPr>
          <w:color w:val="000000" w:themeColor="text1"/>
        </w:rPr>
        <w:t>t</w:t>
      </w:r>
      <w:r w:rsidR="00884357" w:rsidRPr="00BF032A">
        <w:rPr>
          <w:color w:val="000000" w:themeColor="text1"/>
        </w:rPr>
        <w:t>eriparatide</w:t>
      </w:r>
      <w:r>
        <w:t xml:space="preserve"> and 64/533 (12.0%) in risedronate-treated patients, relative risk (95% CI) = 0.44 (0.29-0.68), </w:t>
      </w:r>
      <w:r w:rsidR="00C6611B">
        <w:t>p</w:t>
      </w:r>
      <w:r>
        <w:t xml:space="preserve">&lt;0.0001. The cumulative incidence of pooled clinical fractures (clinical vertebral and </w:t>
      </w:r>
      <w:r w:rsidR="00C6611B">
        <w:t>non-vertebral</w:t>
      </w:r>
      <w:r>
        <w:t xml:space="preserve"> fractures) was 4.8% in </w:t>
      </w:r>
      <w:r w:rsidR="00884357">
        <w:rPr>
          <w:color w:val="000000" w:themeColor="text1"/>
        </w:rPr>
        <w:t>t</w:t>
      </w:r>
      <w:r w:rsidR="00884357" w:rsidRPr="00BF032A">
        <w:rPr>
          <w:color w:val="000000" w:themeColor="text1"/>
        </w:rPr>
        <w:t>eriparatide</w:t>
      </w:r>
      <w:r>
        <w:t xml:space="preserve"> and 9.8% in risedronate</w:t>
      </w:r>
      <w:r w:rsidR="002E5D93">
        <w:t>-</w:t>
      </w:r>
      <w:r>
        <w:t xml:space="preserve">treated patients, hazard ratio (95% CI) = 0.48 (0.32-0.74), </w:t>
      </w:r>
      <w:r w:rsidR="00C6611B">
        <w:t>p</w:t>
      </w:r>
      <w:r>
        <w:t xml:space="preserve">=0.0009. </w:t>
      </w:r>
    </w:p>
    <w:p w14:paraId="005E1368" w14:textId="1298904B" w:rsidR="00AB2719" w:rsidRDefault="00AB2719" w:rsidP="00980EF6">
      <w:pPr>
        <w:pStyle w:val="NormalIndent1"/>
        <w:jc w:val="left"/>
      </w:pPr>
    </w:p>
    <w:p w14:paraId="108D575F" w14:textId="3C9EF826" w:rsidR="00AB2719" w:rsidRDefault="00AB2719" w:rsidP="00980EF6">
      <w:pPr>
        <w:pStyle w:val="NormalIndent1"/>
        <w:jc w:val="left"/>
      </w:pPr>
      <w:r>
        <w:t xml:space="preserve">In an open-label study, 503 postmenopausal women with severe osteoporosis and a fragility fracture within the previous 3 years (83% had received previous osteoporosis therapy) were treated with </w:t>
      </w:r>
      <w:r w:rsidR="00884357">
        <w:rPr>
          <w:color w:val="000000" w:themeColor="text1"/>
        </w:rPr>
        <w:t>t</w:t>
      </w:r>
      <w:r w:rsidR="00884357" w:rsidRPr="00BF032A">
        <w:rPr>
          <w:color w:val="000000" w:themeColor="text1"/>
        </w:rPr>
        <w:t>eriparatide</w:t>
      </w:r>
      <w:r>
        <w:t xml:space="preserve"> for up to 24 months. At 24 months, the mean increase from baseline in lumbar spine, total hip and femoral neck BMD was 10.5%, 2.6% and 3.9% respectively. The mean increase in BMD from 18 to 24 months was 1.4%, 1.2% and 1.6% at the lumbar spine, total hip and femoral neck, respectively. </w:t>
      </w:r>
    </w:p>
    <w:p w14:paraId="195D8E10" w14:textId="01E437CF" w:rsidR="00AB2719" w:rsidRDefault="00AB2719" w:rsidP="00980EF6">
      <w:pPr>
        <w:pStyle w:val="NormalIndent1"/>
        <w:jc w:val="left"/>
      </w:pPr>
    </w:p>
    <w:p w14:paraId="351FB848" w14:textId="77777777" w:rsidR="00AB2719" w:rsidRDefault="00AB2719" w:rsidP="00980EF6">
      <w:pPr>
        <w:pStyle w:val="Heading4"/>
        <w:jc w:val="left"/>
      </w:pPr>
      <w:r>
        <w:t xml:space="preserve">Male Osteoporosis </w:t>
      </w:r>
    </w:p>
    <w:p w14:paraId="1CED6C0A" w14:textId="2B3DBA45" w:rsidR="00AB2719" w:rsidRDefault="00AB2719" w:rsidP="00980EF6">
      <w:pPr>
        <w:pStyle w:val="NormalIndent1"/>
        <w:jc w:val="left"/>
      </w:pPr>
    </w:p>
    <w:p w14:paraId="5B5672DB" w14:textId="2EB7AAC3" w:rsidR="00AB2719" w:rsidRDefault="00AB2719" w:rsidP="00980EF6">
      <w:pPr>
        <w:pStyle w:val="NormalIndent1"/>
        <w:jc w:val="left"/>
      </w:pPr>
      <w:r>
        <w:t>The efficacy of teriparatide was demonstrated in a double-blind, placebo-controlled clinical study in 437</w:t>
      </w:r>
      <w:r w:rsidR="00F70E77">
        <w:t> </w:t>
      </w:r>
      <w:r>
        <w:t>men with either hypogonadal or idiopathic osteoporosis. All patients received 1000</w:t>
      </w:r>
      <w:r w:rsidR="002E5D93">
        <w:t> </w:t>
      </w:r>
      <w:r>
        <w:t>mg of calcium per day and at least 400</w:t>
      </w:r>
      <w:r w:rsidR="002E5D93">
        <w:t> </w:t>
      </w:r>
      <w:r>
        <w:t xml:space="preserve">IU of vitamin D per day and were treated for up to 14 months.  </w:t>
      </w:r>
    </w:p>
    <w:p w14:paraId="1E811061" w14:textId="7A1FBA23" w:rsidR="00AB2719" w:rsidRDefault="00AB2719" w:rsidP="00980EF6">
      <w:pPr>
        <w:pStyle w:val="NormalIndent1"/>
        <w:jc w:val="left"/>
      </w:pPr>
    </w:p>
    <w:p w14:paraId="585E2464" w14:textId="0B6BF6F0" w:rsidR="00AB2719" w:rsidRDefault="00AB2719" w:rsidP="00980EF6">
      <w:pPr>
        <w:pStyle w:val="NormalIndent1"/>
        <w:jc w:val="left"/>
      </w:pPr>
      <w:r>
        <w:t xml:space="preserve">In this study, teriparatide rapidly increased lumbar spine BMD in men, with significant increases as early as 3 months. This increase continued throughout the treatment period, as shown in </w:t>
      </w:r>
      <w:r w:rsidRPr="00E629E1">
        <w:rPr>
          <w:b/>
          <w:bCs/>
        </w:rPr>
        <w:t>Figure 3</w:t>
      </w:r>
      <w:r>
        <w:t xml:space="preserve">. After a median treatment period of 11 months, BMD in the spine had (on average) increased by 5% and in the hip by 1%, compared to placebo. Increases in BMD were similar in men with hypogonadal or idiopathic osteoporosis. Teriparatide was effective regardless of age, baseline rate of bone turnover and baseline BMD. </w:t>
      </w:r>
    </w:p>
    <w:p w14:paraId="2EA6F149" w14:textId="2E34D617" w:rsidR="00AB2719" w:rsidRDefault="00AB2719" w:rsidP="00980EF6">
      <w:pPr>
        <w:pStyle w:val="NormalIndent1"/>
        <w:jc w:val="left"/>
      </w:pPr>
    </w:p>
    <w:p w14:paraId="0EBFB183" w14:textId="6896FF3F" w:rsidR="00AB2719" w:rsidRDefault="00AB2719" w:rsidP="00980EF6">
      <w:pPr>
        <w:pStyle w:val="NormalIndent1"/>
        <w:jc w:val="left"/>
      </w:pPr>
      <w:r>
        <w:t>All male patients presenting with osteoporosis should be checked for primary or secondary hypogonadism, investigated and treated appropriately as a prerequisite.</w:t>
      </w:r>
    </w:p>
    <w:p w14:paraId="052EB0E2" w14:textId="2777FB8F" w:rsidR="00AF7D64" w:rsidRDefault="00AF7D64" w:rsidP="00980EF6">
      <w:pPr>
        <w:jc w:val="left"/>
        <w:rPr>
          <w:b/>
          <w:bCs/>
        </w:rPr>
      </w:pPr>
      <w:bookmarkStart w:id="1" w:name="_Hlk64900998"/>
    </w:p>
    <w:p w14:paraId="3D5584E6" w14:textId="0AE16D67" w:rsidR="00AB2719" w:rsidRPr="000D27A3" w:rsidRDefault="00AB2719" w:rsidP="00980EF6">
      <w:pPr>
        <w:pStyle w:val="NormalIndent1"/>
        <w:jc w:val="left"/>
        <w:rPr>
          <w:b/>
          <w:bCs/>
        </w:rPr>
      </w:pPr>
      <w:r w:rsidRPr="000D27A3">
        <w:rPr>
          <w:b/>
          <w:bCs/>
        </w:rPr>
        <w:t xml:space="preserve">Figure 3: </w:t>
      </w:r>
      <w:bookmarkEnd w:id="1"/>
      <w:r w:rsidRPr="000D27A3">
        <w:rPr>
          <w:b/>
          <w:bCs/>
        </w:rPr>
        <w:t>Time Course of Change in Lumbar Spine BMD in Osteoporotic Men Treated with Teriparatide 20 µg or Placebo</w:t>
      </w:r>
    </w:p>
    <w:p w14:paraId="54A547E5" w14:textId="1AB4EDD7" w:rsidR="00AB2719" w:rsidRDefault="00AB2719" w:rsidP="00980EF6">
      <w:pPr>
        <w:pStyle w:val="NormalIndent1"/>
        <w:jc w:val="left"/>
        <w:rPr>
          <w:sz w:val="20"/>
          <w:szCs w:val="20"/>
        </w:rPr>
      </w:pPr>
      <w:r w:rsidRPr="00BF032A">
        <w:rPr>
          <w:sz w:val="20"/>
          <w:szCs w:val="20"/>
        </w:rPr>
        <w:t xml:space="preserve">(p&lt;0.001 for </w:t>
      </w:r>
      <w:r w:rsidR="002E5D93" w:rsidRPr="00BF032A">
        <w:rPr>
          <w:sz w:val="20"/>
          <w:szCs w:val="20"/>
        </w:rPr>
        <w:t xml:space="preserve">teriparatide </w:t>
      </w:r>
      <w:r w:rsidRPr="00BF032A">
        <w:rPr>
          <w:sz w:val="20"/>
          <w:szCs w:val="20"/>
        </w:rPr>
        <w:t>compared with placebo at each post-baseline time point)</w:t>
      </w:r>
    </w:p>
    <w:p w14:paraId="2A1520D5" w14:textId="77777777" w:rsidR="002E5D93" w:rsidRPr="00BF032A" w:rsidRDefault="002E5D93" w:rsidP="00980EF6">
      <w:pPr>
        <w:pStyle w:val="NormalIndent1"/>
        <w:jc w:val="left"/>
        <w:rPr>
          <w:sz w:val="20"/>
          <w:szCs w:val="20"/>
        </w:rPr>
      </w:pPr>
    </w:p>
    <w:p w14:paraId="727FC305" w14:textId="63FAC6A4" w:rsidR="00AB2719" w:rsidRDefault="007B428A" w:rsidP="00980EF6">
      <w:pPr>
        <w:pStyle w:val="NormalIndent1"/>
        <w:jc w:val="left"/>
      </w:pPr>
      <w:r>
        <w:rPr>
          <w:noProof/>
        </w:rPr>
        <w:drawing>
          <wp:inline distT="0" distB="0" distL="0" distR="0" wp14:anchorId="36833C2D" wp14:editId="08B1AE45">
            <wp:extent cx="4833472" cy="332364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834383" cy="3324271"/>
                    </a:xfrm>
                    <a:prstGeom prst="rect">
                      <a:avLst/>
                    </a:prstGeom>
                    <a:noFill/>
                    <a:ln>
                      <a:noFill/>
                    </a:ln>
                    <a:extLst>
                      <a:ext uri="{53640926-AAD7-44D8-BBD7-CCE9431645EC}">
                        <a14:shadowObscured xmlns:a14="http://schemas.microsoft.com/office/drawing/2010/main"/>
                      </a:ext>
                    </a:extLst>
                  </pic:spPr>
                </pic:pic>
              </a:graphicData>
            </a:graphic>
          </wp:inline>
        </w:drawing>
      </w:r>
    </w:p>
    <w:p w14:paraId="09A5EC4B" w14:textId="3D66C214" w:rsidR="00AB2719" w:rsidRDefault="00AB2719" w:rsidP="00980EF6">
      <w:pPr>
        <w:pStyle w:val="NormalIndent1"/>
        <w:jc w:val="left"/>
      </w:pPr>
    </w:p>
    <w:p w14:paraId="3EB018CB" w14:textId="3058AD27" w:rsidR="007B428A" w:rsidRDefault="007B428A" w:rsidP="00980EF6">
      <w:pPr>
        <w:pStyle w:val="Heading4"/>
        <w:jc w:val="left"/>
      </w:pPr>
      <w:r>
        <w:t xml:space="preserve">Glucocorticoid-induced </w:t>
      </w:r>
      <w:r w:rsidR="002E5D93">
        <w:t xml:space="preserve">Osteoporosis </w:t>
      </w:r>
    </w:p>
    <w:p w14:paraId="04B40A8D" w14:textId="136929EE" w:rsidR="007B428A" w:rsidRDefault="007B428A" w:rsidP="00980EF6">
      <w:pPr>
        <w:pStyle w:val="NormalIndent1"/>
        <w:jc w:val="left"/>
      </w:pPr>
    </w:p>
    <w:p w14:paraId="0A057ECB" w14:textId="47ED19AC" w:rsidR="007B428A" w:rsidRDefault="007B428A" w:rsidP="00980EF6">
      <w:pPr>
        <w:pStyle w:val="NormalIndent1"/>
        <w:jc w:val="left"/>
      </w:pPr>
      <w:r>
        <w:t xml:space="preserve">The efficacy of </w:t>
      </w:r>
      <w:r w:rsidR="00820A2A">
        <w:rPr>
          <w:color w:val="000000" w:themeColor="text1"/>
        </w:rPr>
        <w:t>t</w:t>
      </w:r>
      <w:r w:rsidR="00820A2A" w:rsidRPr="00BF032A">
        <w:rPr>
          <w:color w:val="000000" w:themeColor="text1"/>
        </w:rPr>
        <w:t>eriparatide</w:t>
      </w:r>
      <w:r>
        <w:t xml:space="preserve"> in men and women (N=428) receiving sustained systemic glucocorticoid therapy (equivalent to 5</w:t>
      </w:r>
      <w:r w:rsidR="002E5D93">
        <w:t> </w:t>
      </w:r>
      <w:r>
        <w:t>mg or greater of prednisone for at least 3 months) was demonstrated in a 36 month (18-month primary phase plus 18-month continuation phase), randomised, double-blind, comparator-controlled study (alendronate 10</w:t>
      </w:r>
      <w:r w:rsidR="002E5D93">
        <w:t> </w:t>
      </w:r>
      <w:r>
        <w:t>mg/day). Twenty-eight percent of patients had one or more radiographic vertebral fractures at baseline. All patients were offered 1000</w:t>
      </w:r>
      <w:r w:rsidR="002E5D93">
        <w:t> </w:t>
      </w:r>
      <w:r>
        <w:t>mg calcium per day and 800</w:t>
      </w:r>
      <w:r w:rsidR="002E5D93">
        <w:t> </w:t>
      </w:r>
      <w:r>
        <w:t xml:space="preserve">IU vitamin D per day.  </w:t>
      </w:r>
    </w:p>
    <w:p w14:paraId="0FDDF4BC" w14:textId="447A513F" w:rsidR="007B428A" w:rsidRDefault="007B428A" w:rsidP="00980EF6">
      <w:pPr>
        <w:pStyle w:val="NormalIndent1"/>
        <w:jc w:val="left"/>
      </w:pPr>
    </w:p>
    <w:p w14:paraId="5102929C" w14:textId="755C54F2" w:rsidR="007B428A" w:rsidRDefault="007B428A" w:rsidP="00980EF6">
      <w:pPr>
        <w:pStyle w:val="NormalIndent1"/>
        <w:jc w:val="left"/>
      </w:pPr>
      <w:r>
        <w:lastRenderedPageBreak/>
        <w:t>This study included postmenopausal women (N=277), premenopausal women (N=67), and men (N=83). At baseline, the postmenopausal women had a mean age of 61 years, mean lumbar spine BMD T score (number of standard deviations above or below the mean in healthy young women) of −2.7, median prednisone equivalent dose of 7.5</w:t>
      </w:r>
      <w:r w:rsidR="002E5D93">
        <w:t> </w:t>
      </w:r>
      <w:r>
        <w:t>mg/day, and 34% had one or more radiographic vertebral fractures; premenopausal women had a mean age of 37 years, mean lumbar spine BMD T score of −2.5, median prednisone equivalent dose of 10</w:t>
      </w:r>
      <w:r w:rsidR="002E5D93">
        <w:t> </w:t>
      </w:r>
      <w:r>
        <w:t>mg/day, and 9% had one or more radiographic vertebral fractures; and men had a mean age of 57 years, mean lumbar spine BMD T score of −2.2, median prednisone equivalent dose of 10</w:t>
      </w:r>
      <w:r w:rsidR="002E5D93">
        <w:t> </w:t>
      </w:r>
      <w:r>
        <w:t xml:space="preserve">mg/day, and 24% had one or more radiographic vertebral fractures.  </w:t>
      </w:r>
    </w:p>
    <w:p w14:paraId="6ABF3AFE" w14:textId="238BCA29" w:rsidR="007B428A" w:rsidRDefault="007B428A" w:rsidP="00980EF6">
      <w:pPr>
        <w:pStyle w:val="NormalIndent1"/>
        <w:jc w:val="left"/>
      </w:pPr>
    </w:p>
    <w:p w14:paraId="54E6DF7E" w14:textId="7233C03F" w:rsidR="002E5D93" w:rsidRDefault="007B428A" w:rsidP="00980EF6">
      <w:pPr>
        <w:pStyle w:val="Heading5"/>
        <w:jc w:val="left"/>
      </w:pPr>
      <w:r w:rsidRPr="00BF032A">
        <w:t>Effects on Vertebral and Non-vertebral BMD</w:t>
      </w:r>
    </w:p>
    <w:p w14:paraId="2C8E2E15" w14:textId="77777777" w:rsidR="002E5D93" w:rsidRDefault="002E5D93" w:rsidP="00980EF6">
      <w:pPr>
        <w:pStyle w:val="NormalIndent1"/>
        <w:jc w:val="left"/>
      </w:pPr>
    </w:p>
    <w:p w14:paraId="454717B0" w14:textId="1F42CE8B" w:rsidR="007B428A" w:rsidRDefault="007B428A" w:rsidP="00980EF6">
      <w:pPr>
        <w:pStyle w:val="NormalIndent1"/>
        <w:jc w:val="left"/>
      </w:pPr>
      <w:r>
        <w:t>The primary objective was the change in lumbar spine BMD from baseline to the 18-month endpoint (last observation carried forward) in men and women combined. Sixty-nine percent of patients completed the 18</w:t>
      </w:r>
      <w:r w:rsidR="00C6611B">
        <w:t>-</w:t>
      </w:r>
      <w:r>
        <w:t xml:space="preserve">month primary phase. At the </w:t>
      </w:r>
      <w:r w:rsidR="00C6611B">
        <w:t>18-month</w:t>
      </w:r>
      <w:r>
        <w:t xml:space="preserve"> endpoint (men and women combined), </w:t>
      </w:r>
      <w:r w:rsidR="00884357">
        <w:rPr>
          <w:color w:val="000000" w:themeColor="text1"/>
        </w:rPr>
        <w:t>t</w:t>
      </w:r>
      <w:r w:rsidR="00884357" w:rsidRPr="00BF032A">
        <w:rPr>
          <w:color w:val="000000" w:themeColor="text1"/>
        </w:rPr>
        <w:t>eriparatide</w:t>
      </w:r>
      <w:r>
        <w:t xml:space="preserve"> increased lumbar spine BMD (7.2%) significantly more than alendronate (3.4%) (p&lt;0.001). </w:t>
      </w:r>
    </w:p>
    <w:p w14:paraId="5364869D" w14:textId="44D74C6E" w:rsidR="007B428A" w:rsidRDefault="007B428A" w:rsidP="00980EF6">
      <w:pPr>
        <w:pStyle w:val="NormalIndent1"/>
        <w:jc w:val="left"/>
      </w:pPr>
    </w:p>
    <w:p w14:paraId="2A304206" w14:textId="108CFDDD" w:rsidR="00AB2719" w:rsidRDefault="007B428A" w:rsidP="00980EF6">
      <w:pPr>
        <w:pStyle w:val="NormalIndent1"/>
        <w:jc w:val="left"/>
      </w:pPr>
      <w:r w:rsidRPr="00E629E1">
        <w:rPr>
          <w:b/>
          <w:bCs/>
        </w:rPr>
        <w:t>Figure 4</w:t>
      </w:r>
      <w:r>
        <w:t xml:space="preserve"> shows the time course of mean percent change from baseline in lumbar spine BMD through 36</w:t>
      </w:r>
      <w:r w:rsidR="00C6611B">
        <w:t> </w:t>
      </w:r>
      <w:r>
        <w:t>months for men and women combined. There was a significant difference between groups at all measured timepoints and endpoint. At 36 months (</w:t>
      </w:r>
      <w:r w:rsidR="00C6611B">
        <w:t>F</w:t>
      </w:r>
      <w:r>
        <w:t xml:space="preserve">igure 4) the mean percent change from baseline in lumbar spine BMD was 11.0% in the </w:t>
      </w:r>
      <w:r w:rsidR="00884357">
        <w:rPr>
          <w:color w:val="000000" w:themeColor="text1"/>
        </w:rPr>
        <w:t>t</w:t>
      </w:r>
      <w:r w:rsidR="00884357" w:rsidRPr="00BF032A">
        <w:rPr>
          <w:color w:val="000000" w:themeColor="text1"/>
        </w:rPr>
        <w:t>eriparatide</w:t>
      </w:r>
      <w:r>
        <w:t xml:space="preserve"> group versus 5.3% in the alendronate group, a difference of 5.7% (p&lt;0.001).</w:t>
      </w:r>
    </w:p>
    <w:p w14:paraId="7463E604" w14:textId="4AEF37F9" w:rsidR="00C6611B" w:rsidRDefault="00C6611B" w:rsidP="00980EF6">
      <w:pPr>
        <w:pStyle w:val="NormalIndent1"/>
        <w:jc w:val="left"/>
        <w:rPr>
          <w:b/>
          <w:bCs/>
        </w:rPr>
      </w:pPr>
      <w:r w:rsidRPr="000D27A3">
        <w:rPr>
          <w:b/>
          <w:bCs/>
        </w:rPr>
        <w:t>Figure 4: Percent Change in Lumbar Spine BMD (LS Mean ±</w:t>
      </w:r>
      <w:r w:rsidR="00B51605">
        <w:rPr>
          <w:b/>
          <w:bCs/>
        </w:rPr>
        <w:t xml:space="preserve"> </w:t>
      </w:r>
      <w:r w:rsidRPr="000D27A3">
        <w:rPr>
          <w:b/>
          <w:bCs/>
        </w:rPr>
        <w:t>SE) in Men and Women with Glucocorticoid-Induced Osteoporosis</w:t>
      </w:r>
    </w:p>
    <w:p w14:paraId="1D31893F" w14:textId="4F28D4C1" w:rsidR="000075FD" w:rsidRDefault="000075FD" w:rsidP="00980EF6">
      <w:pPr>
        <w:pStyle w:val="NormalIndent1"/>
        <w:jc w:val="left"/>
        <w:rPr>
          <w:b/>
          <w:bCs/>
        </w:rPr>
      </w:pPr>
      <w:r w:rsidRPr="000075FD">
        <w:rPr>
          <w:noProof/>
        </w:rPr>
        <w:drawing>
          <wp:inline distT="0" distB="0" distL="0" distR="0" wp14:anchorId="6C76BE43" wp14:editId="7DB9D93F">
            <wp:extent cx="4762464" cy="40233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767066" cy="4027247"/>
                    </a:xfrm>
                    <a:prstGeom prst="rect">
                      <a:avLst/>
                    </a:prstGeom>
                    <a:ln>
                      <a:noFill/>
                    </a:ln>
                    <a:extLst>
                      <a:ext uri="{53640926-AAD7-44D8-BBD7-CCE9431645EC}">
                        <a14:shadowObscured xmlns:a14="http://schemas.microsoft.com/office/drawing/2010/main"/>
                      </a:ext>
                    </a:extLst>
                  </pic:spPr>
                </pic:pic>
              </a:graphicData>
            </a:graphic>
          </wp:inline>
        </w:drawing>
      </w:r>
    </w:p>
    <w:p w14:paraId="75640E75" w14:textId="77777777" w:rsidR="000075FD" w:rsidRPr="000D27A3" w:rsidRDefault="000075FD" w:rsidP="00980EF6">
      <w:pPr>
        <w:pStyle w:val="NormalIndent1"/>
        <w:jc w:val="left"/>
        <w:rPr>
          <w:b/>
          <w:bCs/>
        </w:rPr>
      </w:pPr>
    </w:p>
    <w:p w14:paraId="0DEEFD88" w14:textId="4F9C4ECB" w:rsidR="007B428A" w:rsidRDefault="007B428A" w:rsidP="00980EF6">
      <w:pPr>
        <w:pStyle w:val="NormalIndent1"/>
        <w:jc w:val="left"/>
      </w:pPr>
      <w:r w:rsidRPr="00E629E1">
        <w:rPr>
          <w:b/>
          <w:bCs/>
        </w:rPr>
        <w:t>Table 4</w:t>
      </w:r>
      <w:r w:rsidRPr="007B428A">
        <w:t xml:space="preserve"> presents the mean percent change in lumbar spine BMD in the women only subgroup.  </w:t>
      </w:r>
    </w:p>
    <w:p w14:paraId="6DC8F6DB" w14:textId="04EC535D" w:rsidR="00AB2719" w:rsidRPr="000D27A3" w:rsidRDefault="007B428A" w:rsidP="00980EF6">
      <w:pPr>
        <w:pStyle w:val="NormalIndent1"/>
        <w:jc w:val="left"/>
        <w:rPr>
          <w:b/>
          <w:bCs/>
        </w:rPr>
      </w:pPr>
      <w:r w:rsidRPr="000D27A3">
        <w:rPr>
          <w:b/>
          <w:bCs/>
        </w:rPr>
        <w:lastRenderedPageBreak/>
        <w:t>Table 4: Mean Percent Change from Baseline in Lumbar Spine BMD in Women with Glucocorticoid-induced Osteoporosis</w:t>
      </w:r>
    </w:p>
    <w:p w14:paraId="7946C024" w14:textId="1DD373C7" w:rsidR="007B428A" w:rsidRDefault="007B428A" w:rsidP="00980EF6">
      <w:pPr>
        <w:pStyle w:val="NormalIndent1"/>
        <w:jc w:val="left"/>
      </w:pPr>
    </w:p>
    <w:tbl>
      <w:tblPr>
        <w:tblStyle w:val="TableGrid"/>
        <w:tblW w:w="0" w:type="auto"/>
        <w:tblInd w:w="425" w:type="dxa"/>
        <w:tblLook w:val="04A0" w:firstRow="1" w:lastRow="0" w:firstColumn="1" w:lastColumn="0" w:noHBand="0" w:noVBand="1"/>
      </w:tblPr>
      <w:tblGrid>
        <w:gridCol w:w="2963"/>
        <w:gridCol w:w="2126"/>
        <w:gridCol w:w="2122"/>
        <w:gridCol w:w="1972"/>
      </w:tblGrid>
      <w:tr w:rsidR="00E95A49" w:rsidRPr="00E95A49" w14:paraId="601D339E" w14:textId="77777777" w:rsidTr="00E95A49">
        <w:trPr>
          <w:trHeight w:val="518"/>
        </w:trPr>
        <w:tc>
          <w:tcPr>
            <w:tcW w:w="2963" w:type="dxa"/>
            <w:tcBorders>
              <w:top w:val="single" w:sz="12" w:space="0" w:color="000000"/>
              <w:left w:val="single" w:sz="12" w:space="0" w:color="000000"/>
              <w:right w:val="single" w:sz="12" w:space="0" w:color="000000"/>
            </w:tcBorders>
            <w:vAlign w:val="center"/>
          </w:tcPr>
          <w:p w14:paraId="73B0CE80" w14:textId="4F0435E8" w:rsidR="00E95A49" w:rsidRPr="00E95A49" w:rsidRDefault="00E95A49" w:rsidP="00980EF6">
            <w:pPr>
              <w:pStyle w:val="NormalIndent1"/>
              <w:ind w:left="0"/>
              <w:jc w:val="left"/>
              <w:rPr>
                <w:b/>
                <w:bCs/>
                <w:sz w:val="20"/>
                <w:szCs w:val="20"/>
              </w:rPr>
            </w:pPr>
            <w:r w:rsidRPr="00E95A49">
              <w:rPr>
                <w:b/>
                <w:bCs/>
                <w:sz w:val="20"/>
                <w:szCs w:val="20"/>
              </w:rPr>
              <w:t>Timepoint</w:t>
            </w:r>
          </w:p>
          <w:p w14:paraId="28AE97B6" w14:textId="6F94E0D7" w:rsidR="00E95A49" w:rsidRPr="00E95A49" w:rsidRDefault="00E95A49" w:rsidP="00980EF6">
            <w:pPr>
              <w:jc w:val="left"/>
              <w:rPr>
                <w:b/>
                <w:bCs/>
                <w:sz w:val="20"/>
                <w:szCs w:val="20"/>
              </w:rPr>
            </w:pPr>
            <w:r w:rsidRPr="00E95A49">
              <w:rPr>
                <w:b/>
                <w:bCs/>
                <w:sz w:val="20"/>
                <w:szCs w:val="20"/>
              </w:rPr>
              <w:t>(% change from baseline at)</w:t>
            </w:r>
          </w:p>
        </w:tc>
        <w:tc>
          <w:tcPr>
            <w:tcW w:w="2126" w:type="dxa"/>
            <w:tcBorders>
              <w:top w:val="single" w:sz="12" w:space="0" w:color="000000"/>
              <w:left w:val="single" w:sz="12" w:space="0" w:color="000000"/>
              <w:right w:val="single" w:sz="12" w:space="0" w:color="000000"/>
            </w:tcBorders>
            <w:vAlign w:val="center"/>
          </w:tcPr>
          <w:p w14:paraId="3DA96EA4" w14:textId="62D449D4" w:rsidR="00E95A49" w:rsidRPr="00E95A49" w:rsidRDefault="00E95A49" w:rsidP="00980EF6">
            <w:pPr>
              <w:pStyle w:val="NormalIndent1"/>
              <w:ind w:left="0"/>
              <w:jc w:val="left"/>
              <w:rPr>
                <w:b/>
                <w:bCs/>
                <w:sz w:val="20"/>
                <w:szCs w:val="20"/>
              </w:rPr>
            </w:pPr>
            <w:r w:rsidRPr="00E95A49">
              <w:rPr>
                <w:b/>
                <w:bCs/>
                <w:sz w:val="20"/>
                <w:szCs w:val="20"/>
              </w:rPr>
              <w:t>Teriparatide</w:t>
            </w:r>
          </w:p>
          <w:p w14:paraId="4CFEE0CE" w14:textId="28066A63" w:rsidR="00E95A49" w:rsidRPr="00E95A49" w:rsidRDefault="00E95A49" w:rsidP="00980EF6">
            <w:pPr>
              <w:pStyle w:val="NormalIndent1"/>
              <w:ind w:left="0"/>
              <w:jc w:val="left"/>
              <w:rPr>
                <w:b/>
                <w:bCs/>
                <w:sz w:val="20"/>
                <w:szCs w:val="20"/>
              </w:rPr>
            </w:pPr>
            <w:r w:rsidRPr="00E95A49">
              <w:rPr>
                <w:b/>
                <w:bCs/>
                <w:sz w:val="20"/>
                <w:szCs w:val="20"/>
              </w:rPr>
              <w:t>LS Mean ± Std Error</w:t>
            </w:r>
          </w:p>
        </w:tc>
        <w:tc>
          <w:tcPr>
            <w:tcW w:w="2122" w:type="dxa"/>
            <w:tcBorders>
              <w:top w:val="single" w:sz="12" w:space="0" w:color="000000"/>
              <w:left w:val="single" w:sz="12" w:space="0" w:color="000000"/>
              <w:right w:val="single" w:sz="12" w:space="0" w:color="000000"/>
            </w:tcBorders>
            <w:vAlign w:val="center"/>
          </w:tcPr>
          <w:p w14:paraId="4B2A77CE" w14:textId="0521480D" w:rsidR="00E95A49" w:rsidRPr="00E95A49" w:rsidRDefault="00E95A49" w:rsidP="00980EF6">
            <w:pPr>
              <w:pStyle w:val="NormalIndent1"/>
              <w:ind w:left="0"/>
              <w:jc w:val="left"/>
              <w:rPr>
                <w:b/>
                <w:bCs/>
                <w:sz w:val="20"/>
                <w:szCs w:val="20"/>
              </w:rPr>
            </w:pPr>
            <w:r>
              <w:rPr>
                <w:b/>
                <w:bCs/>
                <w:sz w:val="20"/>
                <w:szCs w:val="20"/>
              </w:rPr>
              <w:t>A</w:t>
            </w:r>
            <w:r w:rsidRPr="00E95A49">
              <w:rPr>
                <w:b/>
                <w:bCs/>
                <w:sz w:val="20"/>
                <w:szCs w:val="20"/>
              </w:rPr>
              <w:t>lendronate</w:t>
            </w:r>
          </w:p>
          <w:p w14:paraId="690327CF" w14:textId="37430057" w:rsidR="00E95A49" w:rsidRPr="00E95A49" w:rsidRDefault="00E95A49" w:rsidP="00980EF6">
            <w:pPr>
              <w:pStyle w:val="NormalIndent1"/>
              <w:ind w:left="0"/>
              <w:jc w:val="left"/>
              <w:rPr>
                <w:b/>
                <w:bCs/>
                <w:sz w:val="20"/>
                <w:szCs w:val="20"/>
              </w:rPr>
            </w:pPr>
            <w:r w:rsidRPr="00E95A49">
              <w:rPr>
                <w:b/>
                <w:bCs/>
                <w:sz w:val="20"/>
                <w:szCs w:val="20"/>
              </w:rPr>
              <w:t>LS Mean ± Std Error</w:t>
            </w:r>
          </w:p>
        </w:tc>
        <w:tc>
          <w:tcPr>
            <w:tcW w:w="1972" w:type="dxa"/>
            <w:tcBorders>
              <w:top w:val="single" w:sz="12" w:space="0" w:color="000000"/>
              <w:left w:val="single" w:sz="12" w:space="0" w:color="000000"/>
              <w:right w:val="single" w:sz="12" w:space="0" w:color="000000"/>
            </w:tcBorders>
            <w:vAlign w:val="center"/>
          </w:tcPr>
          <w:p w14:paraId="391B1C65" w14:textId="6C38B00E" w:rsidR="00E95A49" w:rsidRPr="00E95A49" w:rsidRDefault="00E95A49" w:rsidP="00980EF6">
            <w:pPr>
              <w:pStyle w:val="NormalIndent1"/>
              <w:ind w:left="0"/>
              <w:jc w:val="left"/>
              <w:rPr>
                <w:b/>
                <w:bCs/>
                <w:sz w:val="20"/>
                <w:szCs w:val="20"/>
              </w:rPr>
            </w:pPr>
            <w:r w:rsidRPr="00E95A49">
              <w:rPr>
                <w:b/>
                <w:bCs/>
                <w:sz w:val="20"/>
                <w:szCs w:val="20"/>
              </w:rPr>
              <w:t>p-Value</w:t>
            </w:r>
          </w:p>
        </w:tc>
      </w:tr>
      <w:tr w:rsidR="007B428A" w:rsidRPr="00E95A49" w14:paraId="68817786" w14:textId="77777777" w:rsidTr="00E95A49">
        <w:tc>
          <w:tcPr>
            <w:tcW w:w="2963" w:type="dxa"/>
            <w:tcBorders>
              <w:top w:val="single" w:sz="12" w:space="0" w:color="000000"/>
              <w:left w:val="single" w:sz="4" w:space="0" w:color="000000"/>
              <w:bottom w:val="single" w:sz="4" w:space="0" w:color="000000"/>
              <w:right w:val="single" w:sz="4" w:space="0" w:color="000000"/>
            </w:tcBorders>
          </w:tcPr>
          <w:p w14:paraId="56419463" w14:textId="20256F5A" w:rsidR="007B428A" w:rsidRPr="00E95A49" w:rsidRDefault="007B428A" w:rsidP="00980EF6">
            <w:pPr>
              <w:pStyle w:val="NormalIndent1"/>
              <w:ind w:left="0"/>
              <w:jc w:val="left"/>
              <w:rPr>
                <w:sz w:val="20"/>
                <w:szCs w:val="20"/>
              </w:rPr>
            </w:pPr>
            <w:r w:rsidRPr="00E95A49">
              <w:rPr>
                <w:sz w:val="20"/>
                <w:szCs w:val="20"/>
              </w:rPr>
              <w:t xml:space="preserve">Endpoint </w:t>
            </w:r>
          </w:p>
        </w:tc>
        <w:tc>
          <w:tcPr>
            <w:tcW w:w="2126" w:type="dxa"/>
            <w:tcBorders>
              <w:top w:val="single" w:sz="12" w:space="0" w:color="000000"/>
              <w:left w:val="single" w:sz="4" w:space="0" w:color="000000"/>
              <w:bottom w:val="single" w:sz="4" w:space="0" w:color="000000"/>
              <w:right w:val="single" w:sz="4" w:space="0" w:color="000000"/>
            </w:tcBorders>
          </w:tcPr>
          <w:p w14:paraId="2CE6712F" w14:textId="16EAD271" w:rsidR="007B428A" w:rsidRPr="00E95A49" w:rsidRDefault="007B428A" w:rsidP="00980EF6">
            <w:pPr>
              <w:pStyle w:val="NormalIndent1"/>
              <w:ind w:left="0"/>
              <w:jc w:val="left"/>
              <w:rPr>
                <w:sz w:val="20"/>
                <w:szCs w:val="20"/>
              </w:rPr>
            </w:pPr>
            <w:r w:rsidRPr="00E95A49">
              <w:rPr>
                <w:sz w:val="20"/>
                <w:szCs w:val="20"/>
              </w:rPr>
              <w:t>8.6 ± 0.9</w:t>
            </w:r>
          </w:p>
        </w:tc>
        <w:tc>
          <w:tcPr>
            <w:tcW w:w="2122" w:type="dxa"/>
            <w:tcBorders>
              <w:top w:val="single" w:sz="12" w:space="0" w:color="000000"/>
              <w:left w:val="single" w:sz="4" w:space="0" w:color="000000"/>
              <w:bottom w:val="single" w:sz="4" w:space="0" w:color="000000"/>
              <w:right w:val="single" w:sz="4" w:space="0" w:color="000000"/>
            </w:tcBorders>
          </w:tcPr>
          <w:p w14:paraId="1F90DC09" w14:textId="4997F07F" w:rsidR="007B428A" w:rsidRPr="00E95A49" w:rsidRDefault="007B428A" w:rsidP="00980EF6">
            <w:pPr>
              <w:pStyle w:val="NormalIndent1"/>
              <w:ind w:left="0"/>
              <w:jc w:val="left"/>
              <w:rPr>
                <w:sz w:val="20"/>
                <w:szCs w:val="20"/>
              </w:rPr>
            </w:pPr>
            <w:r w:rsidRPr="00E95A49">
              <w:rPr>
                <w:sz w:val="20"/>
                <w:szCs w:val="20"/>
              </w:rPr>
              <w:t>4.0 ± 0.9</w:t>
            </w:r>
          </w:p>
        </w:tc>
        <w:tc>
          <w:tcPr>
            <w:tcW w:w="1972" w:type="dxa"/>
            <w:tcBorders>
              <w:top w:val="single" w:sz="12" w:space="0" w:color="000000"/>
              <w:left w:val="single" w:sz="4" w:space="0" w:color="000000"/>
              <w:bottom w:val="single" w:sz="4" w:space="0" w:color="000000"/>
              <w:right w:val="single" w:sz="4" w:space="0" w:color="000000"/>
            </w:tcBorders>
          </w:tcPr>
          <w:p w14:paraId="13561572" w14:textId="68D5BBC4" w:rsidR="007B428A" w:rsidRPr="00E95A49" w:rsidRDefault="007B428A" w:rsidP="00980EF6">
            <w:pPr>
              <w:pStyle w:val="NormalIndent1"/>
              <w:ind w:left="0"/>
              <w:jc w:val="left"/>
              <w:rPr>
                <w:sz w:val="20"/>
                <w:szCs w:val="20"/>
              </w:rPr>
            </w:pPr>
            <w:r w:rsidRPr="00E95A49">
              <w:rPr>
                <w:sz w:val="20"/>
                <w:szCs w:val="20"/>
              </w:rPr>
              <w:t>&lt;0.001</w:t>
            </w:r>
          </w:p>
        </w:tc>
      </w:tr>
      <w:tr w:rsidR="007B428A" w:rsidRPr="00E95A49" w14:paraId="7C99FE0D" w14:textId="77777777" w:rsidTr="00E95A49">
        <w:tc>
          <w:tcPr>
            <w:tcW w:w="2963" w:type="dxa"/>
            <w:tcBorders>
              <w:top w:val="single" w:sz="4" w:space="0" w:color="000000"/>
              <w:left w:val="single" w:sz="4" w:space="0" w:color="000000"/>
              <w:bottom w:val="single" w:sz="4" w:space="0" w:color="000000"/>
              <w:right w:val="single" w:sz="4" w:space="0" w:color="000000"/>
            </w:tcBorders>
          </w:tcPr>
          <w:p w14:paraId="49D349F6" w14:textId="4EBD72D5" w:rsidR="007B428A" w:rsidRPr="00E95A49" w:rsidRDefault="007B428A" w:rsidP="00980EF6">
            <w:pPr>
              <w:pStyle w:val="NormalIndent1"/>
              <w:ind w:left="0"/>
              <w:jc w:val="left"/>
              <w:rPr>
                <w:sz w:val="20"/>
                <w:szCs w:val="20"/>
              </w:rPr>
            </w:pPr>
            <w:r w:rsidRPr="00E95A49">
              <w:rPr>
                <w:sz w:val="20"/>
                <w:szCs w:val="20"/>
              </w:rPr>
              <w:t xml:space="preserve">Month 36 </w:t>
            </w:r>
          </w:p>
        </w:tc>
        <w:tc>
          <w:tcPr>
            <w:tcW w:w="2126" w:type="dxa"/>
            <w:tcBorders>
              <w:top w:val="single" w:sz="4" w:space="0" w:color="000000"/>
              <w:left w:val="single" w:sz="4" w:space="0" w:color="000000"/>
              <w:bottom w:val="single" w:sz="4" w:space="0" w:color="000000"/>
              <w:right w:val="single" w:sz="4" w:space="0" w:color="000000"/>
            </w:tcBorders>
          </w:tcPr>
          <w:p w14:paraId="49C94CFD" w14:textId="3809DA13" w:rsidR="007B428A" w:rsidRPr="00E95A49" w:rsidRDefault="007B428A" w:rsidP="00980EF6">
            <w:pPr>
              <w:pStyle w:val="NormalIndent1"/>
              <w:ind w:left="0"/>
              <w:jc w:val="left"/>
              <w:rPr>
                <w:sz w:val="20"/>
                <w:szCs w:val="20"/>
              </w:rPr>
            </w:pPr>
            <w:r w:rsidRPr="00E95A49">
              <w:rPr>
                <w:sz w:val="20"/>
                <w:szCs w:val="20"/>
              </w:rPr>
              <w:t>10.3 ± 0.8</w:t>
            </w:r>
          </w:p>
        </w:tc>
        <w:tc>
          <w:tcPr>
            <w:tcW w:w="2122" w:type="dxa"/>
            <w:tcBorders>
              <w:top w:val="single" w:sz="4" w:space="0" w:color="000000"/>
              <w:left w:val="single" w:sz="4" w:space="0" w:color="000000"/>
              <w:bottom w:val="single" w:sz="4" w:space="0" w:color="000000"/>
              <w:right w:val="single" w:sz="4" w:space="0" w:color="000000"/>
            </w:tcBorders>
          </w:tcPr>
          <w:p w14:paraId="4A9B71F5" w14:textId="6CFFECFB" w:rsidR="007B428A" w:rsidRPr="00E95A49" w:rsidRDefault="007B428A" w:rsidP="00980EF6">
            <w:pPr>
              <w:pStyle w:val="NormalIndent1"/>
              <w:ind w:left="0"/>
              <w:jc w:val="left"/>
              <w:rPr>
                <w:sz w:val="20"/>
                <w:szCs w:val="20"/>
              </w:rPr>
            </w:pPr>
            <w:r w:rsidRPr="00E95A49">
              <w:rPr>
                <w:sz w:val="20"/>
                <w:szCs w:val="20"/>
              </w:rPr>
              <w:t>4.9 ± 0.8</w:t>
            </w:r>
          </w:p>
        </w:tc>
        <w:tc>
          <w:tcPr>
            <w:tcW w:w="1972" w:type="dxa"/>
            <w:tcBorders>
              <w:top w:val="single" w:sz="4" w:space="0" w:color="000000"/>
              <w:left w:val="single" w:sz="4" w:space="0" w:color="000000"/>
              <w:bottom w:val="single" w:sz="4" w:space="0" w:color="000000"/>
              <w:right w:val="single" w:sz="4" w:space="0" w:color="000000"/>
            </w:tcBorders>
          </w:tcPr>
          <w:p w14:paraId="486F9AFF" w14:textId="6A912C03" w:rsidR="007B428A" w:rsidRPr="00E95A49" w:rsidRDefault="007B428A" w:rsidP="00980EF6">
            <w:pPr>
              <w:pStyle w:val="NormalIndent1"/>
              <w:ind w:left="0"/>
              <w:jc w:val="left"/>
              <w:rPr>
                <w:sz w:val="20"/>
                <w:szCs w:val="20"/>
              </w:rPr>
            </w:pPr>
            <w:r w:rsidRPr="00E95A49">
              <w:rPr>
                <w:sz w:val="20"/>
                <w:szCs w:val="20"/>
              </w:rPr>
              <w:t>&lt;0.001</w:t>
            </w:r>
          </w:p>
        </w:tc>
      </w:tr>
      <w:tr w:rsidR="007B428A" w:rsidRPr="00E95A49" w14:paraId="4E68BCAC" w14:textId="77777777" w:rsidTr="00E95A49">
        <w:tc>
          <w:tcPr>
            <w:tcW w:w="2963" w:type="dxa"/>
            <w:tcBorders>
              <w:top w:val="single" w:sz="4" w:space="0" w:color="000000"/>
              <w:left w:val="single" w:sz="4" w:space="0" w:color="000000"/>
              <w:bottom w:val="single" w:sz="4" w:space="0" w:color="000000"/>
              <w:right w:val="single" w:sz="4" w:space="0" w:color="000000"/>
            </w:tcBorders>
          </w:tcPr>
          <w:p w14:paraId="3AB43B9F" w14:textId="63B448F2" w:rsidR="007B428A" w:rsidRPr="00E95A49" w:rsidRDefault="007B428A" w:rsidP="00980EF6">
            <w:pPr>
              <w:pStyle w:val="NormalIndent1"/>
              <w:ind w:left="0"/>
              <w:jc w:val="left"/>
              <w:rPr>
                <w:sz w:val="20"/>
                <w:szCs w:val="20"/>
              </w:rPr>
            </w:pPr>
            <w:r w:rsidRPr="00E95A49">
              <w:rPr>
                <w:sz w:val="20"/>
                <w:szCs w:val="20"/>
              </w:rPr>
              <w:t xml:space="preserve">Month 24 </w:t>
            </w:r>
          </w:p>
        </w:tc>
        <w:tc>
          <w:tcPr>
            <w:tcW w:w="2126" w:type="dxa"/>
            <w:tcBorders>
              <w:top w:val="single" w:sz="4" w:space="0" w:color="000000"/>
              <w:left w:val="single" w:sz="4" w:space="0" w:color="000000"/>
              <w:bottom w:val="single" w:sz="4" w:space="0" w:color="000000"/>
              <w:right w:val="single" w:sz="4" w:space="0" w:color="000000"/>
            </w:tcBorders>
          </w:tcPr>
          <w:p w14:paraId="2F602931" w14:textId="18A2EC07" w:rsidR="007B428A" w:rsidRPr="00E95A49" w:rsidRDefault="007B428A" w:rsidP="00980EF6">
            <w:pPr>
              <w:pStyle w:val="NormalIndent1"/>
              <w:ind w:left="0"/>
              <w:jc w:val="left"/>
              <w:rPr>
                <w:sz w:val="20"/>
                <w:szCs w:val="20"/>
              </w:rPr>
            </w:pPr>
            <w:r w:rsidRPr="00E95A49">
              <w:rPr>
                <w:sz w:val="20"/>
                <w:szCs w:val="20"/>
              </w:rPr>
              <w:t>9.3 ± 0.7</w:t>
            </w:r>
          </w:p>
        </w:tc>
        <w:tc>
          <w:tcPr>
            <w:tcW w:w="2122" w:type="dxa"/>
            <w:tcBorders>
              <w:top w:val="single" w:sz="4" w:space="0" w:color="000000"/>
              <w:left w:val="single" w:sz="4" w:space="0" w:color="000000"/>
              <w:bottom w:val="single" w:sz="4" w:space="0" w:color="000000"/>
              <w:right w:val="single" w:sz="4" w:space="0" w:color="000000"/>
            </w:tcBorders>
          </w:tcPr>
          <w:p w14:paraId="1718FBE5" w14:textId="3D45999E" w:rsidR="007B428A" w:rsidRPr="00E95A49" w:rsidRDefault="007B428A" w:rsidP="00980EF6">
            <w:pPr>
              <w:pStyle w:val="NormalIndent1"/>
              <w:ind w:left="0"/>
              <w:jc w:val="left"/>
              <w:rPr>
                <w:sz w:val="20"/>
                <w:szCs w:val="20"/>
              </w:rPr>
            </w:pPr>
            <w:r w:rsidRPr="00E95A49">
              <w:rPr>
                <w:sz w:val="20"/>
                <w:szCs w:val="20"/>
              </w:rPr>
              <w:t>5.0 ± 0.7</w:t>
            </w:r>
          </w:p>
        </w:tc>
        <w:tc>
          <w:tcPr>
            <w:tcW w:w="1972" w:type="dxa"/>
            <w:tcBorders>
              <w:top w:val="single" w:sz="4" w:space="0" w:color="000000"/>
              <w:left w:val="single" w:sz="4" w:space="0" w:color="000000"/>
              <w:bottom w:val="single" w:sz="4" w:space="0" w:color="000000"/>
              <w:right w:val="single" w:sz="4" w:space="0" w:color="000000"/>
            </w:tcBorders>
          </w:tcPr>
          <w:p w14:paraId="3484316C" w14:textId="5E5258D0" w:rsidR="007B428A" w:rsidRPr="00E95A49" w:rsidRDefault="007B428A" w:rsidP="00980EF6">
            <w:pPr>
              <w:pStyle w:val="NormalIndent1"/>
              <w:ind w:left="0"/>
              <w:jc w:val="left"/>
              <w:rPr>
                <w:sz w:val="20"/>
                <w:szCs w:val="20"/>
              </w:rPr>
            </w:pPr>
            <w:r w:rsidRPr="00E95A49">
              <w:rPr>
                <w:sz w:val="20"/>
                <w:szCs w:val="20"/>
              </w:rPr>
              <w:t>&lt;0.001</w:t>
            </w:r>
          </w:p>
        </w:tc>
      </w:tr>
      <w:tr w:rsidR="007B428A" w:rsidRPr="00E95A49" w14:paraId="661F7F4F" w14:textId="77777777" w:rsidTr="00E95A49">
        <w:tc>
          <w:tcPr>
            <w:tcW w:w="2963" w:type="dxa"/>
            <w:tcBorders>
              <w:top w:val="single" w:sz="4" w:space="0" w:color="000000"/>
              <w:left w:val="single" w:sz="4" w:space="0" w:color="000000"/>
              <w:bottom w:val="single" w:sz="4" w:space="0" w:color="000000"/>
              <w:right w:val="single" w:sz="4" w:space="0" w:color="000000"/>
            </w:tcBorders>
          </w:tcPr>
          <w:p w14:paraId="231AF46B" w14:textId="0ED81C64" w:rsidR="007B428A" w:rsidRPr="00E95A49" w:rsidRDefault="007B428A" w:rsidP="00980EF6">
            <w:pPr>
              <w:pStyle w:val="NormalIndent1"/>
              <w:ind w:left="0"/>
              <w:jc w:val="left"/>
              <w:rPr>
                <w:sz w:val="20"/>
                <w:szCs w:val="20"/>
              </w:rPr>
            </w:pPr>
            <w:r w:rsidRPr="00E95A49">
              <w:rPr>
                <w:sz w:val="20"/>
                <w:szCs w:val="20"/>
              </w:rPr>
              <w:t xml:space="preserve">Month 18 </w:t>
            </w:r>
          </w:p>
        </w:tc>
        <w:tc>
          <w:tcPr>
            <w:tcW w:w="2126" w:type="dxa"/>
            <w:tcBorders>
              <w:top w:val="single" w:sz="4" w:space="0" w:color="000000"/>
              <w:left w:val="single" w:sz="4" w:space="0" w:color="000000"/>
              <w:bottom w:val="single" w:sz="4" w:space="0" w:color="000000"/>
              <w:right w:val="single" w:sz="4" w:space="0" w:color="000000"/>
            </w:tcBorders>
          </w:tcPr>
          <w:p w14:paraId="5C1F6FDB" w14:textId="0553009E" w:rsidR="007B428A" w:rsidRPr="00E95A49" w:rsidRDefault="007B428A" w:rsidP="00980EF6">
            <w:pPr>
              <w:pStyle w:val="NormalIndent1"/>
              <w:ind w:left="0"/>
              <w:jc w:val="left"/>
              <w:rPr>
                <w:sz w:val="20"/>
                <w:szCs w:val="20"/>
              </w:rPr>
            </w:pPr>
            <w:r w:rsidRPr="00E95A49">
              <w:rPr>
                <w:sz w:val="20"/>
                <w:szCs w:val="20"/>
              </w:rPr>
              <w:t>7.8 ± 0.6</w:t>
            </w:r>
          </w:p>
        </w:tc>
        <w:tc>
          <w:tcPr>
            <w:tcW w:w="2122" w:type="dxa"/>
            <w:tcBorders>
              <w:top w:val="single" w:sz="4" w:space="0" w:color="000000"/>
              <w:left w:val="single" w:sz="4" w:space="0" w:color="000000"/>
              <w:bottom w:val="single" w:sz="4" w:space="0" w:color="000000"/>
              <w:right w:val="single" w:sz="4" w:space="0" w:color="000000"/>
            </w:tcBorders>
          </w:tcPr>
          <w:p w14:paraId="3D130D3C" w14:textId="5C4B4FCA" w:rsidR="007B428A" w:rsidRPr="00E95A49" w:rsidRDefault="007B428A" w:rsidP="00980EF6">
            <w:pPr>
              <w:pStyle w:val="NormalIndent1"/>
              <w:ind w:left="0"/>
              <w:jc w:val="left"/>
              <w:rPr>
                <w:sz w:val="20"/>
                <w:szCs w:val="20"/>
              </w:rPr>
            </w:pPr>
            <w:r w:rsidRPr="00E95A49">
              <w:rPr>
                <w:sz w:val="20"/>
                <w:szCs w:val="20"/>
              </w:rPr>
              <w:t>3.4 ± 0.6</w:t>
            </w:r>
          </w:p>
        </w:tc>
        <w:tc>
          <w:tcPr>
            <w:tcW w:w="1972" w:type="dxa"/>
            <w:tcBorders>
              <w:top w:val="single" w:sz="4" w:space="0" w:color="000000"/>
              <w:left w:val="single" w:sz="4" w:space="0" w:color="000000"/>
              <w:bottom w:val="single" w:sz="4" w:space="0" w:color="000000"/>
              <w:right w:val="single" w:sz="4" w:space="0" w:color="000000"/>
            </w:tcBorders>
          </w:tcPr>
          <w:p w14:paraId="1EEF871F" w14:textId="182608B8" w:rsidR="007B428A" w:rsidRPr="00E95A49" w:rsidRDefault="007B428A" w:rsidP="00980EF6">
            <w:pPr>
              <w:pStyle w:val="NormalIndent1"/>
              <w:ind w:left="0"/>
              <w:jc w:val="left"/>
              <w:rPr>
                <w:sz w:val="20"/>
                <w:szCs w:val="20"/>
              </w:rPr>
            </w:pPr>
            <w:r w:rsidRPr="00E95A49">
              <w:rPr>
                <w:sz w:val="20"/>
                <w:szCs w:val="20"/>
              </w:rPr>
              <w:t>&lt;0.001</w:t>
            </w:r>
          </w:p>
        </w:tc>
      </w:tr>
      <w:tr w:rsidR="007B428A" w:rsidRPr="00E95A49" w14:paraId="5020448C" w14:textId="77777777" w:rsidTr="00E95A49">
        <w:tc>
          <w:tcPr>
            <w:tcW w:w="2963" w:type="dxa"/>
            <w:tcBorders>
              <w:top w:val="single" w:sz="4" w:space="0" w:color="000000"/>
              <w:left w:val="single" w:sz="4" w:space="0" w:color="000000"/>
              <w:bottom w:val="single" w:sz="4" w:space="0" w:color="000000"/>
              <w:right w:val="single" w:sz="4" w:space="0" w:color="000000"/>
            </w:tcBorders>
          </w:tcPr>
          <w:p w14:paraId="6163EBBD" w14:textId="29E7667A" w:rsidR="007B428A" w:rsidRPr="00E95A49" w:rsidRDefault="007B428A" w:rsidP="00980EF6">
            <w:pPr>
              <w:pStyle w:val="NormalIndent1"/>
              <w:ind w:left="0"/>
              <w:jc w:val="left"/>
              <w:rPr>
                <w:sz w:val="20"/>
                <w:szCs w:val="20"/>
              </w:rPr>
            </w:pPr>
            <w:r w:rsidRPr="00E95A49">
              <w:rPr>
                <w:sz w:val="20"/>
                <w:szCs w:val="20"/>
              </w:rPr>
              <w:t xml:space="preserve">Month 12 </w:t>
            </w:r>
          </w:p>
        </w:tc>
        <w:tc>
          <w:tcPr>
            <w:tcW w:w="2126" w:type="dxa"/>
            <w:tcBorders>
              <w:top w:val="single" w:sz="4" w:space="0" w:color="000000"/>
              <w:left w:val="single" w:sz="4" w:space="0" w:color="000000"/>
              <w:bottom w:val="single" w:sz="4" w:space="0" w:color="000000"/>
              <w:right w:val="single" w:sz="4" w:space="0" w:color="000000"/>
            </w:tcBorders>
          </w:tcPr>
          <w:p w14:paraId="51579D08" w14:textId="63F2ADAD" w:rsidR="007B428A" w:rsidRPr="00E95A49" w:rsidRDefault="007B428A" w:rsidP="00980EF6">
            <w:pPr>
              <w:pStyle w:val="NormalIndent1"/>
              <w:ind w:left="0"/>
              <w:jc w:val="left"/>
              <w:rPr>
                <w:sz w:val="20"/>
                <w:szCs w:val="20"/>
              </w:rPr>
            </w:pPr>
            <w:r w:rsidRPr="00E95A49">
              <w:rPr>
                <w:sz w:val="20"/>
                <w:szCs w:val="20"/>
              </w:rPr>
              <w:t>6.5 ± 0.5</w:t>
            </w:r>
          </w:p>
        </w:tc>
        <w:tc>
          <w:tcPr>
            <w:tcW w:w="2122" w:type="dxa"/>
            <w:tcBorders>
              <w:top w:val="single" w:sz="4" w:space="0" w:color="000000"/>
              <w:left w:val="single" w:sz="4" w:space="0" w:color="000000"/>
              <w:bottom w:val="single" w:sz="4" w:space="0" w:color="000000"/>
              <w:right w:val="single" w:sz="4" w:space="0" w:color="000000"/>
            </w:tcBorders>
          </w:tcPr>
          <w:p w14:paraId="293020E9" w14:textId="6FFDB1BE" w:rsidR="007B428A" w:rsidRPr="00E95A49" w:rsidRDefault="007B428A" w:rsidP="00980EF6">
            <w:pPr>
              <w:pStyle w:val="NormalIndent1"/>
              <w:ind w:left="0"/>
              <w:jc w:val="left"/>
              <w:rPr>
                <w:sz w:val="20"/>
                <w:szCs w:val="20"/>
              </w:rPr>
            </w:pPr>
            <w:r w:rsidRPr="00E95A49">
              <w:rPr>
                <w:sz w:val="20"/>
                <w:szCs w:val="20"/>
              </w:rPr>
              <w:t>3.0 ± 0.5</w:t>
            </w:r>
          </w:p>
        </w:tc>
        <w:tc>
          <w:tcPr>
            <w:tcW w:w="1972" w:type="dxa"/>
            <w:tcBorders>
              <w:top w:val="single" w:sz="4" w:space="0" w:color="000000"/>
              <w:left w:val="single" w:sz="4" w:space="0" w:color="000000"/>
              <w:bottom w:val="single" w:sz="4" w:space="0" w:color="000000"/>
              <w:right w:val="single" w:sz="4" w:space="0" w:color="000000"/>
            </w:tcBorders>
          </w:tcPr>
          <w:p w14:paraId="366B5ECA" w14:textId="06293691" w:rsidR="007B428A" w:rsidRPr="00E95A49" w:rsidRDefault="007B428A" w:rsidP="00980EF6">
            <w:pPr>
              <w:pStyle w:val="NormalIndent1"/>
              <w:ind w:left="0"/>
              <w:jc w:val="left"/>
              <w:rPr>
                <w:sz w:val="20"/>
                <w:szCs w:val="20"/>
              </w:rPr>
            </w:pPr>
            <w:r w:rsidRPr="00E95A49">
              <w:rPr>
                <w:sz w:val="20"/>
                <w:szCs w:val="20"/>
              </w:rPr>
              <w:t>&lt;0.001</w:t>
            </w:r>
          </w:p>
        </w:tc>
      </w:tr>
      <w:tr w:rsidR="007B428A" w:rsidRPr="00E95A49" w14:paraId="39F51892" w14:textId="77777777" w:rsidTr="00E95A49">
        <w:tc>
          <w:tcPr>
            <w:tcW w:w="2963" w:type="dxa"/>
            <w:tcBorders>
              <w:top w:val="single" w:sz="4" w:space="0" w:color="000000"/>
              <w:left w:val="single" w:sz="4" w:space="0" w:color="000000"/>
              <w:bottom w:val="single" w:sz="4" w:space="0" w:color="000000"/>
              <w:right w:val="single" w:sz="4" w:space="0" w:color="000000"/>
            </w:tcBorders>
          </w:tcPr>
          <w:p w14:paraId="00F28E8C" w14:textId="1F73313C" w:rsidR="007B428A" w:rsidRPr="00E95A49" w:rsidRDefault="007B428A" w:rsidP="00980EF6">
            <w:pPr>
              <w:pStyle w:val="NormalIndent1"/>
              <w:ind w:left="0"/>
              <w:jc w:val="left"/>
              <w:rPr>
                <w:sz w:val="20"/>
                <w:szCs w:val="20"/>
              </w:rPr>
            </w:pPr>
            <w:r w:rsidRPr="00E95A49">
              <w:rPr>
                <w:sz w:val="20"/>
                <w:szCs w:val="20"/>
              </w:rPr>
              <w:t xml:space="preserve">Month 6 </w:t>
            </w:r>
          </w:p>
        </w:tc>
        <w:tc>
          <w:tcPr>
            <w:tcW w:w="2126" w:type="dxa"/>
            <w:tcBorders>
              <w:top w:val="single" w:sz="4" w:space="0" w:color="000000"/>
              <w:left w:val="single" w:sz="4" w:space="0" w:color="000000"/>
              <w:bottom w:val="single" w:sz="4" w:space="0" w:color="000000"/>
              <w:right w:val="single" w:sz="4" w:space="0" w:color="000000"/>
            </w:tcBorders>
          </w:tcPr>
          <w:p w14:paraId="7453429C" w14:textId="67758DC9" w:rsidR="007B428A" w:rsidRPr="00E95A49" w:rsidRDefault="007B428A" w:rsidP="00980EF6">
            <w:pPr>
              <w:pStyle w:val="NormalIndent1"/>
              <w:ind w:left="0"/>
              <w:jc w:val="left"/>
              <w:rPr>
                <w:sz w:val="20"/>
                <w:szCs w:val="20"/>
              </w:rPr>
            </w:pPr>
            <w:r w:rsidRPr="00E95A49">
              <w:rPr>
                <w:sz w:val="20"/>
                <w:szCs w:val="20"/>
              </w:rPr>
              <w:t>4.0 ± 0.5</w:t>
            </w:r>
          </w:p>
        </w:tc>
        <w:tc>
          <w:tcPr>
            <w:tcW w:w="2122" w:type="dxa"/>
            <w:tcBorders>
              <w:top w:val="single" w:sz="4" w:space="0" w:color="000000"/>
              <w:left w:val="single" w:sz="4" w:space="0" w:color="000000"/>
              <w:bottom w:val="single" w:sz="4" w:space="0" w:color="000000"/>
              <w:right w:val="single" w:sz="4" w:space="0" w:color="000000"/>
            </w:tcBorders>
          </w:tcPr>
          <w:p w14:paraId="392F4BE4" w14:textId="23CD3ADA" w:rsidR="007B428A" w:rsidRPr="00E95A49" w:rsidRDefault="007B428A" w:rsidP="00980EF6">
            <w:pPr>
              <w:pStyle w:val="NormalIndent1"/>
              <w:ind w:left="0"/>
              <w:jc w:val="left"/>
              <w:rPr>
                <w:sz w:val="20"/>
                <w:szCs w:val="20"/>
              </w:rPr>
            </w:pPr>
            <w:r w:rsidRPr="00E95A49">
              <w:rPr>
                <w:sz w:val="20"/>
                <w:szCs w:val="20"/>
              </w:rPr>
              <w:t>2.0 ± 0.5</w:t>
            </w:r>
          </w:p>
        </w:tc>
        <w:tc>
          <w:tcPr>
            <w:tcW w:w="1972" w:type="dxa"/>
            <w:tcBorders>
              <w:top w:val="single" w:sz="4" w:space="0" w:color="000000"/>
              <w:left w:val="single" w:sz="4" w:space="0" w:color="000000"/>
              <w:bottom w:val="single" w:sz="4" w:space="0" w:color="000000"/>
              <w:right w:val="single" w:sz="4" w:space="0" w:color="000000"/>
            </w:tcBorders>
          </w:tcPr>
          <w:p w14:paraId="667F3A86" w14:textId="761F033B" w:rsidR="007B428A" w:rsidRPr="00E95A49" w:rsidRDefault="007B428A" w:rsidP="00980EF6">
            <w:pPr>
              <w:pStyle w:val="NormalIndent1"/>
              <w:ind w:left="0"/>
              <w:jc w:val="left"/>
              <w:rPr>
                <w:sz w:val="20"/>
                <w:szCs w:val="20"/>
              </w:rPr>
            </w:pPr>
            <w:r w:rsidRPr="00E95A49">
              <w:rPr>
                <w:sz w:val="20"/>
                <w:szCs w:val="20"/>
              </w:rPr>
              <w:t>&lt;0.001</w:t>
            </w:r>
          </w:p>
        </w:tc>
      </w:tr>
      <w:tr w:rsidR="007B428A" w:rsidRPr="00E95A49" w14:paraId="6239F46B" w14:textId="77777777" w:rsidTr="00E95A49">
        <w:tc>
          <w:tcPr>
            <w:tcW w:w="2963" w:type="dxa"/>
            <w:tcBorders>
              <w:top w:val="single" w:sz="4" w:space="0" w:color="000000"/>
              <w:left w:val="single" w:sz="4" w:space="0" w:color="000000"/>
              <w:bottom w:val="single" w:sz="4" w:space="0" w:color="000000"/>
              <w:right w:val="single" w:sz="4" w:space="0" w:color="000000"/>
            </w:tcBorders>
          </w:tcPr>
          <w:p w14:paraId="0549AB77" w14:textId="78D0E3BD" w:rsidR="007B428A" w:rsidRPr="00E95A49" w:rsidRDefault="007B428A" w:rsidP="00980EF6">
            <w:pPr>
              <w:pStyle w:val="NormalIndent1"/>
              <w:ind w:left="0"/>
              <w:jc w:val="left"/>
              <w:rPr>
                <w:sz w:val="20"/>
                <w:szCs w:val="20"/>
              </w:rPr>
            </w:pPr>
            <w:r w:rsidRPr="00E95A49">
              <w:rPr>
                <w:sz w:val="20"/>
                <w:szCs w:val="20"/>
              </w:rPr>
              <w:t xml:space="preserve">Month 3 </w:t>
            </w:r>
          </w:p>
        </w:tc>
        <w:tc>
          <w:tcPr>
            <w:tcW w:w="2126" w:type="dxa"/>
            <w:tcBorders>
              <w:top w:val="single" w:sz="4" w:space="0" w:color="000000"/>
              <w:left w:val="single" w:sz="4" w:space="0" w:color="000000"/>
              <w:bottom w:val="single" w:sz="4" w:space="0" w:color="000000"/>
              <w:right w:val="single" w:sz="4" w:space="0" w:color="000000"/>
            </w:tcBorders>
          </w:tcPr>
          <w:p w14:paraId="7643AB99" w14:textId="1FE5C17D" w:rsidR="007B428A" w:rsidRPr="00E95A49" w:rsidRDefault="007B428A" w:rsidP="00980EF6">
            <w:pPr>
              <w:pStyle w:val="NormalIndent1"/>
              <w:ind w:left="0"/>
              <w:jc w:val="left"/>
              <w:rPr>
                <w:sz w:val="20"/>
                <w:szCs w:val="20"/>
              </w:rPr>
            </w:pPr>
            <w:r w:rsidRPr="00E95A49">
              <w:rPr>
                <w:sz w:val="20"/>
                <w:szCs w:val="20"/>
              </w:rPr>
              <w:t>2.3 ± 0.5</w:t>
            </w:r>
          </w:p>
        </w:tc>
        <w:tc>
          <w:tcPr>
            <w:tcW w:w="2122" w:type="dxa"/>
            <w:tcBorders>
              <w:top w:val="single" w:sz="4" w:space="0" w:color="000000"/>
              <w:left w:val="single" w:sz="4" w:space="0" w:color="000000"/>
              <w:bottom w:val="single" w:sz="4" w:space="0" w:color="000000"/>
              <w:right w:val="single" w:sz="4" w:space="0" w:color="000000"/>
            </w:tcBorders>
          </w:tcPr>
          <w:p w14:paraId="1D1B15B4" w14:textId="4C3CAD3B" w:rsidR="007B428A" w:rsidRPr="00E95A49" w:rsidRDefault="007B428A" w:rsidP="00980EF6">
            <w:pPr>
              <w:pStyle w:val="NormalIndent1"/>
              <w:ind w:left="0"/>
              <w:jc w:val="left"/>
              <w:rPr>
                <w:sz w:val="20"/>
                <w:szCs w:val="20"/>
              </w:rPr>
            </w:pPr>
            <w:r w:rsidRPr="00E95A49">
              <w:rPr>
                <w:sz w:val="20"/>
                <w:szCs w:val="20"/>
              </w:rPr>
              <w:t>1.6 ± 0.5</w:t>
            </w:r>
          </w:p>
        </w:tc>
        <w:tc>
          <w:tcPr>
            <w:tcW w:w="1972" w:type="dxa"/>
            <w:tcBorders>
              <w:top w:val="single" w:sz="4" w:space="0" w:color="000000"/>
              <w:left w:val="single" w:sz="4" w:space="0" w:color="000000"/>
              <w:bottom w:val="single" w:sz="4" w:space="0" w:color="000000"/>
              <w:right w:val="single" w:sz="4" w:space="0" w:color="000000"/>
            </w:tcBorders>
          </w:tcPr>
          <w:p w14:paraId="331C5D74" w14:textId="4ECE7B96" w:rsidR="007B428A" w:rsidRPr="00E95A49" w:rsidRDefault="007B428A" w:rsidP="00980EF6">
            <w:pPr>
              <w:pStyle w:val="NormalIndent1"/>
              <w:ind w:left="0"/>
              <w:jc w:val="left"/>
              <w:rPr>
                <w:sz w:val="20"/>
                <w:szCs w:val="20"/>
              </w:rPr>
            </w:pPr>
            <w:r w:rsidRPr="00E95A49">
              <w:rPr>
                <w:sz w:val="20"/>
                <w:szCs w:val="20"/>
              </w:rPr>
              <w:t>0.118</w:t>
            </w:r>
          </w:p>
        </w:tc>
      </w:tr>
    </w:tbl>
    <w:p w14:paraId="5C04A7DA" w14:textId="77777777" w:rsidR="007B428A" w:rsidRDefault="007B428A" w:rsidP="00980EF6">
      <w:pPr>
        <w:pStyle w:val="NormalIndent1"/>
        <w:jc w:val="left"/>
      </w:pPr>
    </w:p>
    <w:p w14:paraId="6197FB50" w14:textId="27733885" w:rsidR="007B428A" w:rsidRDefault="007B428A" w:rsidP="00980EF6">
      <w:pPr>
        <w:pStyle w:val="NormalIndent1"/>
        <w:jc w:val="left"/>
      </w:pPr>
      <w:r w:rsidRPr="007B428A">
        <w:t xml:space="preserve">In men and women combined, changes from baseline in femoral neck BMD were significantly greater in the </w:t>
      </w:r>
      <w:r w:rsidR="00884357">
        <w:rPr>
          <w:color w:val="000000" w:themeColor="text1"/>
        </w:rPr>
        <w:t>t</w:t>
      </w:r>
      <w:r w:rsidR="00884357" w:rsidRPr="00BF032A">
        <w:rPr>
          <w:color w:val="000000" w:themeColor="text1"/>
        </w:rPr>
        <w:t>eriparatide</w:t>
      </w:r>
      <w:r w:rsidRPr="007B428A">
        <w:t xml:space="preserve"> compared with the alendronate group at all timepoints and at endpoint (</w:t>
      </w:r>
      <w:r w:rsidRPr="00E629E1">
        <w:rPr>
          <w:b/>
          <w:bCs/>
        </w:rPr>
        <w:t>Figure 5</w:t>
      </w:r>
      <w:r w:rsidRPr="007B428A">
        <w:t xml:space="preserve">). The mean percent change in femoral neck BMD from baseline to endpoint was 5.1% in the </w:t>
      </w:r>
      <w:r w:rsidR="00820A2A">
        <w:rPr>
          <w:color w:val="000000" w:themeColor="text1"/>
        </w:rPr>
        <w:t>t</w:t>
      </w:r>
      <w:r w:rsidR="00820A2A" w:rsidRPr="00BF032A">
        <w:rPr>
          <w:color w:val="000000" w:themeColor="text1"/>
        </w:rPr>
        <w:t>eriparatide</w:t>
      </w:r>
      <w:r w:rsidRPr="007B428A">
        <w:t xml:space="preserve"> group compared with 2.6% in the alendronate group, (p&lt;0.001).</w:t>
      </w:r>
    </w:p>
    <w:p w14:paraId="3EAA56BF" w14:textId="6F50C34D" w:rsidR="00AF7D64" w:rsidRDefault="00AF7D64" w:rsidP="00980EF6">
      <w:pPr>
        <w:jc w:val="left"/>
        <w:rPr>
          <w:b/>
          <w:bCs/>
        </w:rPr>
      </w:pPr>
    </w:p>
    <w:p w14:paraId="38784086" w14:textId="6B4484DF" w:rsidR="00C6611B" w:rsidRDefault="00C6611B" w:rsidP="00980EF6">
      <w:pPr>
        <w:pStyle w:val="NormalIndent1"/>
        <w:jc w:val="left"/>
        <w:rPr>
          <w:b/>
          <w:bCs/>
        </w:rPr>
      </w:pPr>
      <w:r w:rsidRPr="000D27A3">
        <w:rPr>
          <w:b/>
          <w:bCs/>
        </w:rPr>
        <w:t xml:space="preserve">Figure 5: Mean Percent Change from Baseline in Femoral Neck BMD (LS Mean ± SE) in Men and Women with Glucocorticoid-Induced Osteoporosis </w:t>
      </w:r>
    </w:p>
    <w:p w14:paraId="7316B4AA" w14:textId="491DC2D6" w:rsidR="000075FD" w:rsidRDefault="000075FD" w:rsidP="00980EF6">
      <w:pPr>
        <w:pStyle w:val="NormalIndent1"/>
        <w:jc w:val="left"/>
        <w:rPr>
          <w:b/>
          <w:bCs/>
        </w:rPr>
      </w:pPr>
    </w:p>
    <w:p w14:paraId="15C866EF" w14:textId="491D877E" w:rsidR="000075FD" w:rsidRPr="000D27A3" w:rsidRDefault="000075FD" w:rsidP="00980EF6">
      <w:pPr>
        <w:pStyle w:val="NormalIndent1"/>
        <w:jc w:val="left"/>
        <w:rPr>
          <w:b/>
          <w:bCs/>
        </w:rPr>
      </w:pPr>
      <w:r>
        <w:rPr>
          <w:noProof/>
        </w:rPr>
        <w:drawing>
          <wp:inline distT="0" distB="0" distL="0" distR="0" wp14:anchorId="0CE3C6FE" wp14:editId="3D992364">
            <wp:extent cx="3915943" cy="2989690"/>
            <wp:effectExtent l="0" t="0" r="889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924364" cy="2996119"/>
                    </a:xfrm>
                    <a:prstGeom prst="rect">
                      <a:avLst/>
                    </a:prstGeom>
                    <a:ln>
                      <a:noFill/>
                    </a:ln>
                    <a:extLst>
                      <a:ext uri="{53640926-AAD7-44D8-BBD7-CCE9431645EC}">
                        <a14:shadowObscured xmlns:a14="http://schemas.microsoft.com/office/drawing/2010/main"/>
                      </a:ext>
                    </a:extLst>
                  </pic:spPr>
                </pic:pic>
              </a:graphicData>
            </a:graphic>
          </wp:inline>
        </w:drawing>
      </w:r>
    </w:p>
    <w:p w14:paraId="11AAA6EF" w14:textId="77777777" w:rsidR="000075FD" w:rsidRDefault="000075FD" w:rsidP="00980EF6">
      <w:pPr>
        <w:pStyle w:val="NormalIndent1"/>
        <w:jc w:val="left"/>
      </w:pPr>
    </w:p>
    <w:p w14:paraId="36C19CFA" w14:textId="651749B5" w:rsidR="00511EFF" w:rsidRDefault="00511EFF" w:rsidP="00980EF6">
      <w:pPr>
        <w:pStyle w:val="NormalIndent1"/>
        <w:jc w:val="left"/>
      </w:pPr>
      <w:r w:rsidRPr="00511EFF">
        <w:t xml:space="preserve">In men and women combined, changes from baseline in total hip BMD were significantly greater in the </w:t>
      </w:r>
      <w:r w:rsidR="00884357">
        <w:rPr>
          <w:color w:val="000000" w:themeColor="text1"/>
        </w:rPr>
        <w:t>t</w:t>
      </w:r>
      <w:r w:rsidR="00884357" w:rsidRPr="00BF032A">
        <w:rPr>
          <w:color w:val="000000" w:themeColor="text1"/>
        </w:rPr>
        <w:t>eriparatide</w:t>
      </w:r>
      <w:r w:rsidRPr="00511EFF">
        <w:t xml:space="preserve"> group compared with the alendro</w:t>
      </w:r>
      <w:r w:rsidR="00B51605">
        <w:t>n</w:t>
      </w:r>
      <w:r w:rsidRPr="00511EFF">
        <w:t>ate group at all timepoints and at endpoint (</w:t>
      </w:r>
      <w:r w:rsidRPr="00E629E1">
        <w:rPr>
          <w:b/>
          <w:bCs/>
        </w:rPr>
        <w:t>Figure 6</w:t>
      </w:r>
      <w:r w:rsidRPr="00511EFF">
        <w:t xml:space="preserve">). The mean increase in total hip BMD from baseline to endpoint was 4.4% in the </w:t>
      </w:r>
      <w:r w:rsidR="00884357">
        <w:rPr>
          <w:color w:val="000000" w:themeColor="text1"/>
        </w:rPr>
        <w:t>t</w:t>
      </w:r>
      <w:r w:rsidR="00884357" w:rsidRPr="00BF032A">
        <w:rPr>
          <w:color w:val="000000" w:themeColor="text1"/>
        </w:rPr>
        <w:t>eriparatide</w:t>
      </w:r>
      <w:r w:rsidRPr="00511EFF">
        <w:t xml:space="preserve"> group versus 2.2% in the alendronate group (p&lt;0.001).  </w:t>
      </w:r>
    </w:p>
    <w:p w14:paraId="73CE0210" w14:textId="7AA39BF3" w:rsidR="007B5895" w:rsidRDefault="007B5895" w:rsidP="00980EF6">
      <w:pPr>
        <w:pStyle w:val="NormalIndent1"/>
        <w:jc w:val="left"/>
      </w:pPr>
    </w:p>
    <w:p w14:paraId="5F5F0696" w14:textId="77777777" w:rsidR="00884815" w:rsidRDefault="00884815" w:rsidP="00980EF6">
      <w:pPr>
        <w:pStyle w:val="NormalIndent1"/>
        <w:jc w:val="left"/>
        <w:rPr>
          <w:b/>
          <w:bCs/>
        </w:rPr>
      </w:pPr>
    </w:p>
    <w:p w14:paraId="39315FE3" w14:textId="77777777" w:rsidR="00884815" w:rsidRDefault="00884815" w:rsidP="00980EF6">
      <w:pPr>
        <w:pStyle w:val="NormalIndent1"/>
        <w:jc w:val="left"/>
        <w:rPr>
          <w:b/>
          <w:bCs/>
        </w:rPr>
      </w:pPr>
    </w:p>
    <w:p w14:paraId="2AC62CD9" w14:textId="77777777" w:rsidR="00884815" w:rsidRDefault="00884815" w:rsidP="00980EF6">
      <w:pPr>
        <w:pStyle w:val="NormalIndent1"/>
        <w:jc w:val="left"/>
        <w:rPr>
          <w:b/>
          <w:bCs/>
        </w:rPr>
      </w:pPr>
    </w:p>
    <w:p w14:paraId="6BB08C6D" w14:textId="77777777" w:rsidR="00884815" w:rsidRDefault="00884815" w:rsidP="00980EF6">
      <w:pPr>
        <w:pStyle w:val="NormalIndent1"/>
        <w:jc w:val="left"/>
        <w:rPr>
          <w:b/>
          <w:bCs/>
        </w:rPr>
      </w:pPr>
    </w:p>
    <w:p w14:paraId="25495B3A" w14:textId="77777777" w:rsidR="00884815" w:rsidRDefault="00884815" w:rsidP="00980EF6">
      <w:pPr>
        <w:pStyle w:val="NormalIndent1"/>
        <w:jc w:val="left"/>
        <w:rPr>
          <w:b/>
          <w:bCs/>
        </w:rPr>
      </w:pPr>
    </w:p>
    <w:p w14:paraId="2370306E" w14:textId="6F081CE4" w:rsidR="00C6611B" w:rsidRDefault="00C6611B" w:rsidP="00980EF6">
      <w:pPr>
        <w:pStyle w:val="NormalIndent1"/>
        <w:jc w:val="left"/>
        <w:rPr>
          <w:b/>
          <w:bCs/>
        </w:rPr>
      </w:pPr>
      <w:r w:rsidRPr="000D27A3">
        <w:rPr>
          <w:b/>
          <w:bCs/>
        </w:rPr>
        <w:lastRenderedPageBreak/>
        <w:t>Figure 6: Mean Percent Change from Baseline in Total Hip BMD (LS Mean ± SE) in Men and Women with Glucocorticoid-Induced Osteoporosis</w:t>
      </w:r>
    </w:p>
    <w:p w14:paraId="34955E9C" w14:textId="77777777" w:rsidR="00B51605" w:rsidRPr="000D27A3" w:rsidRDefault="00B51605" w:rsidP="00980EF6">
      <w:pPr>
        <w:pStyle w:val="NormalIndent1"/>
        <w:jc w:val="left"/>
        <w:rPr>
          <w:b/>
          <w:bCs/>
        </w:rPr>
      </w:pPr>
    </w:p>
    <w:p w14:paraId="34FDD08C" w14:textId="53AF40A6" w:rsidR="00511EFF" w:rsidRDefault="000075FD" w:rsidP="00980EF6">
      <w:pPr>
        <w:pStyle w:val="NormalIndent1"/>
        <w:jc w:val="left"/>
      </w:pPr>
      <w:r w:rsidRPr="000075FD">
        <w:rPr>
          <w:noProof/>
        </w:rPr>
        <w:drawing>
          <wp:inline distT="0" distB="0" distL="0" distR="0" wp14:anchorId="054FF67A" wp14:editId="4582A53C">
            <wp:extent cx="4618800" cy="355320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618800" cy="3553200"/>
                    </a:xfrm>
                    <a:prstGeom prst="rect">
                      <a:avLst/>
                    </a:prstGeom>
                    <a:ln>
                      <a:noFill/>
                    </a:ln>
                    <a:extLst>
                      <a:ext uri="{53640926-AAD7-44D8-BBD7-CCE9431645EC}">
                        <a14:shadowObscured xmlns:a14="http://schemas.microsoft.com/office/drawing/2010/main"/>
                      </a:ext>
                    </a:extLst>
                  </pic:spPr>
                </pic:pic>
              </a:graphicData>
            </a:graphic>
          </wp:inline>
        </w:drawing>
      </w:r>
    </w:p>
    <w:p w14:paraId="60298E69" w14:textId="6FD79CC8" w:rsidR="007B5895" w:rsidRDefault="007B5895" w:rsidP="00980EF6">
      <w:pPr>
        <w:pStyle w:val="NormalIndent1"/>
        <w:jc w:val="left"/>
      </w:pPr>
      <w:r>
        <w:t xml:space="preserve">In premenopausal women, the increase in BMD from baseline to endpoint at 36 months was significantly greater in the </w:t>
      </w:r>
      <w:r w:rsidR="00884357">
        <w:rPr>
          <w:color w:val="000000" w:themeColor="text1"/>
        </w:rPr>
        <w:t>t</w:t>
      </w:r>
      <w:r w:rsidR="00884357" w:rsidRPr="00BF032A">
        <w:rPr>
          <w:color w:val="000000" w:themeColor="text1"/>
        </w:rPr>
        <w:t>eriparatide</w:t>
      </w:r>
      <w:r>
        <w:t xml:space="preserve"> group compared with the alendronate group at the lumbar spine (4.6% versus −0.9%; p=0.017) and total hip (4.8% versus 1.5%; p=0.026). However, no significant effect on fracture rates was demonstrated in premenopausal women.  </w:t>
      </w:r>
    </w:p>
    <w:p w14:paraId="57C3BF32" w14:textId="36EF9868" w:rsidR="007B5895" w:rsidRDefault="007B5895" w:rsidP="00980EF6">
      <w:pPr>
        <w:pStyle w:val="NormalIndent1"/>
        <w:jc w:val="left"/>
      </w:pPr>
      <w:r>
        <w:t xml:space="preserve"> Analysis of vertebral and non-vertebral fractures: At 18 months, analysis of spinal X-rays from 165 alendronate patients and 171 </w:t>
      </w:r>
      <w:r w:rsidR="00884357">
        <w:rPr>
          <w:color w:val="000000" w:themeColor="text1"/>
        </w:rPr>
        <w:t>t</w:t>
      </w:r>
      <w:r w:rsidR="00884357" w:rsidRPr="00BF032A">
        <w:rPr>
          <w:color w:val="000000" w:themeColor="text1"/>
        </w:rPr>
        <w:t>eriparatide</w:t>
      </w:r>
      <w:r>
        <w:t xml:space="preserve"> patients showed that 10 patients in the alendronate group (6.1%) had experienced a new vertebral fracture compared with 1 patient in the </w:t>
      </w:r>
      <w:r w:rsidR="00884357">
        <w:rPr>
          <w:color w:val="000000" w:themeColor="text1"/>
        </w:rPr>
        <w:t>t</w:t>
      </w:r>
      <w:r w:rsidR="00884357" w:rsidRPr="00BF032A">
        <w:rPr>
          <w:color w:val="000000" w:themeColor="text1"/>
        </w:rPr>
        <w:t>eriparatide</w:t>
      </w:r>
      <w:r>
        <w:t xml:space="preserve"> group (0.6%). In addition, 9 patients in the alendronate group (4.2%) had experienced a non</w:t>
      </w:r>
      <w:r w:rsidR="00B51605">
        <w:t>-</w:t>
      </w:r>
      <w:r>
        <w:t xml:space="preserve">vertebral fracture compared with 12 patients in the </w:t>
      </w:r>
      <w:r w:rsidR="00884357">
        <w:rPr>
          <w:color w:val="000000" w:themeColor="text1"/>
        </w:rPr>
        <w:t>t</w:t>
      </w:r>
      <w:r w:rsidR="00884357" w:rsidRPr="00BF032A">
        <w:rPr>
          <w:color w:val="000000" w:themeColor="text1"/>
        </w:rPr>
        <w:t>eriparatide</w:t>
      </w:r>
      <w:r>
        <w:t xml:space="preserve"> group (5.6%).  </w:t>
      </w:r>
    </w:p>
    <w:p w14:paraId="1389B594" w14:textId="63E46AA8" w:rsidR="007B5895" w:rsidRDefault="007B5895" w:rsidP="00980EF6">
      <w:pPr>
        <w:pStyle w:val="NormalIndent1"/>
        <w:jc w:val="left"/>
      </w:pPr>
      <w:r w:rsidRPr="00E629E1">
        <w:rPr>
          <w:b/>
          <w:bCs/>
        </w:rPr>
        <w:t>Table 5</w:t>
      </w:r>
      <w:r>
        <w:t xml:space="preserve"> below summarises the incident fractures at 36 months in men and women combined.  </w:t>
      </w:r>
    </w:p>
    <w:p w14:paraId="1CDCD32F" w14:textId="21C2AB3A" w:rsidR="007B5895" w:rsidRDefault="007B5895" w:rsidP="00980EF6">
      <w:pPr>
        <w:pStyle w:val="NormalIndent1"/>
        <w:jc w:val="left"/>
        <w:rPr>
          <w:b/>
          <w:bCs/>
        </w:rPr>
      </w:pPr>
      <w:r w:rsidRPr="000D27A3">
        <w:rPr>
          <w:b/>
          <w:bCs/>
        </w:rPr>
        <w:t xml:space="preserve">Table 5: Incident </w:t>
      </w:r>
      <w:r w:rsidR="00B51605" w:rsidRPr="000D27A3">
        <w:rPr>
          <w:b/>
          <w:bCs/>
        </w:rPr>
        <w:t xml:space="preserve">Fractures </w:t>
      </w:r>
      <w:r w:rsidRPr="000D27A3">
        <w:rPr>
          <w:b/>
          <w:bCs/>
        </w:rPr>
        <w:t xml:space="preserve">at 36 </w:t>
      </w:r>
      <w:r w:rsidR="00B51605" w:rsidRPr="000D27A3">
        <w:rPr>
          <w:b/>
          <w:bCs/>
        </w:rPr>
        <w:t xml:space="preserve">Months </w:t>
      </w:r>
      <w:r w:rsidRPr="000D27A3">
        <w:rPr>
          <w:b/>
          <w:bCs/>
        </w:rPr>
        <w:t xml:space="preserve">in </w:t>
      </w:r>
      <w:r w:rsidR="00B51605" w:rsidRPr="000D27A3">
        <w:rPr>
          <w:b/>
          <w:bCs/>
        </w:rPr>
        <w:t xml:space="preserve">Men </w:t>
      </w:r>
      <w:r w:rsidRPr="000D27A3">
        <w:rPr>
          <w:b/>
          <w:bCs/>
        </w:rPr>
        <w:t xml:space="preserve">and </w:t>
      </w:r>
      <w:r w:rsidR="00B51605" w:rsidRPr="000D27A3">
        <w:rPr>
          <w:b/>
          <w:bCs/>
        </w:rPr>
        <w:t>Women Combined</w:t>
      </w:r>
    </w:p>
    <w:tbl>
      <w:tblPr>
        <w:tblStyle w:val="TableGrid"/>
        <w:tblW w:w="9209" w:type="dxa"/>
        <w:tblInd w:w="425" w:type="dxa"/>
        <w:tblLook w:val="04A0" w:firstRow="1" w:lastRow="0" w:firstColumn="1" w:lastColumn="0" w:noHBand="0" w:noVBand="1"/>
      </w:tblPr>
      <w:tblGrid>
        <w:gridCol w:w="3823"/>
        <w:gridCol w:w="1984"/>
        <w:gridCol w:w="1843"/>
        <w:gridCol w:w="1559"/>
      </w:tblGrid>
      <w:tr w:rsidR="007B5895" w:rsidRPr="00B51605" w14:paraId="076DD3AA" w14:textId="77777777" w:rsidTr="00B51605">
        <w:tc>
          <w:tcPr>
            <w:tcW w:w="3823" w:type="dxa"/>
            <w:tcBorders>
              <w:top w:val="single" w:sz="12" w:space="0" w:color="auto"/>
              <w:left w:val="single" w:sz="12" w:space="0" w:color="auto"/>
              <w:bottom w:val="single" w:sz="12" w:space="0" w:color="auto"/>
              <w:right w:val="single" w:sz="12" w:space="0" w:color="auto"/>
            </w:tcBorders>
          </w:tcPr>
          <w:p w14:paraId="38287965" w14:textId="77777777" w:rsidR="007B5895" w:rsidRPr="00B51605" w:rsidRDefault="007B5895" w:rsidP="00980EF6">
            <w:pPr>
              <w:pStyle w:val="NormalIndent1"/>
              <w:ind w:left="0"/>
              <w:jc w:val="left"/>
              <w:rPr>
                <w:sz w:val="20"/>
                <w:szCs w:val="20"/>
              </w:rPr>
            </w:pPr>
          </w:p>
        </w:tc>
        <w:tc>
          <w:tcPr>
            <w:tcW w:w="1984" w:type="dxa"/>
            <w:tcBorders>
              <w:top w:val="single" w:sz="12" w:space="0" w:color="auto"/>
              <w:left w:val="single" w:sz="12" w:space="0" w:color="auto"/>
              <w:bottom w:val="single" w:sz="12" w:space="0" w:color="auto"/>
              <w:right w:val="single" w:sz="12" w:space="0" w:color="auto"/>
            </w:tcBorders>
          </w:tcPr>
          <w:p w14:paraId="495B8AA1" w14:textId="77777777" w:rsidR="007B5895" w:rsidRPr="00B51605" w:rsidRDefault="007B5895" w:rsidP="00980EF6">
            <w:pPr>
              <w:pStyle w:val="NormalIndent1"/>
              <w:ind w:left="0"/>
              <w:jc w:val="left"/>
              <w:rPr>
                <w:b/>
                <w:bCs/>
                <w:sz w:val="20"/>
                <w:szCs w:val="20"/>
              </w:rPr>
            </w:pPr>
            <w:r w:rsidRPr="00B51605">
              <w:rPr>
                <w:b/>
                <w:bCs/>
                <w:sz w:val="20"/>
                <w:szCs w:val="20"/>
              </w:rPr>
              <w:t>PTH20</w:t>
            </w:r>
          </w:p>
          <w:p w14:paraId="03C5F1AF" w14:textId="0637311D" w:rsidR="007B5895" w:rsidRPr="00B51605" w:rsidRDefault="007B5895" w:rsidP="00980EF6">
            <w:pPr>
              <w:pStyle w:val="NormalIndent1"/>
              <w:ind w:left="0"/>
              <w:jc w:val="left"/>
              <w:rPr>
                <w:b/>
                <w:bCs/>
                <w:sz w:val="20"/>
                <w:szCs w:val="20"/>
              </w:rPr>
            </w:pPr>
            <w:r w:rsidRPr="00B51605">
              <w:rPr>
                <w:b/>
                <w:bCs/>
                <w:sz w:val="20"/>
                <w:szCs w:val="20"/>
              </w:rPr>
              <w:t>n/N (%)</w:t>
            </w:r>
          </w:p>
        </w:tc>
        <w:tc>
          <w:tcPr>
            <w:tcW w:w="1843" w:type="dxa"/>
            <w:tcBorders>
              <w:top w:val="single" w:sz="12" w:space="0" w:color="auto"/>
              <w:left w:val="single" w:sz="12" w:space="0" w:color="auto"/>
              <w:bottom w:val="single" w:sz="12" w:space="0" w:color="auto"/>
              <w:right w:val="single" w:sz="12" w:space="0" w:color="auto"/>
            </w:tcBorders>
          </w:tcPr>
          <w:p w14:paraId="56ABB192" w14:textId="77777777" w:rsidR="007B5895" w:rsidRPr="00B51605" w:rsidRDefault="007B5895" w:rsidP="00980EF6">
            <w:pPr>
              <w:pStyle w:val="NormalIndent1"/>
              <w:ind w:left="0"/>
              <w:jc w:val="left"/>
              <w:rPr>
                <w:b/>
                <w:bCs/>
                <w:sz w:val="20"/>
                <w:szCs w:val="20"/>
              </w:rPr>
            </w:pPr>
            <w:r w:rsidRPr="00B51605">
              <w:rPr>
                <w:b/>
                <w:bCs/>
                <w:sz w:val="20"/>
                <w:szCs w:val="20"/>
              </w:rPr>
              <w:t>ALN10</w:t>
            </w:r>
          </w:p>
          <w:p w14:paraId="5BD57FD1" w14:textId="0010EE03" w:rsidR="007B5895" w:rsidRPr="00B51605" w:rsidRDefault="007B5895" w:rsidP="00980EF6">
            <w:pPr>
              <w:pStyle w:val="NormalIndent1"/>
              <w:ind w:left="0"/>
              <w:jc w:val="left"/>
              <w:rPr>
                <w:b/>
                <w:bCs/>
                <w:sz w:val="20"/>
                <w:szCs w:val="20"/>
              </w:rPr>
            </w:pPr>
            <w:r w:rsidRPr="00B51605">
              <w:rPr>
                <w:b/>
                <w:bCs/>
                <w:sz w:val="20"/>
                <w:szCs w:val="20"/>
              </w:rPr>
              <w:t>n/N (%)</w:t>
            </w:r>
          </w:p>
        </w:tc>
        <w:tc>
          <w:tcPr>
            <w:tcW w:w="1559" w:type="dxa"/>
            <w:tcBorders>
              <w:top w:val="single" w:sz="12" w:space="0" w:color="auto"/>
              <w:left w:val="single" w:sz="12" w:space="0" w:color="auto"/>
              <w:bottom w:val="single" w:sz="12" w:space="0" w:color="auto"/>
              <w:right w:val="single" w:sz="12" w:space="0" w:color="auto"/>
            </w:tcBorders>
          </w:tcPr>
          <w:p w14:paraId="28956C70" w14:textId="52D8FB64" w:rsidR="007B5895" w:rsidRPr="00B51605" w:rsidRDefault="00C6611B" w:rsidP="00980EF6">
            <w:pPr>
              <w:pStyle w:val="NormalIndent1"/>
              <w:ind w:left="0"/>
              <w:jc w:val="left"/>
              <w:rPr>
                <w:b/>
                <w:bCs/>
                <w:sz w:val="20"/>
                <w:szCs w:val="20"/>
              </w:rPr>
            </w:pPr>
            <w:r w:rsidRPr="00B51605">
              <w:rPr>
                <w:b/>
                <w:bCs/>
                <w:sz w:val="20"/>
                <w:szCs w:val="20"/>
              </w:rPr>
              <w:t>p</w:t>
            </w:r>
            <w:r w:rsidR="007B5895" w:rsidRPr="00B51605">
              <w:rPr>
                <w:b/>
                <w:bCs/>
                <w:sz w:val="20"/>
                <w:szCs w:val="20"/>
              </w:rPr>
              <w:t>-value</w:t>
            </w:r>
          </w:p>
        </w:tc>
      </w:tr>
      <w:tr w:rsidR="007B5895" w:rsidRPr="00B51605" w14:paraId="7257166B" w14:textId="77777777" w:rsidTr="00B51605">
        <w:tc>
          <w:tcPr>
            <w:tcW w:w="3823" w:type="dxa"/>
            <w:tcBorders>
              <w:top w:val="single" w:sz="12" w:space="0" w:color="auto"/>
            </w:tcBorders>
          </w:tcPr>
          <w:p w14:paraId="1B5DE578" w14:textId="7193B3F4" w:rsidR="007B5895" w:rsidRPr="00B51605" w:rsidRDefault="007B5895" w:rsidP="00980EF6">
            <w:pPr>
              <w:pStyle w:val="NormalIndent1"/>
              <w:ind w:left="0"/>
              <w:jc w:val="left"/>
              <w:rPr>
                <w:sz w:val="20"/>
                <w:szCs w:val="20"/>
              </w:rPr>
            </w:pPr>
            <w:r w:rsidRPr="00B51605">
              <w:rPr>
                <w:rFonts w:cstheme="minorHAnsi"/>
                <w:sz w:val="20"/>
                <w:szCs w:val="20"/>
              </w:rPr>
              <w:t>≥</w:t>
            </w:r>
            <w:r w:rsidRPr="00B51605">
              <w:rPr>
                <w:sz w:val="20"/>
                <w:szCs w:val="20"/>
              </w:rPr>
              <w:t>1 Vertebral and/or non</w:t>
            </w:r>
            <w:r w:rsidR="00B51605">
              <w:rPr>
                <w:sz w:val="20"/>
                <w:szCs w:val="20"/>
              </w:rPr>
              <w:t>-</w:t>
            </w:r>
            <w:r w:rsidRPr="00B51605">
              <w:rPr>
                <w:sz w:val="20"/>
                <w:szCs w:val="20"/>
              </w:rPr>
              <w:t xml:space="preserve">vertebral fracture </w:t>
            </w:r>
            <w:r w:rsidRPr="00B51605">
              <w:rPr>
                <w:sz w:val="20"/>
                <w:szCs w:val="20"/>
                <w:vertAlign w:val="superscript"/>
              </w:rPr>
              <w:t>a</w:t>
            </w:r>
          </w:p>
        </w:tc>
        <w:tc>
          <w:tcPr>
            <w:tcW w:w="1984" w:type="dxa"/>
            <w:tcBorders>
              <w:top w:val="single" w:sz="12" w:space="0" w:color="auto"/>
            </w:tcBorders>
          </w:tcPr>
          <w:p w14:paraId="7C38F5B8" w14:textId="7CA1E000" w:rsidR="007B5895" w:rsidRPr="00B51605" w:rsidRDefault="007B5895" w:rsidP="00980EF6">
            <w:pPr>
              <w:pStyle w:val="NormalIndent1"/>
              <w:ind w:left="0"/>
              <w:jc w:val="left"/>
              <w:rPr>
                <w:sz w:val="20"/>
                <w:szCs w:val="20"/>
              </w:rPr>
            </w:pPr>
            <w:r w:rsidRPr="00B51605">
              <w:rPr>
                <w:sz w:val="20"/>
                <w:szCs w:val="20"/>
              </w:rPr>
              <w:t>19/214 (8.9%)</w:t>
            </w:r>
          </w:p>
        </w:tc>
        <w:tc>
          <w:tcPr>
            <w:tcW w:w="1843" w:type="dxa"/>
            <w:tcBorders>
              <w:top w:val="single" w:sz="12" w:space="0" w:color="auto"/>
            </w:tcBorders>
          </w:tcPr>
          <w:p w14:paraId="30379ED6" w14:textId="4FBFCFC0" w:rsidR="007B5895" w:rsidRPr="00B51605" w:rsidRDefault="007B5895" w:rsidP="00980EF6">
            <w:pPr>
              <w:pStyle w:val="NormalIndent1"/>
              <w:ind w:left="0"/>
              <w:jc w:val="left"/>
              <w:rPr>
                <w:sz w:val="20"/>
                <w:szCs w:val="20"/>
              </w:rPr>
            </w:pPr>
            <w:r w:rsidRPr="00B51605">
              <w:rPr>
                <w:sz w:val="20"/>
                <w:szCs w:val="20"/>
              </w:rPr>
              <w:t>27/214 (12.6%)</w:t>
            </w:r>
          </w:p>
        </w:tc>
        <w:tc>
          <w:tcPr>
            <w:tcW w:w="1559" w:type="dxa"/>
            <w:tcBorders>
              <w:top w:val="single" w:sz="12" w:space="0" w:color="auto"/>
            </w:tcBorders>
          </w:tcPr>
          <w:p w14:paraId="60D54F7B" w14:textId="6B68FF2A" w:rsidR="007B5895" w:rsidRPr="00B51605" w:rsidRDefault="007B5895" w:rsidP="00980EF6">
            <w:pPr>
              <w:pStyle w:val="NormalIndent1"/>
              <w:ind w:left="0"/>
              <w:jc w:val="left"/>
              <w:rPr>
                <w:sz w:val="20"/>
                <w:szCs w:val="20"/>
              </w:rPr>
            </w:pPr>
            <w:r w:rsidRPr="00B51605">
              <w:rPr>
                <w:sz w:val="20"/>
                <w:szCs w:val="20"/>
              </w:rPr>
              <w:t>0.212</w:t>
            </w:r>
          </w:p>
        </w:tc>
      </w:tr>
      <w:tr w:rsidR="007B5895" w:rsidRPr="00B51605" w14:paraId="1E615BAD" w14:textId="77777777" w:rsidTr="00BF032A">
        <w:tc>
          <w:tcPr>
            <w:tcW w:w="3823" w:type="dxa"/>
          </w:tcPr>
          <w:p w14:paraId="120406ED" w14:textId="17BFD71A" w:rsidR="007B5895" w:rsidRPr="00B51605" w:rsidRDefault="004667B3" w:rsidP="00980EF6">
            <w:pPr>
              <w:pStyle w:val="NormalIndent1"/>
              <w:ind w:left="0"/>
              <w:jc w:val="left"/>
              <w:rPr>
                <w:sz w:val="20"/>
                <w:szCs w:val="20"/>
              </w:rPr>
            </w:pPr>
            <w:r w:rsidRPr="00B51605">
              <w:rPr>
                <w:rFonts w:cstheme="minorHAnsi"/>
                <w:sz w:val="20"/>
                <w:szCs w:val="20"/>
              </w:rPr>
              <w:t>≥</w:t>
            </w:r>
            <w:r w:rsidRPr="00B51605">
              <w:rPr>
                <w:sz w:val="20"/>
                <w:szCs w:val="20"/>
              </w:rPr>
              <w:t xml:space="preserve">1 Vertebral fracture </w:t>
            </w:r>
          </w:p>
        </w:tc>
        <w:tc>
          <w:tcPr>
            <w:tcW w:w="1984" w:type="dxa"/>
          </w:tcPr>
          <w:p w14:paraId="3F8A75E8" w14:textId="1980627B" w:rsidR="007B5895" w:rsidRPr="00B51605" w:rsidRDefault="007B5895" w:rsidP="00980EF6">
            <w:pPr>
              <w:pStyle w:val="NormalIndent1"/>
              <w:ind w:left="0"/>
              <w:jc w:val="left"/>
              <w:rPr>
                <w:sz w:val="20"/>
                <w:szCs w:val="20"/>
              </w:rPr>
            </w:pPr>
            <w:r w:rsidRPr="00B51605">
              <w:rPr>
                <w:sz w:val="20"/>
                <w:szCs w:val="20"/>
              </w:rPr>
              <w:t>3/173 (1.7%)</w:t>
            </w:r>
          </w:p>
        </w:tc>
        <w:tc>
          <w:tcPr>
            <w:tcW w:w="1843" w:type="dxa"/>
          </w:tcPr>
          <w:p w14:paraId="3DDA2DE2" w14:textId="2EEA98D8" w:rsidR="007B5895" w:rsidRPr="00B51605" w:rsidRDefault="007B5895" w:rsidP="00980EF6">
            <w:pPr>
              <w:pStyle w:val="NormalIndent1"/>
              <w:ind w:left="0"/>
              <w:jc w:val="left"/>
              <w:rPr>
                <w:sz w:val="20"/>
                <w:szCs w:val="20"/>
              </w:rPr>
            </w:pPr>
            <w:r w:rsidRPr="00B51605">
              <w:rPr>
                <w:sz w:val="20"/>
                <w:szCs w:val="20"/>
              </w:rPr>
              <w:t>13/169 (7.7%)</w:t>
            </w:r>
          </w:p>
        </w:tc>
        <w:tc>
          <w:tcPr>
            <w:tcW w:w="1559" w:type="dxa"/>
          </w:tcPr>
          <w:p w14:paraId="761F0074" w14:textId="35ABB75E" w:rsidR="007B5895" w:rsidRPr="00B51605" w:rsidRDefault="007B5895" w:rsidP="00980EF6">
            <w:pPr>
              <w:pStyle w:val="NormalIndent1"/>
              <w:ind w:left="0"/>
              <w:jc w:val="left"/>
              <w:rPr>
                <w:sz w:val="20"/>
                <w:szCs w:val="20"/>
              </w:rPr>
            </w:pPr>
            <w:r w:rsidRPr="00B51605">
              <w:rPr>
                <w:sz w:val="20"/>
                <w:szCs w:val="20"/>
              </w:rPr>
              <w:t>0.007</w:t>
            </w:r>
          </w:p>
        </w:tc>
      </w:tr>
      <w:tr w:rsidR="007B5895" w:rsidRPr="00B51605" w14:paraId="360BD056" w14:textId="77777777" w:rsidTr="00BF032A">
        <w:tc>
          <w:tcPr>
            <w:tcW w:w="3823" w:type="dxa"/>
          </w:tcPr>
          <w:p w14:paraId="418ADAE8" w14:textId="13B22D03" w:rsidR="007B5895" w:rsidRPr="00B51605" w:rsidRDefault="004667B3" w:rsidP="00980EF6">
            <w:pPr>
              <w:pStyle w:val="NormalIndent1"/>
              <w:ind w:left="0"/>
              <w:jc w:val="left"/>
              <w:rPr>
                <w:sz w:val="20"/>
                <w:szCs w:val="20"/>
              </w:rPr>
            </w:pPr>
            <w:r w:rsidRPr="00B51605">
              <w:rPr>
                <w:rFonts w:cstheme="minorHAnsi"/>
                <w:sz w:val="20"/>
                <w:szCs w:val="20"/>
              </w:rPr>
              <w:t>≥</w:t>
            </w:r>
            <w:r w:rsidRPr="00B51605">
              <w:rPr>
                <w:sz w:val="20"/>
                <w:szCs w:val="20"/>
              </w:rPr>
              <w:t>1 Clinical vertebral fracture</w:t>
            </w:r>
            <w:r w:rsidR="00097C20" w:rsidRPr="00B51605">
              <w:rPr>
                <w:sz w:val="20"/>
                <w:szCs w:val="20"/>
                <w:vertAlign w:val="superscript"/>
              </w:rPr>
              <w:t xml:space="preserve"> b</w:t>
            </w:r>
          </w:p>
        </w:tc>
        <w:tc>
          <w:tcPr>
            <w:tcW w:w="1984" w:type="dxa"/>
          </w:tcPr>
          <w:p w14:paraId="06FCC8C8" w14:textId="06D6A51E" w:rsidR="007B5895" w:rsidRPr="00B51605" w:rsidRDefault="007B5895" w:rsidP="00980EF6">
            <w:pPr>
              <w:pStyle w:val="NormalIndent1"/>
              <w:ind w:left="0"/>
              <w:jc w:val="left"/>
              <w:rPr>
                <w:sz w:val="20"/>
                <w:szCs w:val="20"/>
              </w:rPr>
            </w:pPr>
            <w:r w:rsidRPr="00B51605">
              <w:rPr>
                <w:sz w:val="20"/>
                <w:szCs w:val="20"/>
              </w:rPr>
              <w:t>0</w:t>
            </w:r>
          </w:p>
        </w:tc>
        <w:tc>
          <w:tcPr>
            <w:tcW w:w="1843" w:type="dxa"/>
          </w:tcPr>
          <w:p w14:paraId="2AAF539C" w14:textId="2A4EDBB6" w:rsidR="007B5895" w:rsidRPr="00B51605" w:rsidRDefault="007B5895" w:rsidP="00980EF6">
            <w:pPr>
              <w:pStyle w:val="NormalIndent1"/>
              <w:ind w:left="0"/>
              <w:jc w:val="left"/>
              <w:rPr>
                <w:sz w:val="20"/>
                <w:szCs w:val="20"/>
              </w:rPr>
            </w:pPr>
            <w:r w:rsidRPr="00B51605">
              <w:rPr>
                <w:sz w:val="20"/>
                <w:szCs w:val="20"/>
              </w:rPr>
              <w:t>4/169 (2.4%)</w:t>
            </w:r>
          </w:p>
        </w:tc>
        <w:tc>
          <w:tcPr>
            <w:tcW w:w="1559" w:type="dxa"/>
          </w:tcPr>
          <w:p w14:paraId="23274EEE" w14:textId="29BF2A4D" w:rsidR="007B5895" w:rsidRPr="00B51605" w:rsidRDefault="007B5895" w:rsidP="00980EF6">
            <w:pPr>
              <w:pStyle w:val="NormalIndent1"/>
              <w:ind w:left="0"/>
              <w:jc w:val="left"/>
              <w:rPr>
                <w:sz w:val="20"/>
                <w:szCs w:val="20"/>
              </w:rPr>
            </w:pPr>
            <w:r w:rsidRPr="00B51605">
              <w:rPr>
                <w:sz w:val="20"/>
                <w:szCs w:val="20"/>
              </w:rPr>
              <w:t>0.037</w:t>
            </w:r>
          </w:p>
        </w:tc>
      </w:tr>
      <w:tr w:rsidR="00097C20" w:rsidRPr="00B51605" w14:paraId="1E3BC799" w14:textId="77777777" w:rsidTr="00BF032A">
        <w:tc>
          <w:tcPr>
            <w:tcW w:w="3823" w:type="dxa"/>
          </w:tcPr>
          <w:p w14:paraId="234FF829" w14:textId="0A550BDD" w:rsidR="00097C20" w:rsidRPr="00B51605" w:rsidRDefault="00097C20" w:rsidP="00980EF6">
            <w:pPr>
              <w:pStyle w:val="NormalIndent1"/>
              <w:ind w:left="0"/>
              <w:jc w:val="left"/>
              <w:rPr>
                <w:rFonts w:cstheme="minorHAnsi"/>
                <w:sz w:val="20"/>
                <w:szCs w:val="20"/>
              </w:rPr>
            </w:pPr>
            <w:r w:rsidRPr="00B51605">
              <w:rPr>
                <w:rFonts w:cstheme="minorHAnsi"/>
                <w:sz w:val="20"/>
                <w:szCs w:val="20"/>
              </w:rPr>
              <w:t>≥</w:t>
            </w:r>
            <w:r w:rsidRPr="00B51605">
              <w:rPr>
                <w:sz w:val="20"/>
                <w:szCs w:val="20"/>
              </w:rPr>
              <w:t>1 Non</w:t>
            </w:r>
            <w:r>
              <w:rPr>
                <w:sz w:val="20"/>
                <w:szCs w:val="20"/>
              </w:rPr>
              <w:t>-</w:t>
            </w:r>
            <w:r w:rsidRPr="00B51605">
              <w:rPr>
                <w:sz w:val="20"/>
                <w:szCs w:val="20"/>
              </w:rPr>
              <w:t>vertebral fracture</w:t>
            </w:r>
          </w:p>
        </w:tc>
        <w:tc>
          <w:tcPr>
            <w:tcW w:w="1984" w:type="dxa"/>
          </w:tcPr>
          <w:p w14:paraId="4DF014A3" w14:textId="7BB4DF98" w:rsidR="00097C20" w:rsidRPr="00B51605" w:rsidRDefault="00097C20" w:rsidP="00980EF6">
            <w:pPr>
              <w:pStyle w:val="NormalIndent1"/>
              <w:ind w:left="0"/>
              <w:jc w:val="left"/>
              <w:rPr>
                <w:sz w:val="20"/>
                <w:szCs w:val="20"/>
              </w:rPr>
            </w:pPr>
            <w:r w:rsidRPr="00B51605">
              <w:rPr>
                <w:sz w:val="20"/>
                <w:szCs w:val="20"/>
              </w:rPr>
              <w:t>16/214 (7.5%)</w:t>
            </w:r>
          </w:p>
        </w:tc>
        <w:tc>
          <w:tcPr>
            <w:tcW w:w="1843" w:type="dxa"/>
          </w:tcPr>
          <w:p w14:paraId="0E547F98" w14:textId="64F2C0E7" w:rsidR="00097C20" w:rsidRPr="00B51605" w:rsidRDefault="00097C20" w:rsidP="00980EF6">
            <w:pPr>
              <w:pStyle w:val="NormalIndent1"/>
              <w:ind w:left="0"/>
              <w:jc w:val="left"/>
              <w:rPr>
                <w:sz w:val="20"/>
                <w:szCs w:val="20"/>
              </w:rPr>
            </w:pPr>
            <w:r w:rsidRPr="00B51605">
              <w:rPr>
                <w:sz w:val="20"/>
                <w:szCs w:val="20"/>
              </w:rPr>
              <w:t>15/214 (7.0%)</w:t>
            </w:r>
          </w:p>
        </w:tc>
        <w:tc>
          <w:tcPr>
            <w:tcW w:w="1559" w:type="dxa"/>
          </w:tcPr>
          <w:p w14:paraId="5AAF9D8B" w14:textId="4FDF5354" w:rsidR="00097C20" w:rsidRPr="00B51605" w:rsidRDefault="00097C20" w:rsidP="00980EF6">
            <w:pPr>
              <w:pStyle w:val="NormalIndent1"/>
              <w:ind w:left="0"/>
              <w:jc w:val="left"/>
              <w:rPr>
                <w:sz w:val="20"/>
                <w:szCs w:val="20"/>
              </w:rPr>
            </w:pPr>
            <w:r w:rsidRPr="00B51605">
              <w:rPr>
                <w:sz w:val="20"/>
                <w:szCs w:val="20"/>
              </w:rPr>
              <w:t>0.843</w:t>
            </w:r>
          </w:p>
        </w:tc>
      </w:tr>
    </w:tbl>
    <w:p w14:paraId="6D8E973B" w14:textId="77777777" w:rsidR="00B51605" w:rsidRDefault="00B51605" w:rsidP="00980EF6">
      <w:pPr>
        <w:pStyle w:val="NormalIndent1"/>
        <w:jc w:val="left"/>
        <w:rPr>
          <w:sz w:val="20"/>
          <w:szCs w:val="20"/>
        </w:rPr>
      </w:pPr>
    </w:p>
    <w:p w14:paraId="75DBFC69" w14:textId="77777777" w:rsidR="00B51605" w:rsidRDefault="007B5895" w:rsidP="00980EF6">
      <w:pPr>
        <w:pStyle w:val="NormalIndent1"/>
        <w:jc w:val="left"/>
        <w:rPr>
          <w:sz w:val="20"/>
          <w:szCs w:val="20"/>
        </w:rPr>
      </w:pPr>
      <w:r w:rsidRPr="00BF032A">
        <w:rPr>
          <w:sz w:val="20"/>
          <w:szCs w:val="20"/>
        </w:rPr>
        <w:t>Note:  For vertebral fractures only those patients with baseline and post</w:t>
      </w:r>
      <w:r w:rsidR="00B51605">
        <w:rPr>
          <w:sz w:val="20"/>
          <w:szCs w:val="20"/>
        </w:rPr>
        <w:t>-</w:t>
      </w:r>
      <w:r w:rsidRPr="00BF032A">
        <w:rPr>
          <w:sz w:val="20"/>
          <w:szCs w:val="20"/>
        </w:rPr>
        <w:t xml:space="preserve">baseline spinal radiographs were included in the analysis. </w:t>
      </w:r>
    </w:p>
    <w:p w14:paraId="2D88237B" w14:textId="313B734C" w:rsidR="00B51605" w:rsidRDefault="007B5895" w:rsidP="00980EF6">
      <w:pPr>
        <w:pStyle w:val="NormalIndent1"/>
        <w:ind w:left="709" w:hanging="284"/>
        <w:jc w:val="left"/>
        <w:rPr>
          <w:sz w:val="20"/>
          <w:szCs w:val="20"/>
        </w:rPr>
      </w:pPr>
      <w:r w:rsidRPr="00E629E1">
        <w:rPr>
          <w:sz w:val="20"/>
          <w:szCs w:val="20"/>
          <w:vertAlign w:val="superscript"/>
        </w:rPr>
        <w:t>a</w:t>
      </w:r>
      <w:r w:rsidR="00B51605">
        <w:rPr>
          <w:sz w:val="20"/>
          <w:szCs w:val="20"/>
        </w:rPr>
        <w:tab/>
      </w:r>
      <w:r w:rsidRPr="00BF032A">
        <w:rPr>
          <w:sz w:val="20"/>
          <w:szCs w:val="20"/>
        </w:rPr>
        <w:t>One alendronate patient experienced both a vertebral fracture and a non</w:t>
      </w:r>
      <w:r w:rsidR="00B51605">
        <w:rPr>
          <w:sz w:val="20"/>
          <w:szCs w:val="20"/>
        </w:rPr>
        <w:t>-</w:t>
      </w:r>
      <w:r w:rsidRPr="00BF032A">
        <w:rPr>
          <w:sz w:val="20"/>
          <w:szCs w:val="20"/>
        </w:rPr>
        <w:t xml:space="preserve">vertebral fracture. </w:t>
      </w:r>
    </w:p>
    <w:p w14:paraId="0CE43483" w14:textId="4EE4E1A1" w:rsidR="007B5895" w:rsidRDefault="007B5895" w:rsidP="00980EF6">
      <w:pPr>
        <w:pStyle w:val="NormalIndent1"/>
        <w:ind w:left="709" w:hanging="284"/>
        <w:jc w:val="left"/>
        <w:rPr>
          <w:sz w:val="20"/>
          <w:szCs w:val="20"/>
        </w:rPr>
      </w:pPr>
      <w:r w:rsidRPr="00E629E1">
        <w:rPr>
          <w:sz w:val="20"/>
          <w:szCs w:val="20"/>
          <w:vertAlign w:val="superscript"/>
        </w:rPr>
        <w:t>b</w:t>
      </w:r>
      <w:r w:rsidR="00B51605">
        <w:rPr>
          <w:sz w:val="20"/>
          <w:szCs w:val="20"/>
        </w:rPr>
        <w:tab/>
      </w:r>
      <w:r w:rsidRPr="00BF032A">
        <w:rPr>
          <w:sz w:val="20"/>
          <w:szCs w:val="20"/>
        </w:rPr>
        <w:t>Clinical vertebral fracture was defined as a radiographically confirmed fracture that was associated with symptoms such as back pain.</w:t>
      </w:r>
    </w:p>
    <w:p w14:paraId="2C888D50" w14:textId="70128BA3" w:rsidR="00D36442" w:rsidRDefault="004667B3" w:rsidP="00980EF6">
      <w:pPr>
        <w:pStyle w:val="Heading5"/>
        <w:jc w:val="left"/>
      </w:pPr>
      <w:r w:rsidRPr="00BF032A">
        <w:t>Effects on Markers of Bone Turnover</w:t>
      </w:r>
    </w:p>
    <w:p w14:paraId="189A3885" w14:textId="77777777" w:rsidR="00D36442" w:rsidRDefault="00D36442" w:rsidP="00980EF6">
      <w:pPr>
        <w:pStyle w:val="NormalIndent1"/>
        <w:jc w:val="left"/>
      </w:pPr>
    </w:p>
    <w:p w14:paraId="1DF6868E" w14:textId="24754CFC" w:rsidR="004667B3" w:rsidRPr="004667B3" w:rsidRDefault="004667B3" w:rsidP="00980EF6">
      <w:pPr>
        <w:pStyle w:val="NormalIndent1"/>
        <w:jc w:val="left"/>
      </w:pPr>
      <w:r>
        <w:t xml:space="preserve">In patients with glucocorticoid-induced osteoporosis, daily administration of </w:t>
      </w:r>
      <w:r w:rsidR="00884357">
        <w:rPr>
          <w:color w:val="000000" w:themeColor="text1"/>
        </w:rPr>
        <w:t>t</w:t>
      </w:r>
      <w:r w:rsidR="00884357" w:rsidRPr="00BF032A">
        <w:rPr>
          <w:color w:val="000000" w:themeColor="text1"/>
        </w:rPr>
        <w:t>eriparatide</w:t>
      </w:r>
      <w:r>
        <w:t xml:space="preserve"> stimulated new bone formation as shown by increases from baseline in the serum concentration of biochemical </w:t>
      </w:r>
      <w:r>
        <w:lastRenderedPageBreak/>
        <w:t xml:space="preserve">markers of bone formation including bone-specific alkaline phosphatase (BSAP), procollagen I carboxyterminal propeptide (PICP), and amino-terminal propeptide of type I collagen (PINP) (see </w:t>
      </w:r>
      <w:r w:rsidRPr="00E629E1">
        <w:rPr>
          <w:b/>
          <w:bCs/>
        </w:rPr>
        <w:t>Table 6</w:t>
      </w:r>
      <w:r>
        <w:t xml:space="preserve">). </w:t>
      </w:r>
      <w:r w:rsidR="00884357">
        <w:rPr>
          <w:color w:val="000000" w:themeColor="text1"/>
        </w:rPr>
        <w:t>T</w:t>
      </w:r>
      <w:r w:rsidR="00884357" w:rsidRPr="00BF032A">
        <w:rPr>
          <w:color w:val="000000" w:themeColor="text1"/>
        </w:rPr>
        <w:t>eriparatide</w:t>
      </w:r>
      <w:r>
        <w:t xml:space="preserve"> also stimulated bone resorption as shown by increases from baseline in serum concentrations of C-terminal telopeptide of type I collagen (CTX). Alendronate 10</w:t>
      </w:r>
      <w:r w:rsidR="00D36442">
        <w:t> </w:t>
      </w:r>
      <w:r>
        <w:t xml:space="preserve">mg/day induced decreases from baseline in the serum concentration of BSAP, PICP, PINP and CTX (see </w:t>
      </w:r>
      <w:r w:rsidRPr="00E629E1">
        <w:rPr>
          <w:b/>
          <w:bCs/>
        </w:rPr>
        <w:t>Table 6</w:t>
      </w:r>
      <w:r>
        <w:t xml:space="preserve">). The effects of </w:t>
      </w:r>
      <w:r w:rsidR="00884357">
        <w:rPr>
          <w:color w:val="000000" w:themeColor="text1"/>
        </w:rPr>
        <w:t>t</w:t>
      </w:r>
      <w:r w:rsidR="00884357" w:rsidRPr="00BF032A">
        <w:rPr>
          <w:color w:val="000000" w:themeColor="text1"/>
        </w:rPr>
        <w:t>eriparatide</w:t>
      </w:r>
      <w:r>
        <w:t xml:space="preserve"> on bone turnover markers in patients with glucocorticoid-induced osteoporosis were qualitatively similar to the effects in postmenopausal women with osteoporosis not taking glucocorticoids.</w:t>
      </w:r>
    </w:p>
    <w:p w14:paraId="3649F071" w14:textId="45742833" w:rsidR="007B5895" w:rsidRDefault="007B5895" w:rsidP="00980EF6">
      <w:pPr>
        <w:pStyle w:val="NormalIndent1"/>
        <w:jc w:val="left"/>
      </w:pPr>
    </w:p>
    <w:p w14:paraId="1436F955" w14:textId="43171CB0" w:rsidR="004667B3" w:rsidRDefault="004667B3" w:rsidP="00980EF6">
      <w:pPr>
        <w:pStyle w:val="NormalIndent1"/>
        <w:jc w:val="left"/>
        <w:rPr>
          <w:b/>
          <w:bCs/>
        </w:rPr>
      </w:pPr>
      <w:r w:rsidRPr="000D27A3">
        <w:rPr>
          <w:b/>
          <w:bCs/>
        </w:rPr>
        <w:t>Table 6: Median Percent Changes</w:t>
      </w:r>
      <w:r w:rsidRPr="000D27A3">
        <w:rPr>
          <w:b/>
          <w:bCs/>
          <w:vertAlign w:val="superscript"/>
        </w:rPr>
        <w:t xml:space="preserve">a,b </w:t>
      </w:r>
      <w:r w:rsidRPr="000D27A3">
        <w:rPr>
          <w:b/>
          <w:bCs/>
        </w:rPr>
        <w:t xml:space="preserve">from Baseline in Bone Biomarkers in Patients with Glucocorticoid-Induced Osteoporosis  </w:t>
      </w:r>
    </w:p>
    <w:p w14:paraId="4708C7A5" w14:textId="77777777" w:rsidR="000D27A3" w:rsidRPr="000D27A3" w:rsidRDefault="000D27A3" w:rsidP="00980EF6">
      <w:pPr>
        <w:pStyle w:val="NormalIndent1"/>
        <w:jc w:val="left"/>
        <w:rPr>
          <w:b/>
          <w:bCs/>
        </w:rPr>
      </w:pPr>
    </w:p>
    <w:tbl>
      <w:tblPr>
        <w:tblStyle w:val="TableGrid"/>
        <w:tblW w:w="9197" w:type="dxa"/>
        <w:tblInd w:w="425" w:type="dxa"/>
        <w:tblLayout w:type="fixed"/>
        <w:tblLook w:val="04A0" w:firstRow="1" w:lastRow="0" w:firstColumn="1" w:lastColumn="0" w:noHBand="0" w:noVBand="1"/>
      </w:tblPr>
      <w:tblGrid>
        <w:gridCol w:w="1261"/>
        <w:gridCol w:w="1134"/>
        <w:gridCol w:w="850"/>
        <w:gridCol w:w="1134"/>
        <w:gridCol w:w="850"/>
        <w:gridCol w:w="1134"/>
        <w:gridCol w:w="850"/>
        <w:gridCol w:w="1134"/>
        <w:gridCol w:w="850"/>
      </w:tblGrid>
      <w:tr w:rsidR="00D36442" w:rsidRPr="00D36442" w14:paraId="66D4327D" w14:textId="77777777" w:rsidTr="00555407">
        <w:tc>
          <w:tcPr>
            <w:tcW w:w="1261" w:type="dxa"/>
            <w:tcBorders>
              <w:top w:val="single" w:sz="12" w:space="0" w:color="auto"/>
              <w:left w:val="single" w:sz="12" w:space="0" w:color="auto"/>
              <w:bottom w:val="single" w:sz="12" w:space="0" w:color="auto"/>
              <w:right w:val="single" w:sz="12" w:space="0" w:color="auto"/>
            </w:tcBorders>
          </w:tcPr>
          <w:p w14:paraId="560E6A1A" w14:textId="77777777" w:rsidR="00D36442" w:rsidRPr="00D36442" w:rsidRDefault="00D36442" w:rsidP="00980EF6">
            <w:pPr>
              <w:pStyle w:val="NormalIndent1"/>
              <w:ind w:left="0"/>
              <w:jc w:val="left"/>
              <w:rPr>
                <w:rFonts w:cstheme="minorHAnsi"/>
                <w:b/>
                <w:bCs/>
                <w:sz w:val="20"/>
                <w:szCs w:val="20"/>
              </w:rPr>
            </w:pPr>
          </w:p>
        </w:tc>
        <w:tc>
          <w:tcPr>
            <w:tcW w:w="1984" w:type="dxa"/>
            <w:gridSpan w:val="2"/>
            <w:tcBorders>
              <w:top w:val="single" w:sz="12" w:space="0" w:color="auto"/>
              <w:left w:val="single" w:sz="12" w:space="0" w:color="auto"/>
              <w:bottom w:val="single" w:sz="12" w:space="0" w:color="auto"/>
              <w:right w:val="single" w:sz="12" w:space="0" w:color="auto"/>
            </w:tcBorders>
          </w:tcPr>
          <w:p w14:paraId="389319C3" w14:textId="785D59BC" w:rsidR="00D36442" w:rsidRPr="00D36442" w:rsidRDefault="00D36442" w:rsidP="00980EF6">
            <w:pPr>
              <w:pStyle w:val="NormalIndent1"/>
              <w:ind w:left="0"/>
              <w:jc w:val="left"/>
              <w:rPr>
                <w:rFonts w:cstheme="minorHAnsi"/>
                <w:b/>
                <w:bCs/>
                <w:sz w:val="20"/>
                <w:szCs w:val="20"/>
              </w:rPr>
            </w:pPr>
            <w:r w:rsidRPr="00884357">
              <w:rPr>
                <w:b/>
                <w:bCs/>
                <w:sz w:val="20"/>
                <w:szCs w:val="20"/>
              </w:rPr>
              <w:t>PINP µcg/L</w:t>
            </w:r>
          </w:p>
        </w:tc>
        <w:tc>
          <w:tcPr>
            <w:tcW w:w="1984" w:type="dxa"/>
            <w:gridSpan w:val="2"/>
            <w:tcBorders>
              <w:top w:val="single" w:sz="12" w:space="0" w:color="auto"/>
              <w:left w:val="single" w:sz="12" w:space="0" w:color="auto"/>
              <w:bottom w:val="single" w:sz="12" w:space="0" w:color="auto"/>
              <w:right w:val="single" w:sz="12" w:space="0" w:color="auto"/>
            </w:tcBorders>
          </w:tcPr>
          <w:p w14:paraId="610CC98B" w14:textId="6265E5CD" w:rsidR="00D36442" w:rsidRPr="00D36442" w:rsidRDefault="00D36442" w:rsidP="00980EF6">
            <w:pPr>
              <w:pStyle w:val="NormalIndent1"/>
              <w:ind w:left="0"/>
              <w:jc w:val="left"/>
              <w:rPr>
                <w:rFonts w:cstheme="minorHAnsi"/>
                <w:b/>
                <w:bCs/>
                <w:sz w:val="20"/>
                <w:szCs w:val="20"/>
              </w:rPr>
            </w:pPr>
            <w:r w:rsidRPr="00884357">
              <w:rPr>
                <w:b/>
                <w:bCs/>
                <w:sz w:val="20"/>
                <w:szCs w:val="20"/>
              </w:rPr>
              <w:t>BSAP µcg/L</w:t>
            </w:r>
          </w:p>
        </w:tc>
        <w:tc>
          <w:tcPr>
            <w:tcW w:w="1984" w:type="dxa"/>
            <w:gridSpan w:val="2"/>
            <w:tcBorders>
              <w:top w:val="single" w:sz="12" w:space="0" w:color="auto"/>
              <w:left w:val="single" w:sz="12" w:space="0" w:color="auto"/>
              <w:bottom w:val="single" w:sz="12" w:space="0" w:color="auto"/>
              <w:right w:val="single" w:sz="12" w:space="0" w:color="auto"/>
            </w:tcBorders>
          </w:tcPr>
          <w:p w14:paraId="13B7D7F7" w14:textId="2F795501" w:rsidR="00D36442" w:rsidRPr="00D36442" w:rsidRDefault="00D36442" w:rsidP="00980EF6">
            <w:pPr>
              <w:pStyle w:val="NormalIndent1"/>
              <w:ind w:left="0"/>
              <w:jc w:val="left"/>
              <w:rPr>
                <w:rFonts w:cstheme="minorHAnsi"/>
                <w:b/>
                <w:bCs/>
                <w:sz w:val="20"/>
                <w:szCs w:val="20"/>
              </w:rPr>
            </w:pPr>
            <w:r w:rsidRPr="00884357">
              <w:rPr>
                <w:b/>
                <w:bCs/>
                <w:sz w:val="20"/>
                <w:szCs w:val="20"/>
              </w:rPr>
              <w:t>PICP µcg/L</w:t>
            </w:r>
          </w:p>
        </w:tc>
        <w:tc>
          <w:tcPr>
            <w:tcW w:w="1984" w:type="dxa"/>
            <w:gridSpan w:val="2"/>
            <w:tcBorders>
              <w:top w:val="single" w:sz="12" w:space="0" w:color="auto"/>
              <w:left w:val="single" w:sz="12" w:space="0" w:color="auto"/>
              <w:bottom w:val="single" w:sz="12" w:space="0" w:color="auto"/>
              <w:right w:val="single" w:sz="12" w:space="0" w:color="auto"/>
            </w:tcBorders>
          </w:tcPr>
          <w:p w14:paraId="7C1904A5" w14:textId="5EC76BFB" w:rsidR="00D36442" w:rsidRPr="00D36442" w:rsidRDefault="00D36442" w:rsidP="00980EF6">
            <w:pPr>
              <w:pStyle w:val="NormalIndent1"/>
              <w:ind w:left="0"/>
              <w:jc w:val="left"/>
              <w:rPr>
                <w:rFonts w:cstheme="minorHAnsi"/>
                <w:b/>
                <w:bCs/>
                <w:sz w:val="20"/>
                <w:szCs w:val="20"/>
              </w:rPr>
            </w:pPr>
            <w:r w:rsidRPr="00884357">
              <w:rPr>
                <w:b/>
                <w:bCs/>
                <w:sz w:val="20"/>
                <w:szCs w:val="20"/>
              </w:rPr>
              <w:t>CTX pmol/L</w:t>
            </w:r>
          </w:p>
        </w:tc>
      </w:tr>
      <w:tr w:rsidR="00C6611B" w:rsidRPr="00D36442" w14:paraId="6AD457A4" w14:textId="77777777" w:rsidTr="00E629E1">
        <w:tc>
          <w:tcPr>
            <w:tcW w:w="1261" w:type="dxa"/>
            <w:tcBorders>
              <w:top w:val="single" w:sz="12" w:space="0" w:color="auto"/>
              <w:left w:val="single" w:sz="12" w:space="0" w:color="auto"/>
              <w:bottom w:val="single" w:sz="12" w:space="0" w:color="auto"/>
              <w:right w:val="single" w:sz="12" w:space="0" w:color="auto"/>
            </w:tcBorders>
          </w:tcPr>
          <w:p w14:paraId="5B6160E6" w14:textId="121B1F26" w:rsidR="004667B3" w:rsidRPr="00D36442" w:rsidRDefault="004667B3" w:rsidP="00980EF6">
            <w:pPr>
              <w:pStyle w:val="NormalIndent1"/>
              <w:ind w:left="0"/>
              <w:jc w:val="left"/>
              <w:rPr>
                <w:rFonts w:cstheme="minorHAnsi"/>
                <w:b/>
                <w:bCs/>
                <w:sz w:val="20"/>
                <w:szCs w:val="20"/>
              </w:rPr>
            </w:pPr>
            <w:r w:rsidRPr="00D36442">
              <w:rPr>
                <w:rFonts w:cstheme="minorHAnsi"/>
                <w:b/>
                <w:bCs/>
                <w:sz w:val="20"/>
                <w:szCs w:val="20"/>
              </w:rPr>
              <w:t>Treatment Duration</w:t>
            </w:r>
          </w:p>
        </w:tc>
        <w:tc>
          <w:tcPr>
            <w:tcW w:w="1134" w:type="dxa"/>
            <w:tcBorders>
              <w:top w:val="single" w:sz="12" w:space="0" w:color="auto"/>
              <w:left w:val="single" w:sz="12" w:space="0" w:color="auto"/>
              <w:bottom w:val="single" w:sz="12" w:space="0" w:color="auto"/>
              <w:right w:val="single" w:sz="12" w:space="0" w:color="auto"/>
            </w:tcBorders>
          </w:tcPr>
          <w:p w14:paraId="41CF34D7" w14:textId="68B46E2B" w:rsidR="004667B3" w:rsidRPr="00D36442" w:rsidRDefault="00884357" w:rsidP="00980EF6">
            <w:pPr>
              <w:pStyle w:val="NormalIndent1"/>
              <w:ind w:left="-113" w:right="-113"/>
              <w:jc w:val="left"/>
              <w:rPr>
                <w:rFonts w:cstheme="minorHAnsi"/>
                <w:b/>
                <w:bCs/>
                <w:sz w:val="20"/>
                <w:szCs w:val="20"/>
              </w:rPr>
            </w:pPr>
            <w:r w:rsidRPr="00D36442">
              <w:rPr>
                <w:rFonts w:cstheme="minorHAnsi"/>
                <w:b/>
                <w:bCs/>
                <w:sz w:val="20"/>
                <w:szCs w:val="20"/>
              </w:rPr>
              <w:t>Teriparatide</w:t>
            </w:r>
          </w:p>
        </w:tc>
        <w:tc>
          <w:tcPr>
            <w:tcW w:w="850" w:type="dxa"/>
            <w:tcBorders>
              <w:top w:val="single" w:sz="12" w:space="0" w:color="auto"/>
              <w:left w:val="single" w:sz="12" w:space="0" w:color="auto"/>
              <w:bottom w:val="single" w:sz="12" w:space="0" w:color="auto"/>
              <w:right w:val="single" w:sz="12" w:space="0" w:color="auto"/>
            </w:tcBorders>
          </w:tcPr>
          <w:p w14:paraId="452AFB6A" w14:textId="3FB74F23" w:rsidR="004667B3" w:rsidRPr="00D36442" w:rsidRDefault="004667B3" w:rsidP="00980EF6">
            <w:pPr>
              <w:pStyle w:val="NormalIndent1"/>
              <w:ind w:left="-113" w:right="-113"/>
              <w:jc w:val="left"/>
              <w:rPr>
                <w:rFonts w:cstheme="minorHAnsi"/>
                <w:b/>
                <w:bCs/>
                <w:sz w:val="20"/>
                <w:szCs w:val="20"/>
              </w:rPr>
            </w:pPr>
            <w:r w:rsidRPr="00D36442">
              <w:rPr>
                <w:rFonts w:cstheme="minorHAnsi"/>
                <w:b/>
                <w:bCs/>
                <w:sz w:val="20"/>
                <w:szCs w:val="20"/>
              </w:rPr>
              <w:t>ALN</w:t>
            </w:r>
          </w:p>
        </w:tc>
        <w:tc>
          <w:tcPr>
            <w:tcW w:w="1134" w:type="dxa"/>
            <w:tcBorders>
              <w:top w:val="single" w:sz="12" w:space="0" w:color="auto"/>
              <w:left w:val="single" w:sz="12" w:space="0" w:color="auto"/>
              <w:bottom w:val="single" w:sz="12" w:space="0" w:color="auto"/>
              <w:right w:val="single" w:sz="12" w:space="0" w:color="auto"/>
            </w:tcBorders>
          </w:tcPr>
          <w:p w14:paraId="1CFBED26" w14:textId="6CF3467A" w:rsidR="004667B3" w:rsidRPr="00D36442" w:rsidRDefault="00884357" w:rsidP="00980EF6">
            <w:pPr>
              <w:pStyle w:val="NormalIndent1"/>
              <w:ind w:left="-113" w:right="-113"/>
              <w:jc w:val="left"/>
              <w:rPr>
                <w:rFonts w:cstheme="minorHAnsi"/>
                <w:b/>
                <w:bCs/>
                <w:sz w:val="20"/>
                <w:szCs w:val="20"/>
              </w:rPr>
            </w:pPr>
            <w:r w:rsidRPr="00D36442">
              <w:rPr>
                <w:rFonts w:cstheme="minorHAnsi"/>
                <w:b/>
                <w:bCs/>
                <w:sz w:val="20"/>
                <w:szCs w:val="20"/>
              </w:rPr>
              <w:t>Teriparatide</w:t>
            </w:r>
          </w:p>
        </w:tc>
        <w:tc>
          <w:tcPr>
            <w:tcW w:w="850" w:type="dxa"/>
            <w:tcBorders>
              <w:top w:val="single" w:sz="12" w:space="0" w:color="auto"/>
              <w:left w:val="single" w:sz="12" w:space="0" w:color="auto"/>
              <w:bottom w:val="single" w:sz="12" w:space="0" w:color="auto"/>
              <w:right w:val="single" w:sz="12" w:space="0" w:color="auto"/>
            </w:tcBorders>
          </w:tcPr>
          <w:p w14:paraId="07C583E7" w14:textId="119FD934" w:rsidR="004667B3" w:rsidRPr="00D36442" w:rsidRDefault="004667B3" w:rsidP="00980EF6">
            <w:pPr>
              <w:pStyle w:val="NormalIndent1"/>
              <w:ind w:left="-113" w:right="-113"/>
              <w:jc w:val="left"/>
              <w:rPr>
                <w:rFonts w:cstheme="minorHAnsi"/>
                <w:b/>
                <w:bCs/>
                <w:sz w:val="20"/>
                <w:szCs w:val="20"/>
              </w:rPr>
            </w:pPr>
            <w:r w:rsidRPr="00D36442">
              <w:rPr>
                <w:rFonts w:cstheme="minorHAnsi"/>
                <w:b/>
                <w:bCs/>
                <w:sz w:val="20"/>
                <w:szCs w:val="20"/>
              </w:rPr>
              <w:t>ALN</w:t>
            </w:r>
          </w:p>
        </w:tc>
        <w:tc>
          <w:tcPr>
            <w:tcW w:w="1134" w:type="dxa"/>
            <w:tcBorders>
              <w:top w:val="single" w:sz="12" w:space="0" w:color="auto"/>
              <w:left w:val="single" w:sz="12" w:space="0" w:color="auto"/>
              <w:bottom w:val="single" w:sz="12" w:space="0" w:color="auto"/>
              <w:right w:val="single" w:sz="12" w:space="0" w:color="auto"/>
            </w:tcBorders>
          </w:tcPr>
          <w:p w14:paraId="3F61F821" w14:textId="4BE3B4E0" w:rsidR="004667B3" w:rsidRPr="00D36442" w:rsidRDefault="00884357" w:rsidP="00980EF6">
            <w:pPr>
              <w:pStyle w:val="NormalIndent1"/>
              <w:ind w:left="-113" w:right="-113"/>
              <w:jc w:val="left"/>
              <w:rPr>
                <w:rFonts w:cstheme="minorHAnsi"/>
                <w:b/>
                <w:bCs/>
                <w:sz w:val="20"/>
                <w:szCs w:val="20"/>
              </w:rPr>
            </w:pPr>
            <w:r w:rsidRPr="00D36442">
              <w:rPr>
                <w:rFonts w:cstheme="minorHAnsi"/>
                <w:b/>
                <w:bCs/>
                <w:sz w:val="20"/>
                <w:szCs w:val="20"/>
              </w:rPr>
              <w:t>Teriparatid</w:t>
            </w:r>
            <w:r w:rsidR="00D36442">
              <w:rPr>
                <w:rFonts w:cstheme="minorHAnsi"/>
                <w:b/>
                <w:bCs/>
                <w:sz w:val="20"/>
                <w:szCs w:val="20"/>
              </w:rPr>
              <w:t>e</w:t>
            </w:r>
          </w:p>
        </w:tc>
        <w:tc>
          <w:tcPr>
            <w:tcW w:w="850" w:type="dxa"/>
            <w:tcBorders>
              <w:top w:val="single" w:sz="12" w:space="0" w:color="auto"/>
              <w:left w:val="single" w:sz="12" w:space="0" w:color="auto"/>
              <w:bottom w:val="single" w:sz="12" w:space="0" w:color="auto"/>
              <w:right w:val="single" w:sz="12" w:space="0" w:color="auto"/>
            </w:tcBorders>
          </w:tcPr>
          <w:p w14:paraId="2C78E135" w14:textId="0E6E9FFA" w:rsidR="004667B3" w:rsidRPr="00D36442" w:rsidRDefault="004667B3" w:rsidP="00980EF6">
            <w:pPr>
              <w:pStyle w:val="NormalIndent1"/>
              <w:ind w:left="-113" w:right="-113"/>
              <w:jc w:val="left"/>
              <w:rPr>
                <w:rFonts w:cstheme="minorHAnsi"/>
                <w:b/>
                <w:bCs/>
                <w:sz w:val="20"/>
                <w:szCs w:val="20"/>
              </w:rPr>
            </w:pPr>
            <w:r w:rsidRPr="00D36442">
              <w:rPr>
                <w:rFonts w:cstheme="minorHAnsi"/>
                <w:b/>
                <w:bCs/>
                <w:sz w:val="20"/>
                <w:szCs w:val="20"/>
              </w:rPr>
              <w:t>ALN</w:t>
            </w:r>
          </w:p>
        </w:tc>
        <w:tc>
          <w:tcPr>
            <w:tcW w:w="1134" w:type="dxa"/>
            <w:tcBorders>
              <w:top w:val="single" w:sz="12" w:space="0" w:color="auto"/>
              <w:left w:val="single" w:sz="12" w:space="0" w:color="auto"/>
              <w:bottom w:val="single" w:sz="12" w:space="0" w:color="auto"/>
              <w:right w:val="single" w:sz="12" w:space="0" w:color="auto"/>
            </w:tcBorders>
          </w:tcPr>
          <w:p w14:paraId="34647237" w14:textId="799EC745" w:rsidR="004667B3" w:rsidRPr="00D36442" w:rsidRDefault="00884357" w:rsidP="00980EF6">
            <w:pPr>
              <w:pStyle w:val="NormalIndent1"/>
              <w:ind w:left="-113" w:right="-113"/>
              <w:jc w:val="left"/>
              <w:rPr>
                <w:rFonts w:cstheme="minorHAnsi"/>
                <w:b/>
                <w:bCs/>
                <w:sz w:val="20"/>
                <w:szCs w:val="20"/>
              </w:rPr>
            </w:pPr>
            <w:r w:rsidRPr="00D36442">
              <w:rPr>
                <w:rFonts w:cstheme="minorHAnsi"/>
                <w:b/>
                <w:bCs/>
                <w:sz w:val="20"/>
                <w:szCs w:val="20"/>
              </w:rPr>
              <w:t>Teriparatide</w:t>
            </w:r>
          </w:p>
        </w:tc>
        <w:tc>
          <w:tcPr>
            <w:tcW w:w="850" w:type="dxa"/>
            <w:tcBorders>
              <w:top w:val="single" w:sz="12" w:space="0" w:color="auto"/>
              <w:left w:val="single" w:sz="12" w:space="0" w:color="auto"/>
              <w:bottom w:val="single" w:sz="12" w:space="0" w:color="auto"/>
              <w:right w:val="single" w:sz="12" w:space="0" w:color="auto"/>
            </w:tcBorders>
          </w:tcPr>
          <w:p w14:paraId="0C7E7828" w14:textId="5B0FF674" w:rsidR="004667B3" w:rsidRPr="00D36442" w:rsidRDefault="004667B3" w:rsidP="00980EF6">
            <w:pPr>
              <w:pStyle w:val="NormalIndent1"/>
              <w:ind w:left="-113" w:right="-113"/>
              <w:jc w:val="left"/>
              <w:rPr>
                <w:rFonts w:cstheme="minorHAnsi"/>
                <w:b/>
                <w:bCs/>
                <w:sz w:val="20"/>
                <w:szCs w:val="20"/>
              </w:rPr>
            </w:pPr>
            <w:r w:rsidRPr="00D36442">
              <w:rPr>
                <w:rFonts w:cstheme="minorHAnsi"/>
                <w:b/>
                <w:bCs/>
                <w:sz w:val="20"/>
                <w:szCs w:val="20"/>
              </w:rPr>
              <w:t>ALN</w:t>
            </w:r>
          </w:p>
        </w:tc>
      </w:tr>
      <w:tr w:rsidR="00C6611B" w:rsidRPr="00D36442" w14:paraId="38B67FB3" w14:textId="77777777" w:rsidTr="00E629E1">
        <w:tc>
          <w:tcPr>
            <w:tcW w:w="1261" w:type="dxa"/>
            <w:tcBorders>
              <w:top w:val="single" w:sz="12" w:space="0" w:color="auto"/>
            </w:tcBorders>
          </w:tcPr>
          <w:p w14:paraId="6F3328DC" w14:textId="3388F4BD" w:rsidR="004667B3" w:rsidRPr="00D36442" w:rsidRDefault="004667B3" w:rsidP="00980EF6">
            <w:pPr>
              <w:pStyle w:val="NormalIndent1"/>
              <w:ind w:left="0"/>
              <w:jc w:val="left"/>
              <w:rPr>
                <w:rFonts w:cstheme="minorHAnsi"/>
                <w:sz w:val="20"/>
                <w:szCs w:val="20"/>
              </w:rPr>
            </w:pPr>
            <w:r w:rsidRPr="00D36442">
              <w:rPr>
                <w:rFonts w:cstheme="minorHAnsi"/>
                <w:sz w:val="20"/>
                <w:szCs w:val="20"/>
              </w:rPr>
              <w:t xml:space="preserve">1 month </w:t>
            </w:r>
          </w:p>
        </w:tc>
        <w:tc>
          <w:tcPr>
            <w:tcW w:w="1134" w:type="dxa"/>
            <w:tcBorders>
              <w:top w:val="single" w:sz="12" w:space="0" w:color="auto"/>
            </w:tcBorders>
          </w:tcPr>
          <w:p w14:paraId="18B36A8C" w14:textId="12CE1BA2" w:rsidR="004667B3" w:rsidRPr="00D36442" w:rsidRDefault="004667B3" w:rsidP="00980EF6">
            <w:pPr>
              <w:pStyle w:val="NormalIndent1"/>
              <w:ind w:left="0"/>
              <w:jc w:val="left"/>
              <w:rPr>
                <w:rFonts w:cstheme="minorHAnsi"/>
                <w:sz w:val="20"/>
                <w:szCs w:val="20"/>
              </w:rPr>
            </w:pPr>
            <w:r w:rsidRPr="00D36442">
              <w:rPr>
                <w:rFonts w:cstheme="minorHAnsi"/>
                <w:sz w:val="20"/>
                <w:szCs w:val="20"/>
              </w:rPr>
              <w:t>65</w:t>
            </w:r>
          </w:p>
        </w:tc>
        <w:tc>
          <w:tcPr>
            <w:tcW w:w="850" w:type="dxa"/>
            <w:tcBorders>
              <w:top w:val="single" w:sz="12" w:space="0" w:color="auto"/>
            </w:tcBorders>
          </w:tcPr>
          <w:p w14:paraId="360B429E" w14:textId="0806BFAB" w:rsidR="004667B3" w:rsidRPr="00D36442" w:rsidRDefault="004667B3" w:rsidP="00980EF6">
            <w:pPr>
              <w:pStyle w:val="NormalIndent1"/>
              <w:ind w:left="0"/>
              <w:jc w:val="left"/>
              <w:rPr>
                <w:rFonts w:cstheme="minorHAnsi"/>
                <w:sz w:val="20"/>
                <w:szCs w:val="20"/>
              </w:rPr>
            </w:pPr>
            <w:r w:rsidRPr="00D36442">
              <w:rPr>
                <w:rFonts w:cstheme="minorHAnsi"/>
                <w:sz w:val="20"/>
                <w:szCs w:val="20"/>
              </w:rPr>
              <w:t>-18</w:t>
            </w:r>
          </w:p>
        </w:tc>
        <w:tc>
          <w:tcPr>
            <w:tcW w:w="1134" w:type="dxa"/>
            <w:tcBorders>
              <w:top w:val="single" w:sz="12" w:space="0" w:color="auto"/>
            </w:tcBorders>
          </w:tcPr>
          <w:p w14:paraId="6907855B" w14:textId="05F3B4E1" w:rsidR="004667B3" w:rsidRPr="00D36442" w:rsidRDefault="004667B3" w:rsidP="00980EF6">
            <w:pPr>
              <w:pStyle w:val="NormalIndent1"/>
              <w:ind w:left="0"/>
              <w:jc w:val="left"/>
              <w:rPr>
                <w:rFonts w:cstheme="minorHAnsi"/>
                <w:sz w:val="20"/>
                <w:szCs w:val="20"/>
              </w:rPr>
            </w:pPr>
            <w:r w:rsidRPr="00D36442">
              <w:rPr>
                <w:rFonts w:cstheme="minorHAnsi"/>
                <w:sz w:val="20"/>
                <w:szCs w:val="20"/>
              </w:rPr>
              <w:t>19</w:t>
            </w:r>
          </w:p>
        </w:tc>
        <w:tc>
          <w:tcPr>
            <w:tcW w:w="850" w:type="dxa"/>
            <w:tcBorders>
              <w:top w:val="single" w:sz="12" w:space="0" w:color="auto"/>
            </w:tcBorders>
          </w:tcPr>
          <w:p w14:paraId="6093EBB8" w14:textId="716EC03A" w:rsidR="004667B3" w:rsidRPr="00D36442" w:rsidRDefault="004667B3" w:rsidP="00980EF6">
            <w:pPr>
              <w:pStyle w:val="NormalIndent1"/>
              <w:ind w:left="0"/>
              <w:jc w:val="left"/>
              <w:rPr>
                <w:rFonts w:cstheme="minorHAnsi"/>
                <w:sz w:val="20"/>
                <w:szCs w:val="20"/>
              </w:rPr>
            </w:pPr>
            <w:r w:rsidRPr="00D36442">
              <w:rPr>
                <w:rFonts w:cstheme="minorHAnsi"/>
                <w:sz w:val="20"/>
                <w:szCs w:val="20"/>
              </w:rPr>
              <w:t>-5</w:t>
            </w:r>
          </w:p>
        </w:tc>
        <w:tc>
          <w:tcPr>
            <w:tcW w:w="1134" w:type="dxa"/>
            <w:tcBorders>
              <w:top w:val="single" w:sz="12" w:space="0" w:color="auto"/>
            </w:tcBorders>
          </w:tcPr>
          <w:p w14:paraId="25C6CEC2" w14:textId="40D15C85" w:rsidR="004667B3" w:rsidRPr="00D36442" w:rsidRDefault="004667B3" w:rsidP="00980EF6">
            <w:pPr>
              <w:pStyle w:val="NormalIndent1"/>
              <w:ind w:left="0"/>
              <w:jc w:val="left"/>
              <w:rPr>
                <w:rFonts w:cstheme="minorHAnsi"/>
                <w:sz w:val="20"/>
                <w:szCs w:val="20"/>
              </w:rPr>
            </w:pPr>
            <w:r w:rsidRPr="00D36442">
              <w:rPr>
                <w:rFonts w:cstheme="minorHAnsi"/>
                <w:sz w:val="20"/>
                <w:szCs w:val="20"/>
              </w:rPr>
              <w:t>36</w:t>
            </w:r>
          </w:p>
        </w:tc>
        <w:tc>
          <w:tcPr>
            <w:tcW w:w="850" w:type="dxa"/>
            <w:tcBorders>
              <w:top w:val="single" w:sz="12" w:space="0" w:color="auto"/>
            </w:tcBorders>
          </w:tcPr>
          <w:p w14:paraId="56F6A4F1" w14:textId="3AD72013" w:rsidR="004667B3" w:rsidRPr="00D36442" w:rsidRDefault="004667B3" w:rsidP="00980EF6">
            <w:pPr>
              <w:pStyle w:val="NormalIndent1"/>
              <w:ind w:left="0"/>
              <w:jc w:val="left"/>
              <w:rPr>
                <w:rFonts w:cstheme="minorHAnsi"/>
                <w:sz w:val="20"/>
                <w:szCs w:val="20"/>
              </w:rPr>
            </w:pPr>
            <w:r w:rsidRPr="00D36442">
              <w:rPr>
                <w:rFonts w:cstheme="minorHAnsi"/>
                <w:sz w:val="20"/>
                <w:szCs w:val="20"/>
              </w:rPr>
              <w:t>-12</w:t>
            </w:r>
          </w:p>
        </w:tc>
        <w:tc>
          <w:tcPr>
            <w:tcW w:w="1134" w:type="dxa"/>
            <w:tcBorders>
              <w:top w:val="single" w:sz="12" w:space="0" w:color="auto"/>
            </w:tcBorders>
          </w:tcPr>
          <w:p w14:paraId="4F22A1CB" w14:textId="69F656DC" w:rsidR="004667B3" w:rsidRPr="00D36442" w:rsidRDefault="004667B3" w:rsidP="00980EF6">
            <w:pPr>
              <w:pStyle w:val="NormalIndent1"/>
              <w:ind w:left="0"/>
              <w:jc w:val="left"/>
              <w:rPr>
                <w:rFonts w:cstheme="minorHAnsi"/>
                <w:sz w:val="20"/>
                <w:szCs w:val="20"/>
              </w:rPr>
            </w:pPr>
            <w:r w:rsidRPr="00D36442">
              <w:rPr>
                <w:rFonts w:cstheme="minorHAnsi"/>
                <w:sz w:val="20"/>
                <w:szCs w:val="20"/>
              </w:rPr>
              <w:t>12</w:t>
            </w:r>
          </w:p>
        </w:tc>
        <w:tc>
          <w:tcPr>
            <w:tcW w:w="850" w:type="dxa"/>
            <w:tcBorders>
              <w:top w:val="single" w:sz="12" w:space="0" w:color="auto"/>
            </w:tcBorders>
          </w:tcPr>
          <w:p w14:paraId="7EA5C654" w14:textId="2A6F2D96" w:rsidR="004667B3" w:rsidRPr="00D36442" w:rsidRDefault="004667B3" w:rsidP="00980EF6">
            <w:pPr>
              <w:pStyle w:val="NormalIndent1"/>
              <w:ind w:left="0"/>
              <w:jc w:val="left"/>
              <w:rPr>
                <w:rFonts w:cstheme="minorHAnsi"/>
                <w:sz w:val="20"/>
                <w:szCs w:val="20"/>
              </w:rPr>
            </w:pPr>
            <w:r w:rsidRPr="00D36442">
              <w:rPr>
                <w:rFonts w:cstheme="minorHAnsi"/>
                <w:sz w:val="20"/>
                <w:szCs w:val="20"/>
              </w:rPr>
              <w:t>-46</w:t>
            </w:r>
          </w:p>
        </w:tc>
      </w:tr>
      <w:tr w:rsidR="00C6611B" w:rsidRPr="00D36442" w14:paraId="724A2DE5" w14:textId="77777777" w:rsidTr="00E629E1">
        <w:tc>
          <w:tcPr>
            <w:tcW w:w="1261" w:type="dxa"/>
          </w:tcPr>
          <w:p w14:paraId="4C4DC12E" w14:textId="23C2C4E4" w:rsidR="004667B3" w:rsidRPr="00D36442" w:rsidRDefault="004667B3" w:rsidP="00980EF6">
            <w:pPr>
              <w:pStyle w:val="NormalIndent1"/>
              <w:ind w:left="0"/>
              <w:jc w:val="left"/>
              <w:rPr>
                <w:rFonts w:cstheme="minorHAnsi"/>
                <w:sz w:val="20"/>
                <w:szCs w:val="20"/>
              </w:rPr>
            </w:pPr>
            <w:r w:rsidRPr="00D36442">
              <w:rPr>
                <w:rFonts w:cstheme="minorHAnsi"/>
                <w:sz w:val="20"/>
                <w:szCs w:val="20"/>
              </w:rPr>
              <w:t xml:space="preserve">6 month </w:t>
            </w:r>
          </w:p>
        </w:tc>
        <w:tc>
          <w:tcPr>
            <w:tcW w:w="1134" w:type="dxa"/>
          </w:tcPr>
          <w:p w14:paraId="5DF8E2AB" w14:textId="06348A0B" w:rsidR="004667B3" w:rsidRPr="00D36442" w:rsidRDefault="004667B3" w:rsidP="00980EF6">
            <w:pPr>
              <w:pStyle w:val="NormalIndent1"/>
              <w:ind w:left="0"/>
              <w:jc w:val="left"/>
              <w:rPr>
                <w:rFonts w:cstheme="minorHAnsi"/>
                <w:sz w:val="20"/>
                <w:szCs w:val="20"/>
              </w:rPr>
            </w:pPr>
            <w:r w:rsidRPr="00D36442">
              <w:rPr>
                <w:rFonts w:cstheme="minorHAnsi"/>
                <w:sz w:val="20"/>
                <w:szCs w:val="20"/>
              </w:rPr>
              <w:t>67</w:t>
            </w:r>
          </w:p>
        </w:tc>
        <w:tc>
          <w:tcPr>
            <w:tcW w:w="850" w:type="dxa"/>
          </w:tcPr>
          <w:p w14:paraId="301C959C" w14:textId="28A08477" w:rsidR="004667B3" w:rsidRPr="00D36442" w:rsidRDefault="004667B3" w:rsidP="00980EF6">
            <w:pPr>
              <w:pStyle w:val="NormalIndent1"/>
              <w:ind w:left="0"/>
              <w:jc w:val="left"/>
              <w:rPr>
                <w:rFonts w:cstheme="minorHAnsi"/>
                <w:sz w:val="20"/>
                <w:szCs w:val="20"/>
              </w:rPr>
            </w:pPr>
            <w:r w:rsidRPr="00D36442">
              <w:rPr>
                <w:rFonts w:cstheme="minorHAnsi"/>
                <w:sz w:val="20"/>
                <w:szCs w:val="20"/>
              </w:rPr>
              <w:t>-50</w:t>
            </w:r>
          </w:p>
        </w:tc>
        <w:tc>
          <w:tcPr>
            <w:tcW w:w="1134" w:type="dxa"/>
          </w:tcPr>
          <w:p w14:paraId="53A45331" w14:textId="3106931C" w:rsidR="004667B3" w:rsidRPr="00D36442" w:rsidRDefault="004667B3" w:rsidP="00980EF6">
            <w:pPr>
              <w:pStyle w:val="NormalIndent1"/>
              <w:ind w:left="0"/>
              <w:jc w:val="left"/>
              <w:rPr>
                <w:rFonts w:cstheme="minorHAnsi"/>
                <w:sz w:val="20"/>
                <w:szCs w:val="20"/>
              </w:rPr>
            </w:pPr>
            <w:r w:rsidRPr="00D36442">
              <w:rPr>
                <w:rFonts w:cstheme="minorHAnsi"/>
                <w:sz w:val="20"/>
                <w:szCs w:val="20"/>
              </w:rPr>
              <w:t>31</w:t>
            </w:r>
          </w:p>
        </w:tc>
        <w:tc>
          <w:tcPr>
            <w:tcW w:w="850" w:type="dxa"/>
          </w:tcPr>
          <w:p w14:paraId="6218709D" w14:textId="644676C1" w:rsidR="004667B3" w:rsidRPr="00D36442" w:rsidRDefault="004667B3" w:rsidP="00980EF6">
            <w:pPr>
              <w:pStyle w:val="NormalIndent1"/>
              <w:ind w:left="0"/>
              <w:jc w:val="left"/>
              <w:rPr>
                <w:rFonts w:cstheme="minorHAnsi"/>
                <w:sz w:val="20"/>
                <w:szCs w:val="20"/>
              </w:rPr>
            </w:pPr>
            <w:r w:rsidRPr="00D36442">
              <w:rPr>
                <w:rFonts w:cstheme="minorHAnsi"/>
                <w:sz w:val="20"/>
                <w:szCs w:val="20"/>
              </w:rPr>
              <w:t>-20</w:t>
            </w:r>
          </w:p>
        </w:tc>
        <w:tc>
          <w:tcPr>
            <w:tcW w:w="1134" w:type="dxa"/>
          </w:tcPr>
          <w:p w14:paraId="5EA533DD" w14:textId="7E46C54B" w:rsidR="004667B3" w:rsidRPr="00D36442" w:rsidRDefault="004667B3" w:rsidP="00980EF6">
            <w:pPr>
              <w:pStyle w:val="NormalIndent1"/>
              <w:ind w:left="0"/>
              <w:jc w:val="left"/>
              <w:rPr>
                <w:rFonts w:cstheme="minorHAnsi"/>
                <w:sz w:val="20"/>
                <w:szCs w:val="20"/>
              </w:rPr>
            </w:pPr>
            <w:r w:rsidRPr="00D36442">
              <w:rPr>
                <w:rFonts w:cstheme="minorHAnsi"/>
                <w:sz w:val="20"/>
                <w:szCs w:val="20"/>
              </w:rPr>
              <w:t>0</w:t>
            </w:r>
          </w:p>
        </w:tc>
        <w:tc>
          <w:tcPr>
            <w:tcW w:w="850" w:type="dxa"/>
          </w:tcPr>
          <w:p w14:paraId="02C396A8" w14:textId="7C0BBFC2" w:rsidR="004667B3" w:rsidRPr="00D36442" w:rsidRDefault="004667B3" w:rsidP="00980EF6">
            <w:pPr>
              <w:pStyle w:val="NormalIndent1"/>
              <w:ind w:left="0"/>
              <w:jc w:val="left"/>
              <w:rPr>
                <w:rFonts w:cstheme="minorHAnsi"/>
                <w:sz w:val="20"/>
                <w:szCs w:val="20"/>
              </w:rPr>
            </w:pPr>
            <w:r w:rsidRPr="00D36442">
              <w:rPr>
                <w:rFonts w:cstheme="minorHAnsi"/>
                <w:sz w:val="20"/>
                <w:szCs w:val="20"/>
              </w:rPr>
              <w:t>-27</w:t>
            </w:r>
          </w:p>
        </w:tc>
        <w:tc>
          <w:tcPr>
            <w:tcW w:w="1134" w:type="dxa"/>
          </w:tcPr>
          <w:p w14:paraId="247757B1" w14:textId="69C87CDF" w:rsidR="004667B3" w:rsidRPr="00D36442" w:rsidRDefault="004667B3" w:rsidP="00980EF6">
            <w:pPr>
              <w:pStyle w:val="NormalIndent1"/>
              <w:ind w:left="0"/>
              <w:jc w:val="left"/>
              <w:rPr>
                <w:rFonts w:cstheme="minorHAnsi"/>
                <w:sz w:val="20"/>
                <w:szCs w:val="20"/>
              </w:rPr>
            </w:pPr>
            <w:r w:rsidRPr="00D36442">
              <w:rPr>
                <w:rFonts w:cstheme="minorHAnsi"/>
                <w:sz w:val="20"/>
                <w:szCs w:val="20"/>
              </w:rPr>
              <w:t>45</w:t>
            </w:r>
          </w:p>
        </w:tc>
        <w:tc>
          <w:tcPr>
            <w:tcW w:w="850" w:type="dxa"/>
          </w:tcPr>
          <w:p w14:paraId="116BDEAC" w14:textId="4B6B598B" w:rsidR="004667B3" w:rsidRPr="00D36442" w:rsidRDefault="004667B3" w:rsidP="00980EF6">
            <w:pPr>
              <w:pStyle w:val="NormalIndent1"/>
              <w:ind w:left="0"/>
              <w:jc w:val="left"/>
              <w:rPr>
                <w:rFonts w:cstheme="minorHAnsi"/>
                <w:sz w:val="20"/>
                <w:szCs w:val="20"/>
              </w:rPr>
            </w:pPr>
            <w:r w:rsidRPr="00D36442">
              <w:rPr>
                <w:rFonts w:cstheme="minorHAnsi"/>
                <w:sz w:val="20"/>
                <w:szCs w:val="20"/>
              </w:rPr>
              <w:t>-56</w:t>
            </w:r>
          </w:p>
        </w:tc>
      </w:tr>
      <w:tr w:rsidR="00C6611B" w:rsidRPr="00D36442" w14:paraId="68BF93E0" w14:textId="77777777" w:rsidTr="00E629E1">
        <w:tc>
          <w:tcPr>
            <w:tcW w:w="1261" w:type="dxa"/>
          </w:tcPr>
          <w:p w14:paraId="22CF99FD" w14:textId="7B20DDC2" w:rsidR="004667B3" w:rsidRPr="00D36442" w:rsidRDefault="004667B3" w:rsidP="00980EF6">
            <w:pPr>
              <w:pStyle w:val="NormalIndent1"/>
              <w:ind w:left="0"/>
              <w:jc w:val="left"/>
              <w:rPr>
                <w:rFonts w:cstheme="minorHAnsi"/>
                <w:sz w:val="20"/>
                <w:szCs w:val="20"/>
              </w:rPr>
            </w:pPr>
            <w:r w:rsidRPr="00D36442">
              <w:rPr>
                <w:rFonts w:cstheme="minorHAnsi"/>
                <w:sz w:val="20"/>
                <w:szCs w:val="20"/>
              </w:rPr>
              <w:t xml:space="preserve">18 month </w:t>
            </w:r>
          </w:p>
        </w:tc>
        <w:tc>
          <w:tcPr>
            <w:tcW w:w="1134" w:type="dxa"/>
          </w:tcPr>
          <w:p w14:paraId="115332B0" w14:textId="7056FDDD" w:rsidR="004667B3" w:rsidRPr="00D36442" w:rsidRDefault="004667B3" w:rsidP="00980EF6">
            <w:pPr>
              <w:pStyle w:val="NormalIndent1"/>
              <w:ind w:left="0"/>
              <w:jc w:val="left"/>
              <w:rPr>
                <w:rFonts w:cstheme="minorHAnsi"/>
                <w:sz w:val="20"/>
                <w:szCs w:val="20"/>
              </w:rPr>
            </w:pPr>
            <w:r w:rsidRPr="00D36442">
              <w:rPr>
                <w:rFonts w:cstheme="minorHAnsi"/>
                <w:sz w:val="20"/>
                <w:szCs w:val="20"/>
              </w:rPr>
              <w:t>36</w:t>
            </w:r>
          </w:p>
        </w:tc>
        <w:tc>
          <w:tcPr>
            <w:tcW w:w="850" w:type="dxa"/>
          </w:tcPr>
          <w:p w14:paraId="3FCC511F" w14:textId="5455F55B" w:rsidR="004667B3" w:rsidRPr="00D36442" w:rsidRDefault="004667B3" w:rsidP="00980EF6">
            <w:pPr>
              <w:pStyle w:val="NormalIndent1"/>
              <w:ind w:left="0"/>
              <w:jc w:val="left"/>
              <w:rPr>
                <w:rFonts w:cstheme="minorHAnsi"/>
                <w:sz w:val="20"/>
                <w:szCs w:val="20"/>
              </w:rPr>
            </w:pPr>
            <w:r w:rsidRPr="00D36442">
              <w:rPr>
                <w:rFonts w:cstheme="minorHAnsi"/>
                <w:sz w:val="20"/>
                <w:szCs w:val="20"/>
              </w:rPr>
              <w:t>-48</w:t>
            </w:r>
          </w:p>
        </w:tc>
        <w:tc>
          <w:tcPr>
            <w:tcW w:w="1134" w:type="dxa"/>
          </w:tcPr>
          <w:p w14:paraId="1C50DB2B" w14:textId="00B27775" w:rsidR="004667B3" w:rsidRPr="00D36442" w:rsidRDefault="004667B3" w:rsidP="00980EF6">
            <w:pPr>
              <w:pStyle w:val="NormalIndent1"/>
              <w:ind w:left="0"/>
              <w:jc w:val="left"/>
              <w:rPr>
                <w:rFonts w:cstheme="minorHAnsi"/>
                <w:sz w:val="20"/>
                <w:szCs w:val="20"/>
              </w:rPr>
            </w:pPr>
            <w:r w:rsidRPr="00D36442">
              <w:rPr>
                <w:rFonts w:cstheme="minorHAnsi"/>
                <w:sz w:val="20"/>
                <w:szCs w:val="20"/>
              </w:rPr>
              <w:t>16</w:t>
            </w:r>
          </w:p>
        </w:tc>
        <w:tc>
          <w:tcPr>
            <w:tcW w:w="850" w:type="dxa"/>
          </w:tcPr>
          <w:p w14:paraId="64F4D058" w14:textId="599D7D59" w:rsidR="004667B3" w:rsidRPr="00D36442" w:rsidRDefault="004667B3" w:rsidP="00980EF6">
            <w:pPr>
              <w:pStyle w:val="NormalIndent1"/>
              <w:ind w:left="0"/>
              <w:jc w:val="left"/>
              <w:rPr>
                <w:rFonts w:cstheme="minorHAnsi"/>
                <w:sz w:val="20"/>
                <w:szCs w:val="20"/>
              </w:rPr>
            </w:pPr>
            <w:r w:rsidRPr="00D36442">
              <w:rPr>
                <w:rFonts w:cstheme="minorHAnsi"/>
                <w:sz w:val="20"/>
                <w:szCs w:val="20"/>
              </w:rPr>
              <w:t>-21</w:t>
            </w:r>
          </w:p>
        </w:tc>
        <w:tc>
          <w:tcPr>
            <w:tcW w:w="1134" w:type="dxa"/>
          </w:tcPr>
          <w:p w14:paraId="1EE9A400" w14:textId="09DEA1DE" w:rsidR="004667B3" w:rsidRPr="00D36442" w:rsidRDefault="004667B3" w:rsidP="00980EF6">
            <w:pPr>
              <w:pStyle w:val="NormalIndent1"/>
              <w:ind w:left="0"/>
              <w:jc w:val="left"/>
              <w:rPr>
                <w:rFonts w:cstheme="minorHAnsi"/>
                <w:sz w:val="20"/>
                <w:szCs w:val="20"/>
              </w:rPr>
            </w:pPr>
            <w:r w:rsidRPr="00D36442">
              <w:rPr>
                <w:rFonts w:cstheme="minorHAnsi"/>
                <w:sz w:val="20"/>
                <w:szCs w:val="20"/>
              </w:rPr>
              <w:t>-11</w:t>
            </w:r>
          </w:p>
        </w:tc>
        <w:tc>
          <w:tcPr>
            <w:tcW w:w="850" w:type="dxa"/>
          </w:tcPr>
          <w:p w14:paraId="04455A49" w14:textId="3CF47B1E" w:rsidR="004667B3" w:rsidRPr="00D36442" w:rsidRDefault="004667B3" w:rsidP="00980EF6">
            <w:pPr>
              <w:pStyle w:val="NormalIndent1"/>
              <w:ind w:left="0"/>
              <w:jc w:val="left"/>
              <w:rPr>
                <w:rFonts w:cstheme="minorHAnsi"/>
                <w:sz w:val="20"/>
                <w:szCs w:val="20"/>
              </w:rPr>
            </w:pPr>
            <w:r w:rsidRPr="00D36442">
              <w:rPr>
                <w:rFonts w:cstheme="minorHAnsi"/>
                <w:sz w:val="20"/>
                <w:szCs w:val="20"/>
              </w:rPr>
              <w:t>-28</w:t>
            </w:r>
          </w:p>
        </w:tc>
        <w:tc>
          <w:tcPr>
            <w:tcW w:w="1134" w:type="dxa"/>
          </w:tcPr>
          <w:p w14:paraId="73A56487" w14:textId="0A2413F4" w:rsidR="004667B3" w:rsidRPr="00D36442" w:rsidRDefault="004667B3" w:rsidP="00980EF6">
            <w:pPr>
              <w:pStyle w:val="NormalIndent1"/>
              <w:ind w:left="0"/>
              <w:jc w:val="left"/>
              <w:rPr>
                <w:rFonts w:cstheme="minorHAnsi"/>
                <w:sz w:val="20"/>
                <w:szCs w:val="20"/>
              </w:rPr>
            </w:pPr>
            <w:r w:rsidRPr="00D36442">
              <w:rPr>
                <w:rFonts w:cstheme="minorHAnsi"/>
                <w:sz w:val="20"/>
                <w:szCs w:val="20"/>
              </w:rPr>
              <w:t>9</w:t>
            </w:r>
          </w:p>
        </w:tc>
        <w:tc>
          <w:tcPr>
            <w:tcW w:w="850" w:type="dxa"/>
          </w:tcPr>
          <w:p w14:paraId="2B0E9039" w14:textId="251E3A41" w:rsidR="004667B3" w:rsidRPr="00D36442" w:rsidRDefault="004667B3" w:rsidP="00980EF6">
            <w:pPr>
              <w:pStyle w:val="NormalIndent1"/>
              <w:ind w:left="0"/>
              <w:jc w:val="left"/>
              <w:rPr>
                <w:rFonts w:cstheme="minorHAnsi"/>
                <w:sz w:val="20"/>
                <w:szCs w:val="20"/>
              </w:rPr>
            </w:pPr>
            <w:r w:rsidRPr="00D36442">
              <w:rPr>
                <w:rFonts w:cstheme="minorHAnsi"/>
                <w:sz w:val="20"/>
                <w:szCs w:val="20"/>
              </w:rPr>
              <w:t>-64</w:t>
            </w:r>
          </w:p>
        </w:tc>
      </w:tr>
      <w:tr w:rsidR="00C6611B" w:rsidRPr="00D36442" w14:paraId="5C963430" w14:textId="77777777" w:rsidTr="00E629E1">
        <w:tc>
          <w:tcPr>
            <w:tcW w:w="1261" w:type="dxa"/>
          </w:tcPr>
          <w:p w14:paraId="1898E8EC" w14:textId="58D2F5D2" w:rsidR="004667B3" w:rsidRPr="00D36442" w:rsidRDefault="004667B3" w:rsidP="00980EF6">
            <w:pPr>
              <w:pStyle w:val="NormalIndent1"/>
              <w:ind w:left="0"/>
              <w:jc w:val="left"/>
              <w:rPr>
                <w:rFonts w:cstheme="minorHAnsi"/>
                <w:sz w:val="20"/>
                <w:szCs w:val="20"/>
              </w:rPr>
            </w:pPr>
            <w:r w:rsidRPr="00D36442">
              <w:rPr>
                <w:rFonts w:cstheme="minorHAnsi"/>
                <w:sz w:val="20"/>
                <w:szCs w:val="20"/>
              </w:rPr>
              <w:t xml:space="preserve">36 month </w:t>
            </w:r>
          </w:p>
        </w:tc>
        <w:tc>
          <w:tcPr>
            <w:tcW w:w="1134" w:type="dxa"/>
          </w:tcPr>
          <w:p w14:paraId="3D2C5278" w14:textId="13AD9573" w:rsidR="004667B3" w:rsidRPr="00D36442" w:rsidRDefault="004667B3" w:rsidP="00980EF6">
            <w:pPr>
              <w:pStyle w:val="NormalIndent1"/>
              <w:ind w:left="0"/>
              <w:jc w:val="left"/>
              <w:rPr>
                <w:rFonts w:cstheme="minorHAnsi"/>
                <w:sz w:val="20"/>
                <w:szCs w:val="20"/>
              </w:rPr>
            </w:pPr>
            <w:r w:rsidRPr="00D36442">
              <w:rPr>
                <w:rFonts w:cstheme="minorHAnsi"/>
                <w:sz w:val="20"/>
                <w:szCs w:val="20"/>
              </w:rPr>
              <w:t>38</w:t>
            </w:r>
          </w:p>
        </w:tc>
        <w:tc>
          <w:tcPr>
            <w:tcW w:w="850" w:type="dxa"/>
          </w:tcPr>
          <w:p w14:paraId="686489ED" w14:textId="054B1B59" w:rsidR="004667B3" w:rsidRPr="00D36442" w:rsidRDefault="004667B3" w:rsidP="00980EF6">
            <w:pPr>
              <w:pStyle w:val="NormalIndent1"/>
              <w:ind w:left="0"/>
              <w:jc w:val="left"/>
              <w:rPr>
                <w:rFonts w:cstheme="minorHAnsi"/>
                <w:sz w:val="20"/>
                <w:szCs w:val="20"/>
              </w:rPr>
            </w:pPr>
            <w:r w:rsidRPr="00D36442">
              <w:rPr>
                <w:rFonts w:cstheme="minorHAnsi"/>
                <w:sz w:val="20"/>
                <w:szCs w:val="20"/>
              </w:rPr>
              <w:t>-40</w:t>
            </w:r>
          </w:p>
        </w:tc>
        <w:tc>
          <w:tcPr>
            <w:tcW w:w="1134" w:type="dxa"/>
          </w:tcPr>
          <w:p w14:paraId="740C3C1C" w14:textId="2D64CC25" w:rsidR="004667B3" w:rsidRPr="00D36442" w:rsidRDefault="004667B3" w:rsidP="00980EF6">
            <w:pPr>
              <w:pStyle w:val="NormalIndent1"/>
              <w:ind w:left="0"/>
              <w:jc w:val="left"/>
              <w:rPr>
                <w:rFonts w:cstheme="minorHAnsi"/>
                <w:sz w:val="20"/>
                <w:szCs w:val="20"/>
              </w:rPr>
            </w:pPr>
            <w:r w:rsidRPr="00D36442">
              <w:rPr>
                <w:rFonts w:cstheme="minorHAnsi"/>
                <w:sz w:val="20"/>
                <w:szCs w:val="20"/>
              </w:rPr>
              <w:t>22</w:t>
            </w:r>
          </w:p>
        </w:tc>
        <w:tc>
          <w:tcPr>
            <w:tcW w:w="850" w:type="dxa"/>
          </w:tcPr>
          <w:p w14:paraId="146AF769" w14:textId="0EF884BB" w:rsidR="004667B3" w:rsidRPr="00D36442" w:rsidRDefault="004667B3" w:rsidP="00980EF6">
            <w:pPr>
              <w:pStyle w:val="NormalIndent1"/>
              <w:ind w:left="0"/>
              <w:jc w:val="left"/>
              <w:rPr>
                <w:rFonts w:cstheme="minorHAnsi"/>
                <w:sz w:val="20"/>
                <w:szCs w:val="20"/>
              </w:rPr>
            </w:pPr>
            <w:r w:rsidRPr="00D36442">
              <w:rPr>
                <w:rFonts w:cstheme="minorHAnsi"/>
                <w:sz w:val="20"/>
                <w:szCs w:val="20"/>
              </w:rPr>
              <w:t>-18</w:t>
            </w:r>
          </w:p>
        </w:tc>
        <w:tc>
          <w:tcPr>
            <w:tcW w:w="1134" w:type="dxa"/>
          </w:tcPr>
          <w:p w14:paraId="66A226B9" w14:textId="6F08B2E0" w:rsidR="004667B3" w:rsidRPr="00D36442" w:rsidRDefault="004667B3" w:rsidP="00980EF6">
            <w:pPr>
              <w:pStyle w:val="NormalIndent1"/>
              <w:ind w:left="0"/>
              <w:jc w:val="left"/>
              <w:rPr>
                <w:rFonts w:cstheme="minorHAnsi"/>
                <w:sz w:val="20"/>
                <w:szCs w:val="20"/>
              </w:rPr>
            </w:pPr>
            <w:r w:rsidRPr="00D36442">
              <w:rPr>
                <w:rFonts w:cstheme="minorHAnsi"/>
                <w:sz w:val="20"/>
                <w:szCs w:val="20"/>
              </w:rPr>
              <w:t>-11</w:t>
            </w:r>
          </w:p>
        </w:tc>
        <w:tc>
          <w:tcPr>
            <w:tcW w:w="850" w:type="dxa"/>
          </w:tcPr>
          <w:p w14:paraId="75B46E28" w14:textId="3BC33D60" w:rsidR="004667B3" w:rsidRPr="00D36442" w:rsidRDefault="004667B3" w:rsidP="00980EF6">
            <w:pPr>
              <w:pStyle w:val="NormalIndent1"/>
              <w:ind w:left="0"/>
              <w:jc w:val="left"/>
              <w:rPr>
                <w:rFonts w:cstheme="minorHAnsi"/>
                <w:sz w:val="20"/>
                <w:szCs w:val="20"/>
              </w:rPr>
            </w:pPr>
            <w:r w:rsidRPr="00D36442">
              <w:rPr>
                <w:rFonts w:cstheme="minorHAnsi"/>
                <w:sz w:val="20"/>
                <w:szCs w:val="20"/>
              </w:rPr>
              <w:t>-26</w:t>
            </w:r>
          </w:p>
        </w:tc>
        <w:tc>
          <w:tcPr>
            <w:tcW w:w="1134" w:type="dxa"/>
          </w:tcPr>
          <w:p w14:paraId="25F2E467" w14:textId="4C166B68" w:rsidR="004667B3" w:rsidRPr="00D36442" w:rsidRDefault="004667B3" w:rsidP="00980EF6">
            <w:pPr>
              <w:pStyle w:val="NormalIndent1"/>
              <w:ind w:left="0"/>
              <w:jc w:val="left"/>
              <w:rPr>
                <w:rFonts w:cstheme="minorHAnsi"/>
                <w:sz w:val="20"/>
                <w:szCs w:val="20"/>
              </w:rPr>
            </w:pPr>
            <w:r w:rsidRPr="00D36442">
              <w:rPr>
                <w:rFonts w:cstheme="minorHAnsi"/>
                <w:sz w:val="20"/>
                <w:szCs w:val="20"/>
              </w:rPr>
              <w:t>5</w:t>
            </w:r>
          </w:p>
        </w:tc>
        <w:tc>
          <w:tcPr>
            <w:tcW w:w="850" w:type="dxa"/>
          </w:tcPr>
          <w:p w14:paraId="7230FE3C" w14:textId="13236554" w:rsidR="004667B3" w:rsidRPr="00D36442" w:rsidRDefault="004667B3" w:rsidP="00980EF6">
            <w:pPr>
              <w:pStyle w:val="NormalIndent1"/>
              <w:ind w:left="0"/>
              <w:jc w:val="left"/>
              <w:rPr>
                <w:rFonts w:cstheme="minorHAnsi"/>
                <w:sz w:val="20"/>
                <w:szCs w:val="20"/>
              </w:rPr>
            </w:pPr>
            <w:r w:rsidRPr="00D36442">
              <w:rPr>
                <w:rFonts w:cstheme="minorHAnsi"/>
                <w:sz w:val="20"/>
                <w:szCs w:val="20"/>
              </w:rPr>
              <w:t>-55</w:t>
            </w:r>
          </w:p>
        </w:tc>
      </w:tr>
    </w:tbl>
    <w:p w14:paraId="1532E384" w14:textId="70914B25" w:rsidR="004667B3" w:rsidRPr="00430302" w:rsidRDefault="004667B3" w:rsidP="00980EF6">
      <w:pPr>
        <w:pStyle w:val="NormalIndent1"/>
        <w:ind w:left="0"/>
        <w:jc w:val="left"/>
        <w:rPr>
          <w:sz w:val="20"/>
          <w:szCs w:val="20"/>
        </w:rPr>
      </w:pPr>
    </w:p>
    <w:p w14:paraId="2069DECD" w14:textId="5B4F905C" w:rsidR="004667B3" w:rsidRPr="00BF032A" w:rsidRDefault="004667B3" w:rsidP="00980EF6">
      <w:pPr>
        <w:pStyle w:val="NormalIndent1"/>
        <w:ind w:left="709" w:hanging="284"/>
        <w:jc w:val="left"/>
        <w:rPr>
          <w:sz w:val="20"/>
          <w:szCs w:val="20"/>
        </w:rPr>
      </w:pPr>
      <w:r w:rsidRPr="00E629E1">
        <w:rPr>
          <w:sz w:val="20"/>
          <w:szCs w:val="20"/>
          <w:vertAlign w:val="superscript"/>
        </w:rPr>
        <w:t>a</w:t>
      </w:r>
      <w:r w:rsidRPr="00BF032A">
        <w:rPr>
          <w:sz w:val="20"/>
          <w:szCs w:val="20"/>
        </w:rPr>
        <w:tab/>
        <w:t xml:space="preserve">The median percent changes in </w:t>
      </w:r>
      <w:r w:rsidR="00820A2A" w:rsidRPr="00820A2A">
        <w:rPr>
          <w:sz w:val="20"/>
          <w:szCs w:val="20"/>
        </w:rPr>
        <w:t>teriparatide</w:t>
      </w:r>
      <w:r w:rsidRPr="00BF032A">
        <w:rPr>
          <w:sz w:val="20"/>
          <w:szCs w:val="20"/>
        </w:rPr>
        <w:t xml:space="preserve">-treated patients were significantly different (p&lt;0.01) compared with alendronate-treated (ALN) patients for each biomarker at all time points. </w:t>
      </w:r>
    </w:p>
    <w:p w14:paraId="10FCBE82" w14:textId="189516D2" w:rsidR="004667B3" w:rsidRPr="00BF032A" w:rsidRDefault="004667B3" w:rsidP="00980EF6">
      <w:pPr>
        <w:pStyle w:val="NormalIndent1"/>
        <w:ind w:left="709" w:hanging="284"/>
        <w:jc w:val="left"/>
        <w:rPr>
          <w:sz w:val="20"/>
          <w:szCs w:val="20"/>
        </w:rPr>
      </w:pPr>
      <w:r w:rsidRPr="00E629E1">
        <w:rPr>
          <w:sz w:val="20"/>
          <w:szCs w:val="20"/>
          <w:vertAlign w:val="superscript"/>
        </w:rPr>
        <w:t>b</w:t>
      </w:r>
      <w:r w:rsidRPr="00BF032A">
        <w:rPr>
          <w:sz w:val="20"/>
          <w:szCs w:val="20"/>
        </w:rPr>
        <w:tab/>
        <w:t xml:space="preserve">Values represent median percent changes with n=44 to 99 among the 4 biomarkers at the different time points.  </w:t>
      </w:r>
    </w:p>
    <w:p w14:paraId="6F7A5701" w14:textId="77777777" w:rsidR="004667B3" w:rsidRPr="00F70019" w:rsidRDefault="004667B3" w:rsidP="00980EF6">
      <w:pPr>
        <w:pStyle w:val="NormalIndent1"/>
        <w:jc w:val="left"/>
      </w:pPr>
    </w:p>
    <w:p w14:paraId="1059E24A" w14:textId="77777777" w:rsidR="001A3992" w:rsidRDefault="004A3628" w:rsidP="00980EF6">
      <w:pPr>
        <w:pStyle w:val="Heading2"/>
        <w:jc w:val="left"/>
        <w:rPr>
          <w:smallCaps/>
          <w:lang w:val="en-US"/>
        </w:rPr>
      </w:pPr>
      <w:r>
        <w:rPr>
          <w:lang w:val="en-US"/>
        </w:rPr>
        <w:t>5.2</w:t>
      </w:r>
      <w:r>
        <w:rPr>
          <w:lang w:val="en-US"/>
        </w:rPr>
        <w:tab/>
      </w:r>
      <w:r w:rsidR="001A3992" w:rsidRPr="005D690B">
        <w:rPr>
          <w:lang w:val="en-US"/>
        </w:rPr>
        <w:t xml:space="preserve">Pharmacokinetic </w:t>
      </w:r>
      <w:r w:rsidR="005D690B" w:rsidRPr="005D690B">
        <w:rPr>
          <w:lang w:val="en-US"/>
        </w:rPr>
        <w:t xml:space="preserve">Properties </w:t>
      </w:r>
    </w:p>
    <w:p w14:paraId="3CEADEB4" w14:textId="77777777" w:rsidR="005D690B" w:rsidRPr="00F70019" w:rsidRDefault="005D690B" w:rsidP="00980EF6">
      <w:pPr>
        <w:pStyle w:val="NormalIndent1"/>
        <w:jc w:val="left"/>
      </w:pPr>
    </w:p>
    <w:p w14:paraId="196E75DC" w14:textId="77777777" w:rsidR="001A3992" w:rsidRDefault="001A3992" w:rsidP="00980EF6">
      <w:pPr>
        <w:pStyle w:val="Heading3"/>
        <w:jc w:val="left"/>
      </w:pPr>
      <w:r w:rsidRPr="005D690B">
        <w:t>Absorption</w:t>
      </w:r>
    </w:p>
    <w:p w14:paraId="32844132" w14:textId="77777777" w:rsidR="005A113B" w:rsidRDefault="005A113B" w:rsidP="00980EF6">
      <w:pPr>
        <w:pStyle w:val="NormalIndent1"/>
        <w:jc w:val="left"/>
      </w:pPr>
    </w:p>
    <w:p w14:paraId="5FEA09CA" w14:textId="2BEB8C12" w:rsidR="005A113B" w:rsidRDefault="005A113B" w:rsidP="00980EF6">
      <w:pPr>
        <w:pStyle w:val="NormalIndent1"/>
        <w:jc w:val="left"/>
      </w:pPr>
      <w:r>
        <w:t>After subcutaneous (SC) injection, teriparatide has an absolute bioavailability of 95% (95% CI 0.824</w:t>
      </w:r>
      <w:r w:rsidR="00B036D6">
        <w:noBreakHyphen/>
      </w:r>
      <w:r>
        <w:t xml:space="preserve">1.07). Absorption and elimination are rapid. The half-life of teriparatide in serum is 5 minutes when administered by intravenous injection and approximately 1 hour when administered by subcutaneous injection. The longer half-life following subcutaneous administration reflects the time required for absorption from the injection site.   </w:t>
      </w:r>
    </w:p>
    <w:p w14:paraId="2E8912D6" w14:textId="77777777" w:rsidR="005A113B" w:rsidRDefault="005A113B" w:rsidP="00980EF6">
      <w:pPr>
        <w:pStyle w:val="NormalIndent1"/>
        <w:jc w:val="left"/>
      </w:pPr>
    </w:p>
    <w:p w14:paraId="3F4298A1" w14:textId="124C8024" w:rsidR="005D690B" w:rsidRDefault="005A113B" w:rsidP="00980EF6">
      <w:pPr>
        <w:pStyle w:val="NormalIndent1"/>
        <w:jc w:val="left"/>
      </w:pPr>
      <w:r w:rsidRPr="005A113B">
        <w:t>Following a subcutaneous injection of a 20</w:t>
      </w:r>
      <w:r w:rsidR="00B036D6">
        <w:t> microgram</w:t>
      </w:r>
      <w:r w:rsidRPr="005A113B">
        <w:t xml:space="preserve"> dose, peak molar concentrations of teriparatide briefly exceed the upper limit of normal for endogenous PTH [65</w:t>
      </w:r>
      <w:r w:rsidR="00555407">
        <w:t> </w:t>
      </w:r>
      <w:r w:rsidRPr="005A113B">
        <w:t>pg/mL (7.0</w:t>
      </w:r>
      <w:r w:rsidR="00555407">
        <w:t> </w:t>
      </w:r>
      <w:r w:rsidRPr="005A113B">
        <w:t xml:space="preserve">pM)] by 4- to 5-fold for about 30 minutes and then decline to non-quantifiable concentrations within 3 hours. The mean systemic exposure (endogenous PTH and teriparatide) over 24 hours does not exceed the upper limit of normal and is below the levels found in patients with mild hyperparathyroidism.   </w:t>
      </w:r>
    </w:p>
    <w:p w14:paraId="5266B838" w14:textId="77777777" w:rsidR="00BF032A" w:rsidRPr="00F70019" w:rsidRDefault="00BF032A" w:rsidP="00980EF6">
      <w:pPr>
        <w:pStyle w:val="NormalIndent1"/>
        <w:jc w:val="left"/>
      </w:pPr>
    </w:p>
    <w:p w14:paraId="78E62942" w14:textId="77777777" w:rsidR="001A3992" w:rsidRPr="005D690B" w:rsidRDefault="001A3992" w:rsidP="00980EF6">
      <w:pPr>
        <w:pStyle w:val="Heading3"/>
        <w:jc w:val="left"/>
      </w:pPr>
      <w:r w:rsidRPr="005D690B">
        <w:t>Distribution</w:t>
      </w:r>
    </w:p>
    <w:p w14:paraId="30C9C1D6" w14:textId="77777777" w:rsidR="005D690B" w:rsidRPr="00F70019" w:rsidRDefault="005D690B" w:rsidP="00980EF6">
      <w:pPr>
        <w:pStyle w:val="NormalIndent1"/>
        <w:jc w:val="left"/>
      </w:pPr>
    </w:p>
    <w:p w14:paraId="662ACE93" w14:textId="40036B7F" w:rsidR="005D690B" w:rsidRDefault="005A113B" w:rsidP="00980EF6">
      <w:pPr>
        <w:pStyle w:val="NormalIndent1"/>
        <w:jc w:val="left"/>
      </w:pPr>
      <w:r w:rsidRPr="005A113B">
        <w:t>Volume of distribution is approximately 1.7</w:t>
      </w:r>
      <w:r w:rsidR="00555407">
        <w:t> </w:t>
      </w:r>
      <w:r w:rsidRPr="005A113B">
        <w:t xml:space="preserve">L/kg. Between-subject variability in systemic clearance and volume of distribution is 25% to 50%.  </w:t>
      </w:r>
    </w:p>
    <w:p w14:paraId="4386E2E4" w14:textId="77777777" w:rsidR="00884357" w:rsidRPr="00F70019" w:rsidRDefault="00884357" w:rsidP="00980EF6">
      <w:pPr>
        <w:pStyle w:val="NormalIndent1"/>
        <w:jc w:val="left"/>
      </w:pPr>
    </w:p>
    <w:p w14:paraId="1343CF85" w14:textId="77777777" w:rsidR="001A3992" w:rsidRDefault="001A3992" w:rsidP="00980EF6">
      <w:pPr>
        <w:pStyle w:val="Heading3"/>
        <w:jc w:val="left"/>
      </w:pPr>
      <w:r w:rsidRPr="005D690B">
        <w:t>Metabolism</w:t>
      </w:r>
    </w:p>
    <w:p w14:paraId="2B7CED4C" w14:textId="77777777" w:rsidR="005D690B" w:rsidRPr="00F70019" w:rsidRDefault="005D690B" w:rsidP="00980EF6">
      <w:pPr>
        <w:pStyle w:val="NormalIndent1"/>
        <w:jc w:val="left"/>
      </w:pPr>
    </w:p>
    <w:p w14:paraId="3A57C182" w14:textId="4F0346AE" w:rsidR="005D690B" w:rsidRDefault="005A113B" w:rsidP="00980EF6">
      <w:pPr>
        <w:pStyle w:val="NormalIndent1"/>
        <w:jc w:val="left"/>
      </w:pPr>
      <w:r w:rsidRPr="005A113B">
        <w:t>No metabolism studies have been performed with teriparatide. However, the mechanisms of metabolism of PTH</w:t>
      </w:r>
      <w:r w:rsidR="00C6611B">
        <w:t xml:space="preserve"> </w:t>
      </w:r>
      <w:r w:rsidRPr="005A113B">
        <w:t xml:space="preserve">(1-34) and intact PTH have been extensively described. Metabolism of parathyroid hormone is believed to occur predominantly in liver and kidney. </w:t>
      </w:r>
    </w:p>
    <w:p w14:paraId="2B72305E" w14:textId="77777777" w:rsidR="00884357" w:rsidRPr="00F70019" w:rsidRDefault="00884357" w:rsidP="00980EF6">
      <w:pPr>
        <w:pStyle w:val="NormalIndent1"/>
        <w:jc w:val="left"/>
      </w:pPr>
    </w:p>
    <w:p w14:paraId="53A76DDE" w14:textId="77777777" w:rsidR="001A3992" w:rsidRDefault="001A3992" w:rsidP="00980EF6">
      <w:pPr>
        <w:pStyle w:val="Heading3"/>
        <w:jc w:val="left"/>
      </w:pPr>
      <w:r w:rsidRPr="005D690B">
        <w:t>Excretion</w:t>
      </w:r>
    </w:p>
    <w:p w14:paraId="592ECF17" w14:textId="77777777" w:rsidR="005D690B" w:rsidRPr="00F70019" w:rsidRDefault="005D690B" w:rsidP="00980EF6">
      <w:pPr>
        <w:pStyle w:val="NormalIndent1"/>
        <w:jc w:val="left"/>
      </w:pPr>
    </w:p>
    <w:p w14:paraId="3A35D59E" w14:textId="7069B352" w:rsidR="005A113B" w:rsidRDefault="005A113B" w:rsidP="00980EF6">
      <w:pPr>
        <w:pStyle w:val="NormalIndent1"/>
        <w:jc w:val="left"/>
      </w:pPr>
      <w:r w:rsidRPr="005A113B">
        <w:t>Teriparatide is eliminated through hepatic and extra-hepatic clearance (approximately 62</w:t>
      </w:r>
      <w:r w:rsidR="00555407">
        <w:t> </w:t>
      </w:r>
      <w:r w:rsidRPr="005A113B">
        <w:t>L/hr in women and 94</w:t>
      </w:r>
      <w:r w:rsidR="00555407">
        <w:t> </w:t>
      </w:r>
      <w:r w:rsidRPr="005A113B">
        <w:t>L/hr in men). No excretion studies have been performed with teriparatide. However, the mechanism of elimination of PTH</w:t>
      </w:r>
      <w:r w:rsidR="00C6611B">
        <w:t xml:space="preserve"> </w:t>
      </w:r>
      <w:r w:rsidRPr="005A113B">
        <w:t xml:space="preserve">(1-34) and intact PTH have been extensively described.   </w:t>
      </w:r>
    </w:p>
    <w:p w14:paraId="3F0D134D" w14:textId="100AB7E6" w:rsidR="005A113B" w:rsidRDefault="005A113B" w:rsidP="00980EF6">
      <w:pPr>
        <w:pStyle w:val="NormalIndent1"/>
        <w:jc w:val="left"/>
      </w:pPr>
    </w:p>
    <w:p w14:paraId="063DBD56" w14:textId="5CA71D07" w:rsidR="004852AD" w:rsidRPr="00BF032A" w:rsidRDefault="004852AD" w:rsidP="00980EF6">
      <w:pPr>
        <w:pStyle w:val="Heading3"/>
        <w:jc w:val="left"/>
      </w:pPr>
      <w:r w:rsidRPr="00BF032A">
        <w:t>Patient characteristics</w:t>
      </w:r>
    </w:p>
    <w:p w14:paraId="3F527527" w14:textId="77777777" w:rsidR="004852AD" w:rsidRDefault="004852AD" w:rsidP="00980EF6">
      <w:pPr>
        <w:pStyle w:val="NormalIndent1"/>
        <w:jc w:val="left"/>
      </w:pPr>
    </w:p>
    <w:p w14:paraId="299FFEB7" w14:textId="1D120CAC" w:rsidR="005A113B" w:rsidRDefault="005A113B" w:rsidP="00980EF6">
      <w:pPr>
        <w:pStyle w:val="Heading4"/>
        <w:jc w:val="left"/>
      </w:pPr>
      <w:r>
        <w:t xml:space="preserve">Geriatrics </w:t>
      </w:r>
    </w:p>
    <w:p w14:paraId="0035BA2E" w14:textId="77777777" w:rsidR="00555407" w:rsidRDefault="00555407" w:rsidP="00980EF6">
      <w:pPr>
        <w:pStyle w:val="NormalIndent1"/>
        <w:jc w:val="left"/>
      </w:pPr>
    </w:p>
    <w:p w14:paraId="79FB6F9E" w14:textId="77F37C3F" w:rsidR="005A113B" w:rsidRDefault="005A113B" w:rsidP="00980EF6">
      <w:pPr>
        <w:pStyle w:val="NormalIndent1"/>
        <w:jc w:val="left"/>
      </w:pPr>
      <w:r>
        <w:t xml:space="preserve">No differences in teriparatide pharmacokinetics were detected with regard to age (range 31 to 85 years). Dosage adjustment based on age is not required. </w:t>
      </w:r>
    </w:p>
    <w:p w14:paraId="3DF608FE" w14:textId="2BE37CD5" w:rsidR="005A113B" w:rsidRDefault="005A113B" w:rsidP="00980EF6">
      <w:pPr>
        <w:pStyle w:val="NormalIndent1"/>
        <w:jc w:val="left"/>
      </w:pPr>
    </w:p>
    <w:p w14:paraId="22C3D736" w14:textId="5A88FAAE" w:rsidR="005A113B" w:rsidRDefault="005A113B" w:rsidP="00980EF6">
      <w:pPr>
        <w:pStyle w:val="Heading4"/>
        <w:jc w:val="left"/>
      </w:pPr>
      <w:r>
        <w:t xml:space="preserve">Gender  </w:t>
      </w:r>
    </w:p>
    <w:p w14:paraId="7642EE16" w14:textId="77777777" w:rsidR="00555407" w:rsidRDefault="00555407" w:rsidP="00980EF6">
      <w:pPr>
        <w:pStyle w:val="NormalIndent1"/>
        <w:jc w:val="left"/>
      </w:pPr>
    </w:p>
    <w:p w14:paraId="4E23EB6A" w14:textId="51DA06BA" w:rsidR="005A113B" w:rsidRDefault="005A113B" w:rsidP="00980EF6">
      <w:pPr>
        <w:pStyle w:val="NormalIndent1"/>
        <w:jc w:val="left"/>
      </w:pPr>
      <w:r>
        <w:t xml:space="preserve">Systemic exposure to teriparatide is approximately 20% to 30% lower in men than in women. There were, however, no gender differences with respect to safety, tolerability or pharmacodynamic responses. Dosage adjustment based on gender is not required. </w:t>
      </w:r>
    </w:p>
    <w:p w14:paraId="656A589D" w14:textId="77777777" w:rsidR="00980EF6" w:rsidRDefault="00980EF6" w:rsidP="00980EF6">
      <w:pPr>
        <w:pStyle w:val="Heading4"/>
        <w:jc w:val="left"/>
      </w:pPr>
    </w:p>
    <w:p w14:paraId="6A534BF4" w14:textId="6EF26DC7" w:rsidR="005A113B" w:rsidRDefault="005A113B" w:rsidP="00980EF6">
      <w:pPr>
        <w:pStyle w:val="Heading4"/>
        <w:jc w:val="left"/>
      </w:pPr>
      <w:r>
        <w:t xml:space="preserve">Renal Impairment  </w:t>
      </w:r>
    </w:p>
    <w:p w14:paraId="32EF39E0" w14:textId="77777777" w:rsidR="00555407" w:rsidRDefault="00555407" w:rsidP="00980EF6">
      <w:pPr>
        <w:pStyle w:val="NormalIndent1"/>
        <w:jc w:val="left"/>
      </w:pPr>
    </w:p>
    <w:p w14:paraId="1895B878" w14:textId="3440F306" w:rsidR="005A113B" w:rsidRDefault="005A113B" w:rsidP="00980EF6">
      <w:pPr>
        <w:pStyle w:val="NormalIndent1"/>
        <w:jc w:val="left"/>
      </w:pPr>
      <w:r>
        <w:t xml:space="preserve">No clinically relevant pharmacokinetic or safety differences were identified in patients with mild, moderate or severe chronic renal impairment administered a single dose of teriparatide. Dosage adjustment, based on renal function, is not required.  </w:t>
      </w:r>
    </w:p>
    <w:p w14:paraId="42D28B7E" w14:textId="0A0A36AD" w:rsidR="005A113B" w:rsidRDefault="005A113B" w:rsidP="00980EF6">
      <w:pPr>
        <w:pStyle w:val="NormalIndent1"/>
        <w:jc w:val="left"/>
      </w:pPr>
    </w:p>
    <w:p w14:paraId="223E2795" w14:textId="409BE05E" w:rsidR="005A113B" w:rsidRDefault="005A113B" w:rsidP="00980EF6">
      <w:pPr>
        <w:pStyle w:val="NormalIndent1"/>
        <w:jc w:val="left"/>
      </w:pPr>
      <w:r>
        <w:t>However, patients with renal impairment had reduced calcaemic and calciuric responses to teriparatide. Long-term safety and efficacy have not been evaluated in patients with serum creatinine concentrations &gt;177</w:t>
      </w:r>
      <w:r w:rsidR="00555407">
        <w:t> </w:t>
      </w:r>
      <w:r w:rsidR="00192AFB">
        <w:t>µ</w:t>
      </w:r>
      <w:r>
        <w:t xml:space="preserve">mol/L. </w:t>
      </w:r>
    </w:p>
    <w:p w14:paraId="1B344AED" w14:textId="77777777" w:rsidR="00BF032A" w:rsidRDefault="00BF032A" w:rsidP="00980EF6">
      <w:pPr>
        <w:pStyle w:val="NormalIndent1"/>
        <w:jc w:val="left"/>
      </w:pPr>
    </w:p>
    <w:p w14:paraId="45814B8E" w14:textId="38146BAC" w:rsidR="005A113B" w:rsidRDefault="005A113B" w:rsidP="00980EF6">
      <w:pPr>
        <w:pStyle w:val="Heading4"/>
        <w:jc w:val="left"/>
      </w:pPr>
      <w:r>
        <w:t xml:space="preserve">Heart Failure </w:t>
      </w:r>
    </w:p>
    <w:p w14:paraId="7FDF651C" w14:textId="77777777" w:rsidR="00555407" w:rsidRDefault="00555407" w:rsidP="00980EF6">
      <w:pPr>
        <w:pStyle w:val="NormalIndent1"/>
        <w:jc w:val="left"/>
      </w:pPr>
    </w:p>
    <w:p w14:paraId="6541A426" w14:textId="6D4C4970" w:rsidR="005A113B" w:rsidRDefault="005A113B" w:rsidP="00980EF6">
      <w:pPr>
        <w:pStyle w:val="NormalIndent1"/>
        <w:jc w:val="left"/>
      </w:pPr>
      <w:r>
        <w:t>No clinically relevant pharmacokinetic, blood pressure, pulse rate or other safety differences were identified in patients with stable heart failure (New York Heart Association Class I to III and additional evidence of cardiac dysfunction) administered two 20</w:t>
      </w:r>
      <w:r w:rsidR="00555407">
        <w:t> microgram</w:t>
      </w:r>
      <w:r>
        <w:t xml:space="preserve"> doses of teriparatide. Dosage adjustment based on the presence of mild or moderate heart failure is not required. There are no data from patients with severe heart failure. </w:t>
      </w:r>
    </w:p>
    <w:p w14:paraId="2243221E" w14:textId="44E04A76" w:rsidR="005A113B" w:rsidRDefault="005A113B" w:rsidP="00980EF6">
      <w:pPr>
        <w:pStyle w:val="NormalIndent1"/>
        <w:jc w:val="left"/>
      </w:pPr>
    </w:p>
    <w:p w14:paraId="0480AA59" w14:textId="200B9151" w:rsidR="005A113B" w:rsidRDefault="005A113B" w:rsidP="00980EF6">
      <w:pPr>
        <w:pStyle w:val="Heading4"/>
        <w:jc w:val="left"/>
      </w:pPr>
      <w:r>
        <w:t>Hepatic impairment</w:t>
      </w:r>
    </w:p>
    <w:p w14:paraId="2AAE3351" w14:textId="77777777" w:rsidR="00555407" w:rsidRDefault="00555407" w:rsidP="00980EF6">
      <w:pPr>
        <w:pStyle w:val="NormalIndent1"/>
        <w:jc w:val="left"/>
      </w:pPr>
    </w:p>
    <w:p w14:paraId="60E13293" w14:textId="78DD0832" w:rsidR="005D690B" w:rsidRDefault="005A113B" w:rsidP="00980EF6">
      <w:pPr>
        <w:pStyle w:val="NormalIndent1"/>
        <w:jc w:val="left"/>
      </w:pPr>
      <w:r>
        <w:t xml:space="preserve">Safety and efficacy have not been evaluated in patients with hepatic impairment. Preclinical data indicate that hepatic Kupffer cells are the primary site of metabolism for teriparatide. It is unlikely that disease states in which hepatocyte function is impaired will have a clinically significant effect on systemic exposure to teriparatide).  </w:t>
      </w:r>
    </w:p>
    <w:p w14:paraId="0CAAED51" w14:textId="77777777" w:rsidR="00BF032A" w:rsidRPr="00F70019" w:rsidRDefault="00BF032A" w:rsidP="00980EF6">
      <w:pPr>
        <w:pStyle w:val="NormalIndent1"/>
        <w:jc w:val="left"/>
      </w:pPr>
    </w:p>
    <w:p w14:paraId="3A5E28EA" w14:textId="77777777" w:rsidR="001A3992" w:rsidRDefault="004A3628" w:rsidP="00884815">
      <w:pPr>
        <w:pStyle w:val="Heading2"/>
        <w:pageBreakBefore/>
        <w:jc w:val="left"/>
        <w:rPr>
          <w:smallCaps/>
          <w:lang w:val="en-US"/>
        </w:rPr>
      </w:pPr>
      <w:r>
        <w:rPr>
          <w:lang w:val="en-US"/>
        </w:rPr>
        <w:lastRenderedPageBreak/>
        <w:t>5.3</w:t>
      </w:r>
      <w:r>
        <w:rPr>
          <w:lang w:val="en-US"/>
        </w:rPr>
        <w:tab/>
      </w:r>
      <w:r w:rsidR="001A3992" w:rsidRPr="005D690B">
        <w:rPr>
          <w:lang w:val="en-US"/>
        </w:rPr>
        <w:t xml:space="preserve">Preclinical </w:t>
      </w:r>
      <w:r w:rsidR="005D690B" w:rsidRPr="005D690B">
        <w:rPr>
          <w:lang w:val="en-US"/>
        </w:rPr>
        <w:t>Safety Data</w:t>
      </w:r>
    </w:p>
    <w:p w14:paraId="7CD990BA" w14:textId="77777777" w:rsidR="000D27A3" w:rsidRPr="005D690B" w:rsidRDefault="000D27A3" w:rsidP="00980EF6">
      <w:pPr>
        <w:pStyle w:val="NormalIndent1"/>
        <w:jc w:val="left"/>
      </w:pPr>
    </w:p>
    <w:p w14:paraId="4625F342" w14:textId="77777777" w:rsidR="001A3992" w:rsidRPr="005D690B" w:rsidRDefault="001A3992" w:rsidP="00980EF6">
      <w:pPr>
        <w:pStyle w:val="Heading3"/>
        <w:jc w:val="left"/>
      </w:pPr>
      <w:r w:rsidRPr="005D690B">
        <w:t>Genotoxicity</w:t>
      </w:r>
    </w:p>
    <w:p w14:paraId="38F1F41B" w14:textId="77777777" w:rsidR="005D690B" w:rsidRPr="005D690B" w:rsidRDefault="005D690B" w:rsidP="00980EF6">
      <w:pPr>
        <w:pStyle w:val="NormalIndent1"/>
        <w:jc w:val="left"/>
      </w:pPr>
    </w:p>
    <w:p w14:paraId="352E9470" w14:textId="75AABB10" w:rsidR="005D690B" w:rsidRPr="005D690B" w:rsidRDefault="004852AD" w:rsidP="00980EF6">
      <w:pPr>
        <w:pStyle w:val="NormalIndent1"/>
        <w:jc w:val="left"/>
      </w:pPr>
      <w:r w:rsidRPr="004852AD">
        <w:t xml:space="preserve">Teriparatide was not genotoxic in assays for gene mutations (Ames test and mouse lymphoma assay </w:t>
      </w:r>
      <w:r w:rsidRPr="00E629E1">
        <w:rPr>
          <w:i/>
          <w:iCs/>
        </w:rPr>
        <w:t>in vitro</w:t>
      </w:r>
      <w:r w:rsidRPr="004852AD">
        <w:t xml:space="preserve">) and chromosomal damage (Chinese hamster ovary cells </w:t>
      </w:r>
      <w:r w:rsidRPr="00E629E1">
        <w:rPr>
          <w:i/>
          <w:iCs/>
        </w:rPr>
        <w:t>in vitro</w:t>
      </w:r>
      <w:r w:rsidRPr="004852AD">
        <w:t xml:space="preserve"> and the mouse micronucleus test </w:t>
      </w:r>
      <w:r w:rsidRPr="00E629E1">
        <w:rPr>
          <w:i/>
          <w:iCs/>
        </w:rPr>
        <w:t>in vivo</w:t>
      </w:r>
      <w:r w:rsidRPr="004852AD">
        <w:t>).</w:t>
      </w:r>
    </w:p>
    <w:p w14:paraId="5701645A" w14:textId="77777777" w:rsidR="005D690B" w:rsidRPr="005D690B" w:rsidRDefault="005D690B" w:rsidP="00980EF6">
      <w:pPr>
        <w:pStyle w:val="NormalIndent1"/>
        <w:jc w:val="left"/>
      </w:pPr>
    </w:p>
    <w:p w14:paraId="6B73BE77" w14:textId="77777777" w:rsidR="001A3992" w:rsidRPr="004C1E87" w:rsidRDefault="00AF5609" w:rsidP="00980EF6">
      <w:pPr>
        <w:pStyle w:val="Heading3"/>
        <w:jc w:val="left"/>
      </w:pPr>
      <w:r w:rsidRPr="004C1E87">
        <w:t>Carcinogenicity</w:t>
      </w:r>
    </w:p>
    <w:p w14:paraId="525EB90A" w14:textId="77777777" w:rsidR="005D690B" w:rsidRPr="005D690B" w:rsidRDefault="005D690B" w:rsidP="00980EF6">
      <w:pPr>
        <w:pStyle w:val="NormalIndent1"/>
        <w:jc w:val="left"/>
      </w:pPr>
    </w:p>
    <w:p w14:paraId="0B34B539" w14:textId="1CD52839" w:rsidR="004852AD" w:rsidRDefault="004852AD" w:rsidP="00980EF6">
      <w:pPr>
        <w:pStyle w:val="NormalIndent1"/>
        <w:jc w:val="left"/>
      </w:pPr>
      <w:r>
        <w:t>Two carcinogenicity bioassays were conducted in rats. In the first study, male and female rats were given daily subcutaneous teriparatide injections of 5, 30, or 75</w:t>
      </w:r>
      <w:r w:rsidR="00555407">
        <w:t> micrograms</w:t>
      </w:r>
      <w:r>
        <w:t>/kg/day for 24 months from 2 months of age. These doses resulted in systemic exposures that were, respectively, 3, 20, and 60 times higher than the systemic exposure observed in humans following a subcutaneous dose of 20</w:t>
      </w:r>
      <w:r w:rsidR="009A4DB7">
        <w:t> </w:t>
      </w:r>
      <w:r w:rsidR="00555407">
        <w:t>micrograms</w:t>
      </w:r>
      <w:r>
        <w:t xml:space="preserve"> (based on AUC comparison). Teriparatide treatment resulted in a marked dose-related increase in the incidence of osteosarcoma, a rare malignant bone tumour, in both male and female rats. Osteosarcomas were observed at all doses, occurred after 17 to 20 months of treatment, and reached an incidence of 38% to 52% in the high-dose groups. Teriparatide also caused increased incidences of osteoblastoma and osteoma in both sexes. No osteosarcomas, osteoblastomas or osteomas were observed in untreated control rats. The bone tumours in rats occurred in association with a large increase in bone mass and focal osteoblast hyperplasia. </w:t>
      </w:r>
    </w:p>
    <w:p w14:paraId="00190AF3" w14:textId="0CAFCF4B" w:rsidR="004852AD" w:rsidRDefault="004852AD" w:rsidP="00980EF6">
      <w:pPr>
        <w:pStyle w:val="NormalIndent1"/>
        <w:jc w:val="left"/>
      </w:pPr>
    </w:p>
    <w:p w14:paraId="5BC5CB71" w14:textId="07C8C232" w:rsidR="004852AD" w:rsidRDefault="004852AD" w:rsidP="00980EF6">
      <w:pPr>
        <w:pStyle w:val="NormalIndent1"/>
        <w:jc w:val="left"/>
      </w:pPr>
      <w:r>
        <w:t>The second 2-year study was carried out in order to determine the effect of treatment duration and animal age on the development of bone tumours. Female rats were treated for different periods between 2 and 26 months of age with subcutaneous doses of 5 and 30</w:t>
      </w:r>
      <w:r w:rsidR="009A4DB7">
        <w:t> </w:t>
      </w:r>
      <w:r w:rsidR="00555407">
        <w:t>micrograms</w:t>
      </w:r>
      <w:r>
        <w:t>/kg (equivalent to 3 and 20</w:t>
      </w:r>
      <w:r w:rsidR="00F70E77">
        <w:t> </w:t>
      </w:r>
      <w:r>
        <w:t>times the human exposure at the 20</w:t>
      </w:r>
      <w:r w:rsidR="009A4DB7">
        <w:t> </w:t>
      </w:r>
      <w:r w:rsidR="00555407">
        <w:t>microgram</w:t>
      </w:r>
      <w:r>
        <w:t xml:space="preserve"> dose, based on AUC). The study showed that the occurrence of osteosarcoma, osteoblastoma and osteoma was dependent upon dose and duration of exposure. Bone tumours were observed when immature 2-month old rats were treated with 30</w:t>
      </w:r>
      <w:r w:rsidR="009A4DB7">
        <w:t> </w:t>
      </w:r>
      <w:r w:rsidR="00555407">
        <w:t>micrograms</w:t>
      </w:r>
      <w:r>
        <w:t>/kg/day for 6 or 24</w:t>
      </w:r>
      <w:r w:rsidR="00F42CA5">
        <w:t> </w:t>
      </w:r>
      <w:r>
        <w:t>months. Bone tumours were also observed when mature 6-month old rats were treated with 30</w:t>
      </w:r>
      <w:r w:rsidR="00F42CA5">
        <w:t> </w:t>
      </w:r>
      <w:r w:rsidR="00555407">
        <w:t>micrograms</w:t>
      </w:r>
      <w:r>
        <w:t>/kg/day for 6 or 20 months. Tumours were not detected when mature 6-month old rats were treated with 5</w:t>
      </w:r>
      <w:r w:rsidR="009A4DB7">
        <w:t> </w:t>
      </w:r>
      <w:r w:rsidR="00555407">
        <w:t>micrograms</w:t>
      </w:r>
      <w:r>
        <w:t xml:space="preserve">/kg/day for 6 or 20 months. The results did not demonstrate a difference in susceptibility to bone tumour formation, associated with teriparatide treatment, between mature and immature rats. The relevance of these rat findings to humans is uncertain. </w:t>
      </w:r>
    </w:p>
    <w:p w14:paraId="4E1A8C9C" w14:textId="4FB03867" w:rsidR="004852AD" w:rsidRDefault="004852AD" w:rsidP="00980EF6">
      <w:pPr>
        <w:pStyle w:val="NormalIndent1"/>
        <w:jc w:val="left"/>
      </w:pPr>
    </w:p>
    <w:p w14:paraId="16ED9E5C" w14:textId="3BCEA293" w:rsidR="005D690B" w:rsidRPr="005D690B" w:rsidRDefault="004852AD" w:rsidP="00980EF6">
      <w:pPr>
        <w:pStyle w:val="NormalIndent1"/>
        <w:jc w:val="left"/>
      </w:pPr>
      <w:r>
        <w:t>No bone neoplasms or preneoplastic lesions were found in monkeys treated with teriparatide SC for 18</w:t>
      </w:r>
      <w:r w:rsidR="00F70E77">
        <w:t> </w:t>
      </w:r>
      <w:r>
        <w:t>months, and then observed for a further 3 years, at a dose yielding 5</w:t>
      </w:r>
      <w:r w:rsidR="00192AFB">
        <w:t>-</w:t>
      </w:r>
      <w:r>
        <w:t>fold clinical exposure levels (based on AUC data).</w:t>
      </w:r>
    </w:p>
    <w:p w14:paraId="350CF6F3" w14:textId="77777777" w:rsidR="001A3992" w:rsidRDefault="005D690B" w:rsidP="00980EF6">
      <w:pPr>
        <w:pStyle w:val="Heading1"/>
        <w:jc w:val="left"/>
        <w:rPr>
          <w:caps/>
          <w:lang w:val="en-US"/>
        </w:rPr>
      </w:pPr>
      <w:r w:rsidRPr="005D690B">
        <w:rPr>
          <w:lang w:val="en-US"/>
        </w:rPr>
        <w:t>PHARMACEUTICAL PARTICULARS</w:t>
      </w:r>
    </w:p>
    <w:p w14:paraId="5F6C223F" w14:textId="77777777" w:rsidR="000D27A3" w:rsidRPr="005D690B" w:rsidRDefault="000D27A3" w:rsidP="00980EF6">
      <w:pPr>
        <w:pStyle w:val="NormalIndent1"/>
        <w:jc w:val="left"/>
      </w:pPr>
    </w:p>
    <w:p w14:paraId="0FD71F31" w14:textId="77777777" w:rsidR="001A3992" w:rsidRPr="00EB03C8" w:rsidRDefault="004A3628" w:rsidP="00980EF6">
      <w:pPr>
        <w:pStyle w:val="Heading2"/>
        <w:jc w:val="left"/>
        <w:rPr>
          <w:smallCaps/>
          <w:lang w:val="en-US"/>
        </w:rPr>
      </w:pPr>
      <w:r>
        <w:rPr>
          <w:lang w:val="en-US"/>
        </w:rPr>
        <w:t>6.1</w:t>
      </w:r>
      <w:r>
        <w:rPr>
          <w:lang w:val="en-US"/>
        </w:rPr>
        <w:tab/>
      </w:r>
      <w:r w:rsidR="001A3992" w:rsidRPr="00EB03C8">
        <w:rPr>
          <w:lang w:val="en-US"/>
        </w:rPr>
        <w:t xml:space="preserve">List of </w:t>
      </w:r>
      <w:r w:rsidR="00EB03C8" w:rsidRPr="00EB03C8">
        <w:rPr>
          <w:lang w:val="en-US"/>
        </w:rPr>
        <w:t>Excipients</w:t>
      </w:r>
    </w:p>
    <w:p w14:paraId="4AD462CE" w14:textId="77777777" w:rsidR="00EB03C8" w:rsidRDefault="00EB03C8" w:rsidP="00980EF6">
      <w:pPr>
        <w:pStyle w:val="NormalIndent1"/>
        <w:jc w:val="left"/>
        <w:rPr>
          <w:lang w:val="en"/>
        </w:rPr>
      </w:pPr>
    </w:p>
    <w:p w14:paraId="2DA1F8A9" w14:textId="7EC94965" w:rsidR="004852AD" w:rsidRDefault="004852AD" w:rsidP="00980EF6">
      <w:pPr>
        <w:pStyle w:val="Bullet1"/>
        <w:jc w:val="left"/>
      </w:pPr>
      <w:r>
        <w:t xml:space="preserve">Glacial acetic acid </w:t>
      </w:r>
    </w:p>
    <w:p w14:paraId="39CD375F" w14:textId="0B11B130" w:rsidR="004852AD" w:rsidRDefault="004852AD" w:rsidP="00980EF6">
      <w:pPr>
        <w:pStyle w:val="Bullet1"/>
        <w:jc w:val="left"/>
      </w:pPr>
      <w:r>
        <w:t xml:space="preserve">Sodium acetate </w:t>
      </w:r>
    </w:p>
    <w:p w14:paraId="10D21866" w14:textId="40C73DE7" w:rsidR="004852AD" w:rsidRDefault="004852AD" w:rsidP="00980EF6">
      <w:pPr>
        <w:pStyle w:val="Bullet1"/>
        <w:jc w:val="left"/>
      </w:pPr>
      <w:r>
        <w:t xml:space="preserve">Mannitol </w:t>
      </w:r>
    </w:p>
    <w:p w14:paraId="66FEAF35" w14:textId="369E9AFD" w:rsidR="004852AD" w:rsidRDefault="004852AD" w:rsidP="00980EF6">
      <w:pPr>
        <w:pStyle w:val="Bullet1"/>
        <w:jc w:val="left"/>
      </w:pPr>
      <w:r>
        <w:t xml:space="preserve">Metacresol </w:t>
      </w:r>
    </w:p>
    <w:p w14:paraId="53948042" w14:textId="7DACAE1A" w:rsidR="004852AD" w:rsidRDefault="004852AD" w:rsidP="00980EF6">
      <w:pPr>
        <w:pStyle w:val="Bullet1"/>
        <w:jc w:val="left"/>
      </w:pPr>
      <w:r>
        <w:t xml:space="preserve">Water for injections </w:t>
      </w:r>
    </w:p>
    <w:p w14:paraId="5E074015" w14:textId="64A0259C" w:rsidR="007C747D" w:rsidRDefault="004852AD" w:rsidP="00980EF6">
      <w:pPr>
        <w:pStyle w:val="Bullet1"/>
        <w:jc w:val="left"/>
      </w:pPr>
      <w:r>
        <w:t xml:space="preserve">Hydrochloric acid </w:t>
      </w:r>
      <w:r w:rsidR="007C747D">
        <w:t>(for pH adjustment)</w:t>
      </w:r>
    </w:p>
    <w:p w14:paraId="09AD128C" w14:textId="1068CD46" w:rsidR="00ED2466" w:rsidRDefault="007C747D" w:rsidP="00980EF6">
      <w:pPr>
        <w:pStyle w:val="Bullet1"/>
        <w:jc w:val="left"/>
      </w:pPr>
      <w:r>
        <w:t>S</w:t>
      </w:r>
      <w:r w:rsidR="004852AD">
        <w:t xml:space="preserve">odium hydroxide (for pH adjustment) </w:t>
      </w:r>
    </w:p>
    <w:p w14:paraId="4FAD4AC4" w14:textId="77777777" w:rsidR="001A3992" w:rsidRPr="00EB03C8" w:rsidRDefault="004A3628" w:rsidP="00980EF6">
      <w:pPr>
        <w:pStyle w:val="Heading2"/>
        <w:jc w:val="left"/>
        <w:rPr>
          <w:smallCaps/>
          <w:lang w:val="en-US"/>
        </w:rPr>
      </w:pPr>
      <w:r>
        <w:rPr>
          <w:lang w:val="en-US"/>
        </w:rPr>
        <w:lastRenderedPageBreak/>
        <w:t>6.2</w:t>
      </w:r>
      <w:r>
        <w:rPr>
          <w:lang w:val="en-US"/>
        </w:rPr>
        <w:tab/>
      </w:r>
      <w:r w:rsidR="001A3992" w:rsidRPr="00EB03C8">
        <w:rPr>
          <w:lang w:val="en-US"/>
        </w:rPr>
        <w:t>Incompatibilities</w:t>
      </w:r>
    </w:p>
    <w:p w14:paraId="461A2D1A" w14:textId="77777777" w:rsidR="00EB03C8" w:rsidRDefault="00EB03C8" w:rsidP="00980EF6">
      <w:pPr>
        <w:pStyle w:val="NormalIndent1"/>
        <w:jc w:val="left"/>
        <w:rPr>
          <w:lang w:val="en"/>
        </w:rPr>
      </w:pPr>
    </w:p>
    <w:p w14:paraId="7541077F" w14:textId="1F5D3C48" w:rsidR="00497C85" w:rsidRDefault="00497C85" w:rsidP="00980EF6">
      <w:pPr>
        <w:pStyle w:val="NormalIndent1"/>
        <w:jc w:val="left"/>
        <w:rPr>
          <w:lang w:val="en"/>
        </w:rPr>
      </w:pPr>
      <w:r w:rsidRPr="00EB03C8">
        <w:rPr>
          <w:lang w:val="en"/>
        </w:rPr>
        <w:t xml:space="preserve">Incompatibilities were either not assessed or not identified as part of the registration of this medicine. </w:t>
      </w:r>
      <w:r w:rsidR="00ED2466">
        <w:rPr>
          <w:lang w:val="en"/>
        </w:rPr>
        <w:t xml:space="preserve"> </w:t>
      </w:r>
    </w:p>
    <w:p w14:paraId="56DE64C1" w14:textId="2CCC2EB5" w:rsidR="007C747D" w:rsidRDefault="007C747D" w:rsidP="00980EF6">
      <w:pPr>
        <w:pStyle w:val="NormalIndent1"/>
        <w:jc w:val="left"/>
        <w:rPr>
          <w:lang w:val="en"/>
        </w:rPr>
      </w:pPr>
    </w:p>
    <w:p w14:paraId="3028B37E" w14:textId="7283005F" w:rsidR="007C747D" w:rsidRPr="00AA7727" w:rsidRDefault="007C747D" w:rsidP="00980EF6">
      <w:pPr>
        <w:pStyle w:val="NormalIndent1"/>
        <w:jc w:val="left"/>
        <w:rPr>
          <w:lang w:val="en"/>
        </w:rPr>
      </w:pPr>
      <w:r w:rsidRPr="007C747D">
        <w:rPr>
          <w:lang w:val="en"/>
        </w:rPr>
        <w:t>In the absence of compatibility studies, this medicinal product must not be mixed with other medicinal products.</w:t>
      </w:r>
    </w:p>
    <w:p w14:paraId="5AC99729" w14:textId="77777777" w:rsidR="00EB03C8" w:rsidRPr="00AA7727" w:rsidRDefault="00EB03C8" w:rsidP="00980EF6">
      <w:pPr>
        <w:pStyle w:val="NormalIndent1"/>
        <w:jc w:val="left"/>
        <w:rPr>
          <w:lang w:val="en-US"/>
        </w:rPr>
      </w:pPr>
    </w:p>
    <w:p w14:paraId="02B8DBD6" w14:textId="77777777" w:rsidR="001A3992" w:rsidRPr="00EB03C8" w:rsidRDefault="004A3628" w:rsidP="00980EF6">
      <w:pPr>
        <w:pStyle w:val="Heading2"/>
        <w:jc w:val="left"/>
        <w:rPr>
          <w:smallCaps/>
          <w:lang w:val="en-US"/>
        </w:rPr>
      </w:pPr>
      <w:r>
        <w:rPr>
          <w:lang w:val="en-US"/>
        </w:rPr>
        <w:t>6.3</w:t>
      </w:r>
      <w:r>
        <w:rPr>
          <w:lang w:val="en-US"/>
        </w:rPr>
        <w:tab/>
      </w:r>
      <w:r w:rsidR="001A3992" w:rsidRPr="00EB03C8">
        <w:rPr>
          <w:lang w:val="en-US"/>
        </w:rPr>
        <w:t xml:space="preserve">Shelf </w:t>
      </w:r>
      <w:r w:rsidR="00EB03C8" w:rsidRPr="00EB03C8">
        <w:rPr>
          <w:lang w:val="en-US"/>
        </w:rPr>
        <w:t>Life</w:t>
      </w:r>
    </w:p>
    <w:p w14:paraId="08D64F5A" w14:textId="77777777" w:rsidR="00EB03C8" w:rsidRDefault="00EB03C8" w:rsidP="00980EF6">
      <w:pPr>
        <w:pStyle w:val="NormalIndent1"/>
        <w:jc w:val="left"/>
        <w:rPr>
          <w:lang w:val="en"/>
        </w:rPr>
      </w:pPr>
    </w:p>
    <w:p w14:paraId="04D50216" w14:textId="79ECDCFE" w:rsidR="004852AD" w:rsidRDefault="00497C85" w:rsidP="00980EF6">
      <w:pPr>
        <w:pStyle w:val="NormalIndent1"/>
        <w:jc w:val="left"/>
        <w:rPr>
          <w:lang w:val="en"/>
        </w:rPr>
      </w:pPr>
      <w:r w:rsidRPr="00EB03C8">
        <w:rPr>
          <w:lang w:val="en"/>
        </w:rPr>
        <w:t xml:space="preserve">In Australia, information on the shelf life can be found on the public summary of the Australian Register of Therapeutic Goods (ARTG). The expiry date can be found on the packaging. </w:t>
      </w:r>
      <w:r w:rsidR="00ED2466">
        <w:rPr>
          <w:lang w:val="en"/>
        </w:rPr>
        <w:t xml:space="preserve"> </w:t>
      </w:r>
    </w:p>
    <w:p w14:paraId="0EE703F9" w14:textId="77777777" w:rsidR="00BF3B32" w:rsidRDefault="00BF3B32" w:rsidP="00980EF6">
      <w:pPr>
        <w:pStyle w:val="NormalIndent1"/>
        <w:jc w:val="left"/>
        <w:rPr>
          <w:lang w:val="en"/>
        </w:rPr>
      </w:pPr>
    </w:p>
    <w:p w14:paraId="66211799" w14:textId="1898BA51" w:rsidR="00BF3B32" w:rsidRDefault="004852AD" w:rsidP="00980EF6">
      <w:pPr>
        <w:pStyle w:val="NormalIndent1"/>
        <w:jc w:val="left"/>
        <w:rPr>
          <w:rFonts w:cstheme="minorHAnsi"/>
          <w:i/>
          <w:color w:val="000000" w:themeColor="text1"/>
          <w:lang w:val="en"/>
        </w:rPr>
      </w:pPr>
      <w:r w:rsidRPr="00BF032A">
        <w:rPr>
          <w:rFonts w:cstheme="minorHAnsi"/>
          <w:iCs/>
          <w:color w:val="000000" w:themeColor="text1"/>
          <w:lang w:val="en"/>
        </w:rPr>
        <w:t xml:space="preserve">Each </w:t>
      </w:r>
      <w:r w:rsidR="00884357">
        <w:rPr>
          <w:color w:val="000000" w:themeColor="text1"/>
        </w:rPr>
        <w:t>T</w:t>
      </w:r>
      <w:r w:rsidR="00884357" w:rsidRPr="00BF032A">
        <w:rPr>
          <w:color w:val="000000" w:themeColor="text1"/>
        </w:rPr>
        <w:t>eriparatide</w:t>
      </w:r>
      <w:r w:rsidR="00884357">
        <w:rPr>
          <w:color w:val="000000" w:themeColor="text1"/>
        </w:rPr>
        <w:t xml:space="preserve"> </w:t>
      </w:r>
      <w:r w:rsidR="00192AFB">
        <w:rPr>
          <w:color w:val="000000" w:themeColor="text1"/>
        </w:rPr>
        <w:t xml:space="preserve">Lupin </w:t>
      </w:r>
      <w:r w:rsidRPr="00BF032A">
        <w:rPr>
          <w:rFonts w:cstheme="minorHAnsi"/>
          <w:iCs/>
          <w:color w:val="000000" w:themeColor="text1"/>
          <w:lang w:val="en"/>
        </w:rPr>
        <w:t>pen can be used for up to 28 days after the first injection.</w:t>
      </w:r>
      <w:r w:rsidRPr="00BF032A">
        <w:rPr>
          <w:rFonts w:cstheme="minorHAnsi"/>
          <w:i/>
          <w:color w:val="000000" w:themeColor="text1"/>
          <w:lang w:val="en"/>
        </w:rPr>
        <w:t xml:space="preserve">  </w:t>
      </w:r>
    </w:p>
    <w:p w14:paraId="703138F1" w14:textId="77777777" w:rsidR="00EB03C8" w:rsidRPr="00AA7727" w:rsidRDefault="00EB03C8" w:rsidP="00980EF6">
      <w:pPr>
        <w:pStyle w:val="NormalIndent1"/>
        <w:jc w:val="left"/>
        <w:rPr>
          <w:lang w:val="en-US"/>
        </w:rPr>
      </w:pPr>
    </w:p>
    <w:p w14:paraId="2B625FD7" w14:textId="77777777" w:rsidR="001A3992" w:rsidRDefault="004A3628" w:rsidP="00980EF6">
      <w:pPr>
        <w:pStyle w:val="Heading2"/>
        <w:jc w:val="left"/>
        <w:rPr>
          <w:smallCaps/>
          <w:lang w:val="en-US"/>
        </w:rPr>
      </w:pPr>
      <w:r>
        <w:rPr>
          <w:lang w:val="en-US"/>
        </w:rPr>
        <w:t>6.4</w:t>
      </w:r>
      <w:r>
        <w:rPr>
          <w:lang w:val="en-US"/>
        </w:rPr>
        <w:tab/>
      </w:r>
      <w:r w:rsidR="001A3992" w:rsidRPr="00EB03C8">
        <w:rPr>
          <w:lang w:val="en-US"/>
        </w:rPr>
        <w:t xml:space="preserve">Special </w:t>
      </w:r>
      <w:r w:rsidR="00EB03C8" w:rsidRPr="00EB03C8">
        <w:rPr>
          <w:lang w:val="en-US"/>
        </w:rPr>
        <w:t xml:space="preserve">Precautions </w:t>
      </w:r>
      <w:r w:rsidR="001A3992" w:rsidRPr="00EB03C8">
        <w:rPr>
          <w:lang w:val="en-US"/>
        </w:rPr>
        <w:t xml:space="preserve">for </w:t>
      </w:r>
      <w:r w:rsidR="00EB03C8" w:rsidRPr="00EB03C8">
        <w:rPr>
          <w:lang w:val="en-US"/>
        </w:rPr>
        <w:t>Storage</w:t>
      </w:r>
    </w:p>
    <w:p w14:paraId="780374B9" w14:textId="77777777" w:rsidR="00EB03C8" w:rsidRPr="005D690B" w:rsidRDefault="00EB03C8" w:rsidP="00980EF6">
      <w:pPr>
        <w:pStyle w:val="NormalIndent1"/>
        <w:jc w:val="left"/>
      </w:pPr>
    </w:p>
    <w:p w14:paraId="4C1BC78D" w14:textId="1362FE87" w:rsidR="004852AD" w:rsidRDefault="004852AD" w:rsidP="00980EF6">
      <w:pPr>
        <w:pStyle w:val="NormalIndent1"/>
        <w:jc w:val="left"/>
      </w:pPr>
      <w:r>
        <w:t>Store at 2</w:t>
      </w:r>
      <w:r w:rsidR="009A4DB7" w:rsidRPr="009A4DB7">
        <w:rPr>
          <w:rFonts w:cstheme="minorHAnsi"/>
          <w:iCs/>
          <w:color w:val="000000" w:themeColor="text1"/>
          <w:vertAlign w:val="superscript"/>
          <w:lang w:val="en"/>
        </w:rPr>
        <w:t>o</w:t>
      </w:r>
      <w:r w:rsidR="009A4DB7">
        <w:t>C</w:t>
      </w:r>
      <w:r>
        <w:t xml:space="preserve"> to 8</w:t>
      </w:r>
      <w:r w:rsidR="009A4DB7" w:rsidRPr="009A4DB7">
        <w:rPr>
          <w:rFonts w:cstheme="minorHAnsi"/>
          <w:iCs/>
          <w:color w:val="000000" w:themeColor="text1"/>
          <w:vertAlign w:val="superscript"/>
          <w:lang w:val="en"/>
        </w:rPr>
        <w:t>o</w:t>
      </w:r>
      <w:r>
        <w:t xml:space="preserve">C. Refrigerate. Do not freeze. </w:t>
      </w:r>
    </w:p>
    <w:p w14:paraId="2D61E082" w14:textId="77777777" w:rsidR="000D27A3" w:rsidRDefault="000D27A3" w:rsidP="00980EF6">
      <w:pPr>
        <w:pStyle w:val="NormalIndent1"/>
        <w:jc w:val="left"/>
      </w:pPr>
    </w:p>
    <w:p w14:paraId="2BE4E6BB" w14:textId="62AED782" w:rsidR="005F2014" w:rsidRDefault="005F2014" w:rsidP="00980EF6">
      <w:pPr>
        <w:pStyle w:val="NormalIndent1"/>
        <w:jc w:val="left"/>
        <w:rPr>
          <w:rFonts w:cstheme="minorHAnsi"/>
          <w:iCs/>
          <w:color w:val="000000" w:themeColor="text1"/>
          <w:lang w:val="en"/>
        </w:rPr>
      </w:pPr>
      <w:r w:rsidRPr="00BF3B32">
        <w:rPr>
          <w:rFonts w:cstheme="minorHAnsi"/>
          <w:iCs/>
          <w:color w:val="000000" w:themeColor="text1"/>
          <w:lang w:val="en"/>
        </w:rPr>
        <w:t>Chemical, physical and microbiological in-use stability has been demonstrated for 28 days at 2-8°C. Once opened, the product may be stored for a maximum of 28 days at 2</w:t>
      </w:r>
      <w:r w:rsidRPr="009A4DB7">
        <w:rPr>
          <w:rFonts w:cstheme="minorHAnsi"/>
          <w:iCs/>
          <w:color w:val="000000" w:themeColor="text1"/>
          <w:vertAlign w:val="superscript"/>
          <w:lang w:val="en"/>
        </w:rPr>
        <w:t>o</w:t>
      </w:r>
      <w:r w:rsidRPr="00BF3B32">
        <w:rPr>
          <w:rFonts w:cstheme="minorHAnsi"/>
          <w:iCs/>
          <w:color w:val="000000" w:themeColor="text1"/>
          <w:lang w:val="en"/>
        </w:rPr>
        <w:t>C to 8</w:t>
      </w:r>
      <w:r w:rsidRPr="009A4DB7">
        <w:rPr>
          <w:rFonts w:cstheme="minorHAnsi"/>
          <w:iCs/>
          <w:color w:val="000000" w:themeColor="text1"/>
          <w:vertAlign w:val="superscript"/>
          <w:lang w:val="en"/>
        </w:rPr>
        <w:t>o</w:t>
      </w:r>
      <w:r w:rsidRPr="00BF3B32">
        <w:rPr>
          <w:rFonts w:cstheme="minorHAnsi"/>
          <w:iCs/>
          <w:color w:val="000000" w:themeColor="text1"/>
          <w:lang w:val="en"/>
        </w:rPr>
        <w:t xml:space="preserve">C. </w:t>
      </w:r>
    </w:p>
    <w:p w14:paraId="139C508B" w14:textId="77777777" w:rsidR="005F2014" w:rsidRPr="00BF3B32" w:rsidRDefault="005F2014" w:rsidP="00980EF6">
      <w:pPr>
        <w:pStyle w:val="NormalIndent1"/>
        <w:jc w:val="left"/>
        <w:rPr>
          <w:iCs/>
          <w:color w:val="000000" w:themeColor="text1"/>
          <w:lang w:val="en"/>
        </w:rPr>
      </w:pPr>
    </w:p>
    <w:p w14:paraId="408573EF" w14:textId="6AE0B0F3" w:rsidR="00BF3B32" w:rsidRDefault="004852AD" w:rsidP="00980EF6">
      <w:pPr>
        <w:pStyle w:val="NormalIndent1"/>
        <w:jc w:val="left"/>
      </w:pPr>
      <w:r>
        <w:t xml:space="preserve">The dose may be delivered immediately following removal from the refrigerator. Do not allow </w:t>
      </w:r>
      <w:r w:rsidR="00884357">
        <w:rPr>
          <w:color w:val="000000" w:themeColor="text1"/>
        </w:rPr>
        <w:t>T</w:t>
      </w:r>
      <w:r w:rsidR="00884357" w:rsidRPr="00BF032A">
        <w:rPr>
          <w:color w:val="000000" w:themeColor="text1"/>
        </w:rPr>
        <w:t>eriparatide</w:t>
      </w:r>
      <w:r w:rsidR="00884357">
        <w:rPr>
          <w:color w:val="000000" w:themeColor="text1"/>
        </w:rPr>
        <w:t xml:space="preserve"> </w:t>
      </w:r>
      <w:r w:rsidR="00192AFB">
        <w:rPr>
          <w:color w:val="000000" w:themeColor="text1"/>
        </w:rPr>
        <w:t xml:space="preserve">Lupin </w:t>
      </w:r>
      <w:r>
        <w:t xml:space="preserve">to freeze. Do not use </w:t>
      </w:r>
      <w:r w:rsidR="00884357">
        <w:rPr>
          <w:color w:val="000000" w:themeColor="text1"/>
        </w:rPr>
        <w:t>T</w:t>
      </w:r>
      <w:r w:rsidR="00884357" w:rsidRPr="00BF032A">
        <w:rPr>
          <w:color w:val="000000" w:themeColor="text1"/>
        </w:rPr>
        <w:t>eriparatide</w:t>
      </w:r>
      <w:r w:rsidR="00884357">
        <w:rPr>
          <w:color w:val="000000" w:themeColor="text1"/>
        </w:rPr>
        <w:t xml:space="preserve"> Lupin</w:t>
      </w:r>
      <w:r>
        <w:t xml:space="preserve"> if it has been frozen. During the use period, minimise the time the pen remains out of the refrigerator.</w:t>
      </w:r>
    </w:p>
    <w:p w14:paraId="180BC096" w14:textId="77777777" w:rsidR="00BF3B32" w:rsidRDefault="00BF3B32" w:rsidP="00980EF6">
      <w:pPr>
        <w:pStyle w:val="NormalIndent1"/>
        <w:jc w:val="left"/>
      </w:pPr>
    </w:p>
    <w:p w14:paraId="2E8AF1C7" w14:textId="7F9EA1D0" w:rsidR="00BF3B32" w:rsidRDefault="00BF3B32" w:rsidP="00980EF6">
      <w:pPr>
        <w:pStyle w:val="NormalIndent1"/>
        <w:jc w:val="left"/>
      </w:pPr>
      <w:r w:rsidRPr="00BF3B32">
        <w:t>Close the pen with the pen cap after use (due to light sensitivity of the solution for injection). The pen should be returned to the refrigerator immediately after use. Do not store the injection device with the needle attached.</w:t>
      </w:r>
    </w:p>
    <w:p w14:paraId="55E34BE5" w14:textId="36709E30" w:rsidR="00EB03C8" w:rsidRPr="005D690B" w:rsidRDefault="00EB03C8" w:rsidP="00980EF6">
      <w:pPr>
        <w:pStyle w:val="NormalIndent1"/>
        <w:jc w:val="left"/>
      </w:pPr>
    </w:p>
    <w:p w14:paraId="0BE37D24" w14:textId="77777777" w:rsidR="001A3992" w:rsidRDefault="004A3628" w:rsidP="00980EF6">
      <w:pPr>
        <w:pStyle w:val="Heading2"/>
        <w:jc w:val="left"/>
        <w:rPr>
          <w:smallCaps/>
          <w:lang w:val="en-US"/>
        </w:rPr>
      </w:pPr>
      <w:r>
        <w:rPr>
          <w:lang w:val="en-US"/>
        </w:rPr>
        <w:t>6.5</w:t>
      </w:r>
      <w:r>
        <w:rPr>
          <w:lang w:val="en-US"/>
        </w:rPr>
        <w:tab/>
      </w:r>
      <w:r w:rsidR="001A3992" w:rsidRPr="00EB03C8">
        <w:rPr>
          <w:lang w:val="en-US"/>
        </w:rPr>
        <w:t xml:space="preserve">Nature and </w:t>
      </w:r>
      <w:r w:rsidR="00EB03C8" w:rsidRPr="00EB03C8">
        <w:rPr>
          <w:lang w:val="en-US"/>
        </w:rPr>
        <w:t xml:space="preserve">Contents </w:t>
      </w:r>
      <w:r w:rsidR="001A3992" w:rsidRPr="00EB03C8">
        <w:rPr>
          <w:lang w:val="en-US"/>
        </w:rPr>
        <w:t xml:space="preserve">of </w:t>
      </w:r>
      <w:r w:rsidR="00EB03C8" w:rsidRPr="00EB03C8">
        <w:rPr>
          <w:lang w:val="en-US"/>
        </w:rPr>
        <w:t>Container</w:t>
      </w:r>
    </w:p>
    <w:p w14:paraId="3144859A" w14:textId="77777777" w:rsidR="00EB03C8" w:rsidRPr="005D690B" w:rsidRDefault="00EB03C8" w:rsidP="00980EF6">
      <w:pPr>
        <w:pStyle w:val="NormalIndent1"/>
        <w:jc w:val="left"/>
      </w:pPr>
    </w:p>
    <w:p w14:paraId="6BD3F318" w14:textId="02BA2FC1" w:rsidR="00BF3B32" w:rsidRDefault="00BF3B32" w:rsidP="00980EF6">
      <w:pPr>
        <w:pStyle w:val="NormalIndent1"/>
        <w:jc w:val="left"/>
      </w:pPr>
      <w:r w:rsidRPr="00BF3B32">
        <w:t>Teriparatide Lupin</w:t>
      </w:r>
      <w:r w:rsidR="003F082F">
        <w:t xml:space="preserve"> pre-filled injection pen contains</w:t>
      </w:r>
      <w:r w:rsidRPr="00BF3B32">
        <w:t xml:space="preserve"> </w:t>
      </w:r>
      <w:r>
        <w:t>2.4</w:t>
      </w:r>
      <w:r w:rsidR="009A4DB7">
        <w:t> </w:t>
      </w:r>
      <w:r>
        <w:t xml:space="preserve">mL solution in </w:t>
      </w:r>
      <w:r w:rsidR="003F082F">
        <w:t xml:space="preserve">a </w:t>
      </w:r>
      <w:r>
        <w:t xml:space="preserve">cartridge (siliconised Type I glass) with a plunger, rubber disc and aluminium cap assembled into a disposable pen. </w:t>
      </w:r>
    </w:p>
    <w:p w14:paraId="3D21D98D" w14:textId="77777777" w:rsidR="00BF3B32" w:rsidRDefault="00BF3B32" w:rsidP="00980EF6">
      <w:pPr>
        <w:pStyle w:val="NormalIndent1"/>
        <w:jc w:val="left"/>
      </w:pPr>
    </w:p>
    <w:p w14:paraId="56A3DD8C" w14:textId="31D81DA4" w:rsidR="00BF3B32" w:rsidRDefault="00BF3B32" w:rsidP="00980EF6">
      <w:pPr>
        <w:pStyle w:val="NormalIndent1"/>
        <w:jc w:val="left"/>
      </w:pPr>
      <w:r>
        <w:t>Teriparatide Lupin is available in the following pack sizes:</w:t>
      </w:r>
    </w:p>
    <w:p w14:paraId="62812DC1" w14:textId="54273A8F" w:rsidR="00BF3B32" w:rsidRDefault="00BF3B32" w:rsidP="00980EF6">
      <w:pPr>
        <w:pStyle w:val="Bullet1"/>
        <w:jc w:val="left"/>
      </w:pPr>
      <w:r>
        <w:t>1 pen</w:t>
      </w:r>
      <w:r w:rsidR="009A4DB7">
        <w:t>;</w:t>
      </w:r>
    </w:p>
    <w:p w14:paraId="10C5306A" w14:textId="2F3D6408" w:rsidR="00BF3B32" w:rsidRDefault="00BF3B32" w:rsidP="00980EF6">
      <w:pPr>
        <w:pStyle w:val="Bullet1"/>
        <w:jc w:val="left"/>
      </w:pPr>
      <w:r>
        <w:t>3 pens</w:t>
      </w:r>
      <w:r w:rsidR="00192AFB">
        <w:t>.</w:t>
      </w:r>
    </w:p>
    <w:p w14:paraId="77DF0A2D" w14:textId="77777777" w:rsidR="00BF3B32" w:rsidRDefault="00BF3B32" w:rsidP="00980EF6">
      <w:pPr>
        <w:pStyle w:val="NormalIndent1"/>
        <w:jc w:val="left"/>
      </w:pPr>
    </w:p>
    <w:p w14:paraId="42965EFA" w14:textId="0A0A413C" w:rsidR="00BF3B32" w:rsidRDefault="00BF3B32" w:rsidP="00980EF6">
      <w:pPr>
        <w:pStyle w:val="NormalIndent1"/>
        <w:jc w:val="left"/>
      </w:pPr>
      <w:r>
        <w:t>Each pen contains 28 doses of 20</w:t>
      </w:r>
      <w:r w:rsidR="009A4DB7">
        <w:t> </w:t>
      </w:r>
      <w:r>
        <w:t>micrograms (per 80</w:t>
      </w:r>
      <w:r w:rsidR="009A4DB7">
        <w:t> </w:t>
      </w:r>
      <w:r>
        <w:t>microlit</w:t>
      </w:r>
      <w:r w:rsidR="009A4DB7">
        <w:t>r</w:t>
      </w:r>
      <w:r>
        <w:t xml:space="preserve">es). </w:t>
      </w:r>
    </w:p>
    <w:p w14:paraId="7752F9AD" w14:textId="45415E01" w:rsidR="00BF3B32" w:rsidRDefault="00BF3B32" w:rsidP="00980EF6">
      <w:pPr>
        <w:pStyle w:val="NormalIndent1"/>
        <w:jc w:val="left"/>
      </w:pPr>
    </w:p>
    <w:p w14:paraId="77C02573" w14:textId="6846CDF6" w:rsidR="00BF3B32" w:rsidRDefault="00BF3B32" w:rsidP="00980EF6">
      <w:pPr>
        <w:pStyle w:val="NormalIndent1"/>
        <w:jc w:val="left"/>
      </w:pPr>
      <w:r>
        <w:t>Not all pack sizes may be marketed.</w:t>
      </w:r>
    </w:p>
    <w:p w14:paraId="11F07754" w14:textId="77777777" w:rsidR="00EB03C8" w:rsidRPr="005D690B" w:rsidRDefault="00EB03C8" w:rsidP="00980EF6">
      <w:pPr>
        <w:pStyle w:val="NormalIndent1"/>
        <w:jc w:val="left"/>
      </w:pPr>
    </w:p>
    <w:p w14:paraId="511E83CB" w14:textId="77777777" w:rsidR="001A3992" w:rsidRPr="00EB03C8" w:rsidRDefault="004A3628" w:rsidP="00980EF6">
      <w:pPr>
        <w:pStyle w:val="Heading2"/>
        <w:jc w:val="left"/>
        <w:rPr>
          <w:smallCaps/>
          <w:lang w:val="en-US"/>
        </w:rPr>
      </w:pPr>
      <w:r>
        <w:rPr>
          <w:lang w:val="en-US"/>
        </w:rPr>
        <w:t>6.6</w:t>
      </w:r>
      <w:r>
        <w:rPr>
          <w:lang w:val="en-US"/>
        </w:rPr>
        <w:tab/>
      </w:r>
      <w:r w:rsidR="001A3992" w:rsidRPr="00EB03C8">
        <w:rPr>
          <w:lang w:val="en-US"/>
        </w:rPr>
        <w:t xml:space="preserve">Special </w:t>
      </w:r>
      <w:r w:rsidR="00EB03C8" w:rsidRPr="00EB03C8">
        <w:rPr>
          <w:lang w:val="en-US"/>
        </w:rPr>
        <w:t xml:space="preserve">Precautions </w:t>
      </w:r>
      <w:r w:rsidR="001A3992" w:rsidRPr="00EB03C8">
        <w:rPr>
          <w:lang w:val="en-US"/>
        </w:rPr>
        <w:t xml:space="preserve">for </w:t>
      </w:r>
      <w:r w:rsidR="00EB03C8" w:rsidRPr="00EB03C8">
        <w:rPr>
          <w:lang w:val="en-US"/>
        </w:rPr>
        <w:t>Disposal</w:t>
      </w:r>
    </w:p>
    <w:p w14:paraId="1AB2D804" w14:textId="77777777" w:rsidR="00EB03C8" w:rsidRDefault="00EB03C8" w:rsidP="00980EF6">
      <w:pPr>
        <w:pStyle w:val="NormalIndent1"/>
        <w:jc w:val="left"/>
        <w:rPr>
          <w:lang w:val="en"/>
        </w:rPr>
      </w:pPr>
    </w:p>
    <w:p w14:paraId="5A15E00D" w14:textId="1BCEDA16" w:rsidR="00497C85" w:rsidRPr="00AE47CE" w:rsidRDefault="00497C85" w:rsidP="00980EF6">
      <w:pPr>
        <w:pStyle w:val="NormalIndent1"/>
        <w:jc w:val="left"/>
        <w:rPr>
          <w:lang w:val="en"/>
        </w:rPr>
      </w:pPr>
      <w:r w:rsidRPr="00EB03C8">
        <w:rPr>
          <w:lang w:val="en"/>
        </w:rPr>
        <w:t xml:space="preserve">In Australia, any unused medicine or waste material should be disposed of by taking to your local pharmacy. </w:t>
      </w:r>
      <w:r w:rsidR="00ED2466">
        <w:rPr>
          <w:lang w:val="en"/>
        </w:rPr>
        <w:t xml:space="preserve"> </w:t>
      </w:r>
    </w:p>
    <w:p w14:paraId="14414152" w14:textId="77777777" w:rsidR="00EB03C8" w:rsidRPr="00EB03C8" w:rsidRDefault="00EB03C8" w:rsidP="00980EF6">
      <w:pPr>
        <w:pStyle w:val="NormalIndent1"/>
        <w:jc w:val="left"/>
        <w:rPr>
          <w:lang w:val="en-US"/>
        </w:rPr>
      </w:pPr>
    </w:p>
    <w:p w14:paraId="26739E2A" w14:textId="77777777" w:rsidR="001A3992" w:rsidRDefault="004A3628" w:rsidP="00884815">
      <w:pPr>
        <w:pStyle w:val="Heading2"/>
        <w:pageBreakBefore/>
        <w:jc w:val="left"/>
        <w:rPr>
          <w:smallCaps/>
          <w:lang w:val="en-US"/>
        </w:rPr>
      </w:pPr>
      <w:r>
        <w:rPr>
          <w:lang w:val="en-US"/>
        </w:rPr>
        <w:lastRenderedPageBreak/>
        <w:t>6.7</w:t>
      </w:r>
      <w:r>
        <w:rPr>
          <w:lang w:val="en-US"/>
        </w:rPr>
        <w:tab/>
      </w:r>
      <w:r w:rsidR="001A3992" w:rsidRPr="00EB03C8">
        <w:rPr>
          <w:lang w:val="en-US"/>
        </w:rPr>
        <w:t xml:space="preserve">Physicochemical </w:t>
      </w:r>
      <w:r w:rsidR="00EB03C8" w:rsidRPr="00EB03C8">
        <w:rPr>
          <w:lang w:val="en-US"/>
        </w:rPr>
        <w:t>Properties</w:t>
      </w:r>
    </w:p>
    <w:p w14:paraId="53FF8576" w14:textId="77777777" w:rsidR="000D27A3" w:rsidRPr="00AE47CE" w:rsidRDefault="000D27A3" w:rsidP="00980EF6">
      <w:pPr>
        <w:pStyle w:val="NormalIndent1"/>
        <w:jc w:val="left"/>
        <w:rPr>
          <w:lang w:val="en"/>
        </w:rPr>
      </w:pPr>
    </w:p>
    <w:p w14:paraId="32866295" w14:textId="77777777" w:rsidR="001A3992" w:rsidRPr="00EB03C8" w:rsidRDefault="001A3992" w:rsidP="00980EF6">
      <w:pPr>
        <w:pStyle w:val="Heading3"/>
        <w:jc w:val="left"/>
        <w:rPr>
          <w:lang w:val="en-US"/>
        </w:rPr>
      </w:pPr>
      <w:r w:rsidRPr="00EB03C8">
        <w:rPr>
          <w:lang w:val="en-US"/>
        </w:rPr>
        <w:t xml:space="preserve">Chemical </w:t>
      </w:r>
      <w:r w:rsidR="00EB03C8" w:rsidRPr="00EB03C8">
        <w:rPr>
          <w:lang w:val="en-US"/>
        </w:rPr>
        <w:t>Structure</w:t>
      </w:r>
    </w:p>
    <w:p w14:paraId="6880A978" w14:textId="77777777" w:rsidR="00EB03C8" w:rsidRPr="005D690B" w:rsidRDefault="00EB03C8" w:rsidP="00980EF6">
      <w:pPr>
        <w:pStyle w:val="NormalIndent1"/>
        <w:jc w:val="left"/>
      </w:pPr>
    </w:p>
    <w:p w14:paraId="21C11BE0" w14:textId="77777777" w:rsidR="005F2014" w:rsidRDefault="005F2014" w:rsidP="00980EF6">
      <w:pPr>
        <w:pStyle w:val="NormalIndent1"/>
        <w:jc w:val="left"/>
      </w:pPr>
      <w:r w:rsidRPr="005F2014">
        <w:t xml:space="preserve">Teriparatide, synthetically derived, is identical to the 34 N-terminal amino acid sequence of endogenous human parathyroid hormone.  </w:t>
      </w:r>
    </w:p>
    <w:p w14:paraId="1205A853" w14:textId="77777777" w:rsidR="005F2014" w:rsidRDefault="005F2014" w:rsidP="00980EF6">
      <w:pPr>
        <w:pStyle w:val="NormalIndent1"/>
        <w:jc w:val="left"/>
      </w:pPr>
    </w:p>
    <w:p w14:paraId="206AB96F" w14:textId="085723D0" w:rsidR="000F26EA" w:rsidRDefault="000F26EA" w:rsidP="00980EF6">
      <w:pPr>
        <w:pStyle w:val="NormalIndent1"/>
        <w:jc w:val="left"/>
      </w:pPr>
      <w:r>
        <w:t>Teriparatide is a</w:t>
      </w:r>
      <w:r w:rsidR="00E01514">
        <w:t xml:space="preserve"> polypeptide which</w:t>
      </w:r>
      <w:r>
        <w:t xml:space="preserve"> molecular weight, molecular formula and molecular structure are as</w:t>
      </w:r>
    </w:p>
    <w:p w14:paraId="3958A314" w14:textId="77777777" w:rsidR="000F26EA" w:rsidRDefault="000F26EA" w:rsidP="00980EF6">
      <w:pPr>
        <w:pStyle w:val="NormalIndent1"/>
        <w:jc w:val="left"/>
      </w:pPr>
      <w:r>
        <w:t xml:space="preserve">follows: </w:t>
      </w:r>
    </w:p>
    <w:p w14:paraId="1875023F" w14:textId="77777777" w:rsidR="000F26EA" w:rsidRDefault="000F26EA" w:rsidP="00980EF6">
      <w:pPr>
        <w:pStyle w:val="NormalIndent1"/>
        <w:jc w:val="left"/>
      </w:pPr>
    </w:p>
    <w:p w14:paraId="5BE3E568" w14:textId="5D65596E" w:rsidR="000F26EA" w:rsidRDefault="000F26EA" w:rsidP="00980EF6">
      <w:pPr>
        <w:pStyle w:val="NormalIndent1"/>
        <w:tabs>
          <w:tab w:val="left" w:pos="2552"/>
        </w:tabs>
        <w:ind w:left="2552" w:hanging="2127"/>
        <w:jc w:val="left"/>
      </w:pPr>
      <w:r>
        <w:t xml:space="preserve">Molecular weight: </w:t>
      </w:r>
      <w:r w:rsidR="009B3ECF">
        <w:tab/>
      </w:r>
      <w:r>
        <w:t>4117</w:t>
      </w:r>
      <w:r w:rsidR="0016720D">
        <w:t>.</w:t>
      </w:r>
      <w:r>
        <w:t xml:space="preserve">72 </w:t>
      </w:r>
      <w:r w:rsidR="00B1558E">
        <w:t>g/mol</w:t>
      </w:r>
      <w:r>
        <w:t xml:space="preserve"> (average mass of the isotopes) </w:t>
      </w:r>
    </w:p>
    <w:p w14:paraId="50E49B4D" w14:textId="7978E461" w:rsidR="000F26EA" w:rsidRDefault="000F26EA" w:rsidP="00980EF6">
      <w:pPr>
        <w:pStyle w:val="NormalIndent1"/>
        <w:tabs>
          <w:tab w:val="left" w:pos="2552"/>
        </w:tabs>
        <w:ind w:left="2552" w:hanging="2127"/>
        <w:jc w:val="left"/>
      </w:pPr>
      <w:r>
        <w:t xml:space="preserve">Molecular Formula: </w:t>
      </w:r>
      <w:r w:rsidR="009B3ECF">
        <w:tab/>
      </w:r>
      <w:r>
        <w:t>C</w:t>
      </w:r>
      <w:r w:rsidRPr="00E01514">
        <w:rPr>
          <w:vertAlign w:val="subscript"/>
        </w:rPr>
        <w:t>181</w:t>
      </w:r>
      <w:r>
        <w:t>H</w:t>
      </w:r>
      <w:r w:rsidRPr="00E01514">
        <w:rPr>
          <w:vertAlign w:val="subscript"/>
        </w:rPr>
        <w:t>291</w:t>
      </w:r>
      <w:r>
        <w:t>N</w:t>
      </w:r>
      <w:r w:rsidRPr="00E01514">
        <w:rPr>
          <w:vertAlign w:val="subscript"/>
        </w:rPr>
        <w:t>55</w:t>
      </w:r>
      <w:r>
        <w:t>O</w:t>
      </w:r>
      <w:r w:rsidRPr="00E01514">
        <w:rPr>
          <w:vertAlign w:val="subscript"/>
        </w:rPr>
        <w:t>51</w:t>
      </w:r>
      <w:r>
        <w:t>S</w:t>
      </w:r>
      <w:r w:rsidRPr="00E01514">
        <w:rPr>
          <w:vertAlign w:val="subscript"/>
        </w:rPr>
        <w:t>2</w:t>
      </w:r>
      <w:r>
        <w:t xml:space="preserve"> (as free base)</w:t>
      </w:r>
    </w:p>
    <w:p w14:paraId="6130E528" w14:textId="15975032" w:rsidR="000F26EA" w:rsidRDefault="000F26EA" w:rsidP="00980EF6">
      <w:pPr>
        <w:pStyle w:val="NormalIndent1"/>
        <w:tabs>
          <w:tab w:val="left" w:pos="2552"/>
        </w:tabs>
        <w:jc w:val="left"/>
      </w:pPr>
      <w:r>
        <w:t>Molecular Structure:</w:t>
      </w:r>
      <w:r w:rsidR="009B3ECF">
        <w:tab/>
      </w:r>
    </w:p>
    <w:p w14:paraId="0221C00C" w14:textId="77777777" w:rsidR="000F26EA" w:rsidRDefault="000F26EA" w:rsidP="00980EF6">
      <w:pPr>
        <w:pStyle w:val="NormalIndent1"/>
        <w:tabs>
          <w:tab w:val="left" w:pos="2552"/>
        </w:tabs>
        <w:jc w:val="left"/>
        <w:rPr>
          <w:noProof/>
        </w:rPr>
      </w:pPr>
    </w:p>
    <w:p w14:paraId="58BA90AD" w14:textId="4BEDF918" w:rsidR="00EB03C8" w:rsidRPr="005D690B" w:rsidRDefault="000F26EA" w:rsidP="00980EF6">
      <w:pPr>
        <w:pStyle w:val="NormalIndent1"/>
        <w:jc w:val="left"/>
      </w:pPr>
      <w:r w:rsidRPr="000F26EA">
        <w:rPr>
          <w:noProof/>
        </w:rPr>
        <w:drawing>
          <wp:inline distT="0" distB="0" distL="0" distR="0" wp14:anchorId="0591A979" wp14:editId="6CB8EA9D">
            <wp:extent cx="6120130" cy="6065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6065520"/>
                    </a:xfrm>
                    <a:prstGeom prst="rect">
                      <a:avLst/>
                    </a:prstGeom>
                  </pic:spPr>
                </pic:pic>
              </a:graphicData>
            </a:graphic>
          </wp:inline>
        </w:drawing>
      </w:r>
    </w:p>
    <w:p w14:paraId="084D10FF" w14:textId="77777777" w:rsidR="001A3992" w:rsidRPr="00EB03C8" w:rsidRDefault="001A3992" w:rsidP="00980EF6">
      <w:pPr>
        <w:pStyle w:val="Heading3"/>
        <w:jc w:val="left"/>
        <w:rPr>
          <w:lang w:val="en-US"/>
        </w:rPr>
      </w:pPr>
      <w:r w:rsidRPr="00EB03C8">
        <w:rPr>
          <w:lang w:val="en-US"/>
        </w:rPr>
        <w:lastRenderedPageBreak/>
        <w:t xml:space="preserve">CAS </w:t>
      </w:r>
      <w:r w:rsidR="00EB03C8" w:rsidRPr="00EB03C8">
        <w:rPr>
          <w:lang w:val="en-US"/>
        </w:rPr>
        <w:t>Number</w:t>
      </w:r>
    </w:p>
    <w:p w14:paraId="0F91B971" w14:textId="77777777" w:rsidR="00EB03C8" w:rsidRPr="005D690B" w:rsidRDefault="00EB03C8" w:rsidP="00980EF6">
      <w:pPr>
        <w:pStyle w:val="NormalIndent1"/>
        <w:jc w:val="left"/>
      </w:pPr>
    </w:p>
    <w:p w14:paraId="31D05DA1" w14:textId="6C369416" w:rsidR="00EB03C8" w:rsidRPr="005D690B" w:rsidRDefault="004852AD" w:rsidP="00980EF6">
      <w:pPr>
        <w:pStyle w:val="NormalIndent1"/>
        <w:jc w:val="left"/>
      </w:pPr>
      <w:r w:rsidRPr="004852AD">
        <w:t xml:space="preserve">The CAS number for teriparatide is 52232-67-4. </w:t>
      </w:r>
    </w:p>
    <w:p w14:paraId="21A4B458" w14:textId="4CA70574" w:rsidR="005D690B" w:rsidRDefault="005D690B" w:rsidP="00980EF6">
      <w:pPr>
        <w:pStyle w:val="NormalIndent1"/>
        <w:jc w:val="left"/>
        <w:rPr>
          <w:lang w:val="en-US"/>
        </w:rPr>
      </w:pPr>
    </w:p>
    <w:p w14:paraId="3E88FFF1" w14:textId="77777777" w:rsidR="000D27A3" w:rsidRPr="005D690B" w:rsidRDefault="000D27A3" w:rsidP="00980EF6">
      <w:pPr>
        <w:pStyle w:val="NormalIndent1"/>
        <w:jc w:val="left"/>
        <w:rPr>
          <w:lang w:val="en-US"/>
        </w:rPr>
      </w:pPr>
    </w:p>
    <w:p w14:paraId="46A7590D" w14:textId="77777777" w:rsidR="001A3992" w:rsidRDefault="005D690B" w:rsidP="00980EF6">
      <w:pPr>
        <w:pStyle w:val="Heading1"/>
        <w:jc w:val="left"/>
        <w:rPr>
          <w:caps/>
          <w:lang w:val="en-US"/>
        </w:rPr>
      </w:pPr>
      <w:r w:rsidRPr="005D690B">
        <w:rPr>
          <w:lang w:val="en-US"/>
        </w:rPr>
        <w:t>MEDICINE SCHEDULE (POISONS STANDARD)</w:t>
      </w:r>
    </w:p>
    <w:p w14:paraId="1D1033B2" w14:textId="77777777" w:rsidR="00EB03C8" w:rsidRPr="00F70019" w:rsidRDefault="00EB03C8" w:rsidP="00980EF6">
      <w:pPr>
        <w:pStyle w:val="NormalIndent1"/>
        <w:jc w:val="left"/>
      </w:pPr>
    </w:p>
    <w:p w14:paraId="2946507B" w14:textId="7E9E6B0F" w:rsidR="00EB03C8" w:rsidRDefault="004852AD" w:rsidP="00980EF6">
      <w:pPr>
        <w:pStyle w:val="NormalIndent1"/>
        <w:jc w:val="left"/>
      </w:pPr>
      <w:r w:rsidRPr="004852AD">
        <w:t xml:space="preserve">Schedule </w:t>
      </w:r>
      <w:r w:rsidR="00192AFB" w:rsidRPr="004852AD">
        <w:t>4 -</w:t>
      </w:r>
      <w:r w:rsidR="00EB37BA">
        <w:t xml:space="preserve"> Prescription Only Medicine</w:t>
      </w:r>
    </w:p>
    <w:p w14:paraId="160C3C8F" w14:textId="77777777" w:rsidR="001A3992" w:rsidRDefault="005D690B" w:rsidP="00884815">
      <w:pPr>
        <w:pStyle w:val="Heading1"/>
        <w:jc w:val="left"/>
        <w:rPr>
          <w:caps/>
          <w:lang w:val="en-US"/>
        </w:rPr>
      </w:pPr>
      <w:r w:rsidRPr="005D690B">
        <w:rPr>
          <w:lang w:val="en-US"/>
        </w:rPr>
        <w:t>SPONSOR</w:t>
      </w:r>
    </w:p>
    <w:p w14:paraId="6E7C06AC" w14:textId="77777777" w:rsidR="00EB03C8" w:rsidRPr="00F70019" w:rsidRDefault="00EB03C8" w:rsidP="00980EF6">
      <w:pPr>
        <w:pStyle w:val="NormalIndent1"/>
        <w:jc w:val="left"/>
      </w:pPr>
    </w:p>
    <w:p w14:paraId="62DA599C" w14:textId="77777777" w:rsidR="004D6327" w:rsidRDefault="004D6327" w:rsidP="00980EF6">
      <w:pPr>
        <w:pStyle w:val="NormalIndent1"/>
        <w:jc w:val="left"/>
      </w:pPr>
      <w:r>
        <w:t>Generic Health Pty Ltd</w:t>
      </w:r>
    </w:p>
    <w:p w14:paraId="6DACA95C" w14:textId="77777777" w:rsidR="004D6327" w:rsidRDefault="004D6327" w:rsidP="00980EF6">
      <w:pPr>
        <w:pStyle w:val="NormalIndent1"/>
        <w:jc w:val="left"/>
      </w:pPr>
      <w:r>
        <w:t>Suite 2, Level 2</w:t>
      </w:r>
    </w:p>
    <w:p w14:paraId="13EA19A6" w14:textId="77777777" w:rsidR="004D6327" w:rsidRDefault="004D6327" w:rsidP="00980EF6">
      <w:pPr>
        <w:pStyle w:val="NormalIndent1"/>
        <w:jc w:val="left"/>
      </w:pPr>
      <w:r>
        <w:t>19-23 Prospect Street</w:t>
      </w:r>
    </w:p>
    <w:p w14:paraId="16E6A616" w14:textId="77777777" w:rsidR="004D6327" w:rsidRDefault="004D6327" w:rsidP="00980EF6">
      <w:pPr>
        <w:pStyle w:val="NormalIndent1"/>
        <w:jc w:val="left"/>
      </w:pPr>
      <w:r>
        <w:t>Box Hill, VIC, 3128</w:t>
      </w:r>
    </w:p>
    <w:p w14:paraId="297E56FC" w14:textId="77777777" w:rsidR="004D6327" w:rsidRDefault="004D6327" w:rsidP="00980EF6">
      <w:pPr>
        <w:pStyle w:val="NormalIndent1"/>
        <w:jc w:val="left"/>
      </w:pPr>
    </w:p>
    <w:p w14:paraId="6EDBD5D7" w14:textId="77777777" w:rsidR="004D6327" w:rsidRPr="00AE47CE" w:rsidRDefault="004D6327" w:rsidP="00980EF6">
      <w:pPr>
        <w:pStyle w:val="NormalIndent1"/>
        <w:jc w:val="left"/>
      </w:pPr>
      <w:r w:rsidRPr="00AE47CE">
        <w:t>Email:</w:t>
      </w:r>
      <w:r>
        <w:tab/>
      </w:r>
      <w:r w:rsidRPr="00AE47CE">
        <w:t>ghinfo@generichealth.com.au</w:t>
      </w:r>
    </w:p>
    <w:p w14:paraId="02A78036" w14:textId="77777777" w:rsidR="004D6327" w:rsidRPr="00AE47CE" w:rsidRDefault="004D6327" w:rsidP="00980EF6">
      <w:pPr>
        <w:pStyle w:val="NormalIndent1"/>
        <w:jc w:val="left"/>
      </w:pPr>
      <w:r w:rsidRPr="00AE47CE">
        <w:t>Phone:</w:t>
      </w:r>
      <w:r>
        <w:tab/>
      </w:r>
      <w:r w:rsidRPr="00AE47CE">
        <w:t>+61</w:t>
      </w:r>
      <w:r>
        <w:t xml:space="preserve"> </w:t>
      </w:r>
      <w:r w:rsidRPr="00AE47CE">
        <w:t>3 9809 7900</w:t>
      </w:r>
    </w:p>
    <w:p w14:paraId="6EEE48B1" w14:textId="77777777" w:rsidR="004D6327" w:rsidRDefault="004D6327" w:rsidP="00980EF6">
      <w:pPr>
        <w:pStyle w:val="NormalIndent1"/>
        <w:jc w:val="left"/>
      </w:pPr>
      <w:r w:rsidRPr="00AE47CE">
        <w:t>Website:</w:t>
      </w:r>
      <w:r>
        <w:tab/>
      </w:r>
      <w:r w:rsidRPr="00AE47CE">
        <w:t>www.generichealth.com.au</w:t>
      </w:r>
    </w:p>
    <w:p w14:paraId="6A5B6C93" w14:textId="77777777" w:rsidR="005D690B" w:rsidRDefault="005D690B" w:rsidP="00980EF6">
      <w:pPr>
        <w:pStyle w:val="NormalIndent1"/>
        <w:jc w:val="left"/>
        <w:rPr>
          <w:lang w:val="en-US"/>
        </w:rPr>
      </w:pPr>
    </w:p>
    <w:p w14:paraId="50613B49" w14:textId="77777777" w:rsidR="005D690B" w:rsidRPr="005D690B" w:rsidRDefault="005D690B" w:rsidP="00980EF6">
      <w:pPr>
        <w:pStyle w:val="NormalIndent1"/>
        <w:jc w:val="left"/>
        <w:rPr>
          <w:lang w:val="en-US"/>
        </w:rPr>
      </w:pPr>
    </w:p>
    <w:p w14:paraId="3D2C5156" w14:textId="77777777" w:rsidR="001A3992" w:rsidRDefault="005D690B" w:rsidP="00980EF6">
      <w:pPr>
        <w:pStyle w:val="Heading1"/>
        <w:jc w:val="left"/>
        <w:rPr>
          <w:caps/>
          <w:lang w:val="en-US"/>
        </w:rPr>
      </w:pPr>
      <w:r w:rsidRPr="005D690B">
        <w:rPr>
          <w:lang w:val="en-US"/>
        </w:rPr>
        <w:t xml:space="preserve">DATE OF FIRST APPROVAL  </w:t>
      </w:r>
    </w:p>
    <w:p w14:paraId="683926B5" w14:textId="77777777" w:rsidR="00EB03C8" w:rsidRPr="00F70019" w:rsidRDefault="00EB03C8" w:rsidP="00980EF6">
      <w:pPr>
        <w:pStyle w:val="NormalIndent1"/>
        <w:jc w:val="left"/>
      </w:pPr>
    </w:p>
    <w:p w14:paraId="4B127B48" w14:textId="1F68CC89" w:rsidR="005D690B" w:rsidRDefault="00B521C0" w:rsidP="00980EF6">
      <w:pPr>
        <w:pStyle w:val="NormalIndent1"/>
        <w:jc w:val="left"/>
      </w:pPr>
      <w:r>
        <w:t>06 April 2023</w:t>
      </w:r>
      <w:r w:rsidR="00AA20E1">
        <w:t>.</w:t>
      </w:r>
    </w:p>
    <w:p w14:paraId="2B61BC5F" w14:textId="77777777" w:rsidR="00BF032A" w:rsidRDefault="00BF032A" w:rsidP="00980EF6">
      <w:pPr>
        <w:pStyle w:val="NormalIndent1"/>
        <w:jc w:val="left"/>
        <w:rPr>
          <w:lang w:val="en-US"/>
        </w:rPr>
      </w:pPr>
    </w:p>
    <w:p w14:paraId="1F105CE3" w14:textId="77777777" w:rsidR="005D690B" w:rsidRPr="005D690B" w:rsidRDefault="005D690B" w:rsidP="00980EF6">
      <w:pPr>
        <w:pStyle w:val="NormalIndent1"/>
        <w:jc w:val="left"/>
        <w:rPr>
          <w:lang w:val="en-US"/>
        </w:rPr>
      </w:pPr>
    </w:p>
    <w:p w14:paraId="51C8413D" w14:textId="77777777" w:rsidR="001A3992" w:rsidRDefault="005D690B" w:rsidP="00980EF6">
      <w:pPr>
        <w:pStyle w:val="Heading1"/>
        <w:jc w:val="left"/>
        <w:rPr>
          <w:caps/>
          <w:lang w:val="en-US"/>
        </w:rPr>
      </w:pPr>
      <w:r w:rsidRPr="005D690B">
        <w:rPr>
          <w:lang w:val="en-US"/>
        </w:rPr>
        <w:t xml:space="preserve">DATE OF REVISION </w:t>
      </w:r>
    </w:p>
    <w:p w14:paraId="0A7B93A9" w14:textId="77777777" w:rsidR="00EB03C8" w:rsidRPr="00F70019" w:rsidRDefault="00EB03C8" w:rsidP="00980EF6">
      <w:pPr>
        <w:pStyle w:val="NormalIndent1"/>
        <w:jc w:val="left"/>
      </w:pPr>
    </w:p>
    <w:p w14:paraId="405BB697" w14:textId="27D2E6F6" w:rsidR="005D690B" w:rsidRDefault="00FB043C" w:rsidP="00980EF6">
      <w:pPr>
        <w:pStyle w:val="NormalIndent1"/>
        <w:jc w:val="left"/>
        <w:rPr>
          <w:lang w:val="en-US"/>
        </w:rPr>
      </w:pPr>
      <w:r>
        <w:t>Not applicable.</w:t>
      </w:r>
    </w:p>
    <w:p w14:paraId="19788EBB" w14:textId="77777777" w:rsidR="000073ED" w:rsidRDefault="000073ED" w:rsidP="00980EF6">
      <w:pPr>
        <w:pStyle w:val="NormalIndent1"/>
        <w:jc w:val="left"/>
        <w:rPr>
          <w:lang w:val="en-US"/>
        </w:rPr>
      </w:pPr>
    </w:p>
    <w:p w14:paraId="7A78D72C" w14:textId="77777777" w:rsidR="001A3992" w:rsidRPr="009F1189" w:rsidRDefault="000073ED" w:rsidP="00980EF6">
      <w:pPr>
        <w:pStyle w:val="SummaryTableHeading"/>
        <w:jc w:val="left"/>
      </w:pPr>
      <w:r w:rsidRPr="009F1189">
        <w:t>SUMMARY TABLE OF CHANGES</w:t>
      </w:r>
    </w:p>
    <w:p w14:paraId="08E39C1D" w14:textId="77777777" w:rsidR="00EB03C8" w:rsidRPr="000073ED" w:rsidRDefault="00EB03C8" w:rsidP="00980EF6">
      <w:pPr>
        <w:jc w:val="left"/>
        <w:rPr>
          <w:lang w:val="en-US"/>
        </w:rPr>
      </w:pPr>
    </w:p>
    <w:tbl>
      <w:tblPr>
        <w:tblStyle w:val="LightGrid"/>
        <w:tblW w:w="0" w:type="auto"/>
        <w:tblCellMar>
          <w:top w:w="57" w:type="dxa"/>
          <w:bottom w:w="57" w:type="dxa"/>
        </w:tblCellMar>
        <w:tblLook w:val="06A0" w:firstRow="1" w:lastRow="0" w:firstColumn="1" w:lastColumn="0" w:noHBand="1" w:noVBand="1"/>
      </w:tblPr>
      <w:tblGrid>
        <w:gridCol w:w="1384"/>
        <w:gridCol w:w="7858"/>
      </w:tblGrid>
      <w:tr w:rsidR="00ED0937" w:rsidRPr="00E500E0" w14:paraId="4DA326FA" w14:textId="77777777" w:rsidTr="00304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1EE8B205" w14:textId="77777777" w:rsidR="00ED0937" w:rsidRPr="00E500E0" w:rsidRDefault="00ED0937" w:rsidP="00980EF6">
            <w:pPr>
              <w:pStyle w:val="HeadingTable"/>
              <w:jc w:val="left"/>
              <w:rPr>
                <w:rFonts w:cs="Calibri"/>
                <w:sz w:val="20"/>
                <w:szCs w:val="20"/>
              </w:rPr>
            </w:pPr>
            <w:r w:rsidRPr="00E500E0">
              <w:rPr>
                <w:rFonts w:cs="Calibri"/>
                <w:sz w:val="20"/>
                <w:szCs w:val="20"/>
              </w:rPr>
              <w:t>Section Changed</w:t>
            </w:r>
          </w:p>
        </w:tc>
        <w:tc>
          <w:tcPr>
            <w:tcW w:w="7858" w:type="dxa"/>
            <w:shd w:val="clear" w:color="auto" w:fill="F2F2F2" w:themeFill="background1" w:themeFillShade="F2"/>
            <w:vAlign w:val="center"/>
          </w:tcPr>
          <w:p w14:paraId="6002271B" w14:textId="77777777" w:rsidR="00ED0937" w:rsidRPr="00E500E0" w:rsidRDefault="00ED0937" w:rsidP="00980EF6">
            <w:pPr>
              <w:pStyle w:val="HeadingTable"/>
              <w:jc w:val="left"/>
              <w:cnfStyle w:val="100000000000" w:firstRow="1" w:lastRow="0" w:firstColumn="0" w:lastColumn="0" w:oddVBand="0" w:evenVBand="0" w:oddHBand="0" w:evenHBand="0" w:firstRowFirstColumn="0" w:firstRowLastColumn="0" w:lastRowFirstColumn="0" w:lastRowLastColumn="0"/>
              <w:rPr>
                <w:rFonts w:cs="Calibri"/>
                <w:sz w:val="20"/>
                <w:szCs w:val="20"/>
              </w:rPr>
            </w:pPr>
            <w:r w:rsidRPr="00E500E0">
              <w:rPr>
                <w:rFonts w:cs="Calibri"/>
                <w:sz w:val="20"/>
                <w:szCs w:val="20"/>
              </w:rPr>
              <w:t xml:space="preserve">Summary of </w:t>
            </w:r>
            <w:r w:rsidR="00EB03C8" w:rsidRPr="00E500E0">
              <w:rPr>
                <w:rFonts w:cs="Calibri"/>
                <w:sz w:val="20"/>
                <w:szCs w:val="20"/>
              </w:rPr>
              <w:t>New Information</w:t>
            </w:r>
          </w:p>
        </w:tc>
      </w:tr>
      <w:tr w:rsidR="00BF032A" w:rsidRPr="00E500E0" w14:paraId="17059B45" w14:textId="77777777" w:rsidTr="00BF032A">
        <w:tc>
          <w:tcPr>
            <w:cnfStyle w:val="001000000000" w:firstRow="0" w:lastRow="0" w:firstColumn="1" w:lastColumn="0" w:oddVBand="0" w:evenVBand="0" w:oddHBand="0" w:evenHBand="0" w:firstRowFirstColumn="0" w:firstRowLastColumn="0" w:lastRowFirstColumn="0" w:lastRowLastColumn="0"/>
            <w:tcW w:w="1384" w:type="dxa"/>
          </w:tcPr>
          <w:p w14:paraId="071B1B71" w14:textId="1B654295" w:rsidR="00BF032A" w:rsidRPr="00BF032A" w:rsidRDefault="00BF032A" w:rsidP="00980EF6">
            <w:pPr>
              <w:jc w:val="left"/>
              <w:rPr>
                <w:rFonts w:ascii="Calibri" w:hAnsi="Calibri" w:cs="Calibri"/>
                <w:sz w:val="20"/>
                <w:szCs w:val="20"/>
              </w:rPr>
            </w:pPr>
          </w:p>
        </w:tc>
        <w:tc>
          <w:tcPr>
            <w:tcW w:w="7858" w:type="dxa"/>
          </w:tcPr>
          <w:p w14:paraId="35F870A1" w14:textId="2C9843AE" w:rsidR="00BF032A" w:rsidRPr="00BF032A" w:rsidRDefault="00BF032A" w:rsidP="00980EF6">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835208A" w14:textId="77777777" w:rsidR="001A3992" w:rsidRPr="001D41C0" w:rsidRDefault="001A3992" w:rsidP="00980EF6">
      <w:pPr>
        <w:jc w:val="left"/>
        <w:rPr>
          <w:lang w:val="en-US"/>
        </w:rPr>
      </w:pPr>
    </w:p>
    <w:p w14:paraId="792DF64B" w14:textId="77777777" w:rsidR="00AA1A3D" w:rsidRDefault="00AA1A3D" w:rsidP="00980EF6">
      <w:pPr>
        <w:jc w:val="left"/>
        <w:rPr>
          <w:rFonts w:cstheme="minorHAnsi"/>
        </w:rPr>
      </w:pPr>
    </w:p>
    <w:sectPr w:rsidR="00AA1A3D" w:rsidSect="007D0F66">
      <w:headerReference w:type="default" r:id="rId18"/>
      <w:footerReference w:type="default" r:id="rId19"/>
      <w:headerReference w:type="first" r:id="rId2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D9E3" w14:textId="77777777" w:rsidR="006B1113" w:rsidRDefault="006B1113" w:rsidP="001A3992">
      <w:r>
        <w:separator/>
      </w:r>
    </w:p>
  </w:endnote>
  <w:endnote w:type="continuationSeparator" w:id="0">
    <w:p w14:paraId="668B5B6D" w14:textId="77777777" w:rsidR="006B1113" w:rsidRDefault="006B1113" w:rsidP="001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6F02" w14:textId="77777777" w:rsidR="00AF7D64" w:rsidRPr="002C24BD" w:rsidRDefault="00AF7D64" w:rsidP="002C24BD">
    <w:pPr>
      <w:pStyle w:val="Footer"/>
      <w:rPr>
        <w:sz w:val="16"/>
        <w:szCs w:val="16"/>
      </w:rPr>
    </w:pPr>
  </w:p>
  <w:p w14:paraId="67128481" w14:textId="650AA388" w:rsidR="00AF7D64" w:rsidRDefault="00AF7D64" w:rsidP="002C24BD">
    <w:pPr>
      <w:pStyle w:val="Footer"/>
      <w:pBdr>
        <w:top w:val="single" w:sz="4" w:space="1" w:color="auto"/>
      </w:pBdr>
    </w:pPr>
    <w:r>
      <w:t>Teriparatide Lupin-pi-v</w:t>
    </w:r>
    <w:r w:rsidR="00B521C0">
      <w:t>1</w:t>
    </w:r>
    <w:r w:rsidRPr="0097382C">
      <w:tab/>
      <w:t xml:space="preserve">Page </w:t>
    </w:r>
    <w:r w:rsidRPr="0097382C">
      <w:fldChar w:fldCharType="begin"/>
    </w:r>
    <w:r w:rsidRPr="0097382C">
      <w:instrText xml:space="preserve"> PAGE  \* Arabic  \* MERGEFORMAT </w:instrText>
    </w:r>
    <w:r w:rsidRPr="0097382C">
      <w:fldChar w:fldCharType="separate"/>
    </w:r>
    <w:r w:rsidRPr="0097382C">
      <w:t>6</w:t>
    </w:r>
    <w:r w:rsidRPr="0097382C">
      <w:fldChar w:fldCharType="end"/>
    </w:r>
    <w:r w:rsidRPr="0097382C">
      <w:t xml:space="preserve"> of </w:t>
    </w:r>
    <w:fldSimple w:instr=" NUMPAGES  \* Arabic  \* MERGEFORMAT ">
      <w:r w:rsidRPr="0097382C">
        <w:t>6</w:t>
      </w:r>
    </w:fldSimple>
  </w:p>
  <w:p w14:paraId="3C2CFC57" w14:textId="06612966" w:rsidR="00AF7D64" w:rsidRDefault="00AF7D64" w:rsidP="002C24BD">
    <w:pPr>
      <w:pStyle w:val="Footer"/>
      <w:pBdr>
        <w:top w:val="single" w:sz="4" w:space="1" w:color="auto"/>
      </w:pBdr>
    </w:pPr>
    <w:r w:rsidRPr="00482542">
      <w:t>(teriparatide) solution for injection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A4BC" w14:textId="77777777" w:rsidR="006B1113" w:rsidRDefault="006B1113" w:rsidP="001A3992">
      <w:r>
        <w:separator/>
      </w:r>
    </w:p>
  </w:footnote>
  <w:footnote w:type="continuationSeparator" w:id="0">
    <w:p w14:paraId="6D3EDE08" w14:textId="77777777" w:rsidR="006B1113" w:rsidRDefault="006B1113" w:rsidP="001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980EF6" w:rsidRPr="000B2145" w14:paraId="077A17FF" w14:textId="77777777" w:rsidTr="0031712E">
      <w:trPr>
        <w:trHeight w:val="1012"/>
      </w:trPr>
      <w:tc>
        <w:tcPr>
          <w:tcW w:w="9180" w:type="dxa"/>
          <w:shd w:val="clear" w:color="auto" w:fill="E4F2E0"/>
        </w:tcPr>
        <w:p w14:paraId="056825AD" w14:textId="77777777" w:rsidR="00980EF6" w:rsidRPr="000E4791" w:rsidRDefault="00980EF6" w:rsidP="00980EF6">
          <w:pPr>
            <w:pStyle w:val="Footer"/>
            <w:rPr>
              <w:b/>
              <w:sz w:val="18"/>
              <w:szCs w:val="18"/>
            </w:rPr>
          </w:pPr>
          <w:r w:rsidRPr="00EE2A41">
            <w:rPr>
              <w:b/>
              <w:sz w:val="18"/>
              <w:szCs w:val="18"/>
            </w:rPr>
            <w:t xml:space="preserve">Attachment </w:t>
          </w:r>
          <w:r w:rsidRPr="0008793A">
            <w:rPr>
              <w:b/>
              <w:sz w:val="18"/>
              <w:szCs w:val="18"/>
            </w:rPr>
            <w:t>AusPAR - Teriparatide Lupin/Teriparatide LAPL/Teriparatide GH -Teriparatide - Generic Health Pty Ltd - PM-2021-03753-1-5</w:t>
          </w:r>
          <w:r>
            <w:rPr>
              <w:b/>
              <w:sz w:val="18"/>
              <w:szCs w:val="18"/>
            </w:rPr>
            <w:t xml:space="preserve"> </w:t>
          </w:r>
          <w:r w:rsidRPr="0008793A">
            <w:rPr>
              <w:b/>
              <w:sz w:val="18"/>
              <w:szCs w:val="18"/>
            </w:rPr>
            <w:t>FINAL 12 October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23107561" w14:textId="77777777" w:rsidR="00980EF6" w:rsidRDefault="00980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980EF6" w:rsidRPr="000B2145" w14:paraId="4A613357" w14:textId="77777777" w:rsidTr="0031712E">
      <w:trPr>
        <w:trHeight w:val="1012"/>
      </w:trPr>
      <w:tc>
        <w:tcPr>
          <w:tcW w:w="9180" w:type="dxa"/>
          <w:shd w:val="clear" w:color="auto" w:fill="E4F2E0"/>
        </w:tcPr>
        <w:p w14:paraId="2085DC4D" w14:textId="77777777" w:rsidR="00980EF6" w:rsidRPr="000E4791" w:rsidRDefault="00980EF6" w:rsidP="00980EF6">
          <w:pPr>
            <w:pStyle w:val="Footer"/>
            <w:rPr>
              <w:b/>
              <w:sz w:val="18"/>
              <w:szCs w:val="18"/>
            </w:rPr>
          </w:pPr>
          <w:bookmarkStart w:id="2" w:name="_Hlk109054010"/>
          <w:r w:rsidRPr="00EE2A41">
            <w:rPr>
              <w:b/>
              <w:sz w:val="18"/>
              <w:szCs w:val="18"/>
            </w:rPr>
            <w:t xml:space="preserve">Attachment </w:t>
          </w:r>
          <w:r w:rsidRPr="0008793A">
            <w:rPr>
              <w:b/>
              <w:sz w:val="18"/>
              <w:szCs w:val="18"/>
            </w:rPr>
            <w:t>AusPAR - Teriparatide Lupin/Teriparatide LAPL/Teriparatide GH -Teriparatide - Generic Health Pty Ltd - PM-2021-03753-1-5</w:t>
          </w:r>
          <w:r>
            <w:rPr>
              <w:b/>
              <w:sz w:val="18"/>
              <w:szCs w:val="18"/>
            </w:rPr>
            <w:t xml:space="preserve"> </w:t>
          </w:r>
          <w:r w:rsidRPr="0008793A">
            <w:rPr>
              <w:b/>
              <w:sz w:val="18"/>
              <w:szCs w:val="18"/>
            </w:rPr>
            <w:t>FINAL 12 October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
  </w:tbl>
  <w:p w14:paraId="288BA10A" w14:textId="77777777" w:rsidR="00AF7D64" w:rsidRDefault="00AF7D64" w:rsidP="00980EF6">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26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A9D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0AE6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278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58E7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2806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6C5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AE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6E8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8677B8"/>
    <w:multiLevelType w:val="hybridMultilevel"/>
    <w:tmpl w:val="1D3E4472"/>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7957B7"/>
    <w:multiLevelType w:val="hybridMultilevel"/>
    <w:tmpl w:val="674AE19E"/>
    <w:lvl w:ilvl="0" w:tplc="B08C765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F6C1F"/>
    <w:multiLevelType w:val="hybridMultilevel"/>
    <w:tmpl w:val="136A2BEA"/>
    <w:lvl w:ilvl="0" w:tplc="038C7E2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3A64A7"/>
    <w:multiLevelType w:val="hybridMultilevel"/>
    <w:tmpl w:val="4F88922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42D63"/>
    <w:multiLevelType w:val="hybridMultilevel"/>
    <w:tmpl w:val="52EA4F40"/>
    <w:lvl w:ilvl="0" w:tplc="A1082438">
      <w:start w:val="1"/>
      <w:numFmt w:val="bullet"/>
      <w:pStyle w:val="Bullet1"/>
      <w:lvlText w:val=""/>
      <w:lvlJc w:val="left"/>
      <w:pPr>
        <w:ind w:left="720" w:hanging="360"/>
      </w:pPr>
      <w:rPr>
        <w:rFonts w:ascii="Symbol" w:hAnsi="Symbol" w:hint="default"/>
      </w:rPr>
    </w:lvl>
    <w:lvl w:ilvl="1" w:tplc="DC0086FC">
      <w:start w:val="1"/>
      <w:numFmt w:val="bullet"/>
      <w:pStyle w:val="Bullet2"/>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EF7DE7"/>
    <w:multiLevelType w:val="hybridMultilevel"/>
    <w:tmpl w:val="824C2E08"/>
    <w:lvl w:ilvl="0" w:tplc="C1624CEC">
      <w:start w:val="1"/>
      <w:numFmt w:val="decimal"/>
      <w:pStyle w:val="Numbering1"/>
      <w:lvlText w:val="%1."/>
      <w:lvlJc w:val="left"/>
      <w:pPr>
        <w:ind w:left="78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2" w15:restartNumberingAfterBreak="0">
    <w:nsid w:val="6EF27CF4"/>
    <w:multiLevelType w:val="multilevel"/>
    <w:tmpl w:val="D46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3327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31106E"/>
    <w:multiLevelType w:val="hybridMultilevel"/>
    <w:tmpl w:val="C750FC52"/>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27"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8514723">
    <w:abstractNumId w:val="23"/>
  </w:num>
  <w:num w:numId="2" w16cid:durableId="1420178265">
    <w:abstractNumId w:val="11"/>
  </w:num>
  <w:num w:numId="3" w16cid:durableId="1468628304">
    <w:abstractNumId w:val="10"/>
  </w:num>
  <w:num w:numId="4" w16cid:durableId="945768252">
    <w:abstractNumId w:val="17"/>
  </w:num>
  <w:num w:numId="5" w16cid:durableId="754669605">
    <w:abstractNumId w:val="27"/>
  </w:num>
  <w:num w:numId="6" w16cid:durableId="1026832990">
    <w:abstractNumId w:val="24"/>
  </w:num>
  <w:num w:numId="7" w16cid:durableId="888684132">
    <w:abstractNumId w:val="19"/>
  </w:num>
  <w:num w:numId="8" w16cid:durableId="321009753">
    <w:abstractNumId w:val="25"/>
  </w:num>
  <w:num w:numId="9" w16cid:durableId="652177570">
    <w:abstractNumId w:val="14"/>
  </w:num>
  <w:num w:numId="10" w16cid:durableId="665323262">
    <w:abstractNumId w:val="18"/>
  </w:num>
  <w:num w:numId="11" w16cid:durableId="1156611906">
    <w:abstractNumId w:val="12"/>
  </w:num>
  <w:num w:numId="12" w16cid:durableId="19598505">
    <w:abstractNumId w:val="22"/>
  </w:num>
  <w:num w:numId="13" w16cid:durableId="1614627729">
    <w:abstractNumId w:val="16"/>
  </w:num>
  <w:num w:numId="14" w16cid:durableId="1381052490">
    <w:abstractNumId w:val="15"/>
  </w:num>
  <w:num w:numId="15" w16cid:durableId="1818182107">
    <w:abstractNumId w:val="13"/>
  </w:num>
  <w:num w:numId="16" w16cid:durableId="1824810757">
    <w:abstractNumId w:val="20"/>
  </w:num>
  <w:num w:numId="17" w16cid:durableId="2077391894">
    <w:abstractNumId w:val="9"/>
  </w:num>
  <w:num w:numId="18" w16cid:durableId="2135128836">
    <w:abstractNumId w:val="8"/>
  </w:num>
  <w:num w:numId="19" w16cid:durableId="1586842297">
    <w:abstractNumId w:val="7"/>
  </w:num>
  <w:num w:numId="20" w16cid:durableId="614483009">
    <w:abstractNumId w:val="6"/>
  </w:num>
  <w:num w:numId="21" w16cid:durableId="1240823309">
    <w:abstractNumId w:val="5"/>
  </w:num>
  <w:num w:numId="22" w16cid:durableId="378477169">
    <w:abstractNumId w:val="4"/>
  </w:num>
  <w:num w:numId="23" w16cid:durableId="1192844182">
    <w:abstractNumId w:val="3"/>
  </w:num>
  <w:num w:numId="24" w16cid:durableId="1149830996">
    <w:abstractNumId w:val="2"/>
  </w:num>
  <w:num w:numId="25" w16cid:durableId="1172990769">
    <w:abstractNumId w:val="1"/>
  </w:num>
  <w:num w:numId="26" w16cid:durableId="268663357">
    <w:abstractNumId w:val="0"/>
  </w:num>
  <w:num w:numId="27" w16cid:durableId="2080059820">
    <w:abstractNumId w:val="21"/>
  </w:num>
  <w:num w:numId="28" w16cid:durableId="14666595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4E"/>
    <w:rsid w:val="000073ED"/>
    <w:rsid w:val="000075FD"/>
    <w:rsid w:val="00014EC3"/>
    <w:rsid w:val="000230A4"/>
    <w:rsid w:val="0008591E"/>
    <w:rsid w:val="00093183"/>
    <w:rsid w:val="00095687"/>
    <w:rsid w:val="00097C20"/>
    <w:rsid w:val="000A0B31"/>
    <w:rsid w:val="000A5F32"/>
    <w:rsid w:val="000A67BD"/>
    <w:rsid w:val="000B51D0"/>
    <w:rsid w:val="000D27A3"/>
    <w:rsid w:val="000D48F0"/>
    <w:rsid w:val="000E00DA"/>
    <w:rsid w:val="000F26EA"/>
    <w:rsid w:val="001161F1"/>
    <w:rsid w:val="0016720D"/>
    <w:rsid w:val="0017311F"/>
    <w:rsid w:val="00185601"/>
    <w:rsid w:val="00192AFB"/>
    <w:rsid w:val="001A3992"/>
    <w:rsid w:val="001D41C0"/>
    <w:rsid w:val="001E4F7F"/>
    <w:rsid w:val="001F054C"/>
    <w:rsid w:val="00204E31"/>
    <w:rsid w:val="00205ADA"/>
    <w:rsid w:val="00216E64"/>
    <w:rsid w:val="0024353B"/>
    <w:rsid w:val="0024534E"/>
    <w:rsid w:val="0024642F"/>
    <w:rsid w:val="00261FA5"/>
    <w:rsid w:val="002B2390"/>
    <w:rsid w:val="002C24BD"/>
    <w:rsid w:val="002E277D"/>
    <w:rsid w:val="002E5D93"/>
    <w:rsid w:val="002F57A6"/>
    <w:rsid w:val="003028D3"/>
    <w:rsid w:val="00302907"/>
    <w:rsid w:val="00303830"/>
    <w:rsid w:val="0030494B"/>
    <w:rsid w:val="00313C3D"/>
    <w:rsid w:val="00320561"/>
    <w:rsid w:val="00323A9F"/>
    <w:rsid w:val="003241EA"/>
    <w:rsid w:val="00326D80"/>
    <w:rsid w:val="0032756B"/>
    <w:rsid w:val="003413E0"/>
    <w:rsid w:val="003571D4"/>
    <w:rsid w:val="003611C7"/>
    <w:rsid w:val="003621B7"/>
    <w:rsid w:val="003671F5"/>
    <w:rsid w:val="00381E15"/>
    <w:rsid w:val="003957E6"/>
    <w:rsid w:val="003A293C"/>
    <w:rsid w:val="003B34D4"/>
    <w:rsid w:val="003B359A"/>
    <w:rsid w:val="003B50EB"/>
    <w:rsid w:val="003D0BA6"/>
    <w:rsid w:val="003F082F"/>
    <w:rsid w:val="003F106F"/>
    <w:rsid w:val="004032BD"/>
    <w:rsid w:val="00430302"/>
    <w:rsid w:val="0043165B"/>
    <w:rsid w:val="00431ACD"/>
    <w:rsid w:val="004552E7"/>
    <w:rsid w:val="004667B3"/>
    <w:rsid w:val="00482542"/>
    <w:rsid w:val="004852AD"/>
    <w:rsid w:val="00497C85"/>
    <w:rsid w:val="004A3628"/>
    <w:rsid w:val="004C1E87"/>
    <w:rsid w:val="004D62C8"/>
    <w:rsid w:val="004D6327"/>
    <w:rsid w:val="004F0894"/>
    <w:rsid w:val="004F140A"/>
    <w:rsid w:val="004F2CDB"/>
    <w:rsid w:val="00511EFF"/>
    <w:rsid w:val="00512BA0"/>
    <w:rsid w:val="00541DFC"/>
    <w:rsid w:val="00541FDD"/>
    <w:rsid w:val="00546C60"/>
    <w:rsid w:val="0055441F"/>
    <w:rsid w:val="00555407"/>
    <w:rsid w:val="00557E24"/>
    <w:rsid w:val="005902E6"/>
    <w:rsid w:val="005A113B"/>
    <w:rsid w:val="005B11B0"/>
    <w:rsid w:val="005D0427"/>
    <w:rsid w:val="005D690B"/>
    <w:rsid w:val="005F2014"/>
    <w:rsid w:val="006104E4"/>
    <w:rsid w:val="006314E3"/>
    <w:rsid w:val="0063346E"/>
    <w:rsid w:val="00641084"/>
    <w:rsid w:val="006473E0"/>
    <w:rsid w:val="00657629"/>
    <w:rsid w:val="00696C6A"/>
    <w:rsid w:val="00697761"/>
    <w:rsid w:val="006B1113"/>
    <w:rsid w:val="006B7C2D"/>
    <w:rsid w:val="006E11AA"/>
    <w:rsid w:val="006E6A98"/>
    <w:rsid w:val="007167A1"/>
    <w:rsid w:val="00716FA6"/>
    <w:rsid w:val="0075587E"/>
    <w:rsid w:val="007742AA"/>
    <w:rsid w:val="007842D6"/>
    <w:rsid w:val="007A16A8"/>
    <w:rsid w:val="007A1DD1"/>
    <w:rsid w:val="007B1F54"/>
    <w:rsid w:val="007B428A"/>
    <w:rsid w:val="007B5895"/>
    <w:rsid w:val="007C4C71"/>
    <w:rsid w:val="007C747D"/>
    <w:rsid w:val="007D0F66"/>
    <w:rsid w:val="007E641C"/>
    <w:rsid w:val="007E693C"/>
    <w:rsid w:val="00806CD3"/>
    <w:rsid w:val="00813278"/>
    <w:rsid w:val="00820A2A"/>
    <w:rsid w:val="00835224"/>
    <w:rsid w:val="00835C48"/>
    <w:rsid w:val="00877C37"/>
    <w:rsid w:val="00882DBF"/>
    <w:rsid w:val="00884357"/>
    <w:rsid w:val="00884815"/>
    <w:rsid w:val="008935F7"/>
    <w:rsid w:val="008A22FC"/>
    <w:rsid w:val="008B6D98"/>
    <w:rsid w:val="008E5A9D"/>
    <w:rsid w:val="008F59DA"/>
    <w:rsid w:val="009067ED"/>
    <w:rsid w:val="00910FCE"/>
    <w:rsid w:val="00924C5E"/>
    <w:rsid w:val="00931D0C"/>
    <w:rsid w:val="00960149"/>
    <w:rsid w:val="00960CD5"/>
    <w:rsid w:val="0097382C"/>
    <w:rsid w:val="0097483B"/>
    <w:rsid w:val="00980EF6"/>
    <w:rsid w:val="0099231E"/>
    <w:rsid w:val="009A4DB7"/>
    <w:rsid w:val="009A7F4B"/>
    <w:rsid w:val="009B3ECF"/>
    <w:rsid w:val="009B7C98"/>
    <w:rsid w:val="009C148B"/>
    <w:rsid w:val="009E5E62"/>
    <w:rsid w:val="009F1189"/>
    <w:rsid w:val="00A31667"/>
    <w:rsid w:val="00A570D8"/>
    <w:rsid w:val="00A609F3"/>
    <w:rsid w:val="00A73F4D"/>
    <w:rsid w:val="00A87C3F"/>
    <w:rsid w:val="00A923B2"/>
    <w:rsid w:val="00A9544E"/>
    <w:rsid w:val="00AA16CF"/>
    <w:rsid w:val="00AA1A3D"/>
    <w:rsid w:val="00AA20E1"/>
    <w:rsid w:val="00AA4CBF"/>
    <w:rsid w:val="00AA7727"/>
    <w:rsid w:val="00AB2719"/>
    <w:rsid w:val="00AB4CEC"/>
    <w:rsid w:val="00AD6387"/>
    <w:rsid w:val="00AE47CE"/>
    <w:rsid w:val="00AF0929"/>
    <w:rsid w:val="00AF0DB8"/>
    <w:rsid w:val="00AF5609"/>
    <w:rsid w:val="00AF7D64"/>
    <w:rsid w:val="00B036D6"/>
    <w:rsid w:val="00B1558E"/>
    <w:rsid w:val="00B445E7"/>
    <w:rsid w:val="00B4592B"/>
    <w:rsid w:val="00B51605"/>
    <w:rsid w:val="00B521C0"/>
    <w:rsid w:val="00B5444C"/>
    <w:rsid w:val="00B7130A"/>
    <w:rsid w:val="00B92973"/>
    <w:rsid w:val="00B92CEF"/>
    <w:rsid w:val="00BB3EFA"/>
    <w:rsid w:val="00BB7499"/>
    <w:rsid w:val="00BC572D"/>
    <w:rsid w:val="00BF032A"/>
    <w:rsid w:val="00BF3B32"/>
    <w:rsid w:val="00C0621F"/>
    <w:rsid w:val="00C16FF1"/>
    <w:rsid w:val="00C236E0"/>
    <w:rsid w:val="00C3527A"/>
    <w:rsid w:val="00C6611B"/>
    <w:rsid w:val="00C71CD4"/>
    <w:rsid w:val="00CA1763"/>
    <w:rsid w:val="00CA6CCF"/>
    <w:rsid w:val="00CE27B1"/>
    <w:rsid w:val="00CE75CC"/>
    <w:rsid w:val="00CF027A"/>
    <w:rsid w:val="00D0173F"/>
    <w:rsid w:val="00D032BE"/>
    <w:rsid w:val="00D04423"/>
    <w:rsid w:val="00D0600D"/>
    <w:rsid w:val="00D31FB8"/>
    <w:rsid w:val="00D36442"/>
    <w:rsid w:val="00D42B6F"/>
    <w:rsid w:val="00D44BA0"/>
    <w:rsid w:val="00D578BA"/>
    <w:rsid w:val="00D647FF"/>
    <w:rsid w:val="00D655D9"/>
    <w:rsid w:val="00D81FC1"/>
    <w:rsid w:val="00D91A03"/>
    <w:rsid w:val="00D943AF"/>
    <w:rsid w:val="00D94DD1"/>
    <w:rsid w:val="00DD4D06"/>
    <w:rsid w:val="00DE044B"/>
    <w:rsid w:val="00DE4AA8"/>
    <w:rsid w:val="00DF5E99"/>
    <w:rsid w:val="00E01514"/>
    <w:rsid w:val="00E13F59"/>
    <w:rsid w:val="00E32029"/>
    <w:rsid w:val="00E34728"/>
    <w:rsid w:val="00E500E0"/>
    <w:rsid w:val="00E629E1"/>
    <w:rsid w:val="00E64379"/>
    <w:rsid w:val="00E7390A"/>
    <w:rsid w:val="00E740B3"/>
    <w:rsid w:val="00E74A56"/>
    <w:rsid w:val="00E95A49"/>
    <w:rsid w:val="00EB03C8"/>
    <w:rsid w:val="00EB37BA"/>
    <w:rsid w:val="00EB6A27"/>
    <w:rsid w:val="00ED0937"/>
    <w:rsid w:val="00ED2466"/>
    <w:rsid w:val="00EE1A06"/>
    <w:rsid w:val="00EE1D37"/>
    <w:rsid w:val="00EE379B"/>
    <w:rsid w:val="00F00C2B"/>
    <w:rsid w:val="00F0302D"/>
    <w:rsid w:val="00F2758A"/>
    <w:rsid w:val="00F34471"/>
    <w:rsid w:val="00F42CA5"/>
    <w:rsid w:val="00F70019"/>
    <w:rsid w:val="00F70E77"/>
    <w:rsid w:val="00F84680"/>
    <w:rsid w:val="00F8520F"/>
    <w:rsid w:val="00F875F4"/>
    <w:rsid w:val="00F9741C"/>
    <w:rsid w:val="00FA4277"/>
    <w:rsid w:val="00FB043C"/>
    <w:rsid w:val="00FB2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88413"/>
  <w15:docId w15:val="{B588C95E-A548-43A5-9809-C2262B76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EFF"/>
    <w:pPr>
      <w:jc w:val="both"/>
    </w:pPr>
  </w:style>
  <w:style w:type="paragraph" w:styleId="Heading1">
    <w:name w:val="heading 1"/>
    <w:basedOn w:val="Normal"/>
    <w:next w:val="Normal"/>
    <w:link w:val="Heading1Char"/>
    <w:uiPriority w:val="9"/>
    <w:qFormat/>
    <w:rsid w:val="009F1189"/>
    <w:pPr>
      <w:keepNext/>
      <w:keepLines/>
      <w:numPr>
        <w:numId w:val="14"/>
      </w:numPr>
      <w:tabs>
        <w:tab w:val="left" w:pos="426"/>
      </w:tabs>
      <w:ind w:left="0" w:firstLine="0"/>
      <w:outlineLvl w:val="0"/>
    </w:pPr>
    <w:rPr>
      <w:rFonts w:eastAsiaTheme="majorEastAsia" w:cstheme="minorHAnsi"/>
      <w:b/>
      <w:bCs/>
      <w:sz w:val="28"/>
      <w:szCs w:val="28"/>
    </w:rPr>
  </w:style>
  <w:style w:type="paragraph" w:styleId="Heading2">
    <w:name w:val="heading 2"/>
    <w:basedOn w:val="Heading1"/>
    <w:next w:val="Normal"/>
    <w:link w:val="Heading2Char"/>
    <w:uiPriority w:val="9"/>
    <w:unhideWhenUsed/>
    <w:qFormat/>
    <w:rsid w:val="009F1189"/>
    <w:pPr>
      <w:numPr>
        <w:numId w:val="0"/>
      </w:numPr>
      <w:outlineLvl w:val="1"/>
    </w:pPr>
  </w:style>
  <w:style w:type="paragraph" w:styleId="Heading3">
    <w:name w:val="heading 3"/>
    <w:basedOn w:val="Normal"/>
    <w:next w:val="Normal"/>
    <w:link w:val="Heading3Char"/>
    <w:uiPriority w:val="9"/>
    <w:unhideWhenUsed/>
    <w:qFormat/>
    <w:rsid w:val="00AA1A3D"/>
    <w:pPr>
      <w:keepNext/>
      <w:keepLines/>
      <w:ind w:left="425"/>
      <w:outlineLvl w:val="2"/>
    </w:pPr>
    <w:rPr>
      <w:rFonts w:eastAsiaTheme="majorEastAsia" w:cstheme="minorHAnsi"/>
      <w:b/>
      <w:bCs/>
      <w:sz w:val="24"/>
      <w:szCs w:val="24"/>
      <w:u w:val="single"/>
    </w:rPr>
  </w:style>
  <w:style w:type="paragraph" w:styleId="Heading4">
    <w:name w:val="heading 4"/>
    <w:basedOn w:val="Normal"/>
    <w:next w:val="Normal"/>
    <w:link w:val="Heading4Char"/>
    <w:uiPriority w:val="9"/>
    <w:unhideWhenUsed/>
    <w:qFormat/>
    <w:rsid w:val="00AA1A3D"/>
    <w:pPr>
      <w:ind w:left="425"/>
      <w:outlineLvl w:val="3"/>
    </w:pPr>
    <w:rPr>
      <w:sz w:val="24"/>
      <w:szCs w:val="24"/>
      <w:u w:val="single"/>
    </w:rPr>
  </w:style>
  <w:style w:type="paragraph" w:styleId="Heading5">
    <w:name w:val="heading 5"/>
    <w:basedOn w:val="Normal"/>
    <w:next w:val="Normal"/>
    <w:link w:val="Heading5Char"/>
    <w:uiPriority w:val="9"/>
    <w:unhideWhenUsed/>
    <w:qFormat/>
    <w:rsid w:val="00AA1A3D"/>
    <w:pPr>
      <w:ind w:left="425"/>
      <w:outlineLvl w:val="4"/>
    </w:pPr>
    <w:rPr>
      <w:rFonts w:ascii="Calibri" w:hAnsi="Calibri" w:cstheme="minorHAnsi"/>
      <w:i/>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189"/>
    <w:rPr>
      <w:rFonts w:eastAsiaTheme="majorEastAsia" w:cstheme="minorHAnsi"/>
      <w:b/>
      <w:bCs/>
      <w:sz w:val="28"/>
      <w:szCs w:val="28"/>
    </w:rPr>
  </w:style>
  <w:style w:type="character" w:customStyle="1" w:styleId="Heading2Char">
    <w:name w:val="Heading 2 Char"/>
    <w:basedOn w:val="DefaultParagraphFont"/>
    <w:link w:val="Heading2"/>
    <w:uiPriority w:val="9"/>
    <w:rsid w:val="009F1189"/>
    <w:rPr>
      <w:rFonts w:eastAsiaTheme="majorEastAsia" w:cstheme="minorHAnsi"/>
      <w:b/>
      <w:bCs/>
      <w:sz w:val="28"/>
      <w:szCs w:val="28"/>
    </w:rPr>
  </w:style>
  <w:style w:type="character" w:customStyle="1" w:styleId="Heading3Char">
    <w:name w:val="Heading 3 Char"/>
    <w:basedOn w:val="DefaultParagraphFont"/>
    <w:link w:val="Heading3"/>
    <w:uiPriority w:val="9"/>
    <w:rsid w:val="00AA1A3D"/>
    <w:rPr>
      <w:rFonts w:eastAsiaTheme="majorEastAsia" w:cstheme="minorHAnsi"/>
      <w:b/>
      <w:bCs/>
      <w:sz w:val="24"/>
      <w:szCs w:val="24"/>
      <w:u w:val="single"/>
    </w:rPr>
  </w:style>
  <w:style w:type="character" w:customStyle="1" w:styleId="Heading4Char">
    <w:name w:val="Heading 4 Char"/>
    <w:basedOn w:val="DefaultParagraphFont"/>
    <w:link w:val="Heading4"/>
    <w:uiPriority w:val="9"/>
    <w:rsid w:val="00AA1A3D"/>
    <w:rPr>
      <w:sz w:val="24"/>
      <w:szCs w:val="24"/>
      <w:u w:val="single"/>
    </w:rPr>
  </w:style>
  <w:style w:type="character" w:customStyle="1" w:styleId="Heading5Char">
    <w:name w:val="Heading 5 Char"/>
    <w:basedOn w:val="DefaultParagraphFont"/>
    <w:link w:val="Heading5"/>
    <w:uiPriority w:val="9"/>
    <w:rsid w:val="00AA1A3D"/>
    <w:rPr>
      <w:rFonts w:ascii="Calibri" w:hAnsi="Calibri" w:cstheme="minorHAnsi"/>
      <w:i/>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table" w:styleId="LightGrid">
    <w:name w:val="Light Grid"/>
    <w:basedOn w:val="TableNormal"/>
    <w:uiPriority w:val="62"/>
    <w:rsid w:val="001A39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97382C"/>
    <w:pPr>
      <w:tabs>
        <w:tab w:val="right" w:pos="9638"/>
      </w:tabs>
    </w:pPr>
    <w:rPr>
      <w:rFonts w:cstheme="minorHAnsi"/>
      <w:sz w:val="20"/>
      <w:szCs w:val="20"/>
    </w:rPr>
  </w:style>
  <w:style w:type="character" w:customStyle="1" w:styleId="FooterChar">
    <w:name w:val="Footer Char"/>
    <w:basedOn w:val="DefaultParagraphFont"/>
    <w:link w:val="Footer"/>
    <w:rsid w:val="0097382C"/>
    <w:rPr>
      <w:rFonts w:cstheme="minorHAnsi"/>
      <w:sz w:val="20"/>
      <w:szCs w:val="20"/>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23B2"/>
    <w:rPr>
      <w:rFonts w:asciiTheme="minorHAnsi" w:hAnsiTheme="minorHAnsi"/>
      <w:b/>
      <w:bCs/>
    </w:rPr>
  </w:style>
  <w:style w:type="character" w:customStyle="1" w:styleId="CommentSubjectChar">
    <w:name w:val="Comment Subject Char"/>
    <w:basedOn w:val="CommentTextChar"/>
    <w:link w:val="CommentSubject"/>
    <w:uiPriority w:val="99"/>
    <w:semiHidden/>
    <w:rsid w:val="00A923B2"/>
    <w:rPr>
      <w:rFonts w:ascii="Cambria" w:hAnsi="Cambria"/>
      <w:b/>
      <w:bCs/>
      <w:sz w:val="20"/>
      <w:szCs w:val="20"/>
    </w:rPr>
  </w:style>
  <w:style w:type="paragraph" w:styleId="Title">
    <w:name w:val="Title"/>
    <w:basedOn w:val="Heading1"/>
    <w:next w:val="Normal"/>
    <w:link w:val="TitleChar"/>
    <w:uiPriority w:val="10"/>
    <w:qFormat/>
    <w:rsid w:val="009F1189"/>
    <w:pPr>
      <w:numPr>
        <w:numId w:val="0"/>
      </w:numPr>
    </w:pPr>
    <w:rPr>
      <w:rFonts w:eastAsia="SimSun"/>
      <w:sz w:val="32"/>
      <w:szCs w:val="32"/>
    </w:rPr>
  </w:style>
  <w:style w:type="character" w:customStyle="1" w:styleId="TitleChar">
    <w:name w:val="Title Char"/>
    <w:basedOn w:val="DefaultParagraphFont"/>
    <w:link w:val="Title"/>
    <w:uiPriority w:val="10"/>
    <w:rsid w:val="009F1189"/>
    <w:rPr>
      <w:rFonts w:eastAsia="SimSun" w:cstheme="minorHAnsi"/>
      <w:b/>
      <w:bCs/>
      <w:sz w:val="32"/>
      <w:szCs w:val="32"/>
    </w:rPr>
  </w:style>
  <w:style w:type="paragraph" w:styleId="Subtitle">
    <w:name w:val="Subtitle"/>
    <w:basedOn w:val="Heading1"/>
    <w:next w:val="Normal"/>
    <w:link w:val="SubtitleChar"/>
    <w:uiPriority w:val="11"/>
    <w:qFormat/>
    <w:rsid w:val="009F1189"/>
    <w:pPr>
      <w:numPr>
        <w:numId w:val="0"/>
      </w:numPr>
    </w:pPr>
    <w:rPr>
      <w:rFonts w:eastAsia="SimSun"/>
      <w:sz w:val="32"/>
      <w:szCs w:val="32"/>
    </w:rPr>
  </w:style>
  <w:style w:type="character" w:customStyle="1" w:styleId="SubtitleChar">
    <w:name w:val="Subtitle Char"/>
    <w:basedOn w:val="DefaultParagraphFont"/>
    <w:link w:val="Subtitle"/>
    <w:uiPriority w:val="11"/>
    <w:rsid w:val="009F1189"/>
    <w:rPr>
      <w:rFonts w:eastAsia="SimSun" w:cstheme="minorHAnsi"/>
      <w:b/>
      <w:bCs/>
      <w:sz w:val="32"/>
      <w:szCs w:val="32"/>
    </w:rPr>
  </w:style>
  <w:style w:type="paragraph" w:customStyle="1" w:styleId="HeadingTable">
    <w:name w:val="Heading Table"/>
    <w:basedOn w:val="Normal"/>
    <w:qFormat/>
    <w:rsid w:val="0030494B"/>
    <w:pPr>
      <w:jc w:val="center"/>
    </w:pPr>
    <w:rPr>
      <w:rFonts w:ascii="Calibri" w:eastAsiaTheme="majorEastAsia" w:hAnsi="Calibri" w:cstheme="minorHAnsi"/>
      <w:bCs/>
      <w:lang w:val="en-US"/>
    </w:rPr>
  </w:style>
  <w:style w:type="paragraph" w:customStyle="1" w:styleId="SummaryTableHeading">
    <w:name w:val="Summary Table Heading"/>
    <w:basedOn w:val="Normal"/>
    <w:qFormat/>
    <w:rsid w:val="00835C48"/>
    <w:rPr>
      <w:b/>
      <w:sz w:val="28"/>
      <w:szCs w:val="28"/>
    </w:rPr>
  </w:style>
  <w:style w:type="paragraph" w:customStyle="1" w:styleId="NormalIndent1">
    <w:name w:val="Normal Indent1"/>
    <w:basedOn w:val="Normal"/>
    <w:qFormat/>
    <w:rsid w:val="00AA1A3D"/>
    <w:pPr>
      <w:ind w:left="425"/>
    </w:pPr>
  </w:style>
  <w:style w:type="paragraph" w:customStyle="1" w:styleId="Bullet1">
    <w:name w:val="Bullet1"/>
    <w:basedOn w:val="ListParagraph"/>
    <w:qFormat/>
    <w:rsid w:val="00AA1A3D"/>
    <w:pPr>
      <w:numPr>
        <w:numId w:val="16"/>
      </w:numPr>
      <w:ind w:left="850" w:hanging="425"/>
    </w:pPr>
    <w:rPr>
      <w:rFonts w:ascii="Calibri" w:hAnsi="Calibri"/>
    </w:rPr>
  </w:style>
  <w:style w:type="paragraph" w:customStyle="1" w:styleId="Bullet2">
    <w:name w:val="Bullet2"/>
    <w:basedOn w:val="Bullet1"/>
    <w:qFormat/>
    <w:rsid w:val="00AA1A3D"/>
    <w:pPr>
      <w:numPr>
        <w:ilvl w:val="1"/>
      </w:numPr>
      <w:ind w:left="1276" w:hanging="425"/>
    </w:pPr>
  </w:style>
  <w:style w:type="paragraph" w:styleId="Header">
    <w:name w:val="header"/>
    <w:basedOn w:val="Normal"/>
    <w:link w:val="HeaderChar"/>
    <w:uiPriority w:val="99"/>
    <w:unhideWhenUsed/>
    <w:rsid w:val="002C24BD"/>
    <w:pPr>
      <w:tabs>
        <w:tab w:val="center" w:pos="4513"/>
        <w:tab w:val="right" w:pos="9026"/>
      </w:tabs>
    </w:pPr>
  </w:style>
  <w:style w:type="character" w:customStyle="1" w:styleId="HeaderChar">
    <w:name w:val="Header Char"/>
    <w:basedOn w:val="DefaultParagraphFont"/>
    <w:link w:val="Header"/>
    <w:uiPriority w:val="99"/>
    <w:rsid w:val="002C24BD"/>
  </w:style>
  <w:style w:type="character" w:styleId="Hyperlink">
    <w:name w:val="Hyperlink"/>
    <w:basedOn w:val="DefaultParagraphFont"/>
    <w:uiPriority w:val="99"/>
    <w:unhideWhenUsed/>
    <w:rsid w:val="00ED2466"/>
    <w:rPr>
      <w:color w:val="0000FF" w:themeColor="hyperlink"/>
      <w:u w:val="single"/>
    </w:rPr>
  </w:style>
  <w:style w:type="character" w:styleId="UnresolvedMention">
    <w:name w:val="Unresolved Mention"/>
    <w:basedOn w:val="DefaultParagraphFont"/>
    <w:uiPriority w:val="99"/>
    <w:semiHidden/>
    <w:unhideWhenUsed/>
    <w:rsid w:val="00ED2466"/>
    <w:rPr>
      <w:color w:val="808080"/>
      <w:shd w:val="clear" w:color="auto" w:fill="E6E6E6"/>
    </w:rPr>
  </w:style>
  <w:style w:type="table" w:styleId="TableGrid">
    <w:name w:val="Table Grid"/>
    <w:basedOn w:val="TableNormal"/>
    <w:uiPriority w:val="59"/>
    <w:rsid w:val="005B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902E6"/>
    <w:rPr>
      <w:rFonts w:eastAsiaTheme="minorEastAsia"/>
      <w:lang w:eastAsia="en-AU"/>
    </w:rPr>
    <w:tblPr>
      <w:tblCellMar>
        <w:top w:w="0" w:type="dxa"/>
        <w:left w:w="0" w:type="dxa"/>
        <w:bottom w:w="0" w:type="dxa"/>
        <w:right w:w="0" w:type="dxa"/>
      </w:tblCellMar>
    </w:tblPr>
  </w:style>
  <w:style w:type="paragraph" w:customStyle="1" w:styleId="Numbering1">
    <w:name w:val="Numbering 1"/>
    <w:basedOn w:val="Bullet1"/>
    <w:qFormat/>
    <w:rsid w:val="00BB749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16">
      <w:bodyDiv w:val="1"/>
      <w:marLeft w:val="0"/>
      <w:marRight w:val="0"/>
      <w:marTop w:val="0"/>
      <w:marBottom w:val="0"/>
      <w:divBdr>
        <w:top w:val="none" w:sz="0" w:space="0" w:color="auto"/>
        <w:left w:val="none" w:sz="0" w:space="0" w:color="auto"/>
        <w:bottom w:val="none" w:sz="0" w:space="0" w:color="auto"/>
        <w:right w:val="none" w:sz="0" w:space="0" w:color="auto"/>
      </w:divBdr>
    </w:div>
    <w:div w:id="331110582">
      <w:bodyDiv w:val="1"/>
      <w:marLeft w:val="0"/>
      <w:marRight w:val="0"/>
      <w:marTop w:val="0"/>
      <w:marBottom w:val="0"/>
      <w:divBdr>
        <w:top w:val="none" w:sz="0" w:space="0" w:color="auto"/>
        <w:left w:val="none" w:sz="0" w:space="0" w:color="auto"/>
        <w:bottom w:val="none" w:sz="0" w:space="0" w:color="auto"/>
        <w:right w:val="none" w:sz="0" w:space="0" w:color="auto"/>
      </w:divBdr>
    </w:div>
    <w:div w:id="482284153">
      <w:bodyDiv w:val="1"/>
      <w:marLeft w:val="0"/>
      <w:marRight w:val="0"/>
      <w:marTop w:val="0"/>
      <w:marBottom w:val="0"/>
      <w:divBdr>
        <w:top w:val="none" w:sz="0" w:space="0" w:color="auto"/>
        <w:left w:val="none" w:sz="0" w:space="0" w:color="auto"/>
        <w:bottom w:val="none" w:sz="0" w:space="0" w:color="auto"/>
        <w:right w:val="none" w:sz="0" w:space="0" w:color="auto"/>
      </w:divBdr>
    </w:div>
    <w:div w:id="758864551">
      <w:bodyDiv w:val="1"/>
      <w:marLeft w:val="0"/>
      <w:marRight w:val="0"/>
      <w:marTop w:val="0"/>
      <w:marBottom w:val="0"/>
      <w:divBdr>
        <w:top w:val="none" w:sz="0" w:space="0" w:color="auto"/>
        <w:left w:val="none" w:sz="0" w:space="0" w:color="auto"/>
        <w:bottom w:val="none" w:sz="0" w:space="0" w:color="auto"/>
        <w:right w:val="none" w:sz="0" w:space="0" w:color="auto"/>
      </w:divBdr>
    </w:div>
    <w:div w:id="779682404">
      <w:bodyDiv w:val="1"/>
      <w:marLeft w:val="0"/>
      <w:marRight w:val="0"/>
      <w:marTop w:val="0"/>
      <w:marBottom w:val="0"/>
      <w:divBdr>
        <w:top w:val="none" w:sz="0" w:space="0" w:color="auto"/>
        <w:left w:val="none" w:sz="0" w:space="0" w:color="auto"/>
        <w:bottom w:val="none" w:sz="0" w:space="0" w:color="auto"/>
        <w:right w:val="none" w:sz="0" w:space="0" w:color="auto"/>
      </w:divBdr>
    </w:div>
    <w:div w:id="859659537">
      <w:bodyDiv w:val="1"/>
      <w:marLeft w:val="0"/>
      <w:marRight w:val="0"/>
      <w:marTop w:val="0"/>
      <w:marBottom w:val="0"/>
      <w:divBdr>
        <w:top w:val="none" w:sz="0" w:space="0" w:color="auto"/>
        <w:left w:val="none" w:sz="0" w:space="0" w:color="auto"/>
        <w:bottom w:val="none" w:sz="0" w:space="0" w:color="auto"/>
        <w:right w:val="none" w:sz="0" w:space="0" w:color="auto"/>
      </w:divBdr>
      <w:divsChild>
        <w:div w:id="1766726996">
          <w:marLeft w:val="0"/>
          <w:marRight w:val="0"/>
          <w:marTop w:val="0"/>
          <w:marBottom w:val="0"/>
          <w:divBdr>
            <w:top w:val="none" w:sz="0" w:space="0" w:color="auto"/>
            <w:left w:val="none" w:sz="0" w:space="0" w:color="auto"/>
            <w:bottom w:val="none" w:sz="0" w:space="0" w:color="auto"/>
            <w:right w:val="none" w:sz="0" w:space="0" w:color="auto"/>
          </w:divBdr>
        </w:div>
        <w:div w:id="622465832">
          <w:marLeft w:val="0"/>
          <w:marRight w:val="0"/>
          <w:marTop w:val="0"/>
          <w:marBottom w:val="0"/>
          <w:divBdr>
            <w:top w:val="none" w:sz="0" w:space="0" w:color="auto"/>
            <w:left w:val="none" w:sz="0" w:space="0" w:color="auto"/>
            <w:bottom w:val="none" w:sz="0" w:space="0" w:color="auto"/>
            <w:right w:val="none" w:sz="0" w:space="0" w:color="auto"/>
          </w:divBdr>
        </w:div>
        <w:div w:id="1798600379">
          <w:marLeft w:val="0"/>
          <w:marRight w:val="0"/>
          <w:marTop w:val="0"/>
          <w:marBottom w:val="0"/>
          <w:divBdr>
            <w:top w:val="none" w:sz="0" w:space="0" w:color="auto"/>
            <w:left w:val="none" w:sz="0" w:space="0" w:color="auto"/>
            <w:bottom w:val="none" w:sz="0" w:space="0" w:color="auto"/>
            <w:right w:val="none" w:sz="0" w:space="0" w:color="auto"/>
          </w:divBdr>
        </w:div>
        <w:div w:id="301618630">
          <w:marLeft w:val="0"/>
          <w:marRight w:val="0"/>
          <w:marTop w:val="0"/>
          <w:marBottom w:val="0"/>
          <w:divBdr>
            <w:top w:val="none" w:sz="0" w:space="0" w:color="auto"/>
            <w:left w:val="none" w:sz="0" w:space="0" w:color="auto"/>
            <w:bottom w:val="none" w:sz="0" w:space="0" w:color="auto"/>
            <w:right w:val="none" w:sz="0" w:space="0" w:color="auto"/>
          </w:divBdr>
        </w:div>
      </w:divsChild>
    </w:div>
    <w:div w:id="1093211644">
      <w:bodyDiv w:val="1"/>
      <w:marLeft w:val="0"/>
      <w:marRight w:val="0"/>
      <w:marTop w:val="0"/>
      <w:marBottom w:val="0"/>
      <w:divBdr>
        <w:top w:val="none" w:sz="0" w:space="0" w:color="auto"/>
        <w:left w:val="none" w:sz="0" w:space="0" w:color="auto"/>
        <w:bottom w:val="none" w:sz="0" w:space="0" w:color="auto"/>
        <w:right w:val="none" w:sz="0" w:space="0" w:color="auto"/>
      </w:divBdr>
    </w:div>
    <w:div w:id="1486044565">
      <w:bodyDiv w:val="1"/>
      <w:marLeft w:val="0"/>
      <w:marRight w:val="0"/>
      <w:marTop w:val="0"/>
      <w:marBottom w:val="0"/>
      <w:divBdr>
        <w:top w:val="none" w:sz="0" w:space="0" w:color="auto"/>
        <w:left w:val="none" w:sz="0" w:space="0" w:color="auto"/>
        <w:bottom w:val="none" w:sz="0" w:space="0" w:color="auto"/>
        <w:right w:val="none" w:sz="0" w:space="0" w:color="auto"/>
      </w:divBdr>
    </w:div>
    <w:div w:id="1516766197">
      <w:bodyDiv w:val="1"/>
      <w:marLeft w:val="0"/>
      <w:marRight w:val="0"/>
      <w:marTop w:val="0"/>
      <w:marBottom w:val="0"/>
      <w:divBdr>
        <w:top w:val="none" w:sz="0" w:space="0" w:color="auto"/>
        <w:left w:val="none" w:sz="0" w:space="0" w:color="auto"/>
        <w:bottom w:val="none" w:sz="0" w:space="0" w:color="auto"/>
        <w:right w:val="none" w:sz="0" w:space="0" w:color="auto"/>
      </w:divBdr>
    </w:div>
    <w:div w:id="1995988320">
      <w:bodyDiv w:val="1"/>
      <w:marLeft w:val="0"/>
      <w:marRight w:val="0"/>
      <w:marTop w:val="0"/>
      <w:marBottom w:val="0"/>
      <w:divBdr>
        <w:top w:val="none" w:sz="0" w:space="0" w:color="auto"/>
        <w:left w:val="none" w:sz="0" w:space="0" w:color="auto"/>
        <w:bottom w:val="none" w:sz="0" w:space="0" w:color="auto"/>
        <w:right w:val="none" w:sz="0" w:space="0" w:color="auto"/>
      </w:divBdr>
    </w:div>
    <w:div w:id="203746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reporting-problems"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tga.gov.au/reporting-proble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nerichealth.com.au/"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3CF3-106C-4DCE-AF4B-4BD9795B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24</Pages>
  <Words>7538</Words>
  <Characters>43574</Characters>
  <Application>Microsoft Office Word</Application>
  <DocSecurity>0</DocSecurity>
  <Lines>1244</Lines>
  <Paragraphs>631</Paragraphs>
  <ScaleCrop>false</ScaleCrop>
  <HeadingPairs>
    <vt:vector size="2" baseType="variant">
      <vt:variant>
        <vt:lpstr>Title</vt:lpstr>
      </vt:variant>
      <vt:variant>
        <vt:i4>1</vt:i4>
      </vt:variant>
    </vt:vector>
  </HeadingPairs>
  <TitlesOfParts>
    <vt:vector size="1" baseType="lpstr">
      <vt:lpstr>Attachment Product information for Teriparatide Lupin/ Teriparatide LAPL/ Teriparatide GH </vt:lpstr>
    </vt:vector>
  </TitlesOfParts>
  <Company>Generic Health Pty Ltd</Company>
  <LinksUpToDate>false</LinksUpToDate>
  <CharactersWithSpaces>50481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Teriparatide Lupin/ Teriparatide LAPL/ Teriparatide GH </dc:title>
  <dc:subject>prescripition medicines</dc:subject>
  <dc:creator>Generic Health Pty Ltd</dc:creator>
  <cp:lastModifiedBy>LACK, Janet</cp:lastModifiedBy>
  <cp:revision>3</cp:revision>
  <cp:lastPrinted>2023-04-11T10:18:00Z</cp:lastPrinted>
  <dcterms:created xsi:type="dcterms:W3CDTF">2023-10-16T23:02:00Z</dcterms:created>
  <dcterms:modified xsi:type="dcterms:W3CDTF">2023-10-17T00:37:00Z</dcterms:modified>
</cp:coreProperties>
</file>