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31166C9F" w:rsidR="00F02AEC" w:rsidRPr="00215D48" w:rsidRDefault="00346EC2" w:rsidP="007452E8">
            <w:pPr>
              <w:pStyle w:val="Title"/>
            </w:pPr>
            <w:r w:rsidRPr="00346EC2">
              <w:t>Australian Public Assessment Report for</w:t>
            </w:r>
            <w:r w:rsidR="006C5D3E">
              <w:t xml:space="preserve"> </w:t>
            </w:r>
            <w:r w:rsidR="006C5D3E" w:rsidRPr="006C5D3E">
              <w:t>T</w:t>
            </w:r>
            <w:r w:rsidR="006C5D3E">
              <w:t>eriparatide</w:t>
            </w:r>
            <w:r w:rsidR="006C5D3E" w:rsidRPr="006C5D3E">
              <w:t xml:space="preserve"> Lupin/</w:t>
            </w:r>
            <w:r w:rsidR="006C5D3E">
              <w:t xml:space="preserve"> </w:t>
            </w:r>
            <w:r w:rsidR="006C5D3E" w:rsidRPr="006C5D3E">
              <w:t>T</w:t>
            </w:r>
            <w:r w:rsidR="006C5D3E">
              <w:t>eriparatide</w:t>
            </w:r>
            <w:r w:rsidR="006C5D3E" w:rsidRPr="006C5D3E">
              <w:t xml:space="preserve"> LAPL/</w:t>
            </w:r>
            <w:r w:rsidR="006C5D3E">
              <w:t xml:space="preserve"> </w:t>
            </w:r>
            <w:r w:rsidR="006C5D3E" w:rsidRPr="006C5D3E">
              <w:t>T</w:t>
            </w:r>
            <w:r w:rsidR="006C5D3E">
              <w:t xml:space="preserve">eriparatide </w:t>
            </w:r>
            <w:r w:rsidR="006C5D3E" w:rsidRPr="006C5D3E">
              <w:t>GH</w:t>
            </w:r>
          </w:p>
        </w:tc>
      </w:tr>
      <w:tr w:rsidR="00F02AEC" w:rsidRPr="00215D48" w14:paraId="318A40A3" w14:textId="77777777" w:rsidTr="00346EC2">
        <w:trPr>
          <w:trHeight w:val="995"/>
        </w:trPr>
        <w:tc>
          <w:tcPr>
            <w:tcW w:w="8720" w:type="dxa"/>
          </w:tcPr>
          <w:p w14:paraId="1AA7C701" w14:textId="75530A91" w:rsidR="00F02AEC" w:rsidRPr="00215D48" w:rsidRDefault="00346EC2" w:rsidP="007452E8">
            <w:pPr>
              <w:pStyle w:val="Subtitle"/>
              <w:ind w:left="0"/>
            </w:pPr>
            <w:r w:rsidRPr="00346EC2">
              <w:t>Active ingredient/s:</w:t>
            </w:r>
            <w:r w:rsidR="006C5D3E">
              <w:t xml:space="preserve"> </w:t>
            </w:r>
            <w:r w:rsidR="006C5D3E" w:rsidRPr="006C5D3E">
              <w:t>Teriparatide</w:t>
            </w:r>
          </w:p>
        </w:tc>
      </w:tr>
      <w:tr w:rsidR="00346EC2" w:rsidRPr="00215D48" w14:paraId="362CCAE4" w14:textId="77777777" w:rsidTr="007452E8">
        <w:trPr>
          <w:trHeight w:val="1916"/>
        </w:trPr>
        <w:tc>
          <w:tcPr>
            <w:tcW w:w="8720" w:type="dxa"/>
          </w:tcPr>
          <w:p w14:paraId="709C45C0" w14:textId="511F183D" w:rsidR="00346EC2" w:rsidRPr="00215D48" w:rsidRDefault="00346EC2" w:rsidP="007452E8">
            <w:pPr>
              <w:pStyle w:val="Subtitle"/>
              <w:ind w:left="0"/>
            </w:pPr>
            <w:r w:rsidRPr="00346EC2">
              <w:t xml:space="preserve">Sponsor: </w:t>
            </w:r>
            <w:r w:rsidR="006C5D3E" w:rsidRPr="006C5D3E">
              <w:t>Generic Health Pty Ltd</w:t>
            </w:r>
          </w:p>
        </w:tc>
      </w:tr>
      <w:tr w:rsidR="00F02AEC" w:rsidRPr="00215D48" w14:paraId="37F2AA1F" w14:textId="77777777" w:rsidTr="007452E8">
        <w:tc>
          <w:tcPr>
            <w:tcW w:w="8720" w:type="dxa"/>
          </w:tcPr>
          <w:p w14:paraId="1FDE8DCD" w14:textId="24FDC715" w:rsidR="00F02AEC" w:rsidRPr="00215D48" w:rsidRDefault="005E1570" w:rsidP="007452E8">
            <w:pPr>
              <w:pStyle w:val="Date"/>
            </w:pPr>
            <w:r>
              <w:t>October</w:t>
            </w:r>
            <w:r w:rsidR="00B02FF9" w:rsidRPr="00215D48">
              <w:t xml:space="preserve"> </w:t>
            </w:r>
            <w:r w:rsidR="006C5D3E">
              <w:t>2023</w:t>
            </w:r>
          </w:p>
        </w:tc>
      </w:tr>
    </w:tbl>
    <w:p w14:paraId="73752706" w14:textId="77777777" w:rsidR="00F02AEC" w:rsidRPr="00215D48" w:rsidRDefault="00F02AEC" w:rsidP="007452E8">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62E36983"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2"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281BEF30"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3"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FE087C">
      <w:pPr>
        <w:pStyle w:val="LegalSubheading"/>
        <w:spacing w:before="3600"/>
      </w:pPr>
      <w:r w:rsidRPr="00BA0DFC">
        <w:t>Copyright</w:t>
      </w:r>
    </w:p>
    <w:p w14:paraId="170A8A5D" w14:textId="553B8B50" w:rsidR="00175CD8" w:rsidRPr="00346EC2" w:rsidRDefault="00F02AEC" w:rsidP="00346EC2">
      <w:pPr>
        <w:pStyle w:val="LegalCopy"/>
        <w:rPr>
          <w:rFonts w:cs="Arial"/>
        </w:rPr>
      </w:pPr>
      <w:r w:rsidRPr="00215D48">
        <w:rPr>
          <w:rFonts w:cs="Arial"/>
        </w:rPr>
        <w:t>© Commonwealth of Australia 20</w:t>
      </w:r>
      <w:r>
        <w:rPr>
          <w:rFonts w:cs="Arial"/>
        </w:rPr>
        <w:t>2</w:t>
      </w:r>
      <w:r w:rsidR="00E47E0C">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szCs w:val="20"/>
        </w:rPr>
      </w:sdtEndPr>
      <w:sdtContent>
        <w:p w14:paraId="0A6ADA2B" w14:textId="77777777" w:rsidR="00F02AEC" w:rsidRPr="00215D48" w:rsidRDefault="00F02AEC" w:rsidP="007452E8">
          <w:pPr>
            <w:pStyle w:val="NonTOCheading2"/>
          </w:pPr>
          <w:r w:rsidRPr="00215D48">
            <w:t>Contents</w:t>
          </w:r>
        </w:p>
        <w:p w14:paraId="1E1B4E84" w14:textId="33DE8125" w:rsidR="008468D4"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4127386" w:history="1">
            <w:r w:rsidR="008468D4" w:rsidRPr="00E517E2">
              <w:rPr>
                <w:rStyle w:val="Hyperlink"/>
                <w:noProof/>
              </w:rPr>
              <w:t>List of abbreviations</w:t>
            </w:r>
            <w:r w:rsidR="008468D4">
              <w:rPr>
                <w:noProof/>
                <w:webHidden/>
              </w:rPr>
              <w:tab/>
            </w:r>
            <w:r w:rsidR="008468D4">
              <w:rPr>
                <w:noProof/>
                <w:webHidden/>
              </w:rPr>
              <w:fldChar w:fldCharType="begin"/>
            </w:r>
            <w:r w:rsidR="008468D4">
              <w:rPr>
                <w:noProof/>
                <w:webHidden/>
              </w:rPr>
              <w:instrText xml:space="preserve"> PAGEREF _Toc144127386 \h </w:instrText>
            </w:r>
            <w:r w:rsidR="008468D4">
              <w:rPr>
                <w:noProof/>
                <w:webHidden/>
              </w:rPr>
            </w:r>
            <w:r w:rsidR="008468D4">
              <w:rPr>
                <w:noProof/>
                <w:webHidden/>
              </w:rPr>
              <w:fldChar w:fldCharType="separate"/>
            </w:r>
            <w:r w:rsidR="008468D4">
              <w:rPr>
                <w:noProof/>
                <w:webHidden/>
              </w:rPr>
              <w:t>4</w:t>
            </w:r>
            <w:r w:rsidR="008468D4">
              <w:rPr>
                <w:noProof/>
                <w:webHidden/>
              </w:rPr>
              <w:fldChar w:fldCharType="end"/>
            </w:r>
          </w:hyperlink>
        </w:p>
        <w:p w14:paraId="189FD3D4" w14:textId="4A10F62E" w:rsidR="008468D4" w:rsidRDefault="00A61109">
          <w:pPr>
            <w:pStyle w:val="TOC1"/>
            <w:rPr>
              <w:rFonts w:asciiTheme="minorHAnsi" w:eastAsiaTheme="minorEastAsia" w:hAnsiTheme="minorHAnsi" w:cstheme="minorBidi"/>
              <w:b w:val="0"/>
              <w:noProof/>
              <w:color w:val="auto"/>
              <w:sz w:val="22"/>
              <w:szCs w:val="22"/>
              <w:lang w:eastAsia="en-AU"/>
            </w:rPr>
          </w:pPr>
          <w:hyperlink w:anchor="_Toc144127387" w:history="1">
            <w:r w:rsidR="008468D4" w:rsidRPr="00E517E2">
              <w:rPr>
                <w:rStyle w:val="Hyperlink"/>
                <w:noProof/>
              </w:rPr>
              <w:t>Product submission</w:t>
            </w:r>
            <w:r w:rsidR="008468D4">
              <w:rPr>
                <w:noProof/>
                <w:webHidden/>
              </w:rPr>
              <w:tab/>
            </w:r>
            <w:r w:rsidR="008468D4">
              <w:rPr>
                <w:noProof/>
                <w:webHidden/>
              </w:rPr>
              <w:fldChar w:fldCharType="begin"/>
            </w:r>
            <w:r w:rsidR="008468D4">
              <w:rPr>
                <w:noProof/>
                <w:webHidden/>
              </w:rPr>
              <w:instrText xml:space="preserve"> PAGEREF _Toc144127387 \h </w:instrText>
            </w:r>
            <w:r w:rsidR="008468D4">
              <w:rPr>
                <w:noProof/>
                <w:webHidden/>
              </w:rPr>
            </w:r>
            <w:r w:rsidR="008468D4">
              <w:rPr>
                <w:noProof/>
                <w:webHidden/>
              </w:rPr>
              <w:fldChar w:fldCharType="separate"/>
            </w:r>
            <w:r w:rsidR="008468D4">
              <w:rPr>
                <w:noProof/>
                <w:webHidden/>
              </w:rPr>
              <w:t>5</w:t>
            </w:r>
            <w:r w:rsidR="008468D4">
              <w:rPr>
                <w:noProof/>
                <w:webHidden/>
              </w:rPr>
              <w:fldChar w:fldCharType="end"/>
            </w:r>
          </w:hyperlink>
        </w:p>
        <w:p w14:paraId="468E367F" w14:textId="475E44E3"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88" w:history="1">
            <w:r w:rsidR="008468D4" w:rsidRPr="00E517E2">
              <w:rPr>
                <w:rStyle w:val="Hyperlink"/>
                <w:noProof/>
                <w:lang w:eastAsia="en-AU"/>
              </w:rPr>
              <w:t>Submission details</w:t>
            </w:r>
            <w:r w:rsidR="008468D4">
              <w:rPr>
                <w:noProof/>
                <w:webHidden/>
              </w:rPr>
              <w:tab/>
            </w:r>
            <w:r w:rsidR="008468D4">
              <w:rPr>
                <w:noProof/>
                <w:webHidden/>
              </w:rPr>
              <w:fldChar w:fldCharType="begin"/>
            </w:r>
            <w:r w:rsidR="008468D4">
              <w:rPr>
                <w:noProof/>
                <w:webHidden/>
              </w:rPr>
              <w:instrText xml:space="preserve"> PAGEREF _Toc144127388 \h </w:instrText>
            </w:r>
            <w:r w:rsidR="008468D4">
              <w:rPr>
                <w:noProof/>
                <w:webHidden/>
              </w:rPr>
            </w:r>
            <w:r w:rsidR="008468D4">
              <w:rPr>
                <w:noProof/>
                <w:webHidden/>
              </w:rPr>
              <w:fldChar w:fldCharType="separate"/>
            </w:r>
            <w:r w:rsidR="008468D4">
              <w:rPr>
                <w:noProof/>
                <w:webHidden/>
              </w:rPr>
              <w:t>5</w:t>
            </w:r>
            <w:r w:rsidR="008468D4">
              <w:rPr>
                <w:noProof/>
                <w:webHidden/>
              </w:rPr>
              <w:fldChar w:fldCharType="end"/>
            </w:r>
          </w:hyperlink>
        </w:p>
        <w:p w14:paraId="58CD6EBE" w14:textId="06D05A8F"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89" w:history="1">
            <w:r w:rsidR="008468D4" w:rsidRPr="00E517E2">
              <w:rPr>
                <w:rStyle w:val="Hyperlink"/>
                <w:noProof/>
              </w:rPr>
              <w:t>Product background</w:t>
            </w:r>
            <w:r w:rsidR="008468D4">
              <w:rPr>
                <w:noProof/>
                <w:webHidden/>
              </w:rPr>
              <w:tab/>
            </w:r>
            <w:r w:rsidR="008468D4">
              <w:rPr>
                <w:noProof/>
                <w:webHidden/>
              </w:rPr>
              <w:fldChar w:fldCharType="begin"/>
            </w:r>
            <w:r w:rsidR="008468D4">
              <w:rPr>
                <w:noProof/>
                <w:webHidden/>
              </w:rPr>
              <w:instrText xml:space="preserve"> PAGEREF _Toc144127389 \h </w:instrText>
            </w:r>
            <w:r w:rsidR="008468D4">
              <w:rPr>
                <w:noProof/>
                <w:webHidden/>
              </w:rPr>
            </w:r>
            <w:r w:rsidR="008468D4">
              <w:rPr>
                <w:noProof/>
                <w:webHidden/>
              </w:rPr>
              <w:fldChar w:fldCharType="separate"/>
            </w:r>
            <w:r w:rsidR="008468D4">
              <w:rPr>
                <w:noProof/>
                <w:webHidden/>
              </w:rPr>
              <w:t>6</w:t>
            </w:r>
            <w:r w:rsidR="008468D4">
              <w:rPr>
                <w:noProof/>
                <w:webHidden/>
              </w:rPr>
              <w:fldChar w:fldCharType="end"/>
            </w:r>
          </w:hyperlink>
        </w:p>
        <w:p w14:paraId="5C1E493C" w14:textId="1BE0A398"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90" w:history="1">
            <w:r w:rsidR="008468D4" w:rsidRPr="00E517E2">
              <w:rPr>
                <w:rStyle w:val="Hyperlink"/>
                <w:noProof/>
              </w:rPr>
              <w:t>Regulatory status</w:t>
            </w:r>
            <w:r w:rsidR="008468D4">
              <w:rPr>
                <w:noProof/>
                <w:webHidden/>
              </w:rPr>
              <w:tab/>
            </w:r>
            <w:r w:rsidR="008468D4">
              <w:rPr>
                <w:noProof/>
                <w:webHidden/>
              </w:rPr>
              <w:fldChar w:fldCharType="begin"/>
            </w:r>
            <w:r w:rsidR="008468D4">
              <w:rPr>
                <w:noProof/>
                <w:webHidden/>
              </w:rPr>
              <w:instrText xml:space="preserve"> PAGEREF _Toc144127390 \h </w:instrText>
            </w:r>
            <w:r w:rsidR="008468D4">
              <w:rPr>
                <w:noProof/>
                <w:webHidden/>
              </w:rPr>
            </w:r>
            <w:r w:rsidR="008468D4">
              <w:rPr>
                <w:noProof/>
                <w:webHidden/>
              </w:rPr>
              <w:fldChar w:fldCharType="separate"/>
            </w:r>
            <w:r w:rsidR="008468D4">
              <w:rPr>
                <w:noProof/>
                <w:webHidden/>
              </w:rPr>
              <w:t>7</w:t>
            </w:r>
            <w:r w:rsidR="008468D4">
              <w:rPr>
                <w:noProof/>
                <w:webHidden/>
              </w:rPr>
              <w:fldChar w:fldCharType="end"/>
            </w:r>
          </w:hyperlink>
        </w:p>
        <w:p w14:paraId="10EC7750" w14:textId="6798FCB8"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91" w:history="1">
            <w:r w:rsidR="008468D4" w:rsidRPr="00E517E2">
              <w:rPr>
                <w:rStyle w:val="Hyperlink"/>
                <w:noProof/>
              </w:rPr>
              <w:t>Product Information</w:t>
            </w:r>
            <w:r w:rsidR="008468D4">
              <w:rPr>
                <w:noProof/>
                <w:webHidden/>
              </w:rPr>
              <w:tab/>
            </w:r>
            <w:r w:rsidR="008468D4">
              <w:rPr>
                <w:noProof/>
                <w:webHidden/>
              </w:rPr>
              <w:fldChar w:fldCharType="begin"/>
            </w:r>
            <w:r w:rsidR="008468D4">
              <w:rPr>
                <w:noProof/>
                <w:webHidden/>
              </w:rPr>
              <w:instrText xml:space="preserve"> PAGEREF _Toc144127391 \h </w:instrText>
            </w:r>
            <w:r w:rsidR="008468D4">
              <w:rPr>
                <w:noProof/>
                <w:webHidden/>
              </w:rPr>
            </w:r>
            <w:r w:rsidR="008468D4">
              <w:rPr>
                <w:noProof/>
                <w:webHidden/>
              </w:rPr>
              <w:fldChar w:fldCharType="separate"/>
            </w:r>
            <w:r w:rsidR="008468D4">
              <w:rPr>
                <w:noProof/>
                <w:webHidden/>
              </w:rPr>
              <w:t>8</w:t>
            </w:r>
            <w:r w:rsidR="008468D4">
              <w:rPr>
                <w:noProof/>
                <w:webHidden/>
              </w:rPr>
              <w:fldChar w:fldCharType="end"/>
            </w:r>
          </w:hyperlink>
        </w:p>
        <w:p w14:paraId="5AA9FCD8" w14:textId="2EE7D9A2" w:rsidR="008468D4" w:rsidRDefault="00A61109">
          <w:pPr>
            <w:pStyle w:val="TOC1"/>
            <w:rPr>
              <w:rFonts w:asciiTheme="minorHAnsi" w:eastAsiaTheme="minorEastAsia" w:hAnsiTheme="minorHAnsi" w:cstheme="minorBidi"/>
              <w:b w:val="0"/>
              <w:noProof/>
              <w:color w:val="auto"/>
              <w:sz w:val="22"/>
              <w:szCs w:val="22"/>
              <w:lang w:eastAsia="en-AU"/>
            </w:rPr>
          </w:pPr>
          <w:hyperlink w:anchor="_Toc144127392" w:history="1">
            <w:r w:rsidR="008468D4" w:rsidRPr="00E517E2">
              <w:rPr>
                <w:rStyle w:val="Hyperlink"/>
                <w:noProof/>
              </w:rPr>
              <w:t>Registration timeline</w:t>
            </w:r>
            <w:r w:rsidR="008468D4">
              <w:rPr>
                <w:noProof/>
                <w:webHidden/>
              </w:rPr>
              <w:tab/>
            </w:r>
            <w:r w:rsidR="008468D4">
              <w:rPr>
                <w:noProof/>
                <w:webHidden/>
              </w:rPr>
              <w:fldChar w:fldCharType="begin"/>
            </w:r>
            <w:r w:rsidR="008468D4">
              <w:rPr>
                <w:noProof/>
                <w:webHidden/>
              </w:rPr>
              <w:instrText xml:space="preserve"> PAGEREF _Toc144127392 \h </w:instrText>
            </w:r>
            <w:r w:rsidR="008468D4">
              <w:rPr>
                <w:noProof/>
                <w:webHidden/>
              </w:rPr>
            </w:r>
            <w:r w:rsidR="008468D4">
              <w:rPr>
                <w:noProof/>
                <w:webHidden/>
              </w:rPr>
              <w:fldChar w:fldCharType="separate"/>
            </w:r>
            <w:r w:rsidR="008468D4">
              <w:rPr>
                <w:noProof/>
                <w:webHidden/>
              </w:rPr>
              <w:t>8</w:t>
            </w:r>
            <w:r w:rsidR="008468D4">
              <w:rPr>
                <w:noProof/>
                <w:webHidden/>
              </w:rPr>
              <w:fldChar w:fldCharType="end"/>
            </w:r>
          </w:hyperlink>
        </w:p>
        <w:p w14:paraId="4655E0EE" w14:textId="0874E685" w:rsidR="008468D4" w:rsidRDefault="00A61109">
          <w:pPr>
            <w:pStyle w:val="TOC1"/>
            <w:rPr>
              <w:rFonts w:asciiTheme="minorHAnsi" w:eastAsiaTheme="minorEastAsia" w:hAnsiTheme="minorHAnsi" w:cstheme="minorBidi"/>
              <w:b w:val="0"/>
              <w:noProof/>
              <w:color w:val="auto"/>
              <w:sz w:val="22"/>
              <w:szCs w:val="22"/>
              <w:lang w:eastAsia="en-AU"/>
            </w:rPr>
          </w:pPr>
          <w:hyperlink w:anchor="_Toc144127393" w:history="1">
            <w:r w:rsidR="008468D4" w:rsidRPr="00E517E2">
              <w:rPr>
                <w:rStyle w:val="Hyperlink"/>
                <w:noProof/>
              </w:rPr>
              <w:t>Submission overview and risk/benefit assessment</w:t>
            </w:r>
            <w:r w:rsidR="008468D4">
              <w:rPr>
                <w:noProof/>
                <w:webHidden/>
              </w:rPr>
              <w:tab/>
            </w:r>
            <w:r w:rsidR="008468D4">
              <w:rPr>
                <w:noProof/>
                <w:webHidden/>
              </w:rPr>
              <w:fldChar w:fldCharType="begin"/>
            </w:r>
            <w:r w:rsidR="008468D4">
              <w:rPr>
                <w:noProof/>
                <w:webHidden/>
              </w:rPr>
              <w:instrText xml:space="preserve"> PAGEREF _Toc144127393 \h </w:instrText>
            </w:r>
            <w:r w:rsidR="008468D4">
              <w:rPr>
                <w:noProof/>
                <w:webHidden/>
              </w:rPr>
            </w:r>
            <w:r w:rsidR="008468D4">
              <w:rPr>
                <w:noProof/>
                <w:webHidden/>
              </w:rPr>
              <w:fldChar w:fldCharType="separate"/>
            </w:r>
            <w:r w:rsidR="008468D4">
              <w:rPr>
                <w:noProof/>
                <w:webHidden/>
              </w:rPr>
              <w:t>8</w:t>
            </w:r>
            <w:r w:rsidR="008468D4">
              <w:rPr>
                <w:noProof/>
                <w:webHidden/>
              </w:rPr>
              <w:fldChar w:fldCharType="end"/>
            </w:r>
          </w:hyperlink>
        </w:p>
        <w:p w14:paraId="67A2EAF7" w14:textId="5DA17493"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94" w:history="1">
            <w:r w:rsidR="008468D4" w:rsidRPr="00E517E2">
              <w:rPr>
                <w:rStyle w:val="Hyperlink"/>
                <w:noProof/>
              </w:rPr>
              <w:t>Quality</w:t>
            </w:r>
            <w:r w:rsidR="008468D4">
              <w:rPr>
                <w:noProof/>
                <w:webHidden/>
              </w:rPr>
              <w:tab/>
            </w:r>
            <w:r w:rsidR="008468D4">
              <w:rPr>
                <w:noProof/>
                <w:webHidden/>
              </w:rPr>
              <w:fldChar w:fldCharType="begin"/>
            </w:r>
            <w:r w:rsidR="008468D4">
              <w:rPr>
                <w:noProof/>
                <w:webHidden/>
              </w:rPr>
              <w:instrText xml:space="preserve"> PAGEREF _Toc144127394 \h </w:instrText>
            </w:r>
            <w:r w:rsidR="008468D4">
              <w:rPr>
                <w:noProof/>
                <w:webHidden/>
              </w:rPr>
            </w:r>
            <w:r w:rsidR="008468D4">
              <w:rPr>
                <w:noProof/>
                <w:webHidden/>
              </w:rPr>
              <w:fldChar w:fldCharType="separate"/>
            </w:r>
            <w:r w:rsidR="008468D4">
              <w:rPr>
                <w:noProof/>
                <w:webHidden/>
              </w:rPr>
              <w:t>9</w:t>
            </w:r>
            <w:r w:rsidR="008468D4">
              <w:rPr>
                <w:noProof/>
                <w:webHidden/>
              </w:rPr>
              <w:fldChar w:fldCharType="end"/>
            </w:r>
          </w:hyperlink>
        </w:p>
        <w:p w14:paraId="701D0422" w14:textId="756CDF12" w:rsidR="008468D4" w:rsidRDefault="00A61109">
          <w:pPr>
            <w:pStyle w:val="TOC3"/>
            <w:rPr>
              <w:rFonts w:asciiTheme="minorHAnsi" w:eastAsiaTheme="minorEastAsia" w:hAnsiTheme="minorHAnsi" w:cstheme="minorBidi"/>
              <w:b w:val="0"/>
              <w:noProof/>
              <w:color w:val="auto"/>
              <w:szCs w:val="22"/>
              <w:lang w:eastAsia="en-AU"/>
            </w:rPr>
          </w:pPr>
          <w:hyperlink w:anchor="_Toc144127395" w:history="1">
            <w:r w:rsidR="008468D4" w:rsidRPr="00E517E2">
              <w:rPr>
                <w:rStyle w:val="Hyperlink"/>
                <w:noProof/>
              </w:rPr>
              <w:t>Drug substance</w:t>
            </w:r>
            <w:r w:rsidR="008468D4">
              <w:rPr>
                <w:noProof/>
                <w:webHidden/>
              </w:rPr>
              <w:tab/>
            </w:r>
            <w:r w:rsidR="008468D4">
              <w:rPr>
                <w:noProof/>
                <w:webHidden/>
              </w:rPr>
              <w:fldChar w:fldCharType="begin"/>
            </w:r>
            <w:r w:rsidR="008468D4">
              <w:rPr>
                <w:noProof/>
                <w:webHidden/>
              </w:rPr>
              <w:instrText xml:space="preserve"> PAGEREF _Toc144127395 \h </w:instrText>
            </w:r>
            <w:r w:rsidR="008468D4">
              <w:rPr>
                <w:noProof/>
                <w:webHidden/>
              </w:rPr>
            </w:r>
            <w:r w:rsidR="008468D4">
              <w:rPr>
                <w:noProof/>
                <w:webHidden/>
              </w:rPr>
              <w:fldChar w:fldCharType="separate"/>
            </w:r>
            <w:r w:rsidR="008468D4">
              <w:rPr>
                <w:noProof/>
                <w:webHidden/>
              </w:rPr>
              <w:t>9</w:t>
            </w:r>
            <w:r w:rsidR="008468D4">
              <w:rPr>
                <w:noProof/>
                <w:webHidden/>
              </w:rPr>
              <w:fldChar w:fldCharType="end"/>
            </w:r>
          </w:hyperlink>
        </w:p>
        <w:p w14:paraId="2434769A" w14:textId="392CA887" w:rsidR="008468D4" w:rsidRDefault="00A61109">
          <w:pPr>
            <w:pStyle w:val="TOC3"/>
            <w:rPr>
              <w:rFonts w:asciiTheme="minorHAnsi" w:eastAsiaTheme="minorEastAsia" w:hAnsiTheme="minorHAnsi" w:cstheme="minorBidi"/>
              <w:b w:val="0"/>
              <w:noProof/>
              <w:color w:val="auto"/>
              <w:szCs w:val="22"/>
              <w:lang w:eastAsia="en-AU"/>
            </w:rPr>
          </w:pPr>
          <w:hyperlink w:anchor="_Toc144127396" w:history="1">
            <w:r w:rsidR="008468D4" w:rsidRPr="00E517E2">
              <w:rPr>
                <w:rStyle w:val="Hyperlink"/>
                <w:noProof/>
              </w:rPr>
              <w:t>Medicinal product</w:t>
            </w:r>
            <w:r w:rsidR="008468D4">
              <w:rPr>
                <w:noProof/>
                <w:webHidden/>
              </w:rPr>
              <w:tab/>
            </w:r>
            <w:r w:rsidR="008468D4">
              <w:rPr>
                <w:noProof/>
                <w:webHidden/>
              </w:rPr>
              <w:fldChar w:fldCharType="begin"/>
            </w:r>
            <w:r w:rsidR="008468D4">
              <w:rPr>
                <w:noProof/>
                <w:webHidden/>
              </w:rPr>
              <w:instrText xml:space="preserve"> PAGEREF _Toc144127396 \h </w:instrText>
            </w:r>
            <w:r w:rsidR="008468D4">
              <w:rPr>
                <w:noProof/>
                <w:webHidden/>
              </w:rPr>
            </w:r>
            <w:r w:rsidR="008468D4">
              <w:rPr>
                <w:noProof/>
                <w:webHidden/>
              </w:rPr>
              <w:fldChar w:fldCharType="separate"/>
            </w:r>
            <w:r w:rsidR="008468D4">
              <w:rPr>
                <w:noProof/>
                <w:webHidden/>
              </w:rPr>
              <w:t>10</w:t>
            </w:r>
            <w:r w:rsidR="008468D4">
              <w:rPr>
                <w:noProof/>
                <w:webHidden/>
              </w:rPr>
              <w:fldChar w:fldCharType="end"/>
            </w:r>
          </w:hyperlink>
        </w:p>
        <w:p w14:paraId="0BB6BB4E" w14:textId="5651C8C3" w:rsidR="008468D4" w:rsidRDefault="00A61109">
          <w:pPr>
            <w:pStyle w:val="TOC3"/>
            <w:rPr>
              <w:rFonts w:asciiTheme="minorHAnsi" w:eastAsiaTheme="minorEastAsia" w:hAnsiTheme="minorHAnsi" w:cstheme="minorBidi"/>
              <w:b w:val="0"/>
              <w:noProof/>
              <w:color w:val="auto"/>
              <w:szCs w:val="22"/>
              <w:lang w:eastAsia="en-AU"/>
            </w:rPr>
          </w:pPr>
          <w:hyperlink w:anchor="_Toc144127397" w:history="1">
            <w:r w:rsidR="008468D4" w:rsidRPr="00E517E2">
              <w:rPr>
                <w:rStyle w:val="Hyperlink"/>
                <w:noProof/>
              </w:rPr>
              <w:t>Biopharmaceutics</w:t>
            </w:r>
            <w:r w:rsidR="008468D4">
              <w:rPr>
                <w:noProof/>
                <w:webHidden/>
              </w:rPr>
              <w:tab/>
            </w:r>
            <w:r w:rsidR="008468D4">
              <w:rPr>
                <w:noProof/>
                <w:webHidden/>
              </w:rPr>
              <w:fldChar w:fldCharType="begin"/>
            </w:r>
            <w:r w:rsidR="008468D4">
              <w:rPr>
                <w:noProof/>
                <w:webHidden/>
              </w:rPr>
              <w:instrText xml:space="preserve"> PAGEREF _Toc144127397 \h </w:instrText>
            </w:r>
            <w:r w:rsidR="008468D4">
              <w:rPr>
                <w:noProof/>
                <w:webHidden/>
              </w:rPr>
            </w:r>
            <w:r w:rsidR="008468D4">
              <w:rPr>
                <w:noProof/>
                <w:webHidden/>
              </w:rPr>
              <w:fldChar w:fldCharType="separate"/>
            </w:r>
            <w:r w:rsidR="008468D4">
              <w:rPr>
                <w:noProof/>
                <w:webHidden/>
              </w:rPr>
              <w:t>10</w:t>
            </w:r>
            <w:r w:rsidR="008468D4">
              <w:rPr>
                <w:noProof/>
                <w:webHidden/>
              </w:rPr>
              <w:fldChar w:fldCharType="end"/>
            </w:r>
          </w:hyperlink>
        </w:p>
        <w:p w14:paraId="7C3C4C24" w14:textId="093044DC" w:rsidR="008468D4" w:rsidRDefault="00A61109">
          <w:pPr>
            <w:pStyle w:val="TOC3"/>
            <w:rPr>
              <w:rFonts w:asciiTheme="minorHAnsi" w:eastAsiaTheme="minorEastAsia" w:hAnsiTheme="minorHAnsi" w:cstheme="minorBidi"/>
              <w:b w:val="0"/>
              <w:noProof/>
              <w:color w:val="auto"/>
              <w:szCs w:val="22"/>
              <w:lang w:eastAsia="en-AU"/>
            </w:rPr>
          </w:pPr>
          <w:hyperlink w:anchor="_Toc144127398" w:history="1">
            <w:r w:rsidR="008468D4" w:rsidRPr="00E517E2">
              <w:rPr>
                <w:rStyle w:val="Hyperlink"/>
                <w:noProof/>
              </w:rPr>
              <w:t>Recommendation</w:t>
            </w:r>
            <w:r w:rsidR="008468D4">
              <w:rPr>
                <w:noProof/>
                <w:webHidden/>
              </w:rPr>
              <w:tab/>
            </w:r>
            <w:r w:rsidR="008468D4">
              <w:rPr>
                <w:noProof/>
                <w:webHidden/>
              </w:rPr>
              <w:fldChar w:fldCharType="begin"/>
            </w:r>
            <w:r w:rsidR="008468D4">
              <w:rPr>
                <w:noProof/>
                <w:webHidden/>
              </w:rPr>
              <w:instrText xml:space="preserve"> PAGEREF _Toc144127398 \h </w:instrText>
            </w:r>
            <w:r w:rsidR="008468D4">
              <w:rPr>
                <w:noProof/>
                <w:webHidden/>
              </w:rPr>
            </w:r>
            <w:r w:rsidR="008468D4">
              <w:rPr>
                <w:noProof/>
                <w:webHidden/>
              </w:rPr>
              <w:fldChar w:fldCharType="separate"/>
            </w:r>
            <w:r w:rsidR="008468D4">
              <w:rPr>
                <w:noProof/>
                <w:webHidden/>
              </w:rPr>
              <w:t>10</w:t>
            </w:r>
            <w:r w:rsidR="008468D4">
              <w:rPr>
                <w:noProof/>
                <w:webHidden/>
              </w:rPr>
              <w:fldChar w:fldCharType="end"/>
            </w:r>
          </w:hyperlink>
        </w:p>
        <w:p w14:paraId="3041F2BF" w14:textId="20EA6611" w:rsidR="008468D4" w:rsidRDefault="00A61109">
          <w:pPr>
            <w:pStyle w:val="TOC2"/>
            <w:rPr>
              <w:rFonts w:asciiTheme="minorHAnsi" w:eastAsiaTheme="minorEastAsia" w:hAnsiTheme="minorHAnsi" w:cstheme="minorBidi"/>
              <w:b w:val="0"/>
              <w:noProof/>
              <w:color w:val="auto"/>
              <w:sz w:val="22"/>
              <w:szCs w:val="22"/>
              <w:lang w:eastAsia="en-AU"/>
            </w:rPr>
          </w:pPr>
          <w:hyperlink w:anchor="_Toc144127399" w:history="1">
            <w:r w:rsidR="008468D4" w:rsidRPr="00E517E2">
              <w:rPr>
                <w:rStyle w:val="Hyperlink"/>
                <w:noProof/>
              </w:rPr>
              <w:t>Nonclinical</w:t>
            </w:r>
            <w:r w:rsidR="008468D4">
              <w:rPr>
                <w:noProof/>
                <w:webHidden/>
              </w:rPr>
              <w:tab/>
            </w:r>
            <w:r w:rsidR="008468D4">
              <w:rPr>
                <w:noProof/>
                <w:webHidden/>
              </w:rPr>
              <w:fldChar w:fldCharType="begin"/>
            </w:r>
            <w:r w:rsidR="008468D4">
              <w:rPr>
                <w:noProof/>
                <w:webHidden/>
              </w:rPr>
              <w:instrText xml:space="preserve"> PAGEREF _Toc144127399 \h </w:instrText>
            </w:r>
            <w:r w:rsidR="008468D4">
              <w:rPr>
                <w:noProof/>
                <w:webHidden/>
              </w:rPr>
            </w:r>
            <w:r w:rsidR="008468D4">
              <w:rPr>
                <w:noProof/>
                <w:webHidden/>
              </w:rPr>
              <w:fldChar w:fldCharType="separate"/>
            </w:r>
            <w:r w:rsidR="008468D4">
              <w:rPr>
                <w:noProof/>
                <w:webHidden/>
              </w:rPr>
              <w:t>10</w:t>
            </w:r>
            <w:r w:rsidR="008468D4">
              <w:rPr>
                <w:noProof/>
                <w:webHidden/>
              </w:rPr>
              <w:fldChar w:fldCharType="end"/>
            </w:r>
          </w:hyperlink>
        </w:p>
        <w:p w14:paraId="6D0A51FD" w14:textId="6B457780" w:rsidR="008468D4" w:rsidRDefault="00A61109">
          <w:pPr>
            <w:pStyle w:val="TOC3"/>
            <w:rPr>
              <w:rFonts w:asciiTheme="minorHAnsi" w:eastAsiaTheme="minorEastAsia" w:hAnsiTheme="minorHAnsi" w:cstheme="minorBidi"/>
              <w:b w:val="0"/>
              <w:noProof/>
              <w:color w:val="auto"/>
              <w:szCs w:val="22"/>
              <w:lang w:eastAsia="en-AU"/>
            </w:rPr>
          </w:pPr>
          <w:hyperlink w:anchor="_Toc144127400" w:history="1">
            <w:r w:rsidR="008468D4" w:rsidRPr="00E517E2">
              <w:rPr>
                <w:rStyle w:val="Hyperlink"/>
                <w:noProof/>
              </w:rPr>
              <w:t>Recommendation</w:t>
            </w:r>
            <w:r w:rsidR="008468D4">
              <w:rPr>
                <w:noProof/>
                <w:webHidden/>
              </w:rPr>
              <w:tab/>
            </w:r>
            <w:r w:rsidR="008468D4">
              <w:rPr>
                <w:noProof/>
                <w:webHidden/>
              </w:rPr>
              <w:fldChar w:fldCharType="begin"/>
            </w:r>
            <w:r w:rsidR="008468D4">
              <w:rPr>
                <w:noProof/>
                <w:webHidden/>
              </w:rPr>
              <w:instrText xml:space="preserve"> PAGEREF _Toc144127400 \h </w:instrText>
            </w:r>
            <w:r w:rsidR="008468D4">
              <w:rPr>
                <w:noProof/>
                <w:webHidden/>
              </w:rPr>
            </w:r>
            <w:r w:rsidR="008468D4">
              <w:rPr>
                <w:noProof/>
                <w:webHidden/>
              </w:rPr>
              <w:fldChar w:fldCharType="separate"/>
            </w:r>
            <w:r w:rsidR="008468D4">
              <w:rPr>
                <w:noProof/>
                <w:webHidden/>
              </w:rPr>
              <w:t>11</w:t>
            </w:r>
            <w:r w:rsidR="008468D4">
              <w:rPr>
                <w:noProof/>
                <w:webHidden/>
              </w:rPr>
              <w:fldChar w:fldCharType="end"/>
            </w:r>
          </w:hyperlink>
        </w:p>
        <w:p w14:paraId="3FF8577D" w14:textId="48F907A7" w:rsidR="008468D4" w:rsidRDefault="00A61109">
          <w:pPr>
            <w:pStyle w:val="TOC2"/>
            <w:rPr>
              <w:rFonts w:asciiTheme="minorHAnsi" w:eastAsiaTheme="minorEastAsia" w:hAnsiTheme="minorHAnsi" w:cstheme="minorBidi"/>
              <w:b w:val="0"/>
              <w:noProof/>
              <w:color w:val="auto"/>
              <w:sz w:val="22"/>
              <w:szCs w:val="22"/>
              <w:lang w:eastAsia="en-AU"/>
            </w:rPr>
          </w:pPr>
          <w:hyperlink w:anchor="_Toc144127401" w:history="1">
            <w:r w:rsidR="008468D4" w:rsidRPr="00E517E2">
              <w:rPr>
                <w:rStyle w:val="Hyperlink"/>
                <w:noProof/>
              </w:rPr>
              <w:t>Clinical</w:t>
            </w:r>
            <w:r w:rsidR="008468D4">
              <w:rPr>
                <w:noProof/>
                <w:webHidden/>
              </w:rPr>
              <w:tab/>
            </w:r>
            <w:r w:rsidR="008468D4">
              <w:rPr>
                <w:noProof/>
                <w:webHidden/>
              </w:rPr>
              <w:fldChar w:fldCharType="begin"/>
            </w:r>
            <w:r w:rsidR="008468D4">
              <w:rPr>
                <w:noProof/>
                <w:webHidden/>
              </w:rPr>
              <w:instrText xml:space="preserve"> PAGEREF _Toc144127401 \h </w:instrText>
            </w:r>
            <w:r w:rsidR="008468D4">
              <w:rPr>
                <w:noProof/>
                <w:webHidden/>
              </w:rPr>
            </w:r>
            <w:r w:rsidR="008468D4">
              <w:rPr>
                <w:noProof/>
                <w:webHidden/>
              </w:rPr>
              <w:fldChar w:fldCharType="separate"/>
            </w:r>
            <w:r w:rsidR="008468D4">
              <w:rPr>
                <w:noProof/>
                <w:webHidden/>
              </w:rPr>
              <w:t>11</w:t>
            </w:r>
            <w:r w:rsidR="008468D4">
              <w:rPr>
                <w:noProof/>
                <w:webHidden/>
              </w:rPr>
              <w:fldChar w:fldCharType="end"/>
            </w:r>
          </w:hyperlink>
        </w:p>
        <w:p w14:paraId="35412490" w14:textId="1CB2952B" w:rsidR="008468D4" w:rsidRDefault="00A61109">
          <w:pPr>
            <w:pStyle w:val="TOC3"/>
            <w:rPr>
              <w:rFonts w:asciiTheme="minorHAnsi" w:eastAsiaTheme="minorEastAsia" w:hAnsiTheme="minorHAnsi" w:cstheme="minorBidi"/>
              <w:b w:val="0"/>
              <w:noProof/>
              <w:color w:val="auto"/>
              <w:szCs w:val="22"/>
              <w:lang w:eastAsia="en-AU"/>
            </w:rPr>
          </w:pPr>
          <w:hyperlink w:anchor="_Toc144127402" w:history="1">
            <w:r w:rsidR="008468D4" w:rsidRPr="00E517E2">
              <w:rPr>
                <w:rStyle w:val="Hyperlink"/>
                <w:noProof/>
              </w:rPr>
              <w:t>Pharmacology</w:t>
            </w:r>
            <w:r w:rsidR="008468D4">
              <w:rPr>
                <w:noProof/>
                <w:webHidden/>
              </w:rPr>
              <w:tab/>
            </w:r>
            <w:r w:rsidR="008468D4">
              <w:rPr>
                <w:noProof/>
                <w:webHidden/>
              </w:rPr>
              <w:fldChar w:fldCharType="begin"/>
            </w:r>
            <w:r w:rsidR="008468D4">
              <w:rPr>
                <w:noProof/>
                <w:webHidden/>
              </w:rPr>
              <w:instrText xml:space="preserve"> PAGEREF _Toc144127402 \h </w:instrText>
            </w:r>
            <w:r w:rsidR="008468D4">
              <w:rPr>
                <w:noProof/>
                <w:webHidden/>
              </w:rPr>
            </w:r>
            <w:r w:rsidR="008468D4">
              <w:rPr>
                <w:noProof/>
                <w:webHidden/>
              </w:rPr>
              <w:fldChar w:fldCharType="separate"/>
            </w:r>
            <w:r w:rsidR="008468D4">
              <w:rPr>
                <w:noProof/>
                <w:webHidden/>
              </w:rPr>
              <w:t>11</w:t>
            </w:r>
            <w:r w:rsidR="008468D4">
              <w:rPr>
                <w:noProof/>
                <w:webHidden/>
              </w:rPr>
              <w:fldChar w:fldCharType="end"/>
            </w:r>
          </w:hyperlink>
        </w:p>
        <w:p w14:paraId="1F246D19" w14:textId="7AB49271" w:rsidR="008468D4" w:rsidRDefault="00A61109">
          <w:pPr>
            <w:pStyle w:val="TOC3"/>
            <w:rPr>
              <w:rFonts w:asciiTheme="minorHAnsi" w:eastAsiaTheme="minorEastAsia" w:hAnsiTheme="minorHAnsi" w:cstheme="minorBidi"/>
              <w:b w:val="0"/>
              <w:noProof/>
              <w:color w:val="auto"/>
              <w:szCs w:val="22"/>
              <w:lang w:eastAsia="en-AU"/>
            </w:rPr>
          </w:pPr>
          <w:hyperlink w:anchor="_Toc144127403" w:history="1">
            <w:r w:rsidR="008468D4" w:rsidRPr="00E517E2">
              <w:rPr>
                <w:rStyle w:val="Hyperlink"/>
                <w:noProof/>
              </w:rPr>
              <w:t>Efficacy</w:t>
            </w:r>
            <w:r w:rsidR="008468D4">
              <w:rPr>
                <w:noProof/>
                <w:webHidden/>
              </w:rPr>
              <w:tab/>
            </w:r>
            <w:r w:rsidR="008468D4">
              <w:rPr>
                <w:noProof/>
                <w:webHidden/>
              </w:rPr>
              <w:fldChar w:fldCharType="begin"/>
            </w:r>
            <w:r w:rsidR="008468D4">
              <w:rPr>
                <w:noProof/>
                <w:webHidden/>
              </w:rPr>
              <w:instrText xml:space="preserve"> PAGEREF _Toc144127403 \h </w:instrText>
            </w:r>
            <w:r w:rsidR="008468D4">
              <w:rPr>
                <w:noProof/>
                <w:webHidden/>
              </w:rPr>
            </w:r>
            <w:r w:rsidR="008468D4">
              <w:rPr>
                <w:noProof/>
                <w:webHidden/>
              </w:rPr>
              <w:fldChar w:fldCharType="separate"/>
            </w:r>
            <w:r w:rsidR="008468D4">
              <w:rPr>
                <w:noProof/>
                <w:webHidden/>
              </w:rPr>
              <w:t>12</w:t>
            </w:r>
            <w:r w:rsidR="008468D4">
              <w:rPr>
                <w:noProof/>
                <w:webHidden/>
              </w:rPr>
              <w:fldChar w:fldCharType="end"/>
            </w:r>
          </w:hyperlink>
        </w:p>
        <w:p w14:paraId="537A282E" w14:textId="7B22FBA0" w:rsidR="008468D4" w:rsidRDefault="00A61109">
          <w:pPr>
            <w:pStyle w:val="TOC3"/>
            <w:rPr>
              <w:rFonts w:asciiTheme="minorHAnsi" w:eastAsiaTheme="minorEastAsia" w:hAnsiTheme="minorHAnsi" w:cstheme="minorBidi"/>
              <w:b w:val="0"/>
              <w:noProof/>
              <w:color w:val="auto"/>
              <w:szCs w:val="22"/>
              <w:lang w:eastAsia="en-AU"/>
            </w:rPr>
          </w:pPr>
          <w:hyperlink w:anchor="_Toc144127404" w:history="1">
            <w:r w:rsidR="008468D4" w:rsidRPr="00E517E2">
              <w:rPr>
                <w:rStyle w:val="Hyperlink"/>
                <w:noProof/>
              </w:rPr>
              <w:t>Safety</w:t>
            </w:r>
            <w:r w:rsidR="008468D4">
              <w:rPr>
                <w:noProof/>
                <w:webHidden/>
              </w:rPr>
              <w:tab/>
            </w:r>
            <w:r w:rsidR="008468D4">
              <w:rPr>
                <w:noProof/>
                <w:webHidden/>
              </w:rPr>
              <w:fldChar w:fldCharType="begin"/>
            </w:r>
            <w:r w:rsidR="008468D4">
              <w:rPr>
                <w:noProof/>
                <w:webHidden/>
              </w:rPr>
              <w:instrText xml:space="preserve"> PAGEREF _Toc144127404 \h </w:instrText>
            </w:r>
            <w:r w:rsidR="008468D4">
              <w:rPr>
                <w:noProof/>
                <w:webHidden/>
              </w:rPr>
            </w:r>
            <w:r w:rsidR="008468D4">
              <w:rPr>
                <w:noProof/>
                <w:webHidden/>
              </w:rPr>
              <w:fldChar w:fldCharType="separate"/>
            </w:r>
            <w:r w:rsidR="008468D4">
              <w:rPr>
                <w:noProof/>
                <w:webHidden/>
              </w:rPr>
              <w:t>12</w:t>
            </w:r>
            <w:r w:rsidR="008468D4">
              <w:rPr>
                <w:noProof/>
                <w:webHidden/>
              </w:rPr>
              <w:fldChar w:fldCharType="end"/>
            </w:r>
          </w:hyperlink>
        </w:p>
        <w:p w14:paraId="10644D39" w14:textId="05EF9494" w:rsidR="008468D4" w:rsidRDefault="00A61109">
          <w:pPr>
            <w:pStyle w:val="TOC2"/>
            <w:rPr>
              <w:rFonts w:asciiTheme="minorHAnsi" w:eastAsiaTheme="minorEastAsia" w:hAnsiTheme="minorHAnsi" w:cstheme="minorBidi"/>
              <w:b w:val="0"/>
              <w:noProof/>
              <w:color w:val="auto"/>
              <w:sz w:val="22"/>
              <w:szCs w:val="22"/>
              <w:lang w:eastAsia="en-AU"/>
            </w:rPr>
          </w:pPr>
          <w:hyperlink w:anchor="_Toc144127405" w:history="1">
            <w:r w:rsidR="008468D4" w:rsidRPr="00E517E2">
              <w:rPr>
                <w:rStyle w:val="Hyperlink"/>
                <w:noProof/>
                <w:lang w:eastAsia="en-AU"/>
              </w:rPr>
              <w:t>Risk management plan</w:t>
            </w:r>
            <w:r w:rsidR="008468D4">
              <w:rPr>
                <w:noProof/>
                <w:webHidden/>
              </w:rPr>
              <w:tab/>
            </w:r>
            <w:r w:rsidR="008468D4">
              <w:rPr>
                <w:noProof/>
                <w:webHidden/>
              </w:rPr>
              <w:fldChar w:fldCharType="begin"/>
            </w:r>
            <w:r w:rsidR="008468D4">
              <w:rPr>
                <w:noProof/>
                <w:webHidden/>
              </w:rPr>
              <w:instrText xml:space="preserve"> PAGEREF _Toc144127405 \h </w:instrText>
            </w:r>
            <w:r w:rsidR="008468D4">
              <w:rPr>
                <w:noProof/>
                <w:webHidden/>
              </w:rPr>
            </w:r>
            <w:r w:rsidR="008468D4">
              <w:rPr>
                <w:noProof/>
                <w:webHidden/>
              </w:rPr>
              <w:fldChar w:fldCharType="separate"/>
            </w:r>
            <w:r w:rsidR="008468D4">
              <w:rPr>
                <w:noProof/>
                <w:webHidden/>
              </w:rPr>
              <w:t>12</w:t>
            </w:r>
            <w:r w:rsidR="008468D4">
              <w:rPr>
                <w:noProof/>
                <w:webHidden/>
              </w:rPr>
              <w:fldChar w:fldCharType="end"/>
            </w:r>
          </w:hyperlink>
        </w:p>
        <w:p w14:paraId="72F33562" w14:textId="3C4EA7E3" w:rsidR="008468D4" w:rsidRDefault="00A61109">
          <w:pPr>
            <w:pStyle w:val="TOC3"/>
            <w:rPr>
              <w:rFonts w:asciiTheme="minorHAnsi" w:eastAsiaTheme="minorEastAsia" w:hAnsiTheme="minorHAnsi" w:cstheme="minorBidi"/>
              <w:b w:val="0"/>
              <w:noProof/>
              <w:color w:val="auto"/>
              <w:szCs w:val="22"/>
              <w:lang w:eastAsia="en-AU"/>
            </w:rPr>
          </w:pPr>
          <w:hyperlink w:anchor="_Toc144127406" w:history="1">
            <w:r w:rsidR="008468D4" w:rsidRPr="00E517E2">
              <w:rPr>
                <w:rStyle w:val="Hyperlink"/>
                <w:noProof/>
              </w:rPr>
              <w:t>Proposed wording for condition/s of registration</w:t>
            </w:r>
            <w:r w:rsidR="008468D4">
              <w:rPr>
                <w:noProof/>
                <w:webHidden/>
              </w:rPr>
              <w:tab/>
            </w:r>
            <w:r w:rsidR="008468D4">
              <w:rPr>
                <w:noProof/>
                <w:webHidden/>
              </w:rPr>
              <w:fldChar w:fldCharType="begin"/>
            </w:r>
            <w:r w:rsidR="008468D4">
              <w:rPr>
                <w:noProof/>
                <w:webHidden/>
              </w:rPr>
              <w:instrText xml:space="preserve"> PAGEREF _Toc144127406 \h </w:instrText>
            </w:r>
            <w:r w:rsidR="008468D4">
              <w:rPr>
                <w:noProof/>
                <w:webHidden/>
              </w:rPr>
            </w:r>
            <w:r w:rsidR="008468D4">
              <w:rPr>
                <w:noProof/>
                <w:webHidden/>
              </w:rPr>
              <w:fldChar w:fldCharType="separate"/>
            </w:r>
            <w:r w:rsidR="008468D4">
              <w:rPr>
                <w:noProof/>
                <w:webHidden/>
              </w:rPr>
              <w:t>13</w:t>
            </w:r>
            <w:r w:rsidR="008468D4">
              <w:rPr>
                <w:noProof/>
                <w:webHidden/>
              </w:rPr>
              <w:fldChar w:fldCharType="end"/>
            </w:r>
          </w:hyperlink>
        </w:p>
        <w:p w14:paraId="7753DAD9" w14:textId="5CFC20CB" w:rsidR="008468D4" w:rsidRDefault="00A61109">
          <w:pPr>
            <w:pStyle w:val="TOC2"/>
            <w:rPr>
              <w:rFonts w:asciiTheme="minorHAnsi" w:eastAsiaTheme="minorEastAsia" w:hAnsiTheme="minorHAnsi" w:cstheme="minorBidi"/>
              <w:b w:val="0"/>
              <w:noProof/>
              <w:color w:val="auto"/>
              <w:sz w:val="22"/>
              <w:szCs w:val="22"/>
              <w:lang w:eastAsia="en-AU"/>
            </w:rPr>
          </w:pPr>
          <w:hyperlink w:anchor="_Toc144127407" w:history="1">
            <w:r w:rsidR="008468D4" w:rsidRPr="00E517E2">
              <w:rPr>
                <w:rStyle w:val="Hyperlink"/>
                <w:noProof/>
              </w:rPr>
              <w:t>Risk-benefit analysis</w:t>
            </w:r>
            <w:r w:rsidR="008468D4">
              <w:rPr>
                <w:noProof/>
                <w:webHidden/>
              </w:rPr>
              <w:tab/>
            </w:r>
            <w:r w:rsidR="008468D4">
              <w:rPr>
                <w:noProof/>
                <w:webHidden/>
              </w:rPr>
              <w:fldChar w:fldCharType="begin"/>
            </w:r>
            <w:r w:rsidR="008468D4">
              <w:rPr>
                <w:noProof/>
                <w:webHidden/>
              </w:rPr>
              <w:instrText xml:space="preserve"> PAGEREF _Toc144127407 \h </w:instrText>
            </w:r>
            <w:r w:rsidR="008468D4">
              <w:rPr>
                <w:noProof/>
                <w:webHidden/>
              </w:rPr>
            </w:r>
            <w:r w:rsidR="008468D4">
              <w:rPr>
                <w:noProof/>
                <w:webHidden/>
              </w:rPr>
              <w:fldChar w:fldCharType="separate"/>
            </w:r>
            <w:r w:rsidR="008468D4">
              <w:rPr>
                <w:noProof/>
                <w:webHidden/>
              </w:rPr>
              <w:t>14</w:t>
            </w:r>
            <w:r w:rsidR="008468D4">
              <w:rPr>
                <w:noProof/>
                <w:webHidden/>
              </w:rPr>
              <w:fldChar w:fldCharType="end"/>
            </w:r>
          </w:hyperlink>
        </w:p>
        <w:p w14:paraId="66FFA68C" w14:textId="74B796F5" w:rsidR="008468D4" w:rsidRDefault="00A61109">
          <w:pPr>
            <w:pStyle w:val="TOC3"/>
            <w:rPr>
              <w:rFonts w:asciiTheme="minorHAnsi" w:eastAsiaTheme="minorEastAsia" w:hAnsiTheme="minorHAnsi" w:cstheme="minorBidi"/>
              <w:b w:val="0"/>
              <w:noProof/>
              <w:color w:val="auto"/>
              <w:szCs w:val="22"/>
              <w:lang w:eastAsia="en-AU"/>
            </w:rPr>
          </w:pPr>
          <w:hyperlink w:anchor="_Toc144127408" w:history="1">
            <w:r w:rsidR="008468D4" w:rsidRPr="00E517E2">
              <w:rPr>
                <w:rStyle w:val="Hyperlink"/>
                <w:noProof/>
              </w:rPr>
              <w:t>Delegate’s considerations</w:t>
            </w:r>
            <w:r w:rsidR="008468D4">
              <w:rPr>
                <w:noProof/>
                <w:webHidden/>
              </w:rPr>
              <w:tab/>
            </w:r>
            <w:r w:rsidR="008468D4">
              <w:rPr>
                <w:noProof/>
                <w:webHidden/>
              </w:rPr>
              <w:fldChar w:fldCharType="begin"/>
            </w:r>
            <w:r w:rsidR="008468D4">
              <w:rPr>
                <w:noProof/>
                <w:webHidden/>
              </w:rPr>
              <w:instrText xml:space="preserve"> PAGEREF _Toc144127408 \h </w:instrText>
            </w:r>
            <w:r w:rsidR="008468D4">
              <w:rPr>
                <w:noProof/>
                <w:webHidden/>
              </w:rPr>
            </w:r>
            <w:r w:rsidR="008468D4">
              <w:rPr>
                <w:noProof/>
                <w:webHidden/>
              </w:rPr>
              <w:fldChar w:fldCharType="separate"/>
            </w:r>
            <w:r w:rsidR="008468D4">
              <w:rPr>
                <w:noProof/>
                <w:webHidden/>
              </w:rPr>
              <w:t>14</w:t>
            </w:r>
            <w:r w:rsidR="008468D4">
              <w:rPr>
                <w:noProof/>
                <w:webHidden/>
              </w:rPr>
              <w:fldChar w:fldCharType="end"/>
            </w:r>
          </w:hyperlink>
        </w:p>
        <w:p w14:paraId="78A54277" w14:textId="4596CFC1" w:rsidR="008468D4" w:rsidRDefault="00A61109">
          <w:pPr>
            <w:pStyle w:val="TOC3"/>
            <w:rPr>
              <w:rFonts w:asciiTheme="minorHAnsi" w:eastAsiaTheme="minorEastAsia" w:hAnsiTheme="minorHAnsi" w:cstheme="minorBidi"/>
              <w:b w:val="0"/>
              <w:noProof/>
              <w:color w:val="auto"/>
              <w:szCs w:val="22"/>
              <w:lang w:eastAsia="en-AU"/>
            </w:rPr>
          </w:pPr>
          <w:hyperlink w:anchor="_Toc144127409" w:history="1">
            <w:r w:rsidR="008468D4" w:rsidRPr="00E517E2">
              <w:rPr>
                <w:rStyle w:val="Hyperlink"/>
                <w:noProof/>
              </w:rPr>
              <w:t>Proposed action</w:t>
            </w:r>
            <w:r w:rsidR="008468D4">
              <w:rPr>
                <w:noProof/>
                <w:webHidden/>
              </w:rPr>
              <w:tab/>
            </w:r>
            <w:r w:rsidR="008468D4">
              <w:rPr>
                <w:noProof/>
                <w:webHidden/>
              </w:rPr>
              <w:fldChar w:fldCharType="begin"/>
            </w:r>
            <w:r w:rsidR="008468D4">
              <w:rPr>
                <w:noProof/>
                <w:webHidden/>
              </w:rPr>
              <w:instrText xml:space="preserve"> PAGEREF _Toc144127409 \h </w:instrText>
            </w:r>
            <w:r w:rsidR="008468D4">
              <w:rPr>
                <w:noProof/>
                <w:webHidden/>
              </w:rPr>
            </w:r>
            <w:r w:rsidR="008468D4">
              <w:rPr>
                <w:noProof/>
                <w:webHidden/>
              </w:rPr>
              <w:fldChar w:fldCharType="separate"/>
            </w:r>
            <w:r w:rsidR="008468D4">
              <w:rPr>
                <w:noProof/>
                <w:webHidden/>
              </w:rPr>
              <w:t>15</w:t>
            </w:r>
            <w:r w:rsidR="008468D4">
              <w:rPr>
                <w:noProof/>
                <w:webHidden/>
              </w:rPr>
              <w:fldChar w:fldCharType="end"/>
            </w:r>
          </w:hyperlink>
        </w:p>
        <w:p w14:paraId="76F3C7DD" w14:textId="06E60C77" w:rsidR="008468D4" w:rsidRDefault="00A61109">
          <w:pPr>
            <w:pStyle w:val="TOC3"/>
            <w:rPr>
              <w:rFonts w:asciiTheme="minorHAnsi" w:eastAsiaTheme="minorEastAsia" w:hAnsiTheme="minorHAnsi" w:cstheme="minorBidi"/>
              <w:b w:val="0"/>
              <w:noProof/>
              <w:color w:val="auto"/>
              <w:szCs w:val="22"/>
              <w:lang w:eastAsia="en-AU"/>
            </w:rPr>
          </w:pPr>
          <w:hyperlink w:anchor="_Toc144127410" w:history="1">
            <w:r w:rsidR="008468D4" w:rsidRPr="00E517E2">
              <w:rPr>
                <w:rStyle w:val="Hyperlink"/>
                <w:noProof/>
              </w:rPr>
              <w:t>Advisory Committee considerations</w:t>
            </w:r>
            <w:r w:rsidR="008468D4">
              <w:rPr>
                <w:noProof/>
                <w:webHidden/>
              </w:rPr>
              <w:tab/>
            </w:r>
            <w:r w:rsidR="008468D4">
              <w:rPr>
                <w:noProof/>
                <w:webHidden/>
              </w:rPr>
              <w:fldChar w:fldCharType="begin"/>
            </w:r>
            <w:r w:rsidR="008468D4">
              <w:rPr>
                <w:noProof/>
                <w:webHidden/>
              </w:rPr>
              <w:instrText xml:space="preserve"> PAGEREF _Toc144127410 \h </w:instrText>
            </w:r>
            <w:r w:rsidR="008468D4">
              <w:rPr>
                <w:noProof/>
                <w:webHidden/>
              </w:rPr>
            </w:r>
            <w:r w:rsidR="008468D4">
              <w:rPr>
                <w:noProof/>
                <w:webHidden/>
              </w:rPr>
              <w:fldChar w:fldCharType="separate"/>
            </w:r>
            <w:r w:rsidR="008468D4">
              <w:rPr>
                <w:noProof/>
                <w:webHidden/>
              </w:rPr>
              <w:t>15</w:t>
            </w:r>
            <w:r w:rsidR="008468D4">
              <w:rPr>
                <w:noProof/>
                <w:webHidden/>
              </w:rPr>
              <w:fldChar w:fldCharType="end"/>
            </w:r>
          </w:hyperlink>
        </w:p>
        <w:p w14:paraId="01475436" w14:textId="756C86F1" w:rsidR="008468D4" w:rsidRDefault="00A61109">
          <w:pPr>
            <w:pStyle w:val="TOC1"/>
            <w:rPr>
              <w:rFonts w:asciiTheme="minorHAnsi" w:eastAsiaTheme="minorEastAsia" w:hAnsiTheme="minorHAnsi" w:cstheme="minorBidi"/>
              <w:b w:val="0"/>
              <w:noProof/>
              <w:color w:val="auto"/>
              <w:sz w:val="22"/>
              <w:szCs w:val="22"/>
              <w:lang w:eastAsia="en-AU"/>
            </w:rPr>
          </w:pPr>
          <w:hyperlink w:anchor="_Toc144127411" w:history="1">
            <w:r w:rsidR="008468D4" w:rsidRPr="00E517E2">
              <w:rPr>
                <w:rStyle w:val="Hyperlink"/>
                <w:noProof/>
              </w:rPr>
              <w:t>Outcome</w:t>
            </w:r>
            <w:r w:rsidR="008468D4">
              <w:rPr>
                <w:noProof/>
                <w:webHidden/>
              </w:rPr>
              <w:tab/>
            </w:r>
            <w:r w:rsidR="008468D4">
              <w:rPr>
                <w:noProof/>
                <w:webHidden/>
              </w:rPr>
              <w:fldChar w:fldCharType="begin"/>
            </w:r>
            <w:r w:rsidR="008468D4">
              <w:rPr>
                <w:noProof/>
                <w:webHidden/>
              </w:rPr>
              <w:instrText xml:space="preserve"> PAGEREF _Toc144127411 \h </w:instrText>
            </w:r>
            <w:r w:rsidR="008468D4">
              <w:rPr>
                <w:noProof/>
                <w:webHidden/>
              </w:rPr>
            </w:r>
            <w:r w:rsidR="008468D4">
              <w:rPr>
                <w:noProof/>
                <w:webHidden/>
              </w:rPr>
              <w:fldChar w:fldCharType="separate"/>
            </w:r>
            <w:r w:rsidR="008468D4">
              <w:rPr>
                <w:noProof/>
                <w:webHidden/>
              </w:rPr>
              <w:t>15</w:t>
            </w:r>
            <w:r w:rsidR="008468D4">
              <w:rPr>
                <w:noProof/>
                <w:webHidden/>
              </w:rPr>
              <w:fldChar w:fldCharType="end"/>
            </w:r>
          </w:hyperlink>
        </w:p>
        <w:p w14:paraId="287656E3" w14:textId="279DE1FE" w:rsidR="008468D4" w:rsidRDefault="00A61109">
          <w:pPr>
            <w:pStyle w:val="TOC2"/>
            <w:rPr>
              <w:rFonts w:asciiTheme="minorHAnsi" w:eastAsiaTheme="minorEastAsia" w:hAnsiTheme="minorHAnsi" w:cstheme="minorBidi"/>
              <w:b w:val="0"/>
              <w:noProof/>
              <w:color w:val="auto"/>
              <w:sz w:val="22"/>
              <w:szCs w:val="22"/>
              <w:lang w:eastAsia="en-AU"/>
            </w:rPr>
          </w:pPr>
          <w:hyperlink w:anchor="_Toc144127412" w:history="1">
            <w:r w:rsidR="008468D4" w:rsidRPr="00E517E2">
              <w:rPr>
                <w:rStyle w:val="Hyperlink"/>
                <w:noProof/>
              </w:rPr>
              <w:t>Specific conditions of registration applying to these goods</w:t>
            </w:r>
            <w:r w:rsidR="008468D4">
              <w:rPr>
                <w:noProof/>
                <w:webHidden/>
              </w:rPr>
              <w:tab/>
            </w:r>
            <w:r w:rsidR="008468D4">
              <w:rPr>
                <w:noProof/>
                <w:webHidden/>
              </w:rPr>
              <w:fldChar w:fldCharType="begin"/>
            </w:r>
            <w:r w:rsidR="008468D4">
              <w:rPr>
                <w:noProof/>
                <w:webHidden/>
              </w:rPr>
              <w:instrText xml:space="preserve"> PAGEREF _Toc144127412 \h </w:instrText>
            </w:r>
            <w:r w:rsidR="008468D4">
              <w:rPr>
                <w:noProof/>
                <w:webHidden/>
              </w:rPr>
            </w:r>
            <w:r w:rsidR="008468D4">
              <w:rPr>
                <w:noProof/>
                <w:webHidden/>
              </w:rPr>
              <w:fldChar w:fldCharType="separate"/>
            </w:r>
            <w:r w:rsidR="008468D4">
              <w:rPr>
                <w:noProof/>
                <w:webHidden/>
              </w:rPr>
              <w:t>15</w:t>
            </w:r>
            <w:r w:rsidR="008468D4">
              <w:rPr>
                <w:noProof/>
                <w:webHidden/>
              </w:rPr>
              <w:fldChar w:fldCharType="end"/>
            </w:r>
          </w:hyperlink>
        </w:p>
        <w:p w14:paraId="5EF00FF1" w14:textId="4E3FD35B" w:rsidR="008468D4" w:rsidRDefault="00A61109">
          <w:pPr>
            <w:pStyle w:val="TOC1"/>
            <w:rPr>
              <w:rFonts w:asciiTheme="minorHAnsi" w:eastAsiaTheme="minorEastAsia" w:hAnsiTheme="minorHAnsi" w:cstheme="minorBidi"/>
              <w:b w:val="0"/>
              <w:noProof/>
              <w:color w:val="auto"/>
              <w:sz w:val="22"/>
              <w:szCs w:val="22"/>
              <w:lang w:eastAsia="en-AU"/>
            </w:rPr>
          </w:pPr>
          <w:hyperlink w:anchor="_Toc144127413" w:history="1">
            <w:r w:rsidR="008468D4" w:rsidRPr="00E517E2">
              <w:rPr>
                <w:rStyle w:val="Hyperlink"/>
                <w:noProof/>
              </w:rPr>
              <w:t>Attachment 1. Product Information</w:t>
            </w:r>
            <w:r w:rsidR="008468D4">
              <w:rPr>
                <w:noProof/>
                <w:webHidden/>
              </w:rPr>
              <w:tab/>
            </w:r>
            <w:r w:rsidR="008468D4">
              <w:rPr>
                <w:noProof/>
                <w:webHidden/>
              </w:rPr>
              <w:fldChar w:fldCharType="begin"/>
            </w:r>
            <w:r w:rsidR="008468D4">
              <w:rPr>
                <w:noProof/>
                <w:webHidden/>
              </w:rPr>
              <w:instrText xml:space="preserve"> PAGEREF _Toc144127413 \h </w:instrText>
            </w:r>
            <w:r w:rsidR="008468D4">
              <w:rPr>
                <w:noProof/>
                <w:webHidden/>
              </w:rPr>
            </w:r>
            <w:r w:rsidR="008468D4">
              <w:rPr>
                <w:noProof/>
                <w:webHidden/>
              </w:rPr>
              <w:fldChar w:fldCharType="separate"/>
            </w:r>
            <w:r w:rsidR="008468D4">
              <w:rPr>
                <w:noProof/>
                <w:webHidden/>
              </w:rPr>
              <w:t>16</w:t>
            </w:r>
            <w:r w:rsidR="008468D4">
              <w:rPr>
                <w:noProof/>
                <w:webHidden/>
              </w:rPr>
              <w:fldChar w:fldCharType="end"/>
            </w:r>
          </w:hyperlink>
        </w:p>
        <w:p w14:paraId="77659F2D" w14:textId="4A7C7695" w:rsidR="00F02AEC" w:rsidRPr="00215D48" w:rsidRDefault="00F02AEC" w:rsidP="007452E8">
          <w:r w:rsidRPr="00215D48">
            <w:fldChar w:fldCharType="end"/>
          </w:r>
        </w:p>
      </w:sdtContent>
    </w:sdt>
    <w:p w14:paraId="10987AE2" w14:textId="77777777" w:rsidR="00F02AEC" w:rsidRPr="00215D48" w:rsidRDefault="00F02AEC" w:rsidP="007452E8">
      <w:r w:rsidRPr="00215D48">
        <w:br w:type="page"/>
      </w:r>
    </w:p>
    <w:p w14:paraId="1E73AB93" w14:textId="77777777" w:rsidR="00324B33" w:rsidRDefault="00324B33" w:rsidP="00324B33">
      <w:pPr>
        <w:pStyle w:val="Heading2"/>
      </w:pPr>
      <w:bookmarkStart w:id="0" w:name="_Toc98931917"/>
      <w:bookmarkStart w:id="1" w:name="_Toc103679287"/>
      <w:bookmarkStart w:id="2" w:name="_Toc144127386"/>
      <w:bookmarkStart w:id="3" w:name="_Toc323739589"/>
      <w:bookmarkStart w:id="4" w:name="_Toc356305216"/>
      <w:r>
        <w:lastRenderedPageBreak/>
        <w:t>List of abbreviations</w:t>
      </w:r>
      <w:bookmarkEnd w:id="0"/>
      <w:bookmarkEnd w:id="1"/>
      <w:bookmarkEnd w:id="2"/>
    </w:p>
    <w:tbl>
      <w:tblPr>
        <w:tblStyle w:val="TableTGAblue2023"/>
        <w:tblW w:w="5000" w:type="pct"/>
        <w:tblLook w:val="04A0" w:firstRow="1" w:lastRow="0" w:firstColumn="1" w:lastColumn="0" w:noHBand="0" w:noVBand="1"/>
      </w:tblPr>
      <w:tblGrid>
        <w:gridCol w:w="2174"/>
        <w:gridCol w:w="6886"/>
      </w:tblGrid>
      <w:tr w:rsidR="008468D4" w:rsidRPr="00D01DDB" w14:paraId="6E84128B" w14:textId="77777777" w:rsidTr="005C254F">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00" w:type="pct"/>
          </w:tcPr>
          <w:p w14:paraId="2A44D108" w14:textId="77777777" w:rsidR="008468D4" w:rsidRPr="00D01DDB" w:rsidRDefault="008468D4" w:rsidP="005C254F">
            <w:pPr>
              <w:rPr>
                <w:szCs w:val="22"/>
              </w:rPr>
            </w:pPr>
            <w:r w:rsidRPr="00D01DDB">
              <w:rPr>
                <w:szCs w:val="22"/>
              </w:rPr>
              <w:t>Abbreviation</w:t>
            </w:r>
          </w:p>
        </w:tc>
        <w:tc>
          <w:tcPr>
            <w:tcW w:w="3800" w:type="pct"/>
          </w:tcPr>
          <w:p w14:paraId="2D13DFF9" w14:textId="77777777" w:rsidR="008468D4" w:rsidRPr="00D01DDB" w:rsidRDefault="008468D4" w:rsidP="005C254F">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Meaning</w:t>
            </w:r>
          </w:p>
        </w:tc>
      </w:tr>
      <w:tr w:rsidR="008468D4" w:rsidRPr="00D01DDB" w14:paraId="0E608592"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BC85C73" w14:textId="77777777" w:rsidR="008468D4" w:rsidRPr="00D01DDB" w:rsidRDefault="008468D4" w:rsidP="005C254F">
            <w:pPr>
              <w:rPr>
                <w:szCs w:val="22"/>
              </w:rPr>
            </w:pPr>
            <w:r w:rsidRPr="00D01DDB">
              <w:rPr>
                <w:szCs w:val="22"/>
              </w:rPr>
              <w:t>ACM</w:t>
            </w:r>
          </w:p>
        </w:tc>
        <w:tc>
          <w:tcPr>
            <w:tcW w:w="3800" w:type="pct"/>
          </w:tcPr>
          <w:p w14:paraId="308F8EA8"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Advisory Committee on Medicines</w:t>
            </w:r>
          </w:p>
        </w:tc>
      </w:tr>
      <w:tr w:rsidR="008468D4" w:rsidRPr="00D01DDB" w14:paraId="56B614E5"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7F0F0E8" w14:textId="77777777" w:rsidR="008468D4" w:rsidRDefault="008468D4" w:rsidP="005C254F">
            <w:pPr>
              <w:rPr>
                <w:szCs w:val="22"/>
              </w:rPr>
            </w:pPr>
            <w:r>
              <w:rPr>
                <w:szCs w:val="22"/>
              </w:rPr>
              <w:t>ANDA</w:t>
            </w:r>
          </w:p>
        </w:tc>
        <w:tc>
          <w:tcPr>
            <w:tcW w:w="3800" w:type="pct"/>
          </w:tcPr>
          <w:p w14:paraId="6156B6F7"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t>Abbreviated new drug application</w:t>
            </w:r>
          </w:p>
        </w:tc>
      </w:tr>
      <w:tr w:rsidR="008468D4" w:rsidRPr="00D01DDB" w14:paraId="405D19FD"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24C7600" w14:textId="77777777" w:rsidR="008468D4" w:rsidRPr="00D01DDB" w:rsidRDefault="008468D4" w:rsidP="005C254F">
            <w:pPr>
              <w:rPr>
                <w:szCs w:val="22"/>
              </w:rPr>
            </w:pPr>
            <w:r w:rsidRPr="00D01DDB">
              <w:rPr>
                <w:szCs w:val="22"/>
              </w:rPr>
              <w:t>ARTG</w:t>
            </w:r>
          </w:p>
        </w:tc>
        <w:tc>
          <w:tcPr>
            <w:tcW w:w="3800" w:type="pct"/>
          </w:tcPr>
          <w:p w14:paraId="6A57AB8C"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Australian Register of Therapeutic Goods</w:t>
            </w:r>
          </w:p>
        </w:tc>
      </w:tr>
      <w:tr w:rsidR="008468D4" w:rsidRPr="00D01DDB" w14:paraId="0C3EEDB7"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BAC99D" w14:textId="77777777" w:rsidR="008468D4" w:rsidRPr="00D01DDB" w:rsidRDefault="008468D4" w:rsidP="005C254F">
            <w:pPr>
              <w:rPr>
                <w:szCs w:val="22"/>
              </w:rPr>
            </w:pPr>
            <w:r w:rsidRPr="00D01DDB">
              <w:rPr>
                <w:szCs w:val="22"/>
              </w:rPr>
              <w:t>ASA</w:t>
            </w:r>
          </w:p>
        </w:tc>
        <w:tc>
          <w:tcPr>
            <w:tcW w:w="3800" w:type="pct"/>
          </w:tcPr>
          <w:p w14:paraId="6ED5698B"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Australia specific annex</w:t>
            </w:r>
          </w:p>
        </w:tc>
      </w:tr>
      <w:tr w:rsidR="008468D4" w:rsidRPr="00D01DDB" w14:paraId="57993D8B"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65322E77" w14:textId="77777777" w:rsidR="008468D4" w:rsidRPr="00D01DDB" w:rsidRDefault="008468D4" w:rsidP="005C254F">
            <w:pPr>
              <w:rPr>
                <w:szCs w:val="22"/>
              </w:rPr>
            </w:pPr>
            <w:r w:rsidRPr="00D01DDB">
              <w:rPr>
                <w:szCs w:val="22"/>
              </w:rPr>
              <w:t>CMI</w:t>
            </w:r>
          </w:p>
        </w:tc>
        <w:tc>
          <w:tcPr>
            <w:tcW w:w="3800" w:type="pct"/>
          </w:tcPr>
          <w:p w14:paraId="512D72C8"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Consumer Medicines Information</w:t>
            </w:r>
          </w:p>
        </w:tc>
      </w:tr>
      <w:tr w:rsidR="008468D4" w:rsidRPr="00D01DDB" w14:paraId="424804EB"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2CDAE400" w14:textId="77777777" w:rsidR="008468D4" w:rsidRDefault="008468D4" w:rsidP="005C254F">
            <w:pPr>
              <w:rPr>
                <w:szCs w:val="22"/>
              </w:rPr>
            </w:pPr>
            <w:r>
              <w:rPr>
                <w:szCs w:val="22"/>
              </w:rPr>
              <w:t>COR</w:t>
            </w:r>
          </w:p>
        </w:tc>
        <w:tc>
          <w:tcPr>
            <w:tcW w:w="3800" w:type="pct"/>
          </w:tcPr>
          <w:p w14:paraId="64699A0E"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2D186E">
              <w:rPr>
                <w:szCs w:val="22"/>
              </w:rPr>
              <w:t>Comparable Overseas Regulator</w:t>
            </w:r>
          </w:p>
        </w:tc>
      </w:tr>
      <w:tr w:rsidR="008468D4" w:rsidRPr="00D01DDB" w14:paraId="180EA2D0"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FF1928C" w14:textId="77777777" w:rsidR="008468D4" w:rsidRPr="00D01DDB" w:rsidRDefault="008468D4" w:rsidP="005C254F">
            <w:pPr>
              <w:rPr>
                <w:szCs w:val="22"/>
              </w:rPr>
            </w:pPr>
            <w:r w:rsidRPr="00D01DDB">
              <w:rPr>
                <w:szCs w:val="22"/>
              </w:rPr>
              <w:t>DLP</w:t>
            </w:r>
          </w:p>
        </w:tc>
        <w:tc>
          <w:tcPr>
            <w:tcW w:w="3800" w:type="pct"/>
          </w:tcPr>
          <w:p w14:paraId="518FE345"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Data lock point</w:t>
            </w:r>
          </w:p>
        </w:tc>
      </w:tr>
      <w:tr w:rsidR="008468D4" w:rsidRPr="00D01DDB" w14:paraId="25967558"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88C9C0" w14:textId="77777777" w:rsidR="008468D4" w:rsidRPr="00D01DDB" w:rsidRDefault="008468D4" w:rsidP="005C254F">
            <w:pPr>
              <w:rPr>
                <w:szCs w:val="22"/>
              </w:rPr>
            </w:pPr>
            <w:r>
              <w:rPr>
                <w:szCs w:val="22"/>
              </w:rPr>
              <w:t>DNA</w:t>
            </w:r>
          </w:p>
        </w:tc>
        <w:tc>
          <w:tcPr>
            <w:tcW w:w="3800" w:type="pct"/>
          </w:tcPr>
          <w:p w14:paraId="0EB08978"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t>D</w:t>
            </w:r>
            <w:r w:rsidRPr="006D0630">
              <w:t>eoxyribonucleic acid</w:t>
            </w:r>
          </w:p>
        </w:tc>
      </w:tr>
      <w:tr w:rsidR="008468D4" w:rsidRPr="00D01DDB" w14:paraId="57B2E366"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8208604" w14:textId="77777777" w:rsidR="008468D4" w:rsidRDefault="008468D4" w:rsidP="005C254F">
            <w:pPr>
              <w:rPr>
                <w:szCs w:val="22"/>
              </w:rPr>
            </w:pPr>
            <w:r>
              <w:rPr>
                <w:szCs w:val="22"/>
              </w:rPr>
              <w:t>EMA</w:t>
            </w:r>
          </w:p>
        </w:tc>
        <w:tc>
          <w:tcPr>
            <w:tcW w:w="3800" w:type="pct"/>
          </w:tcPr>
          <w:p w14:paraId="32C20126"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Pr>
                <w:szCs w:val="22"/>
              </w:rPr>
              <w:t>European Medicines Agency</w:t>
            </w:r>
          </w:p>
        </w:tc>
      </w:tr>
      <w:tr w:rsidR="008468D4" w:rsidRPr="00D01DDB" w14:paraId="678DC0A1"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4CA9CAC" w14:textId="77777777" w:rsidR="008468D4" w:rsidRDefault="008468D4" w:rsidP="005C254F">
            <w:pPr>
              <w:rPr>
                <w:szCs w:val="22"/>
              </w:rPr>
            </w:pPr>
            <w:r>
              <w:rPr>
                <w:szCs w:val="22"/>
              </w:rPr>
              <w:t>EU</w:t>
            </w:r>
          </w:p>
        </w:tc>
        <w:tc>
          <w:tcPr>
            <w:tcW w:w="3800" w:type="pct"/>
          </w:tcPr>
          <w:p w14:paraId="6BE91313"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Pr>
                <w:szCs w:val="22"/>
              </w:rPr>
              <w:t>European Union</w:t>
            </w:r>
          </w:p>
        </w:tc>
      </w:tr>
      <w:tr w:rsidR="008468D4" w:rsidRPr="00D01DDB" w14:paraId="27EB1954"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423BCBA" w14:textId="77777777" w:rsidR="008468D4" w:rsidRPr="00D01DDB" w:rsidRDefault="008468D4" w:rsidP="005C254F">
            <w:pPr>
              <w:rPr>
                <w:szCs w:val="22"/>
              </w:rPr>
            </w:pPr>
            <w:r>
              <w:rPr>
                <w:szCs w:val="22"/>
              </w:rPr>
              <w:t>FDA</w:t>
            </w:r>
          </w:p>
        </w:tc>
        <w:tc>
          <w:tcPr>
            <w:tcW w:w="3800" w:type="pct"/>
          </w:tcPr>
          <w:p w14:paraId="2A0BF60D"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3C43A6">
              <w:rPr>
                <w:szCs w:val="22"/>
              </w:rPr>
              <w:t>Food and Drug Administration</w:t>
            </w:r>
            <w:r>
              <w:rPr>
                <w:szCs w:val="22"/>
              </w:rPr>
              <w:t xml:space="preserve"> (United States of America)</w:t>
            </w:r>
          </w:p>
        </w:tc>
      </w:tr>
      <w:tr w:rsidR="008468D4" w:rsidRPr="00D01DDB" w14:paraId="352581C7"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13785BC" w14:textId="77777777" w:rsidR="008468D4" w:rsidRDefault="008468D4" w:rsidP="005C254F">
            <w:r>
              <w:t>IFU</w:t>
            </w:r>
          </w:p>
        </w:tc>
        <w:tc>
          <w:tcPr>
            <w:tcW w:w="3800" w:type="pct"/>
          </w:tcPr>
          <w:p w14:paraId="4A122515"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pPr>
            <w:r>
              <w:t>Instruction for use</w:t>
            </w:r>
          </w:p>
        </w:tc>
      </w:tr>
      <w:tr w:rsidR="008468D4" w:rsidRPr="00D01DDB" w14:paraId="549FD621"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7AF08ADA" w14:textId="77777777" w:rsidR="008468D4" w:rsidRDefault="008468D4" w:rsidP="005C254F">
            <w:pPr>
              <w:rPr>
                <w:szCs w:val="22"/>
              </w:rPr>
            </w:pPr>
            <w:r>
              <w:t xml:space="preserve">Ph </w:t>
            </w:r>
            <w:proofErr w:type="spellStart"/>
            <w:r>
              <w:t>Eur</w:t>
            </w:r>
            <w:proofErr w:type="spellEnd"/>
          </w:p>
        </w:tc>
        <w:tc>
          <w:tcPr>
            <w:tcW w:w="3800" w:type="pct"/>
          </w:tcPr>
          <w:p w14:paraId="790BCC0C"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pPr>
            <w:r>
              <w:t>European Pharmacopoeia</w:t>
            </w:r>
          </w:p>
        </w:tc>
      </w:tr>
      <w:tr w:rsidR="008468D4" w:rsidRPr="00D01DDB" w14:paraId="1C9E9E6D"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2E68DE0" w14:textId="77777777" w:rsidR="008468D4" w:rsidRPr="00D01DDB" w:rsidRDefault="008468D4" w:rsidP="005C254F">
            <w:pPr>
              <w:rPr>
                <w:szCs w:val="22"/>
              </w:rPr>
            </w:pPr>
            <w:r w:rsidRPr="00D01DDB">
              <w:rPr>
                <w:szCs w:val="22"/>
              </w:rPr>
              <w:t>PI</w:t>
            </w:r>
          </w:p>
        </w:tc>
        <w:tc>
          <w:tcPr>
            <w:tcW w:w="3800" w:type="pct"/>
          </w:tcPr>
          <w:p w14:paraId="31DD94B4"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Product Information</w:t>
            </w:r>
          </w:p>
        </w:tc>
      </w:tr>
      <w:tr w:rsidR="008468D4" w:rsidRPr="00D01DDB" w14:paraId="71AB5B37"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0C3077B2" w14:textId="77777777" w:rsidR="008468D4" w:rsidRPr="00D01DDB" w:rsidRDefault="008468D4" w:rsidP="005C254F">
            <w:pPr>
              <w:rPr>
                <w:szCs w:val="22"/>
              </w:rPr>
            </w:pPr>
            <w:r w:rsidRPr="00D01DDB">
              <w:rPr>
                <w:szCs w:val="22"/>
              </w:rPr>
              <w:t>PSUR</w:t>
            </w:r>
          </w:p>
        </w:tc>
        <w:tc>
          <w:tcPr>
            <w:tcW w:w="3800" w:type="pct"/>
          </w:tcPr>
          <w:p w14:paraId="3A6C8EB4"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Periodic safety update report</w:t>
            </w:r>
          </w:p>
        </w:tc>
      </w:tr>
      <w:tr w:rsidR="008468D4" w:rsidRPr="00D01DDB" w14:paraId="0FA1ABB6"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55D7464A" w14:textId="77777777" w:rsidR="008468D4" w:rsidRPr="00D01DDB" w:rsidRDefault="008468D4" w:rsidP="005C254F">
            <w:pPr>
              <w:rPr>
                <w:szCs w:val="22"/>
              </w:rPr>
            </w:pPr>
            <w:r>
              <w:rPr>
                <w:szCs w:val="22"/>
              </w:rPr>
              <w:t>PTH</w:t>
            </w:r>
          </w:p>
        </w:tc>
        <w:tc>
          <w:tcPr>
            <w:tcW w:w="3800" w:type="pct"/>
          </w:tcPr>
          <w:p w14:paraId="3EB061B8"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t>Parathyroid hormone</w:t>
            </w:r>
          </w:p>
        </w:tc>
      </w:tr>
      <w:tr w:rsidR="008468D4" w:rsidRPr="00D01DDB" w14:paraId="592FB97E"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450CC1" w14:textId="77777777" w:rsidR="008468D4" w:rsidRDefault="008468D4" w:rsidP="005C254F">
            <w:pPr>
              <w:rPr>
                <w:szCs w:val="22"/>
              </w:rPr>
            </w:pPr>
            <w:r>
              <w:rPr>
                <w:szCs w:val="22"/>
              </w:rPr>
              <w:t>rDNA</w:t>
            </w:r>
          </w:p>
        </w:tc>
        <w:tc>
          <w:tcPr>
            <w:tcW w:w="3800" w:type="pct"/>
          </w:tcPr>
          <w:p w14:paraId="1C072554"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Pr>
                <w:szCs w:val="22"/>
              </w:rPr>
              <w:t>R</w:t>
            </w:r>
            <w:r w:rsidRPr="002D186E">
              <w:rPr>
                <w:szCs w:val="22"/>
              </w:rPr>
              <w:t>ecombinant deoxyribonucleic acid</w:t>
            </w:r>
          </w:p>
        </w:tc>
      </w:tr>
      <w:tr w:rsidR="008468D4" w:rsidRPr="00D01DDB" w14:paraId="23960E82"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16EBF689" w14:textId="77777777" w:rsidR="008468D4" w:rsidRPr="00D01DDB" w:rsidRDefault="008468D4" w:rsidP="005C254F">
            <w:pPr>
              <w:rPr>
                <w:szCs w:val="22"/>
              </w:rPr>
            </w:pPr>
            <w:r w:rsidRPr="00D01DDB">
              <w:rPr>
                <w:szCs w:val="22"/>
              </w:rPr>
              <w:t>RMP</w:t>
            </w:r>
          </w:p>
        </w:tc>
        <w:tc>
          <w:tcPr>
            <w:tcW w:w="3800" w:type="pct"/>
          </w:tcPr>
          <w:p w14:paraId="755D9E7D"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Risk management plan</w:t>
            </w:r>
          </w:p>
        </w:tc>
      </w:tr>
      <w:tr w:rsidR="008468D4" w:rsidRPr="00D01DDB" w14:paraId="19C1A7F7"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EB756AF" w14:textId="77777777" w:rsidR="008468D4" w:rsidRPr="00D01DDB" w:rsidRDefault="008468D4" w:rsidP="005C254F">
            <w:pPr>
              <w:rPr>
                <w:szCs w:val="22"/>
              </w:rPr>
            </w:pPr>
            <w:r w:rsidRPr="00D01DDB">
              <w:rPr>
                <w:szCs w:val="22"/>
              </w:rPr>
              <w:t>TGA</w:t>
            </w:r>
          </w:p>
        </w:tc>
        <w:tc>
          <w:tcPr>
            <w:tcW w:w="3800" w:type="pct"/>
          </w:tcPr>
          <w:p w14:paraId="6A856006"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sidRPr="00D01DDB">
              <w:rPr>
                <w:szCs w:val="22"/>
              </w:rPr>
              <w:t>Therapeutic Goods Administration</w:t>
            </w:r>
          </w:p>
        </w:tc>
      </w:tr>
      <w:tr w:rsidR="008468D4" w:rsidRPr="00D01DDB" w14:paraId="19B17932"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355563C8" w14:textId="77777777" w:rsidR="008468D4" w:rsidRPr="00D01DDB" w:rsidRDefault="008468D4" w:rsidP="005C254F">
            <w:pPr>
              <w:rPr>
                <w:szCs w:val="22"/>
              </w:rPr>
            </w:pPr>
            <w:r>
              <w:rPr>
                <w:szCs w:val="22"/>
              </w:rPr>
              <w:t>US(A)</w:t>
            </w:r>
          </w:p>
        </w:tc>
        <w:tc>
          <w:tcPr>
            <w:tcW w:w="3800" w:type="pct"/>
          </w:tcPr>
          <w:p w14:paraId="27E1BA36" w14:textId="77777777" w:rsidR="008468D4" w:rsidRPr="00D01DDB"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rPr>
                <w:szCs w:val="22"/>
              </w:rPr>
              <w:t>United States (of America)</w:t>
            </w:r>
          </w:p>
        </w:tc>
      </w:tr>
      <w:tr w:rsidR="008468D4" w:rsidRPr="00D01DDB" w14:paraId="16F0491C" w14:textId="77777777" w:rsidTr="005C254F">
        <w:trPr>
          <w:trHeight w:val="386"/>
        </w:trPr>
        <w:tc>
          <w:tcPr>
            <w:cnfStyle w:val="001000000000" w:firstRow="0" w:lastRow="0" w:firstColumn="1" w:lastColumn="0" w:oddVBand="0" w:evenVBand="0" w:oddHBand="0" w:evenHBand="0" w:firstRowFirstColumn="0" w:firstRowLastColumn="0" w:lastRowFirstColumn="0" w:lastRowLastColumn="0"/>
            <w:tcW w:w="1200" w:type="pct"/>
          </w:tcPr>
          <w:p w14:paraId="488322E5" w14:textId="77777777" w:rsidR="008468D4" w:rsidRDefault="008468D4" w:rsidP="005C254F">
            <w:pPr>
              <w:rPr>
                <w:szCs w:val="22"/>
              </w:rPr>
            </w:pPr>
            <w:r>
              <w:rPr>
                <w:szCs w:val="22"/>
              </w:rPr>
              <w:t>USP</w:t>
            </w:r>
          </w:p>
        </w:tc>
        <w:tc>
          <w:tcPr>
            <w:tcW w:w="3800" w:type="pct"/>
          </w:tcPr>
          <w:p w14:paraId="69DE79B7" w14:textId="77777777" w:rsidR="008468D4" w:rsidRDefault="008468D4" w:rsidP="005C254F">
            <w:pPr>
              <w:cnfStyle w:val="000000000000" w:firstRow="0" w:lastRow="0" w:firstColumn="0" w:lastColumn="0" w:oddVBand="0" w:evenVBand="0" w:oddHBand="0" w:evenHBand="0" w:firstRowFirstColumn="0" w:firstRowLastColumn="0" w:lastRowFirstColumn="0" w:lastRowLastColumn="0"/>
              <w:rPr>
                <w:szCs w:val="22"/>
              </w:rPr>
            </w:pPr>
            <w:r>
              <w:t>United States Pharmacopoeia</w:t>
            </w:r>
          </w:p>
        </w:tc>
      </w:tr>
    </w:tbl>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44127387"/>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44127388"/>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BD5DBD" w14:paraId="77D11C95" w14:textId="77777777" w:rsidTr="00F865A7">
        <w:tc>
          <w:tcPr>
            <w:tcW w:w="1577" w:type="pct"/>
          </w:tcPr>
          <w:p w14:paraId="10E57D62" w14:textId="77777777" w:rsidR="00324B33" w:rsidRPr="00BD5DBD" w:rsidRDefault="00324B33" w:rsidP="007452E8">
            <w:pPr>
              <w:rPr>
                <w:i/>
                <w:szCs w:val="22"/>
              </w:rPr>
            </w:pPr>
            <w:r w:rsidRPr="00BD5DBD">
              <w:rPr>
                <w:i/>
                <w:szCs w:val="22"/>
              </w:rPr>
              <w:t>Type of submission:</w:t>
            </w:r>
          </w:p>
        </w:tc>
        <w:tc>
          <w:tcPr>
            <w:tcW w:w="3423" w:type="pct"/>
          </w:tcPr>
          <w:p w14:paraId="4F07C303" w14:textId="6F55DE8C" w:rsidR="00324B33" w:rsidRPr="00BD5DBD" w:rsidRDefault="00324B33" w:rsidP="007452E8">
            <w:pPr>
              <w:rPr>
                <w:szCs w:val="22"/>
              </w:rPr>
            </w:pPr>
            <w:r w:rsidRPr="00BD5DBD">
              <w:rPr>
                <w:szCs w:val="22"/>
              </w:rPr>
              <w:t>New chemical entity</w:t>
            </w:r>
          </w:p>
        </w:tc>
      </w:tr>
      <w:tr w:rsidR="00324B33" w:rsidRPr="00BD5DBD" w14:paraId="13482B61" w14:textId="77777777" w:rsidTr="00F865A7">
        <w:tc>
          <w:tcPr>
            <w:tcW w:w="1577" w:type="pct"/>
          </w:tcPr>
          <w:p w14:paraId="2C427FCF" w14:textId="7A5CFFB0" w:rsidR="00324B33" w:rsidRPr="00BD5DBD" w:rsidRDefault="00324B33" w:rsidP="007452E8">
            <w:pPr>
              <w:rPr>
                <w:i/>
                <w:szCs w:val="22"/>
              </w:rPr>
            </w:pPr>
            <w:r w:rsidRPr="00BD5DBD">
              <w:rPr>
                <w:i/>
                <w:szCs w:val="22"/>
              </w:rPr>
              <w:t>Product name</w:t>
            </w:r>
            <w:r w:rsidR="006C5D3E">
              <w:rPr>
                <w:i/>
                <w:szCs w:val="22"/>
              </w:rPr>
              <w:t>s</w:t>
            </w:r>
            <w:r w:rsidRPr="00BD5DBD">
              <w:rPr>
                <w:i/>
                <w:szCs w:val="22"/>
              </w:rPr>
              <w:t>:</w:t>
            </w:r>
          </w:p>
        </w:tc>
        <w:tc>
          <w:tcPr>
            <w:tcW w:w="3423" w:type="pct"/>
          </w:tcPr>
          <w:p w14:paraId="0E2DEF76" w14:textId="6F20C0D7" w:rsidR="00324B33" w:rsidRPr="00BD5DBD" w:rsidRDefault="006C5D3E" w:rsidP="007452E8">
            <w:pPr>
              <w:rPr>
                <w:szCs w:val="22"/>
              </w:rPr>
            </w:pPr>
            <w:r w:rsidRPr="006C5D3E">
              <w:t>T</w:t>
            </w:r>
            <w:r>
              <w:t>eriparatide</w:t>
            </w:r>
            <w:r w:rsidRPr="006C5D3E">
              <w:t xml:space="preserve"> Lupin/</w:t>
            </w:r>
            <w:r>
              <w:t xml:space="preserve"> </w:t>
            </w:r>
            <w:r w:rsidRPr="006C5D3E">
              <w:t>T</w:t>
            </w:r>
            <w:r>
              <w:t>eriparatide</w:t>
            </w:r>
            <w:r w:rsidRPr="006C5D3E">
              <w:t xml:space="preserve"> LAPL/</w:t>
            </w:r>
            <w:r>
              <w:t xml:space="preserve"> </w:t>
            </w:r>
            <w:r w:rsidRPr="006C5D3E">
              <w:t>T</w:t>
            </w:r>
            <w:r>
              <w:t xml:space="preserve">eriparatide </w:t>
            </w:r>
            <w:r w:rsidRPr="006C5D3E">
              <w:t>GH</w:t>
            </w:r>
          </w:p>
        </w:tc>
      </w:tr>
      <w:tr w:rsidR="00324B33" w:rsidRPr="00BD5DBD" w14:paraId="01255B5B" w14:textId="77777777" w:rsidTr="00F865A7">
        <w:tc>
          <w:tcPr>
            <w:tcW w:w="1577" w:type="pct"/>
          </w:tcPr>
          <w:p w14:paraId="52B4F3D7" w14:textId="339BDCBB" w:rsidR="00324B33" w:rsidRPr="00BD5DBD" w:rsidRDefault="00324B33" w:rsidP="007452E8">
            <w:pPr>
              <w:rPr>
                <w:i/>
                <w:szCs w:val="22"/>
              </w:rPr>
            </w:pPr>
            <w:r w:rsidRPr="00BD5DBD">
              <w:rPr>
                <w:i/>
                <w:szCs w:val="22"/>
              </w:rPr>
              <w:t>Active ingredient:</w:t>
            </w:r>
          </w:p>
        </w:tc>
        <w:tc>
          <w:tcPr>
            <w:tcW w:w="3423" w:type="pct"/>
          </w:tcPr>
          <w:p w14:paraId="02FB6383" w14:textId="74CFCB1F" w:rsidR="00324B33" w:rsidRPr="00BD5DBD" w:rsidRDefault="006C5D3E" w:rsidP="007452E8">
            <w:pPr>
              <w:rPr>
                <w:szCs w:val="22"/>
              </w:rPr>
            </w:pPr>
            <w:r w:rsidRPr="006C5D3E">
              <w:t>Teriparatide</w:t>
            </w:r>
          </w:p>
        </w:tc>
      </w:tr>
      <w:tr w:rsidR="00324B33" w:rsidRPr="00BD5DBD" w14:paraId="219A281B" w14:textId="77777777" w:rsidTr="00F865A7">
        <w:tc>
          <w:tcPr>
            <w:tcW w:w="1577" w:type="pct"/>
          </w:tcPr>
          <w:p w14:paraId="112E5F78" w14:textId="77777777" w:rsidR="00324B33" w:rsidRPr="00BD5DBD" w:rsidRDefault="00324B33" w:rsidP="007452E8">
            <w:pPr>
              <w:rPr>
                <w:i/>
                <w:szCs w:val="22"/>
              </w:rPr>
            </w:pPr>
            <w:r w:rsidRPr="00BD5DBD">
              <w:rPr>
                <w:i/>
                <w:szCs w:val="22"/>
              </w:rPr>
              <w:t>Decision:</w:t>
            </w:r>
          </w:p>
        </w:tc>
        <w:tc>
          <w:tcPr>
            <w:tcW w:w="3423" w:type="pct"/>
          </w:tcPr>
          <w:p w14:paraId="3B114BEA" w14:textId="2067A4E2" w:rsidR="00324B33" w:rsidRPr="00BD5DBD" w:rsidRDefault="00324B33" w:rsidP="007452E8">
            <w:pPr>
              <w:rPr>
                <w:szCs w:val="22"/>
              </w:rPr>
            </w:pPr>
            <w:r w:rsidRPr="00BD5DBD">
              <w:rPr>
                <w:szCs w:val="22"/>
              </w:rPr>
              <w:t>Approved</w:t>
            </w:r>
          </w:p>
        </w:tc>
      </w:tr>
      <w:tr w:rsidR="00AE1947" w:rsidRPr="00BD5DBD" w14:paraId="32B72632" w14:textId="77777777" w:rsidTr="00F865A7">
        <w:tc>
          <w:tcPr>
            <w:tcW w:w="1577" w:type="pct"/>
          </w:tcPr>
          <w:p w14:paraId="332A5CD5" w14:textId="700D0A2A" w:rsidR="00AE1947" w:rsidRPr="006C5D3E" w:rsidRDefault="00AE1947" w:rsidP="006C5D3E">
            <w:pPr>
              <w:rPr>
                <w:i/>
                <w:szCs w:val="22"/>
              </w:rPr>
            </w:pPr>
            <w:r w:rsidRPr="00BD5DBD">
              <w:rPr>
                <w:i/>
                <w:szCs w:val="22"/>
              </w:rPr>
              <w:t>Date of decision:</w:t>
            </w:r>
          </w:p>
        </w:tc>
        <w:tc>
          <w:tcPr>
            <w:tcW w:w="3423" w:type="pct"/>
          </w:tcPr>
          <w:p w14:paraId="7B381CD6" w14:textId="5E6151E8" w:rsidR="00AE1947" w:rsidRPr="00BD5DBD" w:rsidRDefault="006C5D3E" w:rsidP="00602658">
            <w:pPr>
              <w:rPr>
                <w:szCs w:val="22"/>
              </w:rPr>
            </w:pPr>
            <w:r>
              <w:rPr>
                <w:szCs w:val="22"/>
              </w:rPr>
              <w:t>20 March 2023</w:t>
            </w:r>
          </w:p>
        </w:tc>
      </w:tr>
      <w:tr w:rsidR="00324B33" w:rsidRPr="00BD5DBD" w14:paraId="60A25F5A" w14:textId="77777777" w:rsidTr="00F865A7">
        <w:tc>
          <w:tcPr>
            <w:tcW w:w="1577" w:type="pct"/>
          </w:tcPr>
          <w:p w14:paraId="5C5E4CBA" w14:textId="77777777" w:rsidR="00324B33" w:rsidRPr="00BD5DBD" w:rsidRDefault="00324B33" w:rsidP="007452E8">
            <w:pPr>
              <w:rPr>
                <w:i/>
                <w:szCs w:val="22"/>
              </w:rPr>
            </w:pPr>
            <w:r w:rsidRPr="00BD5DBD">
              <w:rPr>
                <w:i/>
                <w:szCs w:val="22"/>
              </w:rPr>
              <w:t>Date of entry onto ARTG:</w:t>
            </w:r>
          </w:p>
        </w:tc>
        <w:tc>
          <w:tcPr>
            <w:tcW w:w="3423" w:type="pct"/>
          </w:tcPr>
          <w:p w14:paraId="28B270E9" w14:textId="0EFAA8E3" w:rsidR="00324B33" w:rsidRPr="00BD5DBD" w:rsidRDefault="003A06C5" w:rsidP="007452E8">
            <w:pPr>
              <w:rPr>
                <w:szCs w:val="22"/>
              </w:rPr>
            </w:pPr>
            <w:r>
              <w:rPr>
                <w:szCs w:val="22"/>
              </w:rPr>
              <w:t>6</w:t>
            </w:r>
            <w:r w:rsidR="006C5D3E">
              <w:rPr>
                <w:szCs w:val="22"/>
              </w:rPr>
              <w:t xml:space="preserve"> April 2023</w:t>
            </w:r>
            <w:r w:rsidR="00324B33" w:rsidRPr="00BD5DBD">
              <w:rPr>
                <w:szCs w:val="22"/>
              </w:rPr>
              <w:t xml:space="preserve"> </w:t>
            </w:r>
          </w:p>
        </w:tc>
      </w:tr>
      <w:tr w:rsidR="00324B33" w:rsidRPr="00BD5DBD" w14:paraId="547E08D7" w14:textId="77777777" w:rsidTr="00F865A7">
        <w:tc>
          <w:tcPr>
            <w:tcW w:w="1577" w:type="pct"/>
          </w:tcPr>
          <w:p w14:paraId="5030EF30" w14:textId="7A218F30" w:rsidR="00324B33" w:rsidRPr="00BD5DBD" w:rsidRDefault="00324B33" w:rsidP="007452E8">
            <w:pPr>
              <w:rPr>
                <w:i/>
                <w:szCs w:val="22"/>
              </w:rPr>
            </w:pPr>
            <w:r w:rsidRPr="00BD5DBD">
              <w:rPr>
                <w:i/>
                <w:szCs w:val="22"/>
              </w:rPr>
              <w:t>ARTG number</w:t>
            </w:r>
            <w:r w:rsidR="006C5D3E">
              <w:rPr>
                <w:i/>
                <w:szCs w:val="22"/>
              </w:rPr>
              <w:t>s</w:t>
            </w:r>
            <w:r w:rsidRPr="00BD5DBD">
              <w:rPr>
                <w:i/>
                <w:szCs w:val="22"/>
              </w:rPr>
              <w:t>:</w:t>
            </w:r>
          </w:p>
        </w:tc>
        <w:tc>
          <w:tcPr>
            <w:tcW w:w="3423" w:type="pct"/>
          </w:tcPr>
          <w:p w14:paraId="0054E912" w14:textId="7F2ACD2F" w:rsidR="00324B33" w:rsidRPr="00BD5DBD" w:rsidRDefault="006C5D3E" w:rsidP="007452E8">
            <w:pPr>
              <w:rPr>
                <w:szCs w:val="22"/>
              </w:rPr>
            </w:pPr>
            <w:r w:rsidRPr="006C5D3E">
              <w:rPr>
                <w:szCs w:val="22"/>
              </w:rPr>
              <w:t>373602</w:t>
            </w:r>
            <w:r>
              <w:rPr>
                <w:szCs w:val="22"/>
              </w:rPr>
              <w:t xml:space="preserve">, </w:t>
            </w:r>
            <w:r w:rsidRPr="006C5D3E">
              <w:rPr>
                <w:szCs w:val="22"/>
              </w:rPr>
              <w:t>37360</w:t>
            </w:r>
            <w:r>
              <w:rPr>
                <w:szCs w:val="22"/>
              </w:rPr>
              <w:t xml:space="preserve">3 and </w:t>
            </w:r>
            <w:r w:rsidRPr="006C5D3E">
              <w:rPr>
                <w:szCs w:val="22"/>
              </w:rPr>
              <w:t>37360</w:t>
            </w:r>
            <w:r>
              <w:rPr>
                <w:szCs w:val="22"/>
              </w:rPr>
              <w:t>4</w:t>
            </w:r>
          </w:p>
        </w:tc>
      </w:tr>
      <w:tr w:rsidR="00324B33" w:rsidRPr="00BD5DBD" w14:paraId="7618393F" w14:textId="77777777" w:rsidTr="00F865A7">
        <w:tc>
          <w:tcPr>
            <w:tcW w:w="1577" w:type="pct"/>
          </w:tcPr>
          <w:p w14:paraId="6C24CEB6" w14:textId="44E8A038" w:rsidR="00E47E0C" w:rsidRPr="00BD5DBD" w:rsidRDefault="00324B33" w:rsidP="007452E8">
            <w:pPr>
              <w:rPr>
                <w:rStyle w:val="Hyperlink"/>
                <w:i/>
                <w:szCs w:val="22"/>
              </w:rPr>
            </w:pPr>
            <w:r w:rsidRPr="00BD5DBD">
              <w:rPr>
                <w:rFonts w:ascii="Wingdings 3" w:hAnsi="Wingdings 3"/>
                <w:szCs w:val="22"/>
                <w:lang w:eastAsia="en-AU"/>
              </w:rPr>
              <w:t></w:t>
            </w:r>
            <w:hyperlink r:id="rId15" w:history="1">
              <w:r w:rsidRPr="00BD5DBD">
                <w:rPr>
                  <w:rStyle w:val="Hyperlink"/>
                  <w:i/>
                  <w:szCs w:val="22"/>
                </w:rPr>
                <w:t>Black Triangle Scheme</w:t>
              </w:r>
            </w:hyperlink>
          </w:p>
          <w:p w14:paraId="02260DE2" w14:textId="1FC334AE" w:rsidR="00324B33" w:rsidRPr="00BD5DBD" w:rsidRDefault="00E47E0C" w:rsidP="007452E8">
            <w:pPr>
              <w:rPr>
                <w:i/>
                <w:szCs w:val="22"/>
              </w:rPr>
            </w:pPr>
            <w:r w:rsidRPr="00BD5DBD">
              <w:rPr>
                <w:i/>
                <w:szCs w:val="22"/>
              </w:rPr>
              <w:t xml:space="preserve">for </w:t>
            </w:r>
            <w:r w:rsidR="007B04DE" w:rsidRPr="00BD5DBD">
              <w:rPr>
                <w:i/>
                <w:szCs w:val="22"/>
              </w:rPr>
              <w:t>the current</w:t>
            </w:r>
            <w:r w:rsidRPr="00BD5DBD">
              <w:rPr>
                <w:i/>
                <w:szCs w:val="22"/>
              </w:rPr>
              <w:t xml:space="preserve"> submission</w:t>
            </w:r>
            <w:r w:rsidR="00324B33" w:rsidRPr="00BD5DBD">
              <w:rPr>
                <w:i/>
                <w:szCs w:val="22"/>
              </w:rPr>
              <w:t>:</w:t>
            </w:r>
          </w:p>
        </w:tc>
        <w:tc>
          <w:tcPr>
            <w:tcW w:w="3423" w:type="pct"/>
          </w:tcPr>
          <w:p w14:paraId="08EF3693" w14:textId="0B2136B1" w:rsidR="00324B33" w:rsidRPr="00BD5DBD" w:rsidRDefault="00324B33" w:rsidP="007452E8">
            <w:pPr>
              <w:rPr>
                <w:szCs w:val="22"/>
              </w:rPr>
            </w:pPr>
            <w:r w:rsidRPr="00BD5DBD">
              <w:rPr>
                <w:szCs w:val="22"/>
              </w:rPr>
              <w:t>Yes</w:t>
            </w:r>
          </w:p>
          <w:p w14:paraId="6FF3C6A2" w14:textId="36D401D8" w:rsidR="00324B33" w:rsidRPr="00BD5DBD" w:rsidRDefault="00324B33" w:rsidP="007452E8">
            <w:pPr>
              <w:rPr>
                <w:szCs w:val="22"/>
              </w:rPr>
            </w:pPr>
            <w:r w:rsidRPr="00BD5DBD">
              <w:rPr>
                <w:szCs w:val="22"/>
              </w:rPr>
              <w:t>This product will remain in the scheme for 5 years, starting on the date the product is first supplied in Australia</w:t>
            </w:r>
          </w:p>
        </w:tc>
      </w:tr>
      <w:tr w:rsidR="00324B33" w:rsidRPr="00BD5DBD" w14:paraId="179E09FE" w14:textId="77777777" w:rsidTr="00F865A7">
        <w:tc>
          <w:tcPr>
            <w:tcW w:w="1577" w:type="pct"/>
          </w:tcPr>
          <w:p w14:paraId="1A592498" w14:textId="77777777" w:rsidR="00324B33" w:rsidRPr="00BD5DBD" w:rsidRDefault="00324B33" w:rsidP="007452E8">
            <w:pPr>
              <w:rPr>
                <w:i/>
                <w:szCs w:val="22"/>
              </w:rPr>
            </w:pPr>
            <w:r w:rsidRPr="00BD5DBD">
              <w:rPr>
                <w:i/>
                <w:szCs w:val="22"/>
              </w:rPr>
              <w:t>Sponsor’s name and address:</w:t>
            </w:r>
          </w:p>
        </w:tc>
        <w:tc>
          <w:tcPr>
            <w:tcW w:w="3423" w:type="pct"/>
          </w:tcPr>
          <w:p w14:paraId="39B82DE3" w14:textId="77777777" w:rsidR="006C5D3E" w:rsidRPr="006C5D3E" w:rsidRDefault="006C5D3E" w:rsidP="006C5D3E">
            <w:pPr>
              <w:rPr>
                <w:szCs w:val="22"/>
              </w:rPr>
            </w:pPr>
            <w:r w:rsidRPr="006C5D3E">
              <w:rPr>
                <w:szCs w:val="22"/>
              </w:rPr>
              <w:t>Generic Health Pty Ltd</w:t>
            </w:r>
          </w:p>
          <w:p w14:paraId="69C522EC" w14:textId="77777777" w:rsidR="006C5D3E" w:rsidRPr="006C5D3E" w:rsidRDefault="006C5D3E" w:rsidP="006C5D3E">
            <w:pPr>
              <w:rPr>
                <w:szCs w:val="22"/>
              </w:rPr>
            </w:pPr>
            <w:r w:rsidRPr="006C5D3E">
              <w:rPr>
                <w:szCs w:val="22"/>
              </w:rPr>
              <w:t>Suite 2, Level 2</w:t>
            </w:r>
          </w:p>
          <w:p w14:paraId="4AD9A02F" w14:textId="77777777" w:rsidR="006C5D3E" w:rsidRPr="006C5D3E" w:rsidRDefault="006C5D3E" w:rsidP="006C5D3E">
            <w:pPr>
              <w:rPr>
                <w:szCs w:val="22"/>
              </w:rPr>
            </w:pPr>
            <w:r w:rsidRPr="006C5D3E">
              <w:rPr>
                <w:szCs w:val="22"/>
              </w:rPr>
              <w:t>19-23 Prospect Street</w:t>
            </w:r>
          </w:p>
          <w:p w14:paraId="68DD94B0" w14:textId="19E30CDC" w:rsidR="00324B33" w:rsidRPr="00BD5DBD" w:rsidRDefault="006C5D3E" w:rsidP="006C5D3E">
            <w:pPr>
              <w:rPr>
                <w:szCs w:val="22"/>
              </w:rPr>
            </w:pPr>
            <w:r w:rsidRPr="006C5D3E">
              <w:rPr>
                <w:szCs w:val="22"/>
              </w:rPr>
              <w:t>Box Hill, VIC, 3128</w:t>
            </w:r>
          </w:p>
        </w:tc>
      </w:tr>
      <w:tr w:rsidR="00324B33" w:rsidRPr="00BD5DBD" w14:paraId="5322B989" w14:textId="77777777" w:rsidTr="00F865A7">
        <w:tc>
          <w:tcPr>
            <w:tcW w:w="1577" w:type="pct"/>
          </w:tcPr>
          <w:p w14:paraId="24F217E3" w14:textId="295A270F" w:rsidR="00324B33" w:rsidRPr="00BD5DBD" w:rsidRDefault="00324B33" w:rsidP="007452E8">
            <w:pPr>
              <w:rPr>
                <w:i/>
                <w:szCs w:val="22"/>
              </w:rPr>
            </w:pPr>
            <w:r w:rsidRPr="00BD5DBD">
              <w:rPr>
                <w:i/>
                <w:szCs w:val="22"/>
              </w:rPr>
              <w:t>Dose form:</w:t>
            </w:r>
          </w:p>
        </w:tc>
        <w:tc>
          <w:tcPr>
            <w:tcW w:w="3423" w:type="pct"/>
          </w:tcPr>
          <w:p w14:paraId="768B254C" w14:textId="282279BB" w:rsidR="00324B33" w:rsidRPr="00BD5DBD" w:rsidRDefault="006C5D3E" w:rsidP="007452E8">
            <w:pPr>
              <w:rPr>
                <w:szCs w:val="22"/>
              </w:rPr>
            </w:pPr>
            <w:r w:rsidRPr="006C5D3E">
              <w:rPr>
                <w:szCs w:val="22"/>
              </w:rPr>
              <w:t>solution for injection</w:t>
            </w:r>
          </w:p>
        </w:tc>
      </w:tr>
      <w:tr w:rsidR="00324B33" w:rsidRPr="00BD5DBD" w14:paraId="115243E6" w14:textId="77777777" w:rsidTr="00F865A7">
        <w:tc>
          <w:tcPr>
            <w:tcW w:w="1577" w:type="pct"/>
          </w:tcPr>
          <w:p w14:paraId="7634B062" w14:textId="41BD1081" w:rsidR="00324B33" w:rsidRPr="00BD5DBD" w:rsidRDefault="00324B33" w:rsidP="007452E8">
            <w:pPr>
              <w:rPr>
                <w:i/>
                <w:szCs w:val="22"/>
              </w:rPr>
            </w:pPr>
            <w:r w:rsidRPr="00BD5DBD">
              <w:rPr>
                <w:i/>
                <w:szCs w:val="22"/>
              </w:rPr>
              <w:t>Strength:</w:t>
            </w:r>
          </w:p>
        </w:tc>
        <w:tc>
          <w:tcPr>
            <w:tcW w:w="3423" w:type="pct"/>
          </w:tcPr>
          <w:p w14:paraId="5E5F83DB" w14:textId="6F03CA99" w:rsidR="00324B33" w:rsidRPr="00BD5DBD" w:rsidRDefault="006C5D3E" w:rsidP="007452E8">
            <w:pPr>
              <w:rPr>
                <w:szCs w:val="22"/>
              </w:rPr>
            </w:pPr>
            <w:r>
              <w:rPr>
                <w:szCs w:val="22"/>
              </w:rPr>
              <w:t>250 µg/mL</w:t>
            </w:r>
          </w:p>
        </w:tc>
      </w:tr>
      <w:tr w:rsidR="00324B33" w:rsidRPr="00BD5DBD" w14:paraId="34B07BA6" w14:textId="77777777" w:rsidTr="00F865A7">
        <w:tc>
          <w:tcPr>
            <w:tcW w:w="1577" w:type="pct"/>
          </w:tcPr>
          <w:p w14:paraId="1C039224" w14:textId="5D7DE34D" w:rsidR="00324B33" w:rsidRPr="00BD5DBD" w:rsidRDefault="00324B33" w:rsidP="007452E8">
            <w:pPr>
              <w:rPr>
                <w:i/>
                <w:szCs w:val="22"/>
              </w:rPr>
            </w:pPr>
            <w:r w:rsidRPr="00BD5DBD">
              <w:rPr>
                <w:i/>
                <w:szCs w:val="22"/>
              </w:rPr>
              <w:t>Container:</w:t>
            </w:r>
          </w:p>
        </w:tc>
        <w:tc>
          <w:tcPr>
            <w:tcW w:w="3423" w:type="pct"/>
          </w:tcPr>
          <w:p w14:paraId="500A42C6" w14:textId="413CDFA6" w:rsidR="00324B33" w:rsidRPr="00BD5DBD" w:rsidRDefault="006C5D3E" w:rsidP="007452E8">
            <w:pPr>
              <w:rPr>
                <w:szCs w:val="22"/>
              </w:rPr>
            </w:pPr>
            <w:r>
              <w:rPr>
                <w:szCs w:val="22"/>
              </w:rPr>
              <w:t>Pre-filled cartridge</w:t>
            </w:r>
          </w:p>
        </w:tc>
      </w:tr>
      <w:tr w:rsidR="00324B33" w:rsidRPr="00BD5DBD" w14:paraId="176B6773" w14:textId="77777777" w:rsidTr="00F865A7">
        <w:tc>
          <w:tcPr>
            <w:tcW w:w="1577" w:type="pct"/>
          </w:tcPr>
          <w:p w14:paraId="71846159" w14:textId="05414DC4" w:rsidR="00324B33" w:rsidRPr="00BD5DBD" w:rsidRDefault="00324B33" w:rsidP="007452E8">
            <w:pPr>
              <w:rPr>
                <w:i/>
                <w:szCs w:val="22"/>
              </w:rPr>
            </w:pPr>
            <w:r w:rsidRPr="00BD5DBD">
              <w:rPr>
                <w:i/>
                <w:szCs w:val="22"/>
              </w:rPr>
              <w:t>Pack size</w:t>
            </w:r>
            <w:r w:rsidR="00364B2B">
              <w:rPr>
                <w:i/>
                <w:szCs w:val="22"/>
              </w:rPr>
              <w:t>s</w:t>
            </w:r>
            <w:r w:rsidRPr="00BD5DBD">
              <w:rPr>
                <w:i/>
                <w:szCs w:val="22"/>
              </w:rPr>
              <w:t>:</w:t>
            </w:r>
          </w:p>
        </w:tc>
        <w:tc>
          <w:tcPr>
            <w:tcW w:w="3423" w:type="pct"/>
          </w:tcPr>
          <w:p w14:paraId="7E978F8F" w14:textId="108FB387" w:rsidR="00324B33" w:rsidRPr="00BD5DBD" w:rsidRDefault="00364B2B" w:rsidP="007452E8">
            <w:pPr>
              <w:rPr>
                <w:szCs w:val="22"/>
              </w:rPr>
            </w:pPr>
            <w:r>
              <w:rPr>
                <w:szCs w:val="22"/>
              </w:rPr>
              <w:t>1 and 3</w:t>
            </w:r>
          </w:p>
        </w:tc>
      </w:tr>
      <w:tr w:rsidR="00324B33" w:rsidRPr="00BD5DBD" w14:paraId="19A2544A" w14:textId="77777777" w:rsidTr="00F865A7">
        <w:tc>
          <w:tcPr>
            <w:tcW w:w="1577" w:type="pct"/>
          </w:tcPr>
          <w:p w14:paraId="0E6C5C0E" w14:textId="7DB3FC66" w:rsidR="00324B33" w:rsidRPr="00BD5DBD" w:rsidRDefault="00324B33" w:rsidP="007452E8">
            <w:pPr>
              <w:rPr>
                <w:i/>
                <w:szCs w:val="22"/>
              </w:rPr>
            </w:pPr>
            <w:r w:rsidRPr="00BD5DBD">
              <w:rPr>
                <w:i/>
                <w:szCs w:val="22"/>
              </w:rPr>
              <w:t>Approved therapeutic use</w:t>
            </w:r>
            <w:r w:rsidR="00E47E0C" w:rsidRPr="00BD5DBD">
              <w:rPr>
                <w:i/>
                <w:szCs w:val="22"/>
              </w:rPr>
              <w:t xml:space="preserve"> </w:t>
            </w:r>
            <w:r w:rsidR="007B04DE" w:rsidRPr="00BD5DBD">
              <w:rPr>
                <w:i/>
                <w:szCs w:val="22"/>
              </w:rPr>
              <w:t>for the current</w:t>
            </w:r>
            <w:r w:rsidR="00E47E0C" w:rsidRPr="00BD5DBD">
              <w:rPr>
                <w:i/>
                <w:szCs w:val="22"/>
              </w:rPr>
              <w:t xml:space="preserve"> submission</w:t>
            </w:r>
            <w:r w:rsidRPr="00BD5DBD">
              <w:rPr>
                <w:i/>
                <w:szCs w:val="22"/>
              </w:rPr>
              <w:t>:</w:t>
            </w:r>
          </w:p>
        </w:tc>
        <w:tc>
          <w:tcPr>
            <w:tcW w:w="3423" w:type="pct"/>
          </w:tcPr>
          <w:p w14:paraId="63A27BDB" w14:textId="7A4A051B" w:rsidR="00364B2B" w:rsidRPr="00364B2B" w:rsidRDefault="00364B2B" w:rsidP="00364B2B">
            <w:pPr>
              <w:rPr>
                <w:i/>
                <w:iCs/>
                <w:szCs w:val="22"/>
              </w:rPr>
            </w:pPr>
            <w:r w:rsidRPr="00364B2B">
              <w:rPr>
                <w:i/>
                <w:iCs/>
              </w:rPr>
              <w:t>Teriparatide Lupin/Teriparatide LAPL/Teriparatide GH</w:t>
            </w:r>
            <w:r w:rsidRPr="00364B2B">
              <w:rPr>
                <w:i/>
                <w:iCs/>
                <w:szCs w:val="22"/>
              </w:rPr>
              <w:t xml:space="preserve"> is indicated for the treatment of osteoporosis in postmenopausal women and the treatment of primary osteoporosis in men when other agents are considered unsuitable and when there is a high risk of fractures.</w:t>
            </w:r>
          </w:p>
          <w:p w14:paraId="6E143E2E" w14:textId="5D28EA03" w:rsidR="00324B33" w:rsidRPr="00BD5DBD" w:rsidRDefault="00364B2B" w:rsidP="00364B2B">
            <w:pPr>
              <w:rPr>
                <w:szCs w:val="22"/>
              </w:rPr>
            </w:pPr>
            <w:r w:rsidRPr="00364B2B">
              <w:rPr>
                <w:i/>
                <w:iCs/>
              </w:rPr>
              <w:t>Teriparatide Lupin/Teriparatide LAPL/Teriparatide GH</w:t>
            </w:r>
            <w:r w:rsidRPr="00364B2B">
              <w:rPr>
                <w:i/>
                <w:iCs/>
                <w:szCs w:val="22"/>
              </w:rPr>
              <w:t xml:space="preserve"> is indicated for the treatment of osteoporosis associated with sustained systemic glucocorticoid therapy in women and men at high risk for fracture.</w:t>
            </w:r>
          </w:p>
        </w:tc>
      </w:tr>
      <w:tr w:rsidR="00324B33" w:rsidRPr="00BD5DBD" w14:paraId="5AFDEED3" w14:textId="77777777" w:rsidTr="00F865A7">
        <w:tc>
          <w:tcPr>
            <w:tcW w:w="1577" w:type="pct"/>
          </w:tcPr>
          <w:p w14:paraId="03884BD1" w14:textId="175F58DA" w:rsidR="00324B33" w:rsidRPr="00BD5DBD" w:rsidRDefault="00324B33" w:rsidP="007452E8">
            <w:pPr>
              <w:rPr>
                <w:i/>
                <w:szCs w:val="22"/>
              </w:rPr>
            </w:pPr>
            <w:r w:rsidRPr="00BD5DBD">
              <w:rPr>
                <w:i/>
                <w:szCs w:val="22"/>
              </w:rPr>
              <w:t>Route of administration:</w:t>
            </w:r>
          </w:p>
        </w:tc>
        <w:tc>
          <w:tcPr>
            <w:tcW w:w="3423" w:type="pct"/>
          </w:tcPr>
          <w:p w14:paraId="1ED1357E" w14:textId="06CB2FD7" w:rsidR="00324B33" w:rsidRPr="00BD5DBD" w:rsidRDefault="00364B2B" w:rsidP="007452E8">
            <w:pPr>
              <w:rPr>
                <w:szCs w:val="22"/>
              </w:rPr>
            </w:pPr>
            <w:r>
              <w:rPr>
                <w:szCs w:val="22"/>
              </w:rPr>
              <w:t>Subcutaneous injection</w:t>
            </w:r>
          </w:p>
        </w:tc>
      </w:tr>
      <w:tr w:rsidR="00324B33" w:rsidRPr="00BD5DBD" w14:paraId="70D7E9FA" w14:textId="77777777" w:rsidTr="00F865A7">
        <w:tc>
          <w:tcPr>
            <w:tcW w:w="1577" w:type="pct"/>
          </w:tcPr>
          <w:p w14:paraId="5ABFFC80" w14:textId="77777777" w:rsidR="00324B33" w:rsidRPr="00BD5DBD" w:rsidRDefault="00324B33" w:rsidP="007452E8">
            <w:pPr>
              <w:rPr>
                <w:i/>
                <w:szCs w:val="22"/>
              </w:rPr>
            </w:pPr>
            <w:r w:rsidRPr="00BD5DBD">
              <w:rPr>
                <w:i/>
                <w:szCs w:val="22"/>
              </w:rPr>
              <w:t>Dosage:</w:t>
            </w:r>
          </w:p>
        </w:tc>
        <w:tc>
          <w:tcPr>
            <w:tcW w:w="3423" w:type="pct"/>
          </w:tcPr>
          <w:p w14:paraId="5C6550CA" w14:textId="1AEBAC99" w:rsidR="00364B2B" w:rsidRPr="00364B2B" w:rsidRDefault="00364B2B" w:rsidP="00364B2B">
            <w:pPr>
              <w:rPr>
                <w:szCs w:val="22"/>
              </w:rPr>
            </w:pPr>
            <w:r w:rsidRPr="00364B2B">
              <w:rPr>
                <w:szCs w:val="22"/>
              </w:rPr>
              <w:t xml:space="preserve">Each dose of 80 </w:t>
            </w:r>
            <w:r>
              <w:rPr>
                <w:szCs w:val="22"/>
              </w:rPr>
              <w:t>µl</w:t>
            </w:r>
            <w:r w:rsidRPr="00364B2B">
              <w:rPr>
                <w:szCs w:val="22"/>
              </w:rPr>
              <w:t xml:space="preserve"> contains 20</w:t>
            </w:r>
            <w:r>
              <w:rPr>
                <w:szCs w:val="22"/>
              </w:rPr>
              <w:t xml:space="preserve"> µg</w:t>
            </w:r>
            <w:r w:rsidRPr="00364B2B">
              <w:rPr>
                <w:szCs w:val="22"/>
              </w:rPr>
              <w:t xml:space="preserve"> of teriparatide.</w:t>
            </w:r>
          </w:p>
          <w:p w14:paraId="35D94A1F" w14:textId="779BB633" w:rsidR="00364B2B" w:rsidRPr="00364B2B" w:rsidRDefault="00364B2B" w:rsidP="00364B2B">
            <w:pPr>
              <w:rPr>
                <w:szCs w:val="22"/>
              </w:rPr>
            </w:pPr>
            <w:r w:rsidRPr="00364B2B">
              <w:rPr>
                <w:szCs w:val="22"/>
              </w:rPr>
              <w:t xml:space="preserve">The recommended dose of </w:t>
            </w:r>
            <w:r w:rsidR="006D0630" w:rsidRPr="006C5D3E">
              <w:t>T</w:t>
            </w:r>
            <w:r w:rsidR="006D0630">
              <w:t>eriparatide</w:t>
            </w:r>
            <w:r w:rsidR="006D0630" w:rsidRPr="006C5D3E">
              <w:t xml:space="preserve"> Lupin/</w:t>
            </w:r>
            <w:r w:rsidR="006D0630">
              <w:t xml:space="preserve"> </w:t>
            </w:r>
            <w:r w:rsidR="006D0630" w:rsidRPr="006C5D3E">
              <w:t>T</w:t>
            </w:r>
            <w:r w:rsidR="006D0630">
              <w:t>eriparatide</w:t>
            </w:r>
            <w:r w:rsidR="006D0630" w:rsidRPr="006C5D3E">
              <w:t xml:space="preserve"> LAPL/</w:t>
            </w:r>
            <w:r w:rsidR="006D0630">
              <w:t xml:space="preserve"> </w:t>
            </w:r>
            <w:r w:rsidR="006D0630" w:rsidRPr="006C5D3E">
              <w:t>T</w:t>
            </w:r>
            <w:r w:rsidR="006D0630">
              <w:t xml:space="preserve">eriparatide </w:t>
            </w:r>
            <w:r w:rsidR="006D0630" w:rsidRPr="006C5D3E">
              <w:t>GH</w:t>
            </w:r>
            <w:r w:rsidR="006D0630" w:rsidRPr="00364B2B">
              <w:rPr>
                <w:szCs w:val="22"/>
              </w:rPr>
              <w:t xml:space="preserve"> </w:t>
            </w:r>
            <w:r w:rsidRPr="00364B2B">
              <w:rPr>
                <w:szCs w:val="22"/>
              </w:rPr>
              <w:t xml:space="preserve">is 20 </w:t>
            </w:r>
            <w:r>
              <w:rPr>
                <w:szCs w:val="22"/>
              </w:rPr>
              <w:t>µg</w:t>
            </w:r>
            <w:r w:rsidRPr="00364B2B">
              <w:rPr>
                <w:szCs w:val="22"/>
              </w:rPr>
              <w:t xml:space="preserve"> administered once daily by subcutaneous injection in the thigh or abdomen.</w:t>
            </w:r>
          </w:p>
          <w:p w14:paraId="1FD1D0C8" w14:textId="3ED0BEB9" w:rsidR="00364B2B" w:rsidRPr="00364B2B" w:rsidRDefault="00364B2B" w:rsidP="00364B2B">
            <w:pPr>
              <w:rPr>
                <w:szCs w:val="22"/>
              </w:rPr>
            </w:pPr>
            <w:r w:rsidRPr="00364B2B">
              <w:rPr>
                <w:szCs w:val="22"/>
              </w:rPr>
              <w:t xml:space="preserve">Based on clinical experience, treatment with </w:t>
            </w:r>
            <w:r w:rsidR="006D0630" w:rsidRPr="006C5D3E">
              <w:t>T</w:t>
            </w:r>
            <w:r w:rsidR="006D0630">
              <w:t>eriparatide</w:t>
            </w:r>
            <w:r w:rsidR="006D0630" w:rsidRPr="006C5D3E">
              <w:t xml:space="preserve"> Lupin/</w:t>
            </w:r>
            <w:r w:rsidR="006D0630">
              <w:t xml:space="preserve"> </w:t>
            </w:r>
            <w:r w:rsidR="006D0630" w:rsidRPr="006C5D3E">
              <w:t>T</w:t>
            </w:r>
            <w:r w:rsidR="006D0630">
              <w:t>eriparatide</w:t>
            </w:r>
            <w:r w:rsidR="006D0630" w:rsidRPr="006C5D3E">
              <w:t xml:space="preserve"> LAPL/</w:t>
            </w:r>
            <w:r w:rsidR="006D0630">
              <w:t xml:space="preserve"> </w:t>
            </w:r>
            <w:r w:rsidR="006D0630" w:rsidRPr="006C5D3E">
              <w:t>T</w:t>
            </w:r>
            <w:r w:rsidR="006D0630">
              <w:t xml:space="preserve">eriparatide </w:t>
            </w:r>
            <w:r w:rsidR="006D0630" w:rsidRPr="006C5D3E">
              <w:t>GH</w:t>
            </w:r>
            <w:r w:rsidR="006D0630" w:rsidRPr="00364B2B">
              <w:rPr>
                <w:szCs w:val="22"/>
              </w:rPr>
              <w:t xml:space="preserve"> </w:t>
            </w:r>
            <w:r w:rsidRPr="00364B2B">
              <w:rPr>
                <w:szCs w:val="22"/>
              </w:rPr>
              <w:t xml:space="preserve">is recommended for a lifetime duration of 24 months treatment (for post-treatment efficacy, see Section 5.1 Pharmacodynamic </w:t>
            </w:r>
            <w:r w:rsidRPr="00364B2B">
              <w:rPr>
                <w:szCs w:val="22"/>
              </w:rPr>
              <w:lastRenderedPageBreak/>
              <w:t xml:space="preserve">Properties Clinical Trials). </w:t>
            </w:r>
            <w:r w:rsidR="006D0630" w:rsidRPr="006C5D3E">
              <w:t>T</w:t>
            </w:r>
            <w:r w:rsidR="006D0630">
              <w:t>eriparatide</w:t>
            </w:r>
            <w:r w:rsidR="006D0630" w:rsidRPr="006C5D3E">
              <w:t xml:space="preserve"> Lupin/</w:t>
            </w:r>
            <w:r w:rsidR="006D0630">
              <w:t xml:space="preserve"> </w:t>
            </w:r>
            <w:r w:rsidR="006D0630" w:rsidRPr="006C5D3E">
              <w:t>T</w:t>
            </w:r>
            <w:r w:rsidR="006D0630">
              <w:t>eriparatide</w:t>
            </w:r>
            <w:r w:rsidR="006D0630" w:rsidRPr="006C5D3E">
              <w:t xml:space="preserve"> LAPL/</w:t>
            </w:r>
            <w:r w:rsidR="006D0630">
              <w:t xml:space="preserve"> </w:t>
            </w:r>
            <w:r w:rsidR="006D0630" w:rsidRPr="006C5D3E">
              <w:t>T</w:t>
            </w:r>
            <w:r w:rsidR="006D0630">
              <w:t xml:space="preserve">eriparatide </w:t>
            </w:r>
            <w:r w:rsidR="006D0630" w:rsidRPr="006C5D3E">
              <w:t>GH</w:t>
            </w:r>
            <w:r w:rsidR="006D0630" w:rsidRPr="00364B2B">
              <w:rPr>
                <w:szCs w:val="22"/>
              </w:rPr>
              <w:t xml:space="preserve"> </w:t>
            </w:r>
            <w:r w:rsidRPr="00364B2B">
              <w:rPr>
                <w:szCs w:val="22"/>
              </w:rPr>
              <w:t>should be prescribed to patients with a full explanation and their informed consent on the lifetime duration of 24 months treatment.</w:t>
            </w:r>
          </w:p>
          <w:p w14:paraId="4F433C0E" w14:textId="77777777" w:rsidR="00364B2B" w:rsidRPr="00364B2B" w:rsidRDefault="00364B2B" w:rsidP="00364B2B">
            <w:pPr>
              <w:rPr>
                <w:szCs w:val="22"/>
              </w:rPr>
            </w:pPr>
            <w:r w:rsidRPr="00364B2B">
              <w:rPr>
                <w:szCs w:val="22"/>
              </w:rPr>
              <w:t>Calcium and vitamin D supplements are advised in patients with a low dietary intake of these nutrients.</w:t>
            </w:r>
          </w:p>
          <w:p w14:paraId="1246B144" w14:textId="6163D627" w:rsidR="00324B33" w:rsidRPr="00BD5DBD" w:rsidRDefault="00364B2B" w:rsidP="00364B2B">
            <w:pPr>
              <w:rPr>
                <w:szCs w:val="22"/>
              </w:rPr>
            </w:pPr>
            <w:r w:rsidRPr="00364B2B">
              <w:rPr>
                <w:szCs w:val="22"/>
              </w:rPr>
              <w:t>Use in Males – Primary or secondary hypogonadism should first be excluded and, if relevant, be treated (see Section 5.1 Pharmacodynamic Properties - Clinical Trials)</w:t>
            </w:r>
          </w:p>
          <w:p w14:paraId="3D0B2D5C" w14:textId="77777777" w:rsidR="00324B33" w:rsidRPr="00BD5DBD" w:rsidRDefault="00324B33" w:rsidP="007452E8">
            <w:pPr>
              <w:rPr>
                <w:szCs w:val="22"/>
              </w:rPr>
            </w:pPr>
            <w:r w:rsidRPr="00BD5DBD">
              <w:rPr>
                <w:szCs w:val="22"/>
              </w:rPr>
              <w:t>For further information regarding dosage, refer to the Product Information.</w:t>
            </w:r>
          </w:p>
        </w:tc>
      </w:tr>
      <w:tr w:rsidR="00324B33" w:rsidRPr="00BD5DBD" w14:paraId="24DC408E" w14:textId="77777777" w:rsidTr="00F865A7">
        <w:tc>
          <w:tcPr>
            <w:tcW w:w="1577" w:type="pct"/>
          </w:tcPr>
          <w:p w14:paraId="26380792" w14:textId="77777777" w:rsidR="00324B33" w:rsidRPr="00BD5DBD" w:rsidRDefault="00324B33" w:rsidP="007452E8">
            <w:pPr>
              <w:rPr>
                <w:i/>
                <w:szCs w:val="22"/>
              </w:rPr>
            </w:pPr>
            <w:r w:rsidRPr="00BD5DBD">
              <w:rPr>
                <w:i/>
                <w:szCs w:val="22"/>
              </w:rPr>
              <w:lastRenderedPageBreak/>
              <w:t>Pregnancy category:</w:t>
            </w:r>
          </w:p>
        </w:tc>
        <w:tc>
          <w:tcPr>
            <w:tcW w:w="3423" w:type="pct"/>
          </w:tcPr>
          <w:p w14:paraId="4E87274F" w14:textId="5034EE12" w:rsidR="00324B33" w:rsidRDefault="00364B2B" w:rsidP="007452E8">
            <w:pPr>
              <w:rPr>
                <w:szCs w:val="22"/>
              </w:rPr>
            </w:pPr>
            <w:r>
              <w:rPr>
                <w:szCs w:val="22"/>
              </w:rPr>
              <w:t>B3</w:t>
            </w:r>
          </w:p>
          <w:p w14:paraId="0CDDF964" w14:textId="536897F6" w:rsidR="00364B2B" w:rsidRPr="00CB2F8C" w:rsidRDefault="00364B2B" w:rsidP="00364B2B">
            <w:pPr>
              <w:rPr>
                <w:szCs w:val="22"/>
              </w:rPr>
            </w:pPr>
            <w:r w:rsidRPr="00CB2F8C">
              <w:rPr>
                <w:szCs w:val="22"/>
              </w:rPr>
              <w:t xml:space="preserve">Drugs which have been taken by only a limited number of pregnant women and women of childbearing age, without an increase in the frequency of malformation or other direct or indirect harmful effects on the human </w:t>
            </w:r>
            <w:proofErr w:type="spellStart"/>
            <w:r w:rsidRPr="00CB2F8C">
              <w:rPr>
                <w:szCs w:val="22"/>
              </w:rPr>
              <w:t>fetus</w:t>
            </w:r>
            <w:proofErr w:type="spellEnd"/>
            <w:r w:rsidRPr="00CB2F8C">
              <w:rPr>
                <w:szCs w:val="22"/>
              </w:rPr>
              <w:t xml:space="preserve"> having been observed.</w:t>
            </w:r>
          </w:p>
          <w:p w14:paraId="5CA91BEF" w14:textId="3AB52C13" w:rsidR="00364B2B" w:rsidRPr="00CB2F8C" w:rsidRDefault="00364B2B" w:rsidP="00364B2B">
            <w:pPr>
              <w:rPr>
                <w:szCs w:val="22"/>
              </w:rPr>
            </w:pPr>
            <w:r w:rsidRPr="00CB2F8C">
              <w:rPr>
                <w:szCs w:val="22"/>
              </w:rPr>
              <w:t>Studies in animals have shown evidence of an increased occurrence of fetal damage, the significance of which is considered uncertain in humans.</w:t>
            </w:r>
          </w:p>
          <w:p w14:paraId="5E2AA3D6" w14:textId="35CE9815" w:rsidR="00324B33" w:rsidRPr="00BD5DBD" w:rsidRDefault="00324B33" w:rsidP="007452E8">
            <w:pPr>
              <w:rPr>
                <w:szCs w:val="22"/>
              </w:rPr>
            </w:pPr>
            <w:r w:rsidRPr="00CB2F8C">
              <w:rPr>
                <w:szCs w:val="22"/>
              </w:rP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51F2479F" w14:textId="77777777" w:rsidR="00324B33" w:rsidRDefault="00324B33" w:rsidP="00324B33">
      <w:pPr>
        <w:pStyle w:val="Heading3"/>
      </w:pPr>
      <w:bookmarkStart w:id="11" w:name="_Toc247691503"/>
      <w:bookmarkStart w:id="12" w:name="_Toc314842484"/>
      <w:bookmarkStart w:id="13" w:name="_Toc103679290"/>
      <w:bookmarkStart w:id="14" w:name="_Toc144127389"/>
      <w:r>
        <w:t>Product background</w:t>
      </w:r>
      <w:bookmarkEnd w:id="11"/>
      <w:bookmarkEnd w:id="12"/>
      <w:bookmarkEnd w:id="13"/>
      <w:bookmarkEnd w:id="14"/>
    </w:p>
    <w:p w14:paraId="56B27CF2" w14:textId="2BE31116" w:rsidR="00324B33" w:rsidRPr="00BD5DBD" w:rsidRDefault="00324B33" w:rsidP="00324B33">
      <w:pPr>
        <w:rPr>
          <w:szCs w:val="22"/>
        </w:rPr>
      </w:pPr>
      <w:r w:rsidRPr="00BD5DBD">
        <w:rPr>
          <w:szCs w:val="22"/>
        </w:rPr>
        <w:t xml:space="preserve">This AusPAR describes the submission by </w:t>
      </w:r>
      <w:r w:rsidR="00364B2B" w:rsidRPr="00364B2B">
        <w:t>Generic Health Pty Ltd</w:t>
      </w:r>
      <w:r w:rsidRPr="00BD5DBD">
        <w:rPr>
          <w:szCs w:val="22"/>
        </w:rPr>
        <w:t xml:space="preserve"> (the sponsor) to register </w:t>
      </w:r>
      <w:r w:rsidR="00364B2B" w:rsidRPr="00364B2B">
        <w:t>Teriparatide Lupin</w:t>
      </w:r>
      <w:r w:rsidR="00364B2B">
        <w:t>/</w:t>
      </w:r>
      <w:r w:rsidR="00364B2B" w:rsidRPr="00364B2B">
        <w:t>Teriparatide LAPL</w:t>
      </w:r>
      <w:r w:rsidR="00364B2B">
        <w:t>/</w:t>
      </w:r>
      <w:r w:rsidR="00364B2B" w:rsidRPr="00364B2B">
        <w:t xml:space="preserve">Teriparatide GH </w:t>
      </w:r>
      <w:r w:rsidR="00364B2B">
        <w:t>(t</w:t>
      </w:r>
      <w:r w:rsidR="00364B2B" w:rsidRPr="00364B2B">
        <w:t>eriparatide</w:t>
      </w:r>
      <w:r w:rsidRPr="00BD5DBD">
        <w:rPr>
          <w:szCs w:val="22"/>
        </w:rPr>
        <w:t xml:space="preserve">) </w:t>
      </w:r>
      <w:r w:rsidR="00364B2B">
        <w:rPr>
          <w:szCs w:val="22"/>
        </w:rPr>
        <w:t>250µg/mL</w:t>
      </w:r>
      <w:r w:rsidRPr="00BD5DBD">
        <w:rPr>
          <w:szCs w:val="22"/>
        </w:rPr>
        <w:t xml:space="preserve">, </w:t>
      </w:r>
      <w:r w:rsidR="00364B2B">
        <w:rPr>
          <w:szCs w:val="22"/>
        </w:rPr>
        <w:t>solution for injection</w:t>
      </w:r>
      <w:r w:rsidR="00D62877" w:rsidRPr="00BD5DBD">
        <w:rPr>
          <w:szCs w:val="22"/>
        </w:rPr>
        <w:t xml:space="preserve">, </w:t>
      </w:r>
      <w:r w:rsidR="00364B2B">
        <w:rPr>
          <w:szCs w:val="22"/>
        </w:rPr>
        <w:t>pre-filled cartridge</w:t>
      </w:r>
      <w:r w:rsidRPr="00BD5DBD">
        <w:rPr>
          <w:szCs w:val="22"/>
        </w:rPr>
        <w:t xml:space="preserve"> for the following proposed indication:</w:t>
      </w:r>
      <w:r w:rsidR="00D63760" w:rsidRPr="00BD5DBD">
        <w:rPr>
          <w:rStyle w:val="FootnoteReference"/>
          <w:szCs w:val="22"/>
        </w:rPr>
        <w:footnoteReference w:id="1"/>
      </w:r>
    </w:p>
    <w:p w14:paraId="1598EA62" w14:textId="3E9E6CA5" w:rsidR="00A82D73" w:rsidRPr="00A82D73" w:rsidRDefault="00A82D73" w:rsidP="00A82D73">
      <w:pPr>
        <w:ind w:left="720"/>
        <w:rPr>
          <w:i/>
          <w:iCs/>
        </w:rPr>
      </w:pPr>
      <w:r w:rsidRPr="00A82D73">
        <w:rPr>
          <w:i/>
          <w:iCs/>
        </w:rPr>
        <w:t>Teriparatide Lupin/Teriparatide LAPL/Teriparatide GH is indicated for the treatment of osteoporosis in postmenopausal women and the treatment of primary osteoporosis in men when other agents are considered unsuitable and when there is a high risk of fractures.</w:t>
      </w:r>
    </w:p>
    <w:p w14:paraId="23D8ED73" w14:textId="41BD8D52" w:rsidR="00324B33" w:rsidRPr="001D111E" w:rsidRDefault="00A82D73" w:rsidP="00A82D73">
      <w:pPr>
        <w:ind w:left="720"/>
        <w:rPr>
          <w:i/>
          <w:color w:val="007099"/>
        </w:rPr>
      </w:pPr>
      <w:r w:rsidRPr="00A82D73">
        <w:rPr>
          <w:i/>
          <w:iCs/>
        </w:rPr>
        <w:t>Teriparatide Lupin/Teriparatide LAPL/Teriparatide GH is indicated for the treatment of osteoporosis associated with sustained systemic glucocorticoid therapy in women and men at high risk for fracture.</w:t>
      </w:r>
    </w:p>
    <w:p w14:paraId="22C6435B" w14:textId="36F56C79" w:rsidR="00A82D73" w:rsidRDefault="009F1E1A" w:rsidP="00A82D73">
      <w:r w:rsidRPr="00364B2B">
        <w:t>Teriparatide Lupin</w:t>
      </w:r>
      <w:r>
        <w:t xml:space="preserve"> </w:t>
      </w:r>
      <w:r w:rsidR="00A82D73">
        <w:t xml:space="preserve">has been developed as a generic of </w:t>
      </w:r>
      <w:proofErr w:type="spellStart"/>
      <w:r w:rsidR="00A82D73">
        <w:t>F</w:t>
      </w:r>
      <w:r>
        <w:t>orteo</w:t>
      </w:r>
      <w:proofErr w:type="spellEnd"/>
      <w:r>
        <w:t xml:space="preserve"> </w:t>
      </w:r>
      <w:r w:rsidR="00A82D73">
        <w:t xml:space="preserve">by Eli Lilly. Teriparatide, is a form of parathyroid hormone (PTH) consisting of the first (N-terminus) 34 amino acids, which is the bioactive portion of the hormone. </w:t>
      </w:r>
      <w:proofErr w:type="spellStart"/>
      <w:r w:rsidR="00A82D73" w:rsidRPr="005C6ED7">
        <w:t>F</w:t>
      </w:r>
      <w:r w:rsidRPr="005C6ED7">
        <w:t>orteo</w:t>
      </w:r>
      <w:proofErr w:type="spellEnd"/>
      <w:r w:rsidR="00A82D73" w:rsidRPr="005C6ED7">
        <w:t xml:space="preserve"> is a biological product in which the active ingredient is </w:t>
      </w:r>
      <w:r w:rsidR="00A82D73" w:rsidRPr="005C6ED7">
        <w:lastRenderedPageBreak/>
        <w:t xml:space="preserve">produced by recombinant </w:t>
      </w:r>
      <w:r w:rsidR="006D0630" w:rsidRPr="005C6ED7">
        <w:t>deoxyribonucleic acid (</w:t>
      </w:r>
      <w:r w:rsidR="00A82D73" w:rsidRPr="005C6ED7">
        <w:t>DNA</w:t>
      </w:r>
      <w:r w:rsidR="006D0630" w:rsidRPr="005C6ED7">
        <w:t>)</w:t>
      </w:r>
      <w:r w:rsidR="00A82D73" w:rsidRPr="005C6ED7">
        <w:t xml:space="preserve"> technology in </w:t>
      </w:r>
      <w:r w:rsidR="006D0630" w:rsidRPr="005C6ED7">
        <w:rPr>
          <w:i/>
          <w:iCs/>
        </w:rPr>
        <w:t>Escherichia coli</w:t>
      </w:r>
      <w:r w:rsidR="00A82D73" w:rsidRPr="005C6ED7">
        <w:t>.</w:t>
      </w:r>
      <w:r w:rsidR="00A82D73" w:rsidRPr="00DC7FDE">
        <w:t xml:space="preserve"> </w:t>
      </w:r>
      <w:r w:rsidR="00A82D73">
        <w:t>Teriparatide lupin, as presented in this submission, is of synthetic origin.</w:t>
      </w:r>
    </w:p>
    <w:p w14:paraId="2B12CECE" w14:textId="77777777" w:rsidR="00A82D73" w:rsidRDefault="00A82D73" w:rsidP="00A82D73">
      <w:r>
        <w:t>The active ingredient and product formulation are the same as for the reference product.</w:t>
      </w:r>
    </w:p>
    <w:p w14:paraId="0B947906" w14:textId="222AF98C" w:rsidR="00A82D73" w:rsidRDefault="00A82D73" w:rsidP="00A82D73">
      <w:r>
        <w:t xml:space="preserve">The proposed indication, patient groups and dosing </w:t>
      </w:r>
      <w:r w:rsidR="00B62F78">
        <w:t>regimen</w:t>
      </w:r>
      <w:r>
        <w:t xml:space="preserve"> are identical to that of the reference product, </w:t>
      </w:r>
      <w:r w:rsidR="009F1E1A">
        <w:t>that is</w:t>
      </w:r>
      <w:r>
        <w:t xml:space="preserve"> daily 20 </w:t>
      </w:r>
      <w:r w:rsidR="009F1E1A">
        <w:t>µ</w:t>
      </w:r>
      <w:r>
        <w:t xml:space="preserve">g </w:t>
      </w:r>
      <w:r w:rsidR="009F1E1A">
        <w:t xml:space="preserve">subcutaneous </w:t>
      </w:r>
      <w:r>
        <w:t>injections for up to 24 months for the treatment of:</w:t>
      </w:r>
    </w:p>
    <w:p w14:paraId="59F399E5" w14:textId="7E2AA2C7" w:rsidR="00A82D73" w:rsidRPr="009F1E1A" w:rsidRDefault="00A82D73" w:rsidP="009F1E1A">
      <w:pPr>
        <w:pStyle w:val="ListBullet"/>
      </w:pPr>
      <w:r w:rsidRPr="009F1E1A">
        <w:t>osteoporosis in postmenopausal women and the treatment of primary osteoporosis in men when other agents are considered unsuitable and when there is a high risk of fractures.</w:t>
      </w:r>
    </w:p>
    <w:p w14:paraId="7163C14D" w14:textId="3932D53C" w:rsidR="00A82D73" w:rsidRPr="009F1E1A" w:rsidRDefault="00A82D73" w:rsidP="009F1E1A">
      <w:pPr>
        <w:pStyle w:val="ListBullet"/>
      </w:pPr>
      <w:r w:rsidRPr="009F1E1A">
        <w:t>osteoporosis associated with sustained systemic glucocorticoid therapy in women and men at high risk for fracture.</w:t>
      </w:r>
    </w:p>
    <w:p w14:paraId="1AFBA262" w14:textId="49151501" w:rsidR="00A82D73" w:rsidRDefault="00A82D73" w:rsidP="00A82D73">
      <w:r>
        <w:t xml:space="preserve">As </w:t>
      </w:r>
      <w:r w:rsidR="009F1E1A" w:rsidRPr="00364B2B">
        <w:t>Teriparatide Lupin</w:t>
      </w:r>
      <w:r w:rsidR="009F1E1A">
        <w:t>/</w:t>
      </w:r>
      <w:r w:rsidR="009F1E1A" w:rsidRPr="00364B2B">
        <w:t>Teriparatide LAPL</w:t>
      </w:r>
      <w:r w:rsidR="009F1E1A">
        <w:t>/</w:t>
      </w:r>
      <w:r w:rsidR="009F1E1A" w:rsidRPr="00364B2B">
        <w:t xml:space="preserve">Teriparatide GH </w:t>
      </w:r>
      <w:r>
        <w:t>does not fulfill the requirements for consideration as a biosimilar or a generic medicine it is being considered as a new chemical entity.</w:t>
      </w:r>
    </w:p>
    <w:p w14:paraId="59D26F13" w14:textId="0E216005" w:rsidR="00A82D73" w:rsidRDefault="00A82D73" w:rsidP="00A82D73">
      <w:r>
        <w:t xml:space="preserve">The following </w:t>
      </w:r>
      <w:r w:rsidR="006D0630" w:rsidRPr="006D0630">
        <w:t>United States</w:t>
      </w:r>
      <w:r w:rsidR="006D0630">
        <w:t xml:space="preserve"> (US)</w:t>
      </w:r>
      <w:r w:rsidR="006D0630" w:rsidRPr="006D0630">
        <w:t xml:space="preserve"> Food and Drug Administration </w:t>
      </w:r>
      <w:r w:rsidR="006D0630">
        <w:t>(FDA) g</w:t>
      </w:r>
      <w:r>
        <w:t>uidance is relevant to this application:</w:t>
      </w:r>
      <w:bookmarkStart w:id="15" w:name="_Ref144126551"/>
      <w:r w:rsidR="006D0630">
        <w:rPr>
          <w:rStyle w:val="FootnoteReference"/>
        </w:rPr>
        <w:footnoteReference w:id="2"/>
      </w:r>
      <w:bookmarkEnd w:id="15"/>
    </w:p>
    <w:p w14:paraId="77415E05" w14:textId="7054AB95" w:rsidR="00A82D73" w:rsidRDefault="009F1E1A" w:rsidP="009F1E1A">
      <w:pPr>
        <w:ind w:left="720"/>
      </w:pPr>
      <w:r>
        <w:t>‘</w:t>
      </w:r>
      <w:r w:rsidR="00A82D73">
        <w:t xml:space="preserve">This guidance is intended to assist potential applicants in determining when an application for a synthetic peptide drug product (synthetic peptide) that refers to a previously approved peptide drug product of recombinant deoxyribonucleic acid (rDNA) origin (peptide of rDNA origin) should be submitted as an abbreviated new drug application (ANDA) under section 505(j) of the Federal Food, Drug, and Cosmetic Act (FD&amp;C Act) rather than as a new drug application (NDA) under section 505(b) of the FD&amp;C Act.2 Specifically, this guidance provides recommendations for evaluating whether an ANDA submission is appropriate for a synthetic peptide that references any of the following five previously approved peptide drug products of rDNA origin: glucagon, liraglutide, </w:t>
      </w:r>
      <w:proofErr w:type="spellStart"/>
      <w:r w:rsidR="00A82D73">
        <w:t>nesiritide</w:t>
      </w:r>
      <w:proofErr w:type="spellEnd"/>
      <w:r w:rsidR="00A82D73">
        <w:t>, teriparatide, and teduglutide.</w:t>
      </w:r>
    </w:p>
    <w:p w14:paraId="48F19D57" w14:textId="5A4E99E8" w:rsidR="00A82D73" w:rsidRPr="000A4A42" w:rsidRDefault="00A82D73" w:rsidP="009F1E1A">
      <w:pPr>
        <w:ind w:left="720"/>
      </w:pPr>
      <w:r>
        <w:t>Given the current state of technology for peptide synthesis and characteri</w:t>
      </w:r>
      <w:r w:rsidR="009F1E1A">
        <w:t>s</w:t>
      </w:r>
      <w:r>
        <w:t xml:space="preserve">ation, FDA believes it is now possible for an ANDA applicant to demonstrate that the active ingredient in a proposed generic synthetic peptide drug product (proposed generic synthetic peptide) is the </w:t>
      </w:r>
      <w:r w:rsidR="009F1E1A">
        <w:t>‘</w:t>
      </w:r>
      <w:r>
        <w:t>same</w:t>
      </w:r>
      <w:r w:rsidR="009F1E1A">
        <w:t>’</w:t>
      </w:r>
      <w:r>
        <w:t xml:space="preserve"> as the active ingredient in a previously approved peptide of rDNA origin. For a synthetic peptide that is intended to be a </w:t>
      </w:r>
      <w:r w:rsidR="009F1E1A">
        <w:t>‘</w:t>
      </w:r>
      <w:r>
        <w:t>duplicate</w:t>
      </w:r>
      <w:r w:rsidR="009F1E1A">
        <w:t>’</w:t>
      </w:r>
      <w:r>
        <w:t xml:space="preserve"> of a previously approved peptide of rDNA origin, a determination of whether an application for the synthetic peptide should be submitted as an</w:t>
      </w:r>
      <w:r w:rsidR="009F1E1A">
        <w:t xml:space="preserve"> </w:t>
      </w:r>
      <w:r>
        <w:t>ANDA depends largely on its impurity profile as compared to the impurity profile for the peptide of rDNA origin. Differences in impurities, particularly peptide-related impurities, may affect the safety or effectiveness of a peptide drug product as compared to the RLD.</w:t>
      </w:r>
      <w:r w:rsidR="009F1E1A">
        <w:t>’</w:t>
      </w:r>
    </w:p>
    <w:p w14:paraId="0442AFDD" w14:textId="547403D6" w:rsidR="00324B33" w:rsidRPr="00BD5DBD" w:rsidRDefault="00324B33" w:rsidP="00324B33">
      <w:pPr>
        <w:rPr>
          <w:szCs w:val="22"/>
        </w:rPr>
      </w:pPr>
      <w:bookmarkStart w:id="16" w:name="_Toc314842485"/>
      <w:bookmarkStart w:id="17" w:name="_Toc247691504"/>
      <w:r w:rsidRPr="00BD5DBD">
        <w:rPr>
          <w:szCs w:val="22"/>
        </w:rPr>
        <w:t xml:space="preserve">This submission was submitted through the TGA’s </w:t>
      </w:r>
      <w:hyperlink r:id="rId16" w:history="1">
        <w:r w:rsidRPr="00BD5DBD">
          <w:rPr>
            <w:rStyle w:val="Hyperlink"/>
            <w:szCs w:val="22"/>
          </w:rPr>
          <w:t>Comparable Overseas Regulator</w:t>
        </w:r>
      </w:hyperlink>
      <w:r w:rsidRPr="00BD5DBD">
        <w:rPr>
          <w:szCs w:val="22"/>
        </w:rPr>
        <w:t xml:space="preserve"> </w:t>
      </w:r>
      <w:r w:rsidR="006A717E">
        <w:rPr>
          <w:szCs w:val="22"/>
        </w:rPr>
        <w:t>B</w:t>
      </w:r>
      <w:r w:rsidRPr="00BD5DBD">
        <w:rPr>
          <w:szCs w:val="22"/>
        </w:rPr>
        <w:t xml:space="preserve"> (COR-</w:t>
      </w:r>
      <w:r w:rsidR="006A717E">
        <w:rPr>
          <w:szCs w:val="22"/>
        </w:rPr>
        <w:t>B</w:t>
      </w:r>
      <w:r w:rsidRPr="00BD5DBD">
        <w:rPr>
          <w:szCs w:val="22"/>
        </w:rPr>
        <w:t xml:space="preserve">) process, using evaluation reports from </w:t>
      </w:r>
      <w:r w:rsidR="006A717E">
        <w:rPr>
          <w:szCs w:val="22"/>
        </w:rPr>
        <w:t xml:space="preserve">European Medicine </w:t>
      </w:r>
      <w:r w:rsidR="006A717E" w:rsidRPr="006A717E">
        <w:rPr>
          <w:szCs w:val="22"/>
        </w:rPr>
        <w:t>Agency (</w:t>
      </w:r>
      <w:r w:rsidR="00A82D73" w:rsidRPr="006A717E">
        <w:rPr>
          <w:iCs/>
          <w:szCs w:val="22"/>
        </w:rPr>
        <w:t>EMA</w:t>
      </w:r>
      <w:r w:rsidR="006A717E" w:rsidRPr="006A717E">
        <w:rPr>
          <w:iCs/>
          <w:szCs w:val="22"/>
        </w:rPr>
        <w:t>)</w:t>
      </w:r>
      <w:r w:rsidRPr="006A717E">
        <w:rPr>
          <w:iCs/>
          <w:szCs w:val="22"/>
        </w:rPr>
        <w:t xml:space="preserve">. </w:t>
      </w:r>
      <w:r w:rsidRPr="00BD5DBD">
        <w:rPr>
          <w:szCs w:val="22"/>
        </w:rPr>
        <w:t>The full dossier was submitted to the TGA.</w:t>
      </w:r>
    </w:p>
    <w:p w14:paraId="0D615854" w14:textId="77777777" w:rsidR="00324B33" w:rsidRPr="003F31A2" w:rsidRDefault="00324B33" w:rsidP="00324B33">
      <w:pPr>
        <w:pStyle w:val="Heading3"/>
      </w:pPr>
      <w:bookmarkStart w:id="18" w:name="_Toc103679291"/>
      <w:bookmarkStart w:id="19" w:name="_Toc144127390"/>
      <w:r>
        <w:t>Regulatory status</w:t>
      </w:r>
      <w:bookmarkEnd w:id="16"/>
      <w:bookmarkEnd w:id="17"/>
      <w:bookmarkEnd w:id="18"/>
      <w:bookmarkEnd w:id="19"/>
    </w:p>
    <w:p w14:paraId="6A8633FA" w14:textId="29DC1D8D" w:rsidR="00324B33" w:rsidRPr="00BD5DBD" w:rsidRDefault="00324B33" w:rsidP="00324B33">
      <w:pPr>
        <w:rPr>
          <w:szCs w:val="22"/>
        </w:rPr>
      </w:pPr>
      <w:r w:rsidRPr="00BD5DBD">
        <w:rPr>
          <w:szCs w:val="22"/>
        </w:rPr>
        <w:t>This product is considered a new chemical</w:t>
      </w:r>
      <w:r w:rsidR="008C754C" w:rsidRPr="00BD5DBD">
        <w:rPr>
          <w:szCs w:val="22"/>
        </w:rPr>
        <w:t xml:space="preserve"> entity</w:t>
      </w:r>
      <w:r w:rsidRPr="00BD5DBD">
        <w:rPr>
          <w:szCs w:val="22"/>
        </w:rPr>
        <w:t xml:space="preserve"> medicine for Australian regulatory purposes.</w:t>
      </w:r>
    </w:p>
    <w:p w14:paraId="715B7D2A" w14:textId="6EA33C25" w:rsidR="00324B33" w:rsidRPr="00BD5DBD" w:rsidRDefault="00324B33" w:rsidP="00324B33">
      <w:pPr>
        <w:rPr>
          <w:szCs w:val="22"/>
        </w:rPr>
      </w:pPr>
      <w:r w:rsidRPr="00BD5DBD">
        <w:rPr>
          <w:szCs w:val="22"/>
        </w:rPr>
        <w:lastRenderedPageBreak/>
        <w:t xml:space="preserve">At the time the TGA considered this submission, a similar submission had been approved in </w:t>
      </w:r>
      <w:r w:rsidR="00384C6E">
        <w:rPr>
          <w:szCs w:val="22"/>
        </w:rPr>
        <w:t xml:space="preserve">European Union (EU) </w:t>
      </w:r>
      <w:r w:rsidRPr="00BD5DBD">
        <w:rPr>
          <w:szCs w:val="22"/>
        </w:rPr>
        <w:t xml:space="preserve">on </w:t>
      </w:r>
      <w:r w:rsidR="00384C6E">
        <w:rPr>
          <w:szCs w:val="22"/>
        </w:rPr>
        <w:t>11 August 2020, New Zealand on 9 December 2021, United Kingdom on 26 May 2022 and Switzerland on 9 June 2022</w:t>
      </w:r>
      <w:r w:rsidRPr="00BD5DBD">
        <w:rPr>
          <w:szCs w:val="22"/>
        </w:rPr>
        <w:t>.</w:t>
      </w:r>
    </w:p>
    <w:p w14:paraId="064CCADF" w14:textId="77777777" w:rsidR="00324B33" w:rsidRDefault="00324B33" w:rsidP="00324B33">
      <w:pPr>
        <w:pStyle w:val="Heading3"/>
      </w:pPr>
      <w:bookmarkStart w:id="20" w:name="_Toc103679292"/>
      <w:bookmarkStart w:id="21" w:name="_Toc144127391"/>
      <w:r>
        <w:t>Product Information</w:t>
      </w:r>
      <w:bookmarkEnd w:id="20"/>
      <w:bookmarkEnd w:id="21"/>
    </w:p>
    <w:p w14:paraId="4B0F7D57" w14:textId="4B0E6588" w:rsidR="00324B33" w:rsidRPr="00BD5DBD" w:rsidRDefault="00324B33" w:rsidP="00324B33">
      <w:pPr>
        <w:rPr>
          <w:szCs w:val="22"/>
        </w:rPr>
      </w:pPr>
      <w:bookmarkStart w:id="22" w:name="_Toc504480011"/>
      <w:r w:rsidRPr="00BD5DBD">
        <w:rPr>
          <w:szCs w:val="22"/>
        </w:rPr>
        <w:t xml:space="preserve">The </w:t>
      </w:r>
      <w:hyperlink r:id="rId17" w:history="1">
        <w:r w:rsidRPr="00BD5DBD">
          <w:rPr>
            <w:rStyle w:val="Hyperlink"/>
            <w:szCs w:val="22"/>
          </w:rPr>
          <w:t>Product Information</w:t>
        </w:r>
      </w:hyperlink>
      <w:r w:rsidRPr="00BD5DBD">
        <w:rPr>
          <w:szCs w:val="22"/>
        </w:rPr>
        <w:t xml:space="preserve"> (</w:t>
      </w:r>
      <w:hyperlink r:id="rId18" w:history="1">
        <w:r w:rsidRPr="00BD5DBD">
          <w:rPr>
            <w:rStyle w:val="Hyperlink"/>
            <w:szCs w:val="22"/>
          </w:rPr>
          <w:t>PI</w:t>
        </w:r>
      </w:hyperlink>
      <w:r w:rsidRPr="00BD5DBD">
        <w:rPr>
          <w:szCs w:val="22"/>
        </w:rPr>
        <w:t>) approved with the submission which is described in this AusPAR can be found as Attachment 1. For the most recent PI</w:t>
      </w:r>
      <w:r w:rsidR="00A93DC6" w:rsidRPr="00BD5DBD">
        <w:rPr>
          <w:szCs w:val="22"/>
        </w:rPr>
        <w:t xml:space="preserve"> and </w:t>
      </w:r>
      <w:hyperlink r:id="rId19" w:history="1">
        <w:r w:rsidR="00A93DC6" w:rsidRPr="00BD5DBD">
          <w:rPr>
            <w:rStyle w:val="Hyperlink"/>
            <w:szCs w:val="22"/>
          </w:rPr>
          <w:t>Consumer Medicines Information</w:t>
        </w:r>
      </w:hyperlink>
      <w:r w:rsidR="00A93DC6" w:rsidRPr="00BD5DBD">
        <w:rPr>
          <w:szCs w:val="22"/>
        </w:rPr>
        <w:t xml:space="preserve"> (CMI)</w:t>
      </w:r>
      <w:r w:rsidRPr="00BD5DBD">
        <w:rPr>
          <w:szCs w:val="22"/>
        </w:rPr>
        <w:t xml:space="preserve">, please refer to the TGA </w:t>
      </w:r>
      <w:hyperlink r:id="rId20" w:history="1">
        <w:r w:rsidRPr="00BD5DBD">
          <w:rPr>
            <w:rStyle w:val="Hyperlink"/>
            <w:szCs w:val="22"/>
          </w:rPr>
          <w:t>PI/CMI search facility.</w:t>
        </w:r>
      </w:hyperlink>
    </w:p>
    <w:p w14:paraId="6D92589C" w14:textId="77777777" w:rsidR="00324B33" w:rsidRDefault="00324B33" w:rsidP="00324B33">
      <w:pPr>
        <w:pStyle w:val="Heading2"/>
      </w:pPr>
      <w:bookmarkStart w:id="23" w:name="_Toc103679293"/>
      <w:bookmarkStart w:id="24" w:name="_Toc144127392"/>
      <w:r>
        <w:t>Registration timeline</w:t>
      </w:r>
      <w:bookmarkEnd w:id="22"/>
      <w:bookmarkEnd w:id="23"/>
      <w:bookmarkEnd w:id="24"/>
    </w:p>
    <w:p w14:paraId="225E3D87" w14:textId="1F3070CE" w:rsidR="00324B33" w:rsidRPr="00BD5DBD" w:rsidRDefault="00324B33" w:rsidP="00324B33">
      <w:pPr>
        <w:rPr>
          <w:szCs w:val="22"/>
        </w:rPr>
      </w:pPr>
      <w:r w:rsidRPr="00BD5DBD">
        <w:rPr>
          <w:szCs w:val="22"/>
        </w:rPr>
        <w:t>The following table captures the key steps and dates for this submission.</w:t>
      </w:r>
    </w:p>
    <w:p w14:paraId="6BB76942" w14:textId="4CA11764" w:rsidR="00477C4E" w:rsidRPr="00BD5DBD" w:rsidRDefault="00477C4E" w:rsidP="00324B33">
      <w:pPr>
        <w:rPr>
          <w:szCs w:val="22"/>
        </w:rPr>
      </w:pPr>
      <w:r w:rsidRPr="00BD5DBD">
        <w:rPr>
          <w:szCs w:val="22"/>
        </w:rPr>
        <w:t xml:space="preserve">This submission was evaluated under the </w:t>
      </w:r>
      <w:hyperlink r:id="rId21" w:history="1">
        <w:r w:rsidRPr="00BD5DBD">
          <w:rPr>
            <w:rStyle w:val="Hyperlink"/>
            <w:szCs w:val="22"/>
          </w:rPr>
          <w:t>standard prescription medicines registration process</w:t>
        </w:r>
      </w:hyperlink>
      <w:r w:rsidRPr="00BD5DBD">
        <w:rPr>
          <w:szCs w:val="22"/>
        </w:rPr>
        <w:t>.</w:t>
      </w:r>
    </w:p>
    <w:p w14:paraId="44628C5F" w14:textId="610BA4E5" w:rsidR="00324B33" w:rsidRDefault="00324B33" w:rsidP="0013528C">
      <w:pPr>
        <w:pStyle w:val="TableTitle"/>
      </w:pPr>
      <w:r>
        <w:t xml:space="preserve">Table </w:t>
      </w:r>
      <w:r w:rsidR="0013528C">
        <w:fldChar w:fldCharType="begin"/>
      </w:r>
      <w:r w:rsidR="0013528C">
        <w:rPr>
          <w:b w:val="0"/>
        </w:rPr>
        <w:instrText xml:space="preserve"> SEQ Table \* ARABIC </w:instrText>
      </w:r>
      <w:r w:rsidR="0013528C">
        <w:fldChar w:fldCharType="separate"/>
      </w:r>
      <w:r w:rsidR="008468D4">
        <w:rPr>
          <w:b w:val="0"/>
          <w:noProof/>
        </w:rPr>
        <w:t>1</w:t>
      </w:r>
      <w:r w:rsidR="0013528C">
        <w:rPr>
          <w:noProof/>
        </w:rPr>
        <w:fldChar w:fldCharType="end"/>
      </w:r>
      <w:r>
        <w:t>:</w:t>
      </w:r>
      <w:r w:rsidRPr="006A58A8">
        <w:t xml:space="preserve"> Timeline for Submission PM-20</w:t>
      </w:r>
      <w:r>
        <w:t>2</w:t>
      </w:r>
      <w:r w:rsidR="00E93D82">
        <w:t>1</w:t>
      </w:r>
      <w:r w:rsidRPr="006A58A8">
        <w:t>-</w:t>
      </w:r>
      <w:r w:rsidR="00E93D82">
        <w:t>03753</w:t>
      </w:r>
      <w:r w:rsidRPr="006A58A8">
        <w:t>-1-</w:t>
      </w:r>
      <w:r w:rsidR="00E93D82">
        <w:t>5</w:t>
      </w:r>
    </w:p>
    <w:tbl>
      <w:tblPr>
        <w:tblStyle w:val="TableTGAblue2023"/>
        <w:tblW w:w="8642" w:type="dxa"/>
        <w:tblLook w:val="04A0" w:firstRow="1" w:lastRow="0" w:firstColumn="1" w:lastColumn="0" w:noHBand="0" w:noVBand="1"/>
      </w:tblPr>
      <w:tblGrid>
        <w:gridCol w:w="6232"/>
        <w:gridCol w:w="2410"/>
      </w:tblGrid>
      <w:tr w:rsidR="00324B33" w:rsidRPr="00D01DDB" w14:paraId="6C59BE9C" w14:textId="77777777" w:rsidTr="00A611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6D80E78" w14:textId="3EC0CCAF" w:rsidR="00324B33" w:rsidRPr="00D01DDB" w:rsidRDefault="00324B33" w:rsidP="00324B33">
            <w:pPr>
              <w:rPr>
                <w:szCs w:val="22"/>
              </w:rPr>
            </w:pPr>
            <w:r w:rsidRPr="00D01DDB">
              <w:rPr>
                <w:szCs w:val="22"/>
              </w:rPr>
              <w:t>Description</w:t>
            </w:r>
          </w:p>
        </w:tc>
        <w:tc>
          <w:tcPr>
            <w:tcW w:w="2410" w:type="dxa"/>
          </w:tcPr>
          <w:p w14:paraId="79AFDC4B" w14:textId="05792035" w:rsidR="00324B33" w:rsidRPr="00D01DDB" w:rsidRDefault="00324B33" w:rsidP="00324B33">
            <w:pPr>
              <w:cnfStyle w:val="100000000000" w:firstRow="1" w:lastRow="0" w:firstColumn="0" w:lastColumn="0" w:oddVBand="0" w:evenVBand="0" w:oddHBand="0" w:evenHBand="0" w:firstRowFirstColumn="0" w:firstRowLastColumn="0" w:lastRowFirstColumn="0" w:lastRowLastColumn="0"/>
              <w:rPr>
                <w:szCs w:val="22"/>
              </w:rPr>
            </w:pPr>
            <w:r w:rsidRPr="00D01DDB">
              <w:rPr>
                <w:szCs w:val="22"/>
              </w:rPr>
              <w:t>Date</w:t>
            </w:r>
          </w:p>
        </w:tc>
      </w:tr>
      <w:tr w:rsidR="00324B33" w:rsidRPr="00D01DDB" w14:paraId="23610C53"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759D2A12" w14:textId="0D705F83" w:rsidR="00324B33" w:rsidRPr="00D01DDB" w:rsidRDefault="00324B33" w:rsidP="00324B33">
            <w:pPr>
              <w:rPr>
                <w:szCs w:val="22"/>
              </w:rPr>
            </w:pPr>
            <w:r w:rsidRPr="00D01DDB">
              <w:rPr>
                <w:szCs w:val="22"/>
              </w:rPr>
              <w:t>Submission dossier accepted and first round evaluation commenced</w:t>
            </w:r>
          </w:p>
        </w:tc>
        <w:tc>
          <w:tcPr>
            <w:tcW w:w="2410" w:type="dxa"/>
          </w:tcPr>
          <w:p w14:paraId="2963D9D8" w14:textId="30789865"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 May 2022</w:t>
            </w:r>
          </w:p>
        </w:tc>
      </w:tr>
      <w:tr w:rsidR="00324B33" w:rsidRPr="00D01DDB" w14:paraId="53437815"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4C037D4E" w14:textId="2B0CE255" w:rsidR="00324B33" w:rsidRPr="00D01DDB" w:rsidRDefault="00324B33" w:rsidP="00324B33">
            <w:pPr>
              <w:rPr>
                <w:szCs w:val="22"/>
              </w:rPr>
            </w:pPr>
            <w:r w:rsidRPr="00D01DDB">
              <w:rPr>
                <w:szCs w:val="22"/>
              </w:rPr>
              <w:t>First round evaluation completed</w:t>
            </w:r>
          </w:p>
        </w:tc>
        <w:tc>
          <w:tcPr>
            <w:tcW w:w="2410" w:type="dxa"/>
          </w:tcPr>
          <w:p w14:paraId="3CEAFAAB" w14:textId="296F8F06"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26 July 2022</w:t>
            </w:r>
          </w:p>
        </w:tc>
      </w:tr>
      <w:tr w:rsidR="00324B33" w:rsidRPr="00D01DDB" w14:paraId="60DA57CC"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02EA1147" w14:textId="2853A422" w:rsidR="00324B33" w:rsidRPr="00D01DDB" w:rsidRDefault="00324B33" w:rsidP="00324B33">
            <w:pPr>
              <w:rPr>
                <w:szCs w:val="22"/>
              </w:rPr>
            </w:pPr>
            <w:r w:rsidRPr="00D01DDB">
              <w:rPr>
                <w:szCs w:val="22"/>
              </w:rPr>
              <w:t>Sponsor provides responses on questions raised in first round evaluation</w:t>
            </w:r>
          </w:p>
        </w:tc>
        <w:tc>
          <w:tcPr>
            <w:tcW w:w="2410" w:type="dxa"/>
          </w:tcPr>
          <w:p w14:paraId="68A577C1" w14:textId="2035F271" w:rsidR="00324B33" w:rsidRPr="00D01DDB" w:rsidRDefault="004C537E"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14 November 2022</w:t>
            </w:r>
          </w:p>
        </w:tc>
      </w:tr>
      <w:tr w:rsidR="00324B33" w:rsidRPr="00D01DDB" w14:paraId="767E33A4"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4AFC5B50" w14:textId="2BCC6A3E" w:rsidR="00324B33" w:rsidRPr="00D01DDB" w:rsidRDefault="00324B33" w:rsidP="00324B33">
            <w:pPr>
              <w:rPr>
                <w:szCs w:val="22"/>
              </w:rPr>
            </w:pPr>
            <w:r w:rsidRPr="00D01DDB">
              <w:rPr>
                <w:szCs w:val="22"/>
              </w:rPr>
              <w:t>Second round evaluation completed</w:t>
            </w:r>
          </w:p>
        </w:tc>
        <w:tc>
          <w:tcPr>
            <w:tcW w:w="2410" w:type="dxa"/>
          </w:tcPr>
          <w:p w14:paraId="4E47DF62" w14:textId="3030AF5E"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16 December 2022</w:t>
            </w:r>
          </w:p>
        </w:tc>
      </w:tr>
      <w:tr w:rsidR="00324B33" w:rsidRPr="00D01DDB" w14:paraId="302FCB45"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716E9DC1" w14:textId="1587D5FD" w:rsidR="00324B33" w:rsidRPr="00D01DDB" w:rsidRDefault="00324B33" w:rsidP="00324B33">
            <w:pPr>
              <w:rPr>
                <w:szCs w:val="22"/>
              </w:rPr>
            </w:pPr>
            <w:r w:rsidRPr="00D01DDB">
              <w:rPr>
                <w:szCs w:val="22"/>
              </w:rPr>
              <w:t>Delegate’s Overall benefit-risk assessment</w:t>
            </w:r>
          </w:p>
        </w:tc>
        <w:tc>
          <w:tcPr>
            <w:tcW w:w="2410" w:type="dxa"/>
          </w:tcPr>
          <w:p w14:paraId="3BA6EF79" w14:textId="64628178"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10 February 2023</w:t>
            </w:r>
          </w:p>
        </w:tc>
      </w:tr>
      <w:tr w:rsidR="00324B33" w:rsidRPr="00D01DDB" w14:paraId="5832EBC8"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720592DE" w14:textId="1F72CD22" w:rsidR="00324B33" w:rsidRPr="00D01DDB" w:rsidRDefault="00324B33" w:rsidP="00324B33">
            <w:pPr>
              <w:rPr>
                <w:szCs w:val="22"/>
              </w:rPr>
            </w:pPr>
            <w:r w:rsidRPr="00D01DDB">
              <w:rPr>
                <w:szCs w:val="22"/>
              </w:rPr>
              <w:t>Sponsor’s pre-Advisory Committee response</w:t>
            </w:r>
          </w:p>
        </w:tc>
        <w:tc>
          <w:tcPr>
            <w:tcW w:w="2410" w:type="dxa"/>
          </w:tcPr>
          <w:p w14:paraId="5AE04841" w14:textId="0848AC99"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324B33" w:rsidRPr="00D01DDB" w14:paraId="5754F7AC"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789DE187" w14:textId="123446EE" w:rsidR="00324B33" w:rsidRPr="00D01DDB" w:rsidRDefault="00324B33" w:rsidP="00324B33">
            <w:pPr>
              <w:rPr>
                <w:szCs w:val="22"/>
              </w:rPr>
            </w:pPr>
            <w:r w:rsidRPr="00D01DDB">
              <w:rPr>
                <w:szCs w:val="22"/>
              </w:rPr>
              <w:t>Advisory Committee meeting</w:t>
            </w:r>
          </w:p>
        </w:tc>
        <w:tc>
          <w:tcPr>
            <w:tcW w:w="2410" w:type="dxa"/>
          </w:tcPr>
          <w:p w14:paraId="5BE1EDE7" w14:textId="4B57639E"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Not applicable</w:t>
            </w:r>
          </w:p>
        </w:tc>
      </w:tr>
      <w:tr w:rsidR="00324B33" w:rsidRPr="00D01DDB" w14:paraId="6E5D32FE"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4E95C44C" w14:textId="7A91C710" w:rsidR="00324B33" w:rsidRPr="00D01DDB" w:rsidRDefault="00324B33" w:rsidP="00324B33">
            <w:pPr>
              <w:rPr>
                <w:szCs w:val="22"/>
              </w:rPr>
            </w:pPr>
            <w:r w:rsidRPr="00D01DDB">
              <w:rPr>
                <w:szCs w:val="22"/>
              </w:rPr>
              <w:t>Registration decision (Outcome)</w:t>
            </w:r>
          </w:p>
        </w:tc>
        <w:tc>
          <w:tcPr>
            <w:tcW w:w="2410" w:type="dxa"/>
          </w:tcPr>
          <w:p w14:paraId="62987ABD" w14:textId="48CE7CE4"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20 March 2023</w:t>
            </w:r>
          </w:p>
        </w:tc>
      </w:tr>
      <w:tr w:rsidR="00324B33" w:rsidRPr="00D01DDB" w14:paraId="6DDCDDA4"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192FD19D" w14:textId="7D5F96C5" w:rsidR="00324B33" w:rsidRPr="00D01DDB" w:rsidRDefault="0013132F" w:rsidP="00324B33">
            <w:pPr>
              <w:rPr>
                <w:szCs w:val="22"/>
              </w:rPr>
            </w:pPr>
            <w:r>
              <w:t>Administrative activities and registration on the ARTG completed</w:t>
            </w:r>
          </w:p>
        </w:tc>
        <w:tc>
          <w:tcPr>
            <w:tcW w:w="2410" w:type="dxa"/>
          </w:tcPr>
          <w:p w14:paraId="5A8923FD" w14:textId="36BFB402"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6 April 2023</w:t>
            </w:r>
          </w:p>
        </w:tc>
      </w:tr>
      <w:tr w:rsidR="00324B33" w:rsidRPr="00D01DDB" w14:paraId="56D922E2" w14:textId="77777777" w:rsidTr="00A61109">
        <w:tc>
          <w:tcPr>
            <w:cnfStyle w:val="001000000000" w:firstRow="0" w:lastRow="0" w:firstColumn="1" w:lastColumn="0" w:oddVBand="0" w:evenVBand="0" w:oddHBand="0" w:evenHBand="0" w:firstRowFirstColumn="0" w:firstRowLastColumn="0" w:lastRowFirstColumn="0" w:lastRowLastColumn="0"/>
            <w:tcW w:w="6232" w:type="dxa"/>
          </w:tcPr>
          <w:p w14:paraId="787FD8DD" w14:textId="0E0CF97F" w:rsidR="00324B33" w:rsidRPr="00D01DDB" w:rsidRDefault="00324B33" w:rsidP="00324B33">
            <w:pPr>
              <w:rPr>
                <w:szCs w:val="22"/>
              </w:rPr>
            </w:pPr>
            <w:r w:rsidRPr="00D01DDB">
              <w:rPr>
                <w:szCs w:val="22"/>
              </w:rPr>
              <w:t>Number of working days from submission dossier acceptance to registration decision*</w:t>
            </w:r>
          </w:p>
        </w:tc>
        <w:tc>
          <w:tcPr>
            <w:tcW w:w="2410" w:type="dxa"/>
          </w:tcPr>
          <w:p w14:paraId="5BAF9FA1" w14:textId="6732C416" w:rsidR="00324B33" w:rsidRPr="00D01DDB" w:rsidRDefault="00E93D82" w:rsidP="00324B33">
            <w:pPr>
              <w:cnfStyle w:val="000000000000" w:firstRow="0" w:lastRow="0" w:firstColumn="0" w:lastColumn="0" w:oddVBand="0" w:evenVBand="0" w:oddHBand="0" w:evenHBand="0" w:firstRowFirstColumn="0" w:firstRowLastColumn="0" w:lastRowFirstColumn="0" w:lastRowLastColumn="0"/>
              <w:rPr>
                <w:szCs w:val="22"/>
              </w:rPr>
            </w:pPr>
            <w:r>
              <w:rPr>
                <w:szCs w:val="22"/>
              </w:rPr>
              <w:t>171</w:t>
            </w:r>
          </w:p>
        </w:tc>
      </w:tr>
    </w:tbl>
    <w:p w14:paraId="046BE5D8" w14:textId="77777777" w:rsidR="006A717E" w:rsidRDefault="006A717E" w:rsidP="006A717E">
      <w:pPr>
        <w:pStyle w:val="TableDescription"/>
      </w:pPr>
      <w:bookmarkStart w:id="25" w:name="_Toc196046504"/>
      <w:bookmarkStart w:id="26" w:name="_Toc247691527"/>
      <w:bookmarkStart w:id="27" w:name="_Toc314842510"/>
      <w:bookmarkStart w:id="28" w:name="_Toc103679294"/>
      <w:r w:rsidRPr="00006FAB">
        <w:t>* The COR-B process has a 175 working day evaluation and decision timeframe.</w:t>
      </w:r>
    </w:p>
    <w:p w14:paraId="220925F1" w14:textId="77777777" w:rsidR="00C22214" w:rsidRPr="00792A32" w:rsidRDefault="00C22214" w:rsidP="00C22214">
      <w:pPr>
        <w:pStyle w:val="Heading2"/>
      </w:pPr>
      <w:bookmarkStart w:id="29" w:name="_Toc144127393"/>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5"/>
      <w:bookmarkEnd w:id="26"/>
      <w:bookmarkEnd w:id="27"/>
      <w:bookmarkEnd w:id="28"/>
      <w:bookmarkEnd w:id="29"/>
    </w:p>
    <w:p w14:paraId="73DAE48E" w14:textId="2D02DA5C" w:rsidR="00C22214" w:rsidRPr="002A7E96" w:rsidRDefault="00C22214" w:rsidP="002A7E96">
      <w:pPr>
        <w:rPr>
          <w:szCs w:val="22"/>
        </w:rPr>
      </w:pPr>
      <w:bookmarkStart w:id="30" w:name="_Toc247691528"/>
      <w:bookmarkStart w:id="31" w:name="_Toc314842511"/>
      <w:r w:rsidRPr="00BD5DBD">
        <w:rPr>
          <w:szCs w:val="22"/>
        </w:rPr>
        <w:t>This section is a TGA summary of wording used in TGA’s evaluation report, which discussed numerous aspects of overseas evaluation reports and included some information that was commercial-in-confidence.</w:t>
      </w:r>
    </w:p>
    <w:p w14:paraId="764CCADD" w14:textId="58A81FA2" w:rsidR="007072A1" w:rsidRDefault="007072A1" w:rsidP="00966EF1">
      <w:pPr>
        <w:rPr>
          <w:szCs w:val="22"/>
        </w:rPr>
      </w:pPr>
      <w:r w:rsidRPr="00BD5DBD">
        <w:rPr>
          <w:szCs w:val="22"/>
        </w:rPr>
        <w:t>The following guideline was referred to by the Delegate as being relevant to this submission:</w:t>
      </w:r>
    </w:p>
    <w:p w14:paraId="44D27752" w14:textId="260EB670" w:rsidR="00FD7E18" w:rsidRPr="00EA1575" w:rsidRDefault="00EA1575" w:rsidP="00EA1575">
      <w:pPr>
        <w:pStyle w:val="ListBullet"/>
      </w:pPr>
      <w:r>
        <w:lastRenderedPageBreak/>
        <w:t>Food and Drug Administration (</w:t>
      </w:r>
      <w:r w:rsidRPr="00EA1575">
        <w:t>FDA</w:t>
      </w:r>
      <w:r>
        <w:t>)</w:t>
      </w:r>
      <w:r w:rsidRPr="00EA1575">
        <w:t xml:space="preserve"> guidance: </w:t>
      </w:r>
      <w:r w:rsidR="00FD7E18" w:rsidRPr="00EA1575">
        <w:t>ANDAs for Certain Highly Purified Synthetic Peptide Drug Products That Refer to Listed Drugs of rDNA Origin Guidance for Industry, May 2021</w:t>
      </w:r>
      <w:r w:rsidR="003128CD">
        <w:t>;</w:t>
      </w:r>
      <w:r w:rsidR="003128CD">
        <w:fldChar w:fldCharType="begin"/>
      </w:r>
      <w:r w:rsidR="003128CD">
        <w:instrText xml:space="preserve"> NOTEREF _Ref144126551 \f \h </w:instrText>
      </w:r>
      <w:r w:rsidR="003128CD">
        <w:fldChar w:fldCharType="separate"/>
      </w:r>
      <w:r w:rsidR="008468D4" w:rsidRPr="008468D4">
        <w:rPr>
          <w:rStyle w:val="FootnoteReference"/>
        </w:rPr>
        <w:t>2</w:t>
      </w:r>
      <w:r w:rsidR="003128CD">
        <w:fldChar w:fldCharType="end"/>
      </w:r>
    </w:p>
    <w:p w14:paraId="37F5A1C0" w14:textId="77777777" w:rsidR="00C22214" w:rsidRDefault="00C22214" w:rsidP="00C22214">
      <w:pPr>
        <w:pStyle w:val="Heading3"/>
      </w:pPr>
      <w:bookmarkStart w:id="32" w:name="_Toc103679295"/>
      <w:bookmarkStart w:id="33" w:name="_Toc144127394"/>
      <w:r>
        <w:t>Quality</w:t>
      </w:r>
      <w:bookmarkEnd w:id="30"/>
      <w:bookmarkEnd w:id="31"/>
      <w:bookmarkEnd w:id="32"/>
      <w:bookmarkEnd w:id="33"/>
    </w:p>
    <w:p w14:paraId="3825A9C4" w14:textId="180938AC" w:rsidR="002A7E96" w:rsidRPr="002A7E96" w:rsidRDefault="002A7E96" w:rsidP="002A7E96">
      <w:r w:rsidRPr="002A7E96">
        <w:t xml:space="preserve">Generic Health Pty Ltd has applied to register 250 </w:t>
      </w:r>
      <w:r w:rsidR="00EA1575">
        <w:t>µg</w:t>
      </w:r>
      <w:r w:rsidRPr="002A7E96">
        <w:t xml:space="preserve">/mL teriparatide solution for injection under the trade name </w:t>
      </w:r>
      <w:r w:rsidR="00EA1575" w:rsidRPr="00364B2B">
        <w:t>Teriparatide Lupin</w:t>
      </w:r>
      <w:r w:rsidR="00EA1575">
        <w:t xml:space="preserve">, </w:t>
      </w:r>
      <w:r w:rsidR="00EA1575" w:rsidRPr="00364B2B">
        <w:t>Teriparatide LAPL</w:t>
      </w:r>
      <w:r w:rsidR="00EA1575">
        <w:t xml:space="preserve"> and </w:t>
      </w:r>
      <w:r w:rsidR="00EA1575" w:rsidRPr="00364B2B">
        <w:t>Teriparatide GH</w:t>
      </w:r>
      <w:r w:rsidRPr="002A7E96">
        <w:t>. The trade names are acceptable.</w:t>
      </w:r>
    </w:p>
    <w:p w14:paraId="1CC2D357" w14:textId="3F450E67" w:rsidR="002A7E96" w:rsidRDefault="002A7E96" w:rsidP="002A7E96">
      <w:r w:rsidRPr="002A7E96">
        <w:t xml:space="preserve">This product has been developed as a generic of </w:t>
      </w:r>
      <w:proofErr w:type="spellStart"/>
      <w:r w:rsidRPr="002A7E96">
        <w:t>F</w:t>
      </w:r>
      <w:r w:rsidR="00EA1575">
        <w:t>orteo</w:t>
      </w:r>
      <w:proofErr w:type="spellEnd"/>
      <w:r w:rsidRPr="002A7E96">
        <w:t xml:space="preserve"> by Eli Lilly. There is one other registered generic by Gedeon. Teriparatide, is a form of </w:t>
      </w:r>
      <w:r w:rsidR="0008573B">
        <w:t>PTH</w:t>
      </w:r>
      <w:r w:rsidRPr="002A7E96">
        <w:t xml:space="preserve"> consisting of the first (N-terminus) 34 amino acids, which is the bioactive portion of the hormone. The</w:t>
      </w:r>
      <w:r>
        <w:t xml:space="preserve"> innovator product as well as the other generic is a biological product of recombinant origin. Teriparatide as presented in this submission is of synthetic origin.</w:t>
      </w:r>
    </w:p>
    <w:p w14:paraId="79327696" w14:textId="48A19F87" w:rsidR="002A7E96" w:rsidRDefault="002A7E96" w:rsidP="002A7E96">
      <w:r>
        <w:t xml:space="preserve">Each pen contains 28 doses of 20 </w:t>
      </w:r>
      <w:r w:rsidR="00EA1575">
        <w:t>µg</w:t>
      </w:r>
      <w:r>
        <w:t xml:space="preserve"> teriparatide (per 80 microlitres). To prevent the possible transmission of disease, each pen must be used by one patient only, even if the needle is changed.</w:t>
      </w:r>
    </w:p>
    <w:p w14:paraId="1FFC4B5C" w14:textId="774BA509" w:rsidR="002A7E96" w:rsidRDefault="002A7E96" w:rsidP="002A7E96">
      <w:r>
        <w:t xml:space="preserve">The recommended dose of Teriparatide Lupin is 20 </w:t>
      </w:r>
      <w:r w:rsidR="00EA1575">
        <w:t>µg</w:t>
      </w:r>
      <w:r>
        <w:t xml:space="preserve"> administered once daily by subcutaneous injection in the thigh or abdomen. Based on clinical experience, treatment with teriparatide is recommended for a lifetime duration of 24 months treatment.</w:t>
      </w:r>
    </w:p>
    <w:p w14:paraId="2CE3CD6F" w14:textId="40FD3783" w:rsidR="002A7E96" w:rsidRDefault="002A7E96" w:rsidP="002A7E96">
      <w:r>
        <w:t>There are B</w:t>
      </w:r>
      <w:r w:rsidR="0008573B">
        <w:t>ritish Pharmacopoeia (BP)</w:t>
      </w:r>
      <w:r>
        <w:t>/</w:t>
      </w:r>
      <w:r w:rsidR="0008573B">
        <w:t xml:space="preserve">European </w:t>
      </w:r>
      <w:r>
        <w:t>Ph</w:t>
      </w:r>
      <w:r w:rsidR="0008573B">
        <w:t xml:space="preserve">armacopoeia (Ph </w:t>
      </w:r>
      <w:proofErr w:type="spellStart"/>
      <w:r w:rsidR="0008573B">
        <w:t>Eur</w:t>
      </w:r>
      <w:proofErr w:type="spellEnd"/>
      <w:r w:rsidR="0008573B">
        <w:t>)</w:t>
      </w:r>
      <w:r>
        <w:t xml:space="preserve"> and </w:t>
      </w:r>
      <w:r w:rsidR="0008573B">
        <w:t xml:space="preserve">United States Pharmacopoeia (USP) </w:t>
      </w:r>
      <w:r>
        <w:t xml:space="preserve">monographs for Teriparatide and there is a USP monograph for Teriparatide </w:t>
      </w:r>
      <w:r w:rsidR="00EA1575">
        <w:t>i</w:t>
      </w:r>
      <w:r>
        <w:t>njection. These monographs refer to teriparatide being of recombinant origin.</w:t>
      </w:r>
    </w:p>
    <w:p w14:paraId="3A4CD9F7" w14:textId="0A0F6BD6" w:rsidR="002A7E96" w:rsidRDefault="002A7E96" w:rsidP="002A7E96">
      <w:pPr>
        <w:pStyle w:val="Heading4"/>
      </w:pPr>
      <w:bookmarkStart w:id="34" w:name="_Toc144127395"/>
      <w:r>
        <w:t xml:space="preserve">Drug </w:t>
      </w:r>
      <w:r w:rsidR="00E93D82">
        <w:t>s</w:t>
      </w:r>
      <w:r>
        <w:t>ubstance</w:t>
      </w:r>
      <w:bookmarkEnd w:id="34"/>
    </w:p>
    <w:p w14:paraId="7E22B428" w14:textId="26A10C56" w:rsidR="002A7E96" w:rsidRDefault="002A7E96" w:rsidP="002A7E96">
      <w:r>
        <w:t xml:space="preserve">Teriparatide, is a form of </w:t>
      </w:r>
      <w:r w:rsidR="00EA1575">
        <w:t>PTH</w:t>
      </w:r>
      <w:r>
        <w:t xml:space="preserve"> consisting of the first (N-terminus) 34 amino acids, which is the bioactive portion of the hormone.</w:t>
      </w:r>
    </w:p>
    <w:p w14:paraId="4F4111B6" w14:textId="0E3EFFDD" w:rsidR="002A7E96" w:rsidRDefault="002A7E96" w:rsidP="002A7E96">
      <w:pPr>
        <w:pStyle w:val="FigureTitle"/>
        <w:keepNext/>
      </w:pPr>
      <w:r w:rsidRPr="002A7E96">
        <w:t xml:space="preserve">Figure </w:t>
      </w:r>
      <w:r w:rsidR="00A61109">
        <w:fldChar w:fldCharType="begin"/>
      </w:r>
      <w:r w:rsidR="00A61109">
        <w:instrText xml:space="preserve"> SEQ Figure \* ARABIC </w:instrText>
      </w:r>
      <w:r w:rsidR="00A61109">
        <w:fldChar w:fldCharType="separate"/>
      </w:r>
      <w:r w:rsidR="008468D4">
        <w:rPr>
          <w:noProof/>
        </w:rPr>
        <w:t>1</w:t>
      </w:r>
      <w:r w:rsidR="00A61109">
        <w:rPr>
          <w:noProof/>
        </w:rPr>
        <w:fldChar w:fldCharType="end"/>
      </w:r>
      <w:r>
        <w:t>: Amino acid sequence for teriparatide</w:t>
      </w:r>
    </w:p>
    <w:p w14:paraId="6C919E5B" w14:textId="59AC8648" w:rsidR="002A7E96" w:rsidRDefault="002A7E96" w:rsidP="002A7E96">
      <w:r w:rsidRPr="002A7E96">
        <w:rPr>
          <w:noProof/>
        </w:rPr>
        <w:drawing>
          <wp:inline distT="0" distB="0" distL="0" distR="0" wp14:anchorId="185545F3" wp14:editId="6D41EB13">
            <wp:extent cx="3111441" cy="1884459"/>
            <wp:effectExtent l="0" t="0" r="0" b="1905"/>
            <wp:docPr id="1" name="Picture 1" descr="Amino acid sequence for teripara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ino acid sequence for teriparatid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6539" cy="1887547"/>
                    </a:xfrm>
                    <a:prstGeom prst="rect">
                      <a:avLst/>
                    </a:prstGeom>
                    <a:noFill/>
                    <a:ln>
                      <a:noFill/>
                    </a:ln>
                  </pic:spPr>
                </pic:pic>
              </a:graphicData>
            </a:graphic>
          </wp:inline>
        </w:drawing>
      </w:r>
    </w:p>
    <w:p w14:paraId="633C9A20" w14:textId="56E9090E" w:rsidR="002A7E96" w:rsidRPr="002A7E96" w:rsidRDefault="002A7E96" w:rsidP="002A7E96">
      <w:r w:rsidRPr="002A7E96">
        <w:t xml:space="preserve">The only and most important difference between the reference product and generic product is the manufacturing process of the active substance. While the originator </w:t>
      </w:r>
      <w:proofErr w:type="spellStart"/>
      <w:r w:rsidRPr="002A7E96">
        <w:t>Forteo</w:t>
      </w:r>
      <w:proofErr w:type="spellEnd"/>
      <w:r w:rsidRPr="002A7E96">
        <w:t xml:space="preserve"> contains recombinantly produced teriparatide, the active substance in the proposed product is of synthetic origin.</w:t>
      </w:r>
    </w:p>
    <w:p w14:paraId="26F1A879" w14:textId="6FDDB90C" w:rsidR="002A7E96" w:rsidRPr="002A7E96" w:rsidRDefault="002A7E96" w:rsidP="002A7E96">
      <w:r w:rsidRPr="002A7E96">
        <w:t>The drug substance synthesis involves assembly onto a resin with subsequent amino acid derivatives added to lengthen the peptide by repetition of the deblocking, coupling, and acetylation reactions. Repetition of these three steps results in a protected teriparatide, peptide-</w:t>
      </w:r>
      <w:r w:rsidRPr="002A7E96">
        <w:lastRenderedPageBreak/>
        <w:t xml:space="preserve">on-resin. The crude peptide is cleaved from the resin, purified by </w:t>
      </w:r>
      <w:r w:rsidR="0008573B">
        <w:t>h</w:t>
      </w:r>
      <w:r w:rsidR="0008573B" w:rsidRPr="0008573B">
        <w:t>igh</w:t>
      </w:r>
      <w:r w:rsidR="0008573B">
        <w:t xml:space="preserve"> </w:t>
      </w:r>
      <w:r w:rsidR="0008573B" w:rsidRPr="0008573B">
        <w:t xml:space="preserve">performance liquid chromatography </w:t>
      </w:r>
      <w:r w:rsidRPr="002A7E96">
        <w:t>and isolated by lyophili</w:t>
      </w:r>
      <w:r w:rsidR="0008573B">
        <w:t>s</w:t>
      </w:r>
      <w:r w:rsidRPr="002A7E96">
        <w:t>ation as teriparatide acetate salt.</w:t>
      </w:r>
    </w:p>
    <w:p w14:paraId="1FD9048C" w14:textId="6C54E1AD" w:rsidR="002A7E96" w:rsidRPr="002A7E96" w:rsidRDefault="002A7E96" w:rsidP="002A7E96">
      <w:r w:rsidRPr="002A7E96">
        <w:t>The drug substance specifications include appropriate tests and acceptable limits for appearance, solubility, identity, peptide content (95</w:t>
      </w:r>
      <w:r w:rsidR="00EA1575">
        <w:t xml:space="preserve"> to </w:t>
      </w:r>
      <w:r w:rsidRPr="002A7E96">
        <w:t>105%), related substances, water content, acetic acid content, trifluoroacetic acid content and microbial organisms.</w:t>
      </w:r>
    </w:p>
    <w:p w14:paraId="6390397C" w14:textId="3F30939E" w:rsidR="002A7E96" w:rsidRPr="002A7E96" w:rsidRDefault="002A7E96" w:rsidP="002A7E96">
      <w:pPr>
        <w:pStyle w:val="Heading4"/>
      </w:pPr>
      <w:bookmarkStart w:id="35" w:name="_Toc144127396"/>
      <w:r w:rsidRPr="002A7E96">
        <w:t xml:space="preserve">Medicinal </w:t>
      </w:r>
      <w:r w:rsidR="00E93D82">
        <w:t>p</w:t>
      </w:r>
      <w:r w:rsidRPr="002A7E96">
        <w:t>roduct</w:t>
      </w:r>
      <w:bookmarkEnd w:id="35"/>
    </w:p>
    <w:p w14:paraId="0398E6C2" w14:textId="77777777" w:rsidR="002A7E96" w:rsidRDefault="002A7E96" w:rsidP="002A7E96">
      <w:r w:rsidRPr="002A7E96">
        <w:t>The proposed product is a clear, colourless solution, free from visible particles, packaged in a glass cartridge (2.4 mL extractable volume in 3 mL cartridge) closed with a plunger at one end</w:t>
      </w:r>
      <w:r>
        <w:t xml:space="preserve"> and with a rubber disc and aluminium cap (</w:t>
      </w:r>
      <w:proofErr w:type="spellStart"/>
      <w:r>
        <w:t>combiseal</w:t>
      </w:r>
      <w:proofErr w:type="spellEnd"/>
      <w:r>
        <w:t>) at the other end. The filled cartridge is assembled into a pen injector intended for multiple injections.</w:t>
      </w:r>
    </w:p>
    <w:p w14:paraId="1BD95454" w14:textId="5C0B9BB9" w:rsidR="002A7E96" w:rsidRDefault="002A7E96" w:rsidP="002A7E96">
      <w:r>
        <w:t xml:space="preserve">The manufacturing process used involves dissolving teriparatide and all excipients in water for injections and adjusting the </w:t>
      </w:r>
      <w:proofErr w:type="spellStart"/>
      <w:r>
        <w:t>pH.</w:t>
      </w:r>
      <w:proofErr w:type="spellEnd"/>
      <w:r>
        <w:t xml:space="preserve"> The solution is sterilised and assembled into the pen device.</w:t>
      </w:r>
    </w:p>
    <w:p w14:paraId="7B84E8AA" w14:textId="77777777" w:rsidR="002A7E96" w:rsidRDefault="002A7E96" w:rsidP="002A7E96">
      <w:r>
        <w:t>The formulation contains m-Cresol as an antimicrobial preservative.</w:t>
      </w:r>
    </w:p>
    <w:p w14:paraId="34DEACE8" w14:textId="73E8F60D" w:rsidR="002A7E96" w:rsidRDefault="002A7E96" w:rsidP="002A7E96">
      <w:r>
        <w:t xml:space="preserve">The finished product is appropriately controlled with tests for appearance, particulate contamination, identity, pH, extractable volume, assay, degradation impurities, dose accuracy, m-Cresol </w:t>
      </w:r>
      <w:proofErr w:type="gramStart"/>
      <w:r>
        <w:t>content</w:t>
      </w:r>
      <w:proofErr w:type="gramEnd"/>
      <w:r>
        <w:t xml:space="preserve"> and microbial limits.</w:t>
      </w:r>
    </w:p>
    <w:p w14:paraId="5D9C1087" w14:textId="1DABE1F1" w:rsidR="002A7E96" w:rsidRDefault="002A7E96" w:rsidP="002A7E96">
      <w:r>
        <w:t xml:space="preserve">Degradation products are controlled according to the Ph </w:t>
      </w:r>
      <w:proofErr w:type="spellStart"/>
      <w:r>
        <w:t>Eur</w:t>
      </w:r>
      <w:proofErr w:type="spellEnd"/>
      <w:r>
        <w:t xml:space="preserve"> identification and qualification thresholds for the proposed product (peptide obtained by chemical synthesis) of 0.5% and 1.0%, respectively</w:t>
      </w:r>
    </w:p>
    <w:p w14:paraId="4732F97D" w14:textId="77777777" w:rsidR="002A7E96" w:rsidRDefault="002A7E96" w:rsidP="002A7E96">
      <w:pPr>
        <w:pStyle w:val="Heading4"/>
      </w:pPr>
      <w:bookmarkStart w:id="36" w:name="_Toc144127397"/>
      <w:r>
        <w:t>Biopharmaceutics</w:t>
      </w:r>
      <w:bookmarkEnd w:id="36"/>
    </w:p>
    <w:p w14:paraId="099A0036" w14:textId="77777777" w:rsidR="002A7E96" w:rsidRDefault="002A7E96" w:rsidP="002A7E96">
      <w:r>
        <w:t>The proposed product is intended for subcutaneous injection. It is of the same type of solution (aqueous) and contains the same concentration of the same active substance and the same excipients in similar amounts as the reference product.</w:t>
      </w:r>
    </w:p>
    <w:p w14:paraId="7406DC40" w14:textId="77777777" w:rsidR="002A7E96" w:rsidRDefault="002A7E96" w:rsidP="002A7E96">
      <w:r>
        <w:t>Approval for registration of the proposed product is recommended from a pharmaceutical chemistry perspective.</w:t>
      </w:r>
    </w:p>
    <w:p w14:paraId="463C6BC6" w14:textId="7AD6C908" w:rsidR="002A7E96" w:rsidRDefault="002A7E96" w:rsidP="002A7E96">
      <w:r>
        <w:t xml:space="preserve">The only and most important difference between reference product and generic product is the manufacturing process of the active substance. While the originator </w:t>
      </w:r>
      <w:proofErr w:type="spellStart"/>
      <w:r>
        <w:t>Forteo</w:t>
      </w:r>
      <w:proofErr w:type="spellEnd"/>
      <w:r>
        <w:t xml:space="preserve"> contains recombinantly produced teriparatide, the active substance in the proposed product is of</w:t>
      </w:r>
      <w:r w:rsidR="005E1570">
        <w:t xml:space="preserve"> </w:t>
      </w:r>
      <w:r>
        <w:t xml:space="preserve">synthetic origin. The </w:t>
      </w:r>
      <w:r w:rsidR="0008573B">
        <w:t>sponsor</w:t>
      </w:r>
      <w:r>
        <w:t xml:space="preserve"> performed an analytical comparability study </w:t>
      </w:r>
      <w:r w:rsidR="002176C6">
        <w:t xml:space="preserve">on the level of structural comparison and comparison of the impurity profile. This </w:t>
      </w:r>
      <w:r w:rsidR="002176C6" w:rsidRPr="005E1570">
        <w:rPr>
          <w:i/>
          <w:iCs/>
        </w:rPr>
        <w:t>in vitro</w:t>
      </w:r>
      <w:r w:rsidR="002176C6">
        <w:t xml:space="preserve"> comparison indicates that </w:t>
      </w:r>
      <w:r>
        <w:t>the products are equivalent.</w:t>
      </w:r>
    </w:p>
    <w:p w14:paraId="16FF73C2" w14:textId="77777777" w:rsidR="002A7E96" w:rsidRDefault="002A7E96" w:rsidP="002A7E96">
      <w:r>
        <w:t>Data was provided to support a shelf life of 24 months when stored at 2°C to 8°C.</w:t>
      </w:r>
    </w:p>
    <w:p w14:paraId="6108915F" w14:textId="77777777" w:rsidR="002A7E96" w:rsidRDefault="002A7E96" w:rsidP="002A7E96">
      <w:pPr>
        <w:pStyle w:val="Heading4"/>
      </w:pPr>
      <w:bookmarkStart w:id="37" w:name="_Toc144127398"/>
      <w:r>
        <w:t>Recommendation</w:t>
      </w:r>
      <w:bookmarkEnd w:id="37"/>
    </w:p>
    <w:p w14:paraId="4AA857D7" w14:textId="20BDD6AF" w:rsidR="002A7E96" w:rsidRPr="002A7E96" w:rsidRDefault="002A7E96" w:rsidP="002A7E96">
      <w:r>
        <w:t>Approval for registration of the proposed product is recommended from a pharmaceutical chemistry perspective.</w:t>
      </w:r>
    </w:p>
    <w:p w14:paraId="2BE90AAE" w14:textId="77777777" w:rsidR="00C22214" w:rsidRDefault="00C22214" w:rsidP="00C22214">
      <w:pPr>
        <w:pStyle w:val="Heading3"/>
      </w:pPr>
      <w:bookmarkStart w:id="38" w:name="_Toc314842512"/>
      <w:bookmarkStart w:id="39" w:name="_Toc103679296"/>
      <w:bookmarkStart w:id="40" w:name="_Toc144127399"/>
      <w:r>
        <w:t>Nonclinical</w:t>
      </w:r>
      <w:bookmarkEnd w:id="38"/>
      <w:bookmarkEnd w:id="39"/>
      <w:bookmarkEnd w:id="40"/>
    </w:p>
    <w:p w14:paraId="35BF83AE" w14:textId="16B2911B" w:rsidR="002A7E96" w:rsidRPr="002A7E96" w:rsidRDefault="002A7E96" w:rsidP="002A7E96">
      <w:bookmarkStart w:id="41" w:name="_Toc247691530"/>
      <w:bookmarkStart w:id="42" w:name="_Toc314842513"/>
      <w:bookmarkStart w:id="43" w:name="_Toc103679297"/>
      <w:r w:rsidRPr="002A7E96">
        <w:t xml:space="preserve">The </w:t>
      </w:r>
      <w:r w:rsidR="00EA1575">
        <w:t>oversea evaluator n</w:t>
      </w:r>
      <w:r w:rsidRPr="002A7E96">
        <w:t xml:space="preserve">onclinical </w:t>
      </w:r>
      <w:r w:rsidR="00EA1575">
        <w:t>a</w:t>
      </w:r>
      <w:r w:rsidRPr="002A7E96">
        <w:t xml:space="preserve">ssessment noted that the pharmacodynamic, pharmacokinetic and toxicological properties of teriparatide are well known. As teriparatide is a </w:t>
      </w:r>
      <w:r w:rsidRPr="002A7E96">
        <w:lastRenderedPageBreak/>
        <w:t>widely used, well</w:t>
      </w:r>
      <w:r w:rsidR="00D75F1C">
        <w:t xml:space="preserve"> </w:t>
      </w:r>
      <w:r w:rsidRPr="002A7E96">
        <w:t>known active substance, the applicant has not provided additional studies and further studies are not required. An overview based on literature review is, thus, appropriate.</w:t>
      </w:r>
    </w:p>
    <w:p w14:paraId="0F2B8A46" w14:textId="77777777" w:rsidR="002A7E96" w:rsidRPr="002A7E96" w:rsidRDefault="002A7E96" w:rsidP="002A7E96">
      <w:r w:rsidRPr="002A7E96">
        <w:t>The TGA nonclinical evaluator concurred.</w:t>
      </w:r>
    </w:p>
    <w:p w14:paraId="14644DAA" w14:textId="032DD685" w:rsidR="002A7E96" w:rsidRPr="002A7E96" w:rsidRDefault="002A7E96" w:rsidP="002A7E96">
      <w:r w:rsidRPr="002A7E96">
        <w:t xml:space="preserve">The </w:t>
      </w:r>
      <w:r w:rsidR="00EA1575">
        <w:t>oversea evaluator n</w:t>
      </w:r>
      <w:r w:rsidRPr="002A7E96">
        <w:t xml:space="preserve">onclinical </w:t>
      </w:r>
      <w:r w:rsidR="00EA1575">
        <w:t>a</w:t>
      </w:r>
      <w:r w:rsidRPr="002A7E96">
        <w:t xml:space="preserve">ssessment states that </w:t>
      </w:r>
      <w:r w:rsidR="00EA1575">
        <w:t>‘</w:t>
      </w:r>
      <w:r w:rsidRPr="00EA1575">
        <w:rPr>
          <w:i/>
          <w:iCs/>
        </w:rPr>
        <w:t>The non-clinical overview on the pre-clinical pharmacology, pharmacokinetics and toxicology is adequate</w:t>
      </w:r>
      <w:r w:rsidR="00EA1575">
        <w:t>.’</w:t>
      </w:r>
    </w:p>
    <w:p w14:paraId="67042901" w14:textId="77777777" w:rsidR="002A7E96" w:rsidRPr="002A7E96" w:rsidRDefault="002A7E96" w:rsidP="002A7E96">
      <w:r w:rsidRPr="002A7E96">
        <w:t>The TGA nonclinical evaluator agreed.</w:t>
      </w:r>
    </w:p>
    <w:p w14:paraId="25A5F8B0" w14:textId="77777777" w:rsidR="002A7E96" w:rsidRPr="002A7E96" w:rsidRDefault="002A7E96" w:rsidP="002A7E96">
      <w:pPr>
        <w:pStyle w:val="Heading4"/>
      </w:pPr>
      <w:bookmarkStart w:id="44" w:name="_Toc144127400"/>
      <w:r w:rsidRPr="002A7E96">
        <w:t>Recommendation</w:t>
      </w:r>
      <w:bookmarkEnd w:id="44"/>
    </w:p>
    <w:p w14:paraId="39D4A063" w14:textId="6B422BEF" w:rsidR="002A7E96" w:rsidRPr="002A7E96" w:rsidRDefault="002A7E96" w:rsidP="002A7E96">
      <w:r w:rsidRPr="002A7E96">
        <w:t>There are no nonclinical objections to registration.</w:t>
      </w:r>
    </w:p>
    <w:p w14:paraId="35B580A5" w14:textId="6470FAAE" w:rsidR="00C22214" w:rsidRDefault="00C22214" w:rsidP="008804CF">
      <w:pPr>
        <w:pStyle w:val="Heading3"/>
      </w:pPr>
      <w:bookmarkStart w:id="45" w:name="_Toc144127401"/>
      <w:r>
        <w:t>Clinical</w:t>
      </w:r>
      <w:bookmarkEnd w:id="41"/>
      <w:bookmarkEnd w:id="42"/>
      <w:bookmarkEnd w:id="43"/>
      <w:bookmarkEnd w:id="45"/>
    </w:p>
    <w:p w14:paraId="29206881" w14:textId="7A0B1CEA" w:rsidR="00821FE7" w:rsidRDefault="00821FE7" w:rsidP="00821FE7">
      <w:r>
        <w:t xml:space="preserve">There were no bioequivalence or clinical data for the proposed product submitted. The application is reliant on </w:t>
      </w:r>
      <w:r w:rsidR="00D75F1C">
        <w:t>quality</w:t>
      </w:r>
      <w:r>
        <w:t xml:space="preserve"> data. The oversea evaluator stated the following in the final assessment report:</w:t>
      </w:r>
    </w:p>
    <w:p w14:paraId="5B55E70A" w14:textId="5B756397" w:rsidR="00821FE7" w:rsidRPr="00821FE7" w:rsidRDefault="00821FE7" w:rsidP="00821FE7">
      <w:pPr>
        <w:ind w:left="720"/>
      </w:pPr>
      <w:r w:rsidRPr="00821FE7">
        <w:t>‘</w:t>
      </w:r>
      <w:r w:rsidRPr="00D75F1C">
        <w:t xml:space="preserve">The Applicant has not provided results of a bioequivalence study based on the parenteral route of administration and claiming that the clinical performance of teriparatide is irrespective of the mode of synthesis. Furthermore, the Applicant considers the current medicinal product bioequivalent to the originator </w:t>
      </w:r>
      <w:proofErr w:type="spellStart"/>
      <w:r w:rsidRPr="00D75F1C">
        <w:t>Forsteo</w:t>
      </w:r>
      <w:proofErr w:type="spellEnd"/>
      <w:r w:rsidRPr="00D75F1C">
        <w:t xml:space="preserve"> based on full comparative analytical characterisation. Efficacy and safety of the current medicinal product are addressed by an overview considering scientific publications on teriparatide and teriparatide containing medicinal products up to July 2018. Thus, the bioequivalence of the applied medicinal product is solely based on the data provided in the quality part of the dossier, while the clinical part of the dossier is limited to a general overview of the biopharmaceutics, efficacy, and safety of teriparatide.</w:t>
      </w:r>
      <w:r w:rsidRPr="00821FE7">
        <w:t>’</w:t>
      </w:r>
    </w:p>
    <w:p w14:paraId="098D6418" w14:textId="20F9FA94" w:rsidR="00821FE7" w:rsidRPr="0008573B" w:rsidRDefault="00821FE7" w:rsidP="0008573B">
      <w:pPr>
        <w:pStyle w:val="Heading4"/>
      </w:pPr>
      <w:bookmarkStart w:id="46" w:name="_Toc144127402"/>
      <w:r w:rsidRPr="0008573B">
        <w:t>Pharmacology</w:t>
      </w:r>
      <w:bookmarkEnd w:id="46"/>
    </w:p>
    <w:p w14:paraId="5CA632BC" w14:textId="51907892" w:rsidR="00821FE7" w:rsidRDefault="00821FE7" w:rsidP="00821FE7">
      <w:r>
        <w:t>Not applicable. There were no pharmacokinetic, pharmacodynamic, efficacy or safety data for the proposed product submitted. The sponsor provided a review of the literature regarding the clinical pharmacology, efficacy and safety of teriparatide and teriparatide containing products in the sponsor submitted clinical overview.</w:t>
      </w:r>
    </w:p>
    <w:p w14:paraId="55F4CA1A" w14:textId="77777777" w:rsidR="00821FE7" w:rsidRDefault="00821FE7" w:rsidP="00821FE7">
      <w:r>
        <w:t>The oversea evaluator stated the application contained an adequate review of published clinical data. In Day 70 clinical report, there were two ‘</w:t>
      </w:r>
      <w:r w:rsidRPr="0008573B">
        <w:rPr>
          <w:i/>
          <w:iCs/>
        </w:rPr>
        <w:t>major objections</w:t>
      </w:r>
      <w:r>
        <w:t>’ (relating to lack of a bioequivalence study or other relevant clinical data, and submission of results of the human factor study), and one ‘</w:t>
      </w:r>
      <w:r w:rsidRPr="0008573B">
        <w:rPr>
          <w:i/>
          <w:iCs/>
        </w:rPr>
        <w:t>other concern</w:t>
      </w:r>
      <w:r>
        <w:t>’ (relating to the layout of the product label and device used).</w:t>
      </w:r>
    </w:p>
    <w:p w14:paraId="53F8EA33" w14:textId="0A78C39B" w:rsidR="00821FE7" w:rsidRDefault="00821FE7" w:rsidP="00821FE7">
      <w:r>
        <w:t>These issues were addressed in the Day 120 clinical report and considered resolved.</w:t>
      </w:r>
    </w:p>
    <w:p w14:paraId="0F3D7F9F" w14:textId="4FB804BC" w:rsidR="00821FE7" w:rsidRDefault="00821FE7" w:rsidP="00821FE7">
      <w:pPr>
        <w:pStyle w:val="ListBullet"/>
      </w:pPr>
      <w:r>
        <w:t xml:space="preserve">The oversea </w:t>
      </w:r>
      <w:r w:rsidR="008468D4">
        <w:t>evaluator</w:t>
      </w:r>
      <w:r>
        <w:t xml:space="preserve"> considered the major objection relating to the lack of bioequivalence study or other clinical data resolved based on data provided in the quality part of the dossier.</w:t>
      </w:r>
    </w:p>
    <w:p w14:paraId="4555A91D" w14:textId="6092A922" w:rsidR="00821FE7" w:rsidRDefault="00821FE7" w:rsidP="00821FE7">
      <w:pPr>
        <w:pStyle w:val="ListBullet"/>
      </w:pPr>
      <w:r>
        <w:t>In response to the major objection relating to the human factor study, the oversea evaluator noted the sponsor performed a formative human factor study to assess the usability of the instruction for use (IFU), with the IFU updated based on the outcomes of this study and subsequently passing validation testing. The issue was considered resolved.</w:t>
      </w:r>
    </w:p>
    <w:p w14:paraId="024599C7" w14:textId="6B004C35" w:rsidR="00821FE7" w:rsidRDefault="00821FE7" w:rsidP="00821FE7">
      <w:pPr>
        <w:pStyle w:val="ListBullet"/>
      </w:pPr>
      <w:r>
        <w:lastRenderedPageBreak/>
        <w:t>The other concern relating to the product label layout and device was addressed in part with the response provided regarding the human factor study as discussed and considered resolved.</w:t>
      </w:r>
    </w:p>
    <w:p w14:paraId="43290B69" w14:textId="63953B7F" w:rsidR="00821FE7" w:rsidRPr="0008573B" w:rsidRDefault="00821FE7" w:rsidP="0008573B">
      <w:pPr>
        <w:pStyle w:val="Heading4"/>
      </w:pPr>
      <w:bookmarkStart w:id="47" w:name="_Toc144127403"/>
      <w:r w:rsidRPr="0008573B">
        <w:t>Efficacy</w:t>
      </w:r>
      <w:bookmarkEnd w:id="47"/>
    </w:p>
    <w:p w14:paraId="18A783C1" w14:textId="756F6AAB" w:rsidR="00821FE7" w:rsidRPr="0008573B" w:rsidRDefault="00821FE7" w:rsidP="0008573B">
      <w:r w:rsidRPr="0008573B">
        <w:t>No data provided.</w:t>
      </w:r>
    </w:p>
    <w:p w14:paraId="6D764DF7" w14:textId="6F186FB2" w:rsidR="00821FE7" w:rsidRPr="0008573B" w:rsidRDefault="00821FE7" w:rsidP="0008573B">
      <w:pPr>
        <w:pStyle w:val="Heading4"/>
      </w:pPr>
      <w:bookmarkStart w:id="48" w:name="_Toc144127404"/>
      <w:r w:rsidRPr="0008573B">
        <w:t>Safety</w:t>
      </w:r>
      <w:bookmarkEnd w:id="48"/>
    </w:p>
    <w:p w14:paraId="5D4DDB72" w14:textId="4E5C22D9" w:rsidR="002A7E96" w:rsidRPr="0008573B" w:rsidRDefault="00821FE7" w:rsidP="0008573B">
      <w:r w:rsidRPr="0008573B">
        <w:t>No data provided.</w:t>
      </w:r>
    </w:p>
    <w:p w14:paraId="2858B006" w14:textId="77777777" w:rsidR="00C22214" w:rsidRDefault="00C22214" w:rsidP="00C22214">
      <w:pPr>
        <w:pStyle w:val="Heading3"/>
        <w:rPr>
          <w:lang w:eastAsia="en-AU"/>
        </w:rPr>
      </w:pPr>
      <w:bookmarkStart w:id="49" w:name="_Toc314842514"/>
      <w:bookmarkStart w:id="50" w:name="_Toc103679298"/>
      <w:bookmarkStart w:id="51" w:name="_Toc144127405"/>
      <w:r>
        <w:rPr>
          <w:lang w:eastAsia="en-AU"/>
        </w:rPr>
        <w:t>Risk management plan</w:t>
      </w:r>
      <w:bookmarkEnd w:id="49"/>
      <w:bookmarkEnd w:id="50"/>
      <w:bookmarkEnd w:id="51"/>
    </w:p>
    <w:p w14:paraId="17EB1DAF" w14:textId="5280BD71" w:rsidR="005D4199" w:rsidRPr="005D4199" w:rsidRDefault="005D4199" w:rsidP="005D4199">
      <w:pPr>
        <w:rPr>
          <w:szCs w:val="22"/>
        </w:rPr>
      </w:pPr>
      <w:bookmarkStart w:id="52" w:name="_Toc247691531"/>
      <w:bookmarkStart w:id="53" w:name="_Toc314842515"/>
      <w:r>
        <w:rPr>
          <w:szCs w:val="22"/>
        </w:rPr>
        <w:t>The sponsor</w:t>
      </w:r>
      <w:r w:rsidRPr="005D4199">
        <w:rPr>
          <w:szCs w:val="22"/>
        </w:rPr>
        <w:t xml:space="preserve"> has applied to register a new chemical entity, teriparatide (as acetate) (</w:t>
      </w:r>
      <w:r w:rsidR="00D75F1C" w:rsidRPr="00205FFE">
        <w:t>Teriparatide Lupin, Teriparatide GH and Teriparatide LAPL</w:t>
      </w:r>
      <w:r w:rsidRPr="005D4199">
        <w:rPr>
          <w:szCs w:val="22"/>
        </w:rPr>
        <w:t xml:space="preserve">), hereafter referred to as </w:t>
      </w:r>
      <w:r w:rsidR="00D75F1C" w:rsidRPr="00205FFE">
        <w:t>Teriparatide Lupin</w:t>
      </w:r>
      <w:r w:rsidRPr="005D4199">
        <w:rPr>
          <w:szCs w:val="22"/>
        </w:rPr>
        <w:t xml:space="preserve">. </w:t>
      </w:r>
      <w:r w:rsidR="00D75F1C" w:rsidRPr="00205FFE">
        <w:t>Teriparatide Lupin</w:t>
      </w:r>
      <w:r w:rsidR="00D75F1C" w:rsidRPr="005D4199">
        <w:rPr>
          <w:szCs w:val="22"/>
        </w:rPr>
        <w:t xml:space="preserve"> </w:t>
      </w:r>
      <w:r w:rsidRPr="005D4199">
        <w:rPr>
          <w:szCs w:val="22"/>
        </w:rPr>
        <w:t xml:space="preserve">is of synthetic origin, whereas the innovator product, </w:t>
      </w:r>
      <w:proofErr w:type="spellStart"/>
      <w:r w:rsidRPr="005D4199">
        <w:rPr>
          <w:szCs w:val="22"/>
        </w:rPr>
        <w:t>F</w:t>
      </w:r>
      <w:r w:rsidR="00D75F1C">
        <w:rPr>
          <w:szCs w:val="22"/>
        </w:rPr>
        <w:t>orteo</w:t>
      </w:r>
      <w:proofErr w:type="spellEnd"/>
      <w:r w:rsidRPr="005D4199">
        <w:rPr>
          <w:szCs w:val="22"/>
        </w:rPr>
        <w:t>, (Teriparatide (</w:t>
      </w:r>
      <w:proofErr w:type="spellStart"/>
      <w:r w:rsidRPr="005D4199">
        <w:rPr>
          <w:szCs w:val="22"/>
        </w:rPr>
        <w:t>rbe</w:t>
      </w:r>
      <w:proofErr w:type="spellEnd"/>
      <w:r w:rsidRPr="005D4199">
        <w:rPr>
          <w:szCs w:val="22"/>
        </w:rPr>
        <w:t xml:space="preserve">)), is manufactured by recombinant technology. Hence </w:t>
      </w:r>
      <w:r w:rsidR="00D75F1C" w:rsidRPr="00205FFE">
        <w:t>Teriparatide Lupin</w:t>
      </w:r>
      <w:r w:rsidRPr="005D4199">
        <w:rPr>
          <w:szCs w:val="22"/>
        </w:rPr>
        <w:t xml:space="preserve"> is considered a new chemical entity and not a biosimilar or generic medicine</w:t>
      </w:r>
      <w:r>
        <w:rPr>
          <w:szCs w:val="22"/>
        </w:rPr>
        <w:t>.</w:t>
      </w:r>
    </w:p>
    <w:p w14:paraId="1309B314" w14:textId="6FCC5B15" w:rsidR="005D4199" w:rsidRDefault="005D4199" w:rsidP="005D4199">
      <w:pPr>
        <w:rPr>
          <w:szCs w:val="22"/>
        </w:rPr>
      </w:pPr>
      <w:r>
        <w:rPr>
          <w:szCs w:val="22"/>
        </w:rPr>
        <w:t>The sponsor</w:t>
      </w:r>
      <w:r w:rsidRPr="005D4199">
        <w:rPr>
          <w:szCs w:val="22"/>
        </w:rPr>
        <w:t xml:space="preserve"> has submitted EU-</w:t>
      </w:r>
      <w:r w:rsidR="00D75F1C">
        <w:rPr>
          <w:szCs w:val="22"/>
        </w:rPr>
        <w:t>risk management plan (</w:t>
      </w:r>
      <w:r w:rsidRPr="005D4199">
        <w:rPr>
          <w:szCs w:val="22"/>
        </w:rPr>
        <w:t>RMP</w:t>
      </w:r>
      <w:r w:rsidR="00D75F1C">
        <w:rPr>
          <w:szCs w:val="22"/>
        </w:rPr>
        <w:t>)</w:t>
      </w:r>
      <w:r w:rsidRPr="005D4199">
        <w:rPr>
          <w:szCs w:val="22"/>
        </w:rPr>
        <w:t xml:space="preserve"> version 3.0 (dated 19 June 2020; </w:t>
      </w:r>
      <w:r>
        <w:rPr>
          <w:szCs w:val="22"/>
        </w:rPr>
        <w:t>data lock point (</w:t>
      </w:r>
      <w:r w:rsidRPr="005D4199">
        <w:rPr>
          <w:szCs w:val="22"/>
        </w:rPr>
        <w:t>DLP</w:t>
      </w:r>
      <w:r>
        <w:rPr>
          <w:szCs w:val="22"/>
        </w:rPr>
        <w:t>)</w:t>
      </w:r>
      <w:r w:rsidRPr="005D4199">
        <w:rPr>
          <w:szCs w:val="22"/>
        </w:rPr>
        <w:t xml:space="preserve"> 16 July 2018) and </w:t>
      </w:r>
      <w:r>
        <w:rPr>
          <w:szCs w:val="22"/>
        </w:rPr>
        <w:t>Australia specific annex (</w:t>
      </w:r>
      <w:r w:rsidRPr="005D4199">
        <w:rPr>
          <w:szCs w:val="22"/>
        </w:rPr>
        <w:t>ASA</w:t>
      </w:r>
      <w:r>
        <w:rPr>
          <w:szCs w:val="22"/>
        </w:rPr>
        <w:t>)</w:t>
      </w:r>
      <w:r w:rsidRPr="005D4199">
        <w:rPr>
          <w:szCs w:val="22"/>
        </w:rPr>
        <w:t xml:space="preserve"> version 0.2 (dated August 2021) in support of this application. In its Section 31 response, the sponsor has submitted an updated ASA (version 0.3 dated 14 November 2022) in support of this application.</w:t>
      </w:r>
    </w:p>
    <w:p w14:paraId="39F3CD1D" w14:textId="09305207" w:rsidR="0072003B" w:rsidRPr="00BD5DBD" w:rsidRDefault="00C22214" w:rsidP="00C22214">
      <w:pPr>
        <w:rPr>
          <w:szCs w:val="22"/>
        </w:rPr>
      </w:pPr>
      <w:r w:rsidRPr="00BD5DBD">
        <w:rPr>
          <w:szCs w:val="22"/>
        </w:rPr>
        <w:t>The summary of safety concerns and their associated risk monitoring and mitigation strategies are summarised in</w:t>
      </w:r>
      <w:r w:rsidR="003B149C">
        <w:rPr>
          <w:szCs w:val="22"/>
        </w:rPr>
        <w:t xml:space="preserve"> </w:t>
      </w:r>
      <w:r w:rsidR="003B149C" w:rsidRPr="003B149C">
        <w:rPr>
          <w:szCs w:val="22"/>
        </w:rPr>
        <w:fldChar w:fldCharType="begin"/>
      </w:r>
      <w:r w:rsidR="003B149C" w:rsidRPr="003B149C">
        <w:rPr>
          <w:szCs w:val="22"/>
        </w:rPr>
        <w:instrText xml:space="preserve"> REF _Ref97629131 \h </w:instrText>
      </w:r>
      <w:r w:rsidR="003B149C">
        <w:rPr>
          <w:szCs w:val="22"/>
        </w:rPr>
        <w:instrText xml:space="preserve"> \* MERGEFORMAT </w:instrText>
      </w:r>
      <w:r w:rsidR="003B149C" w:rsidRPr="003B149C">
        <w:rPr>
          <w:szCs w:val="22"/>
        </w:rPr>
      </w:r>
      <w:r w:rsidR="003B149C" w:rsidRPr="003B149C">
        <w:rPr>
          <w:szCs w:val="22"/>
        </w:rPr>
        <w:fldChar w:fldCharType="separate"/>
      </w:r>
      <w:r w:rsidR="008468D4" w:rsidRPr="008468D4">
        <w:rPr>
          <w:szCs w:val="22"/>
        </w:rPr>
        <w:t xml:space="preserve">Table </w:t>
      </w:r>
      <w:r w:rsidR="008468D4" w:rsidRPr="008468D4">
        <w:rPr>
          <w:noProof/>
          <w:szCs w:val="22"/>
        </w:rPr>
        <w:t>2</w:t>
      </w:r>
      <w:r w:rsidR="003B149C" w:rsidRPr="003B149C">
        <w:rPr>
          <w:szCs w:val="22"/>
        </w:rPr>
        <w:fldChar w:fldCharType="end"/>
      </w:r>
      <w:r w:rsidR="008C49C6" w:rsidRPr="003B149C">
        <w:rPr>
          <w:szCs w:val="22"/>
        </w:rPr>
        <w:t>.</w:t>
      </w:r>
      <w:r w:rsidR="0072003B" w:rsidRPr="00BD5DBD">
        <w:rPr>
          <w:szCs w:val="22"/>
        </w:rPr>
        <w:t xml:space="preserve"> The TGA</w:t>
      </w:r>
      <w:r w:rsidR="00C07551" w:rsidRPr="00BD5DBD">
        <w:rPr>
          <w:szCs w:val="22"/>
        </w:rPr>
        <w:t xml:space="preserve"> may</w:t>
      </w:r>
      <w:r w:rsidR="0072003B" w:rsidRPr="00BD5DBD">
        <w:rPr>
          <w:szCs w:val="22"/>
        </w:rPr>
        <w:t xml:space="preserve"> request an updated RMP at any stage of a product's </w:t>
      </w:r>
      <w:proofErr w:type="gramStart"/>
      <w:r w:rsidR="0072003B" w:rsidRPr="00BD5DBD">
        <w:rPr>
          <w:szCs w:val="22"/>
        </w:rPr>
        <w:t>life-cycle</w:t>
      </w:r>
      <w:proofErr w:type="gramEnd"/>
      <w:r w:rsidR="0072003B" w:rsidRPr="00BD5DBD">
        <w:rPr>
          <w:szCs w:val="22"/>
        </w:rPr>
        <w:t>, during both the pre-approval and post-approval phases.</w:t>
      </w:r>
    </w:p>
    <w:p w14:paraId="56B51A93" w14:textId="51C0E03D" w:rsidR="006A277A" w:rsidRDefault="00C22214" w:rsidP="00C22214">
      <w:pPr>
        <w:pStyle w:val="TableTitle"/>
      </w:pPr>
      <w:bookmarkStart w:id="54" w:name="_Ref97629131"/>
      <w:r>
        <w:t xml:space="preserve">Table </w:t>
      </w:r>
      <w:r w:rsidR="00A61109">
        <w:fldChar w:fldCharType="begin"/>
      </w:r>
      <w:r w:rsidR="00A61109">
        <w:instrText xml:space="preserve"> SEQ Table \* ARABIC </w:instrText>
      </w:r>
      <w:r w:rsidR="00A61109">
        <w:fldChar w:fldCharType="separate"/>
      </w:r>
      <w:r w:rsidR="008468D4">
        <w:rPr>
          <w:noProof/>
        </w:rPr>
        <w:t>2</w:t>
      </w:r>
      <w:r w:rsidR="00A61109">
        <w:rPr>
          <w:noProof/>
        </w:rPr>
        <w:fldChar w:fldCharType="end"/>
      </w:r>
      <w:bookmarkEnd w:id="54"/>
      <w:r>
        <w:t>: Summary of safety concerns</w:t>
      </w:r>
      <w:r w:rsidR="006351D9">
        <w:t xml:space="preserve"> </w:t>
      </w:r>
    </w:p>
    <w:tbl>
      <w:tblPr>
        <w:tblStyle w:val="TableTGAblue2023"/>
        <w:tblW w:w="5000" w:type="pct"/>
        <w:tblLook w:val="04A0" w:firstRow="1" w:lastRow="0" w:firstColumn="1" w:lastColumn="0" w:noHBand="0" w:noVBand="1"/>
      </w:tblPr>
      <w:tblGrid>
        <w:gridCol w:w="1440"/>
        <w:gridCol w:w="3480"/>
        <w:gridCol w:w="935"/>
        <w:gridCol w:w="1135"/>
        <w:gridCol w:w="935"/>
        <w:gridCol w:w="1135"/>
      </w:tblGrid>
      <w:tr w:rsidR="005D4199" w:rsidRPr="00BF52F4" w14:paraId="4D76DC11" w14:textId="77777777" w:rsidTr="005D4199">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715" w:type="pct"/>
            <w:gridSpan w:val="2"/>
            <w:vMerge w:val="restart"/>
          </w:tcPr>
          <w:p w14:paraId="40C9CFB5" w14:textId="77777777" w:rsidR="005D4199" w:rsidRPr="00BF52F4" w:rsidRDefault="005D4199" w:rsidP="005C254F">
            <w:pPr>
              <w:pStyle w:val="Tabletext0"/>
              <w:rPr>
                <w:b w:val="0"/>
                <w:kern w:val="0"/>
              </w:rPr>
            </w:pPr>
            <w:r w:rsidRPr="00BF52F4">
              <w:rPr>
                <w:kern w:val="0"/>
              </w:rPr>
              <w:t>Summary of safety concerns</w:t>
            </w:r>
          </w:p>
        </w:tc>
        <w:tc>
          <w:tcPr>
            <w:tcW w:w="1142" w:type="pct"/>
            <w:gridSpan w:val="2"/>
          </w:tcPr>
          <w:p w14:paraId="19321824" w14:textId="77777777" w:rsidR="005D4199" w:rsidRPr="00BF52F4" w:rsidRDefault="005D4199" w:rsidP="005C254F">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Pharmacovigilance</w:t>
            </w:r>
          </w:p>
        </w:tc>
        <w:tc>
          <w:tcPr>
            <w:tcW w:w="1142" w:type="pct"/>
            <w:gridSpan w:val="2"/>
          </w:tcPr>
          <w:p w14:paraId="31D4D833" w14:textId="77777777" w:rsidR="005D4199" w:rsidRPr="00BF52F4" w:rsidRDefault="005D4199" w:rsidP="005C254F">
            <w:pPr>
              <w:pStyle w:val="Tabletext0"/>
              <w:cnfStyle w:val="100000000000" w:firstRow="1" w:lastRow="0" w:firstColumn="0" w:lastColumn="0" w:oddVBand="0" w:evenVBand="0" w:oddHBand="0" w:evenHBand="0" w:firstRowFirstColumn="0" w:firstRowLastColumn="0" w:lastRowFirstColumn="0" w:lastRowLastColumn="0"/>
              <w:rPr>
                <w:b w:val="0"/>
                <w:kern w:val="0"/>
                <w:sz w:val="18"/>
              </w:rPr>
            </w:pPr>
            <w:r w:rsidRPr="00BF52F4">
              <w:rPr>
                <w:kern w:val="0"/>
                <w:sz w:val="18"/>
              </w:rPr>
              <w:t>Risk Minimisation</w:t>
            </w:r>
          </w:p>
        </w:tc>
      </w:tr>
      <w:tr w:rsidR="005D4199" w:rsidRPr="00BF52F4" w14:paraId="78466B19" w14:textId="77777777" w:rsidTr="005D4199">
        <w:trPr>
          <w:trHeight w:val="150"/>
        </w:trPr>
        <w:tc>
          <w:tcPr>
            <w:cnfStyle w:val="001000000000" w:firstRow="0" w:lastRow="0" w:firstColumn="1" w:lastColumn="0" w:oddVBand="0" w:evenVBand="0" w:oddHBand="0" w:evenHBand="0" w:firstRowFirstColumn="0" w:firstRowLastColumn="0" w:lastRowFirstColumn="0" w:lastRowLastColumn="0"/>
            <w:tcW w:w="2715" w:type="pct"/>
            <w:gridSpan w:val="2"/>
            <w:vMerge/>
          </w:tcPr>
          <w:p w14:paraId="63E55336" w14:textId="77777777" w:rsidR="005D4199" w:rsidRPr="00BF52F4" w:rsidRDefault="005D4199" w:rsidP="005C254F">
            <w:pPr>
              <w:pStyle w:val="Tabletext0"/>
              <w:rPr>
                <w:b/>
                <w:kern w:val="0"/>
              </w:rPr>
            </w:pPr>
          </w:p>
        </w:tc>
        <w:tc>
          <w:tcPr>
            <w:tcW w:w="516" w:type="pct"/>
          </w:tcPr>
          <w:p w14:paraId="6FB6330E"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Routine</w:t>
            </w:r>
          </w:p>
        </w:tc>
        <w:tc>
          <w:tcPr>
            <w:tcW w:w="626" w:type="pct"/>
          </w:tcPr>
          <w:p w14:paraId="3BD18444"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Additional</w:t>
            </w:r>
          </w:p>
        </w:tc>
        <w:tc>
          <w:tcPr>
            <w:tcW w:w="516" w:type="pct"/>
          </w:tcPr>
          <w:p w14:paraId="6FCBF8FF"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Routine</w:t>
            </w:r>
          </w:p>
        </w:tc>
        <w:tc>
          <w:tcPr>
            <w:tcW w:w="626" w:type="pct"/>
          </w:tcPr>
          <w:p w14:paraId="7F1C35BC"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sz w:val="18"/>
              </w:rPr>
            </w:pPr>
            <w:r w:rsidRPr="00BF52F4">
              <w:rPr>
                <w:kern w:val="0"/>
                <w:sz w:val="18"/>
              </w:rPr>
              <w:t>Additional</w:t>
            </w:r>
          </w:p>
        </w:tc>
      </w:tr>
      <w:tr w:rsidR="005D4199" w:rsidRPr="00BF52F4" w14:paraId="034D7852" w14:textId="77777777" w:rsidTr="005D4199">
        <w:trPr>
          <w:trHeight w:val="137"/>
        </w:trPr>
        <w:tc>
          <w:tcPr>
            <w:cnfStyle w:val="001000000000" w:firstRow="0" w:lastRow="0" w:firstColumn="1" w:lastColumn="0" w:oddVBand="0" w:evenVBand="0" w:oddHBand="0" w:evenHBand="0" w:firstRowFirstColumn="0" w:firstRowLastColumn="0" w:lastRowFirstColumn="0" w:lastRowLastColumn="0"/>
            <w:tcW w:w="795" w:type="pct"/>
          </w:tcPr>
          <w:p w14:paraId="40879D63" w14:textId="77777777" w:rsidR="005D4199" w:rsidRPr="00BF52F4" w:rsidRDefault="005D4199" w:rsidP="005C254F">
            <w:pPr>
              <w:pStyle w:val="Tabletext0"/>
              <w:rPr>
                <w:b/>
                <w:kern w:val="0"/>
              </w:rPr>
            </w:pPr>
            <w:r w:rsidRPr="00BF52F4">
              <w:rPr>
                <w:b/>
                <w:kern w:val="0"/>
              </w:rPr>
              <w:t>Important identified risks</w:t>
            </w:r>
          </w:p>
        </w:tc>
        <w:tc>
          <w:tcPr>
            <w:tcW w:w="1921" w:type="pct"/>
          </w:tcPr>
          <w:p w14:paraId="2DADA9D2"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rPr>
            </w:pPr>
            <w:r>
              <w:rPr>
                <w:kern w:val="0"/>
              </w:rPr>
              <w:t>None</w:t>
            </w:r>
          </w:p>
        </w:tc>
        <w:tc>
          <w:tcPr>
            <w:tcW w:w="516" w:type="pct"/>
          </w:tcPr>
          <w:p w14:paraId="7A58A25F"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626" w:type="pct"/>
          </w:tcPr>
          <w:p w14:paraId="355A027C"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516" w:type="pct"/>
          </w:tcPr>
          <w:p w14:paraId="591E1F25"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626" w:type="pct"/>
          </w:tcPr>
          <w:p w14:paraId="739DAEF2"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r>
      <w:tr w:rsidR="005D4199" w:rsidRPr="00BF52F4" w14:paraId="49794439" w14:textId="77777777" w:rsidTr="005D4199">
        <w:trPr>
          <w:trHeight w:val="159"/>
        </w:trPr>
        <w:tc>
          <w:tcPr>
            <w:cnfStyle w:val="001000000000" w:firstRow="0" w:lastRow="0" w:firstColumn="1" w:lastColumn="0" w:oddVBand="0" w:evenVBand="0" w:oddHBand="0" w:evenHBand="0" w:firstRowFirstColumn="0" w:firstRowLastColumn="0" w:lastRowFirstColumn="0" w:lastRowLastColumn="0"/>
            <w:tcW w:w="795" w:type="pct"/>
          </w:tcPr>
          <w:p w14:paraId="4E0DA5C0" w14:textId="77777777" w:rsidR="005D4199" w:rsidRPr="00BF52F4" w:rsidRDefault="005D4199" w:rsidP="005C254F">
            <w:pPr>
              <w:pStyle w:val="Tabletext0"/>
              <w:rPr>
                <w:b/>
                <w:kern w:val="0"/>
              </w:rPr>
            </w:pPr>
            <w:r w:rsidRPr="00BF52F4">
              <w:rPr>
                <w:b/>
                <w:kern w:val="0"/>
              </w:rPr>
              <w:t>Important potential risks</w:t>
            </w:r>
          </w:p>
        </w:tc>
        <w:tc>
          <w:tcPr>
            <w:tcW w:w="1921" w:type="pct"/>
          </w:tcPr>
          <w:p w14:paraId="7C9C86EC" w14:textId="77777777" w:rsidR="005D4199" w:rsidRPr="00C81F0E"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rPr>
            </w:pPr>
            <w:r w:rsidRPr="00C81F0E">
              <w:rPr>
                <w:kern w:val="0"/>
              </w:rPr>
              <w:t>Osteosarcoma</w:t>
            </w:r>
          </w:p>
        </w:tc>
        <w:tc>
          <w:tcPr>
            <w:tcW w:w="516" w:type="pct"/>
          </w:tcPr>
          <w:p w14:paraId="1BF10A37" w14:textId="77777777" w:rsidR="005D4199" w:rsidRPr="00C81F0E"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C81F0E">
              <w:rPr>
                <w:rFonts w:eastAsia="Cambria"/>
                <w:kern w:val="0"/>
              </w:rPr>
              <w:sym w:font="Wingdings" w:char="F0FC"/>
            </w:r>
            <w:r w:rsidRPr="00C81F0E">
              <w:rPr>
                <w:rFonts w:asciiTheme="majorHAnsi" w:hAnsiTheme="majorHAnsi"/>
                <w:kern w:val="0"/>
                <w:szCs w:val="20"/>
              </w:rPr>
              <w:t>†</w:t>
            </w:r>
          </w:p>
        </w:tc>
        <w:tc>
          <w:tcPr>
            <w:tcW w:w="626" w:type="pct"/>
          </w:tcPr>
          <w:p w14:paraId="0921AAD6" w14:textId="77777777" w:rsidR="005D4199" w:rsidRPr="00C81F0E"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C81F0E">
              <w:rPr>
                <w:kern w:val="0"/>
              </w:rPr>
              <w:t>–</w:t>
            </w:r>
          </w:p>
        </w:tc>
        <w:tc>
          <w:tcPr>
            <w:tcW w:w="516" w:type="pct"/>
          </w:tcPr>
          <w:p w14:paraId="6BA398D3"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rFonts w:eastAsia="Cambria"/>
                <w:kern w:val="0"/>
              </w:rPr>
              <w:sym w:font="Wingdings" w:char="F0FC"/>
            </w:r>
          </w:p>
        </w:tc>
        <w:tc>
          <w:tcPr>
            <w:tcW w:w="626" w:type="pct"/>
          </w:tcPr>
          <w:p w14:paraId="7E2AC29F"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rFonts w:eastAsia="Cambria"/>
                <w:kern w:val="0"/>
              </w:rPr>
              <w:sym w:font="Wingdings" w:char="F0FC"/>
            </w:r>
            <w:r>
              <w:rPr>
                <w:rFonts w:eastAsia="Cambria"/>
                <w:kern w:val="0"/>
              </w:rPr>
              <w:t>*</w:t>
            </w:r>
          </w:p>
        </w:tc>
      </w:tr>
      <w:tr w:rsidR="005D4199" w:rsidRPr="00BF52F4" w14:paraId="37949BC4" w14:textId="77777777" w:rsidTr="005D4199">
        <w:trPr>
          <w:trHeight w:val="178"/>
        </w:trPr>
        <w:tc>
          <w:tcPr>
            <w:cnfStyle w:val="001000000000" w:firstRow="0" w:lastRow="0" w:firstColumn="1" w:lastColumn="0" w:oddVBand="0" w:evenVBand="0" w:oddHBand="0" w:evenHBand="0" w:firstRowFirstColumn="0" w:firstRowLastColumn="0" w:lastRowFirstColumn="0" w:lastRowLastColumn="0"/>
            <w:tcW w:w="795" w:type="pct"/>
          </w:tcPr>
          <w:p w14:paraId="4C3B1F4A" w14:textId="77777777" w:rsidR="005D4199" w:rsidRPr="00BF52F4" w:rsidRDefault="005D4199" w:rsidP="005C254F">
            <w:pPr>
              <w:pStyle w:val="Tabletext0"/>
              <w:rPr>
                <w:b/>
                <w:kern w:val="0"/>
              </w:rPr>
            </w:pPr>
            <w:r w:rsidRPr="00BF52F4">
              <w:rPr>
                <w:b/>
                <w:kern w:val="0"/>
              </w:rPr>
              <w:t>Missing information</w:t>
            </w:r>
          </w:p>
        </w:tc>
        <w:tc>
          <w:tcPr>
            <w:tcW w:w="1921" w:type="pct"/>
          </w:tcPr>
          <w:p w14:paraId="132C38E5" w14:textId="77777777" w:rsidR="005D4199" w:rsidRPr="00BF52F4" w:rsidRDefault="005D4199" w:rsidP="005C254F">
            <w:pPr>
              <w:pStyle w:val="Tabletext0"/>
              <w:cnfStyle w:val="000000000000" w:firstRow="0" w:lastRow="0" w:firstColumn="0" w:lastColumn="0" w:oddVBand="0" w:evenVBand="0" w:oddHBand="0" w:evenHBand="0" w:firstRowFirstColumn="0" w:firstRowLastColumn="0" w:lastRowFirstColumn="0" w:lastRowLastColumn="0"/>
              <w:rPr>
                <w:kern w:val="0"/>
              </w:rPr>
            </w:pPr>
            <w:r>
              <w:rPr>
                <w:kern w:val="0"/>
              </w:rPr>
              <w:t>None</w:t>
            </w:r>
          </w:p>
        </w:tc>
        <w:tc>
          <w:tcPr>
            <w:tcW w:w="516" w:type="pct"/>
          </w:tcPr>
          <w:p w14:paraId="228F68F5"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626" w:type="pct"/>
          </w:tcPr>
          <w:p w14:paraId="72BA4895"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516" w:type="pct"/>
          </w:tcPr>
          <w:p w14:paraId="6F7F6434"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c>
          <w:tcPr>
            <w:tcW w:w="626" w:type="pct"/>
          </w:tcPr>
          <w:p w14:paraId="05340446" w14:textId="77777777" w:rsidR="005D4199" w:rsidRPr="0078153F" w:rsidRDefault="005D4199" w:rsidP="005C254F">
            <w:pPr>
              <w:pStyle w:val="Tabletext0"/>
              <w:jc w:val="center"/>
              <w:cnfStyle w:val="000000000000" w:firstRow="0" w:lastRow="0" w:firstColumn="0" w:lastColumn="0" w:oddVBand="0" w:evenVBand="0" w:oddHBand="0" w:evenHBand="0" w:firstRowFirstColumn="0" w:firstRowLastColumn="0" w:lastRowFirstColumn="0" w:lastRowLastColumn="0"/>
              <w:rPr>
                <w:kern w:val="0"/>
              </w:rPr>
            </w:pPr>
            <w:r w:rsidRPr="0078153F">
              <w:rPr>
                <w:kern w:val="0"/>
              </w:rPr>
              <w:t>–</w:t>
            </w:r>
          </w:p>
        </w:tc>
      </w:tr>
    </w:tbl>
    <w:p w14:paraId="5B82B831" w14:textId="468F7C97" w:rsidR="005D4199" w:rsidRPr="005D4199" w:rsidRDefault="005D4199" w:rsidP="005D4199">
      <w:pPr>
        <w:pStyle w:val="TableDescription"/>
      </w:pPr>
      <w:r w:rsidRPr="005D4199">
        <w:t>*</w:t>
      </w:r>
      <w:r>
        <w:t xml:space="preserve"> </w:t>
      </w:r>
      <w:r w:rsidRPr="005D4199">
        <w:t>Patient Consent Form ASA only.</w:t>
      </w:r>
    </w:p>
    <w:p w14:paraId="40E11DDF" w14:textId="07F761DA" w:rsidR="005D4199" w:rsidRPr="005D4199" w:rsidRDefault="005D4199" w:rsidP="005D4199">
      <w:pPr>
        <w:pStyle w:val="TableDescription"/>
      </w:pPr>
      <w:r w:rsidRPr="005D4199">
        <w:t>†</w:t>
      </w:r>
      <w:r>
        <w:t xml:space="preserve"> </w:t>
      </w:r>
      <w:r w:rsidRPr="005D4199">
        <w:t>Follow-up questionnaire for osteosarcoma</w:t>
      </w:r>
    </w:p>
    <w:p w14:paraId="1E42E11F" w14:textId="38718F4F" w:rsidR="005D4199" w:rsidRPr="005D4199" w:rsidRDefault="005D4199" w:rsidP="005D4199">
      <w:r w:rsidRPr="005D4199">
        <w:t>The nonclinical and clinical evaluators did not identify any new safety concerns. The summary of safety concerns is identical to those of recombinant teriparatide products and is acceptable.</w:t>
      </w:r>
    </w:p>
    <w:p w14:paraId="06C3228E" w14:textId="7097F480" w:rsidR="005D4199" w:rsidRPr="005D4199" w:rsidRDefault="005D4199" w:rsidP="005D4199">
      <w:r w:rsidRPr="005D4199">
        <w:t>Routine pharmacovigilance activities only are proposed. This includes a follow</w:t>
      </w:r>
      <w:r>
        <w:t xml:space="preserve"> </w:t>
      </w:r>
      <w:r w:rsidRPr="005D4199">
        <w:t>up questionnaire for osteosarcoma. This is consistent with other teriparatide products.</w:t>
      </w:r>
    </w:p>
    <w:p w14:paraId="07114F39" w14:textId="5E4F3915" w:rsidR="005D4199" w:rsidRDefault="005D4199" w:rsidP="005D4199">
      <w:r w:rsidRPr="005D4199">
        <w:t>Routine and additional risk minimisation activities are proposed. The additional risk minimisation activity is a patient consent form with a full explanation of the risk of treatment with teriparatide and the patients’ informed consent on the lifetime duration of 24 months’ treatment. This is consistent with other teriparatide products.</w:t>
      </w:r>
    </w:p>
    <w:p w14:paraId="4106D269" w14:textId="3F63F0B7" w:rsidR="005D4199" w:rsidRDefault="005D4199" w:rsidP="005D4199">
      <w:pPr>
        <w:pStyle w:val="Heading4"/>
      </w:pPr>
      <w:bookmarkStart w:id="55" w:name="_Toc144127406"/>
      <w:r>
        <w:lastRenderedPageBreak/>
        <w:t>Proposed wording for condition/s of registration</w:t>
      </w:r>
      <w:bookmarkEnd w:id="55"/>
    </w:p>
    <w:p w14:paraId="3DC2D8DE" w14:textId="77777777" w:rsidR="005D4199" w:rsidRPr="00205FFE" w:rsidRDefault="005D4199" w:rsidP="00205FFE">
      <w:r w:rsidRPr="00205FFE">
        <w:t>The implementation of the Patient Consent form and how information on the distribution of patient consent form will be collected, have not been finalised and are still under development. When known, the ASA should be updated with this detail.</w:t>
      </w:r>
    </w:p>
    <w:p w14:paraId="77068480" w14:textId="77777777" w:rsidR="005D4199" w:rsidRPr="00205FFE" w:rsidRDefault="005D4199" w:rsidP="00205FFE">
      <w:r w:rsidRPr="00205FFE">
        <w:t>However, the sponsor has stated that once finalised, this information will be submitted to TGA along with the final patient consent form for approval at least 6 weeks prior to it being uploaded to company’s website.</w:t>
      </w:r>
    </w:p>
    <w:p w14:paraId="204DBAC4" w14:textId="5C5756D0" w:rsidR="005D4199" w:rsidRDefault="005D4199" w:rsidP="00205FFE">
      <w:r w:rsidRPr="00205FFE">
        <w:t>The document/s to be included in the packaging should also be submitted to the TGA for review when finalised. The sponsor should allow at least 6 weeks for review and acceptance by the TGA. The sponsor should note that it is acceptable to include the CMI in the packaging (plus a user manual) instead of a different package leaflet which contains similar information to the CMI.</w:t>
      </w:r>
    </w:p>
    <w:p w14:paraId="490CE046" w14:textId="6C0299AF" w:rsidR="00205FFE" w:rsidRPr="00205FFE" w:rsidRDefault="00205FFE" w:rsidP="00205FFE">
      <w:pPr>
        <w:pStyle w:val="Heading5"/>
      </w:pPr>
      <w:r w:rsidRPr="00205FFE">
        <w:t>Wording for conditions of registration</w:t>
      </w:r>
    </w:p>
    <w:p w14:paraId="0E04C270" w14:textId="77777777" w:rsidR="00205FFE" w:rsidRPr="00205FFE" w:rsidRDefault="00205FFE" w:rsidP="00205FFE">
      <w:r w:rsidRPr="00205FFE">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67A3F077" w14:textId="3ACECF9A" w:rsidR="00205FFE" w:rsidRPr="00205FFE" w:rsidRDefault="00205FFE" w:rsidP="00205FFE">
      <w:r w:rsidRPr="00205FFE">
        <w:t>The suggested wording is:</w:t>
      </w:r>
    </w:p>
    <w:p w14:paraId="174D04C3" w14:textId="15599F1F" w:rsidR="00205FFE" w:rsidRPr="00205FFE" w:rsidRDefault="00205FFE" w:rsidP="00205FFE">
      <w:pPr>
        <w:ind w:left="720"/>
      </w:pPr>
      <w:r>
        <w:t>‘</w:t>
      </w:r>
      <w:r w:rsidRPr="00205FFE">
        <w:t xml:space="preserve">The Teriparatide Lupin, Teriparatide GH and Teriparatide LAPL EU-RMP (version 3.0, dated 19 June 2020, </w:t>
      </w:r>
      <w:r w:rsidR="0008573B">
        <w:t>DLP</w:t>
      </w:r>
      <w:r w:rsidRPr="00205FFE">
        <w:t xml:space="preserve"> 16 July 2018), with </w:t>
      </w:r>
      <w:r w:rsidR="0008573B">
        <w:t>ASA</w:t>
      </w:r>
      <w:r w:rsidRPr="00205FFE">
        <w:t xml:space="preserve"> (version 0.3, dated 14 November 2022), included with submission PM-2021-03753-1-5, and any subsequent revisions, as agreed with the TGA will be implemented in Australia.</w:t>
      </w:r>
      <w:r>
        <w:t>’</w:t>
      </w:r>
    </w:p>
    <w:p w14:paraId="00BC662A" w14:textId="013DD6F1" w:rsidR="00205FFE" w:rsidRPr="00205FFE" w:rsidRDefault="00205FFE" w:rsidP="00205FFE">
      <w:pPr>
        <w:autoSpaceDE w:val="0"/>
        <w:autoSpaceDN w:val="0"/>
        <w:adjustRightInd w:val="0"/>
        <w:spacing w:after="0" w:line="240" w:lineRule="auto"/>
        <w:rPr>
          <w:rFonts w:cs="Cambria"/>
          <w:color w:val="000000"/>
          <w:szCs w:val="22"/>
        </w:rPr>
      </w:pPr>
      <w:r w:rsidRPr="00205FFE">
        <w:rPr>
          <w:rFonts w:cs="Cambria"/>
          <w:color w:val="000000"/>
          <w:szCs w:val="22"/>
        </w:rPr>
        <w:t>The following wording is recommended for the PSUR requirement:</w:t>
      </w:r>
    </w:p>
    <w:p w14:paraId="56A80B02" w14:textId="3C6B99AB" w:rsidR="00205FFE" w:rsidRPr="00205FFE" w:rsidRDefault="00205FFE" w:rsidP="00205FFE">
      <w:pPr>
        <w:ind w:left="720"/>
      </w:pPr>
      <w:r>
        <w:t>‘</w:t>
      </w:r>
      <w:r w:rsidRPr="00205FFE">
        <w:t>An obligatory component of risk management plans is routine pharmacovigilance. Routine pharmacovigilance includes the submission of periodic safety update reports (PSURs).</w:t>
      </w:r>
    </w:p>
    <w:p w14:paraId="07BB3CF3" w14:textId="36A4A55F" w:rsidR="00205FFE" w:rsidRPr="00205FFE" w:rsidRDefault="00205FFE" w:rsidP="00205FFE">
      <w:pPr>
        <w:ind w:left="720"/>
      </w:pPr>
      <w:r w:rsidRPr="00205FFE">
        <w:t>Reports are to be provided in line with the current published list of EU reference dates and frequency of submission of PSURs until the period covered by such reports is not less than three years from the date of th</w:t>
      </w:r>
      <w:r w:rsidR="0008573B">
        <w:t>e</w:t>
      </w:r>
      <w:r w:rsidRPr="00205FFE">
        <w:t xml:space="preserve"> approval letter.</w:t>
      </w:r>
    </w:p>
    <w:p w14:paraId="351DE077" w14:textId="347BD3A5" w:rsidR="00205FFE" w:rsidRPr="00205FFE" w:rsidRDefault="00205FFE" w:rsidP="00205FFE">
      <w:pPr>
        <w:ind w:left="720"/>
        <w:rPr>
          <w:rFonts w:ascii="Arial" w:hAnsi="Arial" w:cs="Arial"/>
          <w:color w:val="000000"/>
          <w:szCs w:val="22"/>
        </w:rPr>
      </w:pPr>
      <w:r w:rsidRPr="00205FFE">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r>
        <w:t>’</w:t>
      </w:r>
    </w:p>
    <w:p w14:paraId="5638F2D2" w14:textId="509C037F" w:rsidR="00205FFE" w:rsidRPr="00205FFE" w:rsidRDefault="00205FFE" w:rsidP="00205FFE">
      <w:r w:rsidRPr="00205FFE">
        <w:t>As Teriparatide Lupin, Teriparatide GH and Teriparatide LAPL are new chemical entities they should be included in the Black Triangle Scheme as a condition of registration. The following wording is recommended for the condition of registration:</w:t>
      </w:r>
    </w:p>
    <w:p w14:paraId="61C847F7" w14:textId="718DC8E2" w:rsidR="00205FFE" w:rsidRPr="00205FFE" w:rsidRDefault="00205FFE" w:rsidP="00205FFE">
      <w:pPr>
        <w:ind w:left="720"/>
      </w:pPr>
      <w:r>
        <w:t>‘</w:t>
      </w:r>
      <w:r w:rsidRPr="00205FFE">
        <w:t>Teriparatide Lupin, Teriparatide GH and Teriparatide LAPL (teriparatide acetate) are to be included in the Black Triangle Scheme. The PI and CMI for Teriparatide Lupin, Teriparatide GH and Teriparatide LAPL must include the black triangle symbol and mandatory accompanying text for five years, which starts from the date that the sponsor notifies the TGA of supply of the product.</w:t>
      </w:r>
      <w:r>
        <w:t>’</w:t>
      </w:r>
    </w:p>
    <w:p w14:paraId="5B7DBB3A" w14:textId="06F2FEDB" w:rsidR="00205FFE" w:rsidRPr="00205FFE" w:rsidRDefault="00205FFE" w:rsidP="00205FFE">
      <w:pPr>
        <w:pStyle w:val="Heading5"/>
      </w:pPr>
      <w:r w:rsidRPr="00205FFE">
        <w:t>Recommendation</w:t>
      </w:r>
    </w:p>
    <w:p w14:paraId="1DAA4D85" w14:textId="01847A83" w:rsidR="00205FFE" w:rsidRPr="00205FFE" w:rsidRDefault="00205FFE" w:rsidP="00205FFE">
      <w:r w:rsidRPr="00205FFE">
        <w:t>The RMP evaluator did not recommend referral to ACM for RMP issues.</w:t>
      </w:r>
    </w:p>
    <w:p w14:paraId="74A4F87F" w14:textId="77777777" w:rsidR="00C22214" w:rsidRDefault="00C22214" w:rsidP="00C22214">
      <w:pPr>
        <w:pStyle w:val="Heading3"/>
      </w:pPr>
      <w:bookmarkStart w:id="56" w:name="_Toc103679299"/>
      <w:bookmarkStart w:id="57" w:name="_Toc144127407"/>
      <w:r>
        <w:lastRenderedPageBreak/>
        <w:t>Risk-benefit analysis</w:t>
      </w:r>
      <w:bookmarkEnd w:id="52"/>
      <w:bookmarkEnd w:id="53"/>
      <w:bookmarkEnd w:id="56"/>
      <w:bookmarkEnd w:id="57"/>
    </w:p>
    <w:p w14:paraId="77DE2655" w14:textId="77777777" w:rsidR="00C22214" w:rsidRDefault="00C22214" w:rsidP="00205FFE">
      <w:pPr>
        <w:pStyle w:val="Heading4"/>
      </w:pPr>
      <w:bookmarkStart w:id="58" w:name="_Toc98931932"/>
      <w:bookmarkStart w:id="59" w:name="_Toc144127408"/>
      <w:r>
        <w:t>Delegate’s considerations</w:t>
      </w:r>
      <w:bookmarkEnd w:id="58"/>
      <w:bookmarkEnd w:id="59"/>
    </w:p>
    <w:p w14:paraId="038DE1CB" w14:textId="47064AF1" w:rsidR="00205FFE" w:rsidRPr="00205FFE" w:rsidRDefault="00205FFE" w:rsidP="00205FFE">
      <w:r w:rsidRPr="00205FFE">
        <w:t xml:space="preserve">The </w:t>
      </w:r>
      <w:r>
        <w:t>s</w:t>
      </w:r>
      <w:r w:rsidRPr="00205FFE">
        <w:t xml:space="preserve">ponsor has submitted a </w:t>
      </w:r>
      <w:r w:rsidR="008468D4">
        <w:t>new chemical entity</w:t>
      </w:r>
      <w:r w:rsidRPr="00205FFE">
        <w:t xml:space="preserve"> application to register </w:t>
      </w:r>
      <w:r w:rsidR="00CC780E" w:rsidRPr="00364B2B">
        <w:t>Teriparatide Lupin</w:t>
      </w:r>
      <w:r w:rsidR="00CC780E">
        <w:t xml:space="preserve"> </w:t>
      </w:r>
      <w:r w:rsidRPr="00205FFE">
        <w:t xml:space="preserve">(and additional trade names) teriparatide 250 </w:t>
      </w:r>
      <w:r>
        <w:t>µg</w:t>
      </w:r>
      <w:r w:rsidRPr="00205FFE">
        <w:t xml:space="preserve"> solution for injection cartridge for the following indication:</w:t>
      </w:r>
    </w:p>
    <w:p w14:paraId="751BDB8B" w14:textId="7BAFB674" w:rsidR="00205FFE" w:rsidRPr="00205FFE" w:rsidRDefault="00205FFE" w:rsidP="00205FFE">
      <w:pPr>
        <w:ind w:left="720"/>
        <w:rPr>
          <w:i/>
          <w:iCs/>
        </w:rPr>
      </w:pPr>
      <w:r w:rsidRPr="00205FFE">
        <w:rPr>
          <w:i/>
          <w:iCs/>
        </w:rPr>
        <w:t xml:space="preserve">Teriparatide Lupin is indicated for the treatment of osteoporosis in postmenopausal women and the treatment of primary osteoporosis in men when other agents are considered unsuitable and when there is a high risk of fractures. </w:t>
      </w:r>
    </w:p>
    <w:p w14:paraId="1E2D9250" w14:textId="160C7847" w:rsidR="00205FFE" w:rsidRDefault="00205FFE" w:rsidP="00205FFE">
      <w:pPr>
        <w:ind w:left="720"/>
      </w:pPr>
      <w:r w:rsidRPr="00205FFE">
        <w:rPr>
          <w:i/>
          <w:iCs/>
        </w:rPr>
        <w:t>Teriparatide Lupin is indicated for the treatment of osteoporosis associated with sustained systemic glucocorticoid therapy in women and men at high risk for fracture.</w:t>
      </w:r>
    </w:p>
    <w:p w14:paraId="193C794A" w14:textId="58945FD3" w:rsidR="00205FFE" w:rsidRPr="00205FFE" w:rsidRDefault="00205FFE" w:rsidP="00205FFE">
      <w:r w:rsidRPr="00205FFE">
        <w:t>The recommended dose of Teriparatide Lupin is 20 micrograms administered once daily</w:t>
      </w:r>
      <w:r>
        <w:t>.</w:t>
      </w:r>
    </w:p>
    <w:p w14:paraId="4005C19B" w14:textId="1526FCE3" w:rsidR="00205FFE" w:rsidRPr="00205FFE" w:rsidRDefault="00CC780E" w:rsidP="00205FFE">
      <w:r w:rsidRPr="00364B2B">
        <w:t>Teriparatide Lupin</w:t>
      </w:r>
      <w:r>
        <w:t xml:space="preserve"> </w:t>
      </w:r>
      <w:r w:rsidR="00205FFE" w:rsidRPr="00205FFE">
        <w:t xml:space="preserve">has been developed as a generic of </w:t>
      </w:r>
      <w:proofErr w:type="spellStart"/>
      <w:r w:rsidR="00205FFE" w:rsidRPr="00205FFE">
        <w:t>F</w:t>
      </w:r>
      <w:r>
        <w:t>orteo</w:t>
      </w:r>
      <w:proofErr w:type="spellEnd"/>
      <w:r w:rsidR="00205FFE" w:rsidRPr="00205FFE">
        <w:t xml:space="preserve"> by Eli Lilly. Teriparatide, is a form of PTH consisting of the first (N-terminus) 34 amino acids, which is the bioactive portion of the hormone. </w:t>
      </w:r>
      <w:proofErr w:type="spellStart"/>
      <w:r w:rsidR="00205FFE" w:rsidRPr="00205FFE">
        <w:t>F</w:t>
      </w:r>
      <w:r>
        <w:t>orteo</w:t>
      </w:r>
      <w:proofErr w:type="spellEnd"/>
      <w:r w:rsidR="00205FFE" w:rsidRPr="00205FFE">
        <w:t xml:space="preserve"> is a biological product in which the active ingredient is produced by recombinant DNA technology in </w:t>
      </w:r>
      <w:r w:rsidR="00205FFE" w:rsidRPr="00CC780E">
        <w:rPr>
          <w:i/>
          <w:iCs/>
        </w:rPr>
        <w:t>E. coli</w:t>
      </w:r>
      <w:r w:rsidR="00205FFE" w:rsidRPr="00205FFE">
        <w:t xml:space="preserve">. Teriparatide lupin, as presented in this submission, is of synthetic origin. The proposed indication, patient groups and dosing </w:t>
      </w:r>
      <w:proofErr w:type="spellStart"/>
      <w:r w:rsidR="00205FFE" w:rsidRPr="00205FFE">
        <w:t>regime</w:t>
      </w:r>
      <w:proofErr w:type="spellEnd"/>
      <w:r w:rsidR="00205FFE" w:rsidRPr="00205FFE">
        <w:t xml:space="preserve"> are identical to that of the reference product.</w:t>
      </w:r>
    </w:p>
    <w:p w14:paraId="776EE719" w14:textId="3CB5B34F" w:rsidR="00205FFE" w:rsidRDefault="00205FFE" w:rsidP="00205FFE">
      <w:r w:rsidRPr="00205FFE">
        <w:t xml:space="preserve">The </w:t>
      </w:r>
      <w:r w:rsidR="00CC780E">
        <w:t>s</w:t>
      </w:r>
      <w:r w:rsidRPr="00205FFE">
        <w:t xml:space="preserve">ponsor stated the product in this application is approved in Europe through several parallel </w:t>
      </w:r>
      <w:r w:rsidR="008468D4">
        <w:t xml:space="preserve">decentralised </w:t>
      </w:r>
      <w:r w:rsidRPr="00205FFE">
        <w:t xml:space="preserve">procedures with Germany as the </w:t>
      </w:r>
      <w:r w:rsidR="008468D4" w:rsidRPr="008468D4">
        <w:t>Reference Member State</w:t>
      </w:r>
      <w:r w:rsidRPr="00205FFE">
        <w:t xml:space="preserve"> and several EU countries as the Concerned Member States.</w:t>
      </w:r>
    </w:p>
    <w:p w14:paraId="5C504FF0" w14:textId="69713669" w:rsidR="00205FFE" w:rsidRPr="00205FFE" w:rsidRDefault="00205FFE" w:rsidP="00205FFE">
      <w:pPr>
        <w:pStyle w:val="Heading5"/>
      </w:pPr>
      <w:r w:rsidRPr="00205FFE">
        <w:t>Manufacturing and quality control</w:t>
      </w:r>
      <w:r w:rsidR="00CC780E">
        <w:t xml:space="preserve"> </w:t>
      </w:r>
      <w:r w:rsidRPr="00205FFE">
        <w:t>data evaluation</w:t>
      </w:r>
    </w:p>
    <w:p w14:paraId="1017A4C6" w14:textId="77777777" w:rsidR="00205FFE" w:rsidRPr="00205FFE" w:rsidRDefault="00205FFE" w:rsidP="00205FFE">
      <w:r w:rsidRPr="00205FFE">
        <w:t xml:space="preserve">The only and most important difference between the reference product and generic product is the manufacturing process of the active substance. While the originator </w:t>
      </w:r>
      <w:proofErr w:type="spellStart"/>
      <w:r w:rsidRPr="00205FFE">
        <w:t>Forteo</w:t>
      </w:r>
      <w:proofErr w:type="spellEnd"/>
      <w:r w:rsidRPr="00205FFE">
        <w:t xml:space="preserve"> contains recombinantly produced teriparatide, the active substance in the proposed product is of synthetic origin. </w:t>
      </w:r>
    </w:p>
    <w:p w14:paraId="7618F9B2" w14:textId="6F1C9006" w:rsidR="00205FFE" w:rsidRPr="00205FFE" w:rsidRDefault="00205FFE" w:rsidP="00205FFE">
      <w:r w:rsidRPr="00205FFE">
        <w:t>The drug substance specifications include appropriate tests and acceptable limits for appearance, solubility, identity, peptide content (95</w:t>
      </w:r>
      <w:r w:rsidR="00CC780E">
        <w:t xml:space="preserve"> to </w:t>
      </w:r>
      <w:r w:rsidRPr="00205FFE">
        <w:t xml:space="preserve">105%), related substances, water content, acetic acid content, trifluoroacetic acid content and microbial organisms. </w:t>
      </w:r>
    </w:p>
    <w:p w14:paraId="37302397" w14:textId="77777777" w:rsidR="00205FFE" w:rsidRPr="00205FFE" w:rsidRDefault="00205FFE" w:rsidP="00205FFE">
      <w:r w:rsidRPr="00205FFE">
        <w:t xml:space="preserve">The finished product is appropriately controlled with tests for appearance, particulate contamination, identity, pH, extractable volume, assay, degradation impurities, dose accuracy, m-Cresol content and microbial limits. Degradation products are controlled according to the Ph </w:t>
      </w:r>
      <w:proofErr w:type="spellStart"/>
      <w:r w:rsidRPr="00205FFE">
        <w:t>Eur</w:t>
      </w:r>
      <w:proofErr w:type="spellEnd"/>
      <w:r w:rsidRPr="00205FFE">
        <w:t xml:space="preserve"> identification and qualification thresholds for the proposed product. </w:t>
      </w:r>
    </w:p>
    <w:p w14:paraId="4CD2307F" w14:textId="67B41296" w:rsidR="00205FFE" w:rsidRPr="00205FFE" w:rsidRDefault="00205FFE" w:rsidP="00205FFE">
      <w:r w:rsidRPr="00205FFE">
        <w:t xml:space="preserve">The only and most important difference between reference product and generic product is the manufacturing process of the active substance. </w:t>
      </w:r>
      <w:r w:rsidRPr="005C6ED7">
        <w:t xml:space="preserve">The </w:t>
      </w:r>
      <w:r w:rsidR="008468D4" w:rsidRPr="005C6ED7">
        <w:t>sponsor</w:t>
      </w:r>
      <w:r w:rsidRPr="005C6ED7">
        <w:t xml:space="preserve"> performed an analytical comparability study </w:t>
      </w:r>
      <w:r w:rsidRPr="00C63B4F">
        <w:t>on the level of structural comparison and comparison of the impurity profile</w:t>
      </w:r>
      <w:r w:rsidRPr="005C6ED7">
        <w:t xml:space="preserve">. This </w:t>
      </w:r>
      <w:r w:rsidRPr="005C6ED7">
        <w:rPr>
          <w:i/>
          <w:iCs/>
        </w:rPr>
        <w:t>in vitro</w:t>
      </w:r>
      <w:r w:rsidRPr="005C6ED7">
        <w:t xml:space="preserve"> comparison indicates that the products are equivalent.</w:t>
      </w:r>
    </w:p>
    <w:p w14:paraId="369B4D68" w14:textId="335F4B5F" w:rsidR="00205FFE" w:rsidRPr="00205FFE" w:rsidRDefault="00205FFE" w:rsidP="00205FFE">
      <w:r w:rsidRPr="00205FFE">
        <w:t>Approval for registration of the proposed product is recommended from a pharmaceutical chemistry perspective.</w:t>
      </w:r>
    </w:p>
    <w:p w14:paraId="7EF55D61" w14:textId="62C98E9E" w:rsidR="00205FFE" w:rsidRPr="00205FFE" w:rsidRDefault="00205FFE" w:rsidP="00205FFE">
      <w:pPr>
        <w:pStyle w:val="Heading5"/>
      </w:pPr>
      <w:r w:rsidRPr="00205FFE">
        <w:t>Nonclinical data evaluation</w:t>
      </w:r>
    </w:p>
    <w:p w14:paraId="260C40D6" w14:textId="6A090076" w:rsidR="00205FFE" w:rsidRPr="00205FFE" w:rsidRDefault="00205FFE" w:rsidP="00205FFE">
      <w:r w:rsidRPr="00205FFE">
        <w:t xml:space="preserve">The </w:t>
      </w:r>
      <w:r w:rsidR="00CC780E">
        <w:t>oversea evaluator</w:t>
      </w:r>
      <w:r w:rsidRPr="00205FFE">
        <w:t xml:space="preserve"> noted that the pharmacodynamic, pharmacokinetic and toxicological properties of teriparatide are well known. As teriparatide is a widely used, well</w:t>
      </w:r>
      <w:r w:rsidR="00CC780E">
        <w:t xml:space="preserve"> </w:t>
      </w:r>
      <w:r w:rsidRPr="00205FFE">
        <w:t xml:space="preserve">known active substance, the applicant has not provided additional studies and further studies are not </w:t>
      </w:r>
      <w:r w:rsidRPr="00205FFE">
        <w:lastRenderedPageBreak/>
        <w:t xml:space="preserve">required. The </w:t>
      </w:r>
      <w:r w:rsidR="00CC780E">
        <w:t>oversea evaluator</w:t>
      </w:r>
      <w:r w:rsidR="00CC780E" w:rsidRPr="00205FFE">
        <w:t xml:space="preserve"> </w:t>
      </w:r>
      <w:r w:rsidR="00CC780E">
        <w:t>n</w:t>
      </w:r>
      <w:r w:rsidRPr="00205FFE">
        <w:t xml:space="preserve">onclinical </w:t>
      </w:r>
      <w:r w:rsidR="00CC780E">
        <w:t>a</w:t>
      </w:r>
      <w:r w:rsidRPr="00205FFE">
        <w:t xml:space="preserve">ssessment states that </w:t>
      </w:r>
      <w:r w:rsidR="00CC780E">
        <w:t>‘</w:t>
      </w:r>
      <w:r w:rsidRPr="00CC780E">
        <w:rPr>
          <w:i/>
          <w:iCs/>
        </w:rPr>
        <w:t>The nonclinical overview on the pre-clinical pharmacology, pharmacokinetics and toxicology is adequate</w:t>
      </w:r>
      <w:r w:rsidR="00CC780E" w:rsidRPr="00CC780E">
        <w:rPr>
          <w:i/>
          <w:iCs/>
        </w:rPr>
        <w:t>’</w:t>
      </w:r>
      <w:r w:rsidRPr="00205FFE">
        <w:t>. The TGA nonclinical evaluator agreed.</w:t>
      </w:r>
    </w:p>
    <w:p w14:paraId="3F20091D" w14:textId="7663AE51" w:rsidR="00205FFE" w:rsidRPr="00205FFE" w:rsidRDefault="00205FFE" w:rsidP="00205FFE">
      <w:r w:rsidRPr="00205FFE">
        <w:t>There are no nonclinical objections to registration.</w:t>
      </w:r>
    </w:p>
    <w:p w14:paraId="4B0A804A" w14:textId="1F66133D" w:rsidR="00205FFE" w:rsidRPr="00205FFE" w:rsidRDefault="00205FFE" w:rsidP="00205FFE">
      <w:pPr>
        <w:pStyle w:val="Heading5"/>
      </w:pPr>
      <w:r w:rsidRPr="00205FFE">
        <w:t>Clinical data evaluation</w:t>
      </w:r>
    </w:p>
    <w:p w14:paraId="6CE88028" w14:textId="229A26DD" w:rsidR="00205FFE" w:rsidRPr="00205FFE" w:rsidRDefault="00205FFE" w:rsidP="00205FFE">
      <w:r w:rsidRPr="00205FFE">
        <w:t xml:space="preserve">There were no bioequivalence or clinical data for the proposed product submitted. The application is reliant on </w:t>
      </w:r>
      <w:r w:rsidR="00CC780E">
        <w:t>quality</w:t>
      </w:r>
      <w:r w:rsidRPr="00205FFE">
        <w:t xml:space="preserve"> data</w:t>
      </w:r>
      <w:r w:rsidR="00CC780E">
        <w:t xml:space="preserve">. </w:t>
      </w:r>
    </w:p>
    <w:p w14:paraId="0BBEA231" w14:textId="2E89603D" w:rsidR="00205FFE" w:rsidRPr="00205FFE" w:rsidRDefault="00205FFE" w:rsidP="00205FFE">
      <w:r w:rsidRPr="00205FFE">
        <w:t>The RMP evaluator has recommended changes to the CMI and wording for conditions of registration as described previously in this report.</w:t>
      </w:r>
    </w:p>
    <w:p w14:paraId="3916F296" w14:textId="77777777" w:rsidR="00C22214" w:rsidRDefault="00C22214" w:rsidP="00C22214">
      <w:pPr>
        <w:pStyle w:val="Heading4"/>
      </w:pPr>
      <w:bookmarkStart w:id="60" w:name="_Toc98931933"/>
      <w:bookmarkStart w:id="61" w:name="_Toc144127409"/>
      <w:r w:rsidRPr="00D23139">
        <w:t>Proposed action</w:t>
      </w:r>
      <w:bookmarkEnd w:id="60"/>
      <w:bookmarkEnd w:id="61"/>
    </w:p>
    <w:p w14:paraId="3BD8DBC3" w14:textId="4EE97CED" w:rsidR="00205FFE" w:rsidRDefault="00205FFE" w:rsidP="00205FFE">
      <w:r>
        <w:t xml:space="preserve">It is considered that the data presented for evaluation is sufficient to approve the application to register </w:t>
      </w:r>
      <w:r w:rsidR="00CC780E" w:rsidRPr="00364B2B">
        <w:t>Teriparatide Lupin</w:t>
      </w:r>
      <w:r w:rsidR="00CC780E">
        <w:t>/</w:t>
      </w:r>
      <w:r w:rsidR="00CC780E" w:rsidRPr="00364B2B">
        <w:t>Teriparatide LAPL</w:t>
      </w:r>
      <w:r w:rsidR="00CC780E">
        <w:t>/</w:t>
      </w:r>
      <w:r w:rsidR="00CC780E" w:rsidRPr="00364B2B">
        <w:t>Teriparatide GH</w:t>
      </w:r>
      <w:r>
        <w:t xml:space="preserve"> </w:t>
      </w:r>
      <w:r w:rsidR="00CC780E">
        <w:t>(</w:t>
      </w:r>
      <w:r>
        <w:t>teriparatide</w:t>
      </w:r>
      <w:r w:rsidR="00CC780E">
        <w:t>)</w:t>
      </w:r>
      <w:r>
        <w:t xml:space="preserve"> 250 </w:t>
      </w:r>
      <w:r w:rsidR="00CC780E">
        <w:t>µg</w:t>
      </w:r>
      <w:r>
        <w:t xml:space="preserve"> solution for injection cartridge for the following indication:</w:t>
      </w:r>
    </w:p>
    <w:p w14:paraId="0973A44E" w14:textId="06B777A6" w:rsidR="00205FFE" w:rsidRPr="00205FFE" w:rsidRDefault="00205FFE" w:rsidP="00205FFE">
      <w:pPr>
        <w:ind w:left="720"/>
        <w:rPr>
          <w:i/>
          <w:iCs/>
        </w:rPr>
      </w:pPr>
      <w:r w:rsidRPr="00205FFE">
        <w:rPr>
          <w:i/>
          <w:iCs/>
        </w:rPr>
        <w:t>Teriparatide Lupin is indicated for the treatment of osteoporosis in postmenopausal women and the treatment of primary osteoporosis in men when other agents are considered unsuitable and when there is a high risk of fractures.</w:t>
      </w:r>
    </w:p>
    <w:p w14:paraId="3472FD5B" w14:textId="4775C6FD" w:rsidR="00205FFE" w:rsidRDefault="00205FFE" w:rsidP="00205FFE">
      <w:pPr>
        <w:ind w:left="720"/>
      </w:pPr>
      <w:r w:rsidRPr="00205FFE">
        <w:rPr>
          <w:i/>
          <w:iCs/>
        </w:rPr>
        <w:t>Teriparatide Lupin is indicated for the treatment of osteoporosis associated with sustained systemic glucocorticoid therapy in women and men at high risk for fracture.</w:t>
      </w:r>
    </w:p>
    <w:p w14:paraId="0B300D96" w14:textId="1095D455" w:rsidR="00205FFE" w:rsidRPr="00205FFE" w:rsidRDefault="00CC780E" w:rsidP="00205FFE">
      <w:r>
        <w:t>The Delegate</w:t>
      </w:r>
      <w:r w:rsidR="00205FFE">
        <w:t xml:space="preserve"> propose to approve the registration of </w:t>
      </w:r>
      <w:r w:rsidRPr="00364B2B">
        <w:t>Teriparatide Lupin</w:t>
      </w:r>
      <w:r>
        <w:t>/</w:t>
      </w:r>
      <w:r w:rsidRPr="00364B2B">
        <w:t>Teriparatide LAPL</w:t>
      </w:r>
      <w:r>
        <w:t>/</w:t>
      </w:r>
      <w:r w:rsidRPr="00364B2B">
        <w:t>Teriparatide GH</w:t>
      </w:r>
      <w:r w:rsidR="00205FFE">
        <w:t>.</w:t>
      </w:r>
    </w:p>
    <w:p w14:paraId="318CFABC" w14:textId="77777777" w:rsidR="00C22214" w:rsidRPr="00F73346" w:rsidRDefault="00C22214" w:rsidP="00C22214">
      <w:pPr>
        <w:pStyle w:val="Heading4"/>
      </w:pPr>
      <w:bookmarkStart w:id="62" w:name="_Toc98931936"/>
      <w:bookmarkStart w:id="63" w:name="_Toc144127410"/>
      <w:bookmarkStart w:id="64" w:name="_Toc247691532"/>
      <w:bookmarkStart w:id="65" w:name="_Toc314842516"/>
      <w:r w:rsidRPr="00F73346">
        <w:t>Advisory Committee considerations</w:t>
      </w:r>
      <w:bookmarkEnd w:id="62"/>
      <w:bookmarkEnd w:id="63"/>
    </w:p>
    <w:p w14:paraId="15E2951C" w14:textId="38664E5A" w:rsidR="00C22214" w:rsidRPr="00BD5DBD" w:rsidRDefault="00C22214" w:rsidP="00C22214">
      <w:pPr>
        <w:rPr>
          <w:szCs w:val="22"/>
        </w:rPr>
      </w:pPr>
      <w:r w:rsidRPr="00BD5DBD">
        <w:rPr>
          <w:szCs w:val="22"/>
        </w:rPr>
        <w:t>The Delegate did not refer this submission to the Advisory Committee on Medicines (ACM</w:t>
      </w:r>
      <w:r w:rsidR="00205FFE">
        <w:rPr>
          <w:szCs w:val="22"/>
        </w:rPr>
        <w:t>)</w:t>
      </w:r>
      <w:r w:rsidRPr="00BD5DBD">
        <w:rPr>
          <w:szCs w:val="22"/>
        </w:rPr>
        <w:t xml:space="preserve"> for advice.</w:t>
      </w:r>
    </w:p>
    <w:p w14:paraId="307F236C" w14:textId="77777777" w:rsidR="00C22214" w:rsidRPr="002E238E" w:rsidRDefault="00C22214" w:rsidP="00C22214">
      <w:pPr>
        <w:pStyle w:val="Heading2"/>
      </w:pPr>
      <w:bookmarkStart w:id="66" w:name="_Toc103679300"/>
      <w:bookmarkStart w:id="67" w:name="_Toc144127411"/>
      <w:r>
        <w:t>Outcome</w:t>
      </w:r>
      <w:bookmarkEnd w:id="64"/>
      <w:bookmarkEnd w:id="65"/>
      <w:bookmarkEnd w:id="66"/>
      <w:bookmarkEnd w:id="67"/>
    </w:p>
    <w:p w14:paraId="4EF22939" w14:textId="52673733" w:rsidR="00C22214" w:rsidRPr="00BD5DBD" w:rsidRDefault="00C22214" w:rsidP="00C22214">
      <w:pPr>
        <w:spacing w:after="480"/>
        <w:rPr>
          <w:szCs w:val="22"/>
        </w:rPr>
      </w:pPr>
      <w:r w:rsidRPr="00BD5DBD">
        <w:rPr>
          <w:szCs w:val="22"/>
        </w:rPr>
        <w:t xml:space="preserve">Based on a review of quality, safety, and efficacy, the TGA approved the registration of </w:t>
      </w:r>
      <w:r w:rsidR="00205FFE" w:rsidRPr="00364B2B">
        <w:t>Teriparatide Lupin</w:t>
      </w:r>
      <w:r w:rsidR="00205FFE">
        <w:t>/</w:t>
      </w:r>
      <w:r w:rsidR="00205FFE" w:rsidRPr="00364B2B">
        <w:t>Teriparatide LAPL</w:t>
      </w:r>
      <w:r w:rsidR="00205FFE">
        <w:t>/</w:t>
      </w:r>
      <w:r w:rsidR="00205FFE" w:rsidRPr="00364B2B">
        <w:t xml:space="preserve">Teriparatide GH </w:t>
      </w:r>
      <w:r w:rsidR="00205FFE">
        <w:t>(t</w:t>
      </w:r>
      <w:r w:rsidR="00205FFE" w:rsidRPr="00364B2B">
        <w:t>eriparatide</w:t>
      </w:r>
      <w:r w:rsidR="00205FFE" w:rsidRPr="00BD5DBD">
        <w:rPr>
          <w:szCs w:val="22"/>
        </w:rPr>
        <w:t xml:space="preserve">) </w:t>
      </w:r>
      <w:r w:rsidR="00205FFE">
        <w:rPr>
          <w:szCs w:val="22"/>
        </w:rPr>
        <w:t>250µg/mL</w:t>
      </w:r>
      <w:r w:rsidR="00205FFE" w:rsidRPr="00BD5DBD">
        <w:rPr>
          <w:szCs w:val="22"/>
        </w:rPr>
        <w:t xml:space="preserve">, </w:t>
      </w:r>
      <w:r w:rsidR="00205FFE">
        <w:rPr>
          <w:szCs w:val="22"/>
        </w:rPr>
        <w:t>solution for injection</w:t>
      </w:r>
      <w:r w:rsidR="00205FFE" w:rsidRPr="00BD5DBD">
        <w:rPr>
          <w:szCs w:val="22"/>
        </w:rPr>
        <w:t xml:space="preserve">, </w:t>
      </w:r>
      <w:r w:rsidR="00205FFE">
        <w:rPr>
          <w:szCs w:val="22"/>
        </w:rPr>
        <w:t>pre-filled cartridge</w:t>
      </w:r>
      <w:r w:rsidR="00205FFE" w:rsidRPr="00BD5DBD">
        <w:rPr>
          <w:szCs w:val="22"/>
        </w:rPr>
        <w:t xml:space="preserve"> </w:t>
      </w:r>
      <w:r w:rsidRPr="00BD5DBD">
        <w:rPr>
          <w:szCs w:val="22"/>
        </w:rPr>
        <w:t>indicated:</w:t>
      </w:r>
    </w:p>
    <w:p w14:paraId="7FE47FFF" w14:textId="301C7178" w:rsidR="00205FFE" w:rsidRPr="00CC780E" w:rsidRDefault="00CC780E" w:rsidP="00CC780E">
      <w:pPr>
        <w:ind w:left="720"/>
        <w:rPr>
          <w:i/>
          <w:iCs/>
        </w:rPr>
      </w:pPr>
      <w:bookmarkStart w:id="68" w:name="_Toc103679301"/>
      <w:r w:rsidRPr="00CC780E">
        <w:rPr>
          <w:i/>
          <w:iCs/>
        </w:rPr>
        <w:t>Teriparatide Lupin/Teriparatide LAPL/Teriparatide GH</w:t>
      </w:r>
      <w:r w:rsidR="00205FFE" w:rsidRPr="00CC780E">
        <w:rPr>
          <w:i/>
          <w:iCs/>
        </w:rPr>
        <w:t xml:space="preserve"> is indicated for the treatment of osteoporosis in postmenopausal women and the treatment of primary osteoporosis in men when other agents are considered unsuitable and when there is a high risk of fractures.</w:t>
      </w:r>
    </w:p>
    <w:p w14:paraId="45FB2E67" w14:textId="370AB05B" w:rsidR="00205FFE" w:rsidRPr="00205FFE" w:rsidRDefault="00CC780E" w:rsidP="00CC780E">
      <w:pPr>
        <w:ind w:left="720"/>
      </w:pPr>
      <w:r w:rsidRPr="00CC780E">
        <w:rPr>
          <w:i/>
          <w:iCs/>
        </w:rPr>
        <w:t>Teriparatide Lupin/Teriparatide LAPL/Teriparatide GH</w:t>
      </w:r>
      <w:r w:rsidR="00205FFE" w:rsidRPr="00CC780E">
        <w:rPr>
          <w:i/>
          <w:iCs/>
        </w:rPr>
        <w:t xml:space="preserve"> is indicated for the treatment of osteoporosis associated with sustained systemic glucocorticoid therapy in women and men at high risk for fracture.</w:t>
      </w:r>
    </w:p>
    <w:p w14:paraId="0D732DA4" w14:textId="1F100E24" w:rsidR="00854D98" w:rsidRPr="00D23139" w:rsidRDefault="00854D98" w:rsidP="00205FFE">
      <w:pPr>
        <w:pStyle w:val="Heading3"/>
      </w:pPr>
      <w:bookmarkStart w:id="69" w:name="_Toc144127412"/>
      <w:r w:rsidRPr="00D23139">
        <w:t>Specific conditions of registration applying to these goods</w:t>
      </w:r>
      <w:bookmarkEnd w:id="68"/>
      <w:bookmarkEnd w:id="69"/>
    </w:p>
    <w:p w14:paraId="72579F39" w14:textId="7D0DA023" w:rsidR="00CC780E" w:rsidRDefault="00CC780E" w:rsidP="00CC780E">
      <w:pPr>
        <w:pStyle w:val="ListBullet"/>
      </w:pPr>
      <w:r>
        <w:t xml:space="preserve">Teriparatide Lupin, Teriparatide GH and Teriparatide LAPL (teriparatide acetate) are to be included in the Black Triangle Scheme. The PI and CMI for Teriparatide Lupin, Teriparatide </w:t>
      </w:r>
      <w:r>
        <w:lastRenderedPageBreak/>
        <w:t>GH and Teriparatide LAPL must include the black triangle symbol and mandatory accompanying text for five years, which starts from the date that the sponsor notifies the TGA of supply of the product.</w:t>
      </w:r>
    </w:p>
    <w:p w14:paraId="4E902876" w14:textId="1A18198D" w:rsidR="00CC780E" w:rsidRDefault="00CC780E" w:rsidP="00CC780E">
      <w:pPr>
        <w:pStyle w:val="ListBullet"/>
      </w:pPr>
      <w:r>
        <w:t>The Teriparatide Lupin, Teriparatide GH and Teriparatide LAPL EU-RMP (version 3.0, dated 19 June 2020, DLP 16 July 2018), with ASA (version 0.3, dated 14 November 2022), included with submission PM-2021-03753-1-5, and any subsequent revisions, as agreed with the TGA will be implemented in Australia.</w:t>
      </w:r>
    </w:p>
    <w:p w14:paraId="7CC54EAC" w14:textId="5EF63947" w:rsidR="00CC780E" w:rsidRDefault="00CC780E" w:rsidP="00CC780E">
      <w:pPr>
        <w:pStyle w:val="ListBullet"/>
      </w:pPr>
      <w:r>
        <w:t>An obligatory component of risk management plans is routine pharmacovigilance. Routine pharmacovigilance includes the submission of periodic safety update reports (PSURs).</w:t>
      </w:r>
    </w:p>
    <w:p w14:paraId="38681472" w14:textId="566873B7" w:rsidR="00CC780E" w:rsidRDefault="00CC780E" w:rsidP="00CC780E">
      <w:pPr>
        <w:pStyle w:val="ListBullet"/>
      </w:pPr>
      <w:r>
        <w:t xml:space="preserve">Reports are to be provided in line with the current published list of EU reference dates and frequency of submission of PSURs until the period covered by such reports is not less than three years from the date of the approval letter. </w:t>
      </w:r>
    </w:p>
    <w:p w14:paraId="0BE52BEA" w14:textId="068379A1" w:rsidR="00CC780E" w:rsidRDefault="00CC780E" w:rsidP="00CC780E">
      <w:pPr>
        <w:pStyle w:val="ListBullet"/>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413F5881" w14:textId="50C1405A" w:rsidR="00CC780E" w:rsidRPr="00CC780E" w:rsidRDefault="00CC780E" w:rsidP="00CC780E">
      <w:pPr>
        <w:pStyle w:val="ListBullet"/>
      </w:pPr>
      <w:r>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451DC3FC" w14:textId="77777777" w:rsidR="00C22214" w:rsidRDefault="00C22214" w:rsidP="00C22214">
      <w:pPr>
        <w:pStyle w:val="Heading2"/>
      </w:pPr>
      <w:bookmarkStart w:id="70" w:name="_Toc103679303"/>
      <w:bookmarkStart w:id="71" w:name="_Toc144127413"/>
      <w:r>
        <w:t>Attachment 1. Product Information</w:t>
      </w:r>
      <w:bookmarkEnd w:id="70"/>
      <w:bookmarkEnd w:id="71"/>
    </w:p>
    <w:p w14:paraId="21F47164" w14:textId="72F43346" w:rsidR="00C22214" w:rsidRPr="00BD5DBD" w:rsidRDefault="00C22214" w:rsidP="00C22214">
      <w:pPr>
        <w:rPr>
          <w:szCs w:val="22"/>
        </w:rPr>
      </w:pPr>
      <w:r w:rsidRPr="00BD5DBD">
        <w:rPr>
          <w:szCs w:val="22"/>
        </w:rPr>
        <w:t xml:space="preserve">The PI for </w:t>
      </w:r>
      <w:r w:rsidR="00CC780E">
        <w:t>Teriparatide Lupin</w:t>
      </w:r>
      <w:r w:rsidR="00CC780E">
        <w:rPr>
          <w:szCs w:val="22"/>
        </w:rPr>
        <w:t xml:space="preserve"> </w:t>
      </w:r>
      <w:r w:rsidRPr="00BD5DBD">
        <w:rPr>
          <w:szCs w:val="22"/>
        </w:rPr>
        <w:t xml:space="preserve">approved with the submission which is described in this AusPAR is at Attachment 1. For the most recent PI, please refer to the TGA </w:t>
      </w:r>
      <w:hyperlink r:id="rId23" w:history="1">
        <w:r w:rsidRPr="00BD5DBD">
          <w:rPr>
            <w:rStyle w:val="Hyperlink"/>
            <w:szCs w:val="22"/>
          </w:rPr>
          <w:t>PI/CMI search facility.</w:t>
        </w:r>
      </w:hyperlink>
      <w:r w:rsidRPr="00BD5DBD">
        <w:rPr>
          <w:szCs w:val="22"/>
        </w:rPr>
        <w:t xml:space="preserve"> </w:t>
      </w:r>
    </w:p>
    <w:p w14:paraId="307981C4" w14:textId="4B4251AA" w:rsidR="00C22214" w:rsidRPr="00C22214" w:rsidRDefault="00C22214" w:rsidP="00CC780E">
      <w:pPr>
        <w:rPr>
          <w:iCs/>
          <w:color w:val="007099"/>
        </w:rPr>
      </w:pPr>
      <w:r w:rsidRPr="00BD5DBD">
        <w:rPr>
          <w:szCs w:val="22"/>
        </w:rPr>
        <w:t xml:space="preserve">The PI for </w:t>
      </w:r>
      <w:r w:rsidR="00CC780E">
        <w:t xml:space="preserve">Teriparatide GH and Teriparatide LAPL </w:t>
      </w:r>
      <w:r w:rsidRPr="00BD5DBD">
        <w:rPr>
          <w:szCs w:val="22"/>
        </w:rPr>
        <w:t>is identical except for the product name</w:t>
      </w:r>
      <w:r w:rsidR="00CC780E">
        <w:rPr>
          <w:szCs w:val="22"/>
        </w:rPr>
        <w:t>.</w:t>
      </w:r>
    </w:p>
    <w:p w14:paraId="40740B65" w14:textId="77777777" w:rsidR="00C22214" w:rsidRPr="008B4DA3" w:rsidRDefault="00C22214" w:rsidP="00C22214">
      <w:pPr>
        <w:autoSpaceDE w:val="0"/>
        <w:autoSpaceDN w:val="0"/>
        <w:adjustRightInd w:val="0"/>
        <w:spacing w:after="0"/>
      </w:pPr>
      <w:r w:rsidRPr="00C80137">
        <w:rPr>
          <w:b/>
        </w:rPr>
        <w:br w:type="page"/>
      </w:r>
    </w:p>
    <w:p w14:paraId="53357BF3" w14:textId="276457B5" w:rsidR="00C22214" w:rsidRDefault="00C22214" w:rsidP="00C22214">
      <w:pPr>
        <w:rPr>
          <w:lang w:eastAsia="ja-JP"/>
        </w:rPr>
        <w:sectPr w:rsidR="00C22214" w:rsidSect="007452E8">
          <w:headerReference w:type="default" r:id="rId24"/>
          <w:footerReference w:type="default" r:id="rId25"/>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7452E8">
        <w:trPr>
          <w:trHeight w:hRule="exact" w:val="565"/>
          <w:jc w:val="center"/>
        </w:trPr>
        <w:tc>
          <w:tcPr>
            <w:tcW w:w="9145" w:type="dxa"/>
          </w:tcPr>
          <w:bookmarkEnd w:id="3"/>
          <w:bookmarkEnd w:id="4"/>
          <w:p w14:paraId="7E090B86" w14:textId="77777777" w:rsidR="00F02AEC" w:rsidRPr="00215D48" w:rsidRDefault="00F02AEC" w:rsidP="007452E8">
            <w:pPr>
              <w:pStyle w:val="TGASignoff"/>
            </w:pPr>
            <w:r w:rsidRPr="00215D48">
              <w:lastRenderedPageBreak/>
              <w:t>Therapeutic Goods Administration</w:t>
            </w:r>
          </w:p>
        </w:tc>
      </w:tr>
      <w:tr w:rsidR="00F02AEC" w:rsidRPr="00215D48" w14:paraId="70F47EA1" w14:textId="77777777" w:rsidTr="007452E8">
        <w:trPr>
          <w:trHeight w:val="963"/>
          <w:jc w:val="center"/>
        </w:trPr>
        <w:tc>
          <w:tcPr>
            <w:tcW w:w="9145" w:type="dxa"/>
            <w:tcMar>
              <w:top w:w="28" w:type="dxa"/>
            </w:tcMar>
          </w:tcPr>
          <w:p w14:paraId="3491EBCD" w14:textId="77777777" w:rsidR="00F02AEC" w:rsidRPr="00215D48" w:rsidRDefault="00F02AEC" w:rsidP="007452E8">
            <w:pPr>
              <w:pStyle w:val="Address"/>
              <w:jc w:val="center"/>
            </w:pPr>
            <w:r w:rsidRPr="00215D48">
              <w:t>PO Box 100 Woden ACT 2606 Australia</w:t>
            </w:r>
          </w:p>
          <w:p w14:paraId="5D0FE0E7" w14:textId="3E279F36" w:rsidR="00F02AEC" w:rsidRDefault="00F02AEC">
            <w:pPr>
              <w:pStyle w:val="Address"/>
              <w:jc w:val="center"/>
              <w:rPr>
                <w:sz w:val="22"/>
                <w:szCs w:val="22"/>
              </w:rPr>
            </w:pPr>
            <w:r w:rsidRPr="00215D48">
              <w:t xml:space="preserve">Email: </w:t>
            </w:r>
            <w:hyperlink r:id="rId26" w:history="1">
              <w:r w:rsidRPr="00215D48">
                <w:rPr>
                  <w:rStyle w:val="Hyperlink"/>
                </w:rPr>
                <w:t>info@tga.gov.au</w:t>
              </w:r>
            </w:hyperlink>
            <w:r w:rsidRPr="00215D48">
              <w:t xml:space="preserve">  Phone: 1800 020 653</w:t>
            </w:r>
            <w:r w:rsidR="008E7312">
              <w:t xml:space="preserve"> </w:t>
            </w:r>
            <w:r w:rsidRPr="00215D48">
              <w:t xml:space="preserve">Fax: </w:t>
            </w:r>
            <w:r w:rsidRPr="00BA0DFC">
              <w:t>02 6203 1605</w:t>
            </w:r>
          </w:p>
          <w:p w14:paraId="4533D80F" w14:textId="6A3C4431" w:rsidR="00F02AEC" w:rsidRPr="00215D48" w:rsidRDefault="00A61109">
            <w:pPr>
              <w:pStyle w:val="Address"/>
              <w:jc w:val="center"/>
              <w:rPr>
                <w:rStyle w:val="Hyperlink"/>
                <w:b/>
                <w:color w:val="auto"/>
                <w:sz w:val="22"/>
              </w:rPr>
            </w:pPr>
            <w:hyperlink r:id="rId27" w:history="1">
              <w:r w:rsidR="00F02AEC" w:rsidRPr="00C4721A">
                <w:rPr>
                  <w:rStyle w:val="Hyperlink"/>
                  <w:b/>
                </w:rPr>
                <w:t>https://www.tga.gov.au</w:t>
              </w:r>
            </w:hyperlink>
          </w:p>
        </w:tc>
      </w:tr>
      <w:tr w:rsidR="00F02AEC" w:rsidRPr="00215D48" w14:paraId="2AD74347" w14:textId="77777777" w:rsidTr="007452E8">
        <w:trPr>
          <w:trHeight w:val="251"/>
          <w:jc w:val="center"/>
        </w:trPr>
        <w:tc>
          <w:tcPr>
            <w:tcW w:w="9145" w:type="dxa"/>
            <w:tcMar>
              <w:top w:w="28" w:type="dxa"/>
            </w:tcMar>
          </w:tcPr>
          <w:p w14:paraId="6EAAD5C1" w14:textId="77777777" w:rsidR="00F02AEC" w:rsidRPr="00215D48" w:rsidRDefault="00F02AEC" w:rsidP="007452E8">
            <w:pPr>
              <w:pStyle w:val="Address"/>
              <w:jc w:val="center"/>
            </w:pPr>
            <w:r w:rsidRPr="00215D48">
              <w:t>Reference/Publication #</w:t>
            </w:r>
          </w:p>
        </w:tc>
      </w:tr>
    </w:tbl>
    <w:p w14:paraId="788B80FD" w14:textId="77777777" w:rsidR="007452E8" w:rsidRDefault="007452E8"/>
    <w:sectPr w:rsidR="007452E8" w:rsidSect="007452E8">
      <w:headerReference w:type="first" r:id="rId28"/>
      <w:footerReference w:type="first" r:id="rId2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8732" w14:textId="77777777" w:rsidR="00841D3F" w:rsidRDefault="00841D3F" w:rsidP="00F02AEC">
      <w:pPr>
        <w:spacing w:after="0" w:line="240" w:lineRule="auto"/>
      </w:pPr>
      <w:r>
        <w:separator/>
      </w:r>
    </w:p>
  </w:endnote>
  <w:endnote w:type="continuationSeparator" w:id="0">
    <w:p w14:paraId="41955BF4" w14:textId="77777777" w:rsidR="00841D3F" w:rsidRDefault="00841D3F"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452E8" w:rsidRPr="00257138" w14:paraId="162D69C2" w14:textId="77777777" w:rsidTr="007452E8">
      <w:trPr>
        <w:trHeight w:val="423"/>
      </w:trPr>
      <w:tc>
        <w:tcPr>
          <w:tcW w:w="4360" w:type="dxa"/>
          <w:tcBorders>
            <w:top w:val="single" w:sz="4" w:space="0" w:color="auto"/>
          </w:tcBorders>
        </w:tcPr>
        <w:p w14:paraId="32E1B782" w14:textId="77777777" w:rsidR="007452E8" w:rsidRDefault="007452E8" w:rsidP="007452E8">
          <w:pPr>
            <w:pStyle w:val="Footer"/>
          </w:pPr>
        </w:p>
        <w:p w14:paraId="1849C07C" w14:textId="77777777" w:rsidR="007452E8" w:rsidRPr="00257138" w:rsidRDefault="007452E8" w:rsidP="007452E8">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06A08BF" w14:textId="77777777" w:rsidR="007452E8" w:rsidRDefault="007452E8" w:rsidP="007452E8">
              <w:pPr>
                <w:pStyle w:val="Footer"/>
                <w:jc w:val="right"/>
              </w:pPr>
            </w:p>
            <w:p w14:paraId="5EDE6DF6" w14:textId="2C159E3A" w:rsidR="007452E8" w:rsidRPr="00257138" w:rsidRDefault="007452E8" w:rsidP="007452E8">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A61109">
                <w:fldChar w:fldCharType="begin"/>
              </w:r>
              <w:r w:rsidR="00A61109">
                <w:instrText xml:space="preserve"> NUMPAGES  </w:instrText>
              </w:r>
              <w:r w:rsidR="00A61109">
                <w:fldChar w:fldCharType="separate"/>
              </w:r>
              <w:r>
                <w:rPr>
                  <w:noProof/>
                </w:rPr>
                <w:t>2</w:t>
              </w:r>
              <w:r w:rsidR="00A61109">
                <w:rPr>
                  <w:noProof/>
                </w:rPr>
                <w:fldChar w:fldCharType="end"/>
              </w:r>
            </w:p>
          </w:sdtContent>
        </w:sdt>
      </w:tc>
    </w:tr>
    <w:tr w:rsidR="007452E8" w:rsidRPr="00257138" w14:paraId="280F09C8" w14:textId="77777777" w:rsidTr="007452E8">
      <w:trPr>
        <w:trHeight w:val="263"/>
      </w:trPr>
      <w:tc>
        <w:tcPr>
          <w:tcW w:w="4360" w:type="dxa"/>
        </w:tcPr>
        <w:p w14:paraId="673F06D3" w14:textId="77777777" w:rsidR="007452E8" w:rsidRPr="00257138" w:rsidRDefault="007452E8" w:rsidP="007452E8">
          <w:pPr>
            <w:pStyle w:val="Footer"/>
          </w:pPr>
          <w:r w:rsidRPr="00257138">
            <w:t xml:space="preserve">V1.0 </w:t>
          </w:r>
          <w:r>
            <w:t>Month</w:t>
          </w:r>
          <w:r w:rsidRPr="00257138">
            <w:t xml:space="preserve"> 201</w:t>
          </w:r>
          <w:r>
            <w:t>2</w:t>
          </w:r>
        </w:p>
      </w:tc>
      <w:tc>
        <w:tcPr>
          <w:tcW w:w="4360" w:type="dxa"/>
        </w:tcPr>
        <w:p w14:paraId="77F5B433" w14:textId="77777777" w:rsidR="007452E8" w:rsidRPr="00257138" w:rsidRDefault="007452E8" w:rsidP="007452E8">
          <w:pPr>
            <w:pStyle w:val="Footer"/>
            <w:jc w:val="right"/>
          </w:pPr>
        </w:p>
      </w:tc>
    </w:tr>
  </w:tbl>
  <w:p w14:paraId="63F6FDDE" w14:textId="77777777" w:rsidR="007452E8" w:rsidRPr="00826007" w:rsidRDefault="007452E8" w:rsidP="007452E8">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7452E8" w:rsidRDefault="007452E8" w:rsidP="007452E8">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7452E8" w:rsidRPr="004A3084" w14:paraId="6266BC33" w14:textId="77777777" w:rsidTr="007452E8">
      <w:trPr>
        <w:trHeight w:val="423"/>
      </w:trPr>
      <w:tc>
        <w:tcPr>
          <w:tcW w:w="7338" w:type="dxa"/>
          <w:tcBorders>
            <w:top w:val="single" w:sz="4" w:space="0" w:color="auto"/>
          </w:tcBorders>
        </w:tcPr>
        <w:p w14:paraId="3C421323" w14:textId="3E3D8DC2" w:rsidR="007452E8" w:rsidRPr="004A3084" w:rsidRDefault="007452E8" w:rsidP="007452E8">
          <w:pPr>
            <w:pStyle w:val="Footer"/>
          </w:pPr>
          <w:r w:rsidRPr="00487162">
            <w:t>AusPA</w:t>
          </w:r>
          <w:r>
            <w:t xml:space="preserve">R - </w:t>
          </w:r>
          <w:r w:rsidR="00364B2B" w:rsidRPr="00364B2B">
            <w:t>Teriparatide Lupin</w:t>
          </w:r>
          <w:r w:rsidR="00364B2B">
            <w:t>/</w:t>
          </w:r>
          <w:r w:rsidR="00364B2B" w:rsidRPr="00364B2B">
            <w:t>Teriparatide LAPL</w:t>
          </w:r>
          <w:r w:rsidR="00364B2B">
            <w:t>/</w:t>
          </w:r>
          <w:r w:rsidR="00364B2B" w:rsidRPr="00364B2B">
            <w:t>Teriparatide GH -Teriparatide - Generic Health Pty Ltd - PM-2021-03753-1-5</w:t>
          </w:r>
          <w:r>
            <w:br/>
          </w:r>
          <w:r w:rsidR="005E1570">
            <w:t>FINAL</w:t>
          </w:r>
          <w:r w:rsidRPr="00487162">
            <w:t xml:space="preserve"> </w:t>
          </w:r>
          <w:r w:rsidR="005E1570">
            <w:t>12 October</w:t>
          </w:r>
          <w:r w:rsidR="00A2792E">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4DE4ED0C" w14:textId="29F65FFD" w:rsidR="007452E8" w:rsidRPr="004A3084" w:rsidRDefault="007452E8" w:rsidP="007452E8">
              <w:pPr>
                <w:pStyle w:val="Footer"/>
                <w:jc w:val="right"/>
              </w:pPr>
              <w:r w:rsidRPr="004A3084">
                <w:t xml:space="preserve">Page </w:t>
              </w:r>
              <w:r>
                <w:fldChar w:fldCharType="begin"/>
              </w:r>
              <w:r>
                <w:instrText xml:space="preserve"> PAGE </w:instrText>
              </w:r>
              <w:r>
                <w:fldChar w:fldCharType="separate"/>
              </w:r>
              <w:r w:rsidR="006D6B44">
                <w:rPr>
                  <w:noProof/>
                </w:rPr>
                <w:t>13</w:t>
              </w:r>
              <w:r>
                <w:rPr>
                  <w:noProof/>
                </w:rPr>
                <w:fldChar w:fldCharType="end"/>
              </w:r>
              <w:r w:rsidRPr="004A3084">
                <w:t xml:space="preserve"> of </w:t>
              </w:r>
              <w:r w:rsidR="00A61109">
                <w:fldChar w:fldCharType="begin"/>
              </w:r>
              <w:r w:rsidR="00A61109">
                <w:instrText xml:space="preserve"> NUMPAGES  </w:instrText>
              </w:r>
              <w:r w:rsidR="00A61109">
                <w:fldChar w:fldCharType="separate"/>
              </w:r>
              <w:r w:rsidR="006D6B44">
                <w:rPr>
                  <w:noProof/>
                </w:rPr>
                <w:t>17</w:t>
              </w:r>
              <w:r w:rsidR="00A61109">
                <w:rPr>
                  <w:noProof/>
                </w:rPr>
                <w:fldChar w:fldCharType="end"/>
              </w:r>
            </w:p>
          </w:sdtContent>
        </w:sdt>
      </w:tc>
    </w:tr>
  </w:tbl>
  <w:p w14:paraId="1A4EDE60" w14:textId="77777777" w:rsidR="007452E8" w:rsidRPr="00826007" w:rsidRDefault="007452E8" w:rsidP="007452E8">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7452E8" w:rsidRPr="008E3C43" w:rsidRDefault="007452E8" w:rsidP="00745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C149" w14:textId="77777777" w:rsidR="00841D3F" w:rsidRDefault="00841D3F" w:rsidP="00F02AEC">
      <w:pPr>
        <w:spacing w:after="0" w:line="240" w:lineRule="auto"/>
      </w:pPr>
      <w:r>
        <w:separator/>
      </w:r>
    </w:p>
  </w:footnote>
  <w:footnote w:type="continuationSeparator" w:id="0">
    <w:p w14:paraId="0E52D4C9" w14:textId="77777777" w:rsidR="00841D3F" w:rsidRDefault="00841D3F" w:rsidP="00F02AEC">
      <w:pPr>
        <w:spacing w:after="0" w:line="240" w:lineRule="auto"/>
      </w:pPr>
      <w:r>
        <w:continuationSeparator/>
      </w:r>
    </w:p>
  </w:footnote>
  <w:footnote w:id="1">
    <w:p w14:paraId="68402A9B" w14:textId="60286C39" w:rsidR="007452E8" w:rsidRPr="00A93DC6" w:rsidRDefault="007452E8">
      <w:pPr>
        <w:pStyle w:val="FootnoteText"/>
        <w:rPr>
          <w:lang w:val="en-GB"/>
        </w:rPr>
      </w:pPr>
      <w:r>
        <w:rPr>
          <w:rStyle w:val="FootnoteReference"/>
        </w:rPr>
        <w:footnoteRef/>
      </w:r>
      <w:r>
        <w:t xml:space="preserve"> </w:t>
      </w:r>
      <w:r w:rsidR="00FB236E">
        <w:t>This is the original indication proposed by the sponsor</w:t>
      </w:r>
      <w:r w:rsidR="00FB236E">
        <w:rPr>
          <w:lang w:val="en-GB"/>
        </w:rPr>
        <w:t xml:space="preserve"> when the TGA commenced the evaluation of this submission. It </w:t>
      </w:r>
      <w:r w:rsidRPr="007452E8">
        <w:rPr>
          <w:lang w:val="en-GB"/>
        </w:rPr>
        <w:t xml:space="preserve">may </w:t>
      </w:r>
      <w:r w:rsidR="00FB236E">
        <w:rPr>
          <w:lang w:val="en-GB"/>
        </w:rPr>
        <w:t>differ</w:t>
      </w:r>
      <w:r w:rsidRPr="007452E8">
        <w:rPr>
          <w:lang w:val="en-GB"/>
        </w:rPr>
        <w:t xml:space="preserve"> to the final indication approved by th</w:t>
      </w:r>
      <w:r w:rsidR="00FB236E">
        <w:rPr>
          <w:lang w:val="en-GB"/>
        </w:rPr>
        <w:t>e TGA and registered on the Australian Register of Therapeutic Goods.</w:t>
      </w:r>
    </w:p>
  </w:footnote>
  <w:footnote w:id="2">
    <w:p w14:paraId="7FFFB871" w14:textId="79095FE3" w:rsidR="006D0630" w:rsidRDefault="006D0630">
      <w:pPr>
        <w:pStyle w:val="FootnoteText"/>
      </w:pPr>
      <w:r>
        <w:rPr>
          <w:rStyle w:val="FootnoteReference"/>
        </w:rPr>
        <w:footnoteRef/>
      </w:r>
      <w:r>
        <w:t xml:space="preserve"> FDA guidance: </w:t>
      </w:r>
      <w:r w:rsidRPr="006D0630">
        <w:t>ANDAs for Certain Highly Purified Synthetic Peptide Drug Products That Refer to Listed Drugs of rDNA Origin Guidance for Industry, May 2021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7452E8" w:rsidRPr="00CB0550" w:rsidRDefault="007452E8"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7452E8" w:rsidRPr="002B29B2" w14:paraId="3E15C3BC" w14:textId="77777777" w:rsidTr="007452E8">
      <w:trPr>
        <w:trHeight w:hRule="exact" w:val="8845"/>
      </w:trPr>
      <w:tc>
        <w:tcPr>
          <w:tcW w:w="11964" w:type="dxa"/>
          <w:vAlign w:val="center"/>
        </w:tcPr>
        <w:p w14:paraId="6FDE4BFB" w14:textId="77777777" w:rsidR="007452E8" w:rsidRPr="002B29B2" w:rsidRDefault="00A61109" w:rsidP="007452E8">
          <w:pPr>
            <w:ind w:left="-57"/>
            <w:rPr>
              <w:noProof/>
            </w:rPr>
          </w:pPr>
          <w:sdt>
            <w:sdtPr>
              <w:rPr>
                <w:noProof/>
              </w:rPr>
              <w:id w:val="1926993388"/>
              <w:showingPlcHdr/>
              <w:picture/>
            </w:sdtPr>
            <w:sdtEndPr/>
            <w:sdtContent>
              <w:r w:rsidR="007452E8" w:rsidRPr="00F71E1E">
                <w:rPr>
                  <w:noProof/>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7452E8" w:rsidRDefault="007452E8" w:rsidP="007452E8">
    <w:pPr>
      <w:rPr>
        <w:noProof/>
      </w:rPr>
    </w:pPr>
    <w:r>
      <w:rPr>
        <w:noProof/>
        <w:lang w:val="en-GB" w:eastAsia="en-GB"/>
      </w:rPr>
      <w:drawing>
        <wp:anchor distT="0" distB="0" distL="114300" distR="114300" simplePos="0" relativeHeight="251661312"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lang w:val="en-GB" w:eastAsia="en-GB"/>
      </w:rPr>
      <w:drawing>
        <wp:anchor distT="0" distB="0" distL="114300" distR="114300" simplePos="0" relativeHeight="251660288"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7452E8" w:rsidRDefault="007452E8" w:rsidP="007452E8">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7452E8" w:rsidRPr="00FE501F" w:rsidRDefault="007452E8" w:rsidP="007452E8">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520883D8"/>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9821338">
    <w:abstractNumId w:val="3"/>
  </w:num>
  <w:num w:numId="2" w16cid:durableId="821510479">
    <w:abstractNumId w:val="1"/>
  </w:num>
  <w:num w:numId="3" w16cid:durableId="2025397133">
    <w:abstractNumId w:val="2"/>
  </w:num>
  <w:num w:numId="4" w16cid:durableId="1663701898">
    <w:abstractNumId w:val="6"/>
  </w:num>
  <w:num w:numId="5" w16cid:durableId="1214581817">
    <w:abstractNumId w:val="4"/>
  </w:num>
  <w:num w:numId="6" w16cid:durableId="469321907">
    <w:abstractNumId w:val="5"/>
  </w:num>
  <w:num w:numId="7" w16cid:durableId="1857842667">
    <w:abstractNumId w:val="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16cid:durableId="183097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77844"/>
    <w:rsid w:val="0008573B"/>
    <w:rsid w:val="00094B81"/>
    <w:rsid w:val="000975AA"/>
    <w:rsid w:val="000C3016"/>
    <w:rsid w:val="000D7934"/>
    <w:rsid w:val="00101FB1"/>
    <w:rsid w:val="00120B3F"/>
    <w:rsid w:val="00122BBC"/>
    <w:rsid w:val="0012473C"/>
    <w:rsid w:val="0013132F"/>
    <w:rsid w:val="0013528C"/>
    <w:rsid w:val="00165D28"/>
    <w:rsid w:val="00175CD8"/>
    <w:rsid w:val="001C1C2E"/>
    <w:rsid w:val="001D7AAA"/>
    <w:rsid w:val="0020369B"/>
    <w:rsid w:val="00205FFE"/>
    <w:rsid w:val="002176C6"/>
    <w:rsid w:val="00226F39"/>
    <w:rsid w:val="00241B60"/>
    <w:rsid w:val="002A7E96"/>
    <w:rsid w:val="002C1939"/>
    <w:rsid w:val="002C5E29"/>
    <w:rsid w:val="002C6947"/>
    <w:rsid w:val="002D7127"/>
    <w:rsid w:val="002F7D99"/>
    <w:rsid w:val="003008D8"/>
    <w:rsid w:val="00303959"/>
    <w:rsid w:val="003128CD"/>
    <w:rsid w:val="00312AC3"/>
    <w:rsid w:val="00314430"/>
    <w:rsid w:val="00324B33"/>
    <w:rsid w:val="00331E97"/>
    <w:rsid w:val="003355C2"/>
    <w:rsid w:val="00343B9B"/>
    <w:rsid w:val="00344824"/>
    <w:rsid w:val="00346EC2"/>
    <w:rsid w:val="00351297"/>
    <w:rsid w:val="0035444D"/>
    <w:rsid w:val="00364B2B"/>
    <w:rsid w:val="00384C6E"/>
    <w:rsid w:val="00395140"/>
    <w:rsid w:val="003A06C5"/>
    <w:rsid w:val="003B149C"/>
    <w:rsid w:val="003D71A1"/>
    <w:rsid w:val="0041688F"/>
    <w:rsid w:val="0042376F"/>
    <w:rsid w:val="004246B8"/>
    <w:rsid w:val="00433318"/>
    <w:rsid w:val="0043532B"/>
    <w:rsid w:val="00477C4E"/>
    <w:rsid w:val="00491A55"/>
    <w:rsid w:val="004B3081"/>
    <w:rsid w:val="004C537E"/>
    <w:rsid w:val="00535DFE"/>
    <w:rsid w:val="00537F95"/>
    <w:rsid w:val="00562F42"/>
    <w:rsid w:val="0056766D"/>
    <w:rsid w:val="0058575E"/>
    <w:rsid w:val="0058783C"/>
    <w:rsid w:val="005911AE"/>
    <w:rsid w:val="0059313A"/>
    <w:rsid w:val="005B023F"/>
    <w:rsid w:val="005C349A"/>
    <w:rsid w:val="005C6ED7"/>
    <w:rsid w:val="005D2089"/>
    <w:rsid w:val="005D4199"/>
    <w:rsid w:val="005D7514"/>
    <w:rsid w:val="005E0709"/>
    <w:rsid w:val="005E1570"/>
    <w:rsid w:val="005E1A7B"/>
    <w:rsid w:val="006277A1"/>
    <w:rsid w:val="006351D9"/>
    <w:rsid w:val="00637130"/>
    <w:rsid w:val="00637F0E"/>
    <w:rsid w:val="006423F2"/>
    <w:rsid w:val="00666186"/>
    <w:rsid w:val="00692CCD"/>
    <w:rsid w:val="006A1F0B"/>
    <w:rsid w:val="006A277A"/>
    <w:rsid w:val="006A717E"/>
    <w:rsid w:val="006C5D3E"/>
    <w:rsid w:val="006D0630"/>
    <w:rsid w:val="006D6B44"/>
    <w:rsid w:val="006E13A7"/>
    <w:rsid w:val="007072A1"/>
    <w:rsid w:val="00710BC5"/>
    <w:rsid w:val="0072003B"/>
    <w:rsid w:val="007357B9"/>
    <w:rsid w:val="007452E8"/>
    <w:rsid w:val="00746990"/>
    <w:rsid w:val="00750D70"/>
    <w:rsid w:val="00793272"/>
    <w:rsid w:val="007B04DE"/>
    <w:rsid w:val="007C57BC"/>
    <w:rsid w:val="007D4138"/>
    <w:rsid w:val="007F0A77"/>
    <w:rsid w:val="007F50D3"/>
    <w:rsid w:val="00821FE7"/>
    <w:rsid w:val="008329DB"/>
    <w:rsid w:val="008361C5"/>
    <w:rsid w:val="0083628F"/>
    <w:rsid w:val="00837AB9"/>
    <w:rsid w:val="00841D3F"/>
    <w:rsid w:val="008468D4"/>
    <w:rsid w:val="00850637"/>
    <w:rsid w:val="00854D98"/>
    <w:rsid w:val="00860B29"/>
    <w:rsid w:val="0087004A"/>
    <w:rsid w:val="008804CF"/>
    <w:rsid w:val="008964B3"/>
    <w:rsid w:val="008A6CE7"/>
    <w:rsid w:val="008C49C6"/>
    <w:rsid w:val="008C754C"/>
    <w:rsid w:val="008D6A54"/>
    <w:rsid w:val="008E7312"/>
    <w:rsid w:val="008F0815"/>
    <w:rsid w:val="0090605E"/>
    <w:rsid w:val="009108CE"/>
    <w:rsid w:val="00915A9F"/>
    <w:rsid w:val="00930D58"/>
    <w:rsid w:val="00966EF1"/>
    <w:rsid w:val="00973561"/>
    <w:rsid w:val="0098350E"/>
    <w:rsid w:val="00996FA5"/>
    <w:rsid w:val="009D22C8"/>
    <w:rsid w:val="009E6F8C"/>
    <w:rsid w:val="009F1E1A"/>
    <w:rsid w:val="00A01C56"/>
    <w:rsid w:val="00A2792E"/>
    <w:rsid w:val="00A358E7"/>
    <w:rsid w:val="00A470C8"/>
    <w:rsid w:val="00A51A2D"/>
    <w:rsid w:val="00A535C0"/>
    <w:rsid w:val="00A61109"/>
    <w:rsid w:val="00A61E10"/>
    <w:rsid w:val="00A63D9B"/>
    <w:rsid w:val="00A82D73"/>
    <w:rsid w:val="00A93DC6"/>
    <w:rsid w:val="00AB7CBF"/>
    <w:rsid w:val="00AE0282"/>
    <w:rsid w:val="00AE1947"/>
    <w:rsid w:val="00B02FF9"/>
    <w:rsid w:val="00B46BC0"/>
    <w:rsid w:val="00B55681"/>
    <w:rsid w:val="00B62F78"/>
    <w:rsid w:val="00B86682"/>
    <w:rsid w:val="00B90879"/>
    <w:rsid w:val="00B967FF"/>
    <w:rsid w:val="00BA7F7D"/>
    <w:rsid w:val="00BB1C14"/>
    <w:rsid w:val="00BC49C9"/>
    <w:rsid w:val="00BD07DF"/>
    <w:rsid w:val="00BD5DBD"/>
    <w:rsid w:val="00BF4638"/>
    <w:rsid w:val="00C07551"/>
    <w:rsid w:val="00C22214"/>
    <w:rsid w:val="00C407AB"/>
    <w:rsid w:val="00C570FF"/>
    <w:rsid w:val="00C61346"/>
    <w:rsid w:val="00C63B4F"/>
    <w:rsid w:val="00C6574E"/>
    <w:rsid w:val="00C816C6"/>
    <w:rsid w:val="00CA6738"/>
    <w:rsid w:val="00CB0550"/>
    <w:rsid w:val="00CB2F8C"/>
    <w:rsid w:val="00CC780E"/>
    <w:rsid w:val="00CD18DA"/>
    <w:rsid w:val="00D01DDB"/>
    <w:rsid w:val="00D078BE"/>
    <w:rsid w:val="00D13F8A"/>
    <w:rsid w:val="00D507A0"/>
    <w:rsid w:val="00D62877"/>
    <w:rsid w:val="00D63760"/>
    <w:rsid w:val="00D75F1C"/>
    <w:rsid w:val="00D81234"/>
    <w:rsid w:val="00D918D5"/>
    <w:rsid w:val="00D94C8E"/>
    <w:rsid w:val="00DB192C"/>
    <w:rsid w:val="00DB1CF3"/>
    <w:rsid w:val="00DC56BC"/>
    <w:rsid w:val="00DC7FDE"/>
    <w:rsid w:val="00DF5BFE"/>
    <w:rsid w:val="00E47E0C"/>
    <w:rsid w:val="00E51813"/>
    <w:rsid w:val="00E53D3F"/>
    <w:rsid w:val="00E5579B"/>
    <w:rsid w:val="00E93D82"/>
    <w:rsid w:val="00EA1575"/>
    <w:rsid w:val="00EB22F5"/>
    <w:rsid w:val="00F02AEC"/>
    <w:rsid w:val="00F157FC"/>
    <w:rsid w:val="00F30AF3"/>
    <w:rsid w:val="00F36670"/>
    <w:rsid w:val="00F657B4"/>
    <w:rsid w:val="00F865A7"/>
    <w:rsid w:val="00FA0754"/>
    <w:rsid w:val="00FA1BC9"/>
    <w:rsid w:val="00FA49C3"/>
    <w:rsid w:val="00FB1379"/>
    <w:rsid w:val="00FB236E"/>
    <w:rsid w:val="00FC6F56"/>
    <w:rsid w:val="00FD7E18"/>
    <w:rsid w:val="00FE08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3B7A0CE6-F5BB-4D40-8ED5-1531A62F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49C"/>
    <w:rPr>
      <w:rFonts w:ascii="Cambria" w:hAnsi="Cambria"/>
      <w:sz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FC6F56"/>
    <w:pPr>
      <w:numPr>
        <w:numId w:val="1"/>
      </w:numPr>
      <w:spacing w:before="120" w:after="180" w:line="240" w:lineRule="atLeast"/>
    </w:pPr>
    <w:rPr>
      <w:rFonts w:eastAsia="Cambria" w:cs="Times New Roman"/>
      <w:color w:val="000000" w:themeColor="text1"/>
    </w:rPr>
  </w:style>
  <w:style w:type="paragraph" w:styleId="ListBullet2">
    <w:name w:val="List Bullet 2"/>
    <w:basedOn w:val="Normal"/>
    <w:uiPriority w:val="2"/>
    <w:qFormat/>
    <w:rsid w:val="00FC6F56"/>
    <w:pPr>
      <w:numPr>
        <w:ilvl w:val="1"/>
        <w:numId w:val="1"/>
      </w:numPr>
      <w:spacing w:before="120" w:after="180" w:line="240" w:lineRule="atLeast"/>
      <w:ind w:left="850" w:hanging="425"/>
    </w:pPr>
    <w:rPr>
      <w:rFonts w:eastAsia="Cambria" w:cs="Times New Roman"/>
      <w:color w:val="000000" w:themeColor="text1"/>
    </w:rPr>
  </w:style>
  <w:style w:type="paragraph" w:styleId="ListBullet3">
    <w:name w:val="List Bullet 3"/>
    <w:basedOn w:val="Normal"/>
    <w:uiPriority w:val="2"/>
    <w:qFormat/>
    <w:rsid w:val="00FC6F5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FC6F56"/>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qFormat/>
    <w:rsid w:val="00FE087C"/>
    <w:pPr>
      <w:keepLines/>
      <w:spacing w:after="0" w:line="240" w:lineRule="atLeast"/>
    </w:pPr>
    <w:rPr>
      <w:rFonts w:eastAsia="Cambria" w:cs="Times New Roman"/>
      <w:color w:val="333F48"/>
      <w:sz w:val="17"/>
    </w:rPr>
  </w:style>
  <w:style w:type="character" w:customStyle="1" w:styleId="FootnoteTextChar">
    <w:name w:val="Footnote Text Char"/>
    <w:basedOn w:val="DefaultParagraphFont"/>
    <w:link w:val="FootnoteText"/>
    <w:rsid w:val="00FE087C"/>
    <w:rPr>
      <w:rFonts w:ascii="Cambria" w:eastAsia="Cambria" w:hAnsi="Cambria" w:cs="Times New Roman"/>
      <w:color w:val="333F48"/>
      <w:sz w:val="17"/>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qFormat/>
    <w:rsid w:val="00854D98"/>
    <w:pPr>
      <w:spacing w:before="120" w:line="240" w:lineRule="auto"/>
    </w:pPr>
    <w:rPr>
      <w:rFonts w:eastAsia="Cambria" w:cs="Times New Roman"/>
      <w:sz w:val="18"/>
      <w:szCs w:val="19"/>
    </w:rPr>
  </w:style>
  <w:style w:type="character" w:styleId="CommentReference">
    <w:name w:val="annotation reference"/>
    <w:basedOn w:val="DefaultParagraphFont"/>
    <w:uiPriority w:val="99"/>
    <w:semiHidden/>
    <w:unhideWhenUsed/>
    <w:rsid w:val="00E47E0C"/>
    <w:rPr>
      <w:sz w:val="16"/>
      <w:szCs w:val="16"/>
    </w:rPr>
  </w:style>
  <w:style w:type="paragraph" w:styleId="CommentText">
    <w:name w:val="annotation text"/>
    <w:basedOn w:val="Normal"/>
    <w:link w:val="CommentTextChar"/>
    <w:uiPriority w:val="99"/>
    <w:unhideWhenUsed/>
    <w:rsid w:val="00E47E0C"/>
    <w:pPr>
      <w:spacing w:line="240" w:lineRule="auto"/>
    </w:pPr>
  </w:style>
  <w:style w:type="character" w:customStyle="1" w:styleId="CommentTextChar">
    <w:name w:val="Comment Text Char"/>
    <w:basedOn w:val="DefaultParagraphFont"/>
    <w:link w:val="CommentText"/>
    <w:uiPriority w:val="99"/>
    <w:rsid w:val="00E47E0C"/>
    <w:rPr>
      <w:rFonts w:ascii="Cambria" w:hAnsi="Cambria"/>
    </w:rPr>
  </w:style>
  <w:style w:type="paragraph" w:styleId="CommentSubject">
    <w:name w:val="annotation subject"/>
    <w:basedOn w:val="CommentText"/>
    <w:next w:val="CommentText"/>
    <w:link w:val="CommentSubjectChar"/>
    <w:uiPriority w:val="99"/>
    <w:semiHidden/>
    <w:unhideWhenUsed/>
    <w:rsid w:val="00E47E0C"/>
    <w:rPr>
      <w:b/>
      <w:bCs/>
    </w:rPr>
  </w:style>
  <w:style w:type="character" w:customStyle="1" w:styleId="CommentSubjectChar">
    <w:name w:val="Comment Subject Char"/>
    <w:basedOn w:val="CommentTextChar"/>
    <w:link w:val="CommentSubject"/>
    <w:uiPriority w:val="99"/>
    <w:semiHidden/>
    <w:rsid w:val="00E47E0C"/>
    <w:rPr>
      <w:rFonts w:ascii="Cambria" w:hAnsi="Cambria"/>
      <w:b/>
      <w:bCs/>
    </w:rPr>
  </w:style>
  <w:style w:type="paragraph" w:styleId="BalloonText">
    <w:name w:val="Balloon Text"/>
    <w:basedOn w:val="Normal"/>
    <w:link w:val="BalloonTextChar"/>
    <w:uiPriority w:val="99"/>
    <w:semiHidden/>
    <w:unhideWhenUsed/>
    <w:rsid w:val="00D6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60"/>
    <w:rPr>
      <w:rFonts w:ascii="Segoe UI" w:hAnsi="Segoe UI" w:cs="Segoe UI"/>
      <w:sz w:val="18"/>
      <w:szCs w:val="18"/>
    </w:rPr>
  </w:style>
  <w:style w:type="character" w:styleId="FollowedHyperlink">
    <w:name w:val="FollowedHyperlink"/>
    <w:basedOn w:val="DefaultParagraphFont"/>
    <w:uiPriority w:val="99"/>
    <w:semiHidden/>
    <w:unhideWhenUsed/>
    <w:rsid w:val="001C1C2E"/>
    <w:rPr>
      <w:color w:val="954F72" w:themeColor="followedHyperlink"/>
      <w:u w:val="single"/>
    </w:rPr>
  </w:style>
  <w:style w:type="paragraph" w:styleId="Revision">
    <w:name w:val="Revision"/>
    <w:hidden/>
    <w:uiPriority w:val="99"/>
    <w:semiHidden/>
    <w:rsid w:val="008964B3"/>
    <w:pPr>
      <w:spacing w:after="0" w:line="240" w:lineRule="auto"/>
    </w:pPr>
    <w:rPr>
      <w:rFonts w:ascii="Cambria" w:hAnsi="Cambria"/>
    </w:rPr>
  </w:style>
  <w:style w:type="character" w:styleId="UnresolvedMention">
    <w:name w:val="Unresolved Mention"/>
    <w:basedOn w:val="DefaultParagraphFont"/>
    <w:uiPriority w:val="99"/>
    <w:semiHidden/>
    <w:unhideWhenUsed/>
    <w:rsid w:val="00966EF1"/>
    <w:rPr>
      <w:color w:val="605E5C"/>
      <w:shd w:val="clear" w:color="auto" w:fill="E1DFDD"/>
    </w:rPr>
  </w:style>
  <w:style w:type="paragraph" w:customStyle="1" w:styleId="TableText">
    <w:name w:val="Table Text"/>
    <w:basedOn w:val="FootnoteText"/>
    <w:qFormat/>
    <w:rsid w:val="0098350E"/>
    <w:rPr>
      <w:color w:val="000000" w:themeColor="text1"/>
      <w:sz w:val="20"/>
      <w:lang w:val="en-GB"/>
    </w:rPr>
  </w:style>
  <w:style w:type="paragraph" w:customStyle="1" w:styleId="FigureTitle">
    <w:name w:val="Figure Title"/>
    <w:basedOn w:val="Normal"/>
    <w:qFormat/>
    <w:rsid w:val="00FC6F56"/>
    <w:rPr>
      <w:b/>
    </w:rPr>
  </w:style>
  <w:style w:type="paragraph" w:styleId="Caption">
    <w:name w:val="caption"/>
    <w:basedOn w:val="Normal"/>
    <w:next w:val="Normal"/>
    <w:uiPriority w:val="35"/>
    <w:unhideWhenUsed/>
    <w:qFormat/>
    <w:rsid w:val="0098350E"/>
    <w:pPr>
      <w:spacing w:after="200" w:line="240" w:lineRule="auto"/>
    </w:pPr>
    <w:rPr>
      <w:i/>
      <w:iCs/>
      <w:color w:val="44546A" w:themeColor="text2"/>
      <w:sz w:val="18"/>
      <w:szCs w:val="18"/>
    </w:rPr>
  </w:style>
  <w:style w:type="paragraph" w:customStyle="1" w:styleId="FigureDescription">
    <w:name w:val="Figure Description"/>
    <w:basedOn w:val="FigureTitle"/>
    <w:qFormat/>
    <w:rsid w:val="0098350E"/>
    <w:rPr>
      <w:b w:val="0"/>
      <w:sz w:val="19"/>
    </w:rPr>
  </w:style>
  <w:style w:type="paragraph" w:customStyle="1" w:styleId="Default">
    <w:name w:val="Default"/>
    <w:rsid w:val="002A7E96"/>
    <w:pPr>
      <w:autoSpaceDE w:val="0"/>
      <w:autoSpaceDN w:val="0"/>
      <w:adjustRightInd w:val="0"/>
      <w:spacing w:after="0" w:line="240" w:lineRule="auto"/>
    </w:pPr>
    <w:rPr>
      <w:rFonts w:ascii="Cambria" w:hAnsi="Cambria" w:cs="Cambria"/>
      <w:color w:val="000000"/>
      <w:sz w:val="24"/>
      <w:szCs w:val="24"/>
    </w:rPr>
  </w:style>
  <w:style w:type="paragraph" w:customStyle="1" w:styleId="Tabletext0">
    <w:name w:val="Table text"/>
    <w:basedOn w:val="Normal"/>
    <w:link w:val="TabletextChar"/>
    <w:qFormat/>
    <w:rsid w:val="005D4199"/>
    <w:pPr>
      <w:spacing w:before="20" w:after="20" w:line="252" w:lineRule="auto"/>
    </w:pPr>
    <w:rPr>
      <w:rFonts w:eastAsia="Times New Roman" w:cs="Times New Roman"/>
      <w:snapToGrid w:val="0"/>
      <w:kern w:val="16"/>
      <w:sz w:val="20"/>
      <w:szCs w:val="24"/>
    </w:rPr>
  </w:style>
  <w:style w:type="character" w:customStyle="1" w:styleId="TabletextChar">
    <w:name w:val="Table text Char"/>
    <w:basedOn w:val="DefaultParagraphFont"/>
    <w:link w:val="Tabletext0"/>
    <w:rsid w:val="005D4199"/>
    <w:rPr>
      <w:rFonts w:ascii="Cambria" w:eastAsia="Times New Roman" w:hAnsi="Cambria" w:cs="Times New Roman"/>
      <w:snapToGrid w:val="0"/>
      <w:kern w:val="16"/>
      <w:szCs w:val="24"/>
    </w:rPr>
  </w:style>
  <w:style w:type="paragraph" w:customStyle="1" w:styleId="Standard">
    <w:name w:val="Standard"/>
    <w:basedOn w:val="Normal"/>
    <w:link w:val="StandardChar"/>
    <w:qFormat/>
    <w:rsid w:val="005D4199"/>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5D4199"/>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5D4199"/>
    <w:pPr>
      <w:numPr>
        <w:numId w:val="8"/>
      </w:numPr>
      <w:spacing w:after="180"/>
      <w:ind w:left="426" w:hanging="284"/>
    </w:pPr>
    <w:rPr>
      <w:kern w:val="2"/>
      <w:szCs w:val="22"/>
    </w:rPr>
  </w:style>
  <w:style w:type="character" w:customStyle="1" w:styleId="BulletlistChar">
    <w:name w:val="Bullet list Char"/>
    <w:basedOn w:val="StandardChar"/>
    <w:link w:val="Bulletlist"/>
    <w:rsid w:val="005D4199"/>
    <w:rPr>
      <w:rFonts w:ascii="Cambria" w:eastAsia="Times New Roman" w:hAnsi="Cambria" w:cs="Times New Roman"/>
      <w:snapToGrid w:val="0"/>
      <w:kern w:val="2"/>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15028">
      <w:bodyDiv w:val="1"/>
      <w:marLeft w:val="0"/>
      <w:marRight w:val="0"/>
      <w:marTop w:val="0"/>
      <w:marBottom w:val="0"/>
      <w:divBdr>
        <w:top w:val="none" w:sz="0" w:space="0" w:color="auto"/>
        <w:left w:val="none" w:sz="0" w:space="0" w:color="auto"/>
        <w:bottom w:val="none" w:sz="0" w:space="0" w:color="auto"/>
        <w:right w:val="none" w:sz="0" w:space="0" w:color="auto"/>
      </w:divBdr>
    </w:div>
    <w:div w:id="695735718">
      <w:bodyDiv w:val="1"/>
      <w:marLeft w:val="0"/>
      <w:marRight w:val="0"/>
      <w:marTop w:val="0"/>
      <w:marBottom w:val="0"/>
      <w:divBdr>
        <w:top w:val="none" w:sz="0" w:space="0" w:color="auto"/>
        <w:left w:val="none" w:sz="0" w:space="0" w:color="auto"/>
        <w:bottom w:val="none" w:sz="0" w:space="0" w:color="auto"/>
        <w:right w:val="none" w:sz="0" w:space="0" w:color="auto"/>
      </w:divBdr>
    </w:div>
    <w:div w:id="1293705804">
      <w:bodyDiv w:val="1"/>
      <w:marLeft w:val="0"/>
      <w:marRight w:val="0"/>
      <w:marTop w:val="0"/>
      <w:marBottom w:val="0"/>
      <w:divBdr>
        <w:top w:val="none" w:sz="0" w:space="0" w:color="auto"/>
        <w:left w:val="none" w:sz="0" w:space="0" w:color="auto"/>
        <w:bottom w:val="none" w:sz="0" w:space="0" w:color="auto"/>
        <w:right w:val="none" w:sz="0" w:space="0" w:color="auto"/>
      </w:divBdr>
    </w:div>
    <w:div w:id="192421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ustralian-public-assessment-report-auspar-guidance" TargetMode="External"/><Relationship Id="rId18" Type="http://schemas.openxmlformats.org/officeDocument/2006/relationships/hyperlink" Target="https://www.tga.gov.au/products/australian-register-therapeutic-goods-artg/product-information-one" TargetMode="External"/><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how-we-regulate/supply-therapeutic-good-0/supply-prescription-medicine/application-process/prescription-medicines-registration-process" TargetMode="External"/><Relationship Id="rId7" Type="http://schemas.openxmlformats.org/officeDocument/2006/relationships/endnotes" Target="endnotes.xml"/><Relationship Id="rId12" Type="http://schemas.openxmlformats.org/officeDocument/2006/relationships/hyperlink" Target="https://www.tga.gov.au" TargetMode="External"/><Relationship Id="rId17" Type="http://schemas.openxmlformats.org/officeDocument/2006/relationships/hyperlink" Target="https://www.tga.gov.au/products/australian-register-therapeutic-goods-artg/product-information-on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ga.gov.au/comparable-overseas-regulators-cors-timeframes-and-milestones" TargetMode="External"/><Relationship Id="rId20" Type="http://schemas.openxmlformats.org/officeDocument/2006/relationships/hyperlink" Target="https://www.tga.gov.au/picmi-search-facility"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tga.gov.au/black-triangle-scheme" TargetMode="External"/><Relationship Id="rId23" Type="http://schemas.openxmlformats.org/officeDocument/2006/relationships/hyperlink" Target="https://www.tga.gov.au/picmi-search-facility"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products/australian-register-therapeutic-goods-artg/consumer-medicines-information-cm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copyright@tga.gov.au" TargetMode="External"/><Relationship Id="rId22" Type="http://schemas.openxmlformats.org/officeDocument/2006/relationships/image" Target="media/image4.emf"/><Relationship Id="rId27" Type="http://schemas.openxmlformats.org/officeDocument/2006/relationships/hyperlink" Target="https://www.tga.gov.a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1AE68-6449-47E6-9F10-0220946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5532</Words>
  <Characters>31537</Characters>
  <Application>Microsoft Office Word</Application>
  <DocSecurity>0</DocSecurity>
  <Lines>262</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Australian public assessment report for</vt:lpstr>
      <vt:lpstr>Australian public assessment report for</vt:lpstr>
    </vt:vector>
  </TitlesOfParts>
  <Company>Department of Health and Aged Care</Company>
  <LinksUpToDate>false</LinksUpToDate>
  <CharactersWithSpaces>36996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Teriparatide Lupin/ Teriparatide LAPL/ Teriparatide GH</dc:title>
  <dc:subject>Prescription medicines</dc:subject>
  <dc:creator>Therapeutic Goods Administration</dc:creator>
  <cp:keywords/>
  <dc:description/>
  <cp:lastModifiedBy>LACK, Janet</cp:lastModifiedBy>
  <cp:revision>3</cp:revision>
  <dcterms:created xsi:type="dcterms:W3CDTF">2023-10-16T21:23:00Z</dcterms:created>
  <dcterms:modified xsi:type="dcterms:W3CDTF">2023-10-16T21:37:00Z</dcterms:modified>
</cp:coreProperties>
</file>