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Y="31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20"/>
      </w:tblGrid>
      <w:tr w:rsidR="00F02AEC" w:rsidRPr="00215D48" w14:paraId="07099803" w14:textId="77777777" w:rsidTr="002B29B2">
        <w:tc>
          <w:tcPr>
            <w:tcW w:w="8720" w:type="dxa"/>
          </w:tcPr>
          <w:p w14:paraId="3CD9B535" w14:textId="61ED9556" w:rsidR="00F02AEC" w:rsidRPr="00215D48" w:rsidRDefault="002C46A1" w:rsidP="002B29B2">
            <w:pPr>
              <w:pStyle w:val="Title"/>
            </w:pPr>
            <w:r w:rsidRPr="002C46A1">
              <w:t xml:space="preserve">Notice of </w:t>
            </w:r>
            <w:r w:rsidR="00652523">
              <w:t>final</w:t>
            </w:r>
            <w:r w:rsidRPr="002C46A1">
              <w:t xml:space="preserve"> decision to </w:t>
            </w:r>
            <w:r w:rsidR="00327166">
              <w:t xml:space="preserve">not </w:t>
            </w:r>
            <w:r w:rsidRPr="002C46A1">
              <w:t>amend the current Poisons Standard</w:t>
            </w:r>
            <w:r>
              <w:t xml:space="preserve"> in relation to </w:t>
            </w:r>
            <w:r w:rsidRPr="002C46A1">
              <w:t>Symphytum spp. (comfrey)</w:t>
            </w:r>
          </w:p>
        </w:tc>
      </w:tr>
      <w:tr w:rsidR="00F02AEC" w:rsidRPr="00215D48" w14:paraId="64650855" w14:textId="77777777" w:rsidTr="002B29B2">
        <w:trPr>
          <w:trHeight w:val="1916"/>
        </w:trPr>
        <w:tc>
          <w:tcPr>
            <w:tcW w:w="8720" w:type="dxa"/>
          </w:tcPr>
          <w:p w14:paraId="161951D5" w14:textId="68DCD266" w:rsidR="00F02AEC" w:rsidRPr="00215D48" w:rsidRDefault="00F02AEC" w:rsidP="002B29B2">
            <w:pPr>
              <w:pStyle w:val="Subtitle"/>
              <w:ind w:left="0"/>
            </w:pPr>
          </w:p>
        </w:tc>
      </w:tr>
      <w:tr w:rsidR="00F02AEC" w:rsidRPr="00215D48" w14:paraId="236319F7" w14:textId="77777777" w:rsidTr="002B29B2">
        <w:tc>
          <w:tcPr>
            <w:tcW w:w="8720" w:type="dxa"/>
          </w:tcPr>
          <w:p w14:paraId="12FD8850" w14:textId="47FEF88A" w:rsidR="00F02AEC" w:rsidRPr="00215D48" w:rsidRDefault="00CB6F4F" w:rsidP="00F54CA9">
            <w:pPr>
              <w:pStyle w:val="Date"/>
            </w:pPr>
            <w:r>
              <w:t xml:space="preserve">10 </w:t>
            </w:r>
            <w:r w:rsidR="00327166">
              <w:t>October</w:t>
            </w:r>
            <w:r w:rsidR="002C46A1">
              <w:t xml:space="preserve"> 2023</w:t>
            </w:r>
          </w:p>
        </w:tc>
      </w:tr>
    </w:tbl>
    <w:p w14:paraId="604DAA5C" w14:textId="7E0BBC27" w:rsidR="00F02AEC" w:rsidRDefault="001735EA" w:rsidP="001735EA">
      <w:pPr>
        <w:pStyle w:val="ListBullet"/>
        <w:numPr>
          <w:ilvl w:val="0"/>
          <w:numId w:val="0"/>
        </w:numPr>
        <w:tabs>
          <w:tab w:val="left" w:pos="6950"/>
        </w:tabs>
      </w:pPr>
      <w:r>
        <w:tab/>
      </w:r>
    </w:p>
    <w:p w14:paraId="2BE7D559" w14:textId="2494DDBF" w:rsidR="001735EA" w:rsidRPr="001735EA" w:rsidRDefault="001735EA" w:rsidP="001735EA">
      <w:pPr>
        <w:tabs>
          <w:tab w:val="left" w:pos="6950"/>
        </w:tabs>
        <w:sectPr w:rsidR="001735EA" w:rsidRPr="001735EA" w:rsidSect="00CB0550">
          <w:headerReference w:type="default" r:id="rId8"/>
          <w:footerReference w:type="default" r:id="rId9"/>
          <w:headerReference w:type="first" r:id="rId10"/>
          <w:footerReference w:type="first" r:id="rId11"/>
          <w:pgSz w:w="11906" w:h="16838"/>
          <w:pgMar w:top="1440" w:right="1440" w:bottom="1440" w:left="1440" w:header="708" w:footer="708" w:gutter="0"/>
          <w:cols w:space="708"/>
          <w:titlePg/>
          <w:docGrid w:linePitch="360"/>
        </w:sectPr>
      </w:pPr>
      <w:r>
        <w:tab/>
      </w:r>
    </w:p>
    <w:p w14:paraId="77F08F25" w14:textId="77777777" w:rsidR="00F02AEC" w:rsidRPr="0096547A" w:rsidRDefault="00F02AEC" w:rsidP="00BA0DFC">
      <w:pPr>
        <w:pStyle w:val="LegalSubheading"/>
        <w:rPr>
          <w:color w:val="000000" w:themeColor="text1"/>
        </w:rPr>
      </w:pPr>
      <w:r w:rsidRPr="0096547A">
        <w:rPr>
          <w:color w:val="000000" w:themeColor="text1"/>
        </w:rPr>
        <w:lastRenderedPageBreak/>
        <w:t>Copyright</w:t>
      </w:r>
    </w:p>
    <w:p w14:paraId="62B07A25" w14:textId="2DE36CA5" w:rsidR="00930D58" w:rsidRPr="0096547A" w:rsidRDefault="00F02AEC" w:rsidP="00FA49C3">
      <w:pPr>
        <w:pStyle w:val="LegalCopy"/>
        <w:rPr>
          <w:rFonts w:cs="Arial"/>
          <w:color w:val="000000" w:themeColor="text1"/>
        </w:rPr>
      </w:pPr>
      <w:r w:rsidRPr="0096547A">
        <w:rPr>
          <w:rFonts w:cs="Arial"/>
          <w:color w:val="000000" w:themeColor="text1"/>
        </w:rPr>
        <w:t>© Commonwealth of Australia 202</w:t>
      </w:r>
      <w:r w:rsidR="0096547A" w:rsidRPr="0096547A">
        <w:rPr>
          <w:rFonts w:cs="Arial"/>
          <w:color w:val="000000" w:themeColor="text1"/>
        </w:rPr>
        <w:t>3</w:t>
      </w:r>
      <w:r w:rsidRPr="0096547A">
        <w:rPr>
          <w:rFonts w:cs="Arial"/>
          <w:color w:val="000000" w:themeColor="text1"/>
        </w:rPr>
        <w:br/>
        <w:t xml:space="preserve">This work is copyright. You may reproduce the whole or part of this work in unaltered form for your own personal use or, if you are part of an organisation, for internal use within your organisation, but only if you or your organisation do not use the reproduction for any commercial purpose and retain this copyright notice and all disclaimer notices as part of that reproduction. Apart from rights to use as permitted by the </w:t>
      </w:r>
      <w:r w:rsidRPr="0096547A">
        <w:rPr>
          <w:rFonts w:cs="Arial"/>
          <w:i/>
          <w:color w:val="000000" w:themeColor="text1"/>
        </w:rPr>
        <w:t>Copyright Act 1968</w:t>
      </w:r>
      <w:r w:rsidRPr="0096547A">
        <w:rPr>
          <w:rFonts w:cs="Arial"/>
          <w:color w:val="000000" w:themeColor="text1"/>
        </w:rPr>
        <w:t xml:space="preserve"> or allowed by this copyright notice, all other rights are </w:t>
      </w:r>
      <w:proofErr w:type="gramStart"/>
      <w:r w:rsidRPr="0096547A">
        <w:rPr>
          <w:rFonts w:cs="Arial"/>
          <w:color w:val="000000" w:themeColor="text1"/>
        </w:rPr>
        <w:t>reserved</w:t>
      </w:r>
      <w:proofErr w:type="gramEnd"/>
      <w:r w:rsidRPr="0096547A">
        <w:rPr>
          <w:rFonts w:cs="Arial"/>
          <w:color w:val="000000" w:themeColor="text1"/>
        </w:rPr>
        <w:t xml:space="preserve"> and you are not allowed to reproduce the whole or any part of this work in any way (electronic or otherwise) without first being given specific written permission from the Commonwealth to do so. Requests and inquiries concerning reproduction and rights are to be sent to the TGA Copyright Officer, Therapeutic Goods Administration, PO Box 100, Woden ACT 2606 or emailed to &lt;</w:t>
      </w:r>
      <w:hyperlink r:id="rId12" w:history="1">
        <w:r w:rsidRPr="00215D48">
          <w:rPr>
            <w:rStyle w:val="Hyperlink"/>
            <w:rFonts w:cs="Arial"/>
          </w:rPr>
          <w:t>tga.copyright@tga.gov.au</w:t>
        </w:r>
      </w:hyperlink>
      <w:r w:rsidRPr="0096547A">
        <w:rPr>
          <w:rFonts w:cs="Arial"/>
          <w:color w:val="000000" w:themeColor="text1"/>
        </w:rPr>
        <w:t>&gt;.</w:t>
      </w:r>
    </w:p>
    <w:p w14:paraId="274AD973" w14:textId="77777777" w:rsidR="00175CD8" w:rsidRPr="00FA49C3" w:rsidRDefault="00175CD8" w:rsidP="00175CD8"/>
    <w:p w14:paraId="533536F1" w14:textId="2114FBA0" w:rsidR="002C46A1" w:rsidRDefault="002C46A1" w:rsidP="002C46A1">
      <w:r>
        <w:br w:type="page"/>
      </w:r>
    </w:p>
    <w:p w14:paraId="3D05EE0F" w14:textId="77777777" w:rsidR="00F02AEC" w:rsidRPr="00215D48" w:rsidRDefault="00F02AEC" w:rsidP="002C46A1"/>
    <w:p w14:paraId="68741206" w14:textId="7DBACF6C" w:rsidR="00327166" w:rsidRPr="00327166" w:rsidRDefault="002C46A1" w:rsidP="00327166">
      <w:pPr>
        <w:rPr>
          <w:rFonts w:ascii="Arial" w:hAnsi="Arial" w:cs="Arial"/>
        </w:rPr>
      </w:pPr>
      <w:r>
        <w:rPr>
          <w:rFonts w:ascii="Arial" w:hAnsi="Arial" w:cs="Arial"/>
        </w:rPr>
        <w:t xml:space="preserve">This document </w:t>
      </w:r>
      <w:r w:rsidRPr="002C46A1">
        <w:rPr>
          <w:rFonts w:ascii="Arial" w:hAnsi="Arial" w:cs="Arial"/>
        </w:rPr>
        <w:t xml:space="preserve">constitutes a notice of a </w:t>
      </w:r>
      <w:r w:rsidR="00652523">
        <w:rPr>
          <w:rFonts w:ascii="Arial" w:hAnsi="Arial" w:cs="Arial"/>
        </w:rPr>
        <w:t>final</w:t>
      </w:r>
      <w:r w:rsidRPr="002C46A1">
        <w:rPr>
          <w:rFonts w:ascii="Arial" w:hAnsi="Arial" w:cs="Arial"/>
        </w:rPr>
        <w:t xml:space="preserve"> decision made by a delegate of the Secretary of the Department of the Health and Aged Care (the </w:t>
      </w:r>
      <w:r w:rsidRPr="002C46A1">
        <w:rPr>
          <w:rFonts w:ascii="Arial" w:hAnsi="Arial" w:cs="Arial"/>
          <w:b/>
          <w:bCs/>
        </w:rPr>
        <w:t>Delegate</w:t>
      </w:r>
      <w:r w:rsidR="00621083">
        <w:rPr>
          <w:rFonts w:ascii="Arial" w:hAnsi="Arial" w:cs="Arial"/>
          <w:b/>
          <w:bCs/>
        </w:rPr>
        <w:t>)</w:t>
      </w:r>
      <w:r w:rsidR="00327166" w:rsidRPr="00327166">
        <w:rPr>
          <w:rFonts w:ascii="Arial" w:hAnsi="Arial" w:cs="Arial"/>
        </w:rPr>
        <w:t xml:space="preserve"> under Regulation 42ZCZX in relation to proposed amendments to the current Poisons Standard which were not referred to an expert advisory committee under subdivision 3D.3 of the Therapeutic Goods Regulations 1990 (the Regulations).</w:t>
      </w:r>
    </w:p>
    <w:p w14:paraId="47E4521C" w14:textId="3AED6CCF" w:rsidR="00327166" w:rsidRPr="00327166" w:rsidRDefault="00327166" w:rsidP="00327166">
      <w:pPr>
        <w:rPr>
          <w:rFonts w:ascii="Arial" w:hAnsi="Arial" w:cs="Arial"/>
        </w:rPr>
      </w:pPr>
      <w:r w:rsidRPr="00327166">
        <w:rPr>
          <w:rFonts w:ascii="Arial" w:hAnsi="Arial" w:cs="Arial"/>
        </w:rPr>
        <w:t>The final decision follow</w:t>
      </w:r>
      <w:r>
        <w:rPr>
          <w:rFonts w:ascii="Arial" w:hAnsi="Arial" w:cs="Arial"/>
        </w:rPr>
        <w:t xml:space="preserve">s an </w:t>
      </w:r>
      <w:r w:rsidRPr="00327166">
        <w:rPr>
          <w:rFonts w:ascii="Arial" w:hAnsi="Arial" w:cs="Arial"/>
        </w:rPr>
        <w:t>application to amend the Poisons Standard in relation to Symphytum spp. (comfrey)</w:t>
      </w:r>
      <w:r>
        <w:rPr>
          <w:rFonts w:ascii="Arial" w:hAnsi="Arial" w:cs="Arial"/>
        </w:rPr>
        <w:t xml:space="preserve"> received</w:t>
      </w:r>
      <w:r w:rsidRPr="00327166">
        <w:rPr>
          <w:rFonts w:ascii="Arial" w:hAnsi="Arial" w:cs="Arial"/>
        </w:rPr>
        <w:t xml:space="preserve"> on </w:t>
      </w:r>
      <w:r>
        <w:rPr>
          <w:rFonts w:ascii="Arial" w:hAnsi="Arial" w:cs="Arial"/>
        </w:rPr>
        <w:t>3 March 2021</w:t>
      </w:r>
      <w:r w:rsidRPr="00327166">
        <w:rPr>
          <w:rFonts w:ascii="Arial" w:hAnsi="Arial" w:cs="Arial"/>
        </w:rPr>
        <w:t>.</w:t>
      </w:r>
    </w:p>
    <w:p w14:paraId="1D2EE586" w14:textId="39CB19CA" w:rsidR="00327166" w:rsidRPr="00327166" w:rsidRDefault="00327166" w:rsidP="00327166">
      <w:pPr>
        <w:rPr>
          <w:rFonts w:ascii="Arial" w:hAnsi="Arial" w:cs="Arial"/>
        </w:rPr>
      </w:pPr>
      <w:r w:rsidRPr="00327166">
        <w:rPr>
          <w:rFonts w:ascii="Arial" w:hAnsi="Arial" w:cs="Arial"/>
        </w:rPr>
        <w:t xml:space="preserve">Pursuant to r 42ZCZV of the Regulations, the Delegate made </w:t>
      </w:r>
      <w:r>
        <w:rPr>
          <w:rFonts w:ascii="Arial" w:hAnsi="Arial" w:cs="Arial"/>
        </w:rPr>
        <w:t xml:space="preserve">the </w:t>
      </w:r>
      <w:r w:rsidRPr="00327166">
        <w:rPr>
          <w:rFonts w:ascii="Arial" w:hAnsi="Arial" w:cs="Arial"/>
        </w:rPr>
        <w:t xml:space="preserve">interim decision to not amend the current Poisons Standard. On the </w:t>
      </w:r>
      <w:r>
        <w:rPr>
          <w:rFonts w:ascii="Arial" w:hAnsi="Arial" w:cs="Arial"/>
        </w:rPr>
        <w:t>1</w:t>
      </w:r>
      <w:r w:rsidR="00A02BDF">
        <w:rPr>
          <w:rFonts w:ascii="Arial" w:hAnsi="Arial" w:cs="Arial"/>
        </w:rPr>
        <w:t>1</w:t>
      </w:r>
      <w:r w:rsidRPr="00327166">
        <w:rPr>
          <w:rFonts w:ascii="Arial" w:hAnsi="Arial" w:cs="Arial"/>
        </w:rPr>
        <w:t xml:space="preserve"> </w:t>
      </w:r>
      <w:r>
        <w:rPr>
          <w:rFonts w:ascii="Arial" w:hAnsi="Arial" w:cs="Arial"/>
        </w:rPr>
        <w:t>May</w:t>
      </w:r>
      <w:r w:rsidRPr="00327166">
        <w:rPr>
          <w:rFonts w:ascii="Arial" w:hAnsi="Arial" w:cs="Arial"/>
        </w:rPr>
        <w:t xml:space="preserve"> 2023, the Delegate:</w:t>
      </w:r>
    </w:p>
    <w:p w14:paraId="2B2807FE" w14:textId="211957AE" w:rsidR="00327166" w:rsidRPr="00621083" w:rsidRDefault="00327166" w:rsidP="00621083">
      <w:pPr>
        <w:pStyle w:val="ListParagraph"/>
        <w:numPr>
          <w:ilvl w:val="0"/>
          <w:numId w:val="7"/>
        </w:numPr>
        <w:rPr>
          <w:rFonts w:ascii="Arial" w:hAnsi="Arial" w:cs="Arial"/>
        </w:rPr>
      </w:pPr>
      <w:r w:rsidRPr="00621083">
        <w:rPr>
          <w:rFonts w:ascii="Arial" w:hAnsi="Arial" w:cs="Arial"/>
        </w:rPr>
        <w:t>made an interim decision on the application having regard to the information provided by the applicant.</w:t>
      </w:r>
    </w:p>
    <w:p w14:paraId="39C76B99" w14:textId="2C09E2BF" w:rsidR="00327166" w:rsidRPr="00621083" w:rsidRDefault="00327166" w:rsidP="00621083">
      <w:pPr>
        <w:pStyle w:val="ListParagraph"/>
        <w:numPr>
          <w:ilvl w:val="0"/>
          <w:numId w:val="7"/>
        </w:numPr>
        <w:rPr>
          <w:rFonts w:ascii="Arial" w:hAnsi="Arial" w:cs="Arial"/>
        </w:rPr>
      </w:pPr>
      <w:r w:rsidRPr="00621083">
        <w:rPr>
          <w:rFonts w:ascii="Arial" w:hAnsi="Arial" w:cs="Arial"/>
        </w:rPr>
        <w:t>provided the applicant a written notice setting out the interim decision and the reasons for the decision, and advised that they may, within the period specified in the notice (not being less than 10 business days after the date of the notice), make a written submission to the Delegate about the interim decisions.</w:t>
      </w:r>
    </w:p>
    <w:p w14:paraId="32779BA2" w14:textId="018252BA" w:rsidR="00327166" w:rsidRPr="00327166" w:rsidRDefault="00327166" w:rsidP="00327166">
      <w:pPr>
        <w:rPr>
          <w:rFonts w:ascii="Arial" w:hAnsi="Arial" w:cs="Arial"/>
        </w:rPr>
      </w:pPr>
      <w:r>
        <w:rPr>
          <w:rFonts w:ascii="Arial" w:hAnsi="Arial" w:cs="Arial"/>
        </w:rPr>
        <w:t>A</w:t>
      </w:r>
      <w:r w:rsidRPr="00327166">
        <w:rPr>
          <w:rFonts w:ascii="Arial" w:hAnsi="Arial" w:cs="Arial"/>
        </w:rPr>
        <w:t xml:space="preserve"> </w:t>
      </w:r>
      <w:r>
        <w:rPr>
          <w:rFonts w:ascii="Arial" w:hAnsi="Arial" w:cs="Arial"/>
        </w:rPr>
        <w:t>response to the interim decision</w:t>
      </w:r>
      <w:r w:rsidRPr="00327166">
        <w:rPr>
          <w:rFonts w:ascii="Arial" w:hAnsi="Arial" w:cs="Arial"/>
        </w:rPr>
        <w:t xml:space="preserve"> was received from the applicant </w:t>
      </w:r>
      <w:r>
        <w:rPr>
          <w:rFonts w:ascii="Arial" w:hAnsi="Arial" w:cs="Arial"/>
        </w:rPr>
        <w:t>on 2</w:t>
      </w:r>
      <w:r w:rsidR="00A02BDF">
        <w:rPr>
          <w:rFonts w:ascii="Arial" w:hAnsi="Arial" w:cs="Arial"/>
        </w:rPr>
        <w:t>3</w:t>
      </w:r>
      <w:r>
        <w:rPr>
          <w:rFonts w:ascii="Arial" w:hAnsi="Arial" w:cs="Arial"/>
        </w:rPr>
        <w:t xml:space="preserve"> May 2023</w:t>
      </w:r>
      <w:r w:rsidRPr="00327166">
        <w:rPr>
          <w:rFonts w:ascii="Arial" w:hAnsi="Arial" w:cs="Arial"/>
        </w:rPr>
        <w:t xml:space="preserve">. </w:t>
      </w:r>
      <w:r>
        <w:rPr>
          <w:rFonts w:ascii="Arial" w:hAnsi="Arial" w:cs="Arial"/>
        </w:rPr>
        <w:t>After considering this response,</w:t>
      </w:r>
      <w:r w:rsidRPr="00327166">
        <w:rPr>
          <w:rFonts w:ascii="Arial" w:hAnsi="Arial" w:cs="Arial"/>
        </w:rPr>
        <w:t xml:space="preserve"> the Delegate is making their final decisions to confirm their interim decision in relation to Symphytum spp. (comfrey)</w:t>
      </w:r>
      <w:r>
        <w:rPr>
          <w:rFonts w:ascii="Arial" w:hAnsi="Arial" w:cs="Arial"/>
        </w:rPr>
        <w:t xml:space="preserve"> </w:t>
      </w:r>
      <w:r w:rsidRPr="00327166">
        <w:rPr>
          <w:rFonts w:ascii="Arial" w:hAnsi="Arial" w:cs="Arial"/>
        </w:rPr>
        <w:t>in accordance with r 42ZCZW of the Regulations.</w:t>
      </w:r>
      <w:r w:rsidR="00A02BDF">
        <w:rPr>
          <w:rFonts w:ascii="Arial" w:hAnsi="Arial" w:cs="Arial"/>
        </w:rPr>
        <w:t xml:space="preserve"> A notice of the final decision was provided to the applicant on 4 August 2023.</w:t>
      </w:r>
    </w:p>
    <w:p w14:paraId="459A97E0" w14:textId="73D038A0" w:rsidR="00305E06" w:rsidRDefault="00327166" w:rsidP="00327166">
      <w:pPr>
        <w:rPr>
          <w:rFonts w:ascii="Arial" w:hAnsi="Arial" w:cs="Arial"/>
        </w:rPr>
      </w:pPr>
      <w:r w:rsidRPr="00327166">
        <w:rPr>
          <w:rFonts w:ascii="Arial" w:hAnsi="Arial" w:cs="Arial"/>
        </w:rPr>
        <w:t>In accordance with r 42ZCZX of the Regulations, this notice provides a publication of the Delegate’s decision, and the reasons for the decision.</w:t>
      </w:r>
      <w:r w:rsidR="00A02BDF">
        <w:rPr>
          <w:rFonts w:ascii="Arial" w:hAnsi="Arial" w:cs="Arial"/>
        </w:rPr>
        <w:t xml:space="preserve"> </w:t>
      </w:r>
    </w:p>
    <w:p w14:paraId="212C115D" w14:textId="77777777" w:rsidR="00327166" w:rsidRPr="002C46A1" w:rsidRDefault="00327166" w:rsidP="00327166">
      <w:pPr>
        <w:pStyle w:val="Heading2"/>
      </w:pPr>
      <w:r>
        <w:t>Background</w:t>
      </w:r>
    </w:p>
    <w:p w14:paraId="32A2E671" w14:textId="77777777" w:rsidR="00327166" w:rsidRDefault="00327166" w:rsidP="00327166">
      <w:pPr>
        <w:pStyle w:val="Heading3"/>
      </w:pPr>
      <w:bookmarkStart w:id="0" w:name="_Toc128548629"/>
      <w:r w:rsidRPr="002C46A1">
        <w:t>Current Scheduling</w:t>
      </w:r>
      <w:bookmarkEnd w:id="0"/>
    </w:p>
    <w:p w14:paraId="2E6F45BC" w14:textId="77777777" w:rsidR="00327166" w:rsidRPr="002C46A1" w:rsidRDefault="00327166" w:rsidP="00327166"/>
    <w:p w14:paraId="7DD2F81D" w14:textId="77777777" w:rsidR="00327166" w:rsidRPr="002C46A1" w:rsidRDefault="00327166" w:rsidP="00327166">
      <w:pPr>
        <w:ind w:left="720"/>
        <w:rPr>
          <w:rFonts w:ascii="Arial" w:hAnsi="Arial" w:cs="Arial"/>
          <w:b/>
          <w:bCs/>
        </w:rPr>
      </w:pPr>
      <w:r w:rsidRPr="002C46A1">
        <w:rPr>
          <w:rFonts w:ascii="Arial" w:hAnsi="Arial" w:cs="Arial"/>
          <w:b/>
          <w:bCs/>
        </w:rPr>
        <w:t>Schedule 10</w:t>
      </w:r>
    </w:p>
    <w:p w14:paraId="218560EE" w14:textId="77777777" w:rsidR="00327166" w:rsidRPr="002C46A1" w:rsidRDefault="00327166" w:rsidP="00327166">
      <w:pPr>
        <w:ind w:left="1440"/>
        <w:rPr>
          <w:rFonts w:ascii="Arial" w:hAnsi="Arial" w:cs="Arial"/>
        </w:rPr>
      </w:pPr>
      <w:r w:rsidRPr="002C46A1">
        <w:rPr>
          <w:rFonts w:ascii="Arial" w:hAnsi="Arial" w:cs="Arial"/>
        </w:rPr>
        <w:t>SYMPHYTUM spp. (Comfrey) in preparations for human or animal use </w:t>
      </w:r>
      <w:r w:rsidRPr="002C46A1">
        <w:rPr>
          <w:rFonts w:ascii="Arial" w:hAnsi="Arial" w:cs="Arial"/>
          <w:b/>
          <w:bCs/>
        </w:rPr>
        <w:t>except</w:t>
      </w:r>
      <w:r w:rsidRPr="002C46A1">
        <w:rPr>
          <w:rFonts w:ascii="Arial" w:hAnsi="Arial" w:cs="Arial"/>
        </w:rPr>
        <w:t> when in Schedule 5</w:t>
      </w:r>
    </w:p>
    <w:p w14:paraId="14E44F9F" w14:textId="77777777" w:rsidR="00327166" w:rsidRPr="002C46A1" w:rsidRDefault="00327166" w:rsidP="00327166">
      <w:pPr>
        <w:ind w:left="720"/>
        <w:rPr>
          <w:rFonts w:ascii="Arial" w:hAnsi="Arial" w:cs="Arial"/>
          <w:b/>
          <w:bCs/>
        </w:rPr>
      </w:pPr>
      <w:r w:rsidRPr="002C46A1">
        <w:rPr>
          <w:rFonts w:ascii="Arial" w:hAnsi="Arial" w:cs="Arial"/>
          <w:b/>
          <w:bCs/>
        </w:rPr>
        <w:t>Schedule 5</w:t>
      </w:r>
    </w:p>
    <w:p w14:paraId="15CF5357" w14:textId="77777777" w:rsidR="00327166" w:rsidRPr="002C46A1" w:rsidRDefault="00327166" w:rsidP="00327166">
      <w:pPr>
        <w:ind w:left="1440"/>
        <w:rPr>
          <w:rFonts w:ascii="Arial" w:hAnsi="Arial" w:cs="Arial"/>
        </w:rPr>
      </w:pPr>
      <w:r w:rsidRPr="002C46A1">
        <w:rPr>
          <w:rFonts w:ascii="Arial" w:hAnsi="Arial" w:cs="Arial"/>
        </w:rPr>
        <w:t>SYMPHYTUM spp. (Comfrey) for dermal therapeutic or dermal cosmetic use.</w:t>
      </w:r>
    </w:p>
    <w:p w14:paraId="4DBCFC82" w14:textId="77777777" w:rsidR="00327166" w:rsidRPr="002C46A1" w:rsidRDefault="00327166" w:rsidP="00327166">
      <w:pPr>
        <w:ind w:left="720"/>
        <w:rPr>
          <w:rFonts w:ascii="Arial" w:hAnsi="Arial" w:cs="Arial"/>
          <w:b/>
          <w:bCs/>
        </w:rPr>
      </w:pPr>
      <w:r w:rsidRPr="002C46A1">
        <w:rPr>
          <w:rFonts w:ascii="Arial" w:hAnsi="Arial" w:cs="Arial"/>
          <w:b/>
          <w:bCs/>
        </w:rPr>
        <w:t>Appendix F</w:t>
      </w:r>
    </w:p>
    <w:tbl>
      <w:tblPr>
        <w:tblW w:w="4267" w:type="pct"/>
        <w:tblInd w:w="1332" w:type="dxa"/>
        <w:tblBorders>
          <w:top w:val="single" w:sz="4" w:space="0" w:color="auto"/>
          <w:bottom w:val="single" w:sz="8" w:space="0" w:color="auto"/>
          <w:insideH w:val="single" w:sz="8" w:space="0" w:color="auto"/>
        </w:tblBorders>
        <w:shd w:val="clear" w:color="auto" w:fill="FFFFFF"/>
        <w:tblCellMar>
          <w:left w:w="0" w:type="dxa"/>
          <w:right w:w="0" w:type="dxa"/>
        </w:tblCellMar>
        <w:tblLook w:val="04A0" w:firstRow="1" w:lastRow="0" w:firstColumn="1" w:lastColumn="0" w:noHBand="0" w:noVBand="1"/>
      </w:tblPr>
      <w:tblGrid>
        <w:gridCol w:w="767"/>
        <w:gridCol w:w="6973"/>
      </w:tblGrid>
      <w:tr w:rsidR="00327166" w:rsidRPr="002C46A1" w14:paraId="198B3A1D" w14:textId="77777777" w:rsidTr="000A0EB4">
        <w:tc>
          <w:tcPr>
            <w:tcW w:w="767" w:type="dxa"/>
            <w:shd w:val="clear" w:color="auto" w:fill="FFFFFF"/>
            <w:tcMar>
              <w:top w:w="28" w:type="dxa"/>
              <w:left w:w="108" w:type="dxa"/>
              <w:bottom w:w="28" w:type="dxa"/>
              <w:right w:w="108" w:type="dxa"/>
            </w:tcMar>
            <w:vAlign w:val="center"/>
            <w:hideMark/>
          </w:tcPr>
          <w:p w14:paraId="662FE123" w14:textId="77777777" w:rsidR="00327166" w:rsidRPr="002C46A1" w:rsidRDefault="00327166" w:rsidP="000A0EB4">
            <w:pPr>
              <w:rPr>
                <w:rFonts w:ascii="Arial" w:hAnsi="Arial" w:cs="Arial"/>
              </w:rPr>
            </w:pPr>
            <w:r w:rsidRPr="002C46A1">
              <w:rPr>
                <w:rFonts w:ascii="Arial" w:hAnsi="Arial" w:cs="Arial"/>
              </w:rPr>
              <w:t>31</w:t>
            </w:r>
          </w:p>
        </w:tc>
        <w:tc>
          <w:tcPr>
            <w:tcW w:w="6973" w:type="dxa"/>
            <w:shd w:val="clear" w:color="auto" w:fill="FFFFFF"/>
            <w:tcMar>
              <w:top w:w="28" w:type="dxa"/>
              <w:left w:w="108" w:type="dxa"/>
              <w:bottom w:w="28" w:type="dxa"/>
              <w:right w:w="108" w:type="dxa"/>
            </w:tcMar>
            <w:vAlign w:val="center"/>
            <w:hideMark/>
          </w:tcPr>
          <w:p w14:paraId="55DCFAB8" w14:textId="77777777" w:rsidR="00327166" w:rsidRPr="002C46A1" w:rsidRDefault="00327166" w:rsidP="000A0EB4">
            <w:pPr>
              <w:rPr>
                <w:rFonts w:ascii="Arial" w:hAnsi="Arial" w:cs="Arial"/>
              </w:rPr>
            </w:pPr>
            <w:r w:rsidRPr="002C46A1">
              <w:rPr>
                <w:rFonts w:ascii="Arial" w:hAnsi="Arial" w:cs="Arial"/>
              </w:rPr>
              <w:t>WARNING – Do not use on face or on anal or genital areas except on doctor’s advice.</w:t>
            </w:r>
          </w:p>
        </w:tc>
      </w:tr>
      <w:tr w:rsidR="00327166" w:rsidRPr="002C46A1" w14:paraId="33EC10A7" w14:textId="77777777" w:rsidTr="000A0EB4">
        <w:tc>
          <w:tcPr>
            <w:tcW w:w="767" w:type="dxa"/>
            <w:shd w:val="clear" w:color="auto" w:fill="FFFFFF"/>
            <w:tcMar>
              <w:top w:w="28" w:type="dxa"/>
              <w:left w:w="108" w:type="dxa"/>
              <w:bottom w:w="28" w:type="dxa"/>
              <w:right w:w="108" w:type="dxa"/>
            </w:tcMar>
            <w:vAlign w:val="center"/>
            <w:hideMark/>
          </w:tcPr>
          <w:p w14:paraId="0D413923" w14:textId="77777777" w:rsidR="00327166" w:rsidRPr="002C46A1" w:rsidRDefault="00327166" w:rsidP="000A0EB4">
            <w:pPr>
              <w:rPr>
                <w:rFonts w:ascii="Arial" w:hAnsi="Arial" w:cs="Arial"/>
              </w:rPr>
            </w:pPr>
            <w:r w:rsidRPr="002C46A1">
              <w:rPr>
                <w:rFonts w:ascii="Arial" w:hAnsi="Arial" w:cs="Arial"/>
              </w:rPr>
              <w:t>32</w:t>
            </w:r>
          </w:p>
        </w:tc>
        <w:tc>
          <w:tcPr>
            <w:tcW w:w="6973" w:type="dxa"/>
            <w:shd w:val="clear" w:color="auto" w:fill="FFFFFF"/>
            <w:tcMar>
              <w:top w:w="28" w:type="dxa"/>
              <w:left w:w="108" w:type="dxa"/>
              <w:bottom w:w="28" w:type="dxa"/>
              <w:right w:w="108" w:type="dxa"/>
            </w:tcMar>
            <w:vAlign w:val="center"/>
            <w:hideMark/>
          </w:tcPr>
          <w:p w14:paraId="1A39BBF3" w14:textId="77777777" w:rsidR="00327166" w:rsidRPr="002C46A1" w:rsidRDefault="00327166" w:rsidP="000A0EB4">
            <w:pPr>
              <w:rPr>
                <w:rFonts w:ascii="Arial" w:hAnsi="Arial" w:cs="Arial"/>
              </w:rPr>
            </w:pPr>
            <w:r w:rsidRPr="002C46A1">
              <w:rPr>
                <w:rFonts w:ascii="Arial" w:hAnsi="Arial" w:cs="Arial"/>
              </w:rPr>
              <w:t>This preparation should be part of an overall treatment plan regularly assessed with your doctor.</w:t>
            </w:r>
          </w:p>
        </w:tc>
      </w:tr>
    </w:tbl>
    <w:p w14:paraId="02479310" w14:textId="77777777" w:rsidR="00327166" w:rsidRPr="002C46A1" w:rsidRDefault="00327166" w:rsidP="00327166">
      <w:pPr>
        <w:ind w:left="720"/>
        <w:rPr>
          <w:rFonts w:ascii="Arial" w:hAnsi="Arial" w:cs="Arial"/>
          <w:b/>
          <w:bCs/>
        </w:rPr>
      </w:pPr>
      <w:r w:rsidRPr="002C46A1">
        <w:rPr>
          <w:rFonts w:ascii="Arial" w:hAnsi="Arial" w:cs="Arial"/>
          <w:b/>
          <w:bCs/>
        </w:rPr>
        <w:t>Index</w:t>
      </w:r>
    </w:p>
    <w:p w14:paraId="0EE18FBA" w14:textId="77777777" w:rsidR="00327166" w:rsidRPr="00D3676D" w:rsidRDefault="00327166" w:rsidP="00327166">
      <w:pPr>
        <w:ind w:left="1440"/>
        <w:rPr>
          <w:rFonts w:ascii="Arial" w:hAnsi="Arial" w:cs="Arial"/>
        </w:rPr>
      </w:pPr>
      <w:r w:rsidRPr="002C46A1">
        <w:rPr>
          <w:rFonts w:ascii="Arial" w:hAnsi="Arial" w:cs="Arial"/>
          <w:b/>
          <w:bCs/>
        </w:rPr>
        <w:t>SYMPHYTUM spp</w:t>
      </w:r>
      <w:r w:rsidRPr="002C46A1">
        <w:rPr>
          <w:rFonts w:ascii="Arial" w:hAnsi="Arial" w:cs="Arial"/>
        </w:rPr>
        <w:t xml:space="preserve">. </w:t>
      </w:r>
      <w:r w:rsidRPr="002C46A1">
        <w:rPr>
          <w:rFonts w:ascii="Arial" w:hAnsi="Arial" w:cs="Arial"/>
        </w:rPr>
        <w:br/>
        <w:t>cross reference COMFREY</w:t>
      </w:r>
      <w:r w:rsidRPr="002C46A1">
        <w:rPr>
          <w:rFonts w:ascii="Arial" w:hAnsi="Arial" w:cs="Arial"/>
        </w:rPr>
        <w:br/>
        <w:t>Schedule 10</w:t>
      </w:r>
      <w:r w:rsidRPr="002C46A1">
        <w:rPr>
          <w:rFonts w:ascii="Arial" w:hAnsi="Arial" w:cs="Arial"/>
        </w:rPr>
        <w:br/>
        <w:t>Schedule 5</w:t>
      </w:r>
      <w:r w:rsidRPr="002C46A1">
        <w:rPr>
          <w:rFonts w:ascii="Arial" w:hAnsi="Arial" w:cs="Arial"/>
        </w:rPr>
        <w:br/>
        <w:t>Appendix F, clause 4</w:t>
      </w:r>
      <w:bookmarkStart w:id="1" w:name="_Toc128548625"/>
    </w:p>
    <w:p w14:paraId="7E538DEA" w14:textId="77777777" w:rsidR="00327166" w:rsidRPr="002C46A1" w:rsidRDefault="00327166" w:rsidP="00327166">
      <w:pPr>
        <w:pStyle w:val="Heading3"/>
      </w:pPr>
      <w:r w:rsidRPr="002C46A1">
        <w:lastRenderedPageBreak/>
        <w:t>Alternative names</w:t>
      </w:r>
      <w:bookmarkEnd w:id="1"/>
    </w:p>
    <w:p w14:paraId="5B0D1D5B" w14:textId="14E05968" w:rsidR="00327166" w:rsidRDefault="00327166" w:rsidP="00327166">
      <w:pPr>
        <w:ind w:left="720"/>
        <w:rPr>
          <w:rFonts w:ascii="Arial" w:hAnsi="Arial" w:cs="Arial"/>
        </w:rPr>
      </w:pPr>
      <w:r w:rsidRPr="00621083">
        <w:rPr>
          <w:rFonts w:ascii="Arial" w:hAnsi="Arial" w:cs="Arial"/>
          <w:i/>
          <w:iCs/>
        </w:rPr>
        <w:t>Symphytum spp.</w:t>
      </w:r>
      <w:r w:rsidRPr="002C46A1">
        <w:rPr>
          <w:rFonts w:ascii="Arial" w:hAnsi="Arial" w:cs="Arial"/>
        </w:rPr>
        <w:t xml:space="preserve">, boneset, </w:t>
      </w:r>
      <w:proofErr w:type="spellStart"/>
      <w:r w:rsidRPr="002C46A1">
        <w:rPr>
          <w:rFonts w:ascii="Arial" w:hAnsi="Arial" w:cs="Arial"/>
        </w:rPr>
        <w:t>knitbone</w:t>
      </w:r>
      <w:proofErr w:type="spellEnd"/>
      <w:r w:rsidRPr="002C46A1">
        <w:rPr>
          <w:rFonts w:ascii="Arial" w:hAnsi="Arial" w:cs="Arial"/>
        </w:rPr>
        <w:t>, black wort, wall wort, and slippery root</w:t>
      </w:r>
    </w:p>
    <w:p w14:paraId="56C15247" w14:textId="77777777" w:rsidR="00305E06" w:rsidRDefault="00305E06" w:rsidP="00305E06">
      <w:pPr>
        <w:pStyle w:val="Heading2"/>
      </w:pPr>
      <w:r w:rsidRPr="002C46A1">
        <w:t>Proposal</w:t>
      </w:r>
    </w:p>
    <w:p w14:paraId="09069ABC" w14:textId="3E31E064" w:rsidR="00327166" w:rsidRDefault="00305E06" w:rsidP="00305E06">
      <w:pPr>
        <w:rPr>
          <w:rFonts w:ascii="Arial" w:hAnsi="Arial" w:cs="Arial"/>
        </w:rPr>
      </w:pPr>
      <w:r>
        <w:rPr>
          <w:rFonts w:ascii="Arial" w:hAnsi="Arial" w:cs="Arial"/>
        </w:rPr>
        <w:t>An</w:t>
      </w:r>
      <w:r w:rsidRPr="002C46A1">
        <w:rPr>
          <w:rFonts w:ascii="Arial" w:hAnsi="Arial" w:cs="Arial"/>
        </w:rPr>
        <w:t xml:space="preserve"> applicant proposed </w:t>
      </w:r>
      <w:r>
        <w:rPr>
          <w:rFonts w:ascii="Arial" w:hAnsi="Arial" w:cs="Arial"/>
        </w:rPr>
        <w:t>that the Poisons Standard be amended ‘</w:t>
      </w:r>
      <w:r w:rsidRPr="002C46A1">
        <w:rPr>
          <w:rFonts w:ascii="Arial" w:hAnsi="Arial" w:cs="Arial"/>
        </w:rPr>
        <w:t>to allow comfrey to be accepted as a safe food, being 0.9% alkaloid</w:t>
      </w:r>
      <w:r>
        <w:rPr>
          <w:rFonts w:ascii="Arial" w:hAnsi="Arial" w:cs="Arial"/>
        </w:rPr>
        <w:t>’</w:t>
      </w:r>
      <w:r w:rsidRPr="002C46A1">
        <w:rPr>
          <w:rFonts w:ascii="Arial" w:hAnsi="Arial" w:cs="Arial"/>
        </w:rPr>
        <w:t xml:space="preserve"> (the </w:t>
      </w:r>
      <w:r w:rsidRPr="002C46A1">
        <w:rPr>
          <w:rFonts w:ascii="Arial" w:hAnsi="Arial" w:cs="Arial"/>
          <w:b/>
          <w:bCs/>
        </w:rPr>
        <w:t>Proposal</w:t>
      </w:r>
      <w:r w:rsidRPr="002C46A1">
        <w:rPr>
          <w:rFonts w:ascii="Arial" w:hAnsi="Arial" w:cs="Arial"/>
        </w:rPr>
        <w:t xml:space="preserve">). </w:t>
      </w:r>
    </w:p>
    <w:p w14:paraId="087B8014" w14:textId="0BECAF2F" w:rsidR="002C46A1" w:rsidRPr="002C46A1" w:rsidRDefault="00305E06" w:rsidP="00AE609B">
      <w:pPr>
        <w:pStyle w:val="Heading2"/>
      </w:pPr>
      <w:r>
        <w:t>Final Decision</w:t>
      </w:r>
    </w:p>
    <w:p w14:paraId="357826D2" w14:textId="77777777" w:rsidR="002C46A1" w:rsidRDefault="002C46A1" w:rsidP="002C46A1">
      <w:pPr>
        <w:rPr>
          <w:rFonts w:ascii="Arial" w:hAnsi="Arial" w:cs="Arial"/>
          <w:bCs/>
        </w:rPr>
      </w:pPr>
      <w:r w:rsidRPr="002C46A1">
        <w:rPr>
          <w:rFonts w:ascii="Arial" w:hAnsi="Arial" w:cs="Arial"/>
        </w:rPr>
        <w:t xml:space="preserve">Pursuant to </w:t>
      </w:r>
      <w:r w:rsidR="00D3676D">
        <w:rPr>
          <w:rFonts w:ascii="Arial" w:hAnsi="Arial" w:cs="Arial"/>
        </w:rPr>
        <w:t>r</w:t>
      </w:r>
      <w:r w:rsidRPr="002C46A1">
        <w:rPr>
          <w:rFonts w:ascii="Arial" w:hAnsi="Arial" w:cs="Arial"/>
        </w:rPr>
        <w:t xml:space="preserve"> 42ZCZ</w:t>
      </w:r>
      <w:r w:rsidR="00652523">
        <w:rPr>
          <w:rFonts w:ascii="Arial" w:hAnsi="Arial" w:cs="Arial"/>
        </w:rPr>
        <w:t>X</w:t>
      </w:r>
      <w:r w:rsidRPr="002C46A1">
        <w:rPr>
          <w:rFonts w:ascii="Arial" w:hAnsi="Arial" w:cs="Arial"/>
        </w:rPr>
        <w:t xml:space="preserve"> of the Regulations, the Delegate has made a </w:t>
      </w:r>
      <w:r w:rsidR="00652523">
        <w:rPr>
          <w:rFonts w:ascii="Arial" w:hAnsi="Arial" w:cs="Arial"/>
        </w:rPr>
        <w:t xml:space="preserve">final </w:t>
      </w:r>
      <w:r w:rsidRPr="002C46A1">
        <w:rPr>
          <w:rFonts w:ascii="Arial" w:hAnsi="Arial" w:cs="Arial"/>
        </w:rPr>
        <w:t xml:space="preserve">decision to not amend the current Poisons Standard in relation to </w:t>
      </w:r>
      <w:r w:rsidRPr="002E4A30">
        <w:rPr>
          <w:rFonts w:ascii="Arial" w:hAnsi="Arial" w:cs="Arial"/>
          <w:i/>
          <w:iCs/>
        </w:rPr>
        <w:t>Symphytum spp</w:t>
      </w:r>
      <w:r w:rsidRPr="002C46A1">
        <w:rPr>
          <w:rFonts w:ascii="Arial" w:hAnsi="Arial" w:cs="Arial"/>
        </w:rPr>
        <w:t xml:space="preserve">. (comfrey). </w:t>
      </w:r>
      <w:r w:rsidRPr="002C46A1">
        <w:rPr>
          <w:rFonts w:ascii="Arial" w:hAnsi="Arial" w:cs="Arial"/>
          <w:bCs/>
        </w:rPr>
        <w:t>The detailed reasons for the decision are provided within.</w:t>
      </w:r>
    </w:p>
    <w:p w14:paraId="4670DB7D" w14:textId="79D99ACE" w:rsidR="002C46A1" w:rsidRPr="002C46A1" w:rsidRDefault="002C46A1" w:rsidP="002C46A1">
      <w:pPr>
        <w:pStyle w:val="Heading2"/>
      </w:pPr>
      <w:bookmarkStart w:id="2" w:name="_Toc128548634"/>
      <w:r w:rsidRPr="002C46A1">
        <w:t xml:space="preserve">Materials </w:t>
      </w:r>
      <w:proofErr w:type="gramStart"/>
      <w:r w:rsidRPr="002C46A1">
        <w:t>considered</w:t>
      </w:r>
      <w:bookmarkEnd w:id="2"/>
      <w:proofErr w:type="gramEnd"/>
    </w:p>
    <w:p w14:paraId="72A1187C" w14:textId="519297E6" w:rsidR="002C46A1" w:rsidRPr="002C46A1" w:rsidRDefault="002C46A1" w:rsidP="002C46A1">
      <w:pPr>
        <w:rPr>
          <w:rFonts w:ascii="Arial" w:hAnsi="Arial" w:cs="Arial"/>
        </w:rPr>
      </w:pPr>
      <w:r w:rsidRPr="002C46A1">
        <w:rPr>
          <w:rFonts w:ascii="Arial" w:hAnsi="Arial" w:cs="Arial"/>
        </w:rPr>
        <w:t xml:space="preserve">In making this </w:t>
      </w:r>
      <w:r w:rsidR="00652523">
        <w:rPr>
          <w:rFonts w:ascii="Arial" w:hAnsi="Arial" w:cs="Arial"/>
        </w:rPr>
        <w:t>final</w:t>
      </w:r>
      <w:r w:rsidRPr="002C46A1">
        <w:rPr>
          <w:rFonts w:ascii="Arial" w:hAnsi="Arial" w:cs="Arial"/>
        </w:rPr>
        <w:t xml:space="preserve"> decision, the Delegate considered the following material:</w:t>
      </w:r>
    </w:p>
    <w:p w14:paraId="2935313A" w14:textId="1528926A" w:rsidR="002C46A1" w:rsidRPr="002C46A1" w:rsidRDefault="00621083" w:rsidP="002C46A1">
      <w:pPr>
        <w:numPr>
          <w:ilvl w:val="0"/>
          <w:numId w:val="1"/>
        </w:numPr>
        <w:rPr>
          <w:rFonts w:ascii="Arial" w:hAnsi="Arial" w:cs="Arial"/>
        </w:rPr>
      </w:pPr>
      <w:r>
        <w:rPr>
          <w:rFonts w:ascii="Arial" w:hAnsi="Arial" w:cs="Arial"/>
        </w:rPr>
        <w:t>t</w:t>
      </w:r>
      <w:r w:rsidR="002C46A1" w:rsidRPr="002C46A1">
        <w:rPr>
          <w:rFonts w:ascii="Arial" w:hAnsi="Arial" w:cs="Arial"/>
        </w:rPr>
        <w:t xml:space="preserve">he application to amend the current Poisons Standard with respect to comfrey (the </w:t>
      </w:r>
      <w:r w:rsidR="002C46A1" w:rsidRPr="002C46A1">
        <w:rPr>
          <w:rFonts w:ascii="Arial" w:hAnsi="Arial" w:cs="Arial"/>
          <w:b/>
          <w:bCs/>
        </w:rPr>
        <w:t>Application</w:t>
      </w:r>
      <w:r w:rsidR="002C46A1" w:rsidRPr="002C46A1">
        <w:rPr>
          <w:rFonts w:ascii="Arial" w:hAnsi="Arial" w:cs="Arial"/>
        </w:rPr>
        <w:t>)</w:t>
      </w:r>
      <w:r>
        <w:rPr>
          <w:rFonts w:ascii="Arial" w:hAnsi="Arial" w:cs="Arial"/>
        </w:rPr>
        <w:t>.</w:t>
      </w:r>
    </w:p>
    <w:p w14:paraId="78AE525D" w14:textId="2FFE67BD" w:rsidR="002C46A1" w:rsidRDefault="00621083" w:rsidP="002C46A1">
      <w:pPr>
        <w:pStyle w:val="ListBullet"/>
      </w:pPr>
      <w:r>
        <w:t>s</w:t>
      </w:r>
      <w:r w:rsidR="002C46A1" w:rsidRPr="002C46A1">
        <w:t xml:space="preserve">ubsection 52E(1) of the </w:t>
      </w:r>
      <w:r w:rsidR="002C46A1" w:rsidRPr="002C46A1">
        <w:rPr>
          <w:i/>
          <w:iCs/>
        </w:rPr>
        <w:t>Therapeutic Goods Act 1989</w:t>
      </w:r>
      <w:r w:rsidR="002C46A1" w:rsidRPr="002C46A1">
        <w:t xml:space="preserve"> (</w:t>
      </w:r>
      <w:proofErr w:type="spellStart"/>
      <w:r w:rsidR="002C46A1" w:rsidRPr="002C46A1">
        <w:t>Cth</w:t>
      </w:r>
      <w:proofErr w:type="spellEnd"/>
      <w:r w:rsidR="002C46A1" w:rsidRPr="002C46A1">
        <w:t xml:space="preserve">) </w:t>
      </w:r>
      <w:r w:rsidR="002C46A1" w:rsidRPr="002C46A1">
        <w:rPr>
          <w:iCs/>
        </w:rPr>
        <w:t xml:space="preserve">(the </w:t>
      </w:r>
      <w:r w:rsidR="002C46A1" w:rsidRPr="002C46A1">
        <w:rPr>
          <w:b/>
          <w:bCs/>
          <w:iCs/>
        </w:rPr>
        <w:t>Act</w:t>
      </w:r>
      <w:r w:rsidR="002C46A1" w:rsidRPr="002C46A1">
        <w:rPr>
          <w:iCs/>
        </w:rPr>
        <w:t>)</w:t>
      </w:r>
      <w:r w:rsidR="002C46A1" w:rsidRPr="002C46A1">
        <w:t>, in particular (a) the risks and benefits of the use of a substance; (b) the purposes for which a substance is to be used and the extent of use of a substance; (c) the toxicity of a substance; (d) the dosage, formulation, labelling, packaging and presentation of a substance; and (f) any other matters considered necessary to protect public health</w:t>
      </w:r>
      <w:r>
        <w:t>.</w:t>
      </w:r>
    </w:p>
    <w:p w14:paraId="24B0E2CD" w14:textId="53E6C49A" w:rsidR="00327166" w:rsidRDefault="00621083" w:rsidP="00A02BDF">
      <w:pPr>
        <w:pStyle w:val="ListBullet"/>
      </w:pPr>
      <w:r>
        <w:t>t</w:t>
      </w:r>
      <w:r w:rsidR="003130F6">
        <w:t xml:space="preserve">he </w:t>
      </w:r>
      <w:r>
        <w:t>s</w:t>
      </w:r>
      <w:r w:rsidR="003130F6">
        <w:t>cheduling history for comfrey, whereby comfrey was first considered by the Poisons Schedule Standing Committee in 1978 and again in 1983; by the Drugs and Poisons Scheduling Committee in 1990, 1991, and 1992, and by the National Drugs and Poisons Scheduling Committee in 1988. The wording of the scheduling entries for comfrey have been considered as recently as 2016</w:t>
      </w:r>
      <w:r>
        <w:t>.</w:t>
      </w:r>
    </w:p>
    <w:p w14:paraId="61D65288" w14:textId="4A326C32" w:rsidR="00F6306E" w:rsidRDefault="00621083" w:rsidP="002C46A1">
      <w:pPr>
        <w:pStyle w:val="ListBullet"/>
      </w:pPr>
      <w:r>
        <w:t>p</w:t>
      </w:r>
      <w:r w:rsidR="00907680">
        <w:t xml:space="preserve">ublications as cited throughout the reasons for the </w:t>
      </w:r>
      <w:r w:rsidR="00652523">
        <w:t xml:space="preserve">interim </w:t>
      </w:r>
      <w:r w:rsidR="00907680">
        <w:t>decision</w:t>
      </w:r>
      <w:r w:rsidR="00652523">
        <w:t>, which w</w:t>
      </w:r>
      <w:r w:rsidR="00BB2E4D">
        <w:t>as</w:t>
      </w:r>
      <w:r w:rsidR="00652523">
        <w:t xml:space="preserve"> provided to the applicant for response on 11 May 2023</w:t>
      </w:r>
    </w:p>
    <w:p w14:paraId="510EEBAF" w14:textId="06C8110C" w:rsidR="00652523" w:rsidRDefault="00621083" w:rsidP="002C46A1">
      <w:pPr>
        <w:pStyle w:val="ListBullet"/>
      </w:pPr>
      <w:r>
        <w:t>t</w:t>
      </w:r>
      <w:r w:rsidR="003778B1">
        <w:t>he applicant’s response to the interim decision, received on 23 May 2023</w:t>
      </w:r>
      <w:r>
        <w:t>.</w:t>
      </w:r>
    </w:p>
    <w:p w14:paraId="529AA0E3" w14:textId="6DCC1B28" w:rsidR="002C46A1" w:rsidRPr="002C46A1" w:rsidRDefault="002C46A1" w:rsidP="002C46A1">
      <w:pPr>
        <w:pStyle w:val="ListBullet"/>
      </w:pPr>
      <w:r w:rsidRPr="002C46A1">
        <w:t xml:space="preserve">the </w:t>
      </w:r>
      <w:hyperlink r:id="rId13" w:history="1">
        <w:r w:rsidRPr="002C46A1">
          <w:rPr>
            <w:rStyle w:val="Hyperlink"/>
            <w:rFonts w:cs="Arial"/>
          </w:rPr>
          <w:t>Scheduling Policy Framework</w:t>
        </w:r>
      </w:hyperlink>
      <w:r w:rsidRPr="002C46A1">
        <w:t xml:space="preserve"> 2018 (the </w:t>
      </w:r>
      <w:r w:rsidRPr="002C46A1">
        <w:rPr>
          <w:b/>
          <w:bCs/>
        </w:rPr>
        <w:t>SPF</w:t>
      </w:r>
      <w:r w:rsidRPr="002C46A1">
        <w:t>)</w:t>
      </w:r>
      <w:r w:rsidR="002E4A30">
        <w:t>,</w:t>
      </w:r>
      <w:r w:rsidRPr="002C46A1">
        <w:t xml:space="preserve"> and</w:t>
      </w:r>
    </w:p>
    <w:p w14:paraId="111AFBE9" w14:textId="77777777" w:rsidR="002C46A1" w:rsidRPr="002C46A1" w:rsidRDefault="002C46A1" w:rsidP="002C46A1">
      <w:pPr>
        <w:pStyle w:val="ListBullet"/>
      </w:pPr>
      <w:r w:rsidRPr="002C46A1">
        <w:t xml:space="preserve">the </w:t>
      </w:r>
      <w:hyperlink r:id="rId14" w:history="1">
        <w:r w:rsidRPr="002C46A1">
          <w:rPr>
            <w:rStyle w:val="Hyperlink"/>
            <w:rFonts w:cs="Arial"/>
          </w:rPr>
          <w:t>Scheduling handbook: Guidance for amending the Poisons Standard</w:t>
        </w:r>
      </w:hyperlink>
      <w:r w:rsidRPr="002C46A1">
        <w:t xml:space="preserve"> (the </w:t>
      </w:r>
      <w:r w:rsidRPr="002C46A1">
        <w:rPr>
          <w:b/>
          <w:bCs/>
        </w:rPr>
        <w:t>Handbook</w:t>
      </w:r>
      <w:r w:rsidRPr="002C46A1">
        <w:t>).</w:t>
      </w:r>
    </w:p>
    <w:p w14:paraId="533ECC25" w14:textId="77E94470" w:rsidR="002C46A1" w:rsidRPr="002C46A1" w:rsidRDefault="002C46A1" w:rsidP="002C46A1">
      <w:pPr>
        <w:pStyle w:val="Heading2"/>
      </w:pPr>
      <w:bookmarkStart w:id="3" w:name="_Toc128548635"/>
      <w:r w:rsidRPr="002C46A1">
        <w:t xml:space="preserve">Reasons for the </w:t>
      </w:r>
      <w:r w:rsidR="00A02BDF">
        <w:t xml:space="preserve">interim and </w:t>
      </w:r>
      <w:r w:rsidR="003778B1">
        <w:t>final</w:t>
      </w:r>
      <w:r w:rsidRPr="002C46A1">
        <w:t xml:space="preserve"> decision</w:t>
      </w:r>
      <w:r w:rsidR="00A02BDF">
        <w:t xml:space="preserve">s </w:t>
      </w:r>
      <w:r w:rsidRPr="002C46A1">
        <w:t>(including findings on material questions of fact)</w:t>
      </w:r>
      <w:bookmarkEnd w:id="3"/>
    </w:p>
    <w:p w14:paraId="284FBE9A" w14:textId="0ED956F4" w:rsidR="00A02BDF" w:rsidRDefault="00A02BDF" w:rsidP="00A02BDF">
      <w:pPr>
        <w:pStyle w:val="Heading3"/>
      </w:pPr>
      <w:r>
        <w:t>Interim decision reasons</w:t>
      </w:r>
    </w:p>
    <w:p w14:paraId="2ABED90C" w14:textId="13507A77" w:rsidR="00A02BDF" w:rsidRPr="00BE539E" w:rsidRDefault="00A02BDF" w:rsidP="00A02BDF">
      <w:pPr>
        <w:rPr>
          <w:rFonts w:ascii="Arial" w:hAnsi="Arial" w:cs="Arial"/>
          <w:bCs/>
          <w:color w:val="0D0D0D" w:themeColor="text1" w:themeTint="F2"/>
        </w:rPr>
      </w:pPr>
      <w:r w:rsidRPr="00BE539E">
        <w:rPr>
          <w:rFonts w:ascii="Arial" w:hAnsi="Arial" w:cs="Arial"/>
          <w:bCs/>
          <w:color w:val="0D0D0D" w:themeColor="text1" w:themeTint="F2"/>
        </w:rPr>
        <w:t xml:space="preserve">I have made an interim decision not to amend the current Poisons Standard (the </w:t>
      </w:r>
      <w:r w:rsidRPr="00035C91">
        <w:rPr>
          <w:rFonts w:ascii="Arial" w:hAnsi="Arial" w:cs="Arial"/>
          <w:b/>
          <w:color w:val="0D0D0D" w:themeColor="text1" w:themeTint="F2"/>
        </w:rPr>
        <w:t>Standard</w:t>
      </w:r>
      <w:r w:rsidRPr="00BE539E">
        <w:rPr>
          <w:rFonts w:ascii="Arial" w:hAnsi="Arial" w:cs="Arial"/>
          <w:bCs/>
          <w:color w:val="0D0D0D" w:themeColor="text1" w:themeTint="F2"/>
        </w:rPr>
        <w:t xml:space="preserve">) in relation to </w:t>
      </w:r>
      <w:r w:rsidRPr="00621083">
        <w:rPr>
          <w:rFonts w:ascii="Arial" w:hAnsi="Arial" w:cs="Arial"/>
          <w:bCs/>
          <w:i/>
          <w:iCs/>
          <w:color w:val="0D0D0D" w:themeColor="text1" w:themeTint="F2"/>
        </w:rPr>
        <w:t>Symphytum spp.</w:t>
      </w:r>
      <w:r w:rsidRPr="00BE539E">
        <w:rPr>
          <w:rFonts w:ascii="Arial" w:hAnsi="Arial" w:cs="Arial"/>
          <w:bCs/>
          <w:color w:val="0D0D0D" w:themeColor="text1" w:themeTint="F2"/>
        </w:rPr>
        <w:t xml:space="preserve"> (comfrey). The basis of my decision is that the substance </w:t>
      </w:r>
      <w:r>
        <w:rPr>
          <w:rFonts w:ascii="Arial" w:hAnsi="Arial" w:cs="Arial"/>
          <w:bCs/>
          <w:color w:val="0D0D0D" w:themeColor="text1" w:themeTint="F2"/>
        </w:rPr>
        <w:t xml:space="preserve">is already exempt from scheduling when used as a food. In addition, comfrey </w:t>
      </w:r>
      <w:r w:rsidRPr="00BE539E">
        <w:rPr>
          <w:rFonts w:ascii="Arial" w:hAnsi="Arial" w:cs="Arial"/>
          <w:bCs/>
          <w:color w:val="0D0D0D" w:themeColor="text1" w:themeTint="F2"/>
        </w:rPr>
        <w:t>meets the scheduling factors for inclusion in Schedule 10</w:t>
      </w:r>
      <w:r>
        <w:rPr>
          <w:rFonts w:ascii="Arial" w:hAnsi="Arial" w:cs="Arial"/>
          <w:bCs/>
          <w:color w:val="0D0D0D" w:themeColor="text1" w:themeTint="F2"/>
        </w:rPr>
        <w:t xml:space="preserve"> for human use</w:t>
      </w:r>
      <w:r w:rsidRPr="00BE539E">
        <w:rPr>
          <w:rFonts w:ascii="Arial" w:hAnsi="Arial" w:cs="Arial"/>
          <w:bCs/>
          <w:color w:val="0D0D0D" w:themeColor="text1" w:themeTint="F2"/>
        </w:rPr>
        <w:t xml:space="preserve"> as outlined in the SPF</w:t>
      </w:r>
      <w:r w:rsidR="00621083">
        <w:rPr>
          <w:rFonts w:ascii="Arial" w:hAnsi="Arial" w:cs="Arial"/>
          <w:bCs/>
          <w:color w:val="0D0D0D" w:themeColor="text1" w:themeTint="F2"/>
        </w:rPr>
        <w:t>. T</w:t>
      </w:r>
      <w:r w:rsidRPr="00BE539E">
        <w:rPr>
          <w:rFonts w:ascii="Arial" w:hAnsi="Arial" w:cs="Arial"/>
          <w:color w:val="0D0D0D" w:themeColor="text1" w:themeTint="F2"/>
        </w:rPr>
        <w:t xml:space="preserve">he risks of the substance from its inclusion in any schedule other than Schedule 10 for oral use in humans are unacceptable and substantially outweigh any potential benefits, for which there is a paucity of evidence. </w:t>
      </w:r>
      <w:r w:rsidRPr="00BE539E">
        <w:rPr>
          <w:rFonts w:ascii="Arial" w:hAnsi="Arial" w:cs="Arial"/>
          <w:bCs/>
          <w:color w:val="0D0D0D" w:themeColor="text1" w:themeTint="F2"/>
        </w:rPr>
        <w:t>The detailed reasons for my decision follow.</w:t>
      </w:r>
    </w:p>
    <w:p w14:paraId="76997234" w14:textId="1176EF2A" w:rsidR="00A02BDF" w:rsidRPr="00BE539E" w:rsidRDefault="00A02BDF" w:rsidP="00A02BDF">
      <w:pPr>
        <w:rPr>
          <w:rFonts w:ascii="Arial" w:hAnsi="Arial" w:cs="Arial"/>
        </w:rPr>
      </w:pPr>
      <w:r w:rsidRPr="00BE539E">
        <w:rPr>
          <w:rFonts w:ascii="Arial" w:hAnsi="Arial" w:cs="Arial"/>
          <w:color w:val="0D0D0D" w:themeColor="text1" w:themeTint="F2"/>
        </w:rPr>
        <w:lastRenderedPageBreak/>
        <w:t>On its face, the Proposal seeks to ‘allow comfrey as a safe food, being 0.9% alkaloid’. However, Appendix A of the Standard provides that food, except food additives before incorporation into food or when used as a means for administering a poison for therapeutic use, is exempt from scheduling. Therefore</w:t>
      </w:r>
      <w:r w:rsidR="00621083">
        <w:rPr>
          <w:rFonts w:ascii="Arial" w:hAnsi="Arial" w:cs="Arial"/>
          <w:color w:val="0D0D0D" w:themeColor="text1" w:themeTint="F2"/>
        </w:rPr>
        <w:t>,</w:t>
      </w:r>
      <w:r w:rsidRPr="00BE539E">
        <w:rPr>
          <w:rFonts w:ascii="Arial" w:hAnsi="Arial" w:cs="Arial"/>
          <w:color w:val="0D0D0D" w:themeColor="text1" w:themeTint="F2"/>
        </w:rPr>
        <w:t xml:space="preserve"> there would be no purpose in amending the Standard as sought on the face of the Proposal. I note that the </w:t>
      </w:r>
      <w:hyperlink r:id="rId15" w:history="1">
        <w:r w:rsidRPr="00BE539E">
          <w:rPr>
            <w:rStyle w:val="Hyperlink"/>
            <w:rFonts w:cs="Arial"/>
          </w:rPr>
          <w:t>Food Standard Code</w:t>
        </w:r>
      </w:hyperlink>
      <w:r w:rsidRPr="00BE539E">
        <w:rPr>
          <w:rFonts w:ascii="Arial" w:hAnsi="Arial" w:cs="Arial"/>
        </w:rPr>
        <w:t xml:space="preserve"> includes comfrey (as </w:t>
      </w:r>
      <w:r w:rsidRPr="00BE539E">
        <w:rPr>
          <w:rFonts w:ascii="Arial" w:hAnsi="Arial" w:cs="Arial"/>
          <w:i/>
          <w:iCs/>
          <w:lang w:val="en-GB"/>
        </w:rPr>
        <w:t>Symphytum asperum, Symphytum officinale,</w:t>
      </w:r>
      <w:r w:rsidRPr="00BE539E">
        <w:rPr>
          <w:rFonts w:ascii="Arial" w:hAnsi="Arial" w:cs="Arial"/>
        </w:rPr>
        <w:t xml:space="preserve"> and </w:t>
      </w:r>
      <w:r w:rsidRPr="00BE539E">
        <w:rPr>
          <w:rFonts w:ascii="Arial" w:hAnsi="Arial" w:cs="Arial"/>
          <w:i/>
          <w:iCs/>
          <w:lang w:val="en-GB"/>
        </w:rPr>
        <w:t xml:space="preserve">Symphytum x </w:t>
      </w:r>
      <w:proofErr w:type="spellStart"/>
      <w:r w:rsidRPr="00BE539E">
        <w:rPr>
          <w:rFonts w:ascii="Arial" w:hAnsi="Arial" w:cs="Arial"/>
          <w:i/>
          <w:iCs/>
          <w:lang w:val="en-GB"/>
        </w:rPr>
        <w:t>uplandicum</w:t>
      </w:r>
      <w:proofErr w:type="spellEnd"/>
      <w:r w:rsidRPr="00BE539E">
        <w:rPr>
          <w:rFonts w:ascii="Arial" w:hAnsi="Arial" w:cs="Arial"/>
          <w:i/>
          <w:iCs/>
          <w:lang w:val="en-GB"/>
        </w:rPr>
        <w:t xml:space="preserve">) </w:t>
      </w:r>
      <w:r w:rsidRPr="00BE539E">
        <w:rPr>
          <w:rFonts w:ascii="Arial" w:hAnsi="Arial" w:cs="Arial"/>
        </w:rPr>
        <w:t xml:space="preserve">in Schedule </w:t>
      </w:r>
      <w:r>
        <w:rPr>
          <w:rFonts w:ascii="Arial" w:hAnsi="Arial" w:cs="Arial"/>
        </w:rPr>
        <w:t>23</w:t>
      </w:r>
      <w:r w:rsidRPr="00BE539E">
        <w:rPr>
          <w:rFonts w:ascii="Arial" w:hAnsi="Arial" w:cs="Arial"/>
        </w:rPr>
        <w:t xml:space="preserve"> as a prohibited plant. </w:t>
      </w:r>
    </w:p>
    <w:p w14:paraId="77BF34B7" w14:textId="77777777" w:rsidR="00A02BDF" w:rsidRPr="00BE539E" w:rsidRDefault="00A02BDF" w:rsidP="00A02BDF">
      <w:pPr>
        <w:rPr>
          <w:rFonts w:ascii="Arial" w:hAnsi="Arial" w:cs="Arial"/>
        </w:rPr>
      </w:pPr>
      <w:r w:rsidRPr="00BE539E">
        <w:rPr>
          <w:rFonts w:ascii="Arial" w:hAnsi="Arial" w:cs="Arial"/>
        </w:rPr>
        <w:t xml:space="preserve">Considering the </w:t>
      </w:r>
      <w:proofErr w:type="gramStart"/>
      <w:r w:rsidRPr="00BE539E">
        <w:rPr>
          <w:rFonts w:ascii="Arial" w:hAnsi="Arial" w:cs="Arial"/>
        </w:rPr>
        <w:t>application as a whole, I</w:t>
      </w:r>
      <w:proofErr w:type="gramEnd"/>
      <w:r w:rsidRPr="00BE539E">
        <w:rPr>
          <w:rFonts w:ascii="Arial" w:hAnsi="Arial" w:cs="Arial"/>
        </w:rPr>
        <w:t xml:space="preserve"> have formed the view that the purpose of the application may in effect be to permit access to preparations containing comfrey for human use that are not food, namely therapeutic goods (medicines) for oral use for a range of indications, access to which is currently prohibited by the entry for comfrey in Schedule 10. I have reached this view by virtue of the reference in the application to a variety of claims (the </w:t>
      </w:r>
      <w:r w:rsidRPr="00BE539E">
        <w:rPr>
          <w:rFonts w:ascii="Arial" w:hAnsi="Arial" w:cs="Arial"/>
          <w:b/>
          <w:bCs/>
        </w:rPr>
        <w:t>comfrey claims</w:t>
      </w:r>
      <w:r w:rsidRPr="00BE539E">
        <w:rPr>
          <w:rFonts w:ascii="Arial" w:hAnsi="Arial" w:cs="Arial"/>
        </w:rPr>
        <w:t>):</w:t>
      </w:r>
    </w:p>
    <w:p w14:paraId="7D564C2F" w14:textId="77777777" w:rsidR="00A02BDF" w:rsidRPr="00621083" w:rsidRDefault="00A02BDF" w:rsidP="00A02BDF">
      <w:pPr>
        <w:ind w:left="720"/>
        <w:rPr>
          <w:rFonts w:ascii="Arial" w:hAnsi="Arial" w:cs="Arial"/>
          <w:i/>
          <w:iCs/>
          <w:sz w:val="22"/>
          <w:szCs w:val="22"/>
        </w:rPr>
      </w:pPr>
      <w:r w:rsidRPr="00621083">
        <w:rPr>
          <w:rFonts w:ascii="Arial" w:hAnsi="Arial" w:cs="Arial"/>
        </w:rPr>
        <w:t>The healing properties of Comfrey is wide, heals sprains, bruises, burns, joint inflammation knits bones, skin repairer [allantoin], relieves pain (</w:t>
      </w:r>
      <w:proofErr w:type="spellStart"/>
      <w:r w:rsidRPr="00621083">
        <w:rPr>
          <w:rFonts w:ascii="Arial" w:hAnsi="Arial" w:cs="Arial"/>
        </w:rPr>
        <w:t>prosmarinic</w:t>
      </w:r>
      <w:proofErr w:type="spellEnd"/>
      <w:r w:rsidRPr="00621083">
        <w:rPr>
          <w:rFonts w:ascii="Arial" w:hAnsi="Arial" w:cs="Arial"/>
        </w:rPr>
        <w:t xml:space="preserve"> acid), fights cancer. Orally used to treat ulcers, </w:t>
      </w:r>
      <w:proofErr w:type="gramStart"/>
      <w:r w:rsidRPr="00621083">
        <w:rPr>
          <w:rFonts w:ascii="Arial" w:hAnsi="Arial" w:cs="Arial"/>
        </w:rPr>
        <w:t>colitis</w:t>
      </w:r>
      <w:proofErr w:type="gramEnd"/>
      <w:r w:rsidRPr="00621083">
        <w:rPr>
          <w:rFonts w:ascii="Arial" w:hAnsi="Arial" w:cs="Arial"/>
        </w:rPr>
        <w:t xml:space="preserve"> and diarrhea. Internal consumption is safe as it has been for centuries by humans and animals. Comfrey is high in protein, heals damaged tissue, cartilage production, </w:t>
      </w:r>
      <w:proofErr w:type="gramStart"/>
      <w:r w:rsidRPr="00621083">
        <w:rPr>
          <w:rFonts w:ascii="Arial" w:hAnsi="Arial" w:cs="Arial"/>
        </w:rPr>
        <w:t>muscles</w:t>
      </w:r>
      <w:proofErr w:type="gramEnd"/>
      <w:r w:rsidRPr="00621083">
        <w:rPr>
          <w:rFonts w:ascii="Arial" w:hAnsi="Arial" w:cs="Arial"/>
        </w:rPr>
        <w:t xml:space="preserve"> and tendons. Stimulates digestion, regulates excess </w:t>
      </w:r>
      <w:proofErr w:type="spellStart"/>
      <w:r w:rsidRPr="00621083">
        <w:rPr>
          <w:rFonts w:ascii="Arial" w:hAnsi="Arial" w:cs="Arial"/>
        </w:rPr>
        <w:t>menstral</w:t>
      </w:r>
      <w:proofErr w:type="spellEnd"/>
      <w:r w:rsidRPr="00621083">
        <w:rPr>
          <w:rFonts w:ascii="Arial" w:hAnsi="Arial" w:cs="Arial"/>
        </w:rPr>
        <w:t xml:space="preserve"> flow, heals bleeding gums and thyroid disorders, reduces glandular fever, lung disorders, lupus, lowers blood pressure, malignant growths, asthma and reduces cancer production</w:t>
      </w:r>
      <w:r w:rsidRPr="00621083">
        <w:rPr>
          <w:rFonts w:ascii="Arial" w:hAnsi="Arial" w:cs="Arial"/>
          <w:i/>
          <w:iCs/>
          <w:sz w:val="22"/>
          <w:szCs w:val="22"/>
        </w:rPr>
        <w:t xml:space="preserve">. </w:t>
      </w:r>
    </w:p>
    <w:p w14:paraId="72B5A314" w14:textId="77777777" w:rsidR="00A02BDF" w:rsidRPr="00BE539E" w:rsidRDefault="00A02BDF" w:rsidP="00A02BDF">
      <w:pPr>
        <w:rPr>
          <w:rFonts w:ascii="Arial" w:hAnsi="Arial" w:cs="Arial"/>
        </w:rPr>
      </w:pPr>
      <w:r w:rsidRPr="00BE539E">
        <w:rPr>
          <w:rFonts w:ascii="Arial" w:hAnsi="Arial" w:cs="Arial"/>
        </w:rPr>
        <w:t>I am satisfied that these claims fall within the meaning of ‘therapeutic use’ as defined in s 3 of the Act, which relevantly provides:</w:t>
      </w:r>
    </w:p>
    <w:p w14:paraId="3D3E27C8" w14:textId="77777777" w:rsidR="00A02BDF" w:rsidRPr="00621083" w:rsidRDefault="00A02BDF" w:rsidP="00A02BDF">
      <w:pPr>
        <w:ind w:left="720"/>
        <w:rPr>
          <w:rFonts w:ascii="Arial" w:hAnsi="Arial" w:cs="Arial"/>
        </w:rPr>
      </w:pPr>
      <w:r w:rsidRPr="00621083">
        <w:rPr>
          <w:rFonts w:ascii="Arial" w:hAnsi="Arial" w:cs="Arial"/>
          <w:i/>
          <w:iCs/>
        </w:rPr>
        <w:t>"</w:t>
      </w:r>
      <w:proofErr w:type="gramStart"/>
      <w:r w:rsidRPr="00621083">
        <w:rPr>
          <w:rFonts w:ascii="Arial" w:hAnsi="Arial" w:cs="Arial"/>
        </w:rPr>
        <w:t>therapeutic</w:t>
      </w:r>
      <w:proofErr w:type="gramEnd"/>
      <w:r w:rsidRPr="00621083">
        <w:rPr>
          <w:rFonts w:ascii="Arial" w:hAnsi="Arial" w:cs="Arial"/>
        </w:rPr>
        <w:t xml:space="preserve"> use</w:t>
      </w:r>
      <w:r w:rsidRPr="00621083">
        <w:rPr>
          <w:rFonts w:ascii="Arial" w:hAnsi="Arial" w:cs="Arial"/>
          <w:i/>
          <w:iCs/>
        </w:rPr>
        <w:t>"</w:t>
      </w:r>
      <w:r w:rsidRPr="00621083">
        <w:rPr>
          <w:rFonts w:ascii="Arial" w:hAnsi="Arial" w:cs="Arial"/>
          <w:b/>
          <w:bCs/>
          <w:i/>
          <w:iCs/>
        </w:rPr>
        <w:t> </w:t>
      </w:r>
      <w:r w:rsidRPr="00621083">
        <w:rPr>
          <w:rFonts w:ascii="Arial" w:hAnsi="Arial" w:cs="Arial"/>
        </w:rPr>
        <w:t>means use in or in connection with:</w:t>
      </w:r>
      <w:bookmarkStart w:id="4" w:name="paragraph"/>
    </w:p>
    <w:p w14:paraId="148904B1" w14:textId="77777777" w:rsidR="00A02BDF" w:rsidRPr="00621083" w:rsidRDefault="00A02BDF" w:rsidP="00A02BDF">
      <w:pPr>
        <w:ind w:left="1440"/>
        <w:rPr>
          <w:rFonts w:ascii="Arial" w:hAnsi="Arial" w:cs="Arial"/>
        </w:rPr>
      </w:pPr>
      <w:r w:rsidRPr="00621083">
        <w:rPr>
          <w:rFonts w:ascii="Arial" w:hAnsi="Arial" w:cs="Arial"/>
          <w:i/>
          <w:iCs/>
        </w:rPr>
        <w:t xml:space="preserve">(a)  preventing, diagnosing, </w:t>
      </w:r>
      <w:proofErr w:type="gramStart"/>
      <w:r w:rsidRPr="00621083">
        <w:rPr>
          <w:rFonts w:ascii="Arial" w:hAnsi="Arial" w:cs="Arial"/>
          <w:i/>
          <w:iCs/>
        </w:rPr>
        <w:t>curing</w:t>
      </w:r>
      <w:proofErr w:type="gramEnd"/>
      <w:r w:rsidRPr="00621083">
        <w:rPr>
          <w:rFonts w:ascii="Arial" w:hAnsi="Arial" w:cs="Arial"/>
          <w:i/>
          <w:iCs/>
        </w:rPr>
        <w:t xml:space="preserve"> or alleviating a disease, ailment, defect or injury in persons</w:t>
      </w:r>
      <w:r w:rsidRPr="00621083">
        <w:rPr>
          <w:rFonts w:ascii="Arial" w:hAnsi="Arial" w:cs="Arial"/>
        </w:rPr>
        <w:t>; or</w:t>
      </w:r>
    </w:p>
    <w:p w14:paraId="6785B664" w14:textId="77777777" w:rsidR="00A02BDF" w:rsidRPr="00621083" w:rsidRDefault="00A02BDF" w:rsidP="00A02BDF">
      <w:pPr>
        <w:ind w:left="1440"/>
        <w:rPr>
          <w:rFonts w:ascii="Arial" w:hAnsi="Arial" w:cs="Arial"/>
        </w:rPr>
      </w:pPr>
      <w:r w:rsidRPr="00621083">
        <w:rPr>
          <w:rFonts w:ascii="Arial" w:hAnsi="Arial" w:cs="Arial"/>
          <w:i/>
          <w:iCs/>
        </w:rPr>
        <w:t xml:space="preserve">(b)  influencing, </w:t>
      </w:r>
      <w:proofErr w:type="gramStart"/>
      <w:r w:rsidRPr="00621083">
        <w:rPr>
          <w:rFonts w:ascii="Arial" w:hAnsi="Arial" w:cs="Arial"/>
          <w:i/>
          <w:iCs/>
        </w:rPr>
        <w:t>inhibiting</w:t>
      </w:r>
      <w:proofErr w:type="gramEnd"/>
      <w:r w:rsidRPr="00621083">
        <w:rPr>
          <w:rFonts w:ascii="Arial" w:hAnsi="Arial" w:cs="Arial"/>
          <w:i/>
          <w:iCs/>
        </w:rPr>
        <w:t xml:space="preserve"> or modifying a physiological process in persons</w:t>
      </w:r>
      <w:r w:rsidRPr="00621083">
        <w:rPr>
          <w:rFonts w:ascii="Arial" w:hAnsi="Arial" w:cs="Arial"/>
        </w:rPr>
        <w:t>; or</w:t>
      </w:r>
    </w:p>
    <w:p w14:paraId="0FB30E18" w14:textId="77777777" w:rsidR="00A02BDF" w:rsidRPr="00621083" w:rsidRDefault="00A02BDF" w:rsidP="00A02BDF">
      <w:pPr>
        <w:ind w:left="1440"/>
        <w:rPr>
          <w:rFonts w:ascii="Arial" w:hAnsi="Arial" w:cs="Arial"/>
        </w:rPr>
      </w:pPr>
      <w:r w:rsidRPr="00621083">
        <w:rPr>
          <w:rFonts w:ascii="Arial" w:hAnsi="Arial" w:cs="Arial"/>
        </w:rPr>
        <w:t>(c)  testing the susceptibility of persons to a disease or ailment; or</w:t>
      </w:r>
    </w:p>
    <w:p w14:paraId="63307A8B" w14:textId="77777777" w:rsidR="00A02BDF" w:rsidRPr="00621083" w:rsidRDefault="00A02BDF" w:rsidP="00A02BDF">
      <w:pPr>
        <w:ind w:left="1440"/>
        <w:rPr>
          <w:rFonts w:ascii="Arial" w:hAnsi="Arial" w:cs="Arial"/>
        </w:rPr>
      </w:pPr>
      <w:r w:rsidRPr="00621083">
        <w:rPr>
          <w:rFonts w:ascii="Arial" w:hAnsi="Arial" w:cs="Arial"/>
        </w:rPr>
        <w:t xml:space="preserve">(d)  influencing, </w:t>
      </w:r>
      <w:proofErr w:type="gramStart"/>
      <w:r w:rsidRPr="00621083">
        <w:rPr>
          <w:rFonts w:ascii="Arial" w:hAnsi="Arial" w:cs="Arial"/>
        </w:rPr>
        <w:t>controlling</w:t>
      </w:r>
      <w:proofErr w:type="gramEnd"/>
      <w:r w:rsidRPr="00621083">
        <w:rPr>
          <w:rFonts w:ascii="Arial" w:hAnsi="Arial" w:cs="Arial"/>
        </w:rPr>
        <w:t xml:space="preserve"> or preventing conception in persons; or</w:t>
      </w:r>
    </w:p>
    <w:p w14:paraId="55DA1FCE" w14:textId="77777777" w:rsidR="00A02BDF" w:rsidRPr="00621083" w:rsidRDefault="00A02BDF" w:rsidP="00A02BDF">
      <w:pPr>
        <w:ind w:left="1440"/>
        <w:rPr>
          <w:rFonts w:ascii="Arial" w:hAnsi="Arial" w:cs="Arial"/>
        </w:rPr>
      </w:pPr>
      <w:r w:rsidRPr="00621083">
        <w:rPr>
          <w:rFonts w:ascii="Arial" w:hAnsi="Arial" w:cs="Arial"/>
        </w:rPr>
        <w:t>(e)  testing for pregnancy in persons; or</w:t>
      </w:r>
    </w:p>
    <w:bookmarkEnd w:id="4"/>
    <w:p w14:paraId="2C02FE99" w14:textId="77777777" w:rsidR="00A02BDF" w:rsidRPr="00621083" w:rsidRDefault="00A02BDF" w:rsidP="00A02BDF">
      <w:pPr>
        <w:ind w:left="1440"/>
        <w:rPr>
          <w:rFonts w:ascii="Arial" w:hAnsi="Arial" w:cs="Arial"/>
        </w:rPr>
      </w:pPr>
      <w:r w:rsidRPr="00621083">
        <w:rPr>
          <w:rFonts w:ascii="Arial" w:hAnsi="Arial" w:cs="Arial"/>
        </w:rPr>
        <w:t>(f)  the replacement or modification of parts of the anatomy in persons.</w:t>
      </w:r>
      <w:r w:rsidRPr="00621083">
        <w:rPr>
          <w:rStyle w:val="FootnoteReference"/>
          <w:rFonts w:ascii="Arial" w:hAnsi="Arial" w:cs="Arial"/>
        </w:rPr>
        <w:footnoteReference w:id="1"/>
      </w:r>
    </w:p>
    <w:p w14:paraId="09EE087B" w14:textId="77777777" w:rsidR="00A02BDF" w:rsidRPr="00BE539E" w:rsidRDefault="00A02BDF" w:rsidP="00A02BDF">
      <w:pPr>
        <w:rPr>
          <w:rFonts w:ascii="Arial" w:hAnsi="Arial" w:cs="Arial"/>
        </w:rPr>
      </w:pPr>
      <w:r w:rsidRPr="00BE539E">
        <w:rPr>
          <w:rFonts w:ascii="Arial" w:hAnsi="Arial" w:cs="Arial"/>
        </w:rPr>
        <w:t>In section 3 of the Act, the definition of ‘therapeutic goods’ relevantly provides that these are goods:</w:t>
      </w:r>
    </w:p>
    <w:p w14:paraId="0BC80272" w14:textId="77777777" w:rsidR="00A02BDF" w:rsidRPr="00621083" w:rsidRDefault="00A02BDF" w:rsidP="00A02BDF">
      <w:pPr>
        <w:ind w:left="720"/>
        <w:rPr>
          <w:rFonts w:ascii="Arial" w:hAnsi="Arial" w:cs="Arial"/>
        </w:rPr>
      </w:pPr>
      <w:r w:rsidRPr="00621083">
        <w:rPr>
          <w:rFonts w:ascii="Arial" w:hAnsi="Arial" w:cs="Arial"/>
        </w:rPr>
        <w:t>(a)  that are represented in any way to be, or that are, whether because of the way in which the goods are presented or for any other reason, likely to be taken to be:</w:t>
      </w:r>
    </w:p>
    <w:p w14:paraId="131285E4" w14:textId="77777777" w:rsidR="00A02BDF" w:rsidRPr="00621083" w:rsidRDefault="00A02BDF" w:rsidP="00A02BDF">
      <w:pPr>
        <w:ind w:left="720"/>
        <w:rPr>
          <w:rFonts w:ascii="Arial" w:hAnsi="Arial" w:cs="Arial"/>
        </w:rPr>
      </w:pPr>
      <w:bookmarkStart w:id="5" w:name="paragraphsub"/>
      <w:bookmarkEnd w:id="5"/>
      <w:r w:rsidRPr="00621083">
        <w:rPr>
          <w:rFonts w:ascii="Arial" w:hAnsi="Arial" w:cs="Arial"/>
        </w:rPr>
        <w:t>                              (</w:t>
      </w:r>
      <w:proofErr w:type="spellStart"/>
      <w:r w:rsidRPr="00621083">
        <w:rPr>
          <w:rFonts w:ascii="Arial" w:hAnsi="Arial" w:cs="Arial"/>
        </w:rPr>
        <w:t>i</w:t>
      </w:r>
      <w:proofErr w:type="spellEnd"/>
      <w:r w:rsidRPr="00621083">
        <w:rPr>
          <w:rFonts w:ascii="Arial" w:hAnsi="Arial" w:cs="Arial"/>
        </w:rPr>
        <w:t>)  for </w:t>
      </w:r>
      <w:hyperlink r:id="rId16" w:anchor="therapeutic_use" w:history="1">
        <w:r w:rsidRPr="00621083">
          <w:rPr>
            <w:rStyle w:val="Hyperlink"/>
            <w:rFonts w:cs="Arial"/>
          </w:rPr>
          <w:t>therapeutic use</w:t>
        </w:r>
      </w:hyperlink>
      <w:r w:rsidRPr="00621083">
        <w:rPr>
          <w:rFonts w:ascii="Arial" w:hAnsi="Arial" w:cs="Arial"/>
        </w:rPr>
        <w:t xml:space="preserve">; </w:t>
      </w:r>
    </w:p>
    <w:p w14:paraId="48A73154" w14:textId="77777777" w:rsidR="00A02BDF" w:rsidRPr="00621083" w:rsidRDefault="00A02BDF" w:rsidP="00A02BDF">
      <w:pPr>
        <w:ind w:left="720"/>
        <w:rPr>
          <w:rFonts w:ascii="Arial" w:hAnsi="Arial" w:cs="Arial"/>
        </w:rPr>
      </w:pPr>
      <w:r w:rsidRPr="00621083">
        <w:rPr>
          <w:rFonts w:ascii="Arial" w:hAnsi="Arial" w:cs="Arial"/>
        </w:rPr>
        <w:t>…</w:t>
      </w:r>
    </w:p>
    <w:p w14:paraId="511C3184" w14:textId="77777777" w:rsidR="00A02BDF" w:rsidRPr="00621083" w:rsidRDefault="00A02BDF" w:rsidP="00A02BDF">
      <w:pPr>
        <w:ind w:left="720"/>
        <w:rPr>
          <w:rFonts w:ascii="Arial" w:hAnsi="Arial" w:cs="Arial"/>
        </w:rPr>
      </w:pPr>
      <w:r w:rsidRPr="00621083">
        <w:rPr>
          <w:rFonts w:ascii="Arial" w:hAnsi="Arial" w:cs="Arial"/>
        </w:rPr>
        <w:t>but does not include:</w:t>
      </w:r>
    </w:p>
    <w:p w14:paraId="41A4722A" w14:textId="77777777" w:rsidR="00A02BDF" w:rsidRPr="00621083" w:rsidRDefault="00A02BDF" w:rsidP="00A02BDF">
      <w:pPr>
        <w:ind w:left="720"/>
        <w:rPr>
          <w:rFonts w:ascii="Arial" w:hAnsi="Arial" w:cs="Arial"/>
        </w:rPr>
      </w:pPr>
      <w:r w:rsidRPr="00621083">
        <w:rPr>
          <w:rFonts w:ascii="Arial" w:hAnsi="Arial" w:cs="Arial"/>
        </w:rPr>
        <w:t>…</w:t>
      </w:r>
    </w:p>
    <w:p w14:paraId="5CBC8D99" w14:textId="77777777" w:rsidR="00A02BDF" w:rsidRPr="00621083" w:rsidRDefault="00A02BDF" w:rsidP="00A02BDF">
      <w:pPr>
        <w:ind w:left="720"/>
        <w:rPr>
          <w:rFonts w:ascii="Arial" w:hAnsi="Arial" w:cs="Arial"/>
        </w:rPr>
      </w:pPr>
      <w:r w:rsidRPr="00621083">
        <w:rPr>
          <w:rFonts w:ascii="Arial" w:hAnsi="Arial" w:cs="Arial"/>
        </w:rPr>
        <w:t>(e)  goods (other than goods declared to be </w:t>
      </w:r>
      <w:hyperlink r:id="rId17" w:anchor="therapeutic_goods" w:history="1">
        <w:r w:rsidRPr="00621083">
          <w:rPr>
            <w:rStyle w:val="Hyperlink"/>
            <w:rFonts w:cs="Arial"/>
          </w:rPr>
          <w:t>therapeutic goods</w:t>
        </w:r>
      </w:hyperlink>
      <w:r w:rsidRPr="00621083">
        <w:rPr>
          <w:rFonts w:ascii="Arial" w:hAnsi="Arial" w:cs="Arial"/>
        </w:rPr>
        <w:t> under an order in force under </w:t>
      </w:r>
      <w:hyperlink r:id="rId18" w:history="1">
        <w:r w:rsidRPr="00621083">
          <w:rPr>
            <w:rStyle w:val="Hyperlink"/>
            <w:rFonts w:cs="Arial"/>
          </w:rPr>
          <w:t>section 7)</w:t>
        </w:r>
      </w:hyperlink>
      <w:r w:rsidRPr="00621083">
        <w:rPr>
          <w:rFonts w:ascii="Arial" w:hAnsi="Arial" w:cs="Arial"/>
        </w:rPr>
        <w:t> for which there is a </w:t>
      </w:r>
      <w:hyperlink r:id="rId19" w:anchor="standard" w:history="1">
        <w:r w:rsidRPr="00621083">
          <w:rPr>
            <w:rStyle w:val="Hyperlink"/>
            <w:rFonts w:cs="Arial"/>
          </w:rPr>
          <w:t>standard</w:t>
        </w:r>
      </w:hyperlink>
      <w:r w:rsidRPr="00621083">
        <w:rPr>
          <w:rFonts w:ascii="Arial" w:hAnsi="Arial" w:cs="Arial"/>
        </w:rPr>
        <w:t> (within the meaning of </w:t>
      </w:r>
      <w:hyperlink r:id="rId20" w:anchor="subsection" w:history="1">
        <w:r w:rsidRPr="00621083">
          <w:rPr>
            <w:rStyle w:val="Hyperlink"/>
            <w:rFonts w:cs="Arial"/>
          </w:rPr>
          <w:t>subsection</w:t>
        </w:r>
      </w:hyperlink>
      <w:r w:rsidRPr="00621083">
        <w:rPr>
          <w:rFonts w:ascii="Arial" w:hAnsi="Arial" w:cs="Arial"/>
        </w:rPr>
        <w:t> 4(1) of the </w:t>
      </w:r>
      <w:hyperlink r:id="rId21" w:history="1">
        <w:r w:rsidRPr="00621083">
          <w:rPr>
            <w:rStyle w:val="Hyperlink"/>
            <w:rFonts w:cs="Arial"/>
            <w:i/>
            <w:iCs/>
          </w:rPr>
          <w:t>Food Standards Australia New Zealand Act 1991</w:t>
        </w:r>
      </w:hyperlink>
      <w:r w:rsidRPr="00621083">
        <w:rPr>
          <w:rFonts w:ascii="Arial" w:hAnsi="Arial" w:cs="Arial"/>
          <w:i/>
          <w:iCs/>
        </w:rPr>
        <w:t> </w:t>
      </w:r>
      <w:r w:rsidRPr="00621083">
        <w:rPr>
          <w:rFonts w:ascii="Arial" w:hAnsi="Arial" w:cs="Arial"/>
        </w:rPr>
        <w:t>); or</w:t>
      </w:r>
    </w:p>
    <w:p w14:paraId="48910657" w14:textId="77777777" w:rsidR="00A02BDF" w:rsidRPr="00621083" w:rsidRDefault="00A02BDF" w:rsidP="00A02BDF">
      <w:pPr>
        <w:ind w:left="720"/>
        <w:rPr>
          <w:rFonts w:ascii="Arial" w:hAnsi="Arial" w:cs="Arial"/>
        </w:rPr>
      </w:pPr>
      <w:r w:rsidRPr="00621083">
        <w:rPr>
          <w:rFonts w:ascii="Arial" w:hAnsi="Arial" w:cs="Arial"/>
        </w:rPr>
        <w:t>(f)  goods (other than goods declared to be </w:t>
      </w:r>
      <w:hyperlink r:id="rId22" w:anchor="therapeutic_goods" w:history="1">
        <w:r w:rsidRPr="00621083">
          <w:rPr>
            <w:rStyle w:val="Hyperlink"/>
            <w:rFonts w:cs="Arial"/>
          </w:rPr>
          <w:t>therapeutic goods</w:t>
        </w:r>
      </w:hyperlink>
      <w:r w:rsidRPr="00621083">
        <w:rPr>
          <w:rFonts w:ascii="Arial" w:hAnsi="Arial" w:cs="Arial"/>
        </w:rPr>
        <w:t> under an order in force under </w:t>
      </w:r>
      <w:hyperlink r:id="rId23" w:history="1">
        <w:r w:rsidRPr="00621083">
          <w:rPr>
            <w:rStyle w:val="Hyperlink"/>
            <w:rFonts w:cs="Arial"/>
          </w:rPr>
          <w:t>section 7)</w:t>
        </w:r>
      </w:hyperlink>
      <w:r w:rsidRPr="00621083">
        <w:rPr>
          <w:rFonts w:ascii="Arial" w:hAnsi="Arial" w:cs="Arial"/>
        </w:rPr>
        <w:t> which, in Australia or New Zealand, have a tradition of use as foods for humans in the form in which they are presented; </w:t>
      </w:r>
    </w:p>
    <w:p w14:paraId="7EAD16B0" w14:textId="77777777" w:rsidR="00A02BDF" w:rsidRPr="00BE539E" w:rsidRDefault="00A02BDF" w:rsidP="00A02BDF">
      <w:pPr>
        <w:rPr>
          <w:rFonts w:ascii="Arial" w:hAnsi="Arial" w:cs="Arial"/>
        </w:rPr>
      </w:pPr>
      <w:r w:rsidRPr="00BE539E">
        <w:rPr>
          <w:rFonts w:ascii="Arial" w:hAnsi="Arial" w:cs="Arial"/>
        </w:rPr>
        <w:t xml:space="preserve">This means that goods that are represented or are likely to be taken to be for any of the comfrey claims would, if they do not fall within the exclusions within paragraphs (e) and (f) of the definition of ‘therapeutic good’, not be a food for the purpose of Appendix A of the Standard. As a result, they would be within scope of the entry for comfrey in Schedule 10 of the Standard, having the status as therapeutic goods. </w:t>
      </w:r>
    </w:p>
    <w:p w14:paraId="514C4B08" w14:textId="77777777" w:rsidR="00A02BDF" w:rsidRPr="00BE539E" w:rsidRDefault="00A02BDF" w:rsidP="00A02BDF">
      <w:pPr>
        <w:rPr>
          <w:rFonts w:ascii="Arial" w:hAnsi="Arial" w:cs="Arial"/>
        </w:rPr>
      </w:pPr>
      <w:r w:rsidRPr="00BE539E">
        <w:rPr>
          <w:rFonts w:ascii="Arial" w:hAnsi="Arial" w:cs="Arial"/>
        </w:rPr>
        <w:lastRenderedPageBreak/>
        <w:t xml:space="preserve">On this </w:t>
      </w:r>
      <w:r>
        <w:rPr>
          <w:rFonts w:ascii="Arial" w:hAnsi="Arial" w:cs="Arial"/>
        </w:rPr>
        <w:t>basis</w:t>
      </w:r>
      <w:r w:rsidRPr="00BE539E">
        <w:rPr>
          <w:rFonts w:ascii="Arial" w:hAnsi="Arial" w:cs="Arial"/>
        </w:rPr>
        <w:t xml:space="preserve">, I have considered whether the Standard should be amended to permit oral therapeutic use of comfrey by amending its Schedule 10 entry. </w:t>
      </w:r>
    </w:p>
    <w:p w14:paraId="76E75DBA" w14:textId="7452285E" w:rsidR="00A02BDF" w:rsidRPr="00BE539E" w:rsidRDefault="00A02BDF" w:rsidP="00A02BDF">
      <w:pPr>
        <w:rPr>
          <w:rFonts w:ascii="Arial" w:hAnsi="Arial" w:cs="Arial"/>
        </w:rPr>
      </w:pPr>
      <w:r w:rsidRPr="00BE539E">
        <w:rPr>
          <w:rFonts w:ascii="Arial" w:hAnsi="Arial" w:cs="Arial"/>
        </w:rPr>
        <w:t>The applicant has provided very limited information to support an assessment according to the criteria I am required to consider in s</w:t>
      </w:r>
      <w:r>
        <w:rPr>
          <w:rFonts w:ascii="Arial" w:hAnsi="Arial" w:cs="Arial"/>
        </w:rPr>
        <w:t>ubsection</w:t>
      </w:r>
      <w:r w:rsidRPr="00BE539E">
        <w:rPr>
          <w:rFonts w:ascii="Arial" w:hAnsi="Arial" w:cs="Arial"/>
        </w:rPr>
        <w:t xml:space="preserve"> 52E of the Act and the SPF in deciding whether to amend the scheduling of comfrey in the Standard. This is despite requests for further </w:t>
      </w:r>
      <w:r w:rsidR="00621083">
        <w:rPr>
          <w:rFonts w:ascii="Arial" w:hAnsi="Arial" w:cs="Arial"/>
        </w:rPr>
        <w:t>information</w:t>
      </w:r>
      <w:r w:rsidRPr="00BE539E">
        <w:rPr>
          <w:rFonts w:ascii="Arial" w:hAnsi="Arial" w:cs="Arial"/>
        </w:rPr>
        <w:t xml:space="preserve">. </w:t>
      </w:r>
    </w:p>
    <w:p w14:paraId="25039106" w14:textId="77777777" w:rsidR="00A02BDF" w:rsidRPr="00BE539E" w:rsidRDefault="00A02BDF" w:rsidP="00A02BDF">
      <w:pPr>
        <w:rPr>
          <w:rFonts w:ascii="Arial" w:hAnsi="Arial" w:cs="Arial"/>
        </w:rPr>
      </w:pPr>
      <w:r w:rsidRPr="00BE539E">
        <w:rPr>
          <w:rFonts w:ascii="Arial" w:hAnsi="Arial" w:cs="Arial"/>
        </w:rPr>
        <w:t>Nevertheless, I have considered the criteria under s 52E of the Act, and have given particular weight to the risks and benefits to the public, the uses of the substance, and the toxicity of the substance pursuant to paragraphs (a), (b) and (c) of s 52</w:t>
      </w:r>
      <w:proofErr w:type="gramStart"/>
      <w:r w:rsidRPr="00BE539E">
        <w:rPr>
          <w:rFonts w:ascii="Arial" w:hAnsi="Arial" w:cs="Arial"/>
        </w:rPr>
        <w:t>E(</w:t>
      </w:r>
      <w:proofErr w:type="gramEnd"/>
      <w:r w:rsidRPr="00BE539E">
        <w:rPr>
          <w:rFonts w:ascii="Arial" w:hAnsi="Arial" w:cs="Arial"/>
        </w:rPr>
        <w:t>1) of the Act.</w:t>
      </w:r>
    </w:p>
    <w:p w14:paraId="14DF4EC0" w14:textId="77777777" w:rsidR="00A02BDF" w:rsidRPr="00BE539E" w:rsidRDefault="00A02BDF" w:rsidP="00A02BDF">
      <w:pPr>
        <w:rPr>
          <w:rFonts w:ascii="Arial" w:hAnsi="Arial" w:cs="Arial"/>
        </w:rPr>
      </w:pPr>
      <w:r w:rsidRPr="00BE539E">
        <w:rPr>
          <w:rFonts w:ascii="Arial" w:hAnsi="Arial" w:cs="Arial"/>
        </w:rPr>
        <w:t xml:space="preserve">I have considered the work by Dr </w:t>
      </w:r>
      <w:proofErr w:type="spellStart"/>
      <w:r w:rsidRPr="00BE539E">
        <w:rPr>
          <w:rFonts w:ascii="Arial" w:hAnsi="Arial" w:cs="Arial"/>
        </w:rPr>
        <w:t>MacAlister</w:t>
      </w:r>
      <w:proofErr w:type="spellEnd"/>
      <w:r w:rsidRPr="00BE539E">
        <w:rPr>
          <w:rFonts w:ascii="Arial" w:hAnsi="Arial" w:cs="Arial"/>
        </w:rPr>
        <w:t>,</w:t>
      </w:r>
      <w:r w:rsidRPr="00BE539E">
        <w:rPr>
          <w:rFonts w:ascii="Arial" w:hAnsi="Arial" w:cs="Arial"/>
          <w:vertAlign w:val="superscript"/>
        </w:rPr>
        <w:footnoteReference w:id="2"/>
      </w:r>
      <w:r w:rsidRPr="00BE539E">
        <w:rPr>
          <w:rFonts w:ascii="Arial" w:hAnsi="Arial" w:cs="Arial"/>
        </w:rPr>
        <w:t xml:space="preserve"> and Dr Mattock</w:t>
      </w:r>
      <w:r w:rsidRPr="00BE539E">
        <w:rPr>
          <w:rFonts w:ascii="Arial" w:hAnsi="Arial" w:cs="Arial"/>
          <w:vertAlign w:val="superscript"/>
        </w:rPr>
        <w:footnoteReference w:id="3"/>
      </w:r>
      <w:r w:rsidRPr="00BE539E">
        <w:rPr>
          <w:rFonts w:ascii="Arial" w:hAnsi="Arial" w:cs="Arial"/>
          <w:vertAlign w:val="superscript"/>
        </w:rPr>
        <w:t>,</w:t>
      </w:r>
      <w:r w:rsidRPr="00BE539E">
        <w:rPr>
          <w:rFonts w:ascii="Arial" w:hAnsi="Arial" w:cs="Arial"/>
          <w:vertAlign w:val="superscript"/>
        </w:rPr>
        <w:footnoteReference w:id="4"/>
      </w:r>
      <w:r w:rsidRPr="00BE539E">
        <w:rPr>
          <w:rFonts w:ascii="Arial" w:hAnsi="Arial" w:cs="Arial"/>
        </w:rPr>
        <w:t xml:space="preserve"> as referred to in the application. It is important to note that the report by </w:t>
      </w:r>
      <w:proofErr w:type="spellStart"/>
      <w:r w:rsidRPr="00BE539E">
        <w:rPr>
          <w:rFonts w:ascii="Arial" w:hAnsi="Arial" w:cs="Arial"/>
        </w:rPr>
        <w:t>MacAlister</w:t>
      </w:r>
      <w:proofErr w:type="spellEnd"/>
      <w:r w:rsidRPr="00BE539E">
        <w:rPr>
          <w:rFonts w:ascii="Arial" w:hAnsi="Arial" w:cs="Arial"/>
        </w:rPr>
        <w:t xml:space="preserve"> w</w:t>
      </w:r>
      <w:r>
        <w:rPr>
          <w:rFonts w:ascii="Arial" w:hAnsi="Arial" w:cs="Arial"/>
        </w:rPr>
        <w:t>as</w:t>
      </w:r>
      <w:r w:rsidRPr="00BE539E">
        <w:rPr>
          <w:rFonts w:ascii="Arial" w:hAnsi="Arial" w:cs="Arial"/>
        </w:rPr>
        <w:t xml:space="preserve"> published in 1936 and consist of various clinical observations, rather than controlled scientific experiments or trials. Similarly, the reports by Mattock were published in 1968 and 1971, and do not disprove the hepatotoxic effects of pyrrolizidine alkaloids within comfrey. </w:t>
      </w:r>
    </w:p>
    <w:p w14:paraId="55DCDEBC" w14:textId="77777777" w:rsidR="00A02BDF" w:rsidRPr="00BE539E" w:rsidRDefault="00A02BDF" w:rsidP="00A02BDF">
      <w:pPr>
        <w:rPr>
          <w:rFonts w:ascii="Arial" w:hAnsi="Arial" w:cs="Arial"/>
        </w:rPr>
      </w:pPr>
      <w:r w:rsidRPr="00BE539E">
        <w:rPr>
          <w:rFonts w:ascii="Arial" w:hAnsi="Arial" w:cs="Arial"/>
        </w:rPr>
        <w:t xml:space="preserve">Reflecting on the scheduling history of the substance, the Poisons Schedule Standing Committee (PSSC) considered preliminary evidence in May 1978 demonstrating the toxicity of comfrey, and again in November 1983, the PSSC noted evidence that comfrey contained a carcinogenic alkaloid shown to produce a cumulative toxic effect. It was only from the mid-1980s that publications attributing severe adverse effects, such as acute sinusoidal obstruction syndrome, hepatic injury, and hepatic carcinoma, were published in relation to comfrey and the pyrrolizidine alkaloids within. </w:t>
      </w:r>
    </w:p>
    <w:p w14:paraId="1559BAFA" w14:textId="303E4780" w:rsidR="00A02BDF" w:rsidRPr="00BE539E" w:rsidRDefault="00A02BDF" w:rsidP="00A02BDF">
      <w:pPr>
        <w:rPr>
          <w:rFonts w:ascii="Arial" w:hAnsi="Arial" w:cs="Arial"/>
        </w:rPr>
      </w:pPr>
      <w:r w:rsidRPr="00BE539E">
        <w:rPr>
          <w:rFonts w:ascii="Arial" w:hAnsi="Arial" w:cs="Arial"/>
        </w:rPr>
        <w:t xml:space="preserve">In 1990 the Drugs and Poisons Scheduling Committee (DPSC) considered further data on the hazards associated with the presence of pyrrolizidine alkaloids in </w:t>
      </w:r>
      <w:proofErr w:type="gramStart"/>
      <w:r w:rsidRPr="00BE539E">
        <w:rPr>
          <w:rFonts w:ascii="Arial" w:hAnsi="Arial" w:cs="Arial"/>
        </w:rPr>
        <w:t>a number of</w:t>
      </w:r>
      <w:proofErr w:type="gramEnd"/>
      <w:r w:rsidRPr="00BE539E">
        <w:rPr>
          <w:rFonts w:ascii="Arial" w:hAnsi="Arial" w:cs="Arial"/>
        </w:rPr>
        <w:t xml:space="preserve"> herbs and deemed these of such severity as to warrant complete prohibition for therapeutic use. </w:t>
      </w:r>
    </w:p>
    <w:p w14:paraId="2E66B2C8" w14:textId="4AFEE905" w:rsidR="00A02BDF" w:rsidRPr="00BE539E" w:rsidRDefault="00A02BDF" w:rsidP="00A02BDF">
      <w:pPr>
        <w:rPr>
          <w:rFonts w:ascii="Arial" w:hAnsi="Arial" w:cs="Arial"/>
        </w:rPr>
      </w:pPr>
      <w:r w:rsidRPr="00BE539E">
        <w:rPr>
          <w:rFonts w:ascii="Arial" w:hAnsi="Arial" w:cs="Arial"/>
        </w:rPr>
        <w:t xml:space="preserve">I note that </w:t>
      </w:r>
      <w:r w:rsidR="00621083">
        <w:rPr>
          <w:rFonts w:ascii="Arial" w:hAnsi="Arial" w:cs="Arial"/>
        </w:rPr>
        <w:t>i</w:t>
      </w:r>
      <w:r w:rsidRPr="00BE539E">
        <w:rPr>
          <w:rFonts w:ascii="Arial" w:hAnsi="Arial" w:cs="Arial"/>
        </w:rPr>
        <w:t>n July 2001 the United States Food and Drug Administration advised dietary supplement manufacturers to remove comfrey products from the market due to health concerns associated with pyrrolizidine alkaloids.</w:t>
      </w:r>
      <w:r w:rsidRPr="00BE539E">
        <w:rPr>
          <w:rFonts w:ascii="Arial" w:hAnsi="Arial" w:cs="Arial"/>
          <w:vertAlign w:val="superscript"/>
        </w:rPr>
        <w:footnoteReference w:id="5"/>
      </w:r>
      <w:r w:rsidRPr="00BE539E">
        <w:rPr>
          <w:rFonts w:ascii="Arial" w:hAnsi="Arial" w:cs="Arial"/>
        </w:rPr>
        <w:t xml:space="preserve"> I therefore consider that the limited evidence provided to support the claims made by the applicant is outdated and has been superseded by more recent findings.</w:t>
      </w:r>
    </w:p>
    <w:p w14:paraId="34E571B5" w14:textId="77777777" w:rsidR="00A02BDF" w:rsidRPr="00BE539E" w:rsidRDefault="00A02BDF" w:rsidP="00A02BDF">
      <w:pPr>
        <w:rPr>
          <w:rFonts w:ascii="Arial" w:hAnsi="Arial" w:cs="Arial"/>
        </w:rPr>
      </w:pPr>
      <w:r w:rsidRPr="00BE539E">
        <w:rPr>
          <w:rFonts w:ascii="Arial" w:hAnsi="Arial" w:cs="Arial"/>
        </w:rPr>
        <w:t xml:space="preserve">I now turn to the systemic review by Avila </w:t>
      </w:r>
      <w:r w:rsidRPr="00BE539E">
        <w:rPr>
          <w:rFonts w:ascii="Arial" w:hAnsi="Arial" w:cs="Arial"/>
          <w:i/>
          <w:iCs/>
        </w:rPr>
        <w:t>et al</w:t>
      </w:r>
      <w:r w:rsidRPr="00BE539E">
        <w:rPr>
          <w:rFonts w:ascii="Arial" w:hAnsi="Arial" w:cs="Arial"/>
        </w:rPr>
        <w:t>.</w:t>
      </w:r>
      <w:r w:rsidRPr="00BE539E">
        <w:rPr>
          <w:rFonts w:ascii="Arial" w:hAnsi="Arial" w:cs="Arial"/>
          <w:vertAlign w:val="superscript"/>
        </w:rPr>
        <w:t xml:space="preserve"> </w:t>
      </w:r>
      <w:r w:rsidRPr="00BE539E">
        <w:rPr>
          <w:rFonts w:ascii="Arial" w:hAnsi="Arial" w:cs="Arial"/>
        </w:rPr>
        <w:t>demonstrating the potential toxic effects of comfrey consumption in humans.</w:t>
      </w:r>
      <w:r w:rsidRPr="00BE539E">
        <w:rPr>
          <w:rFonts w:ascii="Arial" w:hAnsi="Arial" w:cs="Arial"/>
          <w:vertAlign w:val="superscript"/>
        </w:rPr>
        <w:footnoteReference w:id="6"/>
      </w:r>
      <w:r w:rsidRPr="00BE539E">
        <w:rPr>
          <w:rFonts w:ascii="Arial" w:hAnsi="Arial" w:cs="Arial"/>
        </w:rPr>
        <w:t xml:space="preserve"> Case reports involving comfrey published between 1985 and 2013 reported adverse events of hepatic </w:t>
      </w:r>
      <w:proofErr w:type="spellStart"/>
      <w:r w:rsidRPr="00BE539E">
        <w:rPr>
          <w:rFonts w:ascii="Arial" w:hAnsi="Arial" w:cs="Arial"/>
        </w:rPr>
        <w:t>veno</w:t>
      </w:r>
      <w:proofErr w:type="spellEnd"/>
      <w:r w:rsidRPr="00BE539E">
        <w:rPr>
          <w:rFonts w:ascii="Arial" w:hAnsi="Arial" w:cs="Arial"/>
        </w:rPr>
        <w:t xml:space="preserve">-occlusive disease and pulmonary arterial hypertension. In some cases, adverse impacts were fatal, and/or detected </w:t>
      </w:r>
      <w:r w:rsidRPr="00BE539E">
        <w:rPr>
          <w:rFonts w:ascii="Arial" w:hAnsi="Arial" w:cs="Arial"/>
          <w:i/>
          <w:iCs/>
        </w:rPr>
        <w:t>in utero</w:t>
      </w:r>
      <w:r w:rsidRPr="00BE539E">
        <w:rPr>
          <w:rFonts w:ascii="Arial" w:hAnsi="Arial" w:cs="Arial"/>
        </w:rPr>
        <w:t>. Literature demonstrates that the metabolic activation of pyrrolizidine alkaloids forms DNA adducts in the liver,</w:t>
      </w:r>
      <w:r w:rsidRPr="00BE539E">
        <w:rPr>
          <w:rFonts w:ascii="Arial" w:hAnsi="Arial" w:cs="Arial"/>
          <w:vertAlign w:val="superscript"/>
        </w:rPr>
        <w:footnoteReference w:id="7"/>
      </w:r>
      <w:r w:rsidRPr="00BE539E">
        <w:rPr>
          <w:rFonts w:ascii="Arial" w:hAnsi="Arial" w:cs="Arial"/>
          <w:vertAlign w:val="superscript"/>
        </w:rPr>
        <w:t>,</w:t>
      </w:r>
      <w:r w:rsidRPr="00BE539E">
        <w:rPr>
          <w:rFonts w:ascii="Arial" w:hAnsi="Arial" w:cs="Arial"/>
          <w:vertAlign w:val="superscript"/>
        </w:rPr>
        <w:footnoteReference w:id="8"/>
      </w:r>
      <w:r w:rsidRPr="00BE539E">
        <w:rPr>
          <w:rFonts w:ascii="Arial" w:hAnsi="Arial" w:cs="Arial"/>
        </w:rPr>
        <w:t xml:space="preserve"> and is associated with hepatic carcinoma in rodent studies.</w:t>
      </w:r>
      <w:r w:rsidRPr="00BE539E">
        <w:rPr>
          <w:rFonts w:ascii="Arial" w:hAnsi="Arial" w:cs="Arial"/>
          <w:vertAlign w:val="superscript"/>
        </w:rPr>
        <w:footnoteReference w:id="9"/>
      </w:r>
      <w:r w:rsidRPr="00BE539E">
        <w:rPr>
          <w:rFonts w:ascii="Arial" w:hAnsi="Arial" w:cs="Arial"/>
        </w:rPr>
        <w:t xml:space="preserve"> The lungs may also be affected leading to pulmonary arterial hypertension.</w:t>
      </w:r>
      <w:r w:rsidRPr="00BE539E">
        <w:rPr>
          <w:rFonts w:ascii="Arial" w:hAnsi="Arial" w:cs="Arial"/>
          <w:vertAlign w:val="superscript"/>
        </w:rPr>
        <w:footnoteReference w:id="10"/>
      </w:r>
      <w:r w:rsidRPr="00BE539E">
        <w:rPr>
          <w:rFonts w:ascii="Arial" w:hAnsi="Arial" w:cs="Arial"/>
          <w:vertAlign w:val="superscript"/>
        </w:rPr>
        <w:t>,</w:t>
      </w:r>
      <w:r w:rsidRPr="00BE539E">
        <w:rPr>
          <w:rFonts w:ascii="Arial" w:hAnsi="Arial" w:cs="Arial"/>
          <w:vertAlign w:val="superscript"/>
        </w:rPr>
        <w:footnoteReference w:id="11"/>
      </w:r>
      <w:r w:rsidRPr="00BE539E">
        <w:rPr>
          <w:rFonts w:ascii="Arial" w:hAnsi="Arial" w:cs="Arial"/>
        </w:rPr>
        <w:t xml:space="preserve"> </w:t>
      </w:r>
    </w:p>
    <w:p w14:paraId="6147F86E" w14:textId="77777777" w:rsidR="00A02BDF" w:rsidRPr="00BE539E" w:rsidRDefault="00A02BDF" w:rsidP="00A02BDF">
      <w:pPr>
        <w:rPr>
          <w:rFonts w:ascii="Arial" w:hAnsi="Arial" w:cs="Arial"/>
        </w:rPr>
      </w:pPr>
      <w:r w:rsidRPr="00BE539E">
        <w:rPr>
          <w:rFonts w:ascii="Arial" w:hAnsi="Arial" w:cs="Arial"/>
        </w:rPr>
        <w:t>On the balance of this evidence before me showing significant hepatotoxicity of comfrey by oral administration, I am not satisfied that access to comfrey for oral use</w:t>
      </w:r>
      <w:r>
        <w:rPr>
          <w:rFonts w:ascii="Arial" w:hAnsi="Arial" w:cs="Arial"/>
        </w:rPr>
        <w:t xml:space="preserve"> is appropriate, given the</w:t>
      </w:r>
      <w:r w:rsidRPr="00BE539E">
        <w:rPr>
          <w:rFonts w:ascii="Arial" w:hAnsi="Arial" w:cs="Arial"/>
        </w:rPr>
        <w:t xml:space="preserve"> toxicity </w:t>
      </w:r>
      <w:r w:rsidRPr="00BE539E">
        <w:rPr>
          <w:rFonts w:ascii="Arial" w:hAnsi="Arial" w:cs="Arial"/>
        </w:rPr>
        <w:lastRenderedPageBreak/>
        <w:t xml:space="preserve">and risks, in particular the </w:t>
      </w:r>
      <w:r>
        <w:rPr>
          <w:rFonts w:ascii="Arial" w:hAnsi="Arial" w:cs="Arial"/>
        </w:rPr>
        <w:t xml:space="preserve">hazards of the </w:t>
      </w:r>
      <w:r w:rsidRPr="00BE539E">
        <w:rPr>
          <w:rFonts w:ascii="Arial" w:hAnsi="Arial" w:cs="Arial"/>
        </w:rPr>
        <w:t>pyrrolizidine alkaloids</w:t>
      </w:r>
      <w:r>
        <w:rPr>
          <w:rFonts w:ascii="Arial" w:hAnsi="Arial" w:cs="Arial"/>
        </w:rPr>
        <w:t>.</w:t>
      </w:r>
      <w:r w:rsidRPr="00BE539E">
        <w:rPr>
          <w:rFonts w:ascii="Arial" w:hAnsi="Arial" w:cs="Arial"/>
        </w:rPr>
        <w:t xml:space="preserve"> Moreover, the abovementioned information is consistent with the scheduling factors in the SPF for a Schedule 10 substance:</w:t>
      </w:r>
    </w:p>
    <w:p w14:paraId="21127F56" w14:textId="77777777" w:rsidR="00A02BDF" w:rsidRPr="00621083" w:rsidRDefault="00A02BDF" w:rsidP="00A02BDF">
      <w:pPr>
        <w:ind w:left="720"/>
        <w:rPr>
          <w:rFonts w:ascii="Arial" w:hAnsi="Arial" w:cs="Arial"/>
        </w:rPr>
      </w:pPr>
      <w:r w:rsidRPr="00621083">
        <w:rPr>
          <w:rFonts w:ascii="Arial" w:hAnsi="Arial" w:cs="Arial"/>
        </w:rPr>
        <w:t>The substance poses such a high public health risk, including potential risk, that its sale, supply and/or use require very strict control, with access generally being prohibited. The potential health risk does not include potential for abuse, diversion into illicit products or other factors which would warrant inclusion in Schedule 9; and</w:t>
      </w:r>
    </w:p>
    <w:p w14:paraId="5DABC4E1" w14:textId="77777777" w:rsidR="00A02BDF" w:rsidRPr="00621083" w:rsidRDefault="00A02BDF" w:rsidP="00A02BDF">
      <w:pPr>
        <w:ind w:left="720"/>
        <w:rPr>
          <w:rFonts w:ascii="Arial" w:hAnsi="Arial" w:cs="Arial"/>
        </w:rPr>
      </w:pPr>
      <w:r w:rsidRPr="00621083">
        <w:rPr>
          <w:rFonts w:ascii="Arial" w:hAnsi="Arial" w:cs="Arial"/>
        </w:rPr>
        <w:t xml:space="preserve">The substance has a public health risk that substantially outweighs the benefit to the extent that no other Schedule would provide appropriate public access to any proposed or known products. The serious public health risk may be restricted to </w:t>
      </w:r>
      <w:proofErr w:type="gramStart"/>
      <w:r w:rsidRPr="00621083">
        <w:rPr>
          <w:rFonts w:ascii="Arial" w:hAnsi="Arial" w:cs="Arial"/>
        </w:rPr>
        <w:t>particular uses</w:t>
      </w:r>
      <w:proofErr w:type="gramEnd"/>
      <w:r w:rsidRPr="00621083">
        <w:rPr>
          <w:rFonts w:ascii="Arial" w:hAnsi="Arial" w:cs="Arial"/>
          <w:i/>
          <w:iCs/>
        </w:rPr>
        <w:t>.</w:t>
      </w:r>
    </w:p>
    <w:p w14:paraId="21ACE640" w14:textId="77777777" w:rsidR="00A02BDF" w:rsidRPr="00BE539E" w:rsidRDefault="00A02BDF" w:rsidP="00A02BDF">
      <w:pPr>
        <w:rPr>
          <w:rFonts w:ascii="Arial" w:hAnsi="Arial" w:cs="Arial"/>
        </w:rPr>
      </w:pPr>
      <w:r w:rsidRPr="00BE539E">
        <w:rPr>
          <w:rFonts w:ascii="Arial" w:hAnsi="Arial" w:cs="Arial"/>
        </w:rPr>
        <w:t xml:space="preserve">Turning to the benefits of comfrey for human use, there is minimal evidence of public health benefit. Having considered paragraph 52E(1)(a) and (b) of the Act, I acknowledge the historical use of comfrey as a healing herb, attributed to various components, including allantoin, phenolics, glycopeptides, </w:t>
      </w:r>
      <w:proofErr w:type="gramStart"/>
      <w:r w:rsidRPr="00BE539E">
        <w:rPr>
          <w:rFonts w:ascii="Arial" w:hAnsi="Arial" w:cs="Arial"/>
        </w:rPr>
        <w:t>polysaccharides</w:t>
      </w:r>
      <w:proofErr w:type="gramEnd"/>
      <w:r w:rsidRPr="00BE539E">
        <w:rPr>
          <w:rFonts w:ascii="Arial" w:hAnsi="Arial" w:cs="Arial"/>
        </w:rPr>
        <w:t xml:space="preserve"> and pyrrolizidine alkaloids. </w:t>
      </w:r>
      <w:r w:rsidRPr="00BE539E">
        <w:rPr>
          <w:rFonts w:ascii="Arial" w:hAnsi="Arial" w:cs="Arial"/>
          <w:i/>
          <w:iCs/>
        </w:rPr>
        <w:t>In vitro</w:t>
      </w:r>
      <w:r w:rsidRPr="00BE539E">
        <w:rPr>
          <w:rFonts w:ascii="Arial" w:hAnsi="Arial" w:cs="Arial"/>
        </w:rPr>
        <w:t xml:space="preserve"> and </w:t>
      </w:r>
      <w:r w:rsidRPr="00BE539E">
        <w:rPr>
          <w:rFonts w:ascii="Arial" w:hAnsi="Arial" w:cs="Arial"/>
          <w:i/>
          <w:iCs/>
        </w:rPr>
        <w:t>in vivo</w:t>
      </w:r>
      <w:r w:rsidRPr="00BE539E">
        <w:rPr>
          <w:rFonts w:ascii="Arial" w:hAnsi="Arial" w:cs="Arial"/>
        </w:rPr>
        <w:t xml:space="preserve"> animal data demonstrate antioxidant, anti-inflammatory and anti-microbial activity likely to contribute to therapeutic benefit from the use of comfrey.</w:t>
      </w:r>
      <w:r w:rsidRPr="00BE539E">
        <w:rPr>
          <w:rFonts w:ascii="Arial" w:hAnsi="Arial" w:cs="Arial"/>
          <w:vertAlign w:val="superscript"/>
        </w:rPr>
        <w:footnoteReference w:id="12"/>
      </w:r>
      <w:r w:rsidRPr="00BE539E">
        <w:rPr>
          <w:rFonts w:ascii="Arial" w:hAnsi="Arial" w:cs="Arial"/>
          <w:vertAlign w:val="superscript"/>
        </w:rPr>
        <w:t>,</w:t>
      </w:r>
      <w:r w:rsidRPr="00BE539E">
        <w:rPr>
          <w:rFonts w:ascii="Arial" w:hAnsi="Arial" w:cs="Arial"/>
          <w:vertAlign w:val="superscript"/>
        </w:rPr>
        <w:footnoteReference w:id="13"/>
      </w:r>
      <w:r w:rsidRPr="00BE539E">
        <w:rPr>
          <w:rFonts w:ascii="Arial" w:hAnsi="Arial" w:cs="Arial"/>
          <w:vertAlign w:val="superscript"/>
        </w:rPr>
        <w:t>,</w:t>
      </w:r>
      <w:r w:rsidRPr="00BE539E">
        <w:rPr>
          <w:rFonts w:ascii="Arial" w:hAnsi="Arial" w:cs="Arial"/>
          <w:vertAlign w:val="superscript"/>
        </w:rPr>
        <w:footnoteReference w:id="14"/>
      </w:r>
      <w:r w:rsidRPr="00BE539E">
        <w:rPr>
          <w:rFonts w:ascii="Arial" w:hAnsi="Arial" w:cs="Arial"/>
        </w:rPr>
        <w:t xml:space="preserve"> </w:t>
      </w:r>
    </w:p>
    <w:p w14:paraId="0109D80E" w14:textId="77777777" w:rsidR="00A02BDF" w:rsidRPr="00BE539E" w:rsidRDefault="00A02BDF" w:rsidP="00A02BDF">
      <w:pPr>
        <w:rPr>
          <w:rFonts w:ascii="Arial" w:hAnsi="Arial" w:cs="Arial"/>
        </w:rPr>
      </w:pPr>
      <w:r w:rsidRPr="00BE539E">
        <w:rPr>
          <w:rFonts w:ascii="Arial" w:hAnsi="Arial" w:cs="Arial"/>
        </w:rPr>
        <w:t>I note that three topical creams with comfrey as an active ingredient, being Schedule 5 preparations, are currently included on Australian Register of Therapeutic Goods (ARTG) for relief of minor pain or swelling associated with bruises and mild joint sprains, and to promote suppuration of boils and abscesses, and gangrenous and ill-conditioned ulcers. The indications for these products correspond to some of the indications within the comfrey claims</w:t>
      </w:r>
      <w:r w:rsidRPr="00217E27">
        <w:rPr>
          <w:rFonts w:ascii="Arial" w:hAnsi="Arial" w:cs="Arial"/>
        </w:rPr>
        <w:t>, and they bear the signal headers and labelled warning statements appropriate for Schedule 5</w:t>
      </w:r>
      <w:r w:rsidRPr="00BE539E">
        <w:rPr>
          <w:rFonts w:ascii="Arial" w:hAnsi="Arial" w:cs="Arial"/>
        </w:rPr>
        <w:t xml:space="preserve">. </w:t>
      </w:r>
    </w:p>
    <w:p w14:paraId="71B24A67" w14:textId="4D908844" w:rsidR="00A02BDF" w:rsidRPr="00BE539E" w:rsidRDefault="00A02BDF" w:rsidP="00A02BDF">
      <w:pPr>
        <w:rPr>
          <w:rFonts w:ascii="Arial" w:hAnsi="Arial" w:cs="Arial"/>
        </w:rPr>
      </w:pPr>
      <w:r w:rsidRPr="00BE539E">
        <w:rPr>
          <w:rFonts w:ascii="Arial" w:hAnsi="Arial" w:cs="Arial"/>
        </w:rPr>
        <w:t xml:space="preserve">In contrast, in relation to whether comfrey for oral consumption should be excluded from Schedule 10 in the Standard, it is unclear to me to which of the comfrey claims this should apply, and insufficient evidence of the efficacy of comfrey for such claims—and thus the likelihood of the benefits being realised—has been provided or is otherwise before me. I note particularly that, with reference to paragraph 52E(1)(b) and (d) of the Act, no information has been provided in the application to support the 0.9% cut-off of alkaloid in preparations of comfrey for oral therapeutic use. </w:t>
      </w:r>
      <w:r>
        <w:rPr>
          <w:rFonts w:ascii="Arial" w:hAnsi="Arial" w:cs="Arial"/>
        </w:rPr>
        <w:t>I reiterate that the application contained no reference to published literature, other than mentioning the names of the two authors referred to above</w:t>
      </w:r>
      <w:r w:rsidR="00621083">
        <w:rPr>
          <w:rFonts w:ascii="Arial" w:hAnsi="Arial" w:cs="Arial"/>
        </w:rPr>
        <w:t>.</w:t>
      </w:r>
      <w:r>
        <w:rPr>
          <w:rFonts w:ascii="Arial" w:hAnsi="Arial" w:cs="Arial"/>
        </w:rPr>
        <w:t xml:space="preserve"> I therefore conclude that such benefits of comfrey when used for oral use, or a certain concentration of alkaloid, are limited and unsupported, and do not justify amendment the Standard.</w:t>
      </w:r>
    </w:p>
    <w:p w14:paraId="05F8C81C" w14:textId="2E4664B4" w:rsidR="00A02BDF" w:rsidRPr="00A02BDF" w:rsidRDefault="00A02BDF" w:rsidP="00A02BDF">
      <w:pPr>
        <w:rPr>
          <w:rFonts w:ascii="Arial" w:hAnsi="Arial" w:cs="Arial"/>
        </w:rPr>
      </w:pPr>
      <w:r w:rsidRPr="00BE539E">
        <w:rPr>
          <w:rFonts w:ascii="Arial" w:hAnsi="Arial" w:cs="Arial"/>
        </w:rPr>
        <w:t xml:space="preserve">In summary, I am satisfied that the risks from oral use of comfrey substantially outweigh the potential benefits of the substance, for which limited evidence or data has been provided, to support the Proposal. Moreover, </w:t>
      </w:r>
      <w:proofErr w:type="gramStart"/>
      <w:r w:rsidRPr="00BE539E">
        <w:rPr>
          <w:rFonts w:ascii="Arial" w:hAnsi="Arial" w:cs="Arial"/>
        </w:rPr>
        <w:t>on the basis of</w:t>
      </w:r>
      <w:proofErr w:type="gramEnd"/>
      <w:r w:rsidRPr="00BE539E">
        <w:rPr>
          <w:rFonts w:ascii="Arial" w:hAnsi="Arial" w:cs="Arial"/>
        </w:rPr>
        <w:t xml:space="preserve"> the evidence about toxicity and safety before me and noting the paucity of evidence provided in the application, the risks are consistent with the scheduling factors for a Schedule 10 substance in the Standard. Consequently, I have decided not to amend the Standard in relation to comfrey.</w:t>
      </w:r>
    </w:p>
    <w:p w14:paraId="06D3A484" w14:textId="660ED902" w:rsidR="00A02BDF" w:rsidRPr="00A02BDF" w:rsidRDefault="00A02BDF" w:rsidP="00A02BDF">
      <w:pPr>
        <w:pStyle w:val="Heading3"/>
      </w:pPr>
      <w:r>
        <w:t>Final decision reasons</w:t>
      </w:r>
    </w:p>
    <w:p w14:paraId="41F29ED8" w14:textId="6D14FCE0" w:rsidR="00CB6221" w:rsidRDefault="002C46A1" w:rsidP="002C46A1">
      <w:pPr>
        <w:rPr>
          <w:rFonts w:ascii="Arial" w:hAnsi="Arial" w:cs="Arial"/>
        </w:rPr>
      </w:pPr>
      <w:r w:rsidRPr="00AE609B" w:rsidDel="00305E06">
        <w:rPr>
          <w:rFonts w:ascii="Arial" w:hAnsi="Arial" w:cs="Arial"/>
          <w:bCs/>
          <w:color w:val="0D0D0D" w:themeColor="text1" w:themeTint="F2"/>
        </w:rPr>
        <w:t xml:space="preserve">I have made a </w:t>
      </w:r>
      <w:r w:rsidR="003778B1" w:rsidRPr="00AE609B" w:rsidDel="00305E06">
        <w:rPr>
          <w:rFonts w:ascii="Arial" w:hAnsi="Arial" w:cs="Arial"/>
          <w:bCs/>
          <w:color w:val="0D0D0D" w:themeColor="text1" w:themeTint="F2"/>
        </w:rPr>
        <w:t xml:space="preserve">final </w:t>
      </w:r>
      <w:r w:rsidRPr="00AE609B" w:rsidDel="00305E06">
        <w:rPr>
          <w:rFonts w:ascii="Arial" w:hAnsi="Arial" w:cs="Arial"/>
          <w:bCs/>
          <w:color w:val="0D0D0D" w:themeColor="text1" w:themeTint="F2"/>
        </w:rPr>
        <w:t xml:space="preserve">decision </w:t>
      </w:r>
      <w:r w:rsidR="00D3676D" w:rsidRPr="00AE609B" w:rsidDel="00305E06">
        <w:rPr>
          <w:rFonts w:ascii="Arial" w:hAnsi="Arial" w:cs="Arial"/>
          <w:bCs/>
          <w:color w:val="0D0D0D" w:themeColor="text1" w:themeTint="F2"/>
        </w:rPr>
        <w:t xml:space="preserve">to </w:t>
      </w:r>
      <w:r w:rsidR="003778B1" w:rsidRPr="00AE609B" w:rsidDel="00305E06">
        <w:rPr>
          <w:rFonts w:ascii="Arial" w:hAnsi="Arial" w:cs="Arial"/>
          <w:bCs/>
          <w:color w:val="0D0D0D" w:themeColor="text1" w:themeTint="F2"/>
        </w:rPr>
        <w:t xml:space="preserve">confirm my interim decision to not </w:t>
      </w:r>
      <w:r w:rsidRPr="00AE609B" w:rsidDel="00305E06">
        <w:rPr>
          <w:rFonts w:ascii="Arial" w:hAnsi="Arial" w:cs="Arial"/>
          <w:bCs/>
          <w:color w:val="0D0D0D" w:themeColor="text1" w:themeTint="F2"/>
        </w:rPr>
        <w:t xml:space="preserve">amend the </w:t>
      </w:r>
      <w:r w:rsidRPr="00A02BDF" w:rsidDel="00305E06">
        <w:rPr>
          <w:rFonts w:ascii="Arial" w:hAnsi="Arial" w:cs="Arial"/>
          <w:bCs/>
          <w:color w:val="0D0D0D" w:themeColor="text1" w:themeTint="F2"/>
        </w:rPr>
        <w:t xml:space="preserve">Standard </w:t>
      </w:r>
      <w:r w:rsidRPr="00AE609B" w:rsidDel="00305E06">
        <w:rPr>
          <w:rFonts w:ascii="Arial" w:hAnsi="Arial" w:cs="Arial"/>
          <w:bCs/>
          <w:color w:val="0D0D0D" w:themeColor="text1" w:themeTint="F2"/>
        </w:rPr>
        <w:t xml:space="preserve">in relation to </w:t>
      </w:r>
      <w:r w:rsidRPr="002E4A30" w:rsidDel="00305E06">
        <w:rPr>
          <w:rFonts w:ascii="Arial" w:hAnsi="Arial" w:cs="Arial"/>
          <w:bCs/>
          <w:i/>
          <w:iCs/>
          <w:color w:val="0D0D0D" w:themeColor="text1" w:themeTint="F2"/>
        </w:rPr>
        <w:t>Symphytum spp</w:t>
      </w:r>
      <w:r w:rsidRPr="00AE609B" w:rsidDel="00305E06">
        <w:rPr>
          <w:rFonts w:ascii="Arial" w:hAnsi="Arial" w:cs="Arial"/>
          <w:bCs/>
          <w:color w:val="0D0D0D" w:themeColor="text1" w:themeTint="F2"/>
        </w:rPr>
        <w:t>. (comfrey).</w:t>
      </w:r>
      <w:r w:rsidR="00305E06" w:rsidRPr="00AE609B">
        <w:rPr>
          <w:rFonts w:ascii="Arial" w:hAnsi="Arial" w:cs="Arial"/>
        </w:rPr>
        <w:t xml:space="preserve"> </w:t>
      </w:r>
      <w:r w:rsidR="006E1036" w:rsidRPr="00AE609B">
        <w:rPr>
          <w:rFonts w:ascii="Arial" w:hAnsi="Arial" w:cs="Arial"/>
        </w:rPr>
        <w:t>I have considered the applicant’s response to my interim decision to not amend the Standard, which was received on 23 May 2023.</w:t>
      </w:r>
      <w:r w:rsidR="00305E06">
        <w:rPr>
          <w:rFonts w:ascii="Arial" w:hAnsi="Arial" w:cs="Arial"/>
        </w:rPr>
        <w:t xml:space="preserve"> </w:t>
      </w:r>
      <w:r w:rsidR="00296F3F">
        <w:rPr>
          <w:rFonts w:ascii="Arial" w:hAnsi="Arial" w:cs="Arial"/>
        </w:rPr>
        <w:t xml:space="preserve">I </w:t>
      </w:r>
      <w:r w:rsidR="000D57D5">
        <w:rPr>
          <w:rFonts w:ascii="Arial" w:hAnsi="Arial" w:cs="Arial"/>
        </w:rPr>
        <w:t>have considered</w:t>
      </w:r>
      <w:r w:rsidR="00296F3F">
        <w:rPr>
          <w:rFonts w:ascii="Arial" w:hAnsi="Arial" w:cs="Arial"/>
        </w:rPr>
        <w:t xml:space="preserve"> the claims made by the applicant in their response regarding the apparent safety associated with the oral administration of comfrey. </w:t>
      </w:r>
      <w:r w:rsidR="00B975D6">
        <w:rPr>
          <w:rFonts w:ascii="Arial" w:hAnsi="Arial" w:cs="Arial"/>
        </w:rPr>
        <w:t>These claims include statements from the World Health Organisation (WHO), the Library of Natural Medicine</w:t>
      </w:r>
      <w:r w:rsidR="00305E06">
        <w:rPr>
          <w:rFonts w:ascii="Arial" w:hAnsi="Arial" w:cs="Arial"/>
        </w:rPr>
        <w:t>,</w:t>
      </w:r>
      <w:r w:rsidR="00B975D6">
        <w:rPr>
          <w:rFonts w:ascii="Arial" w:hAnsi="Arial" w:cs="Arial"/>
        </w:rPr>
        <w:t xml:space="preserve"> and the Multidisciplinary Digital Publishing Institute (MDPI) indicating safety associated with the oral consumption of comfrey. </w:t>
      </w:r>
      <w:r w:rsidR="00296F3F">
        <w:rPr>
          <w:rFonts w:ascii="Arial" w:hAnsi="Arial" w:cs="Arial"/>
        </w:rPr>
        <w:t xml:space="preserve">However, the applicant has provided insufficient </w:t>
      </w:r>
      <w:r w:rsidR="000D57D5">
        <w:rPr>
          <w:rFonts w:ascii="Arial" w:hAnsi="Arial" w:cs="Arial"/>
        </w:rPr>
        <w:lastRenderedPageBreak/>
        <w:t xml:space="preserve">supporting </w:t>
      </w:r>
      <w:r w:rsidR="00296F3F">
        <w:rPr>
          <w:rFonts w:ascii="Arial" w:hAnsi="Arial" w:cs="Arial"/>
        </w:rPr>
        <w:t xml:space="preserve">evidence to </w:t>
      </w:r>
      <w:r w:rsidR="00B975D6">
        <w:rPr>
          <w:rFonts w:ascii="Arial" w:hAnsi="Arial" w:cs="Arial"/>
        </w:rPr>
        <w:t xml:space="preserve">substantiate </w:t>
      </w:r>
      <w:r w:rsidR="00296F3F">
        <w:rPr>
          <w:rFonts w:ascii="Arial" w:hAnsi="Arial" w:cs="Arial"/>
        </w:rPr>
        <w:t>these claims. I consider the weight of evidence of the toxicity of the pyrrolizidine alkaloids</w:t>
      </w:r>
      <w:r w:rsidR="00F63978">
        <w:rPr>
          <w:rFonts w:ascii="Arial" w:hAnsi="Arial" w:cs="Arial"/>
        </w:rPr>
        <w:t xml:space="preserve"> </w:t>
      </w:r>
      <w:r w:rsidR="00296F3F">
        <w:rPr>
          <w:rFonts w:ascii="Arial" w:hAnsi="Arial" w:cs="Arial"/>
        </w:rPr>
        <w:t>present within comfrey</w:t>
      </w:r>
      <w:r w:rsidR="00CB6221">
        <w:rPr>
          <w:rFonts w:ascii="Arial" w:hAnsi="Arial" w:cs="Arial"/>
        </w:rPr>
        <w:t>, as detailed in my interim decision,</w:t>
      </w:r>
      <w:r w:rsidR="00296F3F">
        <w:rPr>
          <w:rFonts w:ascii="Arial" w:hAnsi="Arial" w:cs="Arial"/>
        </w:rPr>
        <w:t xml:space="preserve"> to be more than sufficient to justify my decision to not change the access to this substance at this time. </w:t>
      </w:r>
    </w:p>
    <w:p w14:paraId="37C8B613" w14:textId="792222BB" w:rsidR="00F63978" w:rsidRDefault="00F63978" w:rsidP="002C46A1">
      <w:pPr>
        <w:rPr>
          <w:rFonts w:ascii="Arial" w:hAnsi="Arial" w:cs="Arial"/>
        </w:rPr>
      </w:pPr>
      <w:r>
        <w:rPr>
          <w:rFonts w:ascii="Arial" w:hAnsi="Arial" w:cs="Arial"/>
        </w:rPr>
        <w:t xml:space="preserve">The content of </w:t>
      </w:r>
      <w:r w:rsidR="00621083">
        <w:rPr>
          <w:rFonts w:ascii="Arial" w:hAnsi="Arial" w:cs="Arial"/>
        </w:rPr>
        <w:t xml:space="preserve">pyrrolizidine alkaloids </w:t>
      </w:r>
      <w:r>
        <w:rPr>
          <w:rFonts w:ascii="Arial" w:hAnsi="Arial" w:cs="Arial"/>
        </w:rPr>
        <w:t xml:space="preserve">within comfrey is disputed by the applicant, and I acknowledge the natural variability that can occur within </w:t>
      </w:r>
      <w:r w:rsidR="00621083">
        <w:rPr>
          <w:rFonts w:ascii="Arial" w:hAnsi="Arial" w:cs="Arial"/>
        </w:rPr>
        <w:t>comfrey</w:t>
      </w:r>
      <w:r>
        <w:rPr>
          <w:rFonts w:ascii="Arial" w:hAnsi="Arial" w:cs="Arial"/>
        </w:rPr>
        <w:t xml:space="preserve"> based on environmental factors. However, there is no evidence provided in the application</w:t>
      </w:r>
      <w:r w:rsidR="0038509F">
        <w:rPr>
          <w:rFonts w:ascii="Arial" w:hAnsi="Arial" w:cs="Arial"/>
        </w:rPr>
        <w:t>, interim decision response,</w:t>
      </w:r>
      <w:r>
        <w:rPr>
          <w:rFonts w:ascii="Arial" w:hAnsi="Arial" w:cs="Arial"/>
        </w:rPr>
        <w:t xml:space="preserve"> or otherwise to su</w:t>
      </w:r>
      <w:r w:rsidR="006A6129">
        <w:rPr>
          <w:rFonts w:ascii="Arial" w:hAnsi="Arial" w:cs="Arial"/>
        </w:rPr>
        <w:t>gges</w:t>
      </w:r>
      <w:r>
        <w:rPr>
          <w:rFonts w:ascii="Arial" w:hAnsi="Arial" w:cs="Arial"/>
        </w:rPr>
        <w:t xml:space="preserve">t </w:t>
      </w:r>
      <w:r w:rsidR="000D57D5">
        <w:rPr>
          <w:rFonts w:ascii="Arial" w:hAnsi="Arial" w:cs="Arial"/>
        </w:rPr>
        <w:t xml:space="preserve">that </w:t>
      </w:r>
      <w:r>
        <w:rPr>
          <w:rFonts w:ascii="Arial" w:hAnsi="Arial" w:cs="Arial"/>
        </w:rPr>
        <w:t xml:space="preserve">the lower levels of </w:t>
      </w:r>
      <w:r w:rsidR="00621083">
        <w:rPr>
          <w:rFonts w:ascii="Arial" w:hAnsi="Arial" w:cs="Arial"/>
        </w:rPr>
        <w:t>pyrrolizidine alkaloids c</w:t>
      </w:r>
      <w:r>
        <w:rPr>
          <w:rFonts w:ascii="Arial" w:hAnsi="Arial" w:cs="Arial"/>
        </w:rPr>
        <w:t>ontent in comfrey</w:t>
      </w:r>
      <w:r w:rsidR="000D57D5">
        <w:rPr>
          <w:rFonts w:ascii="Arial" w:hAnsi="Arial" w:cs="Arial"/>
        </w:rPr>
        <w:t xml:space="preserve"> are safe for oral administration</w:t>
      </w:r>
      <w:r w:rsidR="00B975D6">
        <w:rPr>
          <w:rFonts w:ascii="Arial" w:hAnsi="Arial" w:cs="Arial"/>
        </w:rPr>
        <w:t>.</w:t>
      </w:r>
    </w:p>
    <w:p w14:paraId="14C9E406" w14:textId="2DB593F5" w:rsidR="006A6129" w:rsidRDefault="00296F3F" w:rsidP="002C46A1">
      <w:pPr>
        <w:rPr>
          <w:rFonts w:ascii="Arial" w:hAnsi="Arial" w:cs="Arial"/>
        </w:rPr>
      </w:pPr>
      <w:r>
        <w:rPr>
          <w:rFonts w:ascii="Arial" w:hAnsi="Arial" w:cs="Arial"/>
        </w:rPr>
        <w:t xml:space="preserve">My decision is further supported by the lack of </w:t>
      </w:r>
      <w:r w:rsidR="00CB6221">
        <w:rPr>
          <w:rFonts w:ascii="Arial" w:hAnsi="Arial" w:cs="Arial"/>
        </w:rPr>
        <w:t xml:space="preserve">evidence regarding any </w:t>
      </w:r>
      <w:r>
        <w:rPr>
          <w:rFonts w:ascii="Arial" w:hAnsi="Arial" w:cs="Arial"/>
        </w:rPr>
        <w:t>public health benefit to be derived from the oral consumption of comfrey</w:t>
      </w:r>
      <w:r w:rsidR="00CB6221">
        <w:rPr>
          <w:rFonts w:ascii="Arial" w:hAnsi="Arial" w:cs="Arial"/>
        </w:rPr>
        <w:t>. While anecdotal reports of the historical use of comfrey in this manner have been cited by the applicant as evidence to support the proposal, there exists a distinct lack of clinical data demonstrating therapeutic benefit from the oral consumption of the herb.</w:t>
      </w:r>
      <w:r w:rsidR="006A6129">
        <w:rPr>
          <w:rFonts w:ascii="Arial" w:hAnsi="Arial" w:cs="Arial"/>
        </w:rPr>
        <w:t xml:space="preserve"> I also reiterate that the use of comfrey as a food is not addressed in the Standard, and </w:t>
      </w:r>
      <w:r w:rsidR="000D57D5">
        <w:rPr>
          <w:rFonts w:ascii="Arial" w:hAnsi="Arial" w:cs="Arial"/>
        </w:rPr>
        <w:t xml:space="preserve">is instead governed by the Food Standards Code, </w:t>
      </w:r>
      <w:r w:rsidR="00F859C2">
        <w:rPr>
          <w:rFonts w:ascii="Arial" w:hAnsi="Arial" w:cs="Arial"/>
        </w:rPr>
        <w:t>which lists three species of comfrey in Schedule 23 as prohibited plants.</w:t>
      </w:r>
    </w:p>
    <w:p w14:paraId="5184C611" w14:textId="51C5813A" w:rsidR="00F02AEC" w:rsidRPr="00215D48" w:rsidRDefault="0083433F" w:rsidP="00651D40">
      <w:pPr>
        <w:sectPr w:rsidR="00F02AEC" w:rsidRPr="00215D48" w:rsidSect="00AE7C6A">
          <w:headerReference w:type="default" r:id="rId24"/>
          <w:footerReference w:type="default" r:id="rId25"/>
          <w:pgSz w:w="11906" w:h="16838" w:code="9"/>
          <w:pgMar w:top="1134" w:right="1418" w:bottom="1361" w:left="1418" w:header="573" w:footer="567" w:gutter="0"/>
          <w:cols w:space="708"/>
          <w:docGrid w:linePitch="360"/>
        </w:sectPr>
      </w:pPr>
      <w:r>
        <w:rPr>
          <w:rFonts w:ascii="Arial" w:hAnsi="Arial" w:cs="Arial"/>
        </w:rPr>
        <w:t xml:space="preserve">I note that comfrey for oral use remains unapproved in many countries, including the United States and many members of the European Union. </w:t>
      </w:r>
      <w:r w:rsidR="00C92FEF" w:rsidRPr="00BE539E">
        <w:rPr>
          <w:rFonts w:ascii="Arial" w:hAnsi="Arial" w:cs="Arial"/>
        </w:rPr>
        <w:t xml:space="preserve">I </w:t>
      </w:r>
      <w:r w:rsidR="00651D40">
        <w:rPr>
          <w:rFonts w:ascii="Arial" w:hAnsi="Arial" w:cs="Arial"/>
        </w:rPr>
        <w:t xml:space="preserve">remain </w:t>
      </w:r>
      <w:r w:rsidR="00C92FEF" w:rsidRPr="00BE539E">
        <w:rPr>
          <w:rFonts w:ascii="Arial" w:hAnsi="Arial" w:cs="Arial"/>
        </w:rPr>
        <w:t>satisfied</w:t>
      </w:r>
      <w:r w:rsidR="002C46A1" w:rsidRPr="00BE539E">
        <w:rPr>
          <w:rFonts w:ascii="Arial" w:hAnsi="Arial" w:cs="Arial"/>
        </w:rPr>
        <w:t xml:space="preserve"> that the risks</w:t>
      </w:r>
      <w:r w:rsidR="00C92FEF" w:rsidRPr="00BE539E">
        <w:rPr>
          <w:rFonts w:ascii="Arial" w:hAnsi="Arial" w:cs="Arial"/>
        </w:rPr>
        <w:t xml:space="preserve"> from oral use of comfrey </w:t>
      </w:r>
      <w:r w:rsidR="002C46A1" w:rsidRPr="00BE539E">
        <w:rPr>
          <w:rFonts w:ascii="Arial" w:hAnsi="Arial" w:cs="Arial"/>
        </w:rPr>
        <w:t>substantially outweigh the potential benefits of the substance</w:t>
      </w:r>
      <w:r w:rsidR="00C92FEF" w:rsidRPr="00BE539E">
        <w:rPr>
          <w:rFonts w:ascii="Arial" w:hAnsi="Arial" w:cs="Arial"/>
        </w:rPr>
        <w:t>,</w:t>
      </w:r>
      <w:r w:rsidR="002C46A1" w:rsidRPr="00BE539E">
        <w:rPr>
          <w:rFonts w:ascii="Arial" w:hAnsi="Arial" w:cs="Arial"/>
        </w:rPr>
        <w:t xml:space="preserve"> for which limited evidence or data </w:t>
      </w:r>
      <w:r w:rsidR="00C92FEF" w:rsidRPr="00BE539E">
        <w:rPr>
          <w:rFonts w:ascii="Arial" w:hAnsi="Arial" w:cs="Arial"/>
        </w:rPr>
        <w:t xml:space="preserve">has been </w:t>
      </w:r>
      <w:r w:rsidR="002C46A1" w:rsidRPr="00BE539E">
        <w:rPr>
          <w:rFonts w:ascii="Arial" w:hAnsi="Arial" w:cs="Arial"/>
        </w:rPr>
        <w:t xml:space="preserve">provided to support the Proposal. </w:t>
      </w:r>
      <w:r w:rsidR="00651D40">
        <w:rPr>
          <w:rFonts w:ascii="Arial" w:hAnsi="Arial" w:cs="Arial"/>
        </w:rPr>
        <w:t>Therefore</w:t>
      </w:r>
      <w:r w:rsidR="002C46A1" w:rsidRPr="00BE539E">
        <w:rPr>
          <w:rFonts w:ascii="Arial" w:hAnsi="Arial" w:cs="Arial"/>
        </w:rPr>
        <w:t>, I have decided</w:t>
      </w:r>
      <w:r w:rsidR="00651D40">
        <w:rPr>
          <w:rFonts w:ascii="Arial" w:hAnsi="Arial" w:cs="Arial"/>
        </w:rPr>
        <w:t xml:space="preserve"> to confirm my interim decision to </w:t>
      </w:r>
      <w:r w:rsidR="002C46A1" w:rsidRPr="00BE539E">
        <w:rPr>
          <w:rFonts w:ascii="Arial" w:hAnsi="Arial" w:cs="Arial"/>
        </w:rPr>
        <w:t xml:space="preserve">not amend the Standard </w:t>
      </w:r>
      <w:r w:rsidR="00C92FEF" w:rsidRPr="00BE539E">
        <w:rPr>
          <w:rFonts w:ascii="Arial" w:hAnsi="Arial" w:cs="Arial"/>
        </w:rPr>
        <w:t>in relation</w:t>
      </w:r>
      <w:r w:rsidR="002C46A1" w:rsidRPr="00BE539E">
        <w:rPr>
          <w:rFonts w:ascii="Arial" w:hAnsi="Arial" w:cs="Arial"/>
        </w:rPr>
        <w:t xml:space="preserve"> to comfrey.</w:t>
      </w:r>
    </w:p>
    <w:tbl>
      <w:tblPr>
        <w:tblW w:w="9145" w:type="dxa"/>
        <w:jc w:val="center"/>
        <w:tblLayout w:type="fixed"/>
        <w:tblCellMar>
          <w:left w:w="0" w:type="dxa"/>
          <w:right w:w="0" w:type="dxa"/>
        </w:tblCellMar>
        <w:tblLook w:val="04A0" w:firstRow="1" w:lastRow="0" w:firstColumn="1" w:lastColumn="0" w:noHBand="0" w:noVBand="1"/>
      </w:tblPr>
      <w:tblGrid>
        <w:gridCol w:w="9145"/>
      </w:tblGrid>
      <w:tr w:rsidR="00F02AEC" w:rsidRPr="00215D48" w14:paraId="7ACF4844" w14:textId="77777777" w:rsidTr="00564BBE">
        <w:trPr>
          <w:trHeight w:hRule="exact" w:val="565"/>
          <w:jc w:val="center"/>
        </w:trPr>
        <w:tc>
          <w:tcPr>
            <w:tcW w:w="9145" w:type="dxa"/>
          </w:tcPr>
          <w:p w14:paraId="6DAF57FC" w14:textId="77777777" w:rsidR="00F02AEC" w:rsidRPr="00215D48" w:rsidRDefault="00F02AEC" w:rsidP="00564BBE">
            <w:pPr>
              <w:pStyle w:val="TGASignoff"/>
            </w:pPr>
            <w:r w:rsidRPr="00215D48">
              <w:lastRenderedPageBreak/>
              <w:t>Therapeutic Goods Administration</w:t>
            </w:r>
          </w:p>
        </w:tc>
      </w:tr>
      <w:tr w:rsidR="00F02AEC" w:rsidRPr="00215D48" w14:paraId="37D920B7" w14:textId="77777777" w:rsidTr="00564BBE">
        <w:trPr>
          <w:trHeight w:val="963"/>
          <w:jc w:val="center"/>
        </w:trPr>
        <w:tc>
          <w:tcPr>
            <w:tcW w:w="9145" w:type="dxa"/>
            <w:tcMar>
              <w:top w:w="28" w:type="dxa"/>
            </w:tcMar>
          </w:tcPr>
          <w:p w14:paraId="7D14644B" w14:textId="77777777" w:rsidR="00F02AEC" w:rsidRPr="00215D48" w:rsidRDefault="00F02AEC" w:rsidP="00EB5622">
            <w:pPr>
              <w:pStyle w:val="Address"/>
              <w:jc w:val="center"/>
            </w:pPr>
            <w:r w:rsidRPr="00215D48">
              <w:t>PO Box 100 Woden ACT 2606 Australia</w:t>
            </w:r>
          </w:p>
          <w:p w14:paraId="12587A60" w14:textId="77777777" w:rsidR="00F02AEC" w:rsidRDefault="00F02AEC">
            <w:pPr>
              <w:pStyle w:val="Address"/>
              <w:jc w:val="center"/>
              <w:rPr>
                <w:sz w:val="22"/>
                <w:szCs w:val="22"/>
              </w:rPr>
            </w:pPr>
            <w:r w:rsidRPr="00215D48">
              <w:t xml:space="preserve">Email: </w:t>
            </w:r>
            <w:hyperlink r:id="rId26" w:history="1">
              <w:r w:rsidRPr="00215D48">
                <w:rPr>
                  <w:rStyle w:val="Hyperlink"/>
                </w:rPr>
                <w:t>info@tga.gov.au</w:t>
              </w:r>
            </w:hyperlink>
            <w:r w:rsidRPr="00215D48">
              <w:t xml:space="preserve">  Phone: 1800 020 </w:t>
            </w:r>
            <w:proofErr w:type="gramStart"/>
            <w:r w:rsidRPr="00215D48">
              <w:t>653  Fax</w:t>
            </w:r>
            <w:proofErr w:type="gramEnd"/>
            <w:r w:rsidRPr="00215D48">
              <w:t xml:space="preserve">: </w:t>
            </w:r>
            <w:r w:rsidRPr="00BA0DFC">
              <w:t>02 6203 1605</w:t>
            </w:r>
          </w:p>
          <w:p w14:paraId="675B625B" w14:textId="77777777" w:rsidR="00F02AEC" w:rsidRPr="00215D48" w:rsidRDefault="00516B46">
            <w:pPr>
              <w:pStyle w:val="Address"/>
              <w:jc w:val="center"/>
              <w:rPr>
                <w:rStyle w:val="Hyperlink"/>
                <w:b/>
                <w:color w:val="auto"/>
                <w:sz w:val="22"/>
              </w:rPr>
            </w:pPr>
            <w:hyperlink r:id="rId27" w:history="1">
              <w:r w:rsidR="00F02AEC" w:rsidRPr="00C4721A">
                <w:rPr>
                  <w:rStyle w:val="Hyperlink"/>
                  <w:b/>
                </w:rPr>
                <w:t>https://www.tga.gov.au</w:t>
              </w:r>
            </w:hyperlink>
          </w:p>
        </w:tc>
      </w:tr>
      <w:tr w:rsidR="00F02AEC" w:rsidRPr="00215D48" w14:paraId="76D18522" w14:textId="77777777" w:rsidTr="00564BBE">
        <w:trPr>
          <w:trHeight w:val="251"/>
          <w:jc w:val="center"/>
        </w:trPr>
        <w:tc>
          <w:tcPr>
            <w:tcW w:w="9145" w:type="dxa"/>
            <w:tcMar>
              <w:top w:w="28" w:type="dxa"/>
            </w:tcMar>
          </w:tcPr>
          <w:p w14:paraId="1FC8D64A" w14:textId="6D4AD1B8" w:rsidR="00F02AEC" w:rsidRPr="00215D48" w:rsidRDefault="00F02AEC" w:rsidP="00EB5622">
            <w:pPr>
              <w:pStyle w:val="Address"/>
              <w:jc w:val="center"/>
            </w:pPr>
          </w:p>
        </w:tc>
      </w:tr>
    </w:tbl>
    <w:p w14:paraId="54D4BFE2" w14:textId="77777777" w:rsidR="002216A7" w:rsidRDefault="00516B46"/>
    <w:sectPr w:rsidR="002216A7" w:rsidSect="00AE7C6A">
      <w:headerReference w:type="first" r:id="rId28"/>
      <w:footerReference w:type="first" r:id="rId29"/>
      <w:pgSz w:w="11906" w:h="16838" w:code="9"/>
      <w:pgMar w:top="13571" w:right="1701" w:bottom="567" w:left="1701" w:header="1134" w:footer="7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B50FC" w14:textId="77777777" w:rsidR="00DC3235" w:rsidRDefault="00DC3235" w:rsidP="00F02AEC">
      <w:pPr>
        <w:spacing w:after="0" w:line="240" w:lineRule="auto"/>
      </w:pPr>
      <w:r>
        <w:separator/>
      </w:r>
    </w:p>
  </w:endnote>
  <w:endnote w:type="continuationSeparator" w:id="0">
    <w:p w14:paraId="450F7365" w14:textId="77777777" w:rsidR="00DC3235" w:rsidRDefault="00DC3235" w:rsidP="00F02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0"/>
      <w:gridCol w:w="4360"/>
    </w:tblGrid>
    <w:tr w:rsidR="00F02AEC" w:rsidRPr="00257138" w14:paraId="406E5C1A" w14:textId="77777777" w:rsidTr="000B30E5">
      <w:trPr>
        <w:trHeight w:val="423"/>
      </w:trPr>
      <w:tc>
        <w:tcPr>
          <w:tcW w:w="4360" w:type="dxa"/>
          <w:tcBorders>
            <w:top w:val="single" w:sz="4" w:space="0" w:color="auto"/>
          </w:tcBorders>
        </w:tcPr>
        <w:p w14:paraId="7959A782" w14:textId="77777777" w:rsidR="00F02AEC" w:rsidRDefault="00F02AEC" w:rsidP="000B30E5">
          <w:pPr>
            <w:pStyle w:val="Footer"/>
          </w:pPr>
        </w:p>
        <w:p w14:paraId="7F7C1378" w14:textId="77777777" w:rsidR="00F02AEC" w:rsidRPr="00257138" w:rsidRDefault="00F02AEC" w:rsidP="00406DB9">
          <w:pPr>
            <w:pStyle w:val="Footer"/>
          </w:pPr>
          <w:r w:rsidRPr="00257138">
            <w:t>Document title</w:t>
          </w:r>
        </w:p>
      </w:tc>
      <w:tc>
        <w:tcPr>
          <w:tcW w:w="4360" w:type="dxa"/>
          <w:tcBorders>
            <w:top w:val="single" w:sz="4" w:space="0" w:color="auto"/>
          </w:tcBorders>
        </w:tcPr>
        <w:sdt>
          <w:sdtPr>
            <w:id w:val="1087729233"/>
            <w:docPartObj>
              <w:docPartGallery w:val="Page Numbers (Top of Page)"/>
              <w:docPartUnique/>
            </w:docPartObj>
          </w:sdtPr>
          <w:sdtEndPr/>
          <w:sdtContent>
            <w:p w14:paraId="5603DC80" w14:textId="77777777" w:rsidR="00F02AEC" w:rsidRDefault="00F02AEC" w:rsidP="000B30E5">
              <w:pPr>
                <w:pStyle w:val="Footer"/>
                <w:jc w:val="right"/>
              </w:pPr>
            </w:p>
            <w:p w14:paraId="6D2F08B8" w14:textId="77777777" w:rsidR="00F02AEC" w:rsidRPr="00257138" w:rsidRDefault="00F02AEC" w:rsidP="000B30E5">
              <w:pPr>
                <w:pStyle w:val="Footer"/>
                <w:jc w:val="right"/>
              </w:pPr>
              <w:r w:rsidRPr="00257138">
                <w:t xml:space="preserve">Page </w:t>
              </w:r>
              <w:r>
                <w:fldChar w:fldCharType="begin"/>
              </w:r>
              <w:r>
                <w:instrText xml:space="preserve"> PAGE </w:instrText>
              </w:r>
              <w:r>
                <w:fldChar w:fldCharType="separate"/>
              </w:r>
              <w:r>
                <w:rPr>
                  <w:noProof/>
                </w:rPr>
                <w:t>2</w:t>
              </w:r>
              <w:r>
                <w:rPr>
                  <w:noProof/>
                </w:rPr>
                <w:fldChar w:fldCharType="end"/>
              </w:r>
              <w:r w:rsidRPr="00257138">
                <w:t xml:space="preserve"> of </w:t>
              </w:r>
              <w:r w:rsidR="00516B46">
                <w:fldChar w:fldCharType="begin"/>
              </w:r>
              <w:r w:rsidR="00516B46">
                <w:instrText xml:space="preserve"> NUMPAGES  </w:instrText>
              </w:r>
              <w:r w:rsidR="00516B46">
                <w:fldChar w:fldCharType="separate"/>
              </w:r>
              <w:r>
                <w:rPr>
                  <w:noProof/>
                </w:rPr>
                <w:t>2</w:t>
              </w:r>
              <w:r w:rsidR="00516B46">
                <w:rPr>
                  <w:noProof/>
                </w:rPr>
                <w:fldChar w:fldCharType="end"/>
              </w:r>
            </w:p>
          </w:sdtContent>
        </w:sdt>
      </w:tc>
    </w:tr>
    <w:tr w:rsidR="00F02AEC" w:rsidRPr="00257138" w14:paraId="6DCA72DF" w14:textId="77777777" w:rsidTr="000B30E5">
      <w:trPr>
        <w:trHeight w:val="263"/>
      </w:trPr>
      <w:tc>
        <w:tcPr>
          <w:tcW w:w="4360" w:type="dxa"/>
        </w:tcPr>
        <w:p w14:paraId="64D02297" w14:textId="77777777" w:rsidR="00F02AEC" w:rsidRPr="00257138" w:rsidRDefault="00F02AEC" w:rsidP="000B30E5">
          <w:pPr>
            <w:pStyle w:val="Footer"/>
          </w:pPr>
          <w:r w:rsidRPr="00257138">
            <w:t xml:space="preserve">V1.0 </w:t>
          </w:r>
          <w:r>
            <w:t>Month</w:t>
          </w:r>
          <w:r w:rsidRPr="00257138">
            <w:t xml:space="preserve"> 201</w:t>
          </w:r>
          <w:r>
            <w:t>2</w:t>
          </w:r>
        </w:p>
      </w:tc>
      <w:tc>
        <w:tcPr>
          <w:tcW w:w="4360" w:type="dxa"/>
        </w:tcPr>
        <w:p w14:paraId="1FCBF032" w14:textId="77777777" w:rsidR="00F02AEC" w:rsidRPr="00257138" w:rsidRDefault="00F02AEC" w:rsidP="000B30E5">
          <w:pPr>
            <w:pStyle w:val="Footer"/>
            <w:jc w:val="right"/>
          </w:pPr>
        </w:p>
      </w:tc>
    </w:tr>
  </w:tbl>
  <w:p w14:paraId="0AA5C482" w14:textId="77777777" w:rsidR="00F02AEC" w:rsidRPr="00826007" w:rsidRDefault="00F02AEC" w:rsidP="000B30E5">
    <w:pPr>
      <w:pStyle w:val="Footer"/>
      <w:tabs>
        <w:tab w:val="left" w:pos="7620"/>
        <w:tab w:val="right" w:pos="8504"/>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1282C" w14:textId="77777777" w:rsidR="00F02AEC" w:rsidRDefault="00F02AEC" w:rsidP="00816164">
    <w:pPr>
      <w:pStyle w:val="Footer"/>
      <w:ind w:left="-1701"/>
    </w:pPr>
    <w:r w:rsidRPr="002B29B2">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0" w:type="dxa"/>
        <w:right w:w="0" w:type="dxa"/>
      </w:tblCellMar>
      <w:tblLook w:val="04A0" w:firstRow="1" w:lastRow="0" w:firstColumn="1" w:lastColumn="0" w:noHBand="0" w:noVBand="1"/>
    </w:tblPr>
    <w:tblGrid>
      <w:gridCol w:w="7338"/>
      <w:gridCol w:w="1734"/>
    </w:tblGrid>
    <w:tr w:rsidR="0096547A" w:rsidRPr="0096547A" w14:paraId="5AB0B0CB" w14:textId="77777777" w:rsidTr="00D3676D">
      <w:trPr>
        <w:trHeight w:val="423"/>
      </w:trPr>
      <w:tc>
        <w:tcPr>
          <w:tcW w:w="7338" w:type="dxa"/>
          <w:tcBorders>
            <w:top w:val="single" w:sz="4" w:space="0" w:color="auto"/>
          </w:tcBorders>
        </w:tcPr>
        <w:p w14:paraId="67F86B06" w14:textId="59387065" w:rsidR="00F02AEC" w:rsidRPr="00592932" w:rsidRDefault="002C46A1" w:rsidP="00F54CA9">
          <w:pPr>
            <w:pStyle w:val="Footer"/>
            <w:rPr>
              <w:color w:val="000000" w:themeColor="text1"/>
            </w:rPr>
          </w:pPr>
          <w:r w:rsidRPr="0096547A">
            <w:rPr>
              <w:color w:val="000000" w:themeColor="text1"/>
            </w:rPr>
            <w:t xml:space="preserve">Delegate’s </w:t>
          </w:r>
          <w:r w:rsidR="00652523">
            <w:rPr>
              <w:color w:val="000000" w:themeColor="text1"/>
            </w:rPr>
            <w:t>final</w:t>
          </w:r>
          <w:r w:rsidRPr="0096547A">
            <w:rPr>
              <w:color w:val="000000" w:themeColor="text1"/>
            </w:rPr>
            <w:t xml:space="preserve"> decision and reasons for the decision (Comfrey)</w:t>
          </w:r>
          <w:r w:rsidR="00F02AEC" w:rsidRPr="0096547A">
            <w:rPr>
              <w:color w:val="000000" w:themeColor="text1"/>
            </w:rPr>
            <w:t xml:space="preserve"> </w:t>
          </w:r>
          <w:r w:rsidR="00F02AEC" w:rsidRPr="0096547A">
            <w:rPr>
              <w:color w:val="000000" w:themeColor="text1"/>
            </w:rPr>
            <w:br/>
          </w:r>
          <w:r w:rsidR="00327166">
            <w:rPr>
              <w:color w:val="000000" w:themeColor="text1"/>
            </w:rPr>
            <w:t>October</w:t>
          </w:r>
          <w:r w:rsidRPr="0096547A">
            <w:rPr>
              <w:color w:val="000000" w:themeColor="text1"/>
            </w:rPr>
            <w:t xml:space="preserve"> 2023</w:t>
          </w:r>
        </w:p>
      </w:tc>
      <w:tc>
        <w:tcPr>
          <w:tcW w:w="1734" w:type="dxa"/>
          <w:tcBorders>
            <w:top w:val="single" w:sz="4" w:space="0" w:color="auto"/>
          </w:tcBorders>
        </w:tcPr>
        <w:sdt>
          <w:sdtPr>
            <w:rPr>
              <w:color w:val="000000" w:themeColor="text1"/>
            </w:rPr>
            <w:id w:val="11571659"/>
            <w:docPartObj>
              <w:docPartGallery w:val="Page Numbers (Top of Page)"/>
              <w:docPartUnique/>
            </w:docPartObj>
          </w:sdtPr>
          <w:sdtEndPr/>
          <w:sdtContent>
            <w:p w14:paraId="402EB3B3" w14:textId="77777777" w:rsidR="00F02AEC" w:rsidRPr="0096547A" w:rsidRDefault="00F02AEC" w:rsidP="00231E8D">
              <w:pPr>
                <w:pStyle w:val="Footer"/>
                <w:jc w:val="right"/>
                <w:rPr>
                  <w:color w:val="000000" w:themeColor="text1"/>
                </w:rPr>
              </w:pPr>
              <w:r w:rsidRPr="0096547A">
                <w:rPr>
                  <w:color w:val="000000" w:themeColor="text1"/>
                </w:rPr>
                <w:t xml:space="preserve">Page </w:t>
              </w:r>
              <w:r w:rsidRPr="0096547A">
                <w:rPr>
                  <w:color w:val="000000" w:themeColor="text1"/>
                </w:rPr>
                <w:fldChar w:fldCharType="begin"/>
              </w:r>
              <w:r w:rsidRPr="0096547A">
                <w:rPr>
                  <w:color w:val="000000" w:themeColor="text1"/>
                </w:rPr>
                <w:instrText xml:space="preserve"> PAGE </w:instrText>
              </w:r>
              <w:r w:rsidRPr="0096547A">
                <w:rPr>
                  <w:color w:val="000000" w:themeColor="text1"/>
                </w:rPr>
                <w:fldChar w:fldCharType="separate"/>
              </w:r>
              <w:r w:rsidRPr="0096547A">
                <w:rPr>
                  <w:noProof/>
                  <w:color w:val="000000" w:themeColor="text1"/>
                </w:rPr>
                <w:t>6</w:t>
              </w:r>
              <w:r w:rsidRPr="0096547A">
                <w:rPr>
                  <w:noProof/>
                  <w:color w:val="000000" w:themeColor="text1"/>
                </w:rPr>
                <w:fldChar w:fldCharType="end"/>
              </w:r>
              <w:r w:rsidRPr="0096547A">
                <w:rPr>
                  <w:color w:val="000000" w:themeColor="text1"/>
                </w:rPr>
                <w:t xml:space="preserve"> of </w:t>
              </w:r>
              <w:r w:rsidR="002C46A1" w:rsidRPr="0096547A">
                <w:rPr>
                  <w:color w:val="000000" w:themeColor="text1"/>
                </w:rPr>
                <w:fldChar w:fldCharType="begin"/>
              </w:r>
              <w:r w:rsidR="002C46A1" w:rsidRPr="0096547A">
                <w:rPr>
                  <w:color w:val="000000" w:themeColor="text1"/>
                </w:rPr>
                <w:instrText xml:space="preserve"> NUMPAGES  </w:instrText>
              </w:r>
              <w:r w:rsidR="002C46A1" w:rsidRPr="0096547A">
                <w:rPr>
                  <w:color w:val="000000" w:themeColor="text1"/>
                </w:rPr>
                <w:fldChar w:fldCharType="separate"/>
              </w:r>
              <w:r w:rsidRPr="0096547A">
                <w:rPr>
                  <w:noProof/>
                  <w:color w:val="000000" w:themeColor="text1"/>
                </w:rPr>
                <w:t>7</w:t>
              </w:r>
              <w:r w:rsidR="002C46A1" w:rsidRPr="0096547A">
                <w:rPr>
                  <w:noProof/>
                  <w:color w:val="000000" w:themeColor="text1"/>
                </w:rPr>
                <w:fldChar w:fldCharType="end"/>
              </w:r>
            </w:p>
          </w:sdtContent>
        </w:sdt>
      </w:tc>
    </w:tr>
  </w:tbl>
  <w:p w14:paraId="477B429F" w14:textId="77777777" w:rsidR="00F02AEC" w:rsidRPr="00826007" w:rsidRDefault="00F02AEC" w:rsidP="004A3084">
    <w:pPr>
      <w:pStyle w:val="Footer"/>
      <w:tabs>
        <w:tab w:val="left" w:pos="7620"/>
        <w:tab w:val="right" w:pos="8504"/>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CCA5E" w14:textId="77777777" w:rsidR="00A77452" w:rsidRPr="008E3C43" w:rsidRDefault="00516B46" w:rsidP="008E3C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3D8435" w14:textId="77777777" w:rsidR="00DC3235" w:rsidRDefault="00DC3235" w:rsidP="00F02AEC">
      <w:pPr>
        <w:spacing w:after="0" w:line="240" w:lineRule="auto"/>
      </w:pPr>
      <w:r>
        <w:separator/>
      </w:r>
    </w:p>
  </w:footnote>
  <w:footnote w:type="continuationSeparator" w:id="0">
    <w:p w14:paraId="012A9146" w14:textId="77777777" w:rsidR="00DC3235" w:rsidRDefault="00DC3235" w:rsidP="00F02AEC">
      <w:pPr>
        <w:spacing w:after="0" w:line="240" w:lineRule="auto"/>
      </w:pPr>
      <w:r>
        <w:continuationSeparator/>
      </w:r>
    </w:p>
  </w:footnote>
  <w:footnote w:id="1">
    <w:p w14:paraId="484F00F2" w14:textId="77777777" w:rsidR="00A02BDF" w:rsidRPr="0096547A" w:rsidRDefault="00A02BDF" w:rsidP="00A02BDF">
      <w:pPr>
        <w:pStyle w:val="FootnoteText"/>
        <w:rPr>
          <w:sz w:val="16"/>
          <w:szCs w:val="16"/>
        </w:rPr>
      </w:pPr>
      <w:r w:rsidRPr="0096547A">
        <w:rPr>
          <w:rStyle w:val="FootnoteReference"/>
          <w:color w:val="000000" w:themeColor="text1"/>
          <w:sz w:val="16"/>
          <w:szCs w:val="16"/>
        </w:rPr>
        <w:footnoteRef/>
      </w:r>
      <w:r w:rsidRPr="0096547A">
        <w:rPr>
          <w:color w:val="000000" w:themeColor="text1"/>
          <w:sz w:val="16"/>
          <w:szCs w:val="16"/>
        </w:rPr>
        <w:t xml:space="preserve"> Emphasis added. </w:t>
      </w:r>
    </w:p>
  </w:footnote>
  <w:footnote w:id="2">
    <w:p w14:paraId="19E42E51" w14:textId="77777777" w:rsidR="00A02BDF" w:rsidRPr="00013D85" w:rsidRDefault="00A02BDF" w:rsidP="00A02BDF">
      <w:pPr>
        <w:pStyle w:val="FootnoteText"/>
        <w:rPr>
          <w:rFonts w:asciiTheme="minorHAnsi" w:hAnsiTheme="minorHAnsi"/>
          <w:sz w:val="16"/>
          <w:szCs w:val="16"/>
        </w:rPr>
      </w:pPr>
      <w:r w:rsidRPr="007D6E4B">
        <w:rPr>
          <w:rStyle w:val="FootnoteReference"/>
          <w:sz w:val="16"/>
          <w:szCs w:val="16"/>
        </w:rPr>
        <w:footnoteRef/>
      </w:r>
      <w:hyperlink r:id="rId1" w:history="1">
        <w:r w:rsidRPr="00013D85">
          <w:rPr>
            <w:rStyle w:val="Hyperlink"/>
            <w:rFonts w:asciiTheme="minorHAnsi" w:hAnsiTheme="minorHAnsi"/>
            <w:sz w:val="16"/>
            <w:szCs w:val="16"/>
          </w:rPr>
          <w:t>COMFREY_-_AN_INVESTIGATION_CONCERNING_AN_ANCIENT_MEDICINAL_REMEDY_CJ_MACALISTER_MD1936.pdf (seleneriverpress.com)</w:t>
        </w:r>
      </w:hyperlink>
    </w:p>
  </w:footnote>
  <w:footnote w:id="3">
    <w:p w14:paraId="61D18A34" w14:textId="77777777" w:rsidR="00A02BDF" w:rsidRPr="00013D85" w:rsidRDefault="00A02BDF" w:rsidP="00A02BDF">
      <w:pPr>
        <w:pStyle w:val="FootnoteText"/>
        <w:rPr>
          <w:sz w:val="16"/>
          <w:szCs w:val="16"/>
        </w:rPr>
      </w:pPr>
      <w:r w:rsidRPr="00013D85">
        <w:rPr>
          <w:rStyle w:val="FootnoteReference"/>
          <w:sz w:val="16"/>
          <w:szCs w:val="16"/>
        </w:rPr>
        <w:footnoteRef/>
      </w:r>
      <w:r w:rsidRPr="00013D85">
        <w:rPr>
          <w:sz w:val="16"/>
          <w:szCs w:val="16"/>
        </w:rPr>
        <w:t xml:space="preserve"> </w:t>
      </w:r>
      <w:hyperlink r:id="rId2" w:history="1">
        <w:r w:rsidRPr="00013D85">
          <w:rPr>
            <w:rStyle w:val="Hyperlink"/>
            <w:sz w:val="16"/>
            <w:szCs w:val="16"/>
          </w:rPr>
          <w:t>Hepatotoxic Effects due to Pyrrolizidine Alkaloid N-Oxides: Xenobiotica: Vol 1, No 4-5 (tandfonline.com)</w:t>
        </w:r>
      </w:hyperlink>
    </w:p>
  </w:footnote>
  <w:footnote w:id="4">
    <w:p w14:paraId="3EAFD03F" w14:textId="77777777" w:rsidR="00A02BDF" w:rsidRDefault="00A02BDF" w:rsidP="00A02BDF">
      <w:pPr>
        <w:pStyle w:val="FootnoteText"/>
      </w:pPr>
      <w:r w:rsidRPr="00013D85">
        <w:rPr>
          <w:rStyle w:val="FootnoteReference"/>
          <w:sz w:val="16"/>
          <w:szCs w:val="16"/>
        </w:rPr>
        <w:footnoteRef/>
      </w:r>
      <w:r w:rsidRPr="00013D85">
        <w:rPr>
          <w:sz w:val="16"/>
          <w:szCs w:val="16"/>
        </w:rPr>
        <w:t xml:space="preserve"> </w:t>
      </w:r>
      <w:hyperlink r:id="rId3" w:history="1">
        <w:r w:rsidRPr="00013D85">
          <w:rPr>
            <w:rStyle w:val="Hyperlink"/>
            <w:sz w:val="16"/>
            <w:szCs w:val="16"/>
          </w:rPr>
          <w:t>https://www.nature.com/articles/217723a0</w:t>
        </w:r>
      </w:hyperlink>
      <w:r>
        <w:t xml:space="preserve"> </w:t>
      </w:r>
    </w:p>
  </w:footnote>
  <w:footnote w:id="5">
    <w:p w14:paraId="79D4D52E" w14:textId="77777777" w:rsidR="00A02BDF" w:rsidRPr="0096547A" w:rsidRDefault="00A02BDF" w:rsidP="00A02BDF">
      <w:pPr>
        <w:pStyle w:val="FootnoteText"/>
        <w:rPr>
          <w:sz w:val="16"/>
          <w:szCs w:val="16"/>
        </w:rPr>
      </w:pPr>
      <w:r w:rsidRPr="0096547A">
        <w:rPr>
          <w:rStyle w:val="FootnoteReference"/>
          <w:color w:val="000000" w:themeColor="text1"/>
          <w:sz w:val="16"/>
          <w:szCs w:val="16"/>
        </w:rPr>
        <w:footnoteRef/>
      </w:r>
      <w:r w:rsidRPr="0096547A">
        <w:rPr>
          <w:color w:val="000000" w:themeColor="text1"/>
          <w:sz w:val="16"/>
          <w:szCs w:val="16"/>
        </w:rPr>
        <w:t xml:space="preserve"> FDA archive </w:t>
      </w:r>
      <w:hyperlink r:id="rId4" w:history="1">
        <w:r w:rsidRPr="0096547A">
          <w:rPr>
            <w:rStyle w:val="Hyperlink"/>
            <w:sz w:val="16"/>
            <w:szCs w:val="16"/>
          </w:rPr>
          <w:t>http://wayback.archive-it.org/7993/20171114115012/https://www.fda.gov/Food/RecallsOutbreaksEmergencies/SafetyAlertsAdvisories/ucm111219.htm</w:t>
        </w:r>
      </w:hyperlink>
    </w:p>
  </w:footnote>
  <w:footnote w:id="6">
    <w:p w14:paraId="75032CCF" w14:textId="77777777" w:rsidR="00A02BDF" w:rsidRPr="007D6E4B" w:rsidRDefault="00A02BDF" w:rsidP="00A02BDF">
      <w:pPr>
        <w:pStyle w:val="FootnoteText"/>
        <w:rPr>
          <w:sz w:val="16"/>
          <w:szCs w:val="16"/>
        </w:rPr>
      </w:pPr>
      <w:r w:rsidRPr="00013D85">
        <w:rPr>
          <w:rStyle w:val="FootnoteReference"/>
          <w:sz w:val="16"/>
          <w:szCs w:val="16"/>
        </w:rPr>
        <w:footnoteRef/>
      </w:r>
      <w:hyperlink r:id="rId5" w:history="1">
        <w:r w:rsidRPr="00013D85">
          <w:rPr>
            <w:rStyle w:val="Hyperlink"/>
            <w:sz w:val="16"/>
            <w:szCs w:val="16"/>
          </w:rPr>
          <w:t>https://www.sciencedirect.com/science/article/pii/S0367326X20301015?via%3Dihub</w:t>
        </w:r>
      </w:hyperlink>
      <w:r w:rsidRPr="007D6E4B">
        <w:rPr>
          <w:sz w:val="16"/>
          <w:szCs w:val="16"/>
        </w:rPr>
        <w:t xml:space="preserve"> </w:t>
      </w:r>
    </w:p>
  </w:footnote>
  <w:footnote w:id="7">
    <w:p w14:paraId="15DAFF02" w14:textId="77777777" w:rsidR="00A02BDF" w:rsidRPr="00907680" w:rsidRDefault="00A02BDF" w:rsidP="00A02BDF">
      <w:pPr>
        <w:pStyle w:val="FootnoteText"/>
        <w:rPr>
          <w:color w:val="0D0D0D" w:themeColor="text1" w:themeTint="F2"/>
          <w:sz w:val="16"/>
          <w:szCs w:val="16"/>
        </w:rPr>
      </w:pPr>
      <w:r w:rsidRPr="00907680">
        <w:rPr>
          <w:rStyle w:val="FootnoteReference"/>
          <w:color w:val="0D0D0D" w:themeColor="text1" w:themeTint="F2"/>
          <w:sz w:val="16"/>
          <w:szCs w:val="16"/>
        </w:rPr>
        <w:footnoteRef/>
      </w:r>
      <w:r w:rsidRPr="00907680">
        <w:rPr>
          <w:color w:val="0D0D0D" w:themeColor="text1" w:themeTint="F2"/>
          <w:sz w:val="16"/>
          <w:szCs w:val="16"/>
        </w:rPr>
        <w:t>P.P. Fu, Q. Xia, G. Lin, M.W. Chou. Pyrrolizidine alkaloids—genotoxicity, metabolism enzymes, metabolic activation, and mechanisms Drug Metab. Rev., 36 (2004), pp. 1-55, 10.1081/dmr-120028426</w:t>
      </w:r>
    </w:p>
  </w:footnote>
  <w:footnote w:id="8">
    <w:p w14:paraId="0D75A24E" w14:textId="77777777" w:rsidR="00A02BDF" w:rsidRPr="00907680" w:rsidRDefault="00A02BDF" w:rsidP="00A02BDF">
      <w:pPr>
        <w:pStyle w:val="FootnoteText"/>
        <w:rPr>
          <w:color w:val="0D0D0D" w:themeColor="text1" w:themeTint="F2"/>
          <w:sz w:val="16"/>
          <w:szCs w:val="16"/>
        </w:rPr>
      </w:pPr>
      <w:r w:rsidRPr="00907680">
        <w:rPr>
          <w:rStyle w:val="FootnoteReference"/>
          <w:color w:val="0D0D0D" w:themeColor="text1" w:themeTint="F2"/>
          <w:sz w:val="16"/>
          <w:szCs w:val="16"/>
        </w:rPr>
        <w:footnoteRef/>
      </w:r>
      <w:r w:rsidRPr="00907680">
        <w:rPr>
          <w:color w:val="0D0D0D" w:themeColor="text1" w:themeTint="F2"/>
          <w:sz w:val="16"/>
          <w:szCs w:val="16"/>
        </w:rPr>
        <w:t>R. Moreira, D. Pereira, P. Valentão, P. Andrade. Pyrrolizidine alkaloids: chemistry, pharmacology, toxicology and food safety. Int. J. Mol. Sci., 19 (6) (2018), 10.3390/ijms19061668</w:t>
      </w:r>
    </w:p>
  </w:footnote>
  <w:footnote w:id="9">
    <w:p w14:paraId="74E0551D" w14:textId="77777777" w:rsidR="00A02BDF" w:rsidRPr="00907680" w:rsidRDefault="00A02BDF" w:rsidP="00A02BDF">
      <w:pPr>
        <w:pStyle w:val="FootnoteText"/>
        <w:rPr>
          <w:color w:val="0D0D0D" w:themeColor="text1" w:themeTint="F2"/>
        </w:rPr>
      </w:pPr>
      <w:r w:rsidRPr="00907680">
        <w:rPr>
          <w:rStyle w:val="FootnoteReference"/>
          <w:color w:val="0D0D0D" w:themeColor="text1" w:themeTint="F2"/>
          <w:sz w:val="16"/>
          <w:szCs w:val="16"/>
        </w:rPr>
        <w:footnoteRef/>
      </w:r>
      <w:r w:rsidRPr="00907680">
        <w:rPr>
          <w:color w:val="0D0D0D" w:themeColor="text1" w:themeTint="F2"/>
          <w:sz w:val="16"/>
          <w:szCs w:val="16"/>
        </w:rPr>
        <w:t>B. Dusemund, et al. Risk assessment of pyrrolizidine alkaloids in food of plant and animal origin Food Chem. Toxicol., 115 (2018), pp. 63-72</w:t>
      </w:r>
    </w:p>
  </w:footnote>
  <w:footnote w:id="10">
    <w:p w14:paraId="5D2E1E03" w14:textId="77777777" w:rsidR="00A02BDF" w:rsidRPr="00907680" w:rsidRDefault="00A02BDF" w:rsidP="00A02BDF">
      <w:pPr>
        <w:pStyle w:val="FootnoteText"/>
        <w:rPr>
          <w:color w:val="0D0D0D" w:themeColor="text1" w:themeTint="F2"/>
          <w:sz w:val="16"/>
          <w:szCs w:val="16"/>
        </w:rPr>
      </w:pPr>
      <w:r w:rsidRPr="00907680">
        <w:rPr>
          <w:rStyle w:val="FootnoteReference"/>
          <w:color w:val="0D0D0D" w:themeColor="text1" w:themeTint="F2"/>
          <w:sz w:val="16"/>
          <w:szCs w:val="16"/>
        </w:rPr>
        <w:footnoteRef/>
      </w:r>
      <w:r w:rsidRPr="00907680">
        <w:rPr>
          <w:color w:val="0D0D0D" w:themeColor="text1" w:themeTint="F2"/>
          <w:sz w:val="16"/>
          <w:szCs w:val="16"/>
        </w:rPr>
        <w:t>J.A. Edgar, S.M. Colegate, M. Boppré, R.J. Molyneux. Pyrrolizidine alkaloids in food: A spectrum of potential health consequences Food Addit. Contam. Part A Chem. Anal. Control Expo. Risk Assess., 28 (3) (2011), pp. 308-324</w:t>
      </w:r>
    </w:p>
  </w:footnote>
  <w:footnote w:id="11">
    <w:p w14:paraId="4D424942" w14:textId="77777777" w:rsidR="00A02BDF" w:rsidRPr="00907680" w:rsidRDefault="00A02BDF" w:rsidP="00A02BDF">
      <w:pPr>
        <w:pStyle w:val="FootnoteText"/>
        <w:rPr>
          <w:color w:val="0D0D0D" w:themeColor="text1" w:themeTint="F2"/>
        </w:rPr>
      </w:pPr>
      <w:r w:rsidRPr="00907680">
        <w:rPr>
          <w:rStyle w:val="FootnoteReference"/>
          <w:color w:val="0D0D0D" w:themeColor="text1" w:themeTint="F2"/>
          <w:sz w:val="16"/>
          <w:szCs w:val="16"/>
        </w:rPr>
        <w:footnoteRef/>
      </w:r>
      <w:r w:rsidRPr="00907680">
        <w:rPr>
          <w:color w:val="0D0D0D" w:themeColor="text1" w:themeTint="F2"/>
          <w:sz w:val="16"/>
          <w:szCs w:val="16"/>
        </w:rPr>
        <w:t>J.A. Edgar, R.J. Molyneux, S.M. Colegate. Pyrrolizidine alkaloids: potential role in the etiology of cancers, pulmonary hypertension, congenital anomalies, and liver disease. Chem. Res. Toxicol., 28 (1) (2015), pp. 4-20</w:t>
      </w:r>
    </w:p>
  </w:footnote>
  <w:footnote w:id="12">
    <w:p w14:paraId="03013F99" w14:textId="77777777" w:rsidR="00A02BDF" w:rsidRPr="00907680" w:rsidRDefault="00A02BDF" w:rsidP="00A02BDF">
      <w:pPr>
        <w:pStyle w:val="FootnoteText"/>
        <w:rPr>
          <w:rFonts w:cs="Arial"/>
          <w:color w:val="0D0D0D" w:themeColor="text1" w:themeTint="F2"/>
          <w:sz w:val="16"/>
          <w:szCs w:val="16"/>
        </w:rPr>
      </w:pPr>
      <w:r w:rsidRPr="00907680">
        <w:rPr>
          <w:rStyle w:val="FootnoteReference"/>
          <w:rFonts w:cs="Arial"/>
          <w:color w:val="0D0D0D" w:themeColor="text1" w:themeTint="F2"/>
          <w:sz w:val="16"/>
          <w:szCs w:val="16"/>
        </w:rPr>
        <w:footnoteRef/>
      </w:r>
      <w:r w:rsidRPr="00907680">
        <w:rPr>
          <w:rFonts w:cs="Arial"/>
          <w:color w:val="0D0D0D" w:themeColor="text1" w:themeTint="F2"/>
          <w:sz w:val="16"/>
          <w:szCs w:val="16"/>
        </w:rPr>
        <w:t xml:space="preserve"> A Symphytum officinale root extract exerts anti-inflammatory properties by affecting two distinct steps of NF-κB signaling. J. Seigner, et al. Front. Pharmacol., 10 (2019)</w:t>
      </w:r>
    </w:p>
  </w:footnote>
  <w:footnote w:id="13">
    <w:p w14:paraId="61F18328" w14:textId="77777777" w:rsidR="00A02BDF" w:rsidRPr="00907680" w:rsidRDefault="00A02BDF" w:rsidP="00A02BDF">
      <w:pPr>
        <w:pStyle w:val="FootnoteText"/>
        <w:rPr>
          <w:rFonts w:cs="Arial"/>
          <w:color w:val="0D0D0D" w:themeColor="text1" w:themeTint="F2"/>
          <w:sz w:val="16"/>
          <w:szCs w:val="16"/>
        </w:rPr>
      </w:pPr>
      <w:r w:rsidRPr="00907680">
        <w:rPr>
          <w:rStyle w:val="FootnoteReference"/>
          <w:rFonts w:cs="Arial"/>
          <w:color w:val="0D0D0D" w:themeColor="text1" w:themeTint="F2"/>
          <w:sz w:val="16"/>
          <w:szCs w:val="16"/>
        </w:rPr>
        <w:footnoteRef/>
      </w:r>
      <w:r w:rsidRPr="00907680">
        <w:rPr>
          <w:rFonts w:cs="Arial"/>
          <w:color w:val="0D0D0D" w:themeColor="text1" w:themeTint="F2"/>
          <w:sz w:val="16"/>
          <w:szCs w:val="16"/>
        </w:rPr>
        <w:t>Is comfrey root more than toxic pyrrolizidine alkaloids? Salvianolic acids among antioxidant polyphnols in comfrey (Symphytum officinale L.) roots A. Trifan et al. Food Chem. Toxicol., 112 (2018), pp. 178-187</w:t>
      </w:r>
    </w:p>
  </w:footnote>
  <w:footnote w:id="14">
    <w:p w14:paraId="094186AE" w14:textId="77777777" w:rsidR="00A02BDF" w:rsidRPr="007D6E4B" w:rsidRDefault="00A02BDF" w:rsidP="00A02BDF">
      <w:pPr>
        <w:pStyle w:val="FootnoteText"/>
        <w:rPr>
          <w:rFonts w:asciiTheme="minorHAnsi" w:hAnsiTheme="minorHAnsi"/>
          <w:sz w:val="16"/>
          <w:szCs w:val="16"/>
        </w:rPr>
      </w:pPr>
      <w:r w:rsidRPr="00907680">
        <w:rPr>
          <w:rStyle w:val="FootnoteReference"/>
          <w:rFonts w:cs="Arial"/>
          <w:color w:val="0D0D0D" w:themeColor="text1" w:themeTint="F2"/>
          <w:sz w:val="16"/>
          <w:szCs w:val="16"/>
        </w:rPr>
        <w:footnoteRef/>
      </w:r>
      <w:r w:rsidRPr="00907680">
        <w:rPr>
          <w:rFonts w:cs="Arial"/>
          <w:color w:val="0D0D0D" w:themeColor="text1" w:themeTint="F2"/>
          <w:sz w:val="16"/>
          <w:szCs w:val="16"/>
        </w:rPr>
        <w:t>Proliferative and antioxidant activity of Symphytum officinale root extract. I. Sowa, M. Wójciak-Kosior. Natural Product Research, 32 (5) (2018), pp. 605-609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9B3C8" w14:textId="77777777" w:rsidR="00F02AEC" w:rsidRPr="00CB0550" w:rsidRDefault="00F02AEC" w:rsidP="00CB0550">
    <w:pPr>
      <w:pStyle w:val="Header"/>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1" w:rightFromText="181" w:vertAnchor="page" w:horzAnchor="page" w:tblpX="1" w:tblpY="8999"/>
      <w:tblOverlap w:val="never"/>
      <w:tblW w:w="119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964"/>
    </w:tblGrid>
    <w:tr w:rsidR="00F02AEC" w:rsidRPr="002B29B2" w14:paraId="0AD88076" w14:textId="77777777" w:rsidTr="00F71E1E">
      <w:trPr>
        <w:trHeight w:hRule="exact" w:val="8845"/>
      </w:trPr>
      <w:tc>
        <w:tcPr>
          <w:tcW w:w="11964" w:type="dxa"/>
          <w:vAlign w:val="center"/>
        </w:tcPr>
        <w:p w14:paraId="38255271" w14:textId="1742B42F" w:rsidR="00F02AEC" w:rsidRPr="002B29B2" w:rsidRDefault="00F02AEC" w:rsidP="006A2426">
          <w:pPr>
            <w:ind w:left="-57"/>
            <w:rPr>
              <w:noProof/>
            </w:rPr>
          </w:pPr>
        </w:p>
      </w:tc>
    </w:tr>
  </w:tbl>
  <w:p w14:paraId="2EC4E651" w14:textId="77777777" w:rsidR="00F02AEC" w:rsidRDefault="00CB0550" w:rsidP="006D03E5">
    <w:pPr>
      <w:rPr>
        <w:noProof/>
      </w:rPr>
    </w:pPr>
    <w:r>
      <w:rPr>
        <w:noProof/>
        <w:lang w:eastAsia="en-AU"/>
      </w:rPr>
      <w:drawing>
        <wp:inline distT="0" distB="0" distL="0" distR="0" wp14:anchorId="07106103" wp14:editId="169307F7">
          <wp:extent cx="2676525" cy="621665"/>
          <wp:effectExtent l="0" t="0" r="9525" b="6985"/>
          <wp:docPr id="21" name="Picture 1" descr="Australian Government, Department of Health and Aged Care, Therapeutic Goods Administra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1" descr="Australian Government, Department of Health and Aged Care, Therapeutic Goods Administration "/>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676525" cy="621665"/>
                  </a:xfrm>
                  <a:prstGeom prst="rect">
                    <a:avLst/>
                  </a:prstGeom>
                  <a:noFill/>
                  <a:ln w="9525">
                    <a:noFill/>
                    <a:miter lim="800000"/>
                    <a:headEnd/>
                    <a:tailEnd/>
                  </a:ln>
                </pic:spPr>
              </pic:pic>
            </a:graphicData>
          </a:graphic>
        </wp:inline>
      </w:drawing>
    </w:r>
    <w:r w:rsidR="00F02AEC" w:rsidRPr="002B29B2">
      <w:rPr>
        <w:noProof/>
        <w:lang w:eastAsia="en-AU"/>
      </w:rPr>
      <w:drawing>
        <wp:anchor distT="0" distB="0" distL="114300" distR="114300" simplePos="0" relativeHeight="251660288" behindDoc="0" locked="0" layoutInCell="0" allowOverlap="1" wp14:anchorId="679D1589" wp14:editId="52102B93">
          <wp:simplePos x="0" y="0"/>
          <wp:positionH relativeFrom="page">
            <wp:align>left</wp:align>
          </wp:positionH>
          <wp:positionV relativeFrom="page">
            <wp:posOffset>3239495</wp:posOffset>
          </wp:positionV>
          <wp:extent cx="7663815" cy="4323091"/>
          <wp:effectExtent l="0" t="0" r="0" b="1270"/>
          <wp:wrapNone/>
          <wp:docPr id="22"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7663815" cy="4323091"/>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F171A" w14:textId="77777777" w:rsidR="00F02AEC" w:rsidRPr="0096547A" w:rsidRDefault="00F02AEC" w:rsidP="00C3408D">
    <w:pPr>
      <w:pStyle w:val="Header"/>
      <w:rPr>
        <w:color w:val="000000" w:themeColor="text1"/>
      </w:rPr>
    </w:pPr>
    <w:r w:rsidRPr="0096547A">
      <w:rPr>
        <w:color w:val="000000" w:themeColor="text1"/>
      </w:rPr>
      <w:t>Therapeutic Goods Administration</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7569F" w14:textId="77777777" w:rsidR="00A77452" w:rsidRPr="00FE501F" w:rsidRDefault="00516B46" w:rsidP="007F2054">
    <w:pPr>
      <w:pStyle w:val="Headernoli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53F11"/>
    <w:multiLevelType w:val="multilevel"/>
    <w:tmpl w:val="E58A81F0"/>
    <w:styleLink w:val="NumberBullet"/>
    <w:lvl w:ilvl="0">
      <w:start w:val="1"/>
      <w:numFmt w:val="decimal"/>
      <w:pStyle w:val="Numberbullet0"/>
      <w:lvlText w:val="%1."/>
      <w:lvlJc w:val="left"/>
      <w:pPr>
        <w:ind w:left="360" w:hanging="360"/>
      </w:pPr>
      <w:rPr>
        <w:rFonts w:ascii="Arial" w:hAnsi="Arial" w:hint="default"/>
      </w:rPr>
    </w:lvl>
    <w:lvl w:ilvl="1">
      <w:start w:val="1"/>
      <w:numFmt w:val="lowerLetter"/>
      <w:pStyle w:val="Numberbullet2"/>
      <w:lvlText w:val="%2."/>
      <w:lvlJc w:val="left"/>
      <w:pPr>
        <w:ind w:left="851" w:hanging="426"/>
      </w:pPr>
      <w:rPr>
        <w:rFonts w:hint="default"/>
      </w:rPr>
    </w:lvl>
    <w:lvl w:ilvl="2">
      <w:start w:val="1"/>
      <w:numFmt w:val="lowerRoman"/>
      <w:lvlText w:val="%3."/>
      <w:lvlJc w:val="left"/>
      <w:pPr>
        <w:ind w:left="1276" w:hanging="425"/>
      </w:pPr>
      <w:rPr>
        <w:rFonts w:hint="default"/>
      </w:rPr>
    </w:lvl>
    <w:lvl w:ilvl="3">
      <w:start w:val="1"/>
      <w:numFmt w:val="none"/>
      <w:lvlText w:val=""/>
      <w:lvlJc w:val="left"/>
      <w:pPr>
        <w:ind w:left="1276" w:hanging="425"/>
      </w:pPr>
      <w:rPr>
        <w:rFonts w:hint="default"/>
      </w:rPr>
    </w:lvl>
    <w:lvl w:ilvl="4">
      <w:start w:val="1"/>
      <w:numFmt w:val="none"/>
      <w:lvlText w:val=""/>
      <w:lvlJc w:val="left"/>
      <w:pPr>
        <w:ind w:left="1276" w:hanging="425"/>
      </w:pPr>
      <w:rPr>
        <w:rFonts w:hint="default"/>
      </w:rPr>
    </w:lvl>
    <w:lvl w:ilvl="5">
      <w:start w:val="1"/>
      <w:numFmt w:val="none"/>
      <w:lvlText w:val=""/>
      <w:lvlJc w:val="left"/>
      <w:pPr>
        <w:ind w:left="1276" w:hanging="425"/>
      </w:pPr>
      <w:rPr>
        <w:rFonts w:hint="default"/>
      </w:rPr>
    </w:lvl>
    <w:lvl w:ilvl="6">
      <w:start w:val="1"/>
      <w:numFmt w:val="none"/>
      <w:lvlText w:val="%7"/>
      <w:lvlJc w:val="left"/>
      <w:pPr>
        <w:ind w:left="1276" w:hanging="425"/>
      </w:pPr>
      <w:rPr>
        <w:rFonts w:hint="default"/>
      </w:rPr>
    </w:lvl>
    <w:lvl w:ilvl="7">
      <w:start w:val="1"/>
      <w:numFmt w:val="none"/>
      <w:lvlText w:val=""/>
      <w:lvlJc w:val="left"/>
      <w:pPr>
        <w:ind w:left="1276" w:hanging="425"/>
      </w:pPr>
      <w:rPr>
        <w:rFonts w:hint="default"/>
      </w:rPr>
    </w:lvl>
    <w:lvl w:ilvl="8">
      <w:start w:val="1"/>
      <w:numFmt w:val="none"/>
      <w:lvlText w:val=""/>
      <w:lvlJc w:val="left"/>
      <w:pPr>
        <w:ind w:left="1276" w:hanging="425"/>
      </w:pPr>
      <w:rPr>
        <w:rFonts w:hint="default"/>
      </w:rPr>
    </w:lvl>
  </w:abstractNum>
  <w:abstractNum w:abstractNumId="1" w15:restartNumberingAfterBreak="0">
    <w:nsid w:val="163F187C"/>
    <w:multiLevelType w:val="hybridMultilevel"/>
    <w:tmpl w:val="20409048"/>
    <w:lvl w:ilvl="0" w:tplc="669A989C">
      <w:start w:val="4"/>
      <w:numFmt w:val="bullet"/>
      <w:pStyle w:val="ListBullet3"/>
      <w:lvlText w:val="▪"/>
      <w:lvlJc w:val="left"/>
      <w:pPr>
        <w:ind w:left="1571" w:hanging="360"/>
      </w:pPr>
      <w:rPr>
        <w:rFonts w:ascii="Arial" w:eastAsia="Cambria" w:hAnsi="Aria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2" w15:restartNumberingAfterBreak="0">
    <w:nsid w:val="168F13E9"/>
    <w:multiLevelType w:val="multilevel"/>
    <w:tmpl w:val="BDCE1BCC"/>
    <w:styleLink w:val="ListBullets"/>
    <w:lvl w:ilvl="0">
      <w:start w:val="4"/>
      <w:numFmt w:val="bullet"/>
      <w:pStyle w:val="ListBullet"/>
      <w:lvlText w:val="•"/>
      <w:lvlJc w:val="left"/>
      <w:pPr>
        <w:ind w:left="360" w:hanging="360"/>
      </w:pPr>
      <w:rPr>
        <w:rFonts w:ascii="Cambria" w:eastAsia="Cambria" w:hAnsi="Cambria" w:hint="default"/>
      </w:rPr>
    </w:lvl>
    <w:lvl w:ilvl="1">
      <w:start w:val="1"/>
      <w:numFmt w:val="bullet"/>
      <w:pStyle w:val="ListBullet2"/>
      <w:lvlText w:val="–"/>
      <w:lvlJc w:val="left"/>
      <w:pPr>
        <w:ind w:left="720" w:hanging="360"/>
      </w:pPr>
      <w:rPr>
        <w:rFonts w:ascii="Arial" w:hAnsi="Arial" w:hint="default"/>
      </w:rPr>
    </w:lvl>
    <w:lvl w:ilvl="2">
      <w:start w:val="1"/>
      <w:numFmt w:val="bullet"/>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 w15:restartNumberingAfterBreak="0">
    <w:nsid w:val="23FB1C56"/>
    <w:multiLevelType w:val="multilevel"/>
    <w:tmpl w:val="339EBC96"/>
    <w:lvl w:ilvl="0">
      <w:start w:val="1"/>
      <w:numFmt w:val="bullet"/>
      <w:pStyle w:val="ListBullet-dotick"/>
      <w:lvlText w:val=""/>
      <w:lvlJc w:val="left"/>
      <w:pPr>
        <w:ind w:left="360" w:hanging="360"/>
      </w:pPr>
      <w:rPr>
        <w:rFonts w:ascii="Wingdings" w:hAnsi="Wingdings" w:hint="default"/>
        <w:b/>
        <w:i w:val="0"/>
        <w:color w:val="00B050"/>
        <w:sz w:val="24"/>
      </w:rPr>
    </w:lvl>
    <w:lvl w:ilvl="1">
      <w:start w:val="1"/>
      <w:numFmt w:val="bullet"/>
      <w:lvlText w:val="–"/>
      <w:lvlJc w:val="left"/>
      <w:pPr>
        <w:ind w:left="720" w:hanging="360"/>
      </w:pPr>
      <w:rPr>
        <w:rFonts w:ascii="Arial" w:hAnsi="Arial" w:cs="Times New Roman" w:hint="default"/>
      </w:rPr>
    </w:lvl>
    <w:lvl w:ilvl="2">
      <w:start w:val="1"/>
      <w:numFmt w:val="bullet"/>
      <w:lvlText w:val=""/>
      <w:lvlJc w:val="left"/>
      <w:pPr>
        <w:ind w:left="1080" w:hanging="360"/>
      </w:pPr>
      <w:rPr>
        <w:rFonts w:ascii="Wingdings" w:hAnsi="Wingdings" w:hint="default"/>
      </w:rPr>
    </w:lvl>
    <w:lvl w:ilvl="3">
      <w:start w:val="1"/>
      <w:numFmt w:val="none"/>
      <w:lvlText w:val=""/>
      <w:lvlJc w:val="left"/>
      <w:pPr>
        <w:ind w:left="1440" w:hanging="360"/>
      </w:pPr>
    </w:lvl>
    <w:lvl w:ilvl="4">
      <w:start w:val="1"/>
      <w:numFmt w:val="none"/>
      <w:lvlText w:val=""/>
      <w:lvlJc w:val="left"/>
      <w:pPr>
        <w:ind w:left="1800" w:hanging="360"/>
      </w:pPr>
    </w:lvl>
    <w:lvl w:ilvl="5">
      <w:start w:val="1"/>
      <w:numFmt w:val="none"/>
      <w:lvlText w:val=""/>
      <w:lvlJc w:val="left"/>
      <w:pPr>
        <w:ind w:left="2160" w:hanging="360"/>
      </w:pPr>
    </w:lvl>
    <w:lvl w:ilvl="6">
      <w:start w:val="1"/>
      <w:numFmt w:val="none"/>
      <w:lvlText w:val="%7"/>
      <w:lvlJc w:val="left"/>
      <w:pPr>
        <w:ind w:left="2520" w:hanging="360"/>
      </w:pPr>
    </w:lvl>
    <w:lvl w:ilvl="7">
      <w:start w:val="1"/>
      <w:numFmt w:val="none"/>
      <w:lvlText w:val="%8"/>
      <w:lvlJc w:val="left"/>
      <w:pPr>
        <w:ind w:left="2880" w:hanging="360"/>
      </w:pPr>
    </w:lvl>
    <w:lvl w:ilvl="8">
      <w:start w:val="1"/>
      <w:numFmt w:val="none"/>
      <w:lvlText w:val="%9"/>
      <w:lvlJc w:val="left"/>
      <w:pPr>
        <w:ind w:left="3240" w:hanging="360"/>
      </w:pPr>
    </w:lvl>
  </w:abstractNum>
  <w:abstractNum w:abstractNumId="4" w15:restartNumberingAfterBreak="0">
    <w:nsid w:val="276B6AB9"/>
    <w:multiLevelType w:val="hybridMultilevel"/>
    <w:tmpl w:val="183C316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F7912C9"/>
    <w:multiLevelType w:val="multilevel"/>
    <w:tmpl w:val="D6F4F1DE"/>
    <w:lvl w:ilvl="0">
      <w:start w:val="1"/>
      <w:numFmt w:val="bullet"/>
      <w:pStyle w:val="ListBullet-donotcross"/>
      <w:lvlText w:val=""/>
      <w:lvlJc w:val="left"/>
      <w:pPr>
        <w:ind w:left="785" w:hanging="360"/>
      </w:pPr>
      <w:rPr>
        <w:rFonts w:ascii="Wingdings" w:hAnsi="Wingdings" w:hint="default"/>
        <w:b/>
        <w:i w:val="0"/>
        <w:color w:val="800000"/>
        <w:sz w:val="26"/>
        <w:szCs w:val="22"/>
      </w:rPr>
    </w:lvl>
    <w:lvl w:ilvl="1">
      <w:start w:val="1"/>
      <w:numFmt w:val="bullet"/>
      <w:lvlText w:val="–"/>
      <w:lvlJc w:val="left"/>
      <w:pPr>
        <w:ind w:left="720" w:hanging="360"/>
      </w:pPr>
      <w:rPr>
        <w:rFonts w:ascii="Arial" w:hAnsi="Arial" w:cs="Times New Roman" w:hint="default"/>
      </w:rPr>
    </w:lvl>
    <w:lvl w:ilvl="2">
      <w:start w:val="1"/>
      <w:numFmt w:val="bullet"/>
      <w:lvlText w:val=""/>
      <w:lvlJc w:val="left"/>
      <w:pPr>
        <w:ind w:left="1080" w:hanging="360"/>
      </w:pPr>
      <w:rPr>
        <w:rFonts w:ascii="Wingdings" w:hAnsi="Wingdings" w:hint="default"/>
      </w:rPr>
    </w:lvl>
    <w:lvl w:ilvl="3">
      <w:start w:val="1"/>
      <w:numFmt w:val="none"/>
      <w:lvlText w:val=""/>
      <w:lvlJc w:val="left"/>
      <w:pPr>
        <w:ind w:left="1440" w:hanging="360"/>
      </w:pPr>
    </w:lvl>
    <w:lvl w:ilvl="4">
      <w:start w:val="1"/>
      <w:numFmt w:val="none"/>
      <w:lvlText w:val=""/>
      <w:lvlJc w:val="left"/>
      <w:pPr>
        <w:ind w:left="1800" w:hanging="360"/>
      </w:pPr>
    </w:lvl>
    <w:lvl w:ilvl="5">
      <w:start w:val="1"/>
      <w:numFmt w:val="none"/>
      <w:lvlText w:val=""/>
      <w:lvlJc w:val="left"/>
      <w:pPr>
        <w:ind w:left="2160" w:hanging="360"/>
      </w:pPr>
    </w:lvl>
    <w:lvl w:ilvl="6">
      <w:start w:val="1"/>
      <w:numFmt w:val="none"/>
      <w:lvlText w:val="%7"/>
      <w:lvlJc w:val="left"/>
      <w:pPr>
        <w:ind w:left="2520" w:hanging="360"/>
      </w:pPr>
    </w:lvl>
    <w:lvl w:ilvl="7">
      <w:start w:val="1"/>
      <w:numFmt w:val="none"/>
      <w:lvlText w:val="%8"/>
      <w:lvlJc w:val="left"/>
      <w:pPr>
        <w:ind w:left="2880" w:hanging="360"/>
      </w:pPr>
    </w:lvl>
    <w:lvl w:ilvl="8">
      <w:start w:val="1"/>
      <w:numFmt w:val="none"/>
      <w:lvlText w:val="%9"/>
      <w:lvlJc w:val="left"/>
      <w:pPr>
        <w:ind w:left="3240" w:hanging="360"/>
      </w:pPr>
    </w:lvl>
  </w:abstractNum>
  <w:abstractNum w:abstractNumId="6" w15:restartNumberingAfterBreak="0">
    <w:nsid w:val="50336B0D"/>
    <w:multiLevelType w:val="hybridMultilevel"/>
    <w:tmpl w:val="5D54CD1A"/>
    <w:lvl w:ilvl="0" w:tplc="4EDE096A">
      <w:start w:val="1"/>
      <w:numFmt w:val="lowerRoman"/>
      <w:pStyle w:val="Numberbullet3"/>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6E6C6920"/>
    <w:multiLevelType w:val="hybridMultilevel"/>
    <w:tmpl w:val="90C443BC"/>
    <w:lvl w:ilvl="0" w:tplc="5426AD4A">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057239154">
    <w:abstractNumId w:val="2"/>
  </w:num>
  <w:num w:numId="2" w16cid:durableId="805465562">
    <w:abstractNumId w:val="0"/>
  </w:num>
  <w:num w:numId="3" w16cid:durableId="1243176117">
    <w:abstractNumId w:val="1"/>
  </w:num>
  <w:num w:numId="4" w16cid:durableId="915168822">
    <w:abstractNumId w:val="6"/>
  </w:num>
  <w:num w:numId="5" w16cid:durableId="1704398109">
    <w:abstractNumId w:val="3"/>
  </w:num>
  <w:num w:numId="6" w16cid:durableId="1163160075">
    <w:abstractNumId w:val="5"/>
  </w:num>
  <w:num w:numId="7" w16cid:durableId="2058508751">
    <w:abstractNumId w:val="4"/>
  </w:num>
  <w:num w:numId="8" w16cid:durableId="206406436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6A1"/>
    <w:rsid w:val="00005A6A"/>
    <w:rsid w:val="00035C91"/>
    <w:rsid w:val="00094B81"/>
    <w:rsid w:val="000D57D5"/>
    <w:rsid w:val="000E47B0"/>
    <w:rsid w:val="0012473C"/>
    <w:rsid w:val="001502A3"/>
    <w:rsid w:val="00154B49"/>
    <w:rsid w:val="001735EA"/>
    <w:rsid w:val="00175CD8"/>
    <w:rsid w:val="001B4395"/>
    <w:rsid w:val="001C03C5"/>
    <w:rsid w:val="001F0FF1"/>
    <w:rsid w:val="00217E27"/>
    <w:rsid w:val="002453CD"/>
    <w:rsid w:val="00296F3F"/>
    <w:rsid w:val="002971EC"/>
    <w:rsid w:val="002A119D"/>
    <w:rsid w:val="002C46A1"/>
    <w:rsid w:val="002E4A30"/>
    <w:rsid w:val="003008D8"/>
    <w:rsid w:val="00305E06"/>
    <w:rsid w:val="003130F6"/>
    <w:rsid w:val="003236BD"/>
    <w:rsid w:val="003249B8"/>
    <w:rsid w:val="00327166"/>
    <w:rsid w:val="0035444D"/>
    <w:rsid w:val="003778B1"/>
    <w:rsid w:val="0038509F"/>
    <w:rsid w:val="0039777D"/>
    <w:rsid w:val="003B0DA6"/>
    <w:rsid w:val="003B5D5E"/>
    <w:rsid w:val="003D7AF1"/>
    <w:rsid w:val="003E0EC7"/>
    <w:rsid w:val="00403380"/>
    <w:rsid w:val="00403FA3"/>
    <w:rsid w:val="004246B8"/>
    <w:rsid w:val="004705BA"/>
    <w:rsid w:val="004A60C8"/>
    <w:rsid w:val="004B1847"/>
    <w:rsid w:val="004E1096"/>
    <w:rsid w:val="00507FDD"/>
    <w:rsid w:val="00516B46"/>
    <w:rsid w:val="00520468"/>
    <w:rsid w:val="00530D53"/>
    <w:rsid w:val="00542FD5"/>
    <w:rsid w:val="0058575E"/>
    <w:rsid w:val="00586E1F"/>
    <w:rsid w:val="00592932"/>
    <w:rsid w:val="005D38E1"/>
    <w:rsid w:val="005E6C38"/>
    <w:rsid w:val="00613DA1"/>
    <w:rsid w:val="00621083"/>
    <w:rsid w:val="00631C28"/>
    <w:rsid w:val="00651D40"/>
    <w:rsid w:val="00652523"/>
    <w:rsid w:val="006A1F0B"/>
    <w:rsid w:val="006A6129"/>
    <w:rsid w:val="006C0BFE"/>
    <w:rsid w:val="006E1036"/>
    <w:rsid w:val="00706EB5"/>
    <w:rsid w:val="0074600A"/>
    <w:rsid w:val="00746990"/>
    <w:rsid w:val="007F0A77"/>
    <w:rsid w:val="00814F1A"/>
    <w:rsid w:val="008329DB"/>
    <w:rsid w:val="0083433F"/>
    <w:rsid w:val="008B03F6"/>
    <w:rsid w:val="00907680"/>
    <w:rsid w:val="0091633B"/>
    <w:rsid w:val="00930D58"/>
    <w:rsid w:val="00936161"/>
    <w:rsid w:val="0096547A"/>
    <w:rsid w:val="00987759"/>
    <w:rsid w:val="009E159A"/>
    <w:rsid w:val="00A02BDF"/>
    <w:rsid w:val="00A20B2A"/>
    <w:rsid w:val="00A86523"/>
    <w:rsid w:val="00A94D60"/>
    <w:rsid w:val="00A96A26"/>
    <w:rsid w:val="00AB106D"/>
    <w:rsid w:val="00AB7CBF"/>
    <w:rsid w:val="00AE609B"/>
    <w:rsid w:val="00B46BC0"/>
    <w:rsid w:val="00B81000"/>
    <w:rsid w:val="00B975D6"/>
    <w:rsid w:val="00BB2E4D"/>
    <w:rsid w:val="00BE539E"/>
    <w:rsid w:val="00BF2A43"/>
    <w:rsid w:val="00C14BE7"/>
    <w:rsid w:val="00C159C9"/>
    <w:rsid w:val="00C3110A"/>
    <w:rsid w:val="00C41296"/>
    <w:rsid w:val="00C46484"/>
    <w:rsid w:val="00C71EA5"/>
    <w:rsid w:val="00C92FEF"/>
    <w:rsid w:val="00CB0550"/>
    <w:rsid w:val="00CB6221"/>
    <w:rsid w:val="00CB6F4F"/>
    <w:rsid w:val="00D02E1F"/>
    <w:rsid w:val="00D078BE"/>
    <w:rsid w:val="00D13F8A"/>
    <w:rsid w:val="00D3676D"/>
    <w:rsid w:val="00D42C8C"/>
    <w:rsid w:val="00D513CD"/>
    <w:rsid w:val="00D7354E"/>
    <w:rsid w:val="00D918D5"/>
    <w:rsid w:val="00DA1907"/>
    <w:rsid w:val="00DC3235"/>
    <w:rsid w:val="00DC69F7"/>
    <w:rsid w:val="00DE34B6"/>
    <w:rsid w:val="00DE4DD3"/>
    <w:rsid w:val="00E20867"/>
    <w:rsid w:val="00E25E80"/>
    <w:rsid w:val="00E4423B"/>
    <w:rsid w:val="00E53D3F"/>
    <w:rsid w:val="00E864F9"/>
    <w:rsid w:val="00EC6944"/>
    <w:rsid w:val="00F02AEC"/>
    <w:rsid w:val="00F6306E"/>
    <w:rsid w:val="00F63978"/>
    <w:rsid w:val="00F7593C"/>
    <w:rsid w:val="00F859C2"/>
    <w:rsid w:val="00FA33C6"/>
    <w:rsid w:val="00FA49C3"/>
    <w:rsid w:val="00FB49E5"/>
    <w:rsid w:val="00FC4119"/>
    <w:rsid w:val="00FC5F3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994CC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AU" w:eastAsia="en-US" w:bidi="ar-SA"/>
      </w:rPr>
    </w:rPrDefault>
    <w:pPrDefault>
      <w:pPr>
        <w:spacing w:after="12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6990"/>
  </w:style>
  <w:style w:type="paragraph" w:styleId="Heading2">
    <w:name w:val="heading 2"/>
    <w:basedOn w:val="Normal"/>
    <w:next w:val="Normal"/>
    <w:link w:val="Heading2Char"/>
    <w:qFormat/>
    <w:rsid w:val="00F02AEC"/>
    <w:pPr>
      <w:keepNext/>
      <w:keepLines/>
      <w:spacing w:before="480" w:line="240" w:lineRule="atLeast"/>
      <w:outlineLvl w:val="1"/>
    </w:pPr>
    <w:rPr>
      <w:rFonts w:ascii="Arial" w:eastAsia="Times New Roman" w:hAnsi="Arial" w:cs="Times New Roman"/>
      <w:b/>
      <w:bCs/>
      <w:color w:val="001871"/>
      <w:sz w:val="38"/>
      <w:szCs w:val="38"/>
    </w:rPr>
  </w:style>
  <w:style w:type="paragraph" w:styleId="Heading3">
    <w:name w:val="heading 3"/>
    <w:basedOn w:val="Normal"/>
    <w:next w:val="Normal"/>
    <w:link w:val="Heading3Char"/>
    <w:qFormat/>
    <w:rsid w:val="00F02AEC"/>
    <w:pPr>
      <w:keepNext/>
      <w:keepLines/>
      <w:spacing w:before="480" w:line="240" w:lineRule="atLeast"/>
      <w:outlineLvl w:val="2"/>
    </w:pPr>
    <w:rPr>
      <w:rFonts w:ascii="Arial" w:eastAsia="Times New Roman" w:hAnsi="Arial" w:cs="Times New Roman"/>
      <w:b/>
      <w:bCs/>
      <w:color w:val="001871"/>
      <w:sz w:val="32"/>
      <w:szCs w:val="32"/>
    </w:rPr>
  </w:style>
  <w:style w:type="paragraph" w:styleId="Heading4">
    <w:name w:val="heading 4"/>
    <w:basedOn w:val="Normal"/>
    <w:next w:val="Normal"/>
    <w:link w:val="Heading4Char"/>
    <w:qFormat/>
    <w:rsid w:val="00F02AEC"/>
    <w:pPr>
      <w:keepNext/>
      <w:keepLines/>
      <w:spacing w:before="360" w:line="240" w:lineRule="atLeast"/>
      <w:outlineLvl w:val="3"/>
    </w:pPr>
    <w:rPr>
      <w:rFonts w:ascii="Arial" w:eastAsia="Cambria" w:hAnsi="Arial" w:cs="Times New Roman"/>
      <w:b/>
      <w:bCs/>
      <w:color w:val="001871"/>
      <w:sz w:val="28"/>
      <w:szCs w:val="26"/>
    </w:rPr>
  </w:style>
  <w:style w:type="paragraph" w:styleId="Heading5">
    <w:name w:val="heading 5"/>
    <w:basedOn w:val="Normal"/>
    <w:next w:val="Normal"/>
    <w:link w:val="Heading5Char"/>
    <w:uiPriority w:val="9"/>
    <w:rsid w:val="00F02AEC"/>
    <w:pPr>
      <w:keepNext/>
      <w:keepLines/>
      <w:spacing w:before="240" w:line="240" w:lineRule="atLeast"/>
      <w:outlineLvl w:val="4"/>
    </w:pPr>
    <w:rPr>
      <w:rFonts w:ascii="Arial" w:eastAsia="Times New Roman" w:hAnsi="Arial" w:cs="Times New Roman"/>
      <w:b/>
      <w:bCs/>
      <w:i/>
      <w:color w:val="001871"/>
      <w:sz w:val="26"/>
      <w:szCs w:val="26"/>
    </w:rPr>
  </w:style>
  <w:style w:type="paragraph" w:styleId="Heading6">
    <w:name w:val="heading 6"/>
    <w:basedOn w:val="Normal"/>
    <w:next w:val="Normal"/>
    <w:link w:val="Heading6Char"/>
    <w:uiPriority w:val="9"/>
    <w:rsid w:val="00F02AEC"/>
    <w:pPr>
      <w:keepNext/>
      <w:keepLines/>
      <w:spacing w:before="240" w:line="240" w:lineRule="atLeast"/>
      <w:outlineLvl w:val="5"/>
    </w:pPr>
    <w:rPr>
      <w:rFonts w:ascii="Arial" w:eastAsia="Times New Roman" w:hAnsi="Arial" w:cs="Times New Roman"/>
      <w:b/>
      <w:bCs/>
      <w:i/>
      <w:color w:val="001871"/>
      <w:sz w:val="24"/>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TGAblue2023">
    <w:name w:val="Table TGA blue 2023"/>
    <w:basedOn w:val="TableNormal"/>
    <w:uiPriority w:val="99"/>
    <w:qFormat/>
    <w:rsid w:val="008329DB"/>
    <w:pPr>
      <w:spacing w:before="80" w:after="40" w:line="264" w:lineRule="auto"/>
      <w:ind w:left="113"/>
    </w:pPr>
    <w:rPr>
      <w:rFonts w:ascii="Arial" w:eastAsia="Cambria" w:hAnsi="Arial" w:cs="Times New Roman"/>
      <w:color w:val="000000"/>
      <w:sz w:val="18"/>
      <w:szCs w:val="21"/>
      <w:lang w:eastAsia="en-AU"/>
    </w:rPr>
    <w:tblPr>
      <w:tblBorders>
        <w:top w:val="single" w:sz="4" w:space="0" w:color="263287"/>
        <w:left w:val="single" w:sz="4" w:space="0" w:color="263287"/>
        <w:bottom w:val="single" w:sz="4" w:space="0" w:color="263287"/>
        <w:right w:val="single" w:sz="4" w:space="0" w:color="263287"/>
        <w:insideH w:val="single" w:sz="4" w:space="0" w:color="263287"/>
        <w:insideV w:val="single" w:sz="4" w:space="0" w:color="263287"/>
      </w:tblBorders>
    </w:tblPr>
    <w:trPr>
      <w:cantSplit/>
    </w:trPr>
    <w:tcPr>
      <w:shd w:val="clear" w:color="auto" w:fill="FFFFFF" w:themeFill="background1"/>
    </w:tcPr>
    <w:tblStylePr w:type="firstRow">
      <w:pPr>
        <w:keepNext/>
        <w:wordWrap/>
      </w:pPr>
      <w:rPr>
        <w:rFonts w:ascii="Arial" w:hAnsi="Arial"/>
        <w:b/>
        <w:color w:val="263287"/>
        <w:sz w:val="22"/>
      </w:rPr>
      <w:tblPr/>
      <w:trPr>
        <w:tblHeader/>
      </w:trPr>
      <w:tcPr>
        <w:shd w:val="clear" w:color="auto" w:fill="DEEAF6" w:themeFill="accent5" w:themeFillTint="33"/>
      </w:tcPr>
    </w:tblStylePr>
    <w:tblStylePr w:type="firstCol">
      <w:pPr>
        <w:keepNext w:val="0"/>
        <w:wordWrap/>
      </w:pPr>
    </w:tblStylePr>
  </w:style>
  <w:style w:type="character" w:customStyle="1" w:styleId="Heading2Char">
    <w:name w:val="Heading 2 Char"/>
    <w:basedOn w:val="DefaultParagraphFont"/>
    <w:link w:val="Heading2"/>
    <w:rsid w:val="00F02AEC"/>
    <w:rPr>
      <w:rFonts w:ascii="Arial" w:eastAsia="Times New Roman" w:hAnsi="Arial" w:cs="Times New Roman"/>
      <w:b/>
      <w:bCs/>
      <w:color w:val="001871"/>
      <w:sz w:val="38"/>
      <w:szCs w:val="38"/>
    </w:rPr>
  </w:style>
  <w:style w:type="character" w:customStyle="1" w:styleId="Heading3Char">
    <w:name w:val="Heading 3 Char"/>
    <w:basedOn w:val="DefaultParagraphFont"/>
    <w:link w:val="Heading3"/>
    <w:rsid w:val="00F02AEC"/>
    <w:rPr>
      <w:rFonts w:ascii="Arial" w:eastAsia="Times New Roman" w:hAnsi="Arial" w:cs="Times New Roman"/>
      <w:b/>
      <w:bCs/>
      <w:color w:val="001871"/>
      <w:sz w:val="32"/>
      <w:szCs w:val="32"/>
    </w:rPr>
  </w:style>
  <w:style w:type="character" w:customStyle="1" w:styleId="Heading4Char">
    <w:name w:val="Heading 4 Char"/>
    <w:basedOn w:val="DefaultParagraphFont"/>
    <w:link w:val="Heading4"/>
    <w:rsid w:val="00F02AEC"/>
    <w:rPr>
      <w:rFonts w:ascii="Arial" w:eastAsia="Cambria" w:hAnsi="Arial" w:cs="Times New Roman"/>
      <w:b/>
      <w:bCs/>
      <w:color w:val="001871"/>
      <w:sz w:val="28"/>
      <w:szCs w:val="26"/>
    </w:rPr>
  </w:style>
  <w:style w:type="character" w:customStyle="1" w:styleId="Heading5Char">
    <w:name w:val="Heading 5 Char"/>
    <w:basedOn w:val="DefaultParagraphFont"/>
    <w:link w:val="Heading5"/>
    <w:uiPriority w:val="9"/>
    <w:rsid w:val="00F02AEC"/>
    <w:rPr>
      <w:rFonts w:ascii="Arial" w:eastAsia="Times New Roman" w:hAnsi="Arial" w:cs="Times New Roman"/>
      <w:b/>
      <w:bCs/>
      <w:i/>
      <w:color w:val="001871"/>
      <w:sz w:val="26"/>
      <w:szCs w:val="26"/>
    </w:rPr>
  </w:style>
  <w:style w:type="character" w:customStyle="1" w:styleId="Heading6Char">
    <w:name w:val="Heading 6 Char"/>
    <w:basedOn w:val="DefaultParagraphFont"/>
    <w:link w:val="Heading6"/>
    <w:uiPriority w:val="9"/>
    <w:rsid w:val="00F02AEC"/>
    <w:rPr>
      <w:rFonts w:ascii="Arial" w:eastAsia="Times New Roman" w:hAnsi="Arial" w:cs="Times New Roman"/>
      <w:b/>
      <w:bCs/>
      <w:i/>
      <w:color w:val="001871"/>
      <w:sz w:val="24"/>
      <w:szCs w:val="21"/>
    </w:rPr>
  </w:style>
  <w:style w:type="paragraph" w:styleId="Date">
    <w:name w:val="Date"/>
    <w:basedOn w:val="Normal"/>
    <w:next w:val="Normal"/>
    <w:link w:val="DateChar"/>
    <w:uiPriority w:val="99"/>
    <w:rsid w:val="00F02AEC"/>
    <w:pPr>
      <w:spacing w:before="120" w:after="0" w:line="240" w:lineRule="atLeast"/>
    </w:pPr>
    <w:rPr>
      <w:rFonts w:ascii="Arial" w:eastAsia="Cambria" w:hAnsi="Arial" w:cs="Times New Roman"/>
      <w:color w:val="333F4A"/>
      <w:sz w:val="28"/>
    </w:rPr>
  </w:style>
  <w:style w:type="character" w:customStyle="1" w:styleId="DateChar">
    <w:name w:val="Date Char"/>
    <w:basedOn w:val="DefaultParagraphFont"/>
    <w:link w:val="Date"/>
    <w:uiPriority w:val="99"/>
    <w:rsid w:val="00F02AEC"/>
    <w:rPr>
      <w:rFonts w:ascii="Arial" w:eastAsia="Cambria" w:hAnsi="Arial" w:cs="Times New Roman"/>
      <w:color w:val="333F4A"/>
      <w:sz w:val="28"/>
      <w:szCs w:val="20"/>
    </w:rPr>
  </w:style>
  <w:style w:type="paragraph" w:styleId="Footer">
    <w:name w:val="footer"/>
    <w:basedOn w:val="Normal"/>
    <w:link w:val="FooterChar"/>
    <w:uiPriority w:val="99"/>
    <w:rsid w:val="00F02AEC"/>
    <w:pPr>
      <w:tabs>
        <w:tab w:val="center" w:pos="4513"/>
        <w:tab w:val="right" w:pos="9026"/>
      </w:tabs>
      <w:spacing w:after="0" w:line="240" w:lineRule="auto"/>
    </w:pPr>
    <w:rPr>
      <w:rFonts w:ascii="Arial" w:eastAsia="Cambria" w:hAnsi="Arial" w:cs="Times New Roman"/>
      <w:color w:val="333F4A"/>
      <w:sz w:val="17"/>
    </w:rPr>
  </w:style>
  <w:style w:type="character" w:customStyle="1" w:styleId="FooterChar">
    <w:name w:val="Footer Char"/>
    <w:basedOn w:val="DefaultParagraphFont"/>
    <w:link w:val="Footer"/>
    <w:uiPriority w:val="99"/>
    <w:rsid w:val="00F02AEC"/>
    <w:rPr>
      <w:rFonts w:ascii="Arial" w:eastAsia="Cambria" w:hAnsi="Arial" w:cs="Times New Roman"/>
      <w:color w:val="333F4A"/>
      <w:sz w:val="17"/>
      <w:szCs w:val="20"/>
    </w:rPr>
  </w:style>
  <w:style w:type="paragraph" w:styleId="Header">
    <w:name w:val="header"/>
    <w:basedOn w:val="Normal"/>
    <w:link w:val="HeaderChar"/>
    <w:uiPriority w:val="99"/>
    <w:rsid w:val="00F02AEC"/>
    <w:pPr>
      <w:pBdr>
        <w:bottom w:val="single" w:sz="4" w:space="3" w:color="auto"/>
      </w:pBdr>
      <w:tabs>
        <w:tab w:val="center" w:pos="4513"/>
        <w:tab w:val="right" w:pos="9026"/>
      </w:tabs>
      <w:spacing w:after="0" w:line="240" w:lineRule="auto"/>
      <w:jc w:val="right"/>
    </w:pPr>
    <w:rPr>
      <w:rFonts w:ascii="Arial" w:eastAsia="Cambria" w:hAnsi="Arial" w:cs="Times New Roman"/>
      <w:color w:val="333F4A"/>
      <w:sz w:val="17"/>
    </w:rPr>
  </w:style>
  <w:style w:type="character" w:customStyle="1" w:styleId="HeaderChar">
    <w:name w:val="Header Char"/>
    <w:basedOn w:val="DefaultParagraphFont"/>
    <w:link w:val="Header"/>
    <w:uiPriority w:val="99"/>
    <w:rsid w:val="00F02AEC"/>
    <w:rPr>
      <w:rFonts w:ascii="Arial" w:eastAsia="Cambria" w:hAnsi="Arial" w:cs="Times New Roman"/>
      <w:color w:val="333F4A"/>
      <w:sz w:val="17"/>
      <w:szCs w:val="20"/>
    </w:rPr>
  </w:style>
  <w:style w:type="character" w:styleId="Hyperlink">
    <w:name w:val="Hyperlink"/>
    <w:basedOn w:val="DefaultParagraphFont"/>
    <w:uiPriority w:val="99"/>
    <w:unhideWhenUsed/>
    <w:rsid w:val="00F02AEC"/>
    <w:rPr>
      <w:rFonts w:ascii="Arial" w:hAnsi="Arial"/>
      <w:color w:val="0000FF"/>
      <w:u w:val="single"/>
    </w:rPr>
  </w:style>
  <w:style w:type="paragraph" w:customStyle="1" w:styleId="LegalCopy">
    <w:name w:val="Legal Copy"/>
    <w:basedOn w:val="Footer"/>
    <w:rsid w:val="00F02AEC"/>
  </w:style>
  <w:style w:type="paragraph" w:customStyle="1" w:styleId="LegalSubheading">
    <w:name w:val="Legal Subheading"/>
    <w:basedOn w:val="Footer"/>
    <w:rsid w:val="00F02AEC"/>
    <w:pPr>
      <w:outlineLvl w:val="1"/>
    </w:pPr>
    <w:rPr>
      <w:b/>
    </w:rPr>
  </w:style>
  <w:style w:type="paragraph" w:styleId="ListBullet">
    <w:name w:val="List Bullet"/>
    <w:basedOn w:val="Normal"/>
    <w:uiPriority w:val="2"/>
    <w:qFormat/>
    <w:rsid w:val="0096547A"/>
    <w:pPr>
      <w:numPr>
        <w:numId w:val="1"/>
      </w:numPr>
      <w:spacing w:before="120" w:after="180" w:line="240" w:lineRule="atLeast"/>
    </w:pPr>
    <w:rPr>
      <w:rFonts w:ascii="Arial" w:eastAsia="Cambria" w:hAnsi="Arial" w:cs="Times New Roman"/>
      <w:color w:val="000000" w:themeColor="text1"/>
    </w:rPr>
  </w:style>
  <w:style w:type="paragraph" w:styleId="ListBullet2">
    <w:name w:val="List Bullet 2"/>
    <w:basedOn w:val="Normal"/>
    <w:uiPriority w:val="2"/>
    <w:qFormat/>
    <w:rsid w:val="00F02AEC"/>
    <w:pPr>
      <w:numPr>
        <w:ilvl w:val="1"/>
        <w:numId w:val="1"/>
      </w:numPr>
      <w:spacing w:before="120" w:after="180" w:line="240" w:lineRule="atLeast"/>
    </w:pPr>
    <w:rPr>
      <w:rFonts w:ascii="Arial" w:eastAsia="Cambria" w:hAnsi="Arial" w:cs="Times New Roman"/>
      <w:color w:val="333F48"/>
    </w:rPr>
  </w:style>
  <w:style w:type="paragraph" w:styleId="ListBullet3">
    <w:name w:val="List Bullet 3"/>
    <w:basedOn w:val="Normal"/>
    <w:uiPriority w:val="2"/>
    <w:qFormat/>
    <w:rsid w:val="00F02AEC"/>
    <w:pPr>
      <w:numPr>
        <w:numId w:val="3"/>
      </w:numPr>
      <w:spacing w:before="120" w:after="180" w:line="240" w:lineRule="atLeast"/>
      <w:ind w:left="1276" w:hanging="425"/>
    </w:pPr>
    <w:rPr>
      <w:rFonts w:ascii="Arial" w:eastAsia="Cambria" w:hAnsi="Arial" w:cs="Times New Roman"/>
      <w:color w:val="333F48"/>
    </w:rPr>
  </w:style>
  <w:style w:type="numbering" w:customStyle="1" w:styleId="ListBullets">
    <w:name w:val="ListBullets"/>
    <w:uiPriority w:val="99"/>
    <w:locked/>
    <w:rsid w:val="00F02AEC"/>
    <w:pPr>
      <w:numPr>
        <w:numId w:val="1"/>
      </w:numPr>
    </w:pPr>
  </w:style>
  <w:style w:type="paragraph" w:customStyle="1" w:styleId="Numberbullet0">
    <w:name w:val="Number bullet"/>
    <w:basedOn w:val="ListBullet"/>
    <w:uiPriority w:val="3"/>
    <w:qFormat/>
    <w:rsid w:val="00B46BC0"/>
    <w:pPr>
      <w:numPr>
        <w:numId w:val="2"/>
      </w:numPr>
    </w:pPr>
  </w:style>
  <w:style w:type="paragraph" w:customStyle="1" w:styleId="Numberbullet2">
    <w:name w:val="Number bullet 2"/>
    <w:basedOn w:val="ListBullet2"/>
    <w:uiPriority w:val="3"/>
    <w:qFormat/>
    <w:rsid w:val="00F02AEC"/>
    <w:pPr>
      <w:numPr>
        <w:numId w:val="2"/>
      </w:numPr>
      <w:ind w:left="850" w:hanging="425"/>
    </w:pPr>
  </w:style>
  <w:style w:type="paragraph" w:customStyle="1" w:styleId="Numberbullet3">
    <w:name w:val="Number bullet 3"/>
    <w:basedOn w:val="Normal"/>
    <w:uiPriority w:val="3"/>
    <w:qFormat/>
    <w:rsid w:val="00F02AEC"/>
    <w:pPr>
      <w:numPr>
        <w:numId w:val="4"/>
      </w:numPr>
      <w:spacing w:before="120" w:after="180" w:line="240" w:lineRule="atLeast"/>
      <w:ind w:left="1361" w:hanging="397"/>
    </w:pPr>
    <w:rPr>
      <w:rFonts w:ascii="Arial" w:eastAsia="Cambria" w:hAnsi="Arial" w:cs="Times New Roman"/>
      <w:color w:val="333F48"/>
    </w:rPr>
  </w:style>
  <w:style w:type="numbering" w:customStyle="1" w:styleId="NumberBullet">
    <w:name w:val="NumberBullet"/>
    <w:uiPriority w:val="99"/>
    <w:locked/>
    <w:rsid w:val="00F02AEC"/>
    <w:pPr>
      <w:numPr>
        <w:numId w:val="2"/>
      </w:numPr>
    </w:pPr>
  </w:style>
  <w:style w:type="paragraph" w:styleId="Subtitle">
    <w:name w:val="Subtitle"/>
    <w:basedOn w:val="Normal"/>
    <w:link w:val="SubtitleChar"/>
    <w:uiPriority w:val="11"/>
    <w:rsid w:val="00F02AEC"/>
    <w:pPr>
      <w:numPr>
        <w:ilvl w:val="1"/>
      </w:numPr>
      <w:spacing w:after="0" w:line="240" w:lineRule="atLeast"/>
      <w:ind w:left="170"/>
    </w:pPr>
    <w:rPr>
      <w:rFonts w:ascii="Arial" w:eastAsia="Times New Roman" w:hAnsi="Arial" w:cs="Times New Roman"/>
      <w:bCs/>
      <w:iCs/>
      <w:color w:val="006BA6"/>
      <w:sz w:val="40"/>
      <w:szCs w:val="24"/>
    </w:rPr>
  </w:style>
  <w:style w:type="character" w:customStyle="1" w:styleId="SubtitleChar">
    <w:name w:val="Subtitle Char"/>
    <w:basedOn w:val="DefaultParagraphFont"/>
    <w:link w:val="Subtitle"/>
    <w:uiPriority w:val="11"/>
    <w:rsid w:val="00F02AEC"/>
    <w:rPr>
      <w:rFonts w:ascii="Arial" w:eastAsia="Times New Roman" w:hAnsi="Arial" w:cs="Times New Roman"/>
      <w:bCs/>
      <w:iCs/>
      <w:color w:val="006BA6"/>
      <w:sz w:val="40"/>
      <w:szCs w:val="24"/>
    </w:rPr>
  </w:style>
  <w:style w:type="table" w:styleId="TableGrid">
    <w:name w:val="Table Grid"/>
    <w:basedOn w:val="TableNormal"/>
    <w:uiPriority w:val="59"/>
    <w:rsid w:val="00F02AEC"/>
    <w:pPr>
      <w:spacing w:after="0" w:line="240" w:lineRule="auto"/>
    </w:pPr>
    <w:rPr>
      <w:rFonts w:ascii="Cambria" w:eastAsia="Cambria" w:hAnsi="Cambria" w:cs="Times New Roman"/>
      <w:sz w:val="21"/>
      <w:szCs w:val="21"/>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GASignoff">
    <w:name w:val="TGA Signoff"/>
    <w:basedOn w:val="Normal"/>
    <w:rsid w:val="00F02AEC"/>
    <w:pPr>
      <w:spacing w:before="120" w:after="360" w:line="240" w:lineRule="atLeast"/>
      <w:jc w:val="center"/>
    </w:pPr>
    <w:rPr>
      <w:rFonts w:ascii="Arial" w:eastAsia="Cambria" w:hAnsi="Arial" w:cs="Times New Roman"/>
      <w:b/>
      <w:color w:val="333F48"/>
      <w:sz w:val="28"/>
    </w:rPr>
  </w:style>
  <w:style w:type="paragraph" w:styleId="Title">
    <w:name w:val="Title"/>
    <w:link w:val="TitleChar"/>
    <w:uiPriority w:val="10"/>
    <w:rsid w:val="00F02AEC"/>
    <w:pPr>
      <w:spacing w:line="240" w:lineRule="auto"/>
      <w:contextualSpacing/>
      <w:outlineLvl w:val="0"/>
    </w:pPr>
    <w:rPr>
      <w:rFonts w:ascii="Arial" w:eastAsia="Times New Roman" w:hAnsi="Arial" w:cs="Times New Roman"/>
      <w:color w:val="001871"/>
      <w:spacing w:val="5"/>
      <w:kern w:val="28"/>
      <w:sz w:val="52"/>
      <w:szCs w:val="52"/>
    </w:rPr>
  </w:style>
  <w:style w:type="character" w:customStyle="1" w:styleId="TitleChar">
    <w:name w:val="Title Char"/>
    <w:basedOn w:val="DefaultParagraphFont"/>
    <w:link w:val="Title"/>
    <w:uiPriority w:val="10"/>
    <w:rsid w:val="00F02AEC"/>
    <w:rPr>
      <w:rFonts w:ascii="Arial" w:eastAsia="Times New Roman" w:hAnsi="Arial" w:cs="Times New Roman"/>
      <w:color w:val="001871"/>
      <w:spacing w:val="5"/>
      <w:kern w:val="28"/>
      <w:sz w:val="52"/>
      <w:szCs w:val="52"/>
    </w:rPr>
  </w:style>
  <w:style w:type="paragraph" w:styleId="TOC1">
    <w:name w:val="toc 1"/>
    <w:basedOn w:val="Normal"/>
    <w:next w:val="Normal"/>
    <w:uiPriority w:val="39"/>
    <w:unhideWhenUsed/>
    <w:rsid w:val="00F02AEC"/>
    <w:pPr>
      <w:keepNext/>
      <w:keepLines/>
      <w:tabs>
        <w:tab w:val="right" w:leader="underscore" w:pos="8505"/>
      </w:tabs>
      <w:spacing w:before="120" w:after="200" w:line="240" w:lineRule="atLeast"/>
    </w:pPr>
    <w:rPr>
      <w:rFonts w:ascii="Arial" w:eastAsia="Cambria" w:hAnsi="Arial" w:cs="Times New Roman"/>
      <w:b/>
      <w:color w:val="333F48"/>
      <w:sz w:val="32"/>
    </w:rPr>
  </w:style>
  <w:style w:type="paragraph" w:styleId="TOC2">
    <w:name w:val="toc 2"/>
    <w:basedOn w:val="Normal"/>
    <w:next w:val="Normal"/>
    <w:uiPriority w:val="39"/>
    <w:unhideWhenUsed/>
    <w:rsid w:val="00F02AEC"/>
    <w:pPr>
      <w:keepNext/>
      <w:keepLines/>
      <w:tabs>
        <w:tab w:val="right" w:leader="underscore" w:pos="8505"/>
      </w:tabs>
      <w:spacing w:before="120" w:after="100" w:line="240" w:lineRule="atLeast"/>
      <w:ind w:left="425"/>
    </w:pPr>
    <w:rPr>
      <w:rFonts w:ascii="Arial" w:eastAsia="Cambria" w:hAnsi="Arial" w:cs="Times New Roman"/>
      <w:b/>
      <w:color w:val="333F48"/>
      <w:sz w:val="25"/>
    </w:rPr>
  </w:style>
  <w:style w:type="paragraph" w:styleId="TOC3">
    <w:name w:val="toc 3"/>
    <w:basedOn w:val="Normal"/>
    <w:next w:val="Normal"/>
    <w:uiPriority w:val="39"/>
    <w:unhideWhenUsed/>
    <w:rsid w:val="00F02AEC"/>
    <w:pPr>
      <w:keepNext/>
      <w:keepLines/>
      <w:tabs>
        <w:tab w:val="right" w:leader="hyphen" w:pos="8505"/>
      </w:tabs>
      <w:spacing w:before="120" w:after="100" w:line="240" w:lineRule="atLeast"/>
      <w:ind w:left="851"/>
    </w:pPr>
    <w:rPr>
      <w:rFonts w:ascii="Arial" w:eastAsia="Cambria" w:hAnsi="Arial" w:cs="Times New Roman"/>
      <w:b/>
      <w:color w:val="333F48"/>
    </w:rPr>
  </w:style>
  <w:style w:type="paragraph" w:styleId="FootnoteText">
    <w:name w:val="footnote text"/>
    <w:basedOn w:val="Normal"/>
    <w:link w:val="FootnoteTextChar"/>
    <w:rsid w:val="00F02AEC"/>
    <w:pPr>
      <w:keepLines/>
      <w:spacing w:after="0" w:line="240" w:lineRule="atLeast"/>
    </w:pPr>
    <w:rPr>
      <w:rFonts w:ascii="Arial" w:eastAsia="Cambria" w:hAnsi="Arial" w:cs="Times New Roman"/>
      <w:color w:val="333F48"/>
    </w:rPr>
  </w:style>
  <w:style w:type="character" w:customStyle="1" w:styleId="FootnoteTextChar">
    <w:name w:val="Footnote Text Char"/>
    <w:basedOn w:val="DefaultParagraphFont"/>
    <w:link w:val="FootnoteText"/>
    <w:rsid w:val="00F02AEC"/>
    <w:rPr>
      <w:rFonts w:ascii="Arial" w:eastAsia="Cambria" w:hAnsi="Arial" w:cs="Times New Roman"/>
      <w:color w:val="333F48"/>
      <w:sz w:val="20"/>
      <w:szCs w:val="20"/>
    </w:rPr>
  </w:style>
  <w:style w:type="character" w:styleId="FootnoteReference">
    <w:name w:val="footnote reference"/>
    <w:basedOn w:val="DefaultParagraphFont"/>
    <w:uiPriority w:val="99"/>
    <w:unhideWhenUsed/>
    <w:rsid w:val="00F02AEC"/>
    <w:rPr>
      <w:vertAlign w:val="superscript"/>
    </w:rPr>
  </w:style>
  <w:style w:type="paragraph" w:customStyle="1" w:styleId="NonTOCheading2">
    <w:name w:val="Non TOC heading 2"/>
    <w:basedOn w:val="Normal"/>
    <w:next w:val="Normal"/>
    <w:rsid w:val="00F02AEC"/>
    <w:pPr>
      <w:keepNext/>
      <w:keepLines/>
      <w:pageBreakBefore/>
      <w:spacing w:after="180" w:line="240" w:lineRule="atLeast"/>
      <w:outlineLvl w:val="1"/>
    </w:pPr>
    <w:rPr>
      <w:rFonts w:ascii="Arial" w:eastAsia="Cambria" w:hAnsi="Arial" w:cs="Times New Roman"/>
      <w:b/>
      <w:color w:val="001871"/>
      <w:sz w:val="38"/>
    </w:rPr>
  </w:style>
  <w:style w:type="paragraph" w:customStyle="1" w:styleId="Headernoline">
    <w:name w:val="Header no line"/>
    <w:basedOn w:val="Header"/>
    <w:rsid w:val="00F02AEC"/>
    <w:pPr>
      <w:pBdr>
        <w:bottom w:val="none" w:sz="0" w:space="0" w:color="auto"/>
      </w:pBdr>
      <w:spacing w:line="240" w:lineRule="atLeast"/>
    </w:pPr>
  </w:style>
  <w:style w:type="paragraph" w:customStyle="1" w:styleId="Tabledescription">
    <w:name w:val="Table description"/>
    <w:basedOn w:val="Normal"/>
    <w:next w:val="Normal"/>
    <w:rsid w:val="00F02AEC"/>
    <w:pPr>
      <w:spacing w:before="120" w:after="240" w:line="180" w:lineRule="atLeast"/>
    </w:pPr>
    <w:rPr>
      <w:rFonts w:ascii="Arial" w:eastAsia="Cambria" w:hAnsi="Arial" w:cs="Times New Roman"/>
      <w:color w:val="333F48"/>
      <w:sz w:val="18"/>
    </w:rPr>
  </w:style>
  <w:style w:type="paragraph" w:customStyle="1" w:styleId="Tabletitle">
    <w:name w:val="Table title"/>
    <w:basedOn w:val="Normal"/>
    <w:next w:val="Normal"/>
    <w:rsid w:val="00F02AEC"/>
    <w:pPr>
      <w:keepNext/>
      <w:spacing w:before="120" w:after="180" w:line="240" w:lineRule="atLeast"/>
    </w:pPr>
    <w:rPr>
      <w:rFonts w:ascii="Arial" w:eastAsia="Cambria" w:hAnsi="Arial" w:cs="Times New Roman"/>
      <w:b/>
      <w:color w:val="333F48"/>
    </w:rPr>
  </w:style>
  <w:style w:type="paragraph" w:customStyle="1" w:styleId="Address">
    <w:name w:val="Address"/>
    <w:basedOn w:val="Normal"/>
    <w:rsid w:val="00F02AEC"/>
    <w:pPr>
      <w:spacing w:after="0" w:line="240" w:lineRule="auto"/>
    </w:pPr>
    <w:rPr>
      <w:rFonts w:ascii="Arial" w:eastAsia="Cambria" w:hAnsi="Arial" w:cs="Times New Roman"/>
      <w:color w:val="333F48"/>
      <w:sz w:val="21"/>
    </w:rPr>
  </w:style>
  <w:style w:type="paragraph" w:customStyle="1" w:styleId="ListBullet-dotick">
    <w:name w:val="List Bullet - do (tick)"/>
    <w:basedOn w:val="ListBullet"/>
    <w:autoRedefine/>
    <w:uiPriority w:val="1"/>
    <w:qFormat/>
    <w:rsid w:val="00F02AEC"/>
    <w:pPr>
      <w:numPr>
        <w:numId w:val="5"/>
      </w:numPr>
      <w:tabs>
        <w:tab w:val="left" w:pos="425"/>
      </w:tabs>
    </w:pPr>
  </w:style>
  <w:style w:type="paragraph" w:customStyle="1" w:styleId="ListBullet-donotcross">
    <w:name w:val="List Bullet - do not (cross)"/>
    <w:basedOn w:val="ListBullet"/>
    <w:autoRedefine/>
    <w:uiPriority w:val="1"/>
    <w:qFormat/>
    <w:rsid w:val="00F02AEC"/>
    <w:pPr>
      <w:numPr>
        <w:numId w:val="6"/>
      </w:numPr>
      <w:ind w:left="357" w:hanging="357"/>
    </w:pPr>
    <w:rPr>
      <w:rFonts w:eastAsiaTheme="minorHAnsi" w:cstheme="minorBidi"/>
      <w:szCs w:val="22"/>
    </w:rPr>
  </w:style>
  <w:style w:type="table" w:customStyle="1" w:styleId="TGABlack2023">
    <w:name w:val="TGA Black 2023"/>
    <w:basedOn w:val="TableTGAblue2023"/>
    <w:uiPriority w:val="99"/>
    <w:rsid w:val="00FA49C3"/>
    <w:pPr>
      <w:spacing w:line="240" w:lineRule="auto"/>
    </w:pPr>
    <w:tblPr>
      <w:tbl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insideH w:val="single" w:sz="4" w:space="0" w:color="0D0D0D" w:themeColor="text1" w:themeTint="F2"/>
        <w:insideV w:val="single" w:sz="4" w:space="0" w:color="0D0D0D" w:themeColor="text1" w:themeTint="F2"/>
      </w:tblBorders>
    </w:tblPr>
    <w:tcPr>
      <w:shd w:val="clear" w:color="auto" w:fill="FFFFFF" w:themeFill="background1"/>
    </w:tcPr>
    <w:tblStylePr w:type="firstRow">
      <w:pPr>
        <w:keepNext/>
        <w:wordWrap/>
      </w:pPr>
      <w:rPr>
        <w:rFonts w:ascii="Arial" w:hAnsi="Arial"/>
        <w:b/>
        <w:color w:val="FFFFFF" w:themeColor="background1"/>
        <w:sz w:val="22"/>
      </w:rPr>
      <w:tblPr/>
      <w:trPr>
        <w:tblHeader/>
      </w:trPr>
      <w:tcPr>
        <w:shd w:val="clear" w:color="auto" w:fill="171717" w:themeFill="background2" w:themeFillShade="1A"/>
      </w:tcPr>
    </w:tblStylePr>
    <w:tblStylePr w:type="firstCol">
      <w:pPr>
        <w:keepNext w:val="0"/>
        <w:wordWrap/>
      </w:pPr>
    </w:tblStylePr>
  </w:style>
  <w:style w:type="character" w:styleId="CommentReference">
    <w:name w:val="annotation reference"/>
    <w:basedOn w:val="DefaultParagraphFont"/>
    <w:uiPriority w:val="99"/>
    <w:semiHidden/>
    <w:unhideWhenUsed/>
    <w:rsid w:val="002C46A1"/>
    <w:rPr>
      <w:sz w:val="16"/>
      <w:szCs w:val="16"/>
    </w:rPr>
  </w:style>
  <w:style w:type="paragraph" w:styleId="CommentText">
    <w:name w:val="annotation text"/>
    <w:basedOn w:val="Normal"/>
    <w:link w:val="CommentTextChar"/>
    <w:uiPriority w:val="99"/>
    <w:unhideWhenUsed/>
    <w:rsid w:val="002C46A1"/>
    <w:pPr>
      <w:spacing w:before="120" w:after="180" w:line="240" w:lineRule="auto"/>
    </w:pPr>
    <w:rPr>
      <w:rFonts w:ascii="Cambria" w:eastAsia="Cambria" w:hAnsi="Cambria" w:cs="Times New Roman"/>
    </w:rPr>
  </w:style>
  <w:style w:type="character" w:customStyle="1" w:styleId="CommentTextChar">
    <w:name w:val="Comment Text Char"/>
    <w:basedOn w:val="DefaultParagraphFont"/>
    <w:link w:val="CommentText"/>
    <w:uiPriority w:val="99"/>
    <w:rsid w:val="002C46A1"/>
    <w:rPr>
      <w:rFonts w:ascii="Cambria" w:eastAsia="Cambria" w:hAnsi="Cambria" w:cs="Times New Roman"/>
    </w:rPr>
  </w:style>
  <w:style w:type="character" w:styleId="UnresolvedMention">
    <w:name w:val="Unresolved Mention"/>
    <w:basedOn w:val="DefaultParagraphFont"/>
    <w:uiPriority w:val="99"/>
    <w:semiHidden/>
    <w:unhideWhenUsed/>
    <w:rsid w:val="002C46A1"/>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D3676D"/>
    <w:pPr>
      <w:spacing w:before="0" w:after="12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D3676D"/>
    <w:rPr>
      <w:rFonts w:ascii="Cambria" w:eastAsia="Cambria" w:hAnsi="Cambria" w:cs="Times New Roman"/>
      <w:b/>
      <w:bCs/>
    </w:rPr>
  </w:style>
  <w:style w:type="paragraph" w:styleId="Revision">
    <w:name w:val="Revision"/>
    <w:hidden/>
    <w:uiPriority w:val="99"/>
    <w:semiHidden/>
    <w:rsid w:val="00907680"/>
    <w:pPr>
      <w:spacing w:after="0" w:line="240" w:lineRule="auto"/>
    </w:pPr>
  </w:style>
  <w:style w:type="character" w:styleId="FollowedHyperlink">
    <w:name w:val="FollowedHyperlink"/>
    <w:basedOn w:val="DefaultParagraphFont"/>
    <w:uiPriority w:val="99"/>
    <w:semiHidden/>
    <w:unhideWhenUsed/>
    <w:rsid w:val="00EC6944"/>
    <w:rPr>
      <w:color w:val="954F72" w:themeColor="followedHyperlink"/>
      <w:u w:val="single"/>
    </w:rPr>
  </w:style>
  <w:style w:type="paragraph" w:styleId="ListParagraph">
    <w:name w:val="List Paragraph"/>
    <w:basedOn w:val="Normal"/>
    <w:uiPriority w:val="34"/>
    <w:qFormat/>
    <w:rsid w:val="006210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870105">
      <w:bodyDiv w:val="1"/>
      <w:marLeft w:val="0"/>
      <w:marRight w:val="0"/>
      <w:marTop w:val="0"/>
      <w:marBottom w:val="0"/>
      <w:divBdr>
        <w:top w:val="none" w:sz="0" w:space="0" w:color="auto"/>
        <w:left w:val="none" w:sz="0" w:space="0" w:color="auto"/>
        <w:bottom w:val="none" w:sz="0" w:space="0" w:color="auto"/>
        <w:right w:val="none" w:sz="0" w:space="0" w:color="auto"/>
      </w:divBdr>
    </w:div>
    <w:div w:id="916718294">
      <w:bodyDiv w:val="1"/>
      <w:marLeft w:val="0"/>
      <w:marRight w:val="0"/>
      <w:marTop w:val="0"/>
      <w:marBottom w:val="0"/>
      <w:divBdr>
        <w:top w:val="none" w:sz="0" w:space="0" w:color="auto"/>
        <w:left w:val="none" w:sz="0" w:space="0" w:color="auto"/>
        <w:bottom w:val="none" w:sz="0" w:space="0" w:color="auto"/>
        <w:right w:val="none" w:sz="0" w:space="0" w:color="auto"/>
      </w:divBdr>
    </w:div>
    <w:div w:id="1245184803">
      <w:bodyDiv w:val="1"/>
      <w:marLeft w:val="0"/>
      <w:marRight w:val="0"/>
      <w:marTop w:val="0"/>
      <w:marBottom w:val="0"/>
      <w:divBdr>
        <w:top w:val="none" w:sz="0" w:space="0" w:color="auto"/>
        <w:left w:val="none" w:sz="0" w:space="0" w:color="auto"/>
        <w:bottom w:val="none" w:sz="0" w:space="0" w:color="auto"/>
        <w:right w:val="none" w:sz="0" w:space="0" w:color="auto"/>
      </w:divBdr>
    </w:div>
    <w:div w:id="1722513405">
      <w:bodyDiv w:val="1"/>
      <w:marLeft w:val="0"/>
      <w:marRight w:val="0"/>
      <w:marTop w:val="0"/>
      <w:marBottom w:val="0"/>
      <w:divBdr>
        <w:top w:val="none" w:sz="0" w:space="0" w:color="auto"/>
        <w:left w:val="none" w:sz="0" w:space="0" w:color="auto"/>
        <w:bottom w:val="none" w:sz="0" w:space="0" w:color="auto"/>
        <w:right w:val="none" w:sz="0" w:space="0" w:color="auto"/>
      </w:divBdr>
    </w:div>
    <w:div w:id="1788238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tga.gov.au/publication/ahmac-scheduling-policy-framework-medicines-and-chemicals" TargetMode="External"/><Relationship Id="rId18" Type="http://schemas.openxmlformats.org/officeDocument/2006/relationships/hyperlink" Target="http://www.austlii.edu.au/cgi-bin/viewdoc/au/legis/cth/consol_act/tga1989191/s7.html" TargetMode="External"/><Relationship Id="rId26" Type="http://schemas.openxmlformats.org/officeDocument/2006/relationships/hyperlink" Target="mailto:info@tga.gov.au" TargetMode="External"/><Relationship Id="rId3" Type="http://schemas.openxmlformats.org/officeDocument/2006/relationships/styles" Target="styles.xml"/><Relationship Id="rId21" Type="http://schemas.openxmlformats.org/officeDocument/2006/relationships/hyperlink" Target="http://www.austlii.edu.au/cgi-bin/viewdoc/au/legis/cth/consol_act/fsanza1991336/" TargetMode="External"/><Relationship Id="rId7" Type="http://schemas.openxmlformats.org/officeDocument/2006/relationships/endnotes" Target="endnotes.xml"/><Relationship Id="rId12" Type="http://schemas.openxmlformats.org/officeDocument/2006/relationships/hyperlink" Target="mailto:tga.copyright@tga.gov.au" TargetMode="External"/><Relationship Id="rId17" Type="http://schemas.openxmlformats.org/officeDocument/2006/relationships/hyperlink" Target="http://www.austlii.edu.au/cgi-bin/viewdoc/au/legis/cth/consol_act/tga1989191/s3.html"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austlii.edu.au/cgi-bin/viewdoc/au/legis/cth/consol_act/tga1989191/s3.html" TargetMode="External"/><Relationship Id="rId20" Type="http://schemas.openxmlformats.org/officeDocument/2006/relationships/hyperlink" Target="http://www.austlii.edu.au/cgi-bin/viewdoc/au/legis/cth/consol_act/tga1989191/s42baa.html"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legislation.gov.au/Details/F2017C00319" TargetMode="External"/><Relationship Id="rId23" Type="http://schemas.openxmlformats.org/officeDocument/2006/relationships/hyperlink" Target="http://www.austlii.edu.au/cgi-bin/viewdoc/au/legis/cth/consol_act/tga1989191/s7.html" TargetMode="External"/><Relationship Id="rId28" Type="http://schemas.openxmlformats.org/officeDocument/2006/relationships/header" Target="header4.xml"/><Relationship Id="rId10" Type="http://schemas.openxmlformats.org/officeDocument/2006/relationships/header" Target="header2.xml"/><Relationship Id="rId19" Type="http://schemas.openxmlformats.org/officeDocument/2006/relationships/hyperlink" Target="http://www.austlii.edu.au/cgi-bin/viewdoc/au/legis/cth/consol_act/tga1989191/s3.htm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tga.gov.au/publication/scheduling-handbook-guidance-amending-poisons-standard" TargetMode="External"/><Relationship Id="rId22" Type="http://schemas.openxmlformats.org/officeDocument/2006/relationships/hyperlink" Target="http://www.austlii.edu.au/cgi-bin/viewdoc/au/legis/cth/consol_act/tga1989191/s3.html" TargetMode="External"/><Relationship Id="rId27" Type="http://schemas.openxmlformats.org/officeDocument/2006/relationships/hyperlink" Target="https://www.tga.gov.au" TargetMode="Externa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nature.com/articles/217723a0" TargetMode="External"/><Relationship Id="rId2" Type="http://schemas.openxmlformats.org/officeDocument/2006/relationships/hyperlink" Target="https://www.tandfonline.com/doi/abs/10.3109/00498257109041530" TargetMode="External"/><Relationship Id="rId1" Type="http://schemas.openxmlformats.org/officeDocument/2006/relationships/hyperlink" Target="https://www.seleneriverpress.com/images/pdfs/COMFREY_-_AN_INVESTIGATION_CONCERNING_AN_ANCIENT_MEDICINAL_REMEDY_CJ_MACALISTER_MD1936.pdf" TargetMode="External"/><Relationship Id="rId5" Type="http://schemas.openxmlformats.org/officeDocument/2006/relationships/hyperlink" Target="https://www.sciencedirect.com/science/article/pii/S0367326X20301015?via%3Dihub" TargetMode="External"/><Relationship Id="rId4" Type="http://schemas.openxmlformats.org/officeDocument/2006/relationships/hyperlink" Target="http://wayback.archive-it.org/7993/20171114115012/https:/www.fda.gov/Food/RecallsOutbreaksEmergencies/SafetyAlertsAdvisories/ucm111219.htm"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5738C8-1262-4C78-82E8-DE69D8841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2945</Words>
  <Characters>16788</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Notice of final decision to not amend the current Poisons Standard in relation to Symphytum spp. (comfrey)</vt:lpstr>
    </vt:vector>
  </TitlesOfParts>
  <Manager/>
  <Company/>
  <LinksUpToDate>false</LinksUpToDate>
  <CharactersWithSpaces>19694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final decision to not amend the current Poisons Standard in relation to Symphytum spp. (comfrey)</dc:title>
  <dc:subject/>
  <dc:creator/>
  <cp:keywords/>
  <dc:description/>
  <cp:lastModifiedBy/>
  <cp:revision>1</cp:revision>
  <dcterms:created xsi:type="dcterms:W3CDTF">2023-10-10T03:15:00Z</dcterms:created>
  <dcterms:modified xsi:type="dcterms:W3CDTF">2023-10-10T03:15:00Z</dcterms:modified>
</cp:coreProperties>
</file>