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7E14BE6" w:rsidR="00F02AEC" w:rsidRPr="00215D48" w:rsidRDefault="00346EC2" w:rsidP="007452E8">
            <w:pPr>
              <w:pStyle w:val="Title"/>
            </w:pPr>
            <w:r w:rsidRPr="00346EC2">
              <w:t xml:space="preserve">Australian Public Assessment Report for </w:t>
            </w:r>
            <w:r w:rsidR="00DA285A">
              <w:t>Flucelvax Quad</w:t>
            </w:r>
          </w:p>
        </w:tc>
      </w:tr>
      <w:tr w:rsidR="00F02AEC" w:rsidRPr="00215D48" w14:paraId="318A40A3" w14:textId="77777777" w:rsidTr="00346EC2">
        <w:trPr>
          <w:trHeight w:val="995"/>
        </w:trPr>
        <w:tc>
          <w:tcPr>
            <w:tcW w:w="8720" w:type="dxa"/>
          </w:tcPr>
          <w:p w14:paraId="1AA7C701" w14:textId="3174B17F" w:rsidR="00F02AEC" w:rsidRPr="00215D48" w:rsidRDefault="00346EC2" w:rsidP="007452E8">
            <w:pPr>
              <w:pStyle w:val="Subtitle"/>
              <w:ind w:left="0"/>
            </w:pPr>
            <w:r w:rsidRPr="00346EC2">
              <w:t>Active ingredient:</w:t>
            </w:r>
            <w:r w:rsidR="00156D82">
              <w:t xml:space="preserve"> Influenza virus haemagglutinin</w:t>
            </w:r>
          </w:p>
        </w:tc>
      </w:tr>
      <w:tr w:rsidR="00346EC2" w:rsidRPr="00215D48" w14:paraId="362CCAE4" w14:textId="77777777" w:rsidTr="007452E8">
        <w:trPr>
          <w:trHeight w:val="1916"/>
        </w:trPr>
        <w:tc>
          <w:tcPr>
            <w:tcW w:w="8720" w:type="dxa"/>
          </w:tcPr>
          <w:p w14:paraId="709C45C0" w14:textId="76C0EE06" w:rsidR="00346EC2" w:rsidRPr="00215D48" w:rsidRDefault="00346EC2" w:rsidP="002A3380">
            <w:pPr>
              <w:pStyle w:val="Subtitle"/>
              <w:ind w:left="0"/>
            </w:pPr>
            <w:r w:rsidRPr="00346EC2">
              <w:t xml:space="preserve">Sponsor: </w:t>
            </w:r>
            <w:r w:rsidR="002A3380">
              <w:t>Seqirus Pty Ltd</w:t>
            </w:r>
          </w:p>
        </w:tc>
      </w:tr>
      <w:tr w:rsidR="00F02AEC" w:rsidRPr="00215D48" w14:paraId="37F2AA1F" w14:textId="77777777" w:rsidTr="007452E8">
        <w:tc>
          <w:tcPr>
            <w:tcW w:w="8720" w:type="dxa"/>
          </w:tcPr>
          <w:p w14:paraId="1FDE8DCD" w14:textId="75216543" w:rsidR="00F02AEC" w:rsidRPr="00215D48" w:rsidRDefault="006962B6" w:rsidP="007452E8">
            <w:pPr>
              <w:pStyle w:val="Date"/>
            </w:pPr>
            <w:r>
              <w:t>November</w:t>
            </w:r>
            <w:r w:rsidR="00094928">
              <w:t xml:space="preserve"> </w:t>
            </w:r>
            <w:r w:rsidR="00984BC8">
              <w:t>2023</w:t>
            </w:r>
          </w:p>
        </w:tc>
      </w:tr>
    </w:tbl>
    <w:p w14:paraId="73752706" w14:textId="47B9A6F4" w:rsidR="00F02AEC" w:rsidRPr="00215D48" w:rsidRDefault="00F02AEC" w:rsidP="007452E8">
      <w:pPr>
        <w:pStyle w:val="ListBullet"/>
        <w:numPr>
          <w:ilvl w:val="0"/>
          <w:numId w:val="0"/>
        </w:numPr>
        <w:sectPr w:rsidR="00F02AEC" w:rsidRPr="00215D48" w:rsidSect="00CB0550">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6EBD711" w:rsidR="00346EC2" w:rsidRDefault="00346EC2" w:rsidP="00346EC2">
      <w:pPr>
        <w:pStyle w:val="ListBullet"/>
      </w:pPr>
      <w:r w:rsidRPr="003C6D1F">
        <w:t xml:space="preserve">To report a problem with a </w:t>
      </w:r>
      <w:r>
        <w:t>therapeutic good</w:t>
      </w:r>
      <w:r w:rsidRPr="003C6D1F">
        <w:t>, please see the information on the</w:t>
      </w:r>
      <w:r w:rsidR="00105AFB">
        <w:t xml:space="preserve"> </w:t>
      </w:r>
      <w:hyperlink r:id="rId16" w:history="1">
        <w:r w:rsidR="00105AFB">
          <w:rPr>
            <w:rStyle w:val="Hyperlink"/>
          </w:rPr>
          <w:t>TGA website</w:t>
        </w:r>
      </w:hyperlink>
      <w:r w:rsidR="00105AFB">
        <w:t>.</w:t>
      </w:r>
    </w:p>
    <w:p w14:paraId="737B7A99" w14:textId="77777777" w:rsidR="00346EC2" w:rsidRDefault="00346EC2" w:rsidP="00346EC2">
      <w:pPr>
        <w:pStyle w:val="NonTOCHeading20"/>
      </w:pPr>
      <w:r>
        <w:t>About AusPARs</w:t>
      </w:r>
    </w:p>
    <w:p w14:paraId="631B2209" w14:textId="70A65B06"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7"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8FEE9B2"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8"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A95033E" w14:textId="26581686" w:rsidR="007E330E"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3608663" w:history="1">
            <w:r w:rsidR="007E330E" w:rsidRPr="00F7359B">
              <w:rPr>
                <w:rStyle w:val="Hyperlink"/>
                <w:noProof/>
              </w:rPr>
              <w:t>List of abbreviations</w:t>
            </w:r>
            <w:r w:rsidR="007E330E">
              <w:rPr>
                <w:noProof/>
                <w:webHidden/>
              </w:rPr>
              <w:tab/>
            </w:r>
            <w:r w:rsidR="007E330E">
              <w:rPr>
                <w:noProof/>
                <w:webHidden/>
              </w:rPr>
              <w:fldChar w:fldCharType="begin"/>
            </w:r>
            <w:r w:rsidR="007E330E">
              <w:rPr>
                <w:noProof/>
                <w:webHidden/>
              </w:rPr>
              <w:instrText xml:space="preserve"> PAGEREF _Toc143608663 \h </w:instrText>
            </w:r>
            <w:r w:rsidR="007E330E">
              <w:rPr>
                <w:noProof/>
                <w:webHidden/>
              </w:rPr>
            </w:r>
            <w:r w:rsidR="007E330E">
              <w:rPr>
                <w:noProof/>
                <w:webHidden/>
              </w:rPr>
              <w:fldChar w:fldCharType="separate"/>
            </w:r>
            <w:r w:rsidR="009C5F1A">
              <w:rPr>
                <w:noProof/>
                <w:webHidden/>
              </w:rPr>
              <w:t>4</w:t>
            </w:r>
            <w:r w:rsidR="007E330E">
              <w:rPr>
                <w:noProof/>
                <w:webHidden/>
              </w:rPr>
              <w:fldChar w:fldCharType="end"/>
            </w:r>
          </w:hyperlink>
        </w:p>
        <w:p w14:paraId="61AA222F" w14:textId="70852AB1" w:rsidR="007E330E" w:rsidRDefault="000E770F">
          <w:pPr>
            <w:pStyle w:val="TOC1"/>
            <w:rPr>
              <w:rFonts w:asciiTheme="minorHAnsi" w:eastAsiaTheme="minorEastAsia" w:hAnsiTheme="minorHAnsi" w:cstheme="minorBidi"/>
              <w:b w:val="0"/>
              <w:noProof/>
              <w:color w:val="auto"/>
              <w:sz w:val="22"/>
              <w:szCs w:val="22"/>
              <w:lang w:eastAsia="en-AU"/>
            </w:rPr>
          </w:pPr>
          <w:hyperlink w:anchor="_Toc143608664" w:history="1">
            <w:r w:rsidR="007E330E" w:rsidRPr="00F7359B">
              <w:rPr>
                <w:rStyle w:val="Hyperlink"/>
                <w:noProof/>
              </w:rPr>
              <w:t>Product submission</w:t>
            </w:r>
            <w:r w:rsidR="007E330E">
              <w:rPr>
                <w:noProof/>
                <w:webHidden/>
              </w:rPr>
              <w:tab/>
            </w:r>
            <w:r w:rsidR="007E330E">
              <w:rPr>
                <w:noProof/>
                <w:webHidden/>
              </w:rPr>
              <w:fldChar w:fldCharType="begin"/>
            </w:r>
            <w:r w:rsidR="007E330E">
              <w:rPr>
                <w:noProof/>
                <w:webHidden/>
              </w:rPr>
              <w:instrText xml:space="preserve"> PAGEREF _Toc143608664 \h </w:instrText>
            </w:r>
            <w:r w:rsidR="007E330E">
              <w:rPr>
                <w:noProof/>
                <w:webHidden/>
              </w:rPr>
            </w:r>
            <w:r w:rsidR="007E330E">
              <w:rPr>
                <w:noProof/>
                <w:webHidden/>
              </w:rPr>
              <w:fldChar w:fldCharType="separate"/>
            </w:r>
            <w:r w:rsidR="009C5F1A">
              <w:rPr>
                <w:noProof/>
                <w:webHidden/>
              </w:rPr>
              <w:t>5</w:t>
            </w:r>
            <w:r w:rsidR="007E330E">
              <w:rPr>
                <w:noProof/>
                <w:webHidden/>
              </w:rPr>
              <w:fldChar w:fldCharType="end"/>
            </w:r>
          </w:hyperlink>
        </w:p>
        <w:p w14:paraId="56EE5BE9" w14:textId="3FC3C9A1"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65" w:history="1">
            <w:r w:rsidR="007E330E" w:rsidRPr="00F7359B">
              <w:rPr>
                <w:rStyle w:val="Hyperlink"/>
                <w:noProof/>
                <w:lang w:eastAsia="en-AU"/>
              </w:rPr>
              <w:t>Submission details</w:t>
            </w:r>
            <w:r w:rsidR="007E330E">
              <w:rPr>
                <w:noProof/>
                <w:webHidden/>
              </w:rPr>
              <w:tab/>
            </w:r>
            <w:r w:rsidR="007E330E">
              <w:rPr>
                <w:noProof/>
                <w:webHidden/>
              </w:rPr>
              <w:fldChar w:fldCharType="begin"/>
            </w:r>
            <w:r w:rsidR="007E330E">
              <w:rPr>
                <w:noProof/>
                <w:webHidden/>
              </w:rPr>
              <w:instrText xml:space="preserve"> PAGEREF _Toc143608665 \h </w:instrText>
            </w:r>
            <w:r w:rsidR="007E330E">
              <w:rPr>
                <w:noProof/>
                <w:webHidden/>
              </w:rPr>
            </w:r>
            <w:r w:rsidR="007E330E">
              <w:rPr>
                <w:noProof/>
                <w:webHidden/>
              </w:rPr>
              <w:fldChar w:fldCharType="separate"/>
            </w:r>
            <w:r w:rsidR="009C5F1A">
              <w:rPr>
                <w:noProof/>
                <w:webHidden/>
              </w:rPr>
              <w:t>5</w:t>
            </w:r>
            <w:r w:rsidR="007E330E">
              <w:rPr>
                <w:noProof/>
                <w:webHidden/>
              </w:rPr>
              <w:fldChar w:fldCharType="end"/>
            </w:r>
          </w:hyperlink>
        </w:p>
        <w:p w14:paraId="1148D6A2" w14:textId="551AECBE"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66" w:history="1">
            <w:r w:rsidR="007E330E" w:rsidRPr="00F7359B">
              <w:rPr>
                <w:rStyle w:val="Hyperlink"/>
                <w:noProof/>
              </w:rPr>
              <w:t>Product background</w:t>
            </w:r>
            <w:r w:rsidR="007E330E">
              <w:rPr>
                <w:noProof/>
                <w:webHidden/>
              </w:rPr>
              <w:tab/>
            </w:r>
            <w:r w:rsidR="007E330E">
              <w:rPr>
                <w:noProof/>
                <w:webHidden/>
              </w:rPr>
              <w:fldChar w:fldCharType="begin"/>
            </w:r>
            <w:r w:rsidR="007E330E">
              <w:rPr>
                <w:noProof/>
                <w:webHidden/>
              </w:rPr>
              <w:instrText xml:space="preserve"> PAGEREF _Toc143608666 \h </w:instrText>
            </w:r>
            <w:r w:rsidR="007E330E">
              <w:rPr>
                <w:noProof/>
                <w:webHidden/>
              </w:rPr>
            </w:r>
            <w:r w:rsidR="007E330E">
              <w:rPr>
                <w:noProof/>
                <w:webHidden/>
              </w:rPr>
              <w:fldChar w:fldCharType="separate"/>
            </w:r>
            <w:r w:rsidR="009C5F1A">
              <w:rPr>
                <w:noProof/>
                <w:webHidden/>
              </w:rPr>
              <w:t>6</w:t>
            </w:r>
            <w:r w:rsidR="007E330E">
              <w:rPr>
                <w:noProof/>
                <w:webHidden/>
              </w:rPr>
              <w:fldChar w:fldCharType="end"/>
            </w:r>
          </w:hyperlink>
        </w:p>
        <w:p w14:paraId="325EC84A" w14:textId="04F92B44"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67" w:history="1">
            <w:r w:rsidR="007E330E" w:rsidRPr="00F7359B">
              <w:rPr>
                <w:rStyle w:val="Hyperlink"/>
                <w:noProof/>
              </w:rPr>
              <w:t>Regulatory status</w:t>
            </w:r>
            <w:r w:rsidR="007E330E">
              <w:rPr>
                <w:noProof/>
                <w:webHidden/>
              </w:rPr>
              <w:tab/>
            </w:r>
            <w:r w:rsidR="007E330E">
              <w:rPr>
                <w:noProof/>
                <w:webHidden/>
              </w:rPr>
              <w:fldChar w:fldCharType="begin"/>
            </w:r>
            <w:r w:rsidR="007E330E">
              <w:rPr>
                <w:noProof/>
                <w:webHidden/>
              </w:rPr>
              <w:instrText xml:space="preserve"> PAGEREF _Toc143608667 \h </w:instrText>
            </w:r>
            <w:r w:rsidR="007E330E">
              <w:rPr>
                <w:noProof/>
                <w:webHidden/>
              </w:rPr>
            </w:r>
            <w:r w:rsidR="007E330E">
              <w:rPr>
                <w:noProof/>
                <w:webHidden/>
              </w:rPr>
              <w:fldChar w:fldCharType="separate"/>
            </w:r>
            <w:r w:rsidR="009C5F1A">
              <w:rPr>
                <w:noProof/>
                <w:webHidden/>
              </w:rPr>
              <w:t>8</w:t>
            </w:r>
            <w:r w:rsidR="007E330E">
              <w:rPr>
                <w:noProof/>
                <w:webHidden/>
              </w:rPr>
              <w:fldChar w:fldCharType="end"/>
            </w:r>
          </w:hyperlink>
        </w:p>
        <w:p w14:paraId="793684A3" w14:textId="65FD74F1"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68" w:history="1">
            <w:r w:rsidR="007E330E" w:rsidRPr="00F7359B">
              <w:rPr>
                <w:rStyle w:val="Hyperlink"/>
                <w:noProof/>
              </w:rPr>
              <w:t>Product Information</w:t>
            </w:r>
            <w:r w:rsidR="007E330E">
              <w:rPr>
                <w:noProof/>
                <w:webHidden/>
              </w:rPr>
              <w:tab/>
            </w:r>
            <w:r w:rsidR="007E330E">
              <w:rPr>
                <w:noProof/>
                <w:webHidden/>
              </w:rPr>
              <w:fldChar w:fldCharType="begin"/>
            </w:r>
            <w:r w:rsidR="007E330E">
              <w:rPr>
                <w:noProof/>
                <w:webHidden/>
              </w:rPr>
              <w:instrText xml:space="preserve"> PAGEREF _Toc143608668 \h </w:instrText>
            </w:r>
            <w:r w:rsidR="007E330E">
              <w:rPr>
                <w:noProof/>
                <w:webHidden/>
              </w:rPr>
            </w:r>
            <w:r w:rsidR="007E330E">
              <w:rPr>
                <w:noProof/>
                <w:webHidden/>
              </w:rPr>
              <w:fldChar w:fldCharType="separate"/>
            </w:r>
            <w:r w:rsidR="009C5F1A">
              <w:rPr>
                <w:noProof/>
                <w:webHidden/>
              </w:rPr>
              <w:t>9</w:t>
            </w:r>
            <w:r w:rsidR="007E330E">
              <w:rPr>
                <w:noProof/>
                <w:webHidden/>
              </w:rPr>
              <w:fldChar w:fldCharType="end"/>
            </w:r>
          </w:hyperlink>
        </w:p>
        <w:p w14:paraId="3B8B658A" w14:textId="477C25F4" w:rsidR="007E330E" w:rsidRDefault="000E770F">
          <w:pPr>
            <w:pStyle w:val="TOC1"/>
            <w:rPr>
              <w:rFonts w:asciiTheme="minorHAnsi" w:eastAsiaTheme="minorEastAsia" w:hAnsiTheme="minorHAnsi" w:cstheme="minorBidi"/>
              <w:b w:val="0"/>
              <w:noProof/>
              <w:color w:val="auto"/>
              <w:sz w:val="22"/>
              <w:szCs w:val="22"/>
              <w:lang w:eastAsia="en-AU"/>
            </w:rPr>
          </w:pPr>
          <w:hyperlink w:anchor="_Toc143608669" w:history="1">
            <w:r w:rsidR="007E330E" w:rsidRPr="00F7359B">
              <w:rPr>
                <w:rStyle w:val="Hyperlink"/>
                <w:noProof/>
              </w:rPr>
              <w:t>Registration timeline</w:t>
            </w:r>
            <w:r w:rsidR="007E330E">
              <w:rPr>
                <w:noProof/>
                <w:webHidden/>
              </w:rPr>
              <w:tab/>
            </w:r>
            <w:r w:rsidR="007E330E">
              <w:rPr>
                <w:noProof/>
                <w:webHidden/>
              </w:rPr>
              <w:fldChar w:fldCharType="begin"/>
            </w:r>
            <w:r w:rsidR="007E330E">
              <w:rPr>
                <w:noProof/>
                <w:webHidden/>
              </w:rPr>
              <w:instrText xml:space="preserve"> PAGEREF _Toc143608669 \h </w:instrText>
            </w:r>
            <w:r w:rsidR="007E330E">
              <w:rPr>
                <w:noProof/>
                <w:webHidden/>
              </w:rPr>
            </w:r>
            <w:r w:rsidR="007E330E">
              <w:rPr>
                <w:noProof/>
                <w:webHidden/>
              </w:rPr>
              <w:fldChar w:fldCharType="separate"/>
            </w:r>
            <w:r w:rsidR="009C5F1A">
              <w:rPr>
                <w:noProof/>
                <w:webHidden/>
              </w:rPr>
              <w:t>9</w:t>
            </w:r>
            <w:r w:rsidR="007E330E">
              <w:rPr>
                <w:noProof/>
                <w:webHidden/>
              </w:rPr>
              <w:fldChar w:fldCharType="end"/>
            </w:r>
          </w:hyperlink>
        </w:p>
        <w:p w14:paraId="6DC33094" w14:textId="00C8EAC5" w:rsidR="007E330E" w:rsidRDefault="000E770F">
          <w:pPr>
            <w:pStyle w:val="TOC1"/>
            <w:rPr>
              <w:rFonts w:asciiTheme="minorHAnsi" w:eastAsiaTheme="minorEastAsia" w:hAnsiTheme="minorHAnsi" w:cstheme="minorBidi"/>
              <w:b w:val="0"/>
              <w:noProof/>
              <w:color w:val="auto"/>
              <w:sz w:val="22"/>
              <w:szCs w:val="22"/>
              <w:lang w:eastAsia="en-AU"/>
            </w:rPr>
          </w:pPr>
          <w:hyperlink w:anchor="_Toc143608670" w:history="1">
            <w:r w:rsidR="007E330E" w:rsidRPr="00F7359B">
              <w:rPr>
                <w:rStyle w:val="Hyperlink"/>
                <w:noProof/>
              </w:rPr>
              <w:t>Submission overview and risk/benefit assessment</w:t>
            </w:r>
            <w:r w:rsidR="007E330E">
              <w:rPr>
                <w:noProof/>
                <w:webHidden/>
              </w:rPr>
              <w:tab/>
            </w:r>
            <w:r w:rsidR="007E330E">
              <w:rPr>
                <w:noProof/>
                <w:webHidden/>
              </w:rPr>
              <w:fldChar w:fldCharType="begin"/>
            </w:r>
            <w:r w:rsidR="007E330E">
              <w:rPr>
                <w:noProof/>
                <w:webHidden/>
              </w:rPr>
              <w:instrText xml:space="preserve"> PAGEREF _Toc143608670 \h </w:instrText>
            </w:r>
            <w:r w:rsidR="007E330E">
              <w:rPr>
                <w:noProof/>
                <w:webHidden/>
              </w:rPr>
            </w:r>
            <w:r w:rsidR="007E330E">
              <w:rPr>
                <w:noProof/>
                <w:webHidden/>
              </w:rPr>
              <w:fldChar w:fldCharType="separate"/>
            </w:r>
            <w:r w:rsidR="009C5F1A">
              <w:rPr>
                <w:noProof/>
                <w:webHidden/>
              </w:rPr>
              <w:t>10</w:t>
            </w:r>
            <w:r w:rsidR="007E330E">
              <w:rPr>
                <w:noProof/>
                <w:webHidden/>
              </w:rPr>
              <w:fldChar w:fldCharType="end"/>
            </w:r>
          </w:hyperlink>
        </w:p>
        <w:p w14:paraId="742B889C" w14:textId="36E334F9"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71" w:history="1">
            <w:r w:rsidR="007E330E" w:rsidRPr="00F7359B">
              <w:rPr>
                <w:rStyle w:val="Hyperlink"/>
                <w:noProof/>
              </w:rPr>
              <w:t>Quality</w:t>
            </w:r>
            <w:r w:rsidR="007E330E">
              <w:rPr>
                <w:noProof/>
                <w:webHidden/>
              </w:rPr>
              <w:tab/>
            </w:r>
            <w:r w:rsidR="007E330E">
              <w:rPr>
                <w:noProof/>
                <w:webHidden/>
              </w:rPr>
              <w:fldChar w:fldCharType="begin"/>
            </w:r>
            <w:r w:rsidR="007E330E">
              <w:rPr>
                <w:noProof/>
                <w:webHidden/>
              </w:rPr>
              <w:instrText xml:space="preserve"> PAGEREF _Toc143608671 \h </w:instrText>
            </w:r>
            <w:r w:rsidR="007E330E">
              <w:rPr>
                <w:noProof/>
                <w:webHidden/>
              </w:rPr>
            </w:r>
            <w:r w:rsidR="007E330E">
              <w:rPr>
                <w:noProof/>
                <w:webHidden/>
              </w:rPr>
              <w:fldChar w:fldCharType="separate"/>
            </w:r>
            <w:r w:rsidR="009C5F1A">
              <w:rPr>
                <w:noProof/>
                <w:webHidden/>
              </w:rPr>
              <w:t>10</w:t>
            </w:r>
            <w:r w:rsidR="007E330E">
              <w:rPr>
                <w:noProof/>
                <w:webHidden/>
              </w:rPr>
              <w:fldChar w:fldCharType="end"/>
            </w:r>
          </w:hyperlink>
        </w:p>
        <w:p w14:paraId="4524C9C6" w14:textId="45741125"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72" w:history="1">
            <w:r w:rsidR="007E330E" w:rsidRPr="00F7359B">
              <w:rPr>
                <w:rStyle w:val="Hyperlink"/>
                <w:noProof/>
              </w:rPr>
              <w:t>Nonclinical</w:t>
            </w:r>
            <w:r w:rsidR="007E330E">
              <w:rPr>
                <w:noProof/>
                <w:webHidden/>
              </w:rPr>
              <w:tab/>
            </w:r>
            <w:r w:rsidR="007E330E">
              <w:rPr>
                <w:noProof/>
                <w:webHidden/>
              </w:rPr>
              <w:fldChar w:fldCharType="begin"/>
            </w:r>
            <w:r w:rsidR="007E330E">
              <w:rPr>
                <w:noProof/>
                <w:webHidden/>
              </w:rPr>
              <w:instrText xml:space="preserve"> PAGEREF _Toc143608672 \h </w:instrText>
            </w:r>
            <w:r w:rsidR="007E330E">
              <w:rPr>
                <w:noProof/>
                <w:webHidden/>
              </w:rPr>
            </w:r>
            <w:r w:rsidR="007E330E">
              <w:rPr>
                <w:noProof/>
                <w:webHidden/>
              </w:rPr>
              <w:fldChar w:fldCharType="separate"/>
            </w:r>
            <w:r w:rsidR="009C5F1A">
              <w:rPr>
                <w:noProof/>
                <w:webHidden/>
              </w:rPr>
              <w:t>10</w:t>
            </w:r>
            <w:r w:rsidR="007E330E">
              <w:rPr>
                <w:noProof/>
                <w:webHidden/>
              </w:rPr>
              <w:fldChar w:fldCharType="end"/>
            </w:r>
          </w:hyperlink>
        </w:p>
        <w:p w14:paraId="2F5D8992" w14:textId="10C291D6"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73" w:history="1">
            <w:r w:rsidR="007E330E" w:rsidRPr="00F7359B">
              <w:rPr>
                <w:rStyle w:val="Hyperlink"/>
                <w:noProof/>
              </w:rPr>
              <w:t>Clinical</w:t>
            </w:r>
            <w:r w:rsidR="007E330E">
              <w:rPr>
                <w:noProof/>
                <w:webHidden/>
              </w:rPr>
              <w:tab/>
            </w:r>
            <w:r w:rsidR="007E330E">
              <w:rPr>
                <w:noProof/>
                <w:webHidden/>
              </w:rPr>
              <w:fldChar w:fldCharType="begin"/>
            </w:r>
            <w:r w:rsidR="007E330E">
              <w:rPr>
                <w:noProof/>
                <w:webHidden/>
              </w:rPr>
              <w:instrText xml:space="preserve"> PAGEREF _Toc143608673 \h </w:instrText>
            </w:r>
            <w:r w:rsidR="007E330E">
              <w:rPr>
                <w:noProof/>
                <w:webHidden/>
              </w:rPr>
            </w:r>
            <w:r w:rsidR="007E330E">
              <w:rPr>
                <w:noProof/>
                <w:webHidden/>
              </w:rPr>
              <w:fldChar w:fldCharType="separate"/>
            </w:r>
            <w:r w:rsidR="009C5F1A">
              <w:rPr>
                <w:noProof/>
                <w:webHidden/>
              </w:rPr>
              <w:t>10</w:t>
            </w:r>
            <w:r w:rsidR="007E330E">
              <w:rPr>
                <w:noProof/>
                <w:webHidden/>
              </w:rPr>
              <w:fldChar w:fldCharType="end"/>
            </w:r>
          </w:hyperlink>
        </w:p>
        <w:p w14:paraId="32737B4F" w14:textId="1361669B" w:rsidR="007E330E" w:rsidRDefault="000E770F">
          <w:pPr>
            <w:pStyle w:val="TOC3"/>
            <w:rPr>
              <w:rFonts w:asciiTheme="minorHAnsi" w:eastAsiaTheme="minorEastAsia" w:hAnsiTheme="minorHAnsi" w:cstheme="minorBidi"/>
              <w:b w:val="0"/>
              <w:noProof/>
              <w:color w:val="auto"/>
              <w:szCs w:val="22"/>
              <w:lang w:eastAsia="en-AU"/>
            </w:rPr>
          </w:pPr>
          <w:hyperlink w:anchor="_Toc143608674" w:history="1">
            <w:r w:rsidR="007E330E" w:rsidRPr="00F7359B">
              <w:rPr>
                <w:rStyle w:val="Hyperlink"/>
                <w:noProof/>
              </w:rPr>
              <w:t>Summary of clinical studies</w:t>
            </w:r>
            <w:r w:rsidR="007E330E">
              <w:rPr>
                <w:noProof/>
                <w:webHidden/>
              </w:rPr>
              <w:tab/>
            </w:r>
            <w:r w:rsidR="007E330E">
              <w:rPr>
                <w:noProof/>
                <w:webHidden/>
              </w:rPr>
              <w:fldChar w:fldCharType="begin"/>
            </w:r>
            <w:r w:rsidR="007E330E">
              <w:rPr>
                <w:noProof/>
                <w:webHidden/>
              </w:rPr>
              <w:instrText xml:space="preserve"> PAGEREF _Toc143608674 \h </w:instrText>
            </w:r>
            <w:r w:rsidR="007E330E">
              <w:rPr>
                <w:noProof/>
                <w:webHidden/>
              </w:rPr>
            </w:r>
            <w:r w:rsidR="007E330E">
              <w:rPr>
                <w:noProof/>
                <w:webHidden/>
              </w:rPr>
              <w:fldChar w:fldCharType="separate"/>
            </w:r>
            <w:r w:rsidR="009C5F1A">
              <w:rPr>
                <w:noProof/>
                <w:webHidden/>
              </w:rPr>
              <w:t>10</w:t>
            </w:r>
            <w:r w:rsidR="007E330E">
              <w:rPr>
                <w:noProof/>
                <w:webHidden/>
              </w:rPr>
              <w:fldChar w:fldCharType="end"/>
            </w:r>
          </w:hyperlink>
        </w:p>
        <w:p w14:paraId="134E544D" w14:textId="1AAA1410" w:rsidR="007E330E" w:rsidRDefault="000E770F">
          <w:pPr>
            <w:pStyle w:val="TOC3"/>
            <w:rPr>
              <w:rFonts w:asciiTheme="minorHAnsi" w:eastAsiaTheme="minorEastAsia" w:hAnsiTheme="minorHAnsi" w:cstheme="minorBidi"/>
              <w:b w:val="0"/>
              <w:noProof/>
              <w:color w:val="auto"/>
              <w:szCs w:val="22"/>
              <w:lang w:eastAsia="en-AU"/>
            </w:rPr>
          </w:pPr>
          <w:hyperlink w:anchor="_Toc143608675" w:history="1">
            <w:r w:rsidR="007E330E" w:rsidRPr="00F7359B">
              <w:rPr>
                <w:rStyle w:val="Hyperlink"/>
                <w:noProof/>
              </w:rPr>
              <w:t>Pharmacology</w:t>
            </w:r>
            <w:r w:rsidR="007E330E">
              <w:rPr>
                <w:noProof/>
                <w:webHidden/>
              </w:rPr>
              <w:tab/>
            </w:r>
            <w:r w:rsidR="007E330E">
              <w:rPr>
                <w:noProof/>
                <w:webHidden/>
              </w:rPr>
              <w:fldChar w:fldCharType="begin"/>
            </w:r>
            <w:r w:rsidR="007E330E">
              <w:rPr>
                <w:noProof/>
                <w:webHidden/>
              </w:rPr>
              <w:instrText xml:space="preserve"> PAGEREF _Toc143608675 \h </w:instrText>
            </w:r>
            <w:r w:rsidR="007E330E">
              <w:rPr>
                <w:noProof/>
                <w:webHidden/>
              </w:rPr>
            </w:r>
            <w:r w:rsidR="007E330E">
              <w:rPr>
                <w:noProof/>
                <w:webHidden/>
              </w:rPr>
              <w:fldChar w:fldCharType="separate"/>
            </w:r>
            <w:r w:rsidR="009C5F1A">
              <w:rPr>
                <w:noProof/>
                <w:webHidden/>
              </w:rPr>
              <w:t>11</w:t>
            </w:r>
            <w:r w:rsidR="007E330E">
              <w:rPr>
                <w:noProof/>
                <w:webHidden/>
              </w:rPr>
              <w:fldChar w:fldCharType="end"/>
            </w:r>
          </w:hyperlink>
        </w:p>
        <w:p w14:paraId="3F04D634" w14:textId="09D075CB" w:rsidR="007E330E" w:rsidRDefault="000E770F">
          <w:pPr>
            <w:pStyle w:val="TOC3"/>
            <w:rPr>
              <w:rFonts w:asciiTheme="minorHAnsi" w:eastAsiaTheme="minorEastAsia" w:hAnsiTheme="minorHAnsi" w:cstheme="minorBidi"/>
              <w:b w:val="0"/>
              <w:noProof/>
              <w:color w:val="auto"/>
              <w:szCs w:val="22"/>
              <w:lang w:eastAsia="en-AU"/>
            </w:rPr>
          </w:pPr>
          <w:hyperlink w:anchor="_Toc143608676" w:history="1">
            <w:r w:rsidR="007E330E" w:rsidRPr="00F7359B">
              <w:rPr>
                <w:rStyle w:val="Hyperlink"/>
                <w:noProof/>
              </w:rPr>
              <w:t>Immunogenicity</w:t>
            </w:r>
            <w:r w:rsidR="007E330E">
              <w:rPr>
                <w:noProof/>
                <w:webHidden/>
              </w:rPr>
              <w:tab/>
            </w:r>
            <w:r w:rsidR="007E330E">
              <w:rPr>
                <w:noProof/>
                <w:webHidden/>
              </w:rPr>
              <w:fldChar w:fldCharType="begin"/>
            </w:r>
            <w:r w:rsidR="007E330E">
              <w:rPr>
                <w:noProof/>
                <w:webHidden/>
              </w:rPr>
              <w:instrText xml:space="preserve"> PAGEREF _Toc143608676 \h </w:instrText>
            </w:r>
            <w:r w:rsidR="007E330E">
              <w:rPr>
                <w:noProof/>
                <w:webHidden/>
              </w:rPr>
            </w:r>
            <w:r w:rsidR="007E330E">
              <w:rPr>
                <w:noProof/>
                <w:webHidden/>
              </w:rPr>
              <w:fldChar w:fldCharType="separate"/>
            </w:r>
            <w:r w:rsidR="009C5F1A">
              <w:rPr>
                <w:noProof/>
                <w:webHidden/>
              </w:rPr>
              <w:t>11</w:t>
            </w:r>
            <w:r w:rsidR="007E330E">
              <w:rPr>
                <w:noProof/>
                <w:webHidden/>
              </w:rPr>
              <w:fldChar w:fldCharType="end"/>
            </w:r>
          </w:hyperlink>
        </w:p>
        <w:p w14:paraId="379A66A0" w14:textId="1D43A744" w:rsidR="007E330E" w:rsidRDefault="000E770F">
          <w:pPr>
            <w:pStyle w:val="TOC3"/>
            <w:rPr>
              <w:rFonts w:asciiTheme="minorHAnsi" w:eastAsiaTheme="minorEastAsia" w:hAnsiTheme="minorHAnsi" w:cstheme="minorBidi"/>
              <w:b w:val="0"/>
              <w:noProof/>
              <w:color w:val="auto"/>
              <w:szCs w:val="22"/>
              <w:lang w:eastAsia="en-AU"/>
            </w:rPr>
          </w:pPr>
          <w:hyperlink w:anchor="_Toc143608677" w:history="1">
            <w:r w:rsidR="007E330E" w:rsidRPr="00F7359B">
              <w:rPr>
                <w:rStyle w:val="Hyperlink"/>
                <w:noProof/>
              </w:rPr>
              <w:t>Clinical Safety</w:t>
            </w:r>
            <w:r w:rsidR="007E330E">
              <w:rPr>
                <w:noProof/>
                <w:webHidden/>
              </w:rPr>
              <w:tab/>
            </w:r>
            <w:r w:rsidR="007E330E">
              <w:rPr>
                <w:noProof/>
                <w:webHidden/>
              </w:rPr>
              <w:fldChar w:fldCharType="begin"/>
            </w:r>
            <w:r w:rsidR="007E330E">
              <w:rPr>
                <w:noProof/>
                <w:webHidden/>
              </w:rPr>
              <w:instrText xml:space="preserve"> PAGEREF _Toc143608677 \h </w:instrText>
            </w:r>
            <w:r w:rsidR="007E330E">
              <w:rPr>
                <w:noProof/>
                <w:webHidden/>
              </w:rPr>
            </w:r>
            <w:r w:rsidR="007E330E">
              <w:rPr>
                <w:noProof/>
                <w:webHidden/>
              </w:rPr>
              <w:fldChar w:fldCharType="separate"/>
            </w:r>
            <w:r w:rsidR="009C5F1A">
              <w:rPr>
                <w:noProof/>
                <w:webHidden/>
              </w:rPr>
              <w:t>17</w:t>
            </w:r>
            <w:r w:rsidR="007E330E">
              <w:rPr>
                <w:noProof/>
                <w:webHidden/>
              </w:rPr>
              <w:fldChar w:fldCharType="end"/>
            </w:r>
          </w:hyperlink>
        </w:p>
        <w:p w14:paraId="395FEAE2" w14:textId="4774B039" w:rsidR="007E330E" w:rsidRDefault="000E770F">
          <w:pPr>
            <w:pStyle w:val="TOC3"/>
            <w:rPr>
              <w:rFonts w:asciiTheme="minorHAnsi" w:eastAsiaTheme="minorEastAsia" w:hAnsiTheme="minorHAnsi" w:cstheme="minorBidi"/>
              <w:b w:val="0"/>
              <w:noProof/>
              <w:color w:val="auto"/>
              <w:szCs w:val="22"/>
              <w:lang w:eastAsia="en-AU"/>
            </w:rPr>
          </w:pPr>
          <w:hyperlink w:anchor="_Toc143608678" w:history="1">
            <w:r w:rsidR="007E330E" w:rsidRPr="00F7359B">
              <w:rPr>
                <w:rStyle w:val="Hyperlink"/>
                <w:noProof/>
                <w:lang w:eastAsia="ja-JP"/>
              </w:rPr>
              <w:t>Use in pregnancy category</w:t>
            </w:r>
            <w:r w:rsidR="007E330E">
              <w:rPr>
                <w:noProof/>
                <w:webHidden/>
              </w:rPr>
              <w:tab/>
            </w:r>
            <w:r w:rsidR="007E330E">
              <w:rPr>
                <w:noProof/>
                <w:webHidden/>
              </w:rPr>
              <w:fldChar w:fldCharType="begin"/>
            </w:r>
            <w:r w:rsidR="007E330E">
              <w:rPr>
                <w:noProof/>
                <w:webHidden/>
              </w:rPr>
              <w:instrText xml:space="preserve"> PAGEREF _Toc143608678 \h </w:instrText>
            </w:r>
            <w:r w:rsidR="007E330E">
              <w:rPr>
                <w:noProof/>
                <w:webHidden/>
              </w:rPr>
            </w:r>
            <w:r w:rsidR="007E330E">
              <w:rPr>
                <w:noProof/>
                <w:webHidden/>
              </w:rPr>
              <w:fldChar w:fldCharType="separate"/>
            </w:r>
            <w:r w:rsidR="009C5F1A">
              <w:rPr>
                <w:noProof/>
                <w:webHidden/>
              </w:rPr>
              <w:t>22</w:t>
            </w:r>
            <w:r w:rsidR="007E330E">
              <w:rPr>
                <w:noProof/>
                <w:webHidden/>
              </w:rPr>
              <w:fldChar w:fldCharType="end"/>
            </w:r>
          </w:hyperlink>
        </w:p>
        <w:p w14:paraId="2FC2A304" w14:textId="62995059"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79" w:history="1">
            <w:r w:rsidR="007E330E" w:rsidRPr="00F7359B">
              <w:rPr>
                <w:rStyle w:val="Hyperlink"/>
                <w:noProof/>
                <w:lang w:eastAsia="en-AU"/>
              </w:rPr>
              <w:t>Risk management plan</w:t>
            </w:r>
            <w:r w:rsidR="007E330E">
              <w:rPr>
                <w:noProof/>
                <w:webHidden/>
              </w:rPr>
              <w:tab/>
            </w:r>
            <w:r w:rsidR="007E330E">
              <w:rPr>
                <w:noProof/>
                <w:webHidden/>
              </w:rPr>
              <w:fldChar w:fldCharType="begin"/>
            </w:r>
            <w:r w:rsidR="007E330E">
              <w:rPr>
                <w:noProof/>
                <w:webHidden/>
              </w:rPr>
              <w:instrText xml:space="preserve"> PAGEREF _Toc143608679 \h </w:instrText>
            </w:r>
            <w:r w:rsidR="007E330E">
              <w:rPr>
                <w:noProof/>
                <w:webHidden/>
              </w:rPr>
            </w:r>
            <w:r w:rsidR="007E330E">
              <w:rPr>
                <w:noProof/>
                <w:webHidden/>
              </w:rPr>
              <w:fldChar w:fldCharType="separate"/>
            </w:r>
            <w:r w:rsidR="009C5F1A">
              <w:rPr>
                <w:noProof/>
                <w:webHidden/>
              </w:rPr>
              <w:t>24</w:t>
            </w:r>
            <w:r w:rsidR="007E330E">
              <w:rPr>
                <w:noProof/>
                <w:webHidden/>
              </w:rPr>
              <w:fldChar w:fldCharType="end"/>
            </w:r>
          </w:hyperlink>
        </w:p>
        <w:p w14:paraId="58F48BCC" w14:textId="2EAC57C6"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80" w:history="1">
            <w:r w:rsidR="007E330E" w:rsidRPr="00F7359B">
              <w:rPr>
                <w:rStyle w:val="Hyperlink"/>
                <w:noProof/>
              </w:rPr>
              <w:t>Risk-benefit analysis</w:t>
            </w:r>
            <w:r w:rsidR="007E330E">
              <w:rPr>
                <w:noProof/>
                <w:webHidden/>
              </w:rPr>
              <w:tab/>
            </w:r>
            <w:r w:rsidR="007E330E">
              <w:rPr>
                <w:noProof/>
                <w:webHidden/>
              </w:rPr>
              <w:fldChar w:fldCharType="begin"/>
            </w:r>
            <w:r w:rsidR="007E330E">
              <w:rPr>
                <w:noProof/>
                <w:webHidden/>
              </w:rPr>
              <w:instrText xml:space="preserve"> PAGEREF _Toc143608680 \h </w:instrText>
            </w:r>
            <w:r w:rsidR="007E330E">
              <w:rPr>
                <w:noProof/>
                <w:webHidden/>
              </w:rPr>
            </w:r>
            <w:r w:rsidR="007E330E">
              <w:rPr>
                <w:noProof/>
                <w:webHidden/>
              </w:rPr>
              <w:fldChar w:fldCharType="separate"/>
            </w:r>
            <w:r w:rsidR="009C5F1A">
              <w:rPr>
                <w:noProof/>
                <w:webHidden/>
              </w:rPr>
              <w:t>25</w:t>
            </w:r>
            <w:r w:rsidR="007E330E">
              <w:rPr>
                <w:noProof/>
                <w:webHidden/>
              </w:rPr>
              <w:fldChar w:fldCharType="end"/>
            </w:r>
          </w:hyperlink>
        </w:p>
        <w:p w14:paraId="38A3E58E" w14:textId="24B020EC" w:rsidR="007E330E" w:rsidRDefault="000E770F">
          <w:pPr>
            <w:pStyle w:val="TOC3"/>
            <w:rPr>
              <w:rFonts w:asciiTheme="minorHAnsi" w:eastAsiaTheme="minorEastAsia" w:hAnsiTheme="minorHAnsi" w:cstheme="minorBidi"/>
              <w:b w:val="0"/>
              <w:noProof/>
              <w:color w:val="auto"/>
              <w:szCs w:val="22"/>
              <w:lang w:eastAsia="en-AU"/>
            </w:rPr>
          </w:pPr>
          <w:hyperlink w:anchor="_Toc143608681" w:history="1">
            <w:r w:rsidR="007E330E" w:rsidRPr="00F7359B">
              <w:rPr>
                <w:rStyle w:val="Hyperlink"/>
                <w:noProof/>
              </w:rPr>
              <w:t>Delegate’s considerations</w:t>
            </w:r>
            <w:r w:rsidR="007E330E">
              <w:rPr>
                <w:noProof/>
                <w:webHidden/>
              </w:rPr>
              <w:tab/>
            </w:r>
            <w:r w:rsidR="007E330E">
              <w:rPr>
                <w:noProof/>
                <w:webHidden/>
              </w:rPr>
              <w:fldChar w:fldCharType="begin"/>
            </w:r>
            <w:r w:rsidR="007E330E">
              <w:rPr>
                <w:noProof/>
                <w:webHidden/>
              </w:rPr>
              <w:instrText xml:space="preserve"> PAGEREF _Toc143608681 \h </w:instrText>
            </w:r>
            <w:r w:rsidR="007E330E">
              <w:rPr>
                <w:noProof/>
                <w:webHidden/>
              </w:rPr>
            </w:r>
            <w:r w:rsidR="007E330E">
              <w:rPr>
                <w:noProof/>
                <w:webHidden/>
              </w:rPr>
              <w:fldChar w:fldCharType="separate"/>
            </w:r>
            <w:r w:rsidR="009C5F1A">
              <w:rPr>
                <w:noProof/>
                <w:webHidden/>
              </w:rPr>
              <w:t>25</w:t>
            </w:r>
            <w:r w:rsidR="007E330E">
              <w:rPr>
                <w:noProof/>
                <w:webHidden/>
              </w:rPr>
              <w:fldChar w:fldCharType="end"/>
            </w:r>
          </w:hyperlink>
        </w:p>
        <w:p w14:paraId="02AA4744" w14:textId="13EBB6FC" w:rsidR="007E330E" w:rsidRDefault="000E770F">
          <w:pPr>
            <w:pStyle w:val="TOC3"/>
            <w:rPr>
              <w:rFonts w:asciiTheme="minorHAnsi" w:eastAsiaTheme="minorEastAsia" w:hAnsiTheme="minorHAnsi" w:cstheme="minorBidi"/>
              <w:b w:val="0"/>
              <w:noProof/>
              <w:color w:val="auto"/>
              <w:szCs w:val="22"/>
              <w:lang w:eastAsia="en-AU"/>
            </w:rPr>
          </w:pPr>
          <w:hyperlink w:anchor="_Toc143608682" w:history="1">
            <w:r w:rsidR="007E330E" w:rsidRPr="00F7359B">
              <w:rPr>
                <w:rStyle w:val="Hyperlink"/>
                <w:noProof/>
              </w:rPr>
              <w:t>Proposed action</w:t>
            </w:r>
            <w:r w:rsidR="007E330E">
              <w:rPr>
                <w:noProof/>
                <w:webHidden/>
              </w:rPr>
              <w:tab/>
            </w:r>
            <w:r w:rsidR="007E330E">
              <w:rPr>
                <w:noProof/>
                <w:webHidden/>
              </w:rPr>
              <w:fldChar w:fldCharType="begin"/>
            </w:r>
            <w:r w:rsidR="007E330E">
              <w:rPr>
                <w:noProof/>
                <w:webHidden/>
              </w:rPr>
              <w:instrText xml:space="preserve"> PAGEREF _Toc143608682 \h </w:instrText>
            </w:r>
            <w:r w:rsidR="007E330E">
              <w:rPr>
                <w:noProof/>
                <w:webHidden/>
              </w:rPr>
            </w:r>
            <w:r w:rsidR="007E330E">
              <w:rPr>
                <w:noProof/>
                <w:webHidden/>
              </w:rPr>
              <w:fldChar w:fldCharType="separate"/>
            </w:r>
            <w:r w:rsidR="009C5F1A">
              <w:rPr>
                <w:noProof/>
                <w:webHidden/>
              </w:rPr>
              <w:t>27</w:t>
            </w:r>
            <w:r w:rsidR="007E330E">
              <w:rPr>
                <w:noProof/>
                <w:webHidden/>
              </w:rPr>
              <w:fldChar w:fldCharType="end"/>
            </w:r>
          </w:hyperlink>
        </w:p>
        <w:p w14:paraId="597CA48A" w14:textId="54D78C54" w:rsidR="007E330E" w:rsidRDefault="000E770F">
          <w:pPr>
            <w:pStyle w:val="TOC3"/>
            <w:rPr>
              <w:rFonts w:asciiTheme="minorHAnsi" w:eastAsiaTheme="minorEastAsia" w:hAnsiTheme="minorHAnsi" w:cstheme="minorBidi"/>
              <w:b w:val="0"/>
              <w:noProof/>
              <w:color w:val="auto"/>
              <w:szCs w:val="22"/>
              <w:lang w:eastAsia="en-AU"/>
            </w:rPr>
          </w:pPr>
          <w:hyperlink w:anchor="_Toc143608683" w:history="1">
            <w:r w:rsidR="007E330E" w:rsidRPr="00F7359B">
              <w:rPr>
                <w:rStyle w:val="Hyperlink"/>
                <w:noProof/>
              </w:rPr>
              <w:t>Advisory Committee considerations</w:t>
            </w:r>
            <w:r w:rsidR="007E330E">
              <w:rPr>
                <w:noProof/>
                <w:webHidden/>
              </w:rPr>
              <w:tab/>
            </w:r>
            <w:r w:rsidR="007E330E">
              <w:rPr>
                <w:noProof/>
                <w:webHidden/>
              </w:rPr>
              <w:fldChar w:fldCharType="begin"/>
            </w:r>
            <w:r w:rsidR="007E330E">
              <w:rPr>
                <w:noProof/>
                <w:webHidden/>
              </w:rPr>
              <w:instrText xml:space="preserve"> PAGEREF _Toc143608683 \h </w:instrText>
            </w:r>
            <w:r w:rsidR="007E330E">
              <w:rPr>
                <w:noProof/>
                <w:webHidden/>
              </w:rPr>
            </w:r>
            <w:r w:rsidR="007E330E">
              <w:rPr>
                <w:noProof/>
                <w:webHidden/>
              </w:rPr>
              <w:fldChar w:fldCharType="separate"/>
            </w:r>
            <w:r w:rsidR="009C5F1A">
              <w:rPr>
                <w:noProof/>
                <w:webHidden/>
              </w:rPr>
              <w:t>27</w:t>
            </w:r>
            <w:r w:rsidR="007E330E">
              <w:rPr>
                <w:noProof/>
                <w:webHidden/>
              </w:rPr>
              <w:fldChar w:fldCharType="end"/>
            </w:r>
          </w:hyperlink>
        </w:p>
        <w:p w14:paraId="1DC11BC0" w14:textId="6C2F67DA" w:rsidR="007E330E" w:rsidRDefault="000E770F">
          <w:pPr>
            <w:pStyle w:val="TOC1"/>
            <w:rPr>
              <w:rFonts w:asciiTheme="minorHAnsi" w:eastAsiaTheme="minorEastAsia" w:hAnsiTheme="minorHAnsi" w:cstheme="minorBidi"/>
              <w:b w:val="0"/>
              <w:noProof/>
              <w:color w:val="auto"/>
              <w:sz w:val="22"/>
              <w:szCs w:val="22"/>
              <w:lang w:eastAsia="en-AU"/>
            </w:rPr>
          </w:pPr>
          <w:hyperlink w:anchor="_Toc143608684" w:history="1">
            <w:r w:rsidR="007E330E" w:rsidRPr="00F7359B">
              <w:rPr>
                <w:rStyle w:val="Hyperlink"/>
                <w:noProof/>
              </w:rPr>
              <w:t>Outcome</w:t>
            </w:r>
            <w:r w:rsidR="007E330E">
              <w:rPr>
                <w:noProof/>
                <w:webHidden/>
              </w:rPr>
              <w:tab/>
            </w:r>
            <w:r w:rsidR="007E330E">
              <w:rPr>
                <w:noProof/>
                <w:webHidden/>
              </w:rPr>
              <w:fldChar w:fldCharType="begin"/>
            </w:r>
            <w:r w:rsidR="007E330E">
              <w:rPr>
                <w:noProof/>
                <w:webHidden/>
              </w:rPr>
              <w:instrText xml:space="preserve"> PAGEREF _Toc143608684 \h </w:instrText>
            </w:r>
            <w:r w:rsidR="007E330E">
              <w:rPr>
                <w:noProof/>
                <w:webHidden/>
              </w:rPr>
            </w:r>
            <w:r w:rsidR="007E330E">
              <w:rPr>
                <w:noProof/>
                <w:webHidden/>
              </w:rPr>
              <w:fldChar w:fldCharType="separate"/>
            </w:r>
            <w:r w:rsidR="009C5F1A">
              <w:rPr>
                <w:noProof/>
                <w:webHidden/>
              </w:rPr>
              <w:t>28</w:t>
            </w:r>
            <w:r w:rsidR="007E330E">
              <w:rPr>
                <w:noProof/>
                <w:webHidden/>
              </w:rPr>
              <w:fldChar w:fldCharType="end"/>
            </w:r>
          </w:hyperlink>
        </w:p>
        <w:p w14:paraId="14526886" w14:textId="71B00144" w:rsidR="007E330E" w:rsidRDefault="000E770F">
          <w:pPr>
            <w:pStyle w:val="TOC2"/>
            <w:rPr>
              <w:rFonts w:asciiTheme="minorHAnsi" w:eastAsiaTheme="minorEastAsia" w:hAnsiTheme="minorHAnsi" w:cstheme="minorBidi"/>
              <w:b w:val="0"/>
              <w:noProof/>
              <w:color w:val="auto"/>
              <w:sz w:val="22"/>
              <w:szCs w:val="22"/>
              <w:lang w:eastAsia="en-AU"/>
            </w:rPr>
          </w:pPr>
          <w:hyperlink w:anchor="_Toc143608685" w:history="1">
            <w:r w:rsidR="007E330E" w:rsidRPr="00F7359B">
              <w:rPr>
                <w:rStyle w:val="Hyperlink"/>
                <w:noProof/>
              </w:rPr>
              <w:t>Specific conditions of registration applying to these goods</w:t>
            </w:r>
            <w:r w:rsidR="007E330E">
              <w:rPr>
                <w:noProof/>
                <w:webHidden/>
              </w:rPr>
              <w:tab/>
            </w:r>
            <w:r w:rsidR="007E330E">
              <w:rPr>
                <w:noProof/>
                <w:webHidden/>
              </w:rPr>
              <w:fldChar w:fldCharType="begin"/>
            </w:r>
            <w:r w:rsidR="007E330E">
              <w:rPr>
                <w:noProof/>
                <w:webHidden/>
              </w:rPr>
              <w:instrText xml:space="preserve"> PAGEREF _Toc143608685 \h </w:instrText>
            </w:r>
            <w:r w:rsidR="007E330E">
              <w:rPr>
                <w:noProof/>
                <w:webHidden/>
              </w:rPr>
            </w:r>
            <w:r w:rsidR="007E330E">
              <w:rPr>
                <w:noProof/>
                <w:webHidden/>
              </w:rPr>
              <w:fldChar w:fldCharType="separate"/>
            </w:r>
            <w:r w:rsidR="009C5F1A">
              <w:rPr>
                <w:noProof/>
                <w:webHidden/>
              </w:rPr>
              <w:t>29</w:t>
            </w:r>
            <w:r w:rsidR="007E330E">
              <w:rPr>
                <w:noProof/>
                <w:webHidden/>
              </w:rPr>
              <w:fldChar w:fldCharType="end"/>
            </w:r>
          </w:hyperlink>
        </w:p>
        <w:p w14:paraId="38809301" w14:textId="082D7D46" w:rsidR="007E330E" w:rsidRDefault="000E770F">
          <w:pPr>
            <w:pStyle w:val="TOC1"/>
            <w:rPr>
              <w:rFonts w:asciiTheme="minorHAnsi" w:eastAsiaTheme="minorEastAsia" w:hAnsiTheme="minorHAnsi" w:cstheme="minorBidi"/>
              <w:b w:val="0"/>
              <w:noProof/>
              <w:color w:val="auto"/>
              <w:sz w:val="22"/>
              <w:szCs w:val="22"/>
              <w:lang w:eastAsia="en-AU"/>
            </w:rPr>
          </w:pPr>
          <w:hyperlink w:anchor="_Toc143608686" w:history="1">
            <w:r w:rsidR="007E330E" w:rsidRPr="00F7359B">
              <w:rPr>
                <w:rStyle w:val="Hyperlink"/>
                <w:noProof/>
              </w:rPr>
              <w:t>Attachment 1. Product Information</w:t>
            </w:r>
            <w:r w:rsidR="007E330E">
              <w:rPr>
                <w:noProof/>
                <w:webHidden/>
              </w:rPr>
              <w:tab/>
            </w:r>
            <w:r w:rsidR="007E330E">
              <w:rPr>
                <w:noProof/>
                <w:webHidden/>
              </w:rPr>
              <w:fldChar w:fldCharType="begin"/>
            </w:r>
            <w:r w:rsidR="007E330E">
              <w:rPr>
                <w:noProof/>
                <w:webHidden/>
              </w:rPr>
              <w:instrText xml:space="preserve"> PAGEREF _Toc143608686 \h </w:instrText>
            </w:r>
            <w:r w:rsidR="007E330E">
              <w:rPr>
                <w:noProof/>
                <w:webHidden/>
              </w:rPr>
            </w:r>
            <w:r w:rsidR="007E330E">
              <w:rPr>
                <w:noProof/>
                <w:webHidden/>
              </w:rPr>
              <w:fldChar w:fldCharType="separate"/>
            </w:r>
            <w:r w:rsidR="009C5F1A">
              <w:rPr>
                <w:noProof/>
                <w:webHidden/>
              </w:rPr>
              <w:t>29</w:t>
            </w:r>
            <w:r w:rsidR="007E330E">
              <w:rPr>
                <w:noProof/>
                <w:webHidden/>
              </w:rPr>
              <w:fldChar w:fldCharType="end"/>
            </w:r>
          </w:hyperlink>
        </w:p>
        <w:p w14:paraId="77659F2D" w14:textId="321DBBA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3608663"/>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C3496A" w:rsidRPr="00D01DDB" w14:paraId="47C7DB8F" w14:textId="77777777" w:rsidTr="00EA6BD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EC4136" w14:textId="77777777" w:rsidR="00C3496A" w:rsidRPr="00D01DDB" w:rsidRDefault="00C3496A" w:rsidP="00EA6BD5">
            <w:pPr>
              <w:rPr>
                <w:szCs w:val="22"/>
              </w:rPr>
            </w:pPr>
            <w:r w:rsidRPr="00D01DDB">
              <w:rPr>
                <w:szCs w:val="22"/>
              </w:rPr>
              <w:t>ACV</w:t>
            </w:r>
          </w:p>
        </w:tc>
        <w:tc>
          <w:tcPr>
            <w:tcW w:w="3800" w:type="pct"/>
          </w:tcPr>
          <w:p w14:paraId="268E9A72" w14:textId="77777777" w:rsidR="00C3496A" w:rsidRPr="00D01DDB" w:rsidRDefault="00C3496A" w:rsidP="00EA6BD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5AA8F638" w:rsidR="00324B33" w:rsidRPr="00D01DDB" w:rsidRDefault="00C3496A" w:rsidP="00324B33">
            <w:pPr>
              <w:rPr>
                <w:szCs w:val="22"/>
              </w:rPr>
            </w:pPr>
            <w:r>
              <w:rPr>
                <w:szCs w:val="22"/>
              </w:rPr>
              <w:t>AE</w:t>
            </w:r>
          </w:p>
        </w:tc>
        <w:tc>
          <w:tcPr>
            <w:tcW w:w="3800" w:type="pct"/>
          </w:tcPr>
          <w:p w14:paraId="4F24A873" w14:textId="1B51270F" w:rsidR="00324B33" w:rsidRPr="00D01DDB" w:rsidRDefault="00C349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7265CE5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6962B6">
              <w:rPr>
                <w:szCs w:val="22"/>
              </w:rPr>
              <w:t>-</w:t>
            </w:r>
            <w:r w:rsidRPr="00D01DDB">
              <w:rPr>
                <w:szCs w:val="22"/>
              </w:rPr>
              <w:t>specific annex</w:t>
            </w:r>
          </w:p>
        </w:tc>
      </w:tr>
      <w:tr w:rsidR="00D22F1A" w:rsidRPr="00D01DDB" w14:paraId="44F91F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BE9770" w14:textId="3D0769B5" w:rsidR="00D22F1A" w:rsidRPr="00D01DDB" w:rsidRDefault="00D22F1A" w:rsidP="00324B33">
            <w:pPr>
              <w:rPr>
                <w:szCs w:val="22"/>
              </w:rPr>
            </w:pPr>
            <w:r>
              <w:rPr>
                <w:szCs w:val="22"/>
              </w:rPr>
              <w:t>CI</w:t>
            </w:r>
          </w:p>
        </w:tc>
        <w:tc>
          <w:tcPr>
            <w:tcW w:w="3800" w:type="pct"/>
          </w:tcPr>
          <w:p w14:paraId="2EC48A44" w14:textId="4C5A0CCC" w:rsidR="00D22F1A" w:rsidRPr="00D01DDB" w:rsidRDefault="00D22F1A" w:rsidP="00324B33">
            <w:pPr>
              <w:cnfStyle w:val="000000000000" w:firstRow="0" w:lastRow="0" w:firstColumn="0" w:lastColumn="0" w:oddVBand="0" w:evenVBand="0" w:oddHBand="0" w:evenHBand="0" w:firstRowFirstColumn="0" w:firstRowLastColumn="0" w:lastRowFirstColumn="0" w:lastRowLastColumn="0"/>
              <w:rPr>
                <w:szCs w:val="22"/>
              </w:rPr>
            </w:pPr>
            <w:r>
              <w:rPr>
                <w:lang w:eastAsia="ja-JP"/>
              </w:rPr>
              <w:t>Confidence interval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76998" w:rsidRPr="00D01DDB" w14:paraId="6B0F02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EC8154" w14:textId="0FA1BF16" w:rsidR="00276998" w:rsidRPr="00D01DDB" w:rsidRDefault="00276998" w:rsidP="00324B33">
            <w:pPr>
              <w:rPr>
                <w:szCs w:val="22"/>
              </w:rPr>
            </w:pPr>
            <w:r>
              <w:rPr>
                <w:szCs w:val="22"/>
              </w:rPr>
              <w:t>Day 29</w:t>
            </w:r>
            <w:r w:rsidR="004F4937">
              <w:rPr>
                <w:szCs w:val="22"/>
              </w:rPr>
              <w:t xml:space="preserve"> or </w:t>
            </w:r>
            <w:r>
              <w:rPr>
                <w:szCs w:val="22"/>
              </w:rPr>
              <w:t>57</w:t>
            </w:r>
          </w:p>
        </w:tc>
        <w:tc>
          <w:tcPr>
            <w:tcW w:w="3800" w:type="pct"/>
          </w:tcPr>
          <w:p w14:paraId="372A4111" w14:textId="4B2C73DA" w:rsidR="00276998" w:rsidRPr="00D01DDB" w:rsidRDefault="00276998" w:rsidP="00276998">
            <w:pPr>
              <w:cnfStyle w:val="000000000000" w:firstRow="0" w:lastRow="0" w:firstColumn="0" w:lastColumn="0" w:oddVBand="0" w:evenVBand="0" w:oddHBand="0" w:evenHBand="0" w:firstRowFirstColumn="0" w:firstRowLastColumn="0" w:lastRowFirstColumn="0" w:lastRowLastColumn="0"/>
              <w:rPr>
                <w:szCs w:val="22"/>
              </w:rPr>
            </w:pPr>
            <w:r>
              <w:t>Day 29 data for previously vaccinated subjects and Day 57 data for subject</w:t>
            </w:r>
            <w:r w:rsidR="00197E78">
              <w:t>s</w:t>
            </w:r>
            <w:r>
              <w:t xml:space="preserve"> who ha</w:t>
            </w:r>
            <w:r w:rsidR="00197E78">
              <w:t>ve</w:t>
            </w:r>
            <w:r>
              <w:t xml:space="preserve"> not been previously vaccinated with influenza vaccine</w:t>
            </w:r>
          </w:p>
        </w:tc>
      </w:tr>
      <w:tr w:rsidR="00313FF3" w:rsidRPr="00D01DDB" w14:paraId="1CE93C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D899C9" w14:textId="14EF6D44" w:rsidR="00313FF3" w:rsidRDefault="00313FF3" w:rsidP="00324B33">
            <w:pPr>
              <w:rPr>
                <w:szCs w:val="22"/>
              </w:rPr>
            </w:pPr>
            <w:r>
              <w:rPr>
                <w:szCs w:val="22"/>
              </w:rPr>
              <w:t>GMR</w:t>
            </w:r>
          </w:p>
        </w:tc>
        <w:tc>
          <w:tcPr>
            <w:tcW w:w="3800" w:type="pct"/>
          </w:tcPr>
          <w:p w14:paraId="5990A3D0" w14:textId="61AA9D9B" w:rsidR="00313FF3" w:rsidRPr="00F63D52" w:rsidRDefault="00313FF3" w:rsidP="00324B33">
            <w:pPr>
              <w:cnfStyle w:val="000000000000" w:firstRow="0" w:lastRow="0" w:firstColumn="0" w:lastColumn="0" w:oddVBand="0" w:evenVBand="0" w:oddHBand="0" w:evenHBand="0" w:firstRowFirstColumn="0" w:firstRowLastColumn="0" w:lastRowFirstColumn="0" w:lastRowLastColumn="0"/>
            </w:pPr>
            <w:r>
              <w:t>Geometric mean ratio</w:t>
            </w:r>
          </w:p>
        </w:tc>
      </w:tr>
      <w:tr w:rsidR="008C6CC0" w:rsidRPr="00D01DDB" w14:paraId="01013A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ECD57C" w14:textId="35F7958D" w:rsidR="008C6CC0" w:rsidRPr="00D01DDB" w:rsidRDefault="008C6CC0" w:rsidP="00324B33">
            <w:pPr>
              <w:rPr>
                <w:szCs w:val="22"/>
              </w:rPr>
            </w:pPr>
            <w:r>
              <w:rPr>
                <w:szCs w:val="22"/>
              </w:rPr>
              <w:t>GMT</w:t>
            </w:r>
          </w:p>
        </w:tc>
        <w:tc>
          <w:tcPr>
            <w:tcW w:w="3800" w:type="pct"/>
          </w:tcPr>
          <w:p w14:paraId="24C6FDBE" w14:textId="7A7E9BB8" w:rsidR="008C6CC0" w:rsidRPr="00D01DDB" w:rsidRDefault="008C6CC0" w:rsidP="00324B33">
            <w:pPr>
              <w:cnfStyle w:val="000000000000" w:firstRow="0" w:lastRow="0" w:firstColumn="0" w:lastColumn="0" w:oddVBand="0" w:evenVBand="0" w:oddHBand="0" w:evenHBand="0" w:firstRowFirstColumn="0" w:firstRowLastColumn="0" w:lastRowFirstColumn="0" w:lastRowLastColumn="0"/>
              <w:rPr>
                <w:szCs w:val="22"/>
              </w:rPr>
            </w:pPr>
            <w:r w:rsidRPr="00F63D52">
              <w:t>Geometric mean titre</w:t>
            </w:r>
          </w:p>
        </w:tc>
      </w:tr>
      <w:tr w:rsidR="005D296F" w:rsidRPr="00D01DDB" w14:paraId="0DE1CAA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A06096" w14:textId="79D07D71" w:rsidR="005D296F" w:rsidRPr="00D01DDB" w:rsidRDefault="005D296F" w:rsidP="00324B33">
            <w:pPr>
              <w:rPr>
                <w:szCs w:val="22"/>
              </w:rPr>
            </w:pPr>
            <w:r>
              <w:rPr>
                <w:szCs w:val="22"/>
              </w:rPr>
              <w:t>HA</w:t>
            </w:r>
          </w:p>
        </w:tc>
        <w:tc>
          <w:tcPr>
            <w:tcW w:w="3800" w:type="pct"/>
          </w:tcPr>
          <w:p w14:paraId="12A638E8" w14:textId="42343D16" w:rsidR="005D296F" w:rsidRPr="00D01DDB" w:rsidRDefault="005D296F" w:rsidP="00324B33">
            <w:pPr>
              <w:cnfStyle w:val="000000000000" w:firstRow="0" w:lastRow="0" w:firstColumn="0" w:lastColumn="0" w:oddVBand="0" w:evenVBand="0" w:oddHBand="0" w:evenHBand="0" w:firstRowFirstColumn="0" w:firstRowLastColumn="0" w:lastRowFirstColumn="0" w:lastRowLastColumn="0"/>
              <w:rPr>
                <w:szCs w:val="22"/>
              </w:rPr>
            </w:pPr>
            <w:r>
              <w:t>Haemagglutinin</w:t>
            </w:r>
          </w:p>
        </w:tc>
      </w:tr>
      <w:tr w:rsidR="00D452B1" w:rsidRPr="00D01DDB" w14:paraId="226CC6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27CA8B" w14:textId="29099F8F" w:rsidR="00D452B1" w:rsidRDefault="00D452B1" w:rsidP="00324B33">
            <w:pPr>
              <w:rPr>
                <w:szCs w:val="22"/>
              </w:rPr>
            </w:pPr>
            <w:r>
              <w:rPr>
                <w:szCs w:val="22"/>
              </w:rPr>
              <w:t>HAI</w:t>
            </w:r>
          </w:p>
        </w:tc>
        <w:tc>
          <w:tcPr>
            <w:tcW w:w="3800" w:type="pct"/>
          </w:tcPr>
          <w:p w14:paraId="74920F95" w14:textId="74FC6327" w:rsidR="00D452B1" w:rsidRDefault="00D452B1" w:rsidP="00324B33">
            <w:pPr>
              <w:cnfStyle w:val="000000000000" w:firstRow="0" w:lastRow="0" w:firstColumn="0" w:lastColumn="0" w:oddVBand="0" w:evenVBand="0" w:oddHBand="0" w:evenHBand="0" w:firstRowFirstColumn="0" w:firstRowLastColumn="0" w:lastRowFirstColumn="0" w:lastRowLastColumn="0"/>
            </w:pPr>
            <w:r>
              <w:t>H</w:t>
            </w:r>
            <w:r w:rsidRPr="00D452B1">
              <w:t>aemagglutination inhibition</w:t>
            </w:r>
          </w:p>
        </w:tc>
      </w:tr>
      <w:tr w:rsidR="00E546EF" w:rsidRPr="00D01DDB" w14:paraId="16D9AC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70BC54" w14:textId="3B312378" w:rsidR="00E546EF" w:rsidRDefault="00E546EF" w:rsidP="00324B33">
            <w:pPr>
              <w:rPr>
                <w:szCs w:val="22"/>
              </w:rPr>
            </w:pPr>
            <w:r>
              <w:rPr>
                <w:szCs w:val="22"/>
              </w:rPr>
              <w:t>MN</w:t>
            </w:r>
          </w:p>
        </w:tc>
        <w:tc>
          <w:tcPr>
            <w:tcW w:w="3800" w:type="pct"/>
          </w:tcPr>
          <w:p w14:paraId="74F5DAD9" w14:textId="17FEA41F" w:rsidR="00E546EF" w:rsidRDefault="00E546EF" w:rsidP="00324B33">
            <w:pPr>
              <w:cnfStyle w:val="000000000000" w:firstRow="0" w:lastRow="0" w:firstColumn="0" w:lastColumn="0" w:oddVBand="0" w:evenVBand="0" w:oddHBand="0" w:evenHBand="0" w:firstRowFirstColumn="0" w:firstRowLastColumn="0" w:lastRowFirstColumn="0" w:lastRowLastColumn="0"/>
            </w:pPr>
            <w:proofErr w:type="spellStart"/>
            <w:r>
              <w:t>M</w:t>
            </w:r>
            <w:r w:rsidRPr="00E546EF">
              <w:t>icroneutralisation</w:t>
            </w:r>
            <w:proofErr w:type="spellEnd"/>
          </w:p>
        </w:tc>
      </w:tr>
      <w:tr w:rsidR="00742C04" w:rsidRPr="00D01DDB" w14:paraId="550BCA5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D0FE2D" w14:textId="51BE1B40" w:rsidR="00742C04" w:rsidRDefault="00742C04" w:rsidP="00324B33">
            <w:pPr>
              <w:rPr>
                <w:szCs w:val="22"/>
              </w:rPr>
            </w:pPr>
            <w:r>
              <w:rPr>
                <w:szCs w:val="22"/>
              </w:rPr>
              <w:t>NIP</w:t>
            </w:r>
          </w:p>
        </w:tc>
        <w:tc>
          <w:tcPr>
            <w:tcW w:w="3800" w:type="pct"/>
          </w:tcPr>
          <w:p w14:paraId="1FB3F006" w14:textId="7B132DBB" w:rsidR="00742C04" w:rsidRDefault="00742C04" w:rsidP="00324B33">
            <w:pPr>
              <w:cnfStyle w:val="000000000000" w:firstRow="0" w:lastRow="0" w:firstColumn="0" w:lastColumn="0" w:oddVBand="0" w:evenVBand="0" w:oddHBand="0" w:evenHBand="0" w:firstRowFirstColumn="0" w:firstRowLastColumn="0" w:lastRowFirstColumn="0" w:lastRowLastColumn="0"/>
              <w:rPr>
                <w:highlight w:val="cyan"/>
              </w:rPr>
            </w:pPr>
            <w:r w:rsidRPr="00D93145">
              <w:rPr>
                <w:bCs/>
              </w:rPr>
              <w:t>National Immunisation Program</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5F45C4" w:rsidRPr="00D01DDB" w14:paraId="2D646F9A" w14:textId="77777777" w:rsidTr="00EA6BD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4CEAF1" w14:textId="77777777" w:rsidR="005F45C4" w:rsidRPr="00D01DDB" w:rsidRDefault="005F45C4" w:rsidP="00EA6BD5">
            <w:pPr>
              <w:rPr>
                <w:szCs w:val="22"/>
              </w:rPr>
            </w:pPr>
            <w:r w:rsidRPr="00D01DDB">
              <w:rPr>
                <w:szCs w:val="22"/>
              </w:rPr>
              <w:t>PSUR</w:t>
            </w:r>
          </w:p>
        </w:tc>
        <w:tc>
          <w:tcPr>
            <w:tcW w:w="3800" w:type="pct"/>
          </w:tcPr>
          <w:p w14:paraId="31DE04A1" w14:textId="77777777" w:rsidR="005F45C4" w:rsidRPr="00D01DDB" w:rsidRDefault="005F45C4" w:rsidP="00EA6BD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7E3264" w:rsidRPr="00D01DDB" w14:paraId="34A0BA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2A2758" w14:textId="1C2EC3B9" w:rsidR="007E3264" w:rsidRPr="00D01DDB" w:rsidRDefault="007E3264" w:rsidP="00324B33">
            <w:pPr>
              <w:rPr>
                <w:szCs w:val="22"/>
              </w:rPr>
            </w:pPr>
            <w:r>
              <w:rPr>
                <w:szCs w:val="22"/>
              </w:rPr>
              <w:t>QIV</w:t>
            </w:r>
          </w:p>
        </w:tc>
        <w:tc>
          <w:tcPr>
            <w:tcW w:w="3800" w:type="pct"/>
          </w:tcPr>
          <w:p w14:paraId="14344751" w14:textId="50EF99AA" w:rsidR="007E3264" w:rsidRPr="00D01DDB" w:rsidRDefault="007E3264" w:rsidP="00324B33">
            <w:pPr>
              <w:cnfStyle w:val="000000000000" w:firstRow="0" w:lastRow="0" w:firstColumn="0" w:lastColumn="0" w:oddVBand="0" w:evenVBand="0" w:oddHBand="0" w:evenHBand="0" w:firstRowFirstColumn="0" w:firstRowLastColumn="0" w:lastRowFirstColumn="0" w:lastRowLastColumn="0"/>
              <w:rPr>
                <w:szCs w:val="22"/>
              </w:rPr>
            </w:pPr>
            <w:r>
              <w:t>Q</w:t>
            </w:r>
            <w:r w:rsidRPr="008C7DEC">
              <w:t>uadrivalent influenza vaccine</w:t>
            </w:r>
          </w:p>
        </w:tc>
      </w:tr>
      <w:tr w:rsidR="007E3264" w:rsidRPr="00D01DDB" w14:paraId="346A866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C280D5" w14:textId="1C11C824" w:rsidR="007E3264" w:rsidRPr="00D01DDB" w:rsidRDefault="007E3264" w:rsidP="00324B33">
            <w:pPr>
              <w:rPr>
                <w:szCs w:val="22"/>
              </w:rPr>
            </w:pPr>
            <w:proofErr w:type="spellStart"/>
            <w:r>
              <w:rPr>
                <w:szCs w:val="22"/>
              </w:rPr>
              <w:t>QIVc</w:t>
            </w:r>
            <w:proofErr w:type="spellEnd"/>
          </w:p>
        </w:tc>
        <w:tc>
          <w:tcPr>
            <w:tcW w:w="3800" w:type="pct"/>
          </w:tcPr>
          <w:p w14:paraId="36D56AAF" w14:textId="0CD2F2BB" w:rsidR="007E3264" w:rsidRPr="00D01DDB" w:rsidRDefault="007E3264" w:rsidP="00324B33">
            <w:pPr>
              <w:cnfStyle w:val="000000000000" w:firstRow="0" w:lastRow="0" w:firstColumn="0" w:lastColumn="0" w:oddVBand="0" w:evenVBand="0" w:oddHBand="0" w:evenHBand="0" w:firstRowFirstColumn="0" w:firstRowLastColumn="0" w:lastRowFirstColumn="0" w:lastRowLastColumn="0"/>
              <w:rPr>
                <w:szCs w:val="22"/>
              </w:rPr>
            </w:pPr>
            <w:r>
              <w:t>C</w:t>
            </w:r>
            <w:r w:rsidRPr="008C7DEC">
              <w:t>ell-based quadrivalent subunit influenza virus vaccine;</w:t>
            </w:r>
            <w:r>
              <w:t xml:space="preserve"> Flucelvax Quad</w:t>
            </w:r>
          </w:p>
        </w:tc>
      </w:tr>
      <w:tr w:rsidR="00324B33"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324B33" w:rsidRPr="00D01DDB" w:rsidRDefault="00324B33" w:rsidP="00324B33">
            <w:pPr>
              <w:rPr>
                <w:szCs w:val="22"/>
              </w:rPr>
            </w:pPr>
            <w:r w:rsidRPr="00D01DDB">
              <w:rPr>
                <w:szCs w:val="22"/>
              </w:rPr>
              <w:t>RMP</w:t>
            </w:r>
          </w:p>
        </w:tc>
        <w:tc>
          <w:tcPr>
            <w:tcW w:w="3800" w:type="pct"/>
          </w:tcPr>
          <w:p w14:paraId="2C862F75" w14:textId="2355E842"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3496A" w:rsidRPr="00D01DDB" w14:paraId="35D4DC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A6C6B1" w14:textId="3E98395B" w:rsidR="00C3496A" w:rsidRPr="00D01DDB" w:rsidRDefault="00C3496A" w:rsidP="00324B33">
            <w:pPr>
              <w:rPr>
                <w:szCs w:val="22"/>
              </w:rPr>
            </w:pPr>
            <w:r>
              <w:rPr>
                <w:szCs w:val="22"/>
              </w:rPr>
              <w:t>SAE</w:t>
            </w:r>
          </w:p>
        </w:tc>
        <w:tc>
          <w:tcPr>
            <w:tcW w:w="3800" w:type="pct"/>
          </w:tcPr>
          <w:p w14:paraId="74211FFB" w14:textId="594C2086" w:rsidR="00C3496A" w:rsidRPr="00D01DDB" w:rsidRDefault="00C349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C3496A" w:rsidRPr="00D01DDB" w14:paraId="325D80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D79174" w14:textId="5FB496AC" w:rsidR="00C3496A" w:rsidRDefault="00C3496A" w:rsidP="00324B33">
            <w:pPr>
              <w:rPr>
                <w:szCs w:val="22"/>
              </w:rPr>
            </w:pPr>
            <w:r>
              <w:rPr>
                <w:szCs w:val="22"/>
              </w:rPr>
              <w:t>SOC</w:t>
            </w:r>
          </w:p>
        </w:tc>
        <w:tc>
          <w:tcPr>
            <w:tcW w:w="3800" w:type="pct"/>
          </w:tcPr>
          <w:p w14:paraId="07F3E324" w14:textId="78579802" w:rsidR="00C3496A" w:rsidRPr="00F63D52" w:rsidRDefault="00C3496A" w:rsidP="00324B33">
            <w:pPr>
              <w:cnfStyle w:val="000000000000" w:firstRow="0" w:lastRow="0" w:firstColumn="0" w:lastColumn="0" w:oddVBand="0" w:evenVBand="0" w:oddHBand="0" w:evenHBand="0" w:firstRowFirstColumn="0" w:firstRowLastColumn="0" w:lastRowFirstColumn="0" w:lastRowLastColumn="0"/>
            </w:pPr>
            <w:r>
              <w:rPr>
                <w:rFonts w:eastAsia="TimesNewRoman" w:cs="TimesNewRoman"/>
                <w:lang w:val="en-GB"/>
              </w:rPr>
              <w:t>System Organ Class</w:t>
            </w:r>
          </w:p>
        </w:tc>
      </w:tr>
      <w:tr w:rsidR="00324B33"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324B33" w:rsidRPr="00D01DDB" w:rsidRDefault="00324B33" w:rsidP="00324B33">
            <w:pPr>
              <w:rPr>
                <w:szCs w:val="22"/>
              </w:rPr>
            </w:pPr>
            <w:r w:rsidRPr="00D01DDB">
              <w:rPr>
                <w:szCs w:val="22"/>
              </w:rPr>
              <w:t>TGA</w:t>
            </w:r>
          </w:p>
        </w:tc>
        <w:tc>
          <w:tcPr>
            <w:tcW w:w="3800" w:type="pct"/>
          </w:tcPr>
          <w:p w14:paraId="29EA6BA3" w14:textId="6F99059F"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324B33"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6DD27F31" w:rsidR="00324B33" w:rsidRPr="00D01DDB" w:rsidRDefault="00A60CF8" w:rsidP="00324B33">
            <w:pPr>
              <w:rPr>
                <w:szCs w:val="22"/>
              </w:rPr>
            </w:pPr>
            <w:r>
              <w:rPr>
                <w:szCs w:val="22"/>
              </w:rPr>
              <w:t>WHO</w:t>
            </w:r>
          </w:p>
        </w:tc>
        <w:tc>
          <w:tcPr>
            <w:tcW w:w="3800" w:type="pct"/>
          </w:tcPr>
          <w:p w14:paraId="4458E485" w14:textId="58F86FBF" w:rsidR="00324B33" w:rsidRPr="00D01DDB" w:rsidRDefault="00A60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World Health Organization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360866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360866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588DC728" w:rsidR="00324B33" w:rsidRPr="00BD5DBD" w:rsidRDefault="001D4F6C" w:rsidP="007452E8">
            <w:pPr>
              <w:rPr>
                <w:szCs w:val="22"/>
              </w:rPr>
            </w:pPr>
            <w:r>
              <w:rPr>
                <w:szCs w:val="22"/>
              </w:rPr>
              <w:t>Extension of indication</w:t>
            </w:r>
          </w:p>
        </w:tc>
      </w:tr>
      <w:tr w:rsidR="00324B33" w:rsidRPr="00BD5DBD" w14:paraId="13482B61" w14:textId="77777777" w:rsidTr="00F865A7">
        <w:tc>
          <w:tcPr>
            <w:tcW w:w="1577" w:type="pct"/>
          </w:tcPr>
          <w:p w14:paraId="2C427FCF" w14:textId="7A18F916" w:rsidR="00324B33" w:rsidRPr="00BD5DBD" w:rsidRDefault="00324B33" w:rsidP="007452E8">
            <w:pPr>
              <w:rPr>
                <w:i/>
                <w:szCs w:val="22"/>
              </w:rPr>
            </w:pPr>
            <w:r w:rsidRPr="00BD5DBD">
              <w:rPr>
                <w:i/>
                <w:szCs w:val="22"/>
              </w:rPr>
              <w:t>Product name:</w:t>
            </w:r>
          </w:p>
        </w:tc>
        <w:tc>
          <w:tcPr>
            <w:tcW w:w="3423" w:type="pct"/>
          </w:tcPr>
          <w:p w14:paraId="0E2DEF76" w14:textId="45E69E12" w:rsidR="00324B33" w:rsidRPr="00BD5DBD" w:rsidRDefault="00604889" w:rsidP="007452E8">
            <w:pPr>
              <w:rPr>
                <w:szCs w:val="22"/>
              </w:rPr>
            </w:pPr>
            <w:r>
              <w:rPr>
                <w:szCs w:val="22"/>
              </w:rPr>
              <w:t>Flucelvax Quad</w:t>
            </w:r>
          </w:p>
        </w:tc>
      </w:tr>
      <w:tr w:rsidR="00324B33" w:rsidRPr="00BD5DBD" w14:paraId="01255B5B" w14:textId="77777777" w:rsidTr="00F865A7">
        <w:tc>
          <w:tcPr>
            <w:tcW w:w="1577" w:type="pct"/>
          </w:tcPr>
          <w:p w14:paraId="52B4F3D7" w14:textId="58641649" w:rsidR="00324B33" w:rsidRPr="00BD5DBD" w:rsidRDefault="00324B33" w:rsidP="007452E8">
            <w:pPr>
              <w:rPr>
                <w:i/>
                <w:szCs w:val="22"/>
              </w:rPr>
            </w:pPr>
            <w:r w:rsidRPr="00BD5DBD">
              <w:rPr>
                <w:i/>
                <w:szCs w:val="22"/>
              </w:rPr>
              <w:t>Active ingredient:</w:t>
            </w:r>
          </w:p>
        </w:tc>
        <w:tc>
          <w:tcPr>
            <w:tcW w:w="3423" w:type="pct"/>
          </w:tcPr>
          <w:p w14:paraId="02FB6383" w14:textId="60D52008" w:rsidR="00324B33" w:rsidRPr="00BD5DBD" w:rsidRDefault="00091561" w:rsidP="007452E8">
            <w:pPr>
              <w:rPr>
                <w:szCs w:val="22"/>
              </w:rPr>
            </w:pPr>
            <w:r>
              <w:t>Influenza virus haemagglutinin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F0B8E3C"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BFC91FA" w:rsidR="00AE1947" w:rsidRPr="00BD5DBD" w:rsidRDefault="00AE1947" w:rsidP="00EC47A0">
            <w:r w:rsidRPr="00BD5DBD">
              <w:rPr>
                <w:i/>
                <w:szCs w:val="22"/>
              </w:rPr>
              <w:t>Date of decision:</w:t>
            </w:r>
          </w:p>
        </w:tc>
        <w:tc>
          <w:tcPr>
            <w:tcW w:w="3423" w:type="pct"/>
          </w:tcPr>
          <w:p w14:paraId="7B381CD6" w14:textId="20047117" w:rsidR="00AE1947" w:rsidRPr="00BD5DBD" w:rsidRDefault="000A67D7" w:rsidP="00EA6BD5">
            <w:pPr>
              <w:rPr>
                <w:szCs w:val="22"/>
              </w:rPr>
            </w:pPr>
            <w:r>
              <w:rPr>
                <w:szCs w:val="22"/>
              </w:rPr>
              <w:t>28 July 2023</w:t>
            </w:r>
          </w:p>
        </w:tc>
      </w:tr>
      <w:tr w:rsidR="00324B33" w:rsidRPr="00BD5DBD" w14:paraId="60A25F5A" w14:textId="77777777" w:rsidTr="00F865A7">
        <w:tc>
          <w:tcPr>
            <w:tcW w:w="1577" w:type="pct"/>
          </w:tcPr>
          <w:p w14:paraId="5C5E4CBA" w14:textId="46AA5898" w:rsidR="00324B33" w:rsidRPr="00BD5DBD" w:rsidRDefault="00324B33" w:rsidP="007452E8">
            <w:pPr>
              <w:rPr>
                <w:i/>
                <w:szCs w:val="22"/>
              </w:rPr>
            </w:pPr>
            <w:r w:rsidRPr="00BD5DBD">
              <w:rPr>
                <w:i/>
                <w:szCs w:val="22"/>
              </w:rPr>
              <w:t xml:space="preserve">Date of entry </w:t>
            </w:r>
            <w:r w:rsidR="006962B6">
              <w:rPr>
                <w:i/>
                <w:szCs w:val="22"/>
              </w:rPr>
              <w:t>i</w:t>
            </w:r>
            <w:r w:rsidRPr="00BD5DBD">
              <w:rPr>
                <w:i/>
                <w:szCs w:val="22"/>
              </w:rPr>
              <w:t>nto ARTG:</w:t>
            </w:r>
          </w:p>
        </w:tc>
        <w:tc>
          <w:tcPr>
            <w:tcW w:w="3423" w:type="pct"/>
          </w:tcPr>
          <w:p w14:paraId="28B270E9" w14:textId="31919CF6" w:rsidR="00324B33" w:rsidRPr="00BD5DBD" w:rsidRDefault="000A67D7" w:rsidP="007452E8">
            <w:pPr>
              <w:rPr>
                <w:szCs w:val="22"/>
              </w:rPr>
            </w:pPr>
            <w:r>
              <w:rPr>
                <w:szCs w:val="22"/>
              </w:rPr>
              <w:t>31 July 2023</w:t>
            </w:r>
          </w:p>
        </w:tc>
      </w:tr>
      <w:tr w:rsidR="00324B33" w:rsidRPr="00BD5DBD" w14:paraId="547E08D7" w14:textId="77777777" w:rsidTr="00F865A7">
        <w:tc>
          <w:tcPr>
            <w:tcW w:w="1577" w:type="pct"/>
          </w:tcPr>
          <w:p w14:paraId="5030EF30" w14:textId="53B4EA1C" w:rsidR="00324B33" w:rsidRPr="00BD5DBD" w:rsidRDefault="00324B33" w:rsidP="007452E8">
            <w:pPr>
              <w:rPr>
                <w:i/>
                <w:szCs w:val="22"/>
              </w:rPr>
            </w:pPr>
            <w:r w:rsidRPr="00BD5DBD">
              <w:rPr>
                <w:i/>
                <w:szCs w:val="22"/>
              </w:rPr>
              <w:t>ARTG numbers:</w:t>
            </w:r>
          </w:p>
        </w:tc>
        <w:tc>
          <w:tcPr>
            <w:tcW w:w="3423" w:type="pct"/>
          </w:tcPr>
          <w:p w14:paraId="0054E912" w14:textId="267676D7" w:rsidR="00324B33" w:rsidRPr="00BD5DBD" w:rsidRDefault="008A46FC" w:rsidP="007452E8">
            <w:pPr>
              <w:rPr>
                <w:szCs w:val="22"/>
              </w:rPr>
            </w:pPr>
            <w:r w:rsidRPr="008A46FC">
              <w:rPr>
                <w:szCs w:val="22"/>
              </w:rPr>
              <w:t>319093</w:t>
            </w:r>
            <w:r>
              <w:rPr>
                <w:szCs w:val="22"/>
              </w:rPr>
              <w:t xml:space="preserve"> and </w:t>
            </w:r>
            <w:r w:rsidRPr="008A46FC">
              <w:rPr>
                <w:szCs w:val="22"/>
              </w:rPr>
              <w:t>341450</w:t>
            </w:r>
          </w:p>
        </w:tc>
      </w:tr>
      <w:tr w:rsidR="00324B33" w:rsidRPr="00BD5DBD" w14:paraId="7618393F" w14:textId="77777777" w:rsidTr="00F865A7">
        <w:tc>
          <w:tcPr>
            <w:tcW w:w="1577" w:type="pct"/>
          </w:tcPr>
          <w:p w14:paraId="02260DE2" w14:textId="35751202" w:rsidR="00105AFB" w:rsidRPr="00BD5DBD" w:rsidRDefault="00324B33" w:rsidP="007452E8">
            <w:pPr>
              <w:rPr>
                <w:i/>
                <w:szCs w:val="22"/>
              </w:rPr>
            </w:pPr>
            <w:r w:rsidRPr="00BD5DBD">
              <w:rPr>
                <w:rFonts w:ascii="Wingdings 3" w:hAnsi="Wingdings 3"/>
                <w:szCs w:val="22"/>
                <w:lang w:eastAsia="en-AU"/>
              </w:rPr>
              <w:t></w:t>
            </w:r>
            <w:hyperlink r:id="rId19" w:history="1">
              <w:r w:rsidR="00105AFB">
                <w:rPr>
                  <w:rStyle w:val="Hyperlink"/>
                </w:rPr>
                <w:t>Black Triangle Scheme</w:t>
              </w:r>
            </w:hyperlink>
          </w:p>
        </w:tc>
        <w:tc>
          <w:tcPr>
            <w:tcW w:w="3423" w:type="pct"/>
          </w:tcPr>
          <w:p w14:paraId="6FF3C6A2" w14:textId="4ADE6887"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31693D96" w14:textId="77777777" w:rsidR="002A3380" w:rsidRPr="002A3380" w:rsidRDefault="002A3380" w:rsidP="002A3380">
            <w:pPr>
              <w:rPr>
                <w:szCs w:val="22"/>
              </w:rPr>
            </w:pPr>
            <w:r w:rsidRPr="002A3380">
              <w:rPr>
                <w:szCs w:val="22"/>
              </w:rPr>
              <w:t>Seqirus Pty Ltd</w:t>
            </w:r>
          </w:p>
          <w:p w14:paraId="2D6C80B4" w14:textId="77777777" w:rsidR="002A3380" w:rsidRPr="002A3380" w:rsidRDefault="002A3380" w:rsidP="002A3380">
            <w:pPr>
              <w:rPr>
                <w:szCs w:val="22"/>
              </w:rPr>
            </w:pPr>
            <w:r w:rsidRPr="002A3380">
              <w:rPr>
                <w:szCs w:val="22"/>
              </w:rPr>
              <w:t>63 Poplar Road</w:t>
            </w:r>
          </w:p>
          <w:p w14:paraId="68DD94B0" w14:textId="09D01297" w:rsidR="00324B33" w:rsidRPr="00BD5DBD" w:rsidRDefault="002A3380" w:rsidP="002A3380">
            <w:pPr>
              <w:rPr>
                <w:szCs w:val="22"/>
              </w:rPr>
            </w:pPr>
            <w:r w:rsidRPr="002A3380">
              <w:rPr>
                <w:szCs w:val="22"/>
              </w:rPr>
              <w:t>Parkville</w:t>
            </w:r>
            <w:r>
              <w:rPr>
                <w:szCs w:val="22"/>
              </w:rPr>
              <w:t xml:space="preserve"> </w:t>
            </w:r>
            <w:r w:rsidRPr="002A3380">
              <w:rPr>
                <w:szCs w:val="22"/>
              </w:rPr>
              <w:t>VIC</w:t>
            </w:r>
            <w:r>
              <w:rPr>
                <w:szCs w:val="22"/>
              </w:rPr>
              <w:t xml:space="preserve"> </w:t>
            </w:r>
            <w:r w:rsidRPr="002A3380">
              <w:rPr>
                <w:szCs w:val="22"/>
              </w:rPr>
              <w:t>3052</w:t>
            </w:r>
          </w:p>
        </w:tc>
      </w:tr>
      <w:tr w:rsidR="00324B33" w:rsidRPr="00BD5DBD" w14:paraId="5322B989" w14:textId="77777777" w:rsidTr="00F865A7">
        <w:tc>
          <w:tcPr>
            <w:tcW w:w="1577" w:type="pct"/>
          </w:tcPr>
          <w:p w14:paraId="24F217E3" w14:textId="53542754" w:rsidR="00324B33" w:rsidRPr="00BD5DBD" w:rsidRDefault="00324B33" w:rsidP="007452E8">
            <w:pPr>
              <w:rPr>
                <w:i/>
                <w:szCs w:val="22"/>
              </w:rPr>
            </w:pPr>
            <w:r w:rsidRPr="00BD5DBD">
              <w:rPr>
                <w:i/>
                <w:szCs w:val="22"/>
              </w:rPr>
              <w:t>Dose form:</w:t>
            </w:r>
          </w:p>
        </w:tc>
        <w:tc>
          <w:tcPr>
            <w:tcW w:w="3423" w:type="pct"/>
          </w:tcPr>
          <w:p w14:paraId="768B254C" w14:textId="4376FB83" w:rsidR="00324B33" w:rsidRPr="00BD5DBD" w:rsidRDefault="00C3356B" w:rsidP="007452E8">
            <w:pPr>
              <w:rPr>
                <w:szCs w:val="22"/>
              </w:rPr>
            </w:pPr>
            <w:r>
              <w:rPr>
                <w:szCs w:val="22"/>
              </w:rPr>
              <w:t>Suspension for injection</w:t>
            </w:r>
          </w:p>
        </w:tc>
      </w:tr>
      <w:tr w:rsidR="00324B33" w:rsidRPr="00BD5DBD" w14:paraId="115243E6" w14:textId="77777777" w:rsidTr="00F865A7">
        <w:tc>
          <w:tcPr>
            <w:tcW w:w="1577" w:type="pct"/>
          </w:tcPr>
          <w:p w14:paraId="7634B062" w14:textId="520FD2B2" w:rsidR="00324B33" w:rsidRPr="00BD5DBD" w:rsidRDefault="00324B33" w:rsidP="007452E8">
            <w:pPr>
              <w:rPr>
                <w:i/>
                <w:szCs w:val="22"/>
              </w:rPr>
            </w:pPr>
            <w:r w:rsidRPr="00BD5DBD">
              <w:rPr>
                <w:i/>
                <w:szCs w:val="22"/>
              </w:rPr>
              <w:t>Strength:</w:t>
            </w:r>
          </w:p>
        </w:tc>
        <w:tc>
          <w:tcPr>
            <w:tcW w:w="3423" w:type="pct"/>
          </w:tcPr>
          <w:p w14:paraId="5E5F83DB" w14:textId="6FF66A86" w:rsidR="00324B33" w:rsidRPr="00BD5DBD" w:rsidRDefault="00245CE9" w:rsidP="007452E8">
            <w:pPr>
              <w:rPr>
                <w:szCs w:val="22"/>
              </w:rPr>
            </w:pPr>
            <w:r>
              <w:t>Each 0.5</w:t>
            </w:r>
            <w:r w:rsidR="00047C23">
              <w:t> </w:t>
            </w:r>
            <w:r>
              <w:t>mL dose contains a total of 60</w:t>
            </w:r>
            <w:r w:rsidR="00047C23">
              <w:t> </w:t>
            </w:r>
            <w:r>
              <w:t>µg influenza virus surface antigens (haemagglutinin</w:t>
            </w:r>
            <w:r w:rsidR="00A06431">
              <w:t xml:space="preserve"> and neuraminidase</w:t>
            </w:r>
            <w:r>
              <w:t>), comprised of 15</w:t>
            </w:r>
            <w:r w:rsidR="00CE1EF4">
              <w:t> </w:t>
            </w:r>
            <w:r>
              <w:t>µg haemagglutinin for each of four strains</w:t>
            </w:r>
            <w:r w:rsidR="00ED659D">
              <w:t xml:space="preserve"> as recommended by the Australian Influenza Vaccine Committee for the Southern Hemisphere Influenza season.</w:t>
            </w:r>
          </w:p>
        </w:tc>
      </w:tr>
      <w:tr w:rsidR="00324B33" w:rsidRPr="00BD5DBD" w14:paraId="34B07BA6" w14:textId="77777777" w:rsidTr="00F865A7">
        <w:tc>
          <w:tcPr>
            <w:tcW w:w="1577" w:type="pct"/>
          </w:tcPr>
          <w:p w14:paraId="1C039224" w14:textId="17DA460F" w:rsidR="00324B33" w:rsidRPr="00BD5DBD" w:rsidRDefault="00324B33" w:rsidP="007452E8">
            <w:pPr>
              <w:rPr>
                <w:i/>
                <w:szCs w:val="22"/>
              </w:rPr>
            </w:pPr>
            <w:r w:rsidRPr="00BD5DBD">
              <w:rPr>
                <w:i/>
                <w:szCs w:val="22"/>
              </w:rPr>
              <w:t>Container</w:t>
            </w:r>
            <w:r w:rsidR="00E51D21">
              <w:rPr>
                <w:i/>
                <w:szCs w:val="22"/>
              </w:rPr>
              <w:t>s</w:t>
            </w:r>
            <w:r w:rsidRPr="00BD5DBD">
              <w:rPr>
                <w:i/>
                <w:szCs w:val="22"/>
              </w:rPr>
              <w:t>:</w:t>
            </w:r>
          </w:p>
        </w:tc>
        <w:tc>
          <w:tcPr>
            <w:tcW w:w="3423" w:type="pct"/>
          </w:tcPr>
          <w:p w14:paraId="500A42C6" w14:textId="50A757BF" w:rsidR="00324B33" w:rsidRPr="00BD5DBD" w:rsidRDefault="00E51D21" w:rsidP="007452E8">
            <w:pPr>
              <w:rPr>
                <w:szCs w:val="22"/>
              </w:rPr>
            </w:pPr>
            <w:r>
              <w:t>Pre-filled syringe (needle free) and pre-filled syringe (with attached needle)</w:t>
            </w:r>
          </w:p>
        </w:tc>
      </w:tr>
      <w:tr w:rsidR="00324B33" w:rsidRPr="00BD5DBD" w14:paraId="176B6773" w14:textId="77777777" w:rsidTr="00F865A7">
        <w:tc>
          <w:tcPr>
            <w:tcW w:w="1577" w:type="pct"/>
          </w:tcPr>
          <w:p w14:paraId="71846159" w14:textId="656F3FE0" w:rsidR="00324B33" w:rsidRPr="00BD5DBD" w:rsidRDefault="00324B33" w:rsidP="007452E8">
            <w:pPr>
              <w:rPr>
                <w:i/>
                <w:szCs w:val="22"/>
              </w:rPr>
            </w:pPr>
            <w:r w:rsidRPr="00BD5DBD">
              <w:rPr>
                <w:i/>
                <w:szCs w:val="22"/>
              </w:rPr>
              <w:t>Pack sizes:</w:t>
            </w:r>
          </w:p>
        </w:tc>
        <w:tc>
          <w:tcPr>
            <w:tcW w:w="3423" w:type="pct"/>
          </w:tcPr>
          <w:p w14:paraId="7E978F8F" w14:textId="486B35BD" w:rsidR="00324B33" w:rsidRPr="00BD5DBD" w:rsidRDefault="003158AF" w:rsidP="007452E8">
            <w:pPr>
              <w:rPr>
                <w:szCs w:val="22"/>
              </w:rPr>
            </w:pPr>
            <w:r>
              <w:rPr>
                <w:szCs w:val="22"/>
              </w:rPr>
              <w:t>1 and 10 syringes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16225AD0" w14:textId="19810D2A" w:rsidR="001354DE" w:rsidRPr="001354DE" w:rsidRDefault="001354DE" w:rsidP="001354DE">
            <w:pPr>
              <w:rPr>
                <w:i/>
                <w:iCs/>
                <w:szCs w:val="22"/>
              </w:rPr>
            </w:pPr>
            <w:r w:rsidRPr="001354DE">
              <w:rPr>
                <w:i/>
                <w:iCs/>
                <w:szCs w:val="22"/>
              </w:rPr>
              <w:t>For the prevention of influenza caused by Influenza Virus, Types A and B contained in</w:t>
            </w:r>
            <w:r>
              <w:rPr>
                <w:i/>
                <w:iCs/>
                <w:szCs w:val="22"/>
              </w:rPr>
              <w:t xml:space="preserve"> </w:t>
            </w:r>
            <w:r w:rsidRPr="001354DE">
              <w:rPr>
                <w:i/>
                <w:iCs/>
                <w:szCs w:val="22"/>
              </w:rPr>
              <w:t>the vaccine. The vaccine is indicated for use in adults and children 6 months of age and</w:t>
            </w:r>
            <w:r>
              <w:rPr>
                <w:i/>
                <w:iCs/>
                <w:szCs w:val="22"/>
              </w:rPr>
              <w:t xml:space="preserve"> </w:t>
            </w:r>
            <w:r w:rsidRPr="001354DE">
              <w:rPr>
                <w:i/>
                <w:iCs/>
                <w:szCs w:val="22"/>
              </w:rPr>
              <w:t>older.</w:t>
            </w:r>
          </w:p>
          <w:p w14:paraId="6E143E2E" w14:textId="15F8358E" w:rsidR="00324B33" w:rsidRPr="001354DE" w:rsidRDefault="001354DE" w:rsidP="001354DE">
            <w:pPr>
              <w:rPr>
                <w:i/>
                <w:iCs/>
                <w:szCs w:val="22"/>
              </w:rPr>
            </w:pPr>
            <w:r w:rsidRPr="001354DE">
              <w:rPr>
                <w:i/>
                <w:iCs/>
                <w:szCs w:val="22"/>
              </w:rPr>
              <w:t>For full details regarding recommendations for influenza vaccination, please refer to the</w:t>
            </w:r>
            <w:r>
              <w:rPr>
                <w:i/>
                <w:iCs/>
                <w:szCs w:val="22"/>
              </w:rPr>
              <w:t xml:space="preserve"> </w:t>
            </w:r>
            <w:r w:rsidRPr="001354DE">
              <w:rPr>
                <w:i/>
                <w:iCs/>
                <w:szCs w:val="22"/>
              </w:rPr>
              <w:t>relevant national immunisation guidelines.</w:t>
            </w:r>
          </w:p>
        </w:tc>
      </w:tr>
      <w:tr w:rsidR="00324B33" w:rsidRPr="00BD5DBD" w14:paraId="5AFDEED3" w14:textId="77777777" w:rsidTr="00F865A7">
        <w:tc>
          <w:tcPr>
            <w:tcW w:w="1577" w:type="pct"/>
          </w:tcPr>
          <w:p w14:paraId="03884BD1" w14:textId="34CE9FFF" w:rsidR="00324B33" w:rsidRPr="00BD5DBD" w:rsidRDefault="00324B33" w:rsidP="007452E8">
            <w:pPr>
              <w:rPr>
                <w:i/>
                <w:szCs w:val="22"/>
              </w:rPr>
            </w:pPr>
            <w:r w:rsidRPr="00BD5DBD">
              <w:rPr>
                <w:i/>
                <w:szCs w:val="22"/>
              </w:rPr>
              <w:t>Route of administration:</w:t>
            </w:r>
          </w:p>
        </w:tc>
        <w:tc>
          <w:tcPr>
            <w:tcW w:w="3423" w:type="pct"/>
          </w:tcPr>
          <w:p w14:paraId="1ED1357E" w14:textId="684310F4" w:rsidR="00324B33" w:rsidRPr="00BD5DBD" w:rsidRDefault="003158AF" w:rsidP="007452E8">
            <w:pPr>
              <w:rPr>
                <w:szCs w:val="22"/>
              </w:rPr>
            </w:pPr>
            <w:r>
              <w:rPr>
                <w:szCs w:val="22"/>
              </w:rPr>
              <w:t>Intramuscular</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AAE15B6" w14:textId="548E80CE" w:rsidR="00F67DEB" w:rsidRDefault="00F67DEB" w:rsidP="007452E8">
            <w:r>
              <w:t xml:space="preserve">Children from </w:t>
            </w:r>
            <w:r w:rsidR="00305013">
              <w:t>6</w:t>
            </w:r>
            <w:r w:rsidR="001108EE">
              <w:t> </w:t>
            </w:r>
            <w:r w:rsidR="00305013">
              <w:t xml:space="preserve">months to less than </w:t>
            </w:r>
            <w:r>
              <w:t>9</w:t>
            </w:r>
            <w:r w:rsidR="001108EE">
              <w:t> </w:t>
            </w:r>
            <w:r>
              <w:t>years of age should receive one or two 0.5</w:t>
            </w:r>
            <w:r w:rsidR="00B35650">
              <w:t> </w:t>
            </w:r>
            <w:r>
              <w:t xml:space="preserve">mL doses. Children less than 9 years of age who have not been previously vaccinated against influenza should receive a second dose. The </w:t>
            </w:r>
            <w:r w:rsidR="001108EE">
              <w:t>2 </w:t>
            </w:r>
            <w:r>
              <w:t>doses should be administered at least 4</w:t>
            </w:r>
            <w:r w:rsidR="001108EE">
              <w:t> </w:t>
            </w:r>
            <w:r>
              <w:t>weeks apart.</w:t>
            </w:r>
          </w:p>
          <w:p w14:paraId="206E1449" w14:textId="6CA24456" w:rsidR="001108EE" w:rsidRDefault="001108EE" w:rsidP="001108EE">
            <w:r>
              <w:t>Adults and children from 9 years of age should receive a single 0.5 mL dose.</w:t>
            </w:r>
          </w:p>
          <w:p w14:paraId="3D0B2D5C" w14:textId="73A51D9D" w:rsidR="00324B33" w:rsidRPr="00BD5DBD" w:rsidRDefault="00324B33" w:rsidP="001108EE">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14084FE8" w14:textId="0BBC6FE0" w:rsidR="001D4F6C" w:rsidRDefault="001D4F6C" w:rsidP="007452E8">
            <w:pPr>
              <w:rPr>
                <w:szCs w:val="22"/>
              </w:rPr>
            </w:pPr>
            <w:r>
              <w:rPr>
                <w:szCs w:val="22"/>
              </w:rPr>
              <w:t>A</w:t>
            </w:r>
          </w:p>
          <w:p w14:paraId="6E1B2B73" w14:textId="59B339D4" w:rsidR="009127EE" w:rsidRDefault="00765D15" w:rsidP="00765D15">
            <w:pPr>
              <w:rPr>
                <w:szCs w:val="22"/>
              </w:rPr>
            </w:pPr>
            <w:r w:rsidRPr="00765D15">
              <w:rPr>
                <w:szCs w:val="22"/>
              </w:rPr>
              <w:t xml:space="preserve">Drugs which have been taken by </w:t>
            </w:r>
            <w:proofErr w:type="gramStart"/>
            <w:r w:rsidRPr="00765D15">
              <w:rPr>
                <w:szCs w:val="22"/>
              </w:rPr>
              <w:t>a large number of</w:t>
            </w:r>
            <w:proofErr w:type="gramEnd"/>
            <w:r w:rsidRPr="00765D15">
              <w:rPr>
                <w:szCs w:val="22"/>
              </w:rPr>
              <w:t xml:space="preserve"> pregnant women and women of childbearing age without any proven increase in the frequency of malformations or other direct or indirect harmful effects on the fetus having been observed</w:t>
            </w:r>
            <w:r>
              <w:rPr>
                <w:szCs w:val="22"/>
              </w:rPr>
              <w:t>.</w:t>
            </w:r>
          </w:p>
          <w:p w14:paraId="5E2AA3D6" w14:textId="7F98CD0F" w:rsidR="00324B33" w:rsidRPr="00BD5DBD" w:rsidRDefault="00324B33" w:rsidP="00797D9A">
            <w:pPr>
              <w:rPr>
                <w:szCs w:val="22"/>
              </w:rPr>
            </w:pPr>
            <w:r w:rsidRPr="00BD5DBD">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797D9A">
              <w:rPr>
                <w:szCs w:val="22"/>
              </w:rPr>
              <w:t>s</w:t>
            </w:r>
            <w:r w:rsidRPr="00BD5DBD">
              <w:rPr>
                <w:szCs w:val="22"/>
              </w:rPr>
              <w:t xml:space="preserve">tate or </w:t>
            </w:r>
            <w:r w:rsidR="00797D9A">
              <w:rPr>
                <w:szCs w:val="22"/>
              </w:rPr>
              <w:t>t</w:t>
            </w:r>
            <w:r w:rsidRPr="00BD5DBD">
              <w:rPr>
                <w:szCs w:val="22"/>
              </w:rPr>
              <w: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3608666"/>
      <w:r>
        <w:t>Product background</w:t>
      </w:r>
      <w:bookmarkEnd w:id="11"/>
      <w:bookmarkEnd w:id="12"/>
      <w:bookmarkEnd w:id="13"/>
      <w:bookmarkEnd w:id="14"/>
    </w:p>
    <w:p w14:paraId="56B27CF2" w14:textId="0DA2ADA9" w:rsidR="00324B33" w:rsidRPr="00BD5DBD" w:rsidRDefault="00324B33" w:rsidP="00AA5281">
      <w:pPr>
        <w:rPr>
          <w:szCs w:val="22"/>
        </w:rPr>
      </w:pPr>
      <w:r w:rsidRPr="00BD5DBD">
        <w:rPr>
          <w:szCs w:val="22"/>
        </w:rPr>
        <w:t xml:space="preserve">This AusPAR describes the submission by </w:t>
      </w:r>
      <w:r w:rsidR="00625542">
        <w:rPr>
          <w:szCs w:val="22"/>
        </w:rPr>
        <w:t>Seqirus Pty Ltd</w:t>
      </w:r>
      <w:r w:rsidRPr="00BD5DBD">
        <w:rPr>
          <w:szCs w:val="22"/>
        </w:rPr>
        <w:t xml:space="preserve"> (the sponsor) to register </w:t>
      </w:r>
      <w:r w:rsidR="00625542">
        <w:rPr>
          <w:szCs w:val="22"/>
        </w:rPr>
        <w:t>Flucelvax Quad</w:t>
      </w:r>
      <w:r w:rsidR="00B835D7">
        <w:rPr>
          <w:szCs w:val="22"/>
        </w:rPr>
        <w:t>, a</w:t>
      </w:r>
      <w:r w:rsidR="00AA5281">
        <w:rPr>
          <w:szCs w:val="22"/>
        </w:rPr>
        <w:t xml:space="preserve"> q</w:t>
      </w:r>
      <w:r w:rsidR="00AA5281" w:rsidRPr="00AA5281">
        <w:rPr>
          <w:szCs w:val="22"/>
        </w:rPr>
        <w:t>uadrivalent influenza vaccine (surface antigen, inactivated, prepared in cell cultures)</w:t>
      </w:r>
      <w:r w:rsidR="00880635">
        <w:rPr>
          <w:szCs w:val="22"/>
        </w:rPr>
        <w:t xml:space="preserve"> </w:t>
      </w:r>
      <w:r w:rsidR="00AA5281" w:rsidRPr="00AA5281">
        <w:rPr>
          <w:szCs w:val="22"/>
        </w:rPr>
        <w:t xml:space="preserve">suspension for injection </w:t>
      </w:r>
      <w:r w:rsidR="00880635">
        <w:rPr>
          <w:szCs w:val="22"/>
        </w:rPr>
        <w:t xml:space="preserve">in pre-filled syringes </w:t>
      </w:r>
      <w:r w:rsidR="00AA5281" w:rsidRPr="00AA5281">
        <w:rPr>
          <w:szCs w:val="22"/>
        </w:rPr>
        <w:t xml:space="preserve">containing </w:t>
      </w:r>
      <w:r w:rsidR="00880635">
        <w:rPr>
          <w:szCs w:val="22"/>
        </w:rPr>
        <w:t xml:space="preserve">60 </w:t>
      </w:r>
      <w:r w:rsidR="00880635">
        <w:t>µg</w:t>
      </w:r>
      <w:r w:rsidR="00880635">
        <w:rPr>
          <w:szCs w:val="22"/>
        </w:rPr>
        <w:t xml:space="preserve"> i</w:t>
      </w:r>
      <w:r w:rsidR="00AA5281" w:rsidRPr="00AA5281">
        <w:rPr>
          <w:szCs w:val="22"/>
        </w:rPr>
        <w:t>nfluenza virus haemagglutinin as active ingredient</w:t>
      </w:r>
      <w:r w:rsidRPr="00BD5DBD">
        <w:rPr>
          <w:szCs w:val="22"/>
        </w:rPr>
        <w:t xml:space="preserve"> for the following proposed extension of indication:</w:t>
      </w:r>
      <w:r w:rsidR="00D63760" w:rsidRPr="00BD5DBD">
        <w:rPr>
          <w:rStyle w:val="FootnoteReference"/>
          <w:szCs w:val="22"/>
        </w:rPr>
        <w:footnoteReference w:id="2"/>
      </w:r>
    </w:p>
    <w:p w14:paraId="7BA0E5D5" w14:textId="769AAD49" w:rsidR="006B1E05" w:rsidRPr="006B1E05" w:rsidRDefault="006B1E05" w:rsidP="006B1E05">
      <w:pPr>
        <w:ind w:left="720"/>
        <w:rPr>
          <w:i/>
        </w:rPr>
      </w:pPr>
      <w:r w:rsidRPr="006B1E05">
        <w:rPr>
          <w:i/>
        </w:rPr>
        <w:t>For the prevention of influenza caused by Influenza Virus, Types A and B contained in the vaccine. The vaccine is indicated for use in adults and children 6 months of age and older.</w:t>
      </w:r>
    </w:p>
    <w:p w14:paraId="005198B9" w14:textId="02EA1614" w:rsidR="006B1E05" w:rsidRPr="006B1E05" w:rsidRDefault="006B1E05" w:rsidP="006B1E05">
      <w:pPr>
        <w:ind w:left="720"/>
        <w:rPr>
          <w:i/>
        </w:rPr>
      </w:pPr>
      <w:r w:rsidRPr="006B1E05">
        <w:rPr>
          <w:i/>
        </w:rPr>
        <w:t>For full details regarding recommendations for influenza vaccination, please refer to the relevant national immunisation guidelines.</w:t>
      </w:r>
    </w:p>
    <w:p w14:paraId="6539A6BB" w14:textId="0FD2207A" w:rsidR="00312153" w:rsidRDefault="00312153" w:rsidP="00312153">
      <w:r w:rsidRPr="00CF656A">
        <w:t xml:space="preserve">Influenza, commonly known as </w:t>
      </w:r>
      <w:r>
        <w:t>‘</w:t>
      </w:r>
      <w:r w:rsidRPr="00CF656A">
        <w:t>the flu</w:t>
      </w:r>
      <w:r>
        <w:t>’</w:t>
      </w:r>
      <w:r w:rsidRPr="00CF656A">
        <w:t>, is a highly infectious diseas</w:t>
      </w:r>
      <w:r>
        <w:t xml:space="preserve">e caused by the influenza virus, </w:t>
      </w:r>
      <w:r w:rsidRPr="00CF656A">
        <w:t>an orthomyxovirus</w:t>
      </w:r>
      <w:r>
        <w:t xml:space="preserve">. </w:t>
      </w:r>
      <w:r w:rsidRPr="00F55C23">
        <w:t xml:space="preserve">There are </w:t>
      </w:r>
      <w:r w:rsidR="00510E89">
        <w:t>4</w:t>
      </w:r>
      <w:r w:rsidRPr="00F55C23">
        <w:t xml:space="preserve"> types of influenza viruses: A, B, C, and D. Types A and B are responsible for </w:t>
      </w:r>
      <w:r w:rsidRPr="00353566">
        <w:t>most influenza infection in human</w:t>
      </w:r>
      <w:r w:rsidR="00A21B71">
        <w:t>s</w:t>
      </w:r>
      <w:r w:rsidRPr="00353566">
        <w:t>.</w:t>
      </w:r>
      <w:bookmarkStart w:id="15" w:name="_Ref143242802"/>
      <w:r w:rsidRPr="00353566">
        <w:rPr>
          <w:vertAlign w:val="superscript"/>
        </w:rPr>
        <w:footnoteReference w:id="3"/>
      </w:r>
      <w:bookmarkEnd w:id="15"/>
      <w:r w:rsidRPr="00353566">
        <w:rPr>
          <w:vertAlign w:val="superscript"/>
        </w:rPr>
        <w:t xml:space="preserve"> </w:t>
      </w:r>
      <w:r w:rsidRPr="00353566">
        <w:t xml:space="preserve">Influenza A viruses are divided into subtypes based on </w:t>
      </w:r>
      <w:r w:rsidR="0041411E" w:rsidRPr="00353566">
        <w:t>the surface glycoprotein antigens</w:t>
      </w:r>
      <w:r w:rsidR="003C1284" w:rsidRPr="00353566">
        <w:t xml:space="preserve"> haem</w:t>
      </w:r>
      <w:r w:rsidR="003C1284" w:rsidRPr="00A60CF8">
        <w:t>agglutinin (</w:t>
      </w:r>
      <w:r w:rsidRPr="00A60CF8">
        <w:t>HA</w:t>
      </w:r>
      <w:r w:rsidR="003C1284" w:rsidRPr="00A60CF8">
        <w:t>)</w:t>
      </w:r>
      <w:r w:rsidRPr="00A60CF8">
        <w:t xml:space="preserve"> and </w:t>
      </w:r>
      <w:r w:rsidR="003C1284" w:rsidRPr="00A60CF8">
        <w:t>neu</w:t>
      </w:r>
      <w:r w:rsidR="000E6C23" w:rsidRPr="00A60CF8">
        <w:t>raminidase</w:t>
      </w:r>
      <w:r w:rsidRPr="00A60CF8">
        <w:t>.</w:t>
      </w:r>
      <w:r w:rsidRPr="00F55C23">
        <w:t xml:space="preserve"> Influenza B viruses are separated into </w:t>
      </w:r>
      <w:r w:rsidR="00353566">
        <w:t>2</w:t>
      </w:r>
      <w:r w:rsidRPr="00F55C23">
        <w:t xml:space="preserve"> distinct genetic lineages: Yamagata and Victoria. Influenza type A viruses have been isolated from several non-human species, including birds, horses, and swine, whereas influenza type B viruses almost exclusively affect humans. The influenza A or B surface HA glycoprotein is the key antigen involved in attachment of the virus to receptors on respiratory epithelial cells, whereas the </w:t>
      </w:r>
      <w:r w:rsidR="006962B6">
        <w:t>neuraminidase</w:t>
      </w:r>
      <w:r w:rsidRPr="00F55C23">
        <w:t xml:space="preserve"> glycoprotein is involved in release of the virus from the cell surface.</w:t>
      </w:r>
    </w:p>
    <w:p w14:paraId="6FBE3C02" w14:textId="7026EF3D" w:rsidR="00312153" w:rsidRPr="00F55C23" w:rsidRDefault="00312153" w:rsidP="00312153">
      <w:r w:rsidRPr="00F55C23">
        <w:t>Novel influenza strains arise from antigenic drift due to random accumulation of mutations, particularly in the HA gene.</w:t>
      </w:r>
      <w:r w:rsidRPr="00F55C23">
        <w:rPr>
          <w:vertAlign w:val="superscript"/>
        </w:rPr>
        <w:footnoteReference w:id="4"/>
      </w:r>
      <w:r w:rsidRPr="00F55C23">
        <w:t xml:space="preserve"> These events result in emergence of new strains of the influenza </w:t>
      </w:r>
      <w:r w:rsidRPr="00BD7474">
        <w:t>virus capable of causing epidemics, as pre-existing antibodies resulting from previous virus</w:t>
      </w:r>
      <w:r w:rsidRPr="00F55C23">
        <w:t xml:space="preserve"> exposure or vaccination are generally not cross-protective. For this reason, the World Health </w:t>
      </w:r>
      <w:r w:rsidRPr="001302FF">
        <w:t>Organi</w:t>
      </w:r>
      <w:r w:rsidR="00A60CF8" w:rsidRPr="001302FF">
        <w:t>z</w:t>
      </w:r>
      <w:r w:rsidRPr="001302FF">
        <w:t>ation (WHO) holds a strain consultation meeting annually to decide on influenza vaccine</w:t>
      </w:r>
      <w:r w:rsidRPr="00F55C23">
        <w:t xml:space="preserve"> composition for the Southern Hemisphere. In Australia, the recommendation from WHO is further reviewed by the </w:t>
      </w:r>
      <w:hyperlink r:id="rId20" w:history="1">
        <w:r w:rsidR="005F74E2">
          <w:rPr>
            <w:rStyle w:val="Hyperlink"/>
          </w:rPr>
          <w:t>Australian Influenza Vaccine Committee (AIVC)</w:t>
        </w:r>
      </w:hyperlink>
      <w:r w:rsidRPr="00F55C23">
        <w:t xml:space="preserve"> to advise the TGA on the composition of the seasonal influenza vaccine.</w:t>
      </w:r>
    </w:p>
    <w:p w14:paraId="174344E0" w14:textId="77777777" w:rsidR="00104B48" w:rsidRDefault="00312153" w:rsidP="00312153">
      <w:r w:rsidRPr="00F55C23">
        <w:lastRenderedPageBreak/>
        <w:t xml:space="preserve">The public health impact of influenza is </w:t>
      </w:r>
      <w:r w:rsidR="00BC0506">
        <w:t>significant</w:t>
      </w:r>
      <w:r w:rsidRPr="00C24AE8">
        <w:t xml:space="preserve">. </w:t>
      </w:r>
      <w:r w:rsidRPr="00C24AE8">
        <w:rPr>
          <w:bCs/>
        </w:rPr>
        <w:t xml:space="preserve">In the reporting period for year 2022, of the </w:t>
      </w:r>
      <w:r w:rsidRPr="00C24AE8">
        <w:t>225,332 notifications of laboratory-confirmed influenza,</w:t>
      </w:r>
      <w:r w:rsidRPr="00C24AE8">
        <w:rPr>
          <w:bCs/>
        </w:rPr>
        <w:t xml:space="preserve"> </w:t>
      </w:r>
      <w:r w:rsidRPr="00C24AE8">
        <w:t xml:space="preserve">308 influenza-associated deaths (0.14%) </w:t>
      </w:r>
      <w:r w:rsidR="00687CB9">
        <w:t xml:space="preserve">across all age groups </w:t>
      </w:r>
      <w:r w:rsidRPr="00C24AE8">
        <w:t>were notified to the National Notifiable Disease Surv</w:t>
      </w:r>
      <w:r w:rsidRPr="00596F33">
        <w:t>eillance System (NNDSS).</w:t>
      </w:r>
      <w:r w:rsidR="00064F9D">
        <w:rPr>
          <w:rStyle w:val="FootnoteReference"/>
        </w:rPr>
        <w:footnoteReference w:id="5"/>
      </w:r>
      <w:r w:rsidR="005608DE">
        <w:t xml:space="preserve"> </w:t>
      </w:r>
      <w:r w:rsidR="00BC0506">
        <w:t>The</w:t>
      </w:r>
      <w:r w:rsidR="00064F9D">
        <w:t xml:space="preserve"> median age of deaths notified to NNDSS was 82 years, with ages ranging from 1 year to 106 years of age. </w:t>
      </w:r>
      <w:r w:rsidRPr="00C24AE8">
        <w:t>These data may underestimate the real impact of influenza on deaths in Australia, as people who die</w:t>
      </w:r>
      <w:r w:rsidR="00BC0506">
        <w:t>d</w:t>
      </w:r>
      <w:r w:rsidRPr="00C24AE8">
        <w:t xml:space="preserve"> may not have been tested for influenza.</w:t>
      </w:r>
    </w:p>
    <w:p w14:paraId="5AB9D855" w14:textId="02272EAB" w:rsidR="00312153" w:rsidRDefault="00312153" w:rsidP="00312153">
      <w:pPr>
        <w:rPr>
          <w:b/>
          <w:bCs/>
        </w:rPr>
      </w:pPr>
      <w:r w:rsidRPr="00062AF9">
        <w:rPr>
          <w:b/>
          <w:bCs/>
        </w:rPr>
        <w:t xml:space="preserve">Current </w:t>
      </w:r>
      <w:r w:rsidR="009A2240">
        <w:rPr>
          <w:b/>
          <w:bCs/>
        </w:rPr>
        <w:t>therapeutic</w:t>
      </w:r>
      <w:r w:rsidRPr="00062AF9">
        <w:rPr>
          <w:b/>
          <w:bCs/>
        </w:rPr>
        <w:t xml:space="preserve"> options</w:t>
      </w:r>
    </w:p>
    <w:p w14:paraId="26AD110B" w14:textId="1C7915BE" w:rsidR="00312153" w:rsidRPr="00D93145" w:rsidRDefault="00312153" w:rsidP="00312153">
      <w:pPr>
        <w:rPr>
          <w:bCs/>
        </w:rPr>
      </w:pPr>
      <w:r w:rsidRPr="00D93145">
        <w:rPr>
          <w:bCs/>
        </w:rPr>
        <w:t xml:space="preserve">Clinical management of influenza is based mostly on symptomatic treatment. There are </w:t>
      </w:r>
      <w:r>
        <w:rPr>
          <w:bCs/>
        </w:rPr>
        <w:t xml:space="preserve">registered </w:t>
      </w:r>
      <w:r w:rsidRPr="00D93145">
        <w:rPr>
          <w:bCs/>
        </w:rPr>
        <w:t xml:space="preserve">antiviral medications such as </w:t>
      </w:r>
      <w:r w:rsidR="00A21B71">
        <w:rPr>
          <w:bCs/>
        </w:rPr>
        <w:t xml:space="preserve">the </w:t>
      </w:r>
      <w:r w:rsidR="00A21B71">
        <w:t>neuraminidase inhibitor</w:t>
      </w:r>
      <w:r w:rsidR="00D30428">
        <w:rPr>
          <w:bCs/>
        </w:rPr>
        <w:t xml:space="preserve"> </w:t>
      </w:r>
      <w:r w:rsidRPr="00D93145">
        <w:rPr>
          <w:bCs/>
        </w:rPr>
        <w:t>oseltamivir</w:t>
      </w:r>
      <w:r w:rsidR="00A21B71">
        <w:rPr>
          <w:bCs/>
        </w:rPr>
        <w:t>,</w:t>
      </w:r>
      <w:r w:rsidR="00FD581F">
        <w:rPr>
          <w:rStyle w:val="FootnoteReference"/>
          <w:bCs/>
        </w:rPr>
        <w:footnoteReference w:id="6"/>
      </w:r>
      <w:r w:rsidRPr="00D93145">
        <w:rPr>
          <w:bCs/>
        </w:rPr>
        <w:t xml:space="preserve"> which may reduce disease severity and duration. However, such therapy needs to </w:t>
      </w:r>
      <w:r w:rsidR="00266032">
        <w:rPr>
          <w:bCs/>
        </w:rPr>
        <w:t>commence</w:t>
      </w:r>
      <w:r w:rsidR="00300505">
        <w:rPr>
          <w:bCs/>
        </w:rPr>
        <w:t xml:space="preserve"> within </w:t>
      </w:r>
      <w:r w:rsidR="00A21B71">
        <w:rPr>
          <w:bCs/>
        </w:rPr>
        <w:t>48</w:t>
      </w:r>
      <w:r w:rsidRPr="00D93145">
        <w:rPr>
          <w:bCs/>
        </w:rPr>
        <w:t xml:space="preserve"> hours </w:t>
      </w:r>
      <w:r w:rsidR="00300505">
        <w:rPr>
          <w:bCs/>
        </w:rPr>
        <w:t>from</w:t>
      </w:r>
      <w:r w:rsidRPr="00D93145">
        <w:rPr>
          <w:bCs/>
        </w:rPr>
        <w:t xml:space="preserve"> onset of symptoms and may induce drug-resistance. Co</w:t>
      </w:r>
      <w:r>
        <w:rPr>
          <w:bCs/>
        </w:rPr>
        <w:t xml:space="preserve">rticosteroids are not routinely </w:t>
      </w:r>
      <w:r w:rsidRPr="00D93145">
        <w:rPr>
          <w:bCs/>
        </w:rPr>
        <w:t>used, unless indicated for other respiratory conditions such as asthma.</w:t>
      </w:r>
    </w:p>
    <w:p w14:paraId="58739681" w14:textId="23B1CD28" w:rsidR="00312153" w:rsidRDefault="00312153" w:rsidP="00312153">
      <w:pPr>
        <w:rPr>
          <w:bCs/>
        </w:rPr>
      </w:pPr>
      <w:r w:rsidRPr="00D93145">
        <w:rPr>
          <w:bCs/>
        </w:rPr>
        <w:t>Injected inactivated influenza vaccines are commonly used throughout the world</w:t>
      </w:r>
      <w:r w:rsidR="00615714">
        <w:rPr>
          <w:bCs/>
        </w:rPr>
        <w:t xml:space="preserve"> for the prevention of influenza; </w:t>
      </w:r>
      <w:r w:rsidRPr="00D93145">
        <w:rPr>
          <w:bCs/>
        </w:rPr>
        <w:t xml:space="preserve">however, </w:t>
      </w:r>
      <w:r w:rsidR="00CA7E99">
        <w:rPr>
          <w:bCs/>
        </w:rPr>
        <w:t>these vaccine</w:t>
      </w:r>
      <w:r w:rsidR="00A20BEA">
        <w:rPr>
          <w:bCs/>
        </w:rPr>
        <w:t>s</w:t>
      </w:r>
      <w:r w:rsidR="00CA7E99">
        <w:rPr>
          <w:bCs/>
        </w:rPr>
        <w:t xml:space="preserve"> </w:t>
      </w:r>
      <w:r w:rsidRPr="00D93145">
        <w:rPr>
          <w:bCs/>
        </w:rPr>
        <w:t>are susceptible to antigenic drift of the viral HA and NA. For this reason, vaccines against seasonal influenza may need to be updated annually.</w:t>
      </w:r>
    </w:p>
    <w:p w14:paraId="6561C5F4" w14:textId="434B0957" w:rsidR="00312153" w:rsidRPr="00D93145" w:rsidRDefault="00C042FA" w:rsidP="00312153">
      <w:pPr>
        <w:rPr>
          <w:bCs/>
        </w:rPr>
      </w:pPr>
      <w:r>
        <w:rPr>
          <w:bCs/>
        </w:rPr>
        <w:t>T</w:t>
      </w:r>
      <w:r w:rsidR="00312153" w:rsidRPr="00D93145">
        <w:rPr>
          <w:bCs/>
        </w:rPr>
        <w:t xml:space="preserve">he </w:t>
      </w:r>
      <w:hyperlink r:id="rId21" w:history="1">
        <w:r w:rsidR="000867BC" w:rsidRPr="00C7565F">
          <w:rPr>
            <w:rStyle w:val="Hyperlink"/>
          </w:rPr>
          <w:t>National Immunisation Program</w:t>
        </w:r>
      </w:hyperlink>
      <w:r w:rsidR="000867BC">
        <w:t xml:space="preserve"> </w:t>
      </w:r>
      <w:r w:rsidR="00312153" w:rsidRPr="00742C04">
        <w:rPr>
          <w:bCs/>
        </w:rPr>
        <w:t xml:space="preserve">(NIP) </w:t>
      </w:r>
      <w:r w:rsidR="000867BC">
        <w:rPr>
          <w:bCs/>
        </w:rPr>
        <w:t xml:space="preserve">provides free influenza vaccination for </w:t>
      </w:r>
      <w:r>
        <w:rPr>
          <w:bCs/>
        </w:rPr>
        <w:t xml:space="preserve">a range of groups including </w:t>
      </w:r>
      <w:r w:rsidR="00312153" w:rsidRPr="00742C04">
        <w:rPr>
          <w:bCs/>
        </w:rPr>
        <w:t xml:space="preserve">children from 6 months to less than 5 years of age, </w:t>
      </w:r>
      <w:r w:rsidR="000867BC">
        <w:rPr>
          <w:bCs/>
        </w:rPr>
        <w:t>individuals</w:t>
      </w:r>
      <w:r w:rsidR="00312153" w:rsidRPr="00D93145">
        <w:rPr>
          <w:bCs/>
        </w:rPr>
        <w:t xml:space="preserve"> who suffer specific medical risk conditions, </w:t>
      </w:r>
      <w:r>
        <w:rPr>
          <w:bCs/>
        </w:rPr>
        <w:t>and</w:t>
      </w:r>
      <w:r w:rsidR="00312153" w:rsidRPr="00D93145">
        <w:rPr>
          <w:bCs/>
        </w:rPr>
        <w:t xml:space="preserve"> Aboriginal and Torres Strait Islander </w:t>
      </w:r>
      <w:r>
        <w:rPr>
          <w:bCs/>
        </w:rPr>
        <w:t>p</w:t>
      </w:r>
      <w:r w:rsidR="00312153" w:rsidRPr="00D93145">
        <w:rPr>
          <w:bCs/>
        </w:rPr>
        <w:t>eople from 6 months of age.</w:t>
      </w:r>
      <w:r w:rsidR="00312153" w:rsidRPr="00DF391F">
        <w:rPr>
          <w:bCs/>
          <w:vertAlign w:val="superscript"/>
        </w:rPr>
        <w:footnoteReference w:id="7"/>
      </w:r>
      <w:r w:rsidR="00DF391F" w:rsidRPr="00DF391F">
        <w:rPr>
          <w:bCs/>
          <w:vertAlign w:val="superscript"/>
        </w:rPr>
        <w:t xml:space="preserve"> </w:t>
      </w:r>
      <w:r w:rsidR="000867BC">
        <w:t>Further information on immunisation in Australia is available in the</w:t>
      </w:r>
      <w:hyperlink r:id="rId22" w:history="1"/>
      <w:r w:rsidR="000867BC">
        <w:t xml:space="preserve"> </w:t>
      </w:r>
      <w:hyperlink r:id="rId23" w:history="1">
        <w:r w:rsidR="000867BC" w:rsidRPr="0090226F">
          <w:rPr>
            <w:rStyle w:val="Hyperlink"/>
          </w:rPr>
          <w:t>Australian Immunisation Handbook</w:t>
        </w:r>
      </w:hyperlink>
      <w:r w:rsidR="000867BC">
        <w:t xml:space="preserve"> and </w:t>
      </w:r>
      <w:r>
        <w:t xml:space="preserve">online at </w:t>
      </w:r>
      <w:hyperlink r:id="rId24" w:history="1">
        <w:r w:rsidR="000867BC">
          <w:rPr>
            <w:rStyle w:val="Hyperlink"/>
          </w:rPr>
          <w:t>influenza (flu) vaccine</w:t>
        </w:r>
      </w:hyperlink>
      <w:r w:rsidR="000867BC">
        <w:t xml:space="preserve"> </w:t>
      </w:r>
      <w:r>
        <w:t>from the Department of Health and Aged Care.</w:t>
      </w:r>
    </w:p>
    <w:p w14:paraId="2674FFAD" w14:textId="0303C938" w:rsidR="00DB2FED" w:rsidRPr="00D84A40" w:rsidRDefault="00312153" w:rsidP="009E29CA">
      <w:pPr>
        <w:rPr>
          <w:rStyle w:val="Hyperlink"/>
          <w:bCs/>
          <w:color w:val="auto"/>
          <w:u w:val="none"/>
        </w:rPr>
      </w:pPr>
      <w:r w:rsidRPr="008F5CBC">
        <w:t xml:space="preserve">The influenza vaccines </w:t>
      </w:r>
      <w:r w:rsidR="00A51090" w:rsidRPr="008F5CBC">
        <w:t xml:space="preserve">supplied under the </w:t>
      </w:r>
      <w:r w:rsidRPr="008F5CBC">
        <w:t xml:space="preserve">NIP in 2023 </w:t>
      </w:r>
      <w:r w:rsidR="0093714D" w:rsidRPr="008F5CBC">
        <w:t>for individuals aged 6 month to 2 year</w:t>
      </w:r>
      <w:r w:rsidR="0007183B" w:rsidRPr="008F5CBC">
        <w:t xml:space="preserve"> are</w:t>
      </w:r>
      <w:r w:rsidRPr="008F5CBC">
        <w:t xml:space="preserve"> quadrivalent vaccine</w:t>
      </w:r>
      <w:r w:rsidR="0069218F" w:rsidRPr="008F5CBC">
        <w:t>s</w:t>
      </w:r>
      <w:r w:rsidR="00832A91" w:rsidRPr="008F5CBC">
        <w:t>:</w:t>
      </w:r>
      <w:r w:rsidR="00735ACF" w:rsidRPr="00700A27">
        <w:rPr>
          <w:rStyle w:val="FootnoteReference"/>
          <w:bCs/>
        </w:rPr>
        <w:footnoteReference w:id="8"/>
      </w:r>
      <w:r w:rsidR="00F20381" w:rsidRPr="00700A27">
        <w:rPr>
          <w:bCs/>
        </w:rPr>
        <w:t xml:space="preserve"> </w:t>
      </w:r>
      <w:proofErr w:type="spellStart"/>
      <w:r w:rsidR="00940EBD" w:rsidRPr="00940EBD">
        <w:t>VaxiGrip</w:t>
      </w:r>
      <w:proofErr w:type="spellEnd"/>
      <w:r w:rsidR="00940EBD" w:rsidRPr="00940EBD">
        <w:t xml:space="preserve"> Tetra</w:t>
      </w:r>
      <w:r w:rsidRPr="008F5CBC">
        <w:t xml:space="preserve"> </w:t>
      </w:r>
      <w:r w:rsidR="00D51B01" w:rsidRPr="008F5CBC">
        <w:t>(</w:t>
      </w:r>
      <w:r w:rsidRPr="008F5CBC">
        <w:t xml:space="preserve">for </w:t>
      </w:r>
      <w:r w:rsidR="009F6BC8" w:rsidRPr="008F5CBC">
        <w:t>individuals</w:t>
      </w:r>
      <w:r w:rsidRPr="008F5CBC">
        <w:t xml:space="preserve"> aged 6</w:t>
      </w:r>
      <w:r w:rsidR="00D51B01" w:rsidRPr="008F5CBC">
        <w:t> </w:t>
      </w:r>
      <w:r w:rsidRPr="008F5CBC">
        <w:t xml:space="preserve">months </w:t>
      </w:r>
      <w:r w:rsidR="00E74A1C" w:rsidRPr="008F5CBC">
        <w:t>up to 64 years</w:t>
      </w:r>
      <w:r w:rsidR="00D51B01" w:rsidRPr="008F5CBC">
        <w:t>)</w:t>
      </w:r>
      <w:r w:rsidR="000759EC" w:rsidRPr="000759EC">
        <w:rPr>
          <w:rStyle w:val="FootnoteReference"/>
          <w:bCs/>
        </w:rPr>
        <w:t xml:space="preserve"> </w:t>
      </w:r>
      <w:r w:rsidR="000759EC">
        <w:rPr>
          <w:rStyle w:val="FootnoteReference"/>
          <w:bCs/>
        </w:rPr>
        <w:footnoteReference w:id="9"/>
      </w:r>
      <w:r w:rsidR="00506E4A">
        <w:rPr>
          <w:bCs/>
        </w:rPr>
        <w:t xml:space="preserve"> and </w:t>
      </w:r>
      <w:r w:rsidR="00940EBD" w:rsidRPr="00940EBD">
        <w:t>Fluarix Tetra</w:t>
      </w:r>
      <w:r w:rsidRPr="00700A27">
        <w:rPr>
          <w:bCs/>
        </w:rPr>
        <w:t xml:space="preserve"> </w:t>
      </w:r>
      <w:r w:rsidR="00C66020" w:rsidRPr="00700A27">
        <w:rPr>
          <w:bCs/>
        </w:rPr>
        <w:t>(</w:t>
      </w:r>
      <w:r w:rsidRPr="00700A27">
        <w:rPr>
          <w:bCs/>
        </w:rPr>
        <w:t xml:space="preserve">for </w:t>
      </w:r>
      <w:r w:rsidR="004109FF">
        <w:rPr>
          <w:bCs/>
        </w:rPr>
        <w:t xml:space="preserve">individuals </w:t>
      </w:r>
      <w:r w:rsidRPr="00700A27">
        <w:rPr>
          <w:bCs/>
        </w:rPr>
        <w:t xml:space="preserve">aged from 6 months </w:t>
      </w:r>
      <w:r w:rsidR="00E74A1C">
        <w:rPr>
          <w:bCs/>
        </w:rPr>
        <w:t>up to 64 years</w:t>
      </w:r>
      <w:r w:rsidR="00C66020" w:rsidRPr="00700A27">
        <w:rPr>
          <w:bCs/>
        </w:rPr>
        <w:t>)</w:t>
      </w:r>
      <w:r w:rsidR="0007183B">
        <w:rPr>
          <w:bCs/>
        </w:rPr>
        <w:t>.</w:t>
      </w:r>
      <w:r w:rsidR="00700A27">
        <w:rPr>
          <w:rStyle w:val="FootnoteReference"/>
          <w:bCs/>
        </w:rPr>
        <w:footnoteReference w:id="10"/>
      </w:r>
      <w:r w:rsidR="009E29CA">
        <w:rPr>
          <w:bCs/>
        </w:rPr>
        <w:t xml:space="preserve"> </w:t>
      </w:r>
      <w:r w:rsidR="000F3874" w:rsidRPr="00D84A40">
        <w:rPr>
          <w:bCs/>
        </w:rPr>
        <w:t>Additional vaccine</w:t>
      </w:r>
      <w:r w:rsidR="006F4F1E">
        <w:rPr>
          <w:bCs/>
        </w:rPr>
        <w:t>s</w:t>
      </w:r>
      <w:r w:rsidR="000F3874" w:rsidRPr="00D84A40">
        <w:rPr>
          <w:bCs/>
        </w:rPr>
        <w:t xml:space="preserve"> available </w:t>
      </w:r>
      <w:r w:rsidR="009E29CA">
        <w:rPr>
          <w:bCs/>
        </w:rPr>
        <w:t xml:space="preserve">outside the NIP </w:t>
      </w:r>
      <w:r w:rsidR="000F3874" w:rsidRPr="00D84A40">
        <w:rPr>
          <w:bCs/>
        </w:rPr>
        <w:t xml:space="preserve">in 2023 </w:t>
      </w:r>
      <w:r w:rsidR="009E29CA">
        <w:rPr>
          <w:bCs/>
        </w:rPr>
        <w:t xml:space="preserve">for the 6 month to 2 year age group </w:t>
      </w:r>
      <w:r w:rsidR="000E6F2E">
        <w:rPr>
          <w:bCs/>
        </w:rPr>
        <w:t xml:space="preserve">are </w:t>
      </w:r>
      <w:proofErr w:type="spellStart"/>
      <w:r w:rsidR="00940EBD" w:rsidRPr="00940EBD">
        <w:t>FluQuadri</w:t>
      </w:r>
      <w:proofErr w:type="spellEnd"/>
      <w:r w:rsidR="00D14A5C" w:rsidRPr="00D84A40">
        <w:rPr>
          <w:rStyle w:val="Hyperlink"/>
          <w:bCs/>
          <w:color w:val="auto"/>
          <w:u w:val="none"/>
        </w:rPr>
        <w:t xml:space="preserve"> (</w:t>
      </w:r>
      <w:r w:rsidR="00D14A5C" w:rsidRPr="00D84A40">
        <w:rPr>
          <w:bCs/>
        </w:rPr>
        <w:t xml:space="preserve">for </w:t>
      </w:r>
      <w:r w:rsidR="002861DA">
        <w:rPr>
          <w:bCs/>
        </w:rPr>
        <w:t>individuals</w:t>
      </w:r>
      <w:r w:rsidR="00D14A5C" w:rsidRPr="00D84A40">
        <w:rPr>
          <w:bCs/>
        </w:rPr>
        <w:t xml:space="preserve"> 6</w:t>
      </w:r>
      <w:r w:rsidR="002861DA">
        <w:rPr>
          <w:bCs/>
        </w:rPr>
        <w:t> </w:t>
      </w:r>
      <w:r w:rsidR="00D14A5C" w:rsidRPr="00D84A40">
        <w:rPr>
          <w:bCs/>
        </w:rPr>
        <w:t>months and older)</w:t>
      </w:r>
      <w:r w:rsidR="00D84A40">
        <w:rPr>
          <w:rStyle w:val="FootnoteReference"/>
          <w:bCs/>
        </w:rPr>
        <w:footnoteReference w:id="11"/>
      </w:r>
      <w:r w:rsidR="00C60F37" w:rsidRPr="00D84A40">
        <w:rPr>
          <w:bCs/>
        </w:rPr>
        <w:t xml:space="preserve"> </w:t>
      </w:r>
      <w:r w:rsidR="000E6F2E">
        <w:rPr>
          <w:bCs/>
        </w:rPr>
        <w:t xml:space="preserve">and </w:t>
      </w:r>
      <w:proofErr w:type="spellStart"/>
      <w:r w:rsidR="00940EBD" w:rsidRPr="00940EBD">
        <w:t>Influvac</w:t>
      </w:r>
      <w:proofErr w:type="spellEnd"/>
      <w:r w:rsidR="00940EBD" w:rsidRPr="00940EBD">
        <w:t xml:space="preserve"> Tetra</w:t>
      </w:r>
      <w:r w:rsidR="00C60F37" w:rsidRPr="00D84A40">
        <w:rPr>
          <w:rStyle w:val="Hyperlink"/>
          <w:bCs/>
          <w:color w:val="auto"/>
          <w:u w:val="none"/>
        </w:rPr>
        <w:t xml:space="preserve"> (</w:t>
      </w:r>
      <w:r w:rsidR="00C60F37" w:rsidRPr="00D84A40">
        <w:rPr>
          <w:bCs/>
        </w:rPr>
        <w:t xml:space="preserve">for </w:t>
      </w:r>
      <w:r w:rsidR="002861DA">
        <w:rPr>
          <w:bCs/>
        </w:rPr>
        <w:t xml:space="preserve">individuals </w:t>
      </w:r>
      <w:r w:rsidR="00C60F37" w:rsidRPr="00D84A40">
        <w:rPr>
          <w:bCs/>
        </w:rPr>
        <w:t>6</w:t>
      </w:r>
      <w:r w:rsidR="002861DA">
        <w:rPr>
          <w:bCs/>
        </w:rPr>
        <w:t> </w:t>
      </w:r>
      <w:r w:rsidR="00C60F37" w:rsidRPr="00D84A40">
        <w:rPr>
          <w:bCs/>
        </w:rPr>
        <w:t>months and older)</w:t>
      </w:r>
      <w:r w:rsidR="000E6F2E">
        <w:rPr>
          <w:bCs/>
        </w:rPr>
        <w:t>.</w:t>
      </w:r>
      <w:bookmarkStart w:id="16" w:name="_Hlk134182529"/>
      <w:r w:rsidR="002861DA">
        <w:rPr>
          <w:rStyle w:val="FootnoteReference"/>
          <w:bCs/>
        </w:rPr>
        <w:footnoteReference w:id="12"/>
      </w:r>
    </w:p>
    <w:bookmarkEnd w:id="16"/>
    <w:p w14:paraId="349F8261" w14:textId="3D9078E2" w:rsidR="00FA7C02" w:rsidRDefault="004468A7" w:rsidP="009A2240">
      <w:r w:rsidRPr="00BD67A5">
        <w:t xml:space="preserve">Flucelvax Quad </w:t>
      </w:r>
      <w:r w:rsidR="00202635" w:rsidRPr="00BD67A5">
        <w:rPr>
          <w:bCs/>
        </w:rPr>
        <w:t xml:space="preserve">(also referred to as </w:t>
      </w:r>
      <w:proofErr w:type="spellStart"/>
      <w:r w:rsidR="00202635" w:rsidRPr="00BD67A5">
        <w:rPr>
          <w:bCs/>
        </w:rPr>
        <w:t>QIVc</w:t>
      </w:r>
      <w:proofErr w:type="spellEnd"/>
      <w:r w:rsidR="00202635" w:rsidRPr="00BD67A5">
        <w:rPr>
          <w:bCs/>
        </w:rPr>
        <w:t xml:space="preserve">) </w:t>
      </w:r>
      <w:r w:rsidRPr="00BD67A5">
        <w:t>is a quadrivalent</w:t>
      </w:r>
      <w:r w:rsidR="00104B48">
        <w:t>,</w:t>
      </w:r>
      <w:r w:rsidRPr="00BD67A5">
        <w:t xml:space="preserve"> surface antigen, inactivated, influenza vaccine, prepared in </w:t>
      </w:r>
      <w:proofErr w:type="spellStart"/>
      <w:r w:rsidRPr="00BD67A5">
        <w:t>Madin</w:t>
      </w:r>
      <w:proofErr w:type="spellEnd"/>
      <w:r w:rsidRPr="00BD67A5">
        <w:t xml:space="preserve">-Darby canine kidney (MDCK) cell cultures (that is, cell-based). </w:t>
      </w:r>
      <w:r w:rsidR="006B3D21" w:rsidRPr="00BD67A5">
        <w:t xml:space="preserve">The </w:t>
      </w:r>
      <w:r w:rsidRPr="00BD67A5">
        <w:t xml:space="preserve">potential advantages </w:t>
      </w:r>
      <w:r w:rsidR="009B6A79" w:rsidRPr="00BD67A5">
        <w:t xml:space="preserve">and disadvantages </w:t>
      </w:r>
      <w:r w:rsidR="006B3D21" w:rsidRPr="00BD67A5">
        <w:t xml:space="preserve">of cell-based vaccines </w:t>
      </w:r>
      <w:r w:rsidRPr="00BD67A5">
        <w:t>over egg-based vaccines</w:t>
      </w:r>
      <w:r w:rsidR="006B3D21" w:rsidRPr="00BD67A5">
        <w:t xml:space="preserve"> have been discussed in earlier AusPAR</w:t>
      </w:r>
      <w:r w:rsidR="00FA7C02">
        <w:t>s</w:t>
      </w:r>
      <w:r w:rsidR="006B3D21" w:rsidRPr="00BD67A5">
        <w:t xml:space="preserve"> for Flucelvax Quad.</w:t>
      </w:r>
      <w:bookmarkStart w:id="17" w:name="_Ref145580389"/>
      <w:r w:rsidR="00104B48">
        <w:rPr>
          <w:rStyle w:val="FootnoteReference"/>
        </w:rPr>
        <w:footnoteReference w:id="13"/>
      </w:r>
      <w:bookmarkEnd w:id="17"/>
    </w:p>
    <w:p w14:paraId="6712ADB4" w14:textId="1865B728" w:rsidR="009A2240" w:rsidRPr="00372810" w:rsidRDefault="00FA7C02" w:rsidP="009A2240">
      <w:r>
        <w:t>The 2023 version of Flucelvax Quad aligns with t</w:t>
      </w:r>
      <w:r w:rsidR="009A2240" w:rsidRPr="00372810">
        <w:t xml:space="preserve">he AIVC recommendation for the composition of influenza vaccines for Australia </w:t>
      </w:r>
      <w:r>
        <w:t>for</w:t>
      </w:r>
      <w:r w:rsidR="009A2240" w:rsidRPr="00372810">
        <w:t xml:space="preserve"> 2023</w:t>
      </w:r>
      <w:r>
        <w:t>,</w:t>
      </w:r>
      <w:r>
        <w:rPr>
          <w:rStyle w:val="FootnoteReference"/>
        </w:rPr>
        <w:footnoteReference w:id="14"/>
      </w:r>
      <w:r w:rsidR="009A2240" w:rsidRPr="00372810">
        <w:t xml:space="preserve"> </w:t>
      </w:r>
      <w:r>
        <w:t xml:space="preserve">and </w:t>
      </w:r>
      <w:r w:rsidR="009A2240" w:rsidRPr="00372810">
        <w:t>introduce</w:t>
      </w:r>
      <w:r w:rsidR="004F4937">
        <w:t>s</w:t>
      </w:r>
      <w:r w:rsidR="009A2240" w:rsidRPr="00372810">
        <w:t xml:space="preserve"> one new strain when compared to the composition of the vaccine for Australia in 2022</w:t>
      </w:r>
      <w:r>
        <w:t>. The 2023 formulation of Flucelvax Quad is</w:t>
      </w:r>
      <w:r w:rsidR="009A2240" w:rsidRPr="00372810">
        <w:t>:</w:t>
      </w:r>
    </w:p>
    <w:p w14:paraId="529EB838" w14:textId="044648D8" w:rsidR="009A2240" w:rsidRPr="00372810" w:rsidRDefault="009A2240" w:rsidP="009A2240">
      <w:pPr>
        <w:numPr>
          <w:ilvl w:val="0"/>
          <w:numId w:val="10"/>
        </w:numPr>
        <w:spacing w:before="120" w:line="240" w:lineRule="atLeast"/>
      </w:pPr>
      <w:r w:rsidRPr="00372810">
        <w:t>an A/Sydney/5/2021 (H1N1) pdm09-like virus –</w:t>
      </w:r>
      <w:r w:rsidR="004F4937">
        <w:t xml:space="preserve"> </w:t>
      </w:r>
      <w:r w:rsidRPr="009A2240">
        <w:t>new strain</w:t>
      </w:r>
      <w:r w:rsidR="004F4937">
        <w:t xml:space="preserve"> </w:t>
      </w:r>
      <w:r w:rsidRPr="00372810">
        <w:t>for 2023</w:t>
      </w:r>
    </w:p>
    <w:p w14:paraId="2E0E106A" w14:textId="0896692F" w:rsidR="009A2240" w:rsidRPr="00372810" w:rsidRDefault="009A2240" w:rsidP="009A2240">
      <w:pPr>
        <w:numPr>
          <w:ilvl w:val="0"/>
          <w:numId w:val="10"/>
        </w:numPr>
        <w:spacing w:before="120" w:line="240" w:lineRule="atLeast"/>
      </w:pPr>
      <w:r w:rsidRPr="00372810">
        <w:lastRenderedPageBreak/>
        <w:t>an A/Darwin/</w:t>
      </w:r>
      <w:r w:rsidR="00104B48">
        <w:t>6</w:t>
      </w:r>
      <w:r w:rsidRPr="00372810">
        <w:t>/2021 (H3N2)-like virus</w:t>
      </w:r>
    </w:p>
    <w:p w14:paraId="6C9884B4" w14:textId="77777777" w:rsidR="009A2240" w:rsidRPr="00372810" w:rsidRDefault="009A2240" w:rsidP="009A2240">
      <w:pPr>
        <w:numPr>
          <w:ilvl w:val="0"/>
          <w:numId w:val="10"/>
        </w:numPr>
        <w:spacing w:before="120" w:line="240" w:lineRule="atLeast"/>
      </w:pPr>
      <w:r w:rsidRPr="00372810">
        <w:t>a B/Austria/1359417/2021 (B/Victoria lineage)-like virus</w:t>
      </w:r>
    </w:p>
    <w:p w14:paraId="3227D132" w14:textId="77777777" w:rsidR="009A2240" w:rsidRPr="00372810" w:rsidRDefault="009A2240" w:rsidP="009A2240">
      <w:pPr>
        <w:numPr>
          <w:ilvl w:val="0"/>
          <w:numId w:val="10"/>
        </w:numPr>
        <w:spacing w:before="120" w:line="240" w:lineRule="atLeast"/>
      </w:pPr>
      <w:r w:rsidRPr="00372810">
        <w:t>a B/Phuket/3073/2013 (B/Yamagata lineage)-like virus.</w:t>
      </w:r>
    </w:p>
    <w:p w14:paraId="0D615854" w14:textId="77777777" w:rsidR="00324B33" w:rsidRPr="003F31A2" w:rsidRDefault="00324B33" w:rsidP="00324B33">
      <w:pPr>
        <w:pStyle w:val="Heading3"/>
      </w:pPr>
      <w:bookmarkStart w:id="18" w:name="_Toc314842485"/>
      <w:bookmarkStart w:id="19" w:name="_Toc247691504"/>
      <w:bookmarkStart w:id="20" w:name="_Toc103679291"/>
      <w:bookmarkStart w:id="21" w:name="_Toc143608667"/>
      <w:r>
        <w:t>Regulatory status</w:t>
      </w:r>
      <w:bookmarkEnd w:id="18"/>
      <w:bookmarkEnd w:id="19"/>
      <w:bookmarkEnd w:id="20"/>
      <w:bookmarkEnd w:id="21"/>
    </w:p>
    <w:p w14:paraId="53C00F10" w14:textId="47464892" w:rsidR="00324B33" w:rsidRDefault="00FA7C02" w:rsidP="00324B33">
      <w:pPr>
        <w:rPr>
          <w:szCs w:val="22"/>
        </w:rPr>
      </w:pPr>
      <w:r>
        <w:rPr>
          <w:szCs w:val="22"/>
        </w:rPr>
        <w:t>Flucelvax Quad</w:t>
      </w:r>
      <w:r w:rsidR="00324B33" w:rsidRPr="00BD5DBD">
        <w:rPr>
          <w:szCs w:val="22"/>
        </w:rPr>
        <w:t xml:space="preserve"> received initial registration </w:t>
      </w:r>
      <w:r w:rsidR="006962B6">
        <w:rPr>
          <w:szCs w:val="22"/>
        </w:rPr>
        <w:t>i</w:t>
      </w:r>
      <w:r w:rsidR="00324B33" w:rsidRPr="00BD5DBD">
        <w:rPr>
          <w:szCs w:val="22"/>
        </w:rPr>
        <w:t xml:space="preserve">n the </w:t>
      </w:r>
      <w:hyperlink r:id="rId25" w:history="1">
        <w:r w:rsidR="00A744E8">
          <w:rPr>
            <w:rStyle w:val="Hyperlink"/>
          </w:rPr>
          <w:t>Australian Register of Therapeutic Goods</w:t>
        </w:r>
      </w:hyperlink>
      <w:r w:rsidR="00A744E8">
        <w:t xml:space="preserve"> (ARTG)</w:t>
      </w:r>
      <w:r w:rsidR="00324B33" w:rsidRPr="00BD5DBD">
        <w:rPr>
          <w:szCs w:val="22"/>
        </w:rPr>
        <w:t xml:space="preserve"> on</w:t>
      </w:r>
      <w:r w:rsidR="00B26091">
        <w:rPr>
          <w:szCs w:val="22"/>
        </w:rPr>
        <w:t xml:space="preserve"> 1</w:t>
      </w:r>
      <w:r w:rsidR="00AB730A">
        <w:rPr>
          <w:szCs w:val="22"/>
        </w:rPr>
        <w:t xml:space="preserve"> September 2020</w:t>
      </w:r>
      <w:r w:rsidR="00750D70" w:rsidRPr="00BD5DBD">
        <w:rPr>
          <w:szCs w:val="22"/>
        </w:rPr>
        <w:t xml:space="preserve"> for the following indication:</w:t>
      </w:r>
    </w:p>
    <w:p w14:paraId="7F84D568" w14:textId="77B9E348" w:rsidR="00571C05" w:rsidRPr="006B1E05" w:rsidRDefault="00571C05" w:rsidP="00571C05">
      <w:pPr>
        <w:ind w:left="720"/>
        <w:rPr>
          <w:i/>
        </w:rPr>
      </w:pPr>
      <w:r w:rsidRPr="006B1E05">
        <w:rPr>
          <w:i/>
        </w:rPr>
        <w:t xml:space="preserve">For the prevention of influenza caused by </w:t>
      </w:r>
      <w:r w:rsidR="00840806">
        <w:rPr>
          <w:i/>
        </w:rPr>
        <w:t>i</w:t>
      </w:r>
      <w:r w:rsidRPr="006B1E05">
        <w:rPr>
          <w:i/>
        </w:rPr>
        <w:t xml:space="preserve">nfluenza </w:t>
      </w:r>
      <w:r w:rsidR="00840806">
        <w:rPr>
          <w:i/>
        </w:rPr>
        <w:t>v</w:t>
      </w:r>
      <w:r w:rsidRPr="006B1E05">
        <w:rPr>
          <w:i/>
        </w:rPr>
        <w:t xml:space="preserve">irus, Types A and B contained in the vaccine. The vaccine is indicated for use in adults and children </w:t>
      </w:r>
      <w:r w:rsidR="00840806">
        <w:rPr>
          <w:i/>
        </w:rPr>
        <w:t>9</w:t>
      </w:r>
      <w:r w:rsidR="008B245E">
        <w:rPr>
          <w:i/>
        </w:rPr>
        <w:t> years</w:t>
      </w:r>
      <w:r w:rsidRPr="006B1E05">
        <w:rPr>
          <w:i/>
        </w:rPr>
        <w:t xml:space="preserve"> of age and older.</w:t>
      </w:r>
    </w:p>
    <w:p w14:paraId="25FC03CC" w14:textId="6DAE20F0" w:rsidR="00571C05" w:rsidRDefault="00571C05" w:rsidP="00571C05">
      <w:pPr>
        <w:ind w:left="720"/>
        <w:rPr>
          <w:i/>
        </w:rPr>
      </w:pPr>
      <w:r w:rsidRPr="006B1E05">
        <w:rPr>
          <w:i/>
        </w:rPr>
        <w:t>For full details regarding recommendations for influenza vaccination, please refer to the relevant national immunisation guidelines.</w:t>
      </w:r>
      <w:r w:rsidR="00FA7C02" w:rsidRPr="00FA7C02">
        <w:rPr>
          <w:i/>
          <w:vertAlign w:val="superscript"/>
        </w:rPr>
        <w:fldChar w:fldCharType="begin"/>
      </w:r>
      <w:r w:rsidR="00FA7C02" w:rsidRPr="00FA7C02">
        <w:rPr>
          <w:i/>
          <w:vertAlign w:val="superscript"/>
        </w:rPr>
        <w:instrText xml:space="preserve"> NOTEREF _Ref145580389 \h </w:instrText>
      </w:r>
      <w:r w:rsidR="00FA7C02">
        <w:rPr>
          <w:i/>
          <w:vertAlign w:val="superscript"/>
        </w:rPr>
        <w:instrText xml:space="preserve"> \* MERGEFORMAT </w:instrText>
      </w:r>
      <w:r w:rsidR="00FA7C02" w:rsidRPr="00FA7C02">
        <w:rPr>
          <w:i/>
          <w:vertAlign w:val="superscript"/>
        </w:rPr>
      </w:r>
      <w:r w:rsidR="00FA7C02" w:rsidRPr="00FA7C02">
        <w:rPr>
          <w:i/>
          <w:vertAlign w:val="superscript"/>
        </w:rPr>
        <w:fldChar w:fldCharType="separate"/>
      </w:r>
      <w:r w:rsidR="009C5F1A">
        <w:rPr>
          <w:i/>
          <w:vertAlign w:val="superscript"/>
        </w:rPr>
        <w:t>12</w:t>
      </w:r>
      <w:r w:rsidR="00FA7C02" w:rsidRPr="00FA7C02">
        <w:rPr>
          <w:i/>
          <w:vertAlign w:val="superscript"/>
        </w:rPr>
        <w:fldChar w:fldCharType="end"/>
      </w:r>
    </w:p>
    <w:p w14:paraId="062B2870" w14:textId="5C6D0715" w:rsidR="00CE1B76" w:rsidRDefault="00AC0061" w:rsidP="00CE1B76">
      <w:pPr>
        <w:rPr>
          <w:szCs w:val="22"/>
        </w:rPr>
      </w:pPr>
      <w:r>
        <w:rPr>
          <w:szCs w:val="22"/>
        </w:rPr>
        <w:t>O</w:t>
      </w:r>
      <w:r w:rsidR="00CE1B76" w:rsidRPr="00BD5DBD">
        <w:rPr>
          <w:szCs w:val="22"/>
        </w:rPr>
        <w:t>n</w:t>
      </w:r>
      <w:r w:rsidR="00CE1B76">
        <w:rPr>
          <w:szCs w:val="22"/>
        </w:rPr>
        <w:t xml:space="preserve"> 1</w:t>
      </w:r>
      <w:r>
        <w:rPr>
          <w:szCs w:val="22"/>
        </w:rPr>
        <w:t>1 November 2021</w:t>
      </w:r>
      <w:r w:rsidR="00CE1B76" w:rsidRPr="00BD5DBD">
        <w:rPr>
          <w:szCs w:val="22"/>
        </w:rPr>
        <w:t xml:space="preserve"> </w:t>
      </w:r>
      <w:r w:rsidR="00BB79F6">
        <w:rPr>
          <w:szCs w:val="22"/>
        </w:rPr>
        <w:t xml:space="preserve">the registration was extended to </w:t>
      </w:r>
      <w:r w:rsidR="00CE1B76" w:rsidRPr="00BD5DBD">
        <w:rPr>
          <w:szCs w:val="22"/>
        </w:rPr>
        <w:t>the following indication:</w:t>
      </w:r>
    </w:p>
    <w:p w14:paraId="40BB0553" w14:textId="2221C685" w:rsidR="00CE1B76" w:rsidRPr="006B1E05" w:rsidRDefault="00CE1B76" w:rsidP="00CE1B76">
      <w:pPr>
        <w:ind w:left="720"/>
        <w:rPr>
          <w:i/>
        </w:rPr>
      </w:pPr>
      <w:r w:rsidRPr="006B1E05">
        <w:rPr>
          <w:i/>
        </w:rPr>
        <w:t xml:space="preserve">For the prevention of influenza caused by </w:t>
      </w:r>
      <w:r>
        <w:rPr>
          <w:i/>
        </w:rPr>
        <w:t>i</w:t>
      </w:r>
      <w:r w:rsidRPr="006B1E05">
        <w:rPr>
          <w:i/>
        </w:rPr>
        <w:t xml:space="preserve">nfluenza </w:t>
      </w:r>
      <w:r>
        <w:rPr>
          <w:i/>
        </w:rPr>
        <w:t>v</w:t>
      </w:r>
      <w:r w:rsidRPr="006B1E05">
        <w:rPr>
          <w:i/>
        </w:rPr>
        <w:t xml:space="preserve">irus, Types A and B contained in the vaccine. The vaccine is indicated for use in adults and children </w:t>
      </w:r>
      <w:r>
        <w:rPr>
          <w:i/>
        </w:rPr>
        <w:t>2 years</w:t>
      </w:r>
      <w:r w:rsidRPr="006B1E05">
        <w:rPr>
          <w:i/>
        </w:rPr>
        <w:t xml:space="preserve"> of age and older.</w:t>
      </w:r>
    </w:p>
    <w:p w14:paraId="61C81EEC" w14:textId="58C0BD86" w:rsidR="00CE1B76" w:rsidRDefault="00CE1B76" w:rsidP="00CE1B76">
      <w:pPr>
        <w:ind w:left="720"/>
        <w:rPr>
          <w:i/>
        </w:rPr>
      </w:pPr>
      <w:r w:rsidRPr="006B1E05">
        <w:rPr>
          <w:i/>
        </w:rPr>
        <w:t>For full details regarding recommendations for influenza vaccination, please refer to the relevant national immunisation guidelines.</w:t>
      </w:r>
      <w:r w:rsidR="002B616E">
        <w:rPr>
          <w:rStyle w:val="FootnoteReference"/>
          <w:i/>
        </w:rPr>
        <w:footnoteReference w:id="15"/>
      </w:r>
    </w:p>
    <w:p w14:paraId="715B7D2A" w14:textId="2C3BF6E1" w:rsidR="00324B33" w:rsidRPr="00BD5DBD" w:rsidRDefault="00324B33" w:rsidP="00324B33">
      <w:pPr>
        <w:rPr>
          <w:szCs w:val="22"/>
        </w:rPr>
      </w:pPr>
      <w:r w:rsidRPr="00BD5DBD">
        <w:rPr>
          <w:szCs w:val="22"/>
        </w:rPr>
        <w:t xml:space="preserve">At the time the TGA considered this submission, a similar submission had been approved in </w:t>
      </w:r>
      <w:r w:rsidR="000E0B3A">
        <w:rPr>
          <w:szCs w:val="22"/>
        </w:rPr>
        <w:t xml:space="preserve">the United States of America (USA) </w:t>
      </w:r>
      <w:r w:rsidRPr="00BD5DBD">
        <w:rPr>
          <w:szCs w:val="22"/>
        </w:rPr>
        <w:t xml:space="preserve">on </w:t>
      </w:r>
      <w:r w:rsidR="000E0B3A">
        <w:rPr>
          <w:szCs w:val="22"/>
        </w:rPr>
        <w:t>14 October 2021</w:t>
      </w:r>
      <w:r w:rsidR="005D08D4">
        <w:rPr>
          <w:szCs w:val="22"/>
        </w:rPr>
        <w:t>, Argentina on 12 November 2021,</w:t>
      </w:r>
      <w:r w:rsidR="00706A24">
        <w:rPr>
          <w:szCs w:val="22"/>
        </w:rPr>
        <w:t xml:space="preserve"> Canada on 8 March 2022</w:t>
      </w:r>
      <w:r w:rsidR="005D08D4">
        <w:rPr>
          <w:szCs w:val="22"/>
        </w:rPr>
        <w:t>, and in Taiwan on 24 June 2022</w:t>
      </w:r>
      <w:r w:rsidR="00706A24">
        <w:rPr>
          <w:szCs w:val="22"/>
        </w:rPr>
        <w:t xml:space="preserve">. </w:t>
      </w:r>
      <w:r w:rsidRPr="00BD5DBD">
        <w:rPr>
          <w:szCs w:val="22"/>
        </w:rPr>
        <w:t xml:space="preserve">A similar submission was under consideration in </w:t>
      </w:r>
      <w:r w:rsidR="00706A24">
        <w:rPr>
          <w:szCs w:val="22"/>
        </w:rPr>
        <w:t>New Zealand</w:t>
      </w:r>
      <w:r w:rsidRPr="00BD5DBD">
        <w:rPr>
          <w:szCs w:val="22"/>
        </w:rPr>
        <w:t xml:space="preserve"> (submitted on </w:t>
      </w:r>
      <w:r w:rsidR="00706A24">
        <w:rPr>
          <w:szCs w:val="22"/>
        </w:rPr>
        <w:t>27 June 2022</w:t>
      </w:r>
      <w:r w:rsidRPr="00BD5DBD">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7412F659" w:rsidR="00324B33" w:rsidRDefault="00324B33" w:rsidP="00324B33">
      <w:pPr>
        <w:pStyle w:val="TableTitle"/>
      </w:pPr>
      <w:bookmarkStart w:id="22" w:name="_Ref99705479"/>
      <w:r>
        <w:t xml:space="preserve">Table </w:t>
      </w:r>
      <w:r w:rsidR="000E770F">
        <w:fldChar w:fldCharType="begin"/>
      </w:r>
      <w:r w:rsidR="000E770F">
        <w:instrText xml:space="preserve"> SEQ Table \* ARABIC </w:instrText>
      </w:r>
      <w:r w:rsidR="000E770F">
        <w:fldChar w:fldCharType="separate"/>
      </w:r>
      <w:r w:rsidR="009C5F1A">
        <w:rPr>
          <w:noProof/>
        </w:rPr>
        <w:t>1</w:t>
      </w:r>
      <w:r w:rsidR="000E770F">
        <w:rPr>
          <w:noProof/>
        </w:rPr>
        <w:fldChar w:fldCharType="end"/>
      </w:r>
      <w:bookmarkEnd w:id="22"/>
      <w:r>
        <w:t>: International regulatory status</w:t>
      </w:r>
    </w:p>
    <w:tbl>
      <w:tblPr>
        <w:tblStyle w:val="TableTGAblue2023"/>
        <w:tblW w:w="5000" w:type="pct"/>
        <w:tblLook w:val="04A0" w:firstRow="1" w:lastRow="0" w:firstColumn="1" w:lastColumn="0" w:noHBand="0" w:noVBand="1"/>
      </w:tblPr>
      <w:tblGrid>
        <w:gridCol w:w="1949"/>
        <w:gridCol w:w="1808"/>
        <w:gridCol w:w="2087"/>
        <w:gridCol w:w="3216"/>
      </w:tblGrid>
      <w:tr w:rsidR="00324B33" w:rsidRPr="00D01DDB" w14:paraId="405E5D78" w14:textId="16839333" w:rsidTr="008E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14:paraId="185B099B" w14:textId="7A4C0E6C" w:rsidR="00324B33" w:rsidRPr="00D01DDB" w:rsidRDefault="00324B33" w:rsidP="00324B33">
            <w:pPr>
              <w:rPr>
                <w:szCs w:val="22"/>
              </w:rPr>
            </w:pPr>
            <w:r w:rsidRPr="00D01DDB">
              <w:rPr>
                <w:szCs w:val="22"/>
              </w:rPr>
              <w:t>Region</w:t>
            </w:r>
          </w:p>
        </w:tc>
        <w:tc>
          <w:tcPr>
            <w:tcW w:w="99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52"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7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2E13" w:rsidRPr="00D01DDB" w14:paraId="4FD27092" w14:textId="77777777" w:rsidTr="008E76F3">
        <w:tc>
          <w:tcPr>
            <w:cnfStyle w:val="001000000000" w:firstRow="0" w:lastRow="0" w:firstColumn="1" w:lastColumn="0" w:oddVBand="0" w:evenVBand="0" w:oddHBand="0" w:evenHBand="0" w:firstRowFirstColumn="0" w:firstRowLastColumn="0" w:lastRowFirstColumn="0" w:lastRowLastColumn="0"/>
            <w:tcW w:w="1075" w:type="pct"/>
          </w:tcPr>
          <w:p w14:paraId="2B51175E" w14:textId="67584C89" w:rsidR="00322E13" w:rsidRDefault="00B22844" w:rsidP="00324B33">
            <w:pPr>
              <w:rPr>
                <w:szCs w:val="22"/>
              </w:rPr>
            </w:pPr>
            <w:r>
              <w:rPr>
                <w:szCs w:val="22"/>
              </w:rPr>
              <w:t>United States of America</w:t>
            </w:r>
          </w:p>
        </w:tc>
        <w:tc>
          <w:tcPr>
            <w:tcW w:w="998" w:type="pct"/>
          </w:tcPr>
          <w:p w14:paraId="60FA4D29" w14:textId="2A523365" w:rsidR="00322E13" w:rsidRDefault="00B2284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w:t>
            </w:r>
            <w:r w:rsidR="00706A24">
              <w:rPr>
                <w:szCs w:val="22"/>
              </w:rPr>
              <w:t> </w:t>
            </w:r>
            <w:r>
              <w:rPr>
                <w:szCs w:val="22"/>
              </w:rPr>
              <w:t>December 2020</w:t>
            </w:r>
          </w:p>
        </w:tc>
        <w:tc>
          <w:tcPr>
            <w:tcW w:w="1152" w:type="pct"/>
          </w:tcPr>
          <w:p w14:paraId="7D6EF9D4" w14:textId="11DC55FB" w:rsidR="00322E13" w:rsidRPr="00D01DDB" w:rsidRDefault="00B2284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14</w:t>
            </w:r>
            <w:r w:rsidR="00706A24">
              <w:rPr>
                <w:szCs w:val="22"/>
              </w:rPr>
              <w:t> </w:t>
            </w:r>
            <w:r>
              <w:rPr>
                <w:szCs w:val="22"/>
              </w:rPr>
              <w:t>October 2021</w:t>
            </w:r>
          </w:p>
        </w:tc>
        <w:tc>
          <w:tcPr>
            <w:tcW w:w="1775" w:type="pct"/>
          </w:tcPr>
          <w:p w14:paraId="25733559" w14:textId="53142333" w:rsidR="00322E13" w:rsidRPr="00144BF4" w:rsidRDefault="00144BF4" w:rsidP="00144BF4">
            <w:pPr>
              <w:cnfStyle w:val="000000000000" w:firstRow="0" w:lastRow="0" w:firstColumn="0" w:lastColumn="0" w:oddVBand="0" w:evenVBand="0" w:oddHBand="0" w:evenHBand="0" w:firstRowFirstColumn="0" w:firstRowLastColumn="0" w:lastRowFirstColumn="0" w:lastRowLastColumn="0"/>
              <w:rPr>
                <w:i/>
                <w:iCs/>
                <w:szCs w:val="22"/>
              </w:rPr>
            </w:pPr>
            <w:r w:rsidRPr="00144BF4">
              <w:rPr>
                <w:i/>
                <w:iCs/>
                <w:szCs w:val="22"/>
              </w:rPr>
              <w:t>Active immunization for the prevention of influenza disease caused by influenza virus subtypes A and type B contained in the vaccine for use in persons 6 months years of age and older.</w:t>
            </w:r>
          </w:p>
        </w:tc>
      </w:tr>
      <w:tr w:rsidR="005D08D4" w:rsidRPr="00D01DDB" w14:paraId="48119472" w14:textId="77777777" w:rsidTr="008E76F3">
        <w:tc>
          <w:tcPr>
            <w:cnfStyle w:val="001000000000" w:firstRow="0" w:lastRow="0" w:firstColumn="1" w:lastColumn="0" w:oddVBand="0" w:evenVBand="0" w:oddHBand="0" w:evenHBand="0" w:firstRowFirstColumn="0" w:firstRowLastColumn="0" w:lastRowFirstColumn="0" w:lastRowLastColumn="0"/>
            <w:tcW w:w="1075" w:type="pct"/>
          </w:tcPr>
          <w:p w14:paraId="7BBE785D" w14:textId="02433828" w:rsidR="005D08D4" w:rsidRDefault="005D08D4" w:rsidP="005D08D4">
            <w:pPr>
              <w:rPr>
                <w:szCs w:val="22"/>
              </w:rPr>
            </w:pPr>
            <w:r>
              <w:rPr>
                <w:szCs w:val="22"/>
              </w:rPr>
              <w:t>Argentina</w:t>
            </w:r>
          </w:p>
        </w:tc>
        <w:tc>
          <w:tcPr>
            <w:tcW w:w="998" w:type="pct"/>
          </w:tcPr>
          <w:p w14:paraId="551C855D" w14:textId="67CE0CC7" w:rsidR="005D08D4"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Pr>
                <w:szCs w:val="22"/>
              </w:rPr>
              <w:t>10 June 2021</w:t>
            </w:r>
          </w:p>
        </w:tc>
        <w:tc>
          <w:tcPr>
            <w:tcW w:w="1152" w:type="pct"/>
          </w:tcPr>
          <w:p w14:paraId="42352B1C" w14:textId="66CD1B9D" w:rsidR="005D08D4"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12 November 2021</w:t>
            </w:r>
          </w:p>
        </w:tc>
        <w:tc>
          <w:tcPr>
            <w:tcW w:w="1775" w:type="pct"/>
          </w:tcPr>
          <w:p w14:paraId="0CC3A159" w14:textId="65A94766" w:rsidR="005D08D4" w:rsidRPr="00144BF4" w:rsidRDefault="005D08D4" w:rsidP="005D08D4">
            <w:pPr>
              <w:cnfStyle w:val="000000000000" w:firstRow="0" w:lastRow="0" w:firstColumn="0" w:lastColumn="0" w:oddVBand="0" w:evenVBand="0" w:oddHBand="0" w:evenHBand="0" w:firstRowFirstColumn="0" w:firstRowLastColumn="0" w:lastRowFirstColumn="0" w:lastRowLastColumn="0"/>
              <w:rPr>
                <w:i/>
                <w:iCs/>
                <w:szCs w:val="22"/>
              </w:rPr>
            </w:pPr>
            <w:r w:rsidRPr="001E4A69">
              <w:rPr>
                <w:i/>
                <w:iCs/>
                <w:szCs w:val="22"/>
              </w:rPr>
              <w:t>Active immunization for the prevention of influenza disease caused by influenza virus subtypes A and type B contained in the vaccine for persons 6 months of age and older.</w:t>
            </w:r>
          </w:p>
        </w:tc>
      </w:tr>
      <w:tr w:rsidR="005D08D4" w:rsidRPr="00D01DDB" w14:paraId="38D24E86" w14:textId="77777777" w:rsidTr="008E76F3">
        <w:tc>
          <w:tcPr>
            <w:cnfStyle w:val="001000000000" w:firstRow="0" w:lastRow="0" w:firstColumn="1" w:lastColumn="0" w:oddVBand="0" w:evenVBand="0" w:oddHBand="0" w:evenHBand="0" w:firstRowFirstColumn="0" w:firstRowLastColumn="0" w:lastRowFirstColumn="0" w:lastRowLastColumn="0"/>
            <w:tcW w:w="1075" w:type="pct"/>
          </w:tcPr>
          <w:p w14:paraId="4C540DE5" w14:textId="0B3904A7" w:rsidR="005D08D4" w:rsidRPr="00D01DDB" w:rsidRDefault="005D08D4" w:rsidP="005D08D4">
            <w:pPr>
              <w:rPr>
                <w:szCs w:val="22"/>
              </w:rPr>
            </w:pPr>
            <w:r>
              <w:rPr>
                <w:szCs w:val="22"/>
              </w:rPr>
              <w:lastRenderedPageBreak/>
              <w:t>Canada</w:t>
            </w:r>
          </w:p>
        </w:tc>
        <w:tc>
          <w:tcPr>
            <w:tcW w:w="998" w:type="pct"/>
          </w:tcPr>
          <w:p w14:paraId="4FA5DDA9" w14:textId="50E9F8F4" w:rsidR="005D08D4" w:rsidRPr="00D01DDB"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Pr>
                <w:szCs w:val="22"/>
              </w:rPr>
              <w:t>26 March 2021</w:t>
            </w:r>
          </w:p>
        </w:tc>
        <w:tc>
          <w:tcPr>
            <w:tcW w:w="1152" w:type="pct"/>
          </w:tcPr>
          <w:p w14:paraId="29358393" w14:textId="0F4F3A9B" w:rsidR="005D08D4" w:rsidRPr="00D01DDB"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8 March 2022</w:t>
            </w:r>
          </w:p>
        </w:tc>
        <w:tc>
          <w:tcPr>
            <w:tcW w:w="1775" w:type="pct"/>
          </w:tcPr>
          <w:p w14:paraId="05055674" w14:textId="669A2D1A" w:rsidR="005D08D4" w:rsidRPr="00144BF4" w:rsidRDefault="005D08D4" w:rsidP="005D08D4">
            <w:pPr>
              <w:cnfStyle w:val="000000000000" w:firstRow="0" w:lastRow="0" w:firstColumn="0" w:lastColumn="0" w:oddVBand="0" w:evenVBand="0" w:oddHBand="0" w:evenHBand="0" w:firstRowFirstColumn="0" w:firstRowLastColumn="0" w:lastRowFirstColumn="0" w:lastRowLastColumn="0"/>
              <w:rPr>
                <w:i/>
                <w:iCs/>
                <w:szCs w:val="22"/>
              </w:rPr>
            </w:pPr>
            <w:r w:rsidRPr="00144BF4">
              <w:rPr>
                <w:i/>
                <w:iCs/>
                <w:szCs w:val="22"/>
              </w:rPr>
              <w:t>Active immunization of adults and children aged 6 months or older for the prevention of influenza disease caused by influenza virus subtypes A and type B contained in the vaccine.</w:t>
            </w:r>
          </w:p>
        </w:tc>
      </w:tr>
      <w:tr w:rsidR="005D08D4" w:rsidRPr="00D01DDB" w14:paraId="4BB888D1" w14:textId="77777777" w:rsidTr="008E76F3">
        <w:tc>
          <w:tcPr>
            <w:cnfStyle w:val="001000000000" w:firstRow="0" w:lastRow="0" w:firstColumn="1" w:lastColumn="0" w:oddVBand="0" w:evenVBand="0" w:oddHBand="0" w:evenHBand="0" w:firstRowFirstColumn="0" w:firstRowLastColumn="0" w:lastRowFirstColumn="0" w:lastRowLastColumn="0"/>
            <w:tcW w:w="1075" w:type="pct"/>
          </w:tcPr>
          <w:p w14:paraId="1B7B4DD8" w14:textId="2BB15D74" w:rsidR="005D08D4" w:rsidRDefault="005D08D4" w:rsidP="005D08D4">
            <w:pPr>
              <w:rPr>
                <w:szCs w:val="22"/>
              </w:rPr>
            </w:pPr>
            <w:r>
              <w:rPr>
                <w:szCs w:val="22"/>
              </w:rPr>
              <w:t>Taiwan</w:t>
            </w:r>
          </w:p>
        </w:tc>
        <w:tc>
          <w:tcPr>
            <w:tcW w:w="998" w:type="pct"/>
          </w:tcPr>
          <w:p w14:paraId="64660D57" w14:textId="4E5AFF22" w:rsidR="005D08D4"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Pr>
                <w:szCs w:val="22"/>
              </w:rPr>
              <w:t>29 December 2021</w:t>
            </w:r>
          </w:p>
        </w:tc>
        <w:tc>
          <w:tcPr>
            <w:tcW w:w="1152" w:type="pct"/>
          </w:tcPr>
          <w:p w14:paraId="3A1AB373" w14:textId="13FAACF2" w:rsidR="005D08D4" w:rsidRPr="00D01DDB"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24 June 2022</w:t>
            </w:r>
          </w:p>
        </w:tc>
        <w:tc>
          <w:tcPr>
            <w:tcW w:w="1775" w:type="pct"/>
          </w:tcPr>
          <w:p w14:paraId="2D630B62" w14:textId="12C9817B" w:rsidR="005D08D4" w:rsidRPr="00144BF4" w:rsidRDefault="005D08D4" w:rsidP="005D08D4">
            <w:pPr>
              <w:cnfStyle w:val="000000000000" w:firstRow="0" w:lastRow="0" w:firstColumn="0" w:lastColumn="0" w:oddVBand="0" w:evenVBand="0" w:oddHBand="0" w:evenHBand="0" w:firstRowFirstColumn="0" w:firstRowLastColumn="0" w:lastRowFirstColumn="0" w:lastRowLastColumn="0"/>
              <w:rPr>
                <w:i/>
                <w:iCs/>
                <w:szCs w:val="22"/>
              </w:rPr>
            </w:pPr>
            <w:r w:rsidRPr="001E4A69">
              <w:rPr>
                <w:i/>
                <w:iCs/>
                <w:szCs w:val="22"/>
              </w:rPr>
              <w:t>Active immunization for the prevention of disease caused by influenza A subtype viruses and type B viruses contained in the vaccine in children above 6 months of age and adults.</w:t>
            </w:r>
          </w:p>
        </w:tc>
      </w:tr>
      <w:tr w:rsidR="005D08D4" w:rsidRPr="00D01DDB" w14:paraId="18B6E2AA" w14:textId="7783D66F" w:rsidTr="008E76F3">
        <w:tc>
          <w:tcPr>
            <w:cnfStyle w:val="001000000000" w:firstRow="0" w:lastRow="0" w:firstColumn="1" w:lastColumn="0" w:oddVBand="0" w:evenVBand="0" w:oddHBand="0" w:evenHBand="0" w:firstRowFirstColumn="0" w:firstRowLastColumn="0" w:lastRowFirstColumn="0" w:lastRowLastColumn="0"/>
            <w:tcW w:w="1075" w:type="pct"/>
          </w:tcPr>
          <w:p w14:paraId="7F348960" w14:textId="1673047E" w:rsidR="005D08D4" w:rsidRPr="00D01DDB" w:rsidRDefault="005D08D4" w:rsidP="005D08D4">
            <w:pPr>
              <w:rPr>
                <w:szCs w:val="22"/>
              </w:rPr>
            </w:pPr>
            <w:r>
              <w:rPr>
                <w:szCs w:val="22"/>
              </w:rPr>
              <w:t>New Zealand</w:t>
            </w:r>
          </w:p>
        </w:tc>
        <w:tc>
          <w:tcPr>
            <w:tcW w:w="998" w:type="pct"/>
          </w:tcPr>
          <w:p w14:paraId="1D871E57" w14:textId="38716F9A" w:rsidR="005D08D4" w:rsidRPr="00D01DDB"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Pr>
                <w:szCs w:val="22"/>
              </w:rPr>
              <w:t>27 June 2022</w:t>
            </w:r>
          </w:p>
        </w:tc>
        <w:tc>
          <w:tcPr>
            <w:tcW w:w="1152" w:type="pct"/>
          </w:tcPr>
          <w:p w14:paraId="63A3A9D3" w14:textId="2FA15569" w:rsidR="005D08D4" w:rsidRPr="00D01DDB"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75" w:type="pct"/>
          </w:tcPr>
          <w:p w14:paraId="17C650B8" w14:textId="5B567795" w:rsidR="005D08D4" w:rsidRPr="00D01DDB" w:rsidRDefault="005D08D4" w:rsidP="005D08D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bl>
    <w:p w14:paraId="064CCADF" w14:textId="77777777" w:rsidR="00324B33" w:rsidRDefault="00324B33" w:rsidP="00324B33">
      <w:pPr>
        <w:pStyle w:val="Heading3"/>
      </w:pPr>
      <w:bookmarkStart w:id="23" w:name="_Toc103679292"/>
      <w:bookmarkStart w:id="24" w:name="_Toc143608668"/>
      <w:r>
        <w:t>Product Information</w:t>
      </w:r>
      <w:bookmarkEnd w:id="23"/>
      <w:bookmarkEnd w:id="24"/>
    </w:p>
    <w:p w14:paraId="4B0F7D57" w14:textId="4558FA43" w:rsidR="00324B33" w:rsidRPr="00BD5DBD" w:rsidRDefault="00324B33" w:rsidP="00324B33">
      <w:pPr>
        <w:rPr>
          <w:szCs w:val="22"/>
        </w:rPr>
      </w:pPr>
      <w:bookmarkStart w:id="25" w:name="_Toc504480011"/>
      <w:r w:rsidRPr="00BD5DBD">
        <w:rPr>
          <w:szCs w:val="22"/>
        </w:rPr>
        <w:t xml:space="preserve">The </w:t>
      </w:r>
      <w:hyperlink r:id="rId26" w:history="1">
        <w:r w:rsidR="00105AFB">
          <w:rPr>
            <w:rStyle w:val="Hyperlink"/>
          </w:rPr>
          <w:t>Product Information</w:t>
        </w:r>
      </w:hyperlink>
      <w:r w:rsidR="00105AFB">
        <w:t xml:space="preserve"> (PI)</w:t>
      </w:r>
      <w:r w:rsidRPr="00BD5DBD">
        <w:rPr>
          <w:szCs w:val="22"/>
        </w:rPr>
        <w:t xml:space="preserve"> approved with the submission which is described in this AusPAR can be found as Attachment 1. </w:t>
      </w:r>
      <w:r w:rsidR="008E76F3">
        <w:rPr>
          <w:szCs w:val="22"/>
        </w:rPr>
        <w:t xml:space="preserve">It may have been superseded. </w:t>
      </w:r>
      <w:r w:rsidRPr="00BD5DBD">
        <w:rPr>
          <w:szCs w:val="22"/>
        </w:rPr>
        <w:t>For the most recent PI</w:t>
      </w:r>
      <w:r w:rsidR="00A93DC6" w:rsidRPr="00BD5DBD">
        <w:rPr>
          <w:szCs w:val="22"/>
        </w:rPr>
        <w:t xml:space="preserve"> and </w:t>
      </w:r>
      <w:hyperlink r:id="rId27"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8" w:history="1">
        <w:r w:rsidRPr="00BD5DBD">
          <w:rPr>
            <w:rStyle w:val="Hyperlink"/>
            <w:szCs w:val="22"/>
          </w:rPr>
          <w:t>PI/CMI search facility.</w:t>
        </w:r>
      </w:hyperlink>
    </w:p>
    <w:p w14:paraId="6D92589C" w14:textId="77777777" w:rsidR="00324B33" w:rsidRDefault="00324B33" w:rsidP="00324B33">
      <w:pPr>
        <w:pStyle w:val="Heading2"/>
      </w:pPr>
      <w:bookmarkStart w:id="26" w:name="_Toc103679293"/>
      <w:bookmarkStart w:id="27" w:name="_Toc143608669"/>
      <w:r>
        <w:t>Registration timeline</w:t>
      </w:r>
      <w:bookmarkEnd w:id="25"/>
      <w:bookmarkEnd w:id="26"/>
      <w:bookmarkEnd w:id="27"/>
    </w:p>
    <w:p w14:paraId="6BB76942" w14:textId="5E281A21" w:rsidR="00477C4E" w:rsidRDefault="00477C4E" w:rsidP="00324B33">
      <w:pPr>
        <w:rPr>
          <w:szCs w:val="22"/>
        </w:rPr>
      </w:pPr>
      <w:r w:rsidRPr="00BD5DBD">
        <w:rPr>
          <w:szCs w:val="22"/>
        </w:rPr>
        <w:t>This submission was evaluated under the</w:t>
      </w:r>
      <w:r w:rsidR="00E637EF">
        <w:rPr>
          <w:szCs w:val="22"/>
        </w:rPr>
        <w:t xml:space="preserve"> </w:t>
      </w:r>
      <w:hyperlink r:id="rId29" w:history="1">
        <w:r w:rsidR="00E637EF">
          <w:rPr>
            <w:rStyle w:val="Hyperlink"/>
          </w:rPr>
          <w:t>standard prescription medicines registration process</w:t>
        </w:r>
      </w:hyperlink>
      <w:r w:rsidR="00E637EF">
        <w:t>.</w:t>
      </w:r>
    </w:p>
    <w:p w14:paraId="729586BE" w14:textId="77777777" w:rsidR="0071003A" w:rsidRPr="00BD5DBD" w:rsidRDefault="0071003A" w:rsidP="0071003A">
      <w:pPr>
        <w:rPr>
          <w:szCs w:val="22"/>
        </w:rPr>
      </w:pPr>
      <w:r w:rsidRPr="00BD5DBD">
        <w:rPr>
          <w:szCs w:val="22"/>
        </w:rPr>
        <w:t>The following table captures the key steps and dates for this submission.</w:t>
      </w:r>
    </w:p>
    <w:p w14:paraId="44628C5F" w14:textId="718C939E" w:rsidR="00324B33" w:rsidRPr="00BA0EBF" w:rsidRDefault="00324B33" w:rsidP="0013528C">
      <w:pPr>
        <w:pStyle w:val="TableTitle"/>
      </w:pPr>
      <w:r w:rsidRPr="00BA0EBF">
        <w:t xml:space="preserve">Table </w:t>
      </w:r>
      <w:r w:rsidR="000E770F">
        <w:fldChar w:fldCharType="begin"/>
      </w:r>
      <w:r w:rsidR="000E770F">
        <w:instrText xml:space="preserve"> SEQ Table \* ARABIC </w:instrText>
      </w:r>
      <w:r w:rsidR="000E770F">
        <w:fldChar w:fldCharType="separate"/>
      </w:r>
      <w:r w:rsidR="009C5F1A">
        <w:rPr>
          <w:noProof/>
        </w:rPr>
        <w:t>2</w:t>
      </w:r>
      <w:r w:rsidR="000E770F">
        <w:rPr>
          <w:noProof/>
        </w:rPr>
        <w:fldChar w:fldCharType="end"/>
      </w:r>
      <w:r w:rsidRPr="00BA0EBF">
        <w:t>: Timeline for Submission PM-202</w:t>
      </w:r>
      <w:r w:rsidR="0060220C" w:rsidRPr="00BA0EBF">
        <w:t>2</w:t>
      </w:r>
      <w:r w:rsidRPr="00BA0EBF">
        <w:t>-</w:t>
      </w:r>
      <w:r w:rsidR="00300E15" w:rsidRPr="00BA0EBF">
        <w:t>01977-1-2</w:t>
      </w:r>
    </w:p>
    <w:tbl>
      <w:tblPr>
        <w:tblStyle w:val="TableTGAblue2023"/>
        <w:tblW w:w="8642" w:type="dxa"/>
        <w:tblLook w:val="04A0" w:firstRow="1" w:lastRow="0" w:firstColumn="1" w:lastColumn="0" w:noHBand="0" w:noVBand="1"/>
      </w:tblPr>
      <w:tblGrid>
        <w:gridCol w:w="4390"/>
        <w:gridCol w:w="4252"/>
      </w:tblGrid>
      <w:tr w:rsidR="00324B33" w:rsidRPr="00D01DDB"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D01DDB" w:rsidRDefault="00324B33" w:rsidP="00324B33">
            <w:pPr>
              <w:rPr>
                <w:szCs w:val="22"/>
              </w:rPr>
            </w:pPr>
            <w:r w:rsidRPr="00D01DDB">
              <w:rPr>
                <w:szCs w:val="22"/>
              </w:rPr>
              <w:t>Description</w:t>
            </w:r>
          </w:p>
        </w:tc>
        <w:tc>
          <w:tcPr>
            <w:tcW w:w="425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4252" w:type="dxa"/>
          </w:tcPr>
          <w:p w14:paraId="2963D9D8" w14:textId="1A3A80A6" w:rsidR="00324B33" w:rsidRPr="00D01DDB" w:rsidRDefault="00676A7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2022</w:t>
            </w:r>
          </w:p>
        </w:tc>
      </w:tr>
      <w:tr w:rsidR="00324B33" w:rsidRPr="00D01DDB"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D01DDB" w:rsidRDefault="00324B33" w:rsidP="00324B33">
            <w:pPr>
              <w:rPr>
                <w:szCs w:val="22"/>
              </w:rPr>
            </w:pPr>
            <w:r w:rsidRPr="00D01DDB">
              <w:rPr>
                <w:szCs w:val="22"/>
              </w:rPr>
              <w:t>First round evaluation completed</w:t>
            </w:r>
          </w:p>
        </w:tc>
        <w:tc>
          <w:tcPr>
            <w:tcW w:w="4252" w:type="dxa"/>
          </w:tcPr>
          <w:p w14:paraId="3CEAFAAB" w14:textId="71ECEA53" w:rsidR="00324B33" w:rsidRPr="00D01DDB" w:rsidRDefault="00676A7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December 2022</w:t>
            </w:r>
          </w:p>
        </w:tc>
      </w:tr>
      <w:tr w:rsidR="00324B33" w:rsidRPr="00D01DDB"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4252" w:type="dxa"/>
          </w:tcPr>
          <w:p w14:paraId="68A577C1" w14:textId="3B445837" w:rsidR="00324B33" w:rsidRPr="00D01DDB" w:rsidRDefault="00844DA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Janua</w:t>
            </w:r>
            <w:r w:rsidR="00202D87">
              <w:rPr>
                <w:szCs w:val="22"/>
              </w:rPr>
              <w:t>ry 2023</w:t>
            </w:r>
          </w:p>
        </w:tc>
      </w:tr>
      <w:tr w:rsidR="00324B33" w:rsidRPr="00D01DDB"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D01DDB" w:rsidRDefault="00324B33" w:rsidP="00324B33">
            <w:pPr>
              <w:rPr>
                <w:szCs w:val="22"/>
              </w:rPr>
            </w:pPr>
            <w:r w:rsidRPr="00D01DDB">
              <w:rPr>
                <w:szCs w:val="22"/>
              </w:rPr>
              <w:t>Second round evaluation completed</w:t>
            </w:r>
          </w:p>
        </w:tc>
        <w:tc>
          <w:tcPr>
            <w:tcW w:w="4252" w:type="dxa"/>
          </w:tcPr>
          <w:p w14:paraId="4E47DF62" w14:textId="722A921E" w:rsidR="00324B33" w:rsidRPr="00D01DDB" w:rsidRDefault="002D42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March 2023</w:t>
            </w:r>
          </w:p>
        </w:tc>
      </w:tr>
      <w:tr w:rsidR="00324B33" w:rsidRPr="00D01DDB"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26B70BE2" w:rsidR="00324B33" w:rsidRPr="00D01DDB" w:rsidRDefault="00324B33" w:rsidP="00324B33">
            <w:pPr>
              <w:rPr>
                <w:szCs w:val="22"/>
              </w:rPr>
            </w:pPr>
            <w:r w:rsidRPr="00511AD9">
              <w:rPr>
                <w:color w:val="auto"/>
                <w:szCs w:val="22"/>
              </w:rPr>
              <w:t>Delegate’s Overall benefit-risk assessment and request for Advisory Committee advice</w:t>
            </w:r>
            <w:r w:rsidR="001E0363">
              <w:rPr>
                <w:rStyle w:val="FootnoteReference"/>
                <w:color w:val="auto"/>
                <w:szCs w:val="22"/>
              </w:rPr>
              <w:footnoteReference w:id="16"/>
            </w:r>
          </w:p>
        </w:tc>
        <w:tc>
          <w:tcPr>
            <w:tcW w:w="4252" w:type="dxa"/>
          </w:tcPr>
          <w:p w14:paraId="3BA6EF79" w14:textId="554A91BD" w:rsidR="00324B33" w:rsidRPr="00D01DDB" w:rsidRDefault="00511AD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May 2023</w:t>
            </w:r>
          </w:p>
        </w:tc>
      </w:tr>
      <w:tr w:rsidR="00324B33" w:rsidRPr="00D01DDB"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324B33" w:rsidRPr="00D01DDB" w:rsidRDefault="00324B33" w:rsidP="00324B33">
            <w:pPr>
              <w:rPr>
                <w:szCs w:val="22"/>
              </w:rPr>
            </w:pPr>
            <w:r w:rsidRPr="00D01DDB">
              <w:rPr>
                <w:szCs w:val="22"/>
              </w:rPr>
              <w:t>Sponsor’s pre-Advisory Committee response</w:t>
            </w:r>
          </w:p>
        </w:tc>
        <w:tc>
          <w:tcPr>
            <w:tcW w:w="4252" w:type="dxa"/>
          </w:tcPr>
          <w:p w14:paraId="5AE04841" w14:textId="3223364F" w:rsidR="00324B33" w:rsidRPr="00D01DDB" w:rsidRDefault="001B4CB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May 2023</w:t>
            </w:r>
          </w:p>
        </w:tc>
      </w:tr>
      <w:tr w:rsidR="00324B33" w:rsidRPr="00D01DDB"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324B33" w:rsidRPr="00D01DDB" w:rsidRDefault="00324B33" w:rsidP="00324B33">
            <w:pPr>
              <w:rPr>
                <w:szCs w:val="22"/>
              </w:rPr>
            </w:pPr>
            <w:r w:rsidRPr="00D01DDB">
              <w:rPr>
                <w:szCs w:val="22"/>
              </w:rPr>
              <w:lastRenderedPageBreak/>
              <w:t>Advisory Committee meeting</w:t>
            </w:r>
          </w:p>
        </w:tc>
        <w:tc>
          <w:tcPr>
            <w:tcW w:w="4252" w:type="dxa"/>
          </w:tcPr>
          <w:p w14:paraId="5BE1EDE7" w14:textId="7FA324FB" w:rsidR="00324B33" w:rsidRPr="00D01DDB" w:rsidRDefault="00A5541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June 2023</w:t>
            </w:r>
          </w:p>
        </w:tc>
      </w:tr>
      <w:tr w:rsidR="00324B33" w:rsidRPr="00D01DDB"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324B33" w:rsidRPr="00D01DDB" w:rsidRDefault="00324B33" w:rsidP="00324B33">
            <w:pPr>
              <w:rPr>
                <w:szCs w:val="22"/>
              </w:rPr>
            </w:pPr>
            <w:r w:rsidRPr="00D01DDB">
              <w:rPr>
                <w:szCs w:val="22"/>
              </w:rPr>
              <w:t>Registration decision (Outcome)</w:t>
            </w:r>
          </w:p>
        </w:tc>
        <w:tc>
          <w:tcPr>
            <w:tcW w:w="4252" w:type="dxa"/>
          </w:tcPr>
          <w:p w14:paraId="62987ABD" w14:textId="58AB43B8" w:rsidR="00324B33" w:rsidRPr="00D01DDB" w:rsidRDefault="002D42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July 2023</w:t>
            </w:r>
          </w:p>
        </w:tc>
      </w:tr>
      <w:tr w:rsidR="00324B33" w:rsidRPr="00D01DDB"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0693921A" w:rsidR="00324B33" w:rsidRPr="00D01DDB" w:rsidRDefault="0013132F" w:rsidP="00324B33">
            <w:pPr>
              <w:rPr>
                <w:szCs w:val="22"/>
              </w:rPr>
            </w:pPr>
            <w:r>
              <w:t xml:space="preserve">Administrative activities and registration </w:t>
            </w:r>
            <w:r w:rsidR="006962B6">
              <w:t>i</w:t>
            </w:r>
            <w:r>
              <w:t>n the ARTG completed</w:t>
            </w:r>
          </w:p>
        </w:tc>
        <w:tc>
          <w:tcPr>
            <w:tcW w:w="4252" w:type="dxa"/>
          </w:tcPr>
          <w:p w14:paraId="5A8923FD" w14:textId="1CA896A2" w:rsidR="00324B33" w:rsidRPr="00D01DDB" w:rsidRDefault="002D42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July 2023</w:t>
            </w:r>
          </w:p>
        </w:tc>
      </w:tr>
      <w:tr w:rsidR="00324B33" w:rsidRPr="00D01DDB"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4252" w:type="dxa"/>
          </w:tcPr>
          <w:p w14:paraId="5BAF9FA1" w14:textId="3184E45B" w:rsidR="00324B33" w:rsidRPr="00D01DDB" w:rsidRDefault="002D42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1E84C293" w:rsidR="00C22214" w:rsidRPr="00792A32" w:rsidRDefault="00C22214" w:rsidP="00C22214">
      <w:pPr>
        <w:pStyle w:val="Heading2"/>
      </w:pPr>
      <w:bookmarkStart w:id="28" w:name="_Toc196046504"/>
      <w:bookmarkStart w:id="29" w:name="_Toc247691527"/>
      <w:bookmarkStart w:id="30" w:name="_Toc314842510"/>
      <w:bookmarkStart w:id="31" w:name="_Toc103679294"/>
      <w:bookmarkStart w:id="32" w:name="_Toc143608670"/>
      <w:r w:rsidRPr="00006FAB">
        <w:t xml:space="preserve">Submission overview </w:t>
      </w:r>
      <w:r w:rsidRPr="00792A32">
        <w:t xml:space="preserve">and </w:t>
      </w:r>
      <w:r w:rsidR="00243ECF">
        <w:t>benefit</w:t>
      </w:r>
      <w:r w:rsidR="00243ECF">
        <w:noBreakHyphen/>
      </w:r>
      <w:r>
        <w:t>r</w:t>
      </w:r>
      <w:r w:rsidRPr="00792A32">
        <w:t xml:space="preserve">isk </w:t>
      </w:r>
      <w:r>
        <w:t>a</w:t>
      </w:r>
      <w:r w:rsidRPr="00792A32">
        <w:t>ssessment</w:t>
      </w:r>
      <w:bookmarkEnd w:id="28"/>
      <w:bookmarkEnd w:id="29"/>
      <w:bookmarkEnd w:id="30"/>
      <w:bookmarkEnd w:id="31"/>
      <w:bookmarkEnd w:id="32"/>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3AD9153E" w14:textId="243933EB" w:rsidR="00AE79B1" w:rsidRDefault="007072A1" w:rsidP="00AE79B1">
      <w:pPr>
        <w:spacing w:before="120"/>
        <w:rPr>
          <w:color w:val="00709D"/>
          <w:szCs w:val="22"/>
        </w:rPr>
      </w:pPr>
      <w:r w:rsidRPr="00AE79B1">
        <w:rPr>
          <w:szCs w:val="22"/>
        </w:rPr>
        <w:t>Relevant guidelines or guidance documents referred to by the Delegate are listed below:</w:t>
      </w:r>
    </w:p>
    <w:p w14:paraId="1210EFC3" w14:textId="2588296C" w:rsidR="008A5456" w:rsidRDefault="008A5456" w:rsidP="00E37FDA">
      <w:pPr>
        <w:pStyle w:val="ListBullet"/>
      </w:pPr>
      <w:r>
        <w:t>European Medicines Agency (EMA), Committee for Medicinal Products for Human Use (CHMP), Guideline on Influenza Vaccines - Non-clinical and Clinical Module, EMA/CHMP/VWP/457259/2014</w:t>
      </w:r>
    </w:p>
    <w:p w14:paraId="3F97965F" w14:textId="47ACCA40" w:rsidR="008A5456" w:rsidRPr="00020675" w:rsidRDefault="008A5456" w:rsidP="00E37FDA">
      <w:pPr>
        <w:pStyle w:val="ListBullet"/>
      </w:pPr>
      <w:r>
        <w:t>European Medicines Evaluation Agency (EMEA), Committee for Medicinal Products for Human Use (CHMP), Guideline on Clinical Evaluation of New Vaccines, EMEA/CHMP/VWP/164653/2005.</w:t>
      </w:r>
    </w:p>
    <w:p w14:paraId="37F5A1C0" w14:textId="77777777" w:rsidR="00C22214" w:rsidRDefault="00C22214" w:rsidP="00C22214">
      <w:pPr>
        <w:pStyle w:val="Heading3"/>
      </w:pPr>
      <w:bookmarkStart w:id="35" w:name="_Toc103679295"/>
      <w:bookmarkStart w:id="36" w:name="_Toc143608671"/>
      <w:r>
        <w:t>Quality</w:t>
      </w:r>
      <w:bookmarkEnd w:id="33"/>
      <w:bookmarkEnd w:id="34"/>
      <w:bookmarkEnd w:id="35"/>
      <w:bookmarkEnd w:id="36"/>
    </w:p>
    <w:p w14:paraId="29A3BB75" w14:textId="1EDA7892"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C964DD">
        <w:rPr>
          <w:szCs w:val="22"/>
        </w:rPr>
        <w:t>.</w:t>
      </w:r>
      <w:r w:rsidR="00AA58C2" w:rsidRPr="00C964DD" w:rsidDel="00AA58C2">
        <w:rPr>
          <w:szCs w:val="22"/>
          <w:vertAlign w:val="superscript"/>
        </w:rPr>
        <w:t xml:space="preserve"> </w:t>
      </w:r>
      <w:r w:rsidR="00AA58C2">
        <w:rPr>
          <w:szCs w:val="22"/>
          <w:vertAlign w:val="superscript"/>
        </w:rPr>
        <w:fldChar w:fldCharType="begin"/>
      </w:r>
      <w:r w:rsidR="00AA58C2">
        <w:rPr>
          <w:szCs w:val="22"/>
          <w:vertAlign w:val="superscript"/>
        </w:rPr>
        <w:instrText xml:space="preserve"> NOTEREF _Ref145580389 \h </w:instrText>
      </w:r>
      <w:r w:rsidR="00AA58C2">
        <w:rPr>
          <w:szCs w:val="22"/>
          <w:vertAlign w:val="superscript"/>
        </w:rPr>
      </w:r>
      <w:r w:rsidR="00AA58C2">
        <w:rPr>
          <w:szCs w:val="22"/>
          <w:vertAlign w:val="superscript"/>
        </w:rPr>
        <w:fldChar w:fldCharType="separate"/>
      </w:r>
      <w:r w:rsidR="00AA58C2">
        <w:rPr>
          <w:szCs w:val="22"/>
          <w:vertAlign w:val="superscript"/>
        </w:rPr>
        <w:t>12</w:t>
      </w:r>
      <w:r w:rsidR="00AA58C2">
        <w:rPr>
          <w:szCs w:val="22"/>
          <w:vertAlign w:val="superscript"/>
        </w:rPr>
        <w:fldChar w:fldCharType="end"/>
      </w:r>
    </w:p>
    <w:p w14:paraId="2BE90AAE" w14:textId="77777777" w:rsidR="00C22214" w:rsidRDefault="00C22214" w:rsidP="00C22214">
      <w:pPr>
        <w:pStyle w:val="Heading3"/>
      </w:pPr>
      <w:bookmarkStart w:id="37" w:name="_Toc314842512"/>
      <w:bookmarkStart w:id="38" w:name="_Toc103679296"/>
      <w:bookmarkStart w:id="39" w:name="_Toc143608672"/>
      <w:r>
        <w:t>Nonclinical</w:t>
      </w:r>
      <w:bookmarkEnd w:id="37"/>
      <w:bookmarkEnd w:id="38"/>
      <w:bookmarkEnd w:id="39"/>
    </w:p>
    <w:p w14:paraId="15C51A23" w14:textId="0153F15D" w:rsidR="008804CF" w:rsidRPr="00BD5DBD" w:rsidRDefault="008804CF" w:rsidP="008804CF">
      <w:pPr>
        <w:rPr>
          <w:b/>
          <w:bCs/>
          <w:szCs w:val="22"/>
        </w:rPr>
      </w:pPr>
      <w:bookmarkStart w:id="40" w:name="_Toc247691530"/>
      <w:bookmarkStart w:id="41" w:name="_Toc314842513"/>
      <w:bookmarkStart w:id="42"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3" w:name="_Toc143608673"/>
      <w:r>
        <w:t>Clinical</w:t>
      </w:r>
      <w:bookmarkEnd w:id="40"/>
      <w:bookmarkEnd w:id="41"/>
      <w:bookmarkEnd w:id="42"/>
      <w:bookmarkEnd w:id="43"/>
    </w:p>
    <w:p w14:paraId="32B0DEDA" w14:textId="77777777" w:rsidR="00C22214" w:rsidRPr="00433318" w:rsidRDefault="00C22214" w:rsidP="00433318">
      <w:pPr>
        <w:pStyle w:val="Heading4"/>
      </w:pPr>
      <w:bookmarkStart w:id="44" w:name="_Toc98931928"/>
      <w:bookmarkStart w:id="45" w:name="_Toc143608674"/>
      <w:r>
        <w:t>Summary of clinical studies</w:t>
      </w:r>
      <w:bookmarkEnd w:id="44"/>
      <w:bookmarkEnd w:id="45"/>
    </w:p>
    <w:p w14:paraId="46622364" w14:textId="6125ECA9" w:rsidR="00C22214" w:rsidRPr="00BD5DBD" w:rsidRDefault="00C22214" w:rsidP="00C22214">
      <w:pPr>
        <w:rPr>
          <w:szCs w:val="22"/>
        </w:rPr>
      </w:pPr>
      <w:r w:rsidRPr="00BD5DBD">
        <w:rPr>
          <w:szCs w:val="22"/>
        </w:rPr>
        <w:t>The clinical dossier consisted of</w:t>
      </w:r>
      <w:r w:rsidR="007357B9" w:rsidRPr="00BD5DBD">
        <w:rPr>
          <w:szCs w:val="22"/>
        </w:rPr>
        <w:t>:</w:t>
      </w:r>
    </w:p>
    <w:p w14:paraId="4FBFB8E5" w14:textId="47DB0F2C" w:rsidR="00BB2DB8" w:rsidRPr="00BB2DB8" w:rsidRDefault="001F3014" w:rsidP="00BB2DB8">
      <w:pPr>
        <w:pStyle w:val="ListBullet"/>
        <w:rPr>
          <w:szCs w:val="22"/>
        </w:rPr>
      </w:pPr>
      <w:r w:rsidRPr="008C28B2">
        <w:rPr>
          <w:szCs w:val="22"/>
        </w:rPr>
        <w:t>one</w:t>
      </w:r>
      <w:r w:rsidR="00C22214" w:rsidRPr="008C28B2">
        <w:rPr>
          <w:szCs w:val="22"/>
        </w:rPr>
        <w:t xml:space="preserve"> Phase I</w:t>
      </w:r>
      <w:r w:rsidR="00B82CED" w:rsidRPr="008C28B2">
        <w:rPr>
          <w:szCs w:val="22"/>
        </w:rPr>
        <w:t>II</w:t>
      </w:r>
      <w:r w:rsidR="00C22214" w:rsidRPr="008C28B2">
        <w:rPr>
          <w:szCs w:val="22"/>
        </w:rPr>
        <w:t xml:space="preserve"> stud</w:t>
      </w:r>
      <w:r w:rsidR="00A30840" w:rsidRPr="00DB510D">
        <w:t>y, V130_10</w:t>
      </w:r>
      <w:r w:rsidR="00DB510D" w:rsidRPr="00DB510D">
        <w:t>,</w:t>
      </w:r>
      <w:r w:rsidR="00001C36" w:rsidRPr="00DB510D">
        <w:t xml:space="preserve"> </w:t>
      </w:r>
      <w:r w:rsidR="00001C36" w:rsidRPr="00F63D52">
        <w:t xml:space="preserve">to </w:t>
      </w:r>
      <w:r w:rsidR="00A118E9">
        <w:t>e</w:t>
      </w:r>
      <w:r w:rsidR="00001C36" w:rsidRPr="00F63D52">
        <w:t xml:space="preserve">valuate </w:t>
      </w:r>
      <w:r w:rsidR="00A118E9">
        <w:t>s</w:t>
      </w:r>
      <w:r w:rsidR="00001C36" w:rsidRPr="00F63D52">
        <w:t xml:space="preserve">afety and </w:t>
      </w:r>
      <w:r w:rsidR="00A118E9">
        <w:t>i</w:t>
      </w:r>
      <w:r w:rsidR="00001C36" w:rsidRPr="00F63D52">
        <w:t xml:space="preserve">mmunogenicity of </w:t>
      </w:r>
      <w:r w:rsidR="00A118E9">
        <w:t>Flucelvax Quad</w:t>
      </w:r>
      <w:r w:rsidR="00001C36" w:rsidRPr="00F63D52">
        <w:t xml:space="preserve"> and a United States-licensed </w:t>
      </w:r>
      <w:r w:rsidR="00C7698D">
        <w:t>q</w:t>
      </w:r>
      <w:r w:rsidR="00001C36" w:rsidRPr="00F63D52">
        <w:t xml:space="preserve">uadrivalent </w:t>
      </w:r>
      <w:r w:rsidR="00C7698D">
        <w:t>i</w:t>
      </w:r>
      <w:r w:rsidR="00001C36" w:rsidRPr="00F63D52">
        <w:t xml:space="preserve">nfluenza </w:t>
      </w:r>
      <w:r w:rsidR="006B511B">
        <w:t>v</w:t>
      </w:r>
      <w:r w:rsidR="00001C36" w:rsidRPr="00F63D52">
        <w:t xml:space="preserve">irus </w:t>
      </w:r>
      <w:r w:rsidR="006B511B">
        <w:t>v</w:t>
      </w:r>
      <w:r w:rsidR="00001C36" w:rsidRPr="00F63D52">
        <w:t>accine (QIV</w:t>
      </w:r>
      <w:r w:rsidR="006B511B">
        <w:t>)</w:t>
      </w:r>
      <w:r w:rsidR="00001C36" w:rsidRPr="00F63D52">
        <w:t xml:space="preserve"> in </w:t>
      </w:r>
      <w:r w:rsidR="006B511B">
        <w:t>h</w:t>
      </w:r>
      <w:r w:rsidR="00001C36" w:rsidRPr="00F63D52">
        <w:t xml:space="preserve">ealthy </w:t>
      </w:r>
      <w:r w:rsidR="006B511B">
        <w:t>s</w:t>
      </w:r>
      <w:r w:rsidR="00001C36" w:rsidRPr="00F63D52">
        <w:t xml:space="preserve">ubjects </w:t>
      </w:r>
      <w:r w:rsidR="006B511B">
        <w:t xml:space="preserve">aged </w:t>
      </w:r>
      <w:r w:rsidR="00001C36" w:rsidRPr="00F63D52">
        <w:t>6</w:t>
      </w:r>
      <w:r w:rsidR="006B511B">
        <w:t> m</w:t>
      </w:r>
      <w:r w:rsidR="00001C36" w:rsidRPr="00F63D52">
        <w:t xml:space="preserve">onths </w:t>
      </w:r>
      <w:r w:rsidR="006B511B">
        <w:t>t</w:t>
      </w:r>
      <w:r w:rsidR="00001C36" w:rsidRPr="00F63D52">
        <w:t>hrough 47</w:t>
      </w:r>
      <w:r w:rsidR="006B511B">
        <w:t> </w:t>
      </w:r>
      <w:proofErr w:type="gramStart"/>
      <w:r w:rsidR="00AF4D5A">
        <w:t>m</w:t>
      </w:r>
      <w:r w:rsidR="00001C36" w:rsidRPr="00F63D52">
        <w:t>onths</w:t>
      </w:r>
      <w:proofErr w:type="gramEnd"/>
    </w:p>
    <w:p w14:paraId="6B56CB17" w14:textId="213FB4B4" w:rsidR="00C22214" w:rsidRPr="003A3765" w:rsidRDefault="001F3014" w:rsidP="00EA6BD5">
      <w:pPr>
        <w:pStyle w:val="ListBullet"/>
      </w:pPr>
      <w:r w:rsidRPr="00671F1C">
        <w:lastRenderedPageBreak/>
        <w:t>one</w:t>
      </w:r>
      <w:r w:rsidR="00C22214" w:rsidRPr="00671F1C">
        <w:t xml:space="preserve"> Phase I</w:t>
      </w:r>
      <w:r w:rsidRPr="00671F1C">
        <w:t>V</w:t>
      </w:r>
      <w:r w:rsidR="00C22214" w:rsidRPr="00671F1C">
        <w:t xml:space="preserve"> stud</w:t>
      </w:r>
      <w:r w:rsidR="00A30840" w:rsidRPr="00671F1C">
        <w:t>y V130_11</w:t>
      </w:r>
      <w:r w:rsidR="00EA77FF">
        <w:t>O</w:t>
      </w:r>
      <w:r w:rsidR="00A30840" w:rsidRPr="00671F1C">
        <w:t>B</w:t>
      </w:r>
      <w:r w:rsidR="00BB2DB8" w:rsidRPr="00671F1C">
        <w:t xml:space="preserve">, a prospective observational </w:t>
      </w:r>
      <w:r w:rsidR="00671F1C">
        <w:t xml:space="preserve">safety </w:t>
      </w:r>
      <w:r w:rsidR="00BB2DB8" w:rsidRPr="00671F1C">
        <w:t xml:space="preserve">study of </w:t>
      </w:r>
      <w:r w:rsidR="00671F1C" w:rsidRPr="00671F1C">
        <w:t xml:space="preserve">pregnancy </w:t>
      </w:r>
      <w:r w:rsidR="00671F1C" w:rsidRPr="003A3765">
        <w:t xml:space="preserve">outcomes in women immunised with seasonal </w:t>
      </w:r>
      <w:r w:rsidR="003A3765" w:rsidRPr="003A3765">
        <w:t>Flucelvax Quad</w:t>
      </w:r>
      <w:r w:rsidR="00671F1C" w:rsidRPr="003A3765">
        <w:t xml:space="preserve"> during pregnancy.</w:t>
      </w:r>
      <w:r w:rsidR="003A3765">
        <w:rPr>
          <w:rStyle w:val="FootnoteReference"/>
        </w:rPr>
        <w:footnoteReference w:id="17"/>
      </w:r>
    </w:p>
    <w:p w14:paraId="361D531B" w14:textId="5D0B0CD4" w:rsidR="00F63D52" w:rsidRPr="00F63D52" w:rsidRDefault="00F63D52" w:rsidP="00F63D52">
      <w:pPr>
        <w:pStyle w:val="Heading4"/>
      </w:pPr>
      <w:bookmarkStart w:id="46" w:name="_Toc143608675"/>
      <w:r w:rsidRPr="00F63D52">
        <w:t>Pharmacology</w:t>
      </w:r>
      <w:bookmarkEnd w:id="46"/>
    </w:p>
    <w:p w14:paraId="0240B1BB" w14:textId="028183DA" w:rsidR="00F63D52" w:rsidRPr="00F63D52" w:rsidRDefault="00F63D52" w:rsidP="00F63D52">
      <w:r w:rsidRPr="00F63D52">
        <w:t xml:space="preserve">No clinical pharmacokinetics </w:t>
      </w:r>
      <w:r>
        <w:t xml:space="preserve">study </w:t>
      </w:r>
      <w:r w:rsidRPr="00F63D52">
        <w:t>was performed for the development of F</w:t>
      </w:r>
      <w:r>
        <w:t xml:space="preserve">lucelvax Quad. </w:t>
      </w:r>
      <w:r w:rsidRPr="00F63D52">
        <w:t xml:space="preserve">This is acceptable </w:t>
      </w:r>
      <w:r>
        <w:t xml:space="preserve">to the Delegate </w:t>
      </w:r>
      <w:r w:rsidRPr="00F63D52">
        <w:t xml:space="preserve">given that the </w:t>
      </w:r>
      <w:r>
        <w:t xml:space="preserve">pharmacokinetic </w:t>
      </w:r>
      <w:r w:rsidRPr="00F63D52">
        <w:t>properties would not provide useful information for establishing adequate dosing recommendations</w:t>
      </w:r>
      <w:r w:rsidR="00C538AA">
        <w:t>.</w:t>
      </w:r>
      <w:r w:rsidR="00C538AA">
        <w:rPr>
          <w:rStyle w:val="FootnoteReference"/>
        </w:rPr>
        <w:footnoteReference w:id="18"/>
      </w:r>
      <w:r w:rsidRPr="00F63D52">
        <w:t xml:space="preserve"> There is no dose adjustment proposed for the target paediatric population.</w:t>
      </w:r>
    </w:p>
    <w:p w14:paraId="06EF0A62" w14:textId="77777777" w:rsidR="00F63D52" w:rsidRPr="00F63D52" w:rsidRDefault="00F63D52" w:rsidP="00F63D52">
      <w:pPr>
        <w:pStyle w:val="Heading4"/>
      </w:pPr>
      <w:bookmarkStart w:id="47" w:name="_Toc143608676"/>
      <w:r w:rsidRPr="00F63D52">
        <w:t>Immunogenicity</w:t>
      </w:r>
      <w:bookmarkEnd w:id="47"/>
    </w:p>
    <w:p w14:paraId="69271D83" w14:textId="77777777" w:rsidR="00F63D52" w:rsidRPr="00F63D52" w:rsidRDefault="00F63D52" w:rsidP="00AB3A32">
      <w:pPr>
        <w:pStyle w:val="Heading5"/>
        <w:rPr>
          <w:rFonts w:eastAsia="Calibri"/>
        </w:rPr>
      </w:pPr>
      <w:r w:rsidRPr="00F63D52">
        <w:t>Study V130_10</w:t>
      </w:r>
    </w:p>
    <w:p w14:paraId="3293508E" w14:textId="03ED7426" w:rsidR="00366468" w:rsidRDefault="009C1B5B" w:rsidP="00D56A6E">
      <w:pPr>
        <w:pStyle w:val="Heading6"/>
      </w:pPr>
      <w:r>
        <w:t>Description</w:t>
      </w:r>
    </w:p>
    <w:p w14:paraId="1CA41AB9" w14:textId="75FD1479" w:rsidR="00F63D52" w:rsidRDefault="00366468" w:rsidP="00F63D52">
      <w:r>
        <w:t>A</w:t>
      </w:r>
      <w:r w:rsidR="009C1B5B">
        <w:t xml:space="preserve"> </w:t>
      </w:r>
      <w:r w:rsidR="00F63D52" w:rsidRPr="00F63D52">
        <w:t xml:space="preserve">Phase </w:t>
      </w:r>
      <w:r w:rsidR="009C1B5B">
        <w:t>III</w:t>
      </w:r>
      <w:r w:rsidR="00F63D52" w:rsidRPr="00F63D52">
        <w:t xml:space="preserve">, </w:t>
      </w:r>
      <w:r w:rsidR="009C1B5B">
        <w:t>r</w:t>
      </w:r>
      <w:r w:rsidR="00F63D52" w:rsidRPr="00F63D52">
        <w:t>andomi</w:t>
      </w:r>
      <w:r w:rsidR="009C1B5B">
        <w:t>s</w:t>
      </w:r>
      <w:r w:rsidR="00F63D52" w:rsidRPr="00F63D52">
        <w:t xml:space="preserve">ed, </w:t>
      </w:r>
      <w:r w:rsidR="009C1B5B">
        <w:t>o</w:t>
      </w:r>
      <w:r w:rsidR="00F63D52" w:rsidRPr="00F63D52">
        <w:t>bserver-</w:t>
      </w:r>
      <w:r w:rsidR="009C1B5B">
        <w:t>b</w:t>
      </w:r>
      <w:r w:rsidR="00F63D52" w:rsidRPr="00F63D52">
        <w:t xml:space="preserve">lind, </w:t>
      </w:r>
      <w:r w:rsidR="005101D2">
        <w:t>m</w:t>
      </w:r>
      <w:r w:rsidR="005101D2" w:rsidRPr="00F63D52">
        <w:t>ulticentre</w:t>
      </w:r>
      <w:r w:rsidR="00F63D52" w:rsidRPr="00F63D52">
        <w:t xml:space="preserve">, </w:t>
      </w:r>
      <w:r w:rsidR="009C1B5B">
        <w:t>n</w:t>
      </w:r>
      <w:r w:rsidR="00F63D52" w:rsidRPr="00F63D52">
        <w:t xml:space="preserve">oninferiority </w:t>
      </w:r>
      <w:r w:rsidR="009C1B5B">
        <w:t>s</w:t>
      </w:r>
      <w:r w:rsidR="00F63D52" w:rsidRPr="00F63D52">
        <w:t xml:space="preserve">tudy to </w:t>
      </w:r>
      <w:r w:rsidR="009C1B5B">
        <w:t>e</w:t>
      </w:r>
      <w:r w:rsidR="00F63D52" w:rsidRPr="00F63D52">
        <w:t xml:space="preserve">valuate </w:t>
      </w:r>
      <w:r w:rsidR="009C1B5B">
        <w:t>s</w:t>
      </w:r>
      <w:r w:rsidR="00F63D52" w:rsidRPr="00F63D52">
        <w:t xml:space="preserve">afety and </w:t>
      </w:r>
      <w:r w:rsidR="009C1B5B">
        <w:t>i</w:t>
      </w:r>
      <w:r w:rsidR="00F63D52" w:rsidRPr="00F63D52">
        <w:t xml:space="preserve">mmunogenicity of </w:t>
      </w:r>
      <w:r w:rsidR="00C43025">
        <w:t xml:space="preserve">Flucelvax Quad (also referred to as </w:t>
      </w:r>
      <w:proofErr w:type="spellStart"/>
      <w:r w:rsidR="00F63D52" w:rsidRPr="00F63D52">
        <w:t>QIVc</w:t>
      </w:r>
      <w:proofErr w:type="spellEnd"/>
      <w:r w:rsidR="00F63D52" w:rsidRPr="00F63D52">
        <w:t xml:space="preserve">) and a United States-licensed </w:t>
      </w:r>
      <w:r w:rsidR="00C43025">
        <w:t>q</w:t>
      </w:r>
      <w:r w:rsidR="00F63D52" w:rsidRPr="00F63D52">
        <w:t xml:space="preserve">uadrivalent </w:t>
      </w:r>
      <w:r w:rsidR="00C43025">
        <w:t>i</w:t>
      </w:r>
      <w:r w:rsidR="00F63D52" w:rsidRPr="00F63D52">
        <w:t xml:space="preserve">nfluenza </w:t>
      </w:r>
      <w:r w:rsidR="00C43025">
        <w:t>v</w:t>
      </w:r>
      <w:r w:rsidR="00F63D52" w:rsidRPr="00F63D52">
        <w:t xml:space="preserve">irus </w:t>
      </w:r>
      <w:r w:rsidR="00C43025">
        <w:t>v</w:t>
      </w:r>
      <w:r w:rsidR="00F63D52" w:rsidRPr="00F63D52">
        <w:t>accine (QIV</w:t>
      </w:r>
      <w:r w:rsidR="00C20B98">
        <w:t>;</w:t>
      </w:r>
      <w:r w:rsidR="00F63D52" w:rsidRPr="00F63D52">
        <w:t xml:space="preserve"> Afluria Quadrivalent) in </w:t>
      </w:r>
      <w:r w:rsidR="00C43025">
        <w:t>h</w:t>
      </w:r>
      <w:r w:rsidR="00F63D52" w:rsidRPr="00F63D52">
        <w:t xml:space="preserve">ealthy </w:t>
      </w:r>
      <w:r w:rsidR="00C43025">
        <w:t>s</w:t>
      </w:r>
      <w:r w:rsidR="00F63D52" w:rsidRPr="00F63D52">
        <w:t xml:space="preserve">ubjects </w:t>
      </w:r>
      <w:r w:rsidR="00C43025">
        <w:t xml:space="preserve">aged </w:t>
      </w:r>
      <w:r w:rsidR="00F63D52" w:rsidRPr="00F63D52">
        <w:t>6</w:t>
      </w:r>
      <w:r w:rsidR="007E3264">
        <w:t> </w:t>
      </w:r>
      <w:r w:rsidR="00C43025">
        <w:t>m</w:t>
      </w:r>
      <w:r w:rsidR="00F63D52" w:rsidRPr="00F63D52">
        <w:t xml:space="preserve">onths </w:t>
      </w:r>
      <w:r w:rsidR="00C43025">
        <w:t>t</w:t>
      </w:r>
      <w:r w:rsidR="00F63D52" w:rsidRPr="00F63D52">
        <w:t xml:space="preserve">hrough 47 </w:t>
      </w:r>
      <w:r w:rsidR="00C43025">
        <w:t>m</w:t>
      </w:r>
      <w:r w:rsidR="00F63D52" w:rsidRPr="00F63D52">
        <w:t>onths.</w:t>
      </w:r>
      <w:r w:rsidR="00985997">
        <w:rPr>
          <w:rStyle w:val="FootnoteReference"/>
        </w:rPr>
        <w:footnoteReference w:id="19"/>
      </w:r>
    </w:p>
    <w:p w14:paraId="09355A1D" w14:textId="79DB14B3" w:rsidR="00D56A6E" w:rsidRPr="00F63D52" w:rsidRDefault="00D56A6E" w:rsidP="00D56A6E">
      <w:pPr>
        <w:pStyle w:val="Heading6"/>
      </w:pPr>
      <w:r w:rsidRPr="00F63D52">
        <w:t>Objectives</w:t>
      </w:r>
    </w:p>
    <w:p w14:paraId="5EA1EB32" w14:textId="1A11B7B4" w:rsidR="00F63D52" w:rsidRPr="00F63D52" w:rsidRDefault="00F63D52" w:rsidP="00D56A6E">
      <w:pPr>
        <w:pStyle w:val="Heading7"/>
      </w:pPr>
      <w:r w:rsidRPr="00F63D52">
        <w:t xml:space="preserve">Primary </w:t>
      </w:r>
      <w:r w:rsidR="009C5F1A">
        <w:t>o</w:t>
      </w:r>
      <w:r w:rsidRPr="00F63D52">
        <w:t>bjectives</w:t>
      </w:r>
    </w:p>
    <w:p w14:paraId="04C8BBA7" w14:textId="0752FF46" w:rsidR="00F63D52" w:rsidRDefault="00F63D52" w:rsidP="00F63D52">
      <w:r w:rsidRPr="00D452B1">
        <w:t xml:space="preserve">Immunogenicity: To demonstrate that vaccination with </w:t>
      </w:r>
      <w:proofErr w:type="spellStart"/>
      <w:r w:rsidRPr="00D452B1">
        <w:t>QIVc</w:t>
      </w:r>
      <w:proofErr w:type="spellEnd"/>
      <w:r w:rsidRPr="00D452B1">
        <w:t xml:space="preserve"> elicits an immune response that is not inferior to that of a QIV containing the recommended strains for the season, in subjects 6</w:t>
      </w:r>
      <w:r w:rsidR="00C20B98" w:rsidRPr="00D452B1">
        <w:t xml:space="preserve"> to </w:t>
      </w:r>
      <w:r w:rsidRPr="00E546EF">
        <w:t xml:space="preserve">47 months of age, as measured by </w:t>
      </w:r>
      <w:r w:rsidR="00D452B1" w:rsidRPr="00E546EF">
        <w:t>haemagglutination inhibition (</w:t>
      </w:r>
      <w:r w:rsidRPr="00E546EF">
        <w:t>HAI</w:t>
      </w:r>
      <w:r w:rsidR="00D452B1" w:rsidRPr="00E546EF">
        <w:t>)</w:t>
      </w:r>
      <w:r w:rsidRPr="00E546EF">
        <w:t xml:space="preserve"> assay for </w:t>
      </w:r>
      <w:r w:rsidR="00C20B98" w:rsidRPr="00E546EF">
        <w:t>influenza</w:t>
      </w:r>
      <w:r w:rsidR="007D4A3B" w:rsidRPr="00E546EF">
        <w:t> </w:t>
      </w:r>
      <w:r w:rsidRPr="00E546EF">
        <w:t xml:space="preserve">A/H1N1, </w:t>
      </w:r>
      <w:r w:rsidR="007D4A3B" w:rsidRPr="00E546EF">
        <w:t xml:space="preserve">influenza </w:t>
      </w:r>
      <w:r w:rsidRPr="00E546EF">
        <w:t xml:space="preserve">B/Yamagata, and </w:t>
      </w:r>
      <w:r w:rsidR="007D4A3B" w:rsidRPr="00E546EF">
        <w:t xml:space="preserve">influenza </w:t>
      </w:r>
      <w:r w:rsidRPr="00E546EF">
        <w:t xml:space="preserve">B/Victoria strains and by </w:t>
      </w:r>
      <w:proofErr w:type="spellStart"/>
      <w:r w:rsidR="00E546EF" w:rsidRPr="00E546EF">
        <w:t>microneutralisation</w:t>
      </w:r>
      <w:proofErr w:type="spellEnd"/>
      <w:r w:rsidR="00E546EF" w:rsidRPr="00E546EF">
        <w:t xml:space="preserve"> (</w:t>
      </w:r>
      <w:r w:rsidRPr="00E546EF">
        <w:t>MN</w:t>
      </w:r>
      <w:r w:rsidR="00E546EF" w:rsidRPr="00E546EF">
        <w:t>)</w:t>
      </w:r>
      <w:r w:rsidRPr="00E546EF">
        <w:t xml:space="preserve"> assay for </w:t>
      </w:r>
      <w:r w:rsidR="00AC3740" w:rsidRPr="00E546EF">
        <w:t xml:space="preserve">influenza </w:t>
      </w:r>
      <w:r w:rsidRPr="00E546EF">
        <w:t>A/H3N2 strain, using cell-derived target viruses.</w:t>
      </w:r>
    </w:p>
    <w:p w14:paraId="23D3AB05" w14:textId="34C126E5" w:rsidR="00F63D52" w:rsidRPr="00F63D52" w:rsidRDefault="00F63D52" w:rsidP="00D56A6E">
      <w:pPr>
        <w:pStyle w:val="Heading7"/>
      </w:pPr>
      <w:r w:rsidRPr="00F63D52">
        <w:t xml:space="preserve">Secondary </w:t>
      </w:r>
      <w:r w:rsidR="009C5F1A">
        <w:t>o</w:t>
      </w:r>
      <w:r w:rsidRPr="00F63D52">
        <w:t>bjectives</w:t>
      </w:r>
    </w:p>
    <w:p w14:paraId="7759C231" w14:textId="77777777" w:rsidR="00E40BFF" w:rsidRDefault="00F63D52" w:rsidP="00F63D52">
      <w:r w:rsidRPr="00F63D52">
        <w:t>Immunogenicity: To describe the immunogenicity of:</w:t>
      </w:r>
    </w:p>
    <w:p w14:paraId="3E3FC863" w14:textId="5D4C5084" w:rsidR="00E40BFF" w:rsidRDefault="00F63D52" w:rsidP="00E40BFF">
      <w:pPr>
        <w:pStyle w:val="Numberbullet0"/>
      </w:pPr>
      <w:proofErr w:type="spellStart"/>
      <w:r w:rsidRPr="00F63D52">
        <w:t>QIVc</w:t>
      </w:r>
      <w:proofErr w:type="spellEnd"/>
      <w:r w:rsidRPr="00F63D52">
        <w:t xml:space="preserve"> and QIV by HAI assay for </w:t>
      </w:r>
      <w:r w:rsidR="00761A22">
        <w:t xml:space="preserve">influenza </w:t>
      </w:r>
      <w:r w:rsidRPr="00F63D52">
        <w:t xml:space="preserve">A/H1N1, </w:t>
      </w:r>
      <w:r w:rsidR="00761A22">
        <w:t xml:space="preserve">influenza </w:t>
      </w:r>
      <w:r w:rsidRPr="00F63D52">
        <w:t xml:space="preserve">B/Yamagata, and </w:t>
      </w:r>
      <w:r w:rsidR="00761A22">
        <w:t>influenza</w:t>
      </w:r>
      <w:r w:rsidR="00FB4B6C">
        <w:t> </w:t>
      </w:r>
      <w:r w:rsidRPr="00F63D52">
        <w:t xml:space="preserve">B/Victoria strains, and by MN assay for </w:t>
      </w:r>
      <w:r w:rsidR="00761A22">
        <w:t xml:space="preserve">influenza </w:t>
      </w:r>
      <w:r w:rsidRPr="00F63D52">
        <w:t xml:space="preserve">A/H3N2 strain, using egg-derived target </w:t>
      </w:r>
      <w:proofErr w:type="gramStart"/>
      <w:r w:rsidRPr="00F63D52">
        <w:t>viruses</w:t>
      </w:r>
      <w:proofErr w:type="gramEnd"/>
    </w:p>
    <w:p w14:paraId="258AF947" w14:textId="580FF77D" w:rsidR="00E40BFF" w:rsidRDefault="00F63D52" w:rsidP="00E40BFF">
      <w:pPr>
        <w:pStyle w:val="Numberbullet0"/>
      </w:pPr>
      <w:proofErr w:type="spellStart"/>
      <w:r w:rsidRPr="00F63D52">
        <w:t>QIVc</w:t>
      </w:r>
      <w:proofErr w:type="spellEnd"/>
      <w:r w:rsidRPr="00F63D52">
        <w:t xml:space="preserve"> and QIV by HAI assay for </w:t>
      </w:r>
      <w:r w:rsidR="003F75DA">
        <w:t xml:space="preserve">influenza </w:t>
      </w:r>
      <w:r w:rsidRPr="00F63D52">
        <w:t xml:space="preserve">A/H1N1, </w:t>
      </w:r>
      <w:r w:rsidR="003F75DA">
        <w:t xml:space="preserve">influenza </w:t>
      </w:r>
      <w:r w:rsidRPr="00F63D52">
        <w:t xml:space="preserve">B/Yamagata, and </w:t>
      </w:r>
      <w:r w:rsidR="003F75DA">
        <w:t>influenza</w:t>
      </w:r>
      <w:r w:rsidR="00FB4B6C">
        <w:t> </w:t>
      </w:r>
      <w:r w:rsidRPr="00F63D52">
        <w:t xml:space="preserve">B/Victoria strains, and by MN assay for </w:t>
      </w:r>
      <w:r w:rsidR="003F75DA">
        <w:t xml:space="preserve">influenza </w:t>
      </w:r>
      <w:r w:rsidRPr="00F63D52">
        <w:t xml:space="preserve">A/H3N2 strain, using cell-derived target </w:t>
      </w:r>
      <w:proofErr w:type="gramStart"/>
      <w:r w:rsidRPr="00F63D52">
        <w:t>viruses</w:t>
      </w:r>
      <w:proofErr w:type="gramEnd"/>
    </w:p>
    <w:p w14:paraId="0A549EE2" w14:textId="28DDB1D1" w:rsidR="00F63D52" w:rsidRPr="00F63D52" w:rsidRDefault="00F63D52" w:rsidP="00E40BFF">
      <w:pPr>
        <w:pStyle w:val="Numberbullet0"/>
      </w:pPr>
      <w:proofErr w:type="spellStart"/>
      <w:r w:rsidRPr="00F63D52">
        <w:t>QIVc</w:t>
      </w:r>
      <w:proofErr w:type="spellEnd"/>
      <w:r w:rsidRPr="00F63D52">
        <w:t xml:space="preserve"> and QIV by MN assay for </w:t>
      </w:r>
      <w:r w:rsidR="00FB4B6C">
        <w:t xml:space="preserve">influenza </w:t>
      </w:r>
      <w:r w:rsidRPr="00F63D52">
        <w:t xml:space="preserve">A/H1N1, </w:t>
      </w:r>
      <w:r w:rsidR="00FB4B6C">
        <w:t xml:space="preserve">influenza </w:t>
      </w:r>
      <w:r w:rsidRPr="00F63D52">
        <w:t xml:space="preserve">B/Yamagata and </w:t>
      </w:r>
      <w:r w:rsidR="00FB4B6C">
        <w:t>influenza </w:t>
      </w:r>
      <w:r w:rsidRPr="00F63D52">
        <w:t>B/Victoria strains, in a subset.</w:t>
      </w:r>
    </w:p>
    <w:p w14:paraId="6B600330" w14:textId="70FDE300" w:rsidR="00F63D52" w:rsidRPr="00F63D52" w:rsidRDefault="00F63D52" w:rsidP="00D56A6E">
      <w:pPr>
        <w:pStyle w:val="Heading7"/>
      </w:pPr>
      <w:r w:rsidRPr="00F63D52">
        <w:t xml:space="preserve">Exploratory </w:t>
      </w:r>
      <w:r w:rsidR="009C5F1A">
        <w:t>o</w:t>
      </w:r>
      <w:r w:rsidRPr="00F63D52">
        <w:t>bjectives</w:t>
      </w:r>
    </w:p>
    <w:p w14:paraId="01B69C9D" w14:textId="09464D54" w:rsidR="003A5D30" w:rsidRDefault="00F63D52" w:rsidP="003A5D30">
      <w:pPr>
        <w:pStyle w:val="Numberbullet0"/>
        <w:numPr>
          <w:ilvl w:val="0"/>
          <w:numId w:val="16"/>
        </w:numPr>
      </w:pPr>
      <w:r w:rsidRPr="00DE0327">
        <w:t xml:space="preserve">To evaluate the homologous </w:t>
      </w:r>
      <w:r w:rsidR="00887045" w:rsidRPr="00DE0327">
        <w:t>cell-mediated immunity</w:t>
      </w:r>
      <w:r w:rsidRPr="00DE0327">
        <w:t xml:space="preserve"> response, </w:t>
      </w:r>
      <w:r w:rsidR="007D319C">
        <w:t xml:space="preserve">prior to and following </w:t>
      </w:r>
      <w:r w:rsidRPr="00DE0327">
        <w:t>vaccination</w:t>
      </w:r>
      <w:r w:rsidRPr="00F63D52">
        <w:t>, in a small population of subjects</w:t>
      </w:r>
    </w:p>
    <w:p w14:paraId="5D674664" w14:textId="4DAE429C" w:rsidR="00F63D52" w:rsidRPr="00F63D52" w:rsidRDefault="00F63D52" w:rsidP="003A5D30">
      <w:pPr>
        <w:pStyle w:val="Numberbullet0"/>
        <w:numPr>
          <w:ilvl w:val="0"/>
          <w:numId w:val="16"/>
        </w:numPr>
      </w:pPr>
      <w:r w:rsidRPr="00F63D52">
        <w:lastRenderedPageBreak/>
        <w:t xml:space="preserve">To further describe the immune response to vaccination, additional immunogenicity analyses may be conducted such as HAI assay for </w:t>
      </w:r>
      <w:r w:rsidR="000F48DB">
        <w:t xml:space="preserve">influenza </w:t>
      </w:r>
      <w:r w:rsidRPr="00F63D52">
        <w:t>A/H3N2 using cell- and egg-derived target viruses.</w:t>
      </w:r>
    </w:p>
    <w:p w14:paraId="5E045134" w14:textId="06E07CCF" w:rsidR="00F63D52" w:rsidRDefault="00F63D52" w:rsidP="000F48DB">
      <w:pPr>
        <w:pStyle w:val="Heading6"/>
      </w:pPr>
      <w:r w:rsidRPr="00F63D52">
        <w:t>End points</w:t>
      </w:r>
    </w:p>
    <w:p w14:paraId="5F6685B9" w14:textId="77777777" w:rsidR="00E26F3E" w:rsidRDefault="00E26F3E" w:rsidP="00E26F3E">
      <w:r>
        <w:t>Analyses were performed on data for Day 29 for previously vaccinated subjects and Day 57 for subjects who have not been previously vaccinated with influenza vaccine.</w:t>
      </w:r>
    </w:p>
    <w:p w14:paraId="48ABA9FC" w14:textId="5E32604C" w:rsidR="000F48DB" w:rsidRDefault="00F63D52" w:rsidP="000F48DB">
      <w:pPr>
        <w:pStyle w:val="Heading7"/>
      </w:pPr>
      <w:r w:rsidRPr="00F63D52">
        <w:t xml:space="preserve">Co-primary </w:t>
      </w:r>
      <w:r w:rsidR="009C5F1A">
        <w:t>i</w:t>
      </w:r>
      <w:r w:rsidRPr="00F63D52">
        <w:t xml:space="preserve">mmunogenicity </w:t>
      </w:r>
      <w:r w:rsidR="009C5F1A">
        <w:t>e</w:t>
      </w:r>
      <w:r w:rsidRPr="00F63D52">
        <w:t>ndpoints</w:t>
      </w:r>
    </w:p>
    <w:p w14:paraId="369EAB46" w14:textId="03654944" w:rsidR="00AD68A2" w:rsidRDefault="00F63D52" w:rsidP="00C35DF8">
      <w:pPr>
        <w:pStyle w:val="ListBullet"/>
      </w:pPr>
      <w:r w:rsidRPr="00F63D52">
        <w:t xml:space="preserve">Serum HAI antibody titre against </w:t>
      </w:r>
      <w:r w:rsidR="002415FB">
        <w:t xml:space="preserve">influenza </w:t>
      </w:r>
      <w:r w:rsidRPr="00F63D52">
        <w:t xml:space="preserve">A/H1N1, </w:t>
      </w:r>
      <w:r w:rsidR="002415FB">
        <w:t xml:space="preserve">influenza </w:t>
      </w:r>
      <w:r w:rsidRPr="00F63D52">
        <w:t xml:space="preserve">B/Yamagata, and </w:t>
      </w:r>
      <w:r w:rsidR="002415FB">
        <w:t>influenza </w:t>
      </w:r>
      <w:r w:rsidRPr="00F63D52">
        <w:t>B/Victoria vaccine strains at Day 29</w:t>
      </w:r>
      <w:r w:rsidR="004F4937">
        <w:t xml:space="preserve"> or </w:t>
      </w:r>
      <w:r w:rsidRPr="00F63D52">
        <w:t>57, using cell-derived target viruses: Geometric mean titre (GMT) by HAI assay; Seroconversion rate (SCR)</w:t>
      </w:r>
      <w:r w:rsidR="00291206">
        <w:t xml:space="preserve">, the </w:t>
      </w:r>
      <w:r w:rsidRPr="00F63D52">
        <w:t>percentage of subjects with either a pre</w:t>
      </w:r>
      <w:r w:rsidR="00640FBF">
        <w:noBreakHyphen/>
      </w:r>
      <w:r w:rsidRPr="00F63D52">
        <w:t xml:space="preserve">vaccination HAI titre </w:t>
      </w:r>
      <w:r w:rsidR="00F72C03">
        <w:t xml:space="preserve">less than </w:t>
      </w:r>
      <w:r w:rsidRPr="00F63D52">
        <w:t>1:10 and a post</w:t>
      </w:r>
      <w:r w:rsidR="001F489D">
        <w:noBreakHyphen/>
      </w:r>
      <w:r w:rsidRPr="00F63D52">
        <w:t xml:space="preserve">vaccination HAI titre </w:t>
      </w:r>
      <w:r w:rsidR="00E97145">
        <w:t>of</w:t>
      </w:r>
      <w:r w:rsidR="00F72C03">
        <w:t xml:space="preserve"> </w:t>
      </w:r>
      <w:r w:rsidRPr="00F63D52">
        <w:t>1:40</w:t>
      </w:r>
      <w:r w:rsidR="00E97145">
        <w:t xml:space="preserve"> or higher</w:t>
      </w:r>
      <w:r w:rsidRPr="00F63D52">
        <w:t>, or a pre</w:t>
      </w:r>
      <w:r w:rsidR="00640FBF">
        <w:noBreakHyphen/>
      </w:r>
      <w:r w:rsidRPr="00F63D52">
        <w:t xml:space="preserve">vaccination HAI titre </w:t>
      </w:r>
      <w:r w:rsidR="00F72C03">
        <w:t xml:space="preserve">at least </w:t>
      </w:r>
      <w:r w:rsidRPr="00F63D52">
        <w:t xml:space="preserve">1:10 and </w:t>
      </w:r>
      <w:r w:rsidR="00736E58">
        <w:t xml:space="preserve">an at least </w:t>
      </w:r>
      <w:r w:rsidRPr="00F63D52">
        <w:t>4</w:t>
      </w:r>
      <w:r w:rsidR="00736E58">
        <w:noBreakHyphen/>
      </w:r>
      <w:r w:rsidRPr="00F63D52">
        <w:t>fold increase in post</w:t>
      </w:r>
      <w:r w:rsidR="001F489D">
        <w:noBreakHyphen/>
      </w:r>
      <w:r w:rsidRPr="00F63D52">
        <w:t>vaccination HAI titre.</w:t>
      </w:r>
    </w:p>
    <w:p w14:paraId="66AC20CA" w14:textId="5FB86BBA" w:rsidR="00F63D52" w:rsidRPr="00F63D52" w:rsidRDefault="00F63D52" w:rsidP="00C35DF8">
      <w:pPr>
        <w:pStyle w:val="ListBullet"/>
      </w:pPr>
      <w:r w:rsidRPr="00F63D52">
        <w:t xml:space="preserve">Serum neutralising antibody titre against </w:t>
      </w:r>
      <w:r w:rsidR="00736E58">
        <w:t xml:space="preserve">influenza </w:t>
      </w:r>
      <w:r w:rsidRPr="00F63D52">
        <w:t>A/H3N2 vaccine strain at Day 29</w:t>
      </w:r>
      <w:r w:rsidR="004F4937">
        <w:t xml:space="preserve"> or </w:t>
      </w:r>
      <w:r w:rsidRPr="00F63D52">
        <w:t>57, using cell-derived target viruses: GMT by MN assay; SCR</w:t>
      </w:r>
      <w:r w:rsidR="00B5590A">
        <w:t>, the</w:t>
      </w:r>
      <w:r w:rsidR="00725B49">
        <w:t xml:space="preserve"> </w:t>
      </w:r>
      <w:r w:rsidRPr="00F63D52">
        <w:t>percentage of subjects with either a pre</w:t>
      </w:r>
      <w:r w:rsidR="00640FBF">
        <w:noBreakHyphen/>
      </w:r>
      <w:r w:rsidRPr="00F63D52">
        <w:t xml:space="preserve">vaccination MN titre </w:t>
      </w:r>
      <w:r w:rsidR="00725B49">
        <w:t xml:space="preserve">less than </w:t>
      </w:r>
      <w:r w:rsidRPr="00F63D52">
        <w:t>1:10 and a post</w:t>
      </w:r>
      <w:r w:rsidR="001F489D">
        <w:noBreakHyphen/>
      </w:r>
      <w:r w:rsidRPr="00F63D52">
        <w:t xml:space="preserve">vaccination MN titre </w:t>
      </w:r>
      <w:r w:rsidR="00C30FDA">
        <w:t xml:space="preserve">of </w:t>
      </w:r>
      <w:r w:rsidRPr="00F63D52">
        <w:t>1:40</w:t>
      </w:r>
      <w:r w:rsidR="00C30FDA">
        <w:t xml:space="preserve"> or higher</w:t>
      </w:r>
      <w:r w:rsidRPr="00F63D52">
        <w:t>, or a pre</w:t>
      </w:r>
      <w:r w:rsidR="008E0761">
        <w:t> </w:t>
      </w:r>
      <w:r w:rsidRPr="00F63D52">
        <w:t xml:space="preserve">vaccination MN titre </w:t>
      </w:r>
      <w:r w:rsidR="008E0761">
        <w:t xml:space="preserve">at least </w:t>
      </w:r>
      <w:r w:rsidRPr="00F63D52">
        <w:t>1:10 and a</w:t>
      </w:r>
      <w:r w:rsidR="00725B49">
        <w:t xml:space="preserve">n at least </w:t>
      </w:r>
      <w:r w:rsidRPr="00F63D52">
        <w:t>4</w:t>
      </w:r>
      <w:r w:rsidR="00725B49">
        <w:noBreakHyphen/>
      </w:r>
      <w:r w:rsidRPr="00F63D52">
        <w:t>fold increase in post</w:t>
      </w:r>
      <w:r w:rsidR="001F489D">
        <w:noBreakHyphen/>
      </w:r>
      <w:r w:rsidRPr="00F63D52">
        <w:t>vaccination MN titre.</w:t>
      </w:r>
    </w:p>
    <w:p w14:paraId="7472CA9C" w14:textId="44536D4D" w:rsidR="00F63D52" w:rsidRPr="00F63D52" w:rsidRDefault="00F63D52" w:rsidP="00C35DF8">
      <w:pPr>
        <w:pStyle w:val="ListBullet"/>
      </w:pPr>
      <w:r w:rsidRPr="00F63D52">
        <w:t>Derived variables: The GMT ratio (QIV/</w:t>
      </w:r>
      <w:proofErr w:type="spellStart"/>
      <w:r w:rsidRPr="00F63D52">
        <w:t>QIVc</w:t>
      </w:r>
      <w:proofErr w:type="spellEnd"/>
      <w:r w:rsidRPr="00F63D52">
        <w:t>) for each strain; the inter</w:t>
      </w:r>
      <w:r w:rsidR="003817E0">
        <w:noBreakHyphen/>
      </w:r>
      <w:r w:rsidRPr="00F63D52">
        <w:t xml:space="preserve">group difference in the SCRs (QIV minus </w:t>
      </w:r>
      <w:proofErr w:type="spellStart"/>
      <w:r w:rsidRPr="00F63D52">
        <w:t>QIVc</w:t>
      </w:r>
      <w:proofErr w:type="spellEnd"/>
      <w:r w:rsidRPr="00F63D52">
        <w:t>) for each strain.</w:t>
      </w:r>
    </w:p>
    <w:p w14:paraId="72D3ABB8" w14:textId="77777777" w:rsidR="00F63D52" w:rsidRPr="00F63D52" w:rsidRDefault="00F63D52" w:rsidP="00ED7265">
      <w:pPr>
        <w:pStyle w:val="Heading7"/>
      </w:pPr>
      <w:r w:rsidRPr="00F63D52">
        <w:t>Secondary immunogenicity endpoints</w:t>
      </w:r>
    </w:p>
    <w:p w14:paraId="7F1FDE59" w14:textId="3277C5F2" w:rsidR="00F63D52" w:rsidRPr="00F63D52" w:rsidRDefault="00F63D52" w:rsidP="003944C1">
      <w:pPr>
        <w:pStyle w:val="ListBullet"/>
      </w:pPr>
      <w:r w:rsidRPr="00F63D52">
        <w:t xml:space="preserve">Humoral immune response in terms of HAI antibodies against </w:t>
      </w:r>
      <w:r w:rsidR="00C36D25">
        <w:t xml:space="preserve">influenza </w:t>
      </w:r>
      <w:r w:rsidRPr="00F63D52">
        <w:t xml:space="preserve">A/H1N1, </w:t>
      </w:r>
      <w:r w:rsidR="00C36D25">
        <w:t>influenza </w:t>
      </w:r>
      <w:r w:rsidRPr="00F63D52">
        <w:t xml:space="preserve">B/Yamagata, and </w:t>
      </w:r>
      <w:r w:rsidR="00C36D25">
        <w:t xml:space="preserve">influenza </w:t>
      </w:r>
      <w:r w:rsidRPr="00F63D52">
        <w:t>B/Victoria strains</w:t>
      </w:r>
      <w:r w:rsidR="004C1AE4">
        <w:t>, using cell</w:t>
      </w:r>
      <w:r w:rsidR="004C1AE4">
        <w:noBreakHyphen/>
        <w:t>derived and egg</w:t>
      </w:r>
      <w:r w:rsidR="004C1AE4">
        <w:noBreakHyphen/>
        <w:t xml:space="preserve">derived target </w:t>
      </w:r>
      <w:proofErr w:type="gramStart"/>
      <w:r w:rsidR="004C1AE4">
        <w:t>viruses</w:t>
      </w:r>
      <w:proofErr w:type="gramEnd"/>
    </w:p>
    <w:p w14:paraId="04A1EEFA" w14:textId="10E6BB51" w:rsidR="00F63D52" w:rsidRPr="00F63D52" w:rsidRDefault="00F63D52" w:rsidP="00F06ED9">
      <w:pPr>
        <w:pStyle w:val="ListBullet"/>
      </w:pPr>
      <w:r w:rsidRPr="00F63D52">
        <w:t xml:space="preserve">Neutralizing antibody titres against </w:t>
      </w:r>
      <w:r w:rsidR="00C36D25">
        <w:t xml:space="preserve">influenza </w:t>
      </w:r>
      <w:r w:rsidRPr="00F63D52">
        <w:t>A/H3N2</w:t>
      </w:r>
      <w:r w:rsidR="004C1AE4">
        <w:t>, using cell</w:t>
      </w:r>
      <w:r w:rsidR="004C1AE4">
        <w:noBreakHyphen/>
        <w:t>derived and egg</w:t>
      </w:r>
      <w:r w:rsidR="004C1AE4">
        <w:noBreakHyphen/>
        <w:t xml:space="preserve">derived target </w:t>
      </w:r>
      <w:proofErr w:type="gramStart"/>
      <w:r w:rsidR="004C1AE4">
        <w:t>viruses</w:t>
      </w:r>
      <w:proofErr w:type="gramEnd"/>
    </w:p>
    <w:p w14:paraId="53599D00" w14:textId="22CA5CB1" w:rsidR="00F63D52" w:rsidRDefault="00F63D52" w:rsidP="003944C1">
      <w:pPr>
        <w:pStyle w:val="ListBullet"/>
      </w:pPr>
      <w:r w:rsidRPr="00F63D52">
        <w:t>Derived variables: The GMT ratio (QIV/</w:t>
      </w:r>
      <w:proofErr w:type="spellStart"/>
      <w:r w:rsidRPr="00F63D52">
        <w:t>QIVc</w:t>
      </w:r>
      <w:proofErr w:type="spellEnd"/>
      <w:r w:rsidRPr="00F63D52">
        <w:t>) for each strain; the inter</w:t>
      </w:r>
      <w:r w:rsidR="003817E0">
        <w:noBreakHyphen/>
      </w:r>
      <w:r w:rsidRPr="00F63D52">
        <w:t xml:space="preserve">group difference in the SCRs (QIV minus </w:t>
      </w:r>
      <w:proofErr w:type="spellStart"/>
      <w:r w:rsidRPr="00F63D52">
        <w:t>QIVc</w:t>
      </w:r>
      <w:proofErr w:type="spellEnd"/>
      <w:r w:rsidRPr="00F63D52">
        <w:t>) for each strain.</w:t>
      </w:r>
    </w:p>
    <w:p w14:paraId="440085B4" w14:textId="6CA474A8" w:rsidR="009A6063" w:rsidRPr="00F63D52" w:rsidRDefault="009A6063" w:rsidP="009A6063">
      <w:pPr>
        <w:pStyle w:val="Heading7"/>
      </w:pPr>
      <w:r>
        <w:t>Exploratory</w:t>
      </w:r>
      <w:r w:rsidR="00C35DF8">
        <w:t xml:space="preserve"> </w:t>
      </w:r>
      <w:r w:rsidRPr="00F63D52">
        <w:t>immunogenicity endpoints</w:t>
      </w:r>
    </w:p>
    <w:p w14:paraId="01B4CA5B" w14:textId="3E1894C0" w:rsidR="00854D92" w:rsidRPr="00197E78" w:rsidRDefault="00854D92" w:rsidP="00854D92">
      <w:pPr>
        <w:pStyle w:val="ListBullet"/>
      </w:pPr>
      <w:r w:rsidRPr="00854D92">
        <w:t>C</w:t>
      </w:r>
      <w:r>
        <w:t xml:space="preserve">ell-mediated immunity </w:t>
      </w:r>
      <w:r w:rsidRPr="00854D92">
        <w:t xml:space="preserve">response to vaccination: Measurement of antigen-stimulated </w:t>
      </w:r>
      <w:r w:rsidRPr="00197E78">
        <w:t>CD4+</w:t>
      </w:r>
      <w:r w:rsidR="00197E78" w:rsidRPr="00197E78">
        <w:t> T</w:t>
      </w:r>
      <w:r w:rsidR="00197E78" w:rsidRPr="00197E78">
        <w:noBreakHyphen/>
        <w:t xml:space="preserve">cell and </w:t>
      </w:r>
      <w:r w:rsidRPr="00197E78">
        <w:t>CD8+</w:t>
      </w:r>
      <w:r w:rsidR="00197E78" w:rsidRPr="00197E78">
        <w:t> </w:t>
      </w:r>
      <w:r w:rsidRPr="00197E78">
        <w:t>T-cell responses via expression of cytokines</w:t>
      </w:r>
    </w:p>
    <w:p w14:paraId="66894E82" w14:textId="27F22846" w:rsidR="00854D92" w:rsidRDefault="00854D92" w:rsidP="00854D92">
      <w:pPr>
        <w:pStyle w:val="ListBullet"/>
      </w:pPr>
      <w:r w:rsidRPr="00854D92">
        <w:t xml:space="preserve">Humoral immune response in terms of HAI antibodies against </w:t>
      </w:r>
      <w:r w:rsidR="00290CD6">
        <w:t xml:space="preserve">influenza </w:t>
      </w:r>
      <w:r w:rsidRPr="00854D92">
        <w:t xml:space="preserve">A/H3N2, using cell- </w:t>
      </w:r>
      <w:r w:rsidRPr="00276998">
        <w:t xml:space="preserve">and egg-derived target viruses: GMT by HAI assay at Days 1 and </w:t>
      </w:r>
      <w:r w:rsidR="00276998" w:rsidRPr="00276998">
        <w:t xml:space="preserve">Day </w:t>
      </w:r>
      <w:r w:rsidRPr="00276998">
        <w:t>29</w:t>
      </w:r>
      <w:r w:rsidR="004F4937">
        <w:t xml:space="preserve"> or </w:t>
      </w:r>
      <w:r w:rsidRPr="00276998">
        <w:t>57; GMR, defined as</w:t>
      </w:r>
      <w:r w:rsidRPr="00854D92">
        <w:t xml:space="preserve"> the fold increase in serum HAI GMT post</w:t>
      </w:r>
      <w:r w:rsidR="001F489D">
        <w:noBreakHyphen/>
      </w:r>
      <w:r w:rsidRPr="00854D92">
        <w:t>vaccination (Day 29</w:t>
      </w:r>
      <w:r w:rsidR="004F4937">
        <w:t xml:space="preserve"> or </w:t>
      </w:r>
      <w:r w:rsidRPr="00854D92">
        <w:t>57) compared to pre</w:t>
      </w:r>
      <w:r w:rsidR="00640FBF">
        <w:noBreakHyphen/>
      </w:r>
      <w:r w:rsidRPr="00854D92">
        <w:t>vaccination (Day 1)</w:t>
      </w:r>
    </w:p>
    <w:p w14:paraId="6DE8898B" w14:textId="0FFFE065" w:rsidR="00DE3B1E" w:rsidRDefault="00854D92" w:rsidP="00854D92">
      <w:pPr>
        <w:pStyle w:val="ListBullet"/>
      </w:pPr>
      <w:r w:rsidRPr="00854D92">
        <w:t xml:space="preserve">Seropositivity rates (percentages of subjects with HAI titre </w:t>
      </w:r>
      <w:r w:rsidR="00DE3B1E">
        <w:t xml:space="preserve">at least </w:t>
      </w:r>
      <w:r w:rsidRPr="00854D92">
        <w:t xml:space="preserve">1:10 at Days 1 and </w:t>
      </w:r>
      <w:r w:rsidR="00276998">
        <w:t>Day </w:t>
      </w:r>
      <w:r w:rsidRPr="00854D92">
        <w:t>29</w:t>
      </w:r>
      <w:r w:rsidR="004F4937">
        <w:t xml:space="preserve"> or </w:t>
      </w:r>
      <w:r w:rsidRPr="00854D92">
        <w:t>57</w:t>
      </w:r>
    </w:p>
    <w:p w14:paraId="3AA51233" w14:textId="665049CC" w:rsidR="00854D92" w:rsidRPr="00854D92" w:rsidRDefault="00854D92" w:rsidP="00854D92">
      <w:pPr>
        <w:pStyle w:val="ListBullet"/>
      </w:pPr>
      <w:r w:rsidRPr="00854D92">
        <w:t xml:space="preserve">Percentages of subjects with HAI titre </w:t>
      </w:r>
      <w:r w:rsidR="000F59D1">
        <w:t xml:space="preserve">at least </w:t>
      </w:r>
      <w:r w:rsidRPr="00854D92">
        <w:t xml:space="preserve">1:40 at Days 1 and </w:t>
      </w:r>
      <w:r w:rsidR="00276998">
        <w:t xml:space="preserve">Day </w:t>
      </w:r>
      <w:r w:rsidRPr="00854D92">
        <w:t>29</w:t>
      </w:r>
      <w:r w:rsidR="004F4937">
        <w:t xml:space="preserve"> or </w:t>
      </w:r>
      <w:r w:rsidRPr="00854D92">
        <w:t xml:space="preserve">57; </w:t>
      </w:r>
      <w:r w:rsidR="000F59D1">
        <w:t xml:space="preserve">seroconversion rate </w:t>
      </w:r>
      <w:r w:rsidRPr="00854D92">
        <w:t>by HAI assay.</w:t>
      </w:r>
    </w:p>
    <w:p w14:paraId="69B8025F" w14:textId="3C6B73AE" w:rsidR="00854D92" w:rsidRPr="00854D92" w:rsidRDefault="00854D92" w:rsidP="00854D92">
      <w:pPr>
        <w:pStyle w:val="ListBullet"/>
      </w:pPr>
      <w:r w:rsidRPr="00854D92">
        <w:t>Derived variables: GMT ratio (QIV/</w:t>
      </w:r>
      <w:proofErr w:type="spellStart"/>
      <w:r w:rsidRPr="00854D92">
        <w:t>QIVc</w:t>
      </w:r>
      <w:proofErr w:type="spellEnd"/>
      <w:r w:rsidRPr="00854D92">
        <w:t>) for each strain; The inter-g</w:t>
      </w:r>
      <w:r w:rsidR="0076728F">
        <w:t>rou</w:t>
      </w:r>
      <w:r w:rsidRPr="00854D92">
        <w:t xml:space="preserve">p difference in the </w:t>
      </w:r>
      <w:r w:rsidR="0076728F">
        <w:t>seroconversion rates</w:t>
      </w:r>
      <w:r w:rsidRPr="00854D92">
        <w:t xml:space="preserve"> (QIV minus </w:t>
      </w:r>
      <w:proofErr w:type="spellStart"/>
      <w:r w:rsidRPr="00854D92">
        <w:t>QIVc</w:t>
      </w:r>
      <w:proofErr w:type="spellEnd"/>
      <w:r w:rsidRPr="00854D92">
        <w:t>) for each strain.</w:t>
      </w:r>
    </w:p>
    <w:p w14:paraId="2FE8DAF9" w14:textId="77777777" w:rsidR="00F63D52" w:rsidRPr="00F63D52" w:rsidRDefault="00F63D52" w:rsidP="003817E0">
      <w:pPr>
        <w:pStyle w:val="Heading6"/>
        <w:rPr>
          <w:rFonts w:eastAsia="Calibri"/>
        </w:rPr>
      </w:pPr>
      <w:r w:rsidRPr="00F63D52">
        <w:rPr>
          <w:rFonts w:eastAsia="Calibri"/>
        </w:rPr>
        <w:lastRenderedPageBreak/>
        <w:t>Participant flow</w:t>
      </w:r>
    </w:p>
    <w:p w14:paraId="710850FC" w14:textId="5FA55BA4" w:rsidR="00F9694E" w:rsidRPr="00F63D52" w:rsidRDefault="00896561" w:rsidP="00C55330">
      <w:r>
        <w:t>Of</w:t>
      </w:r>
      <w:r w:rsidR="003944C1">
        <w:t xml:space="preserve"> </w:t>
      </w:r>
      <w:r w:rsidR="00F63D52" w:rsidRPr="00F63D52">
        <w:t>2</w:t>
      </w:r>
      <w:r w:rsidR="003944C1">
        <w:t>,</w:t>
      </w:r>
      <w:r w:rsidR="00F63D52" w:rsidRPr="00F63D52">
        <w:t xml:space="preserve">414 subjects </w:t>
      </w:r>
      <w:r>
        <w:t xml:space="preserve">aged </w:t>
      </w:r>
      <w:r w:rsidR="00F63D52" w:rsidRPr="00F63D52">
        <w:t>6</w:t>
      </w:r>
      <w:r>
        <w:t xml:space="preserve"> to </w:t>
      </w:r>
      <w:r w:rsidR="00F63D52" w:rsidRPr="00F63D52">
        <w:t xml:space="preserve">47 months </w:t>
      </w:r>
      <w:r>
        <w:t xml:space="preserve">who </w:t>
      </w:r>
      <w:r w:rsidR="00F63D52" w:rsidRPr="00F63D52">
        <w:t>were randomised</w:t>
      </w:r>
      <w:r w:rsidR="00AB2394">
        <w:t xml:space="preserve">, </w:t>
      </w:r>
      <w:r w:rsidR="00AB2394" w:rsidRPr="00F63D52">
        <w:t>2080 (86.2%)</w:t>
      </w:r>
      <w:r w:rsidR="00AB2394">
        <w:t xml:space="preserve"> completed the stud</w:t>
      </w:r>
      <w:r w:rsidR="00C55330">
        <w:t xml:space="preserve">y and </w:t>
      </w:r>
      <w:r w:rsidR="00F9694E">
        <w:t>3</w:t>
      </w:r>
      <w:r w:rsidR="00F9694E" w:rsidRPr="00F63D52">
        <w:t>34 (13.8%) discontinued from the study</w:t>
      </w:r>
      <w:r w:rsidR="00C55330">
        <w:t>.</w:t>
      </w:r>
      <w:r w:rsidR="000D42CF">
        <w:t xml:space="preserve"> </w:t>
      </w:r>
      <w:r w:rsidR="00860028">
        <w:t xml:space="preserve">At least 1 study vaccination was administered to </w:t>
      </w:r>
      <w:r w:rsidR="0017155D" w:rsidRPr="00F63D52">
        <w:t xml:space="preserve">2402 subjects (1597 </w:t>
      </w:r>
      <w:proofErr w:type="spellStart"/>
      <w:r w:rsidR="0017155D" w:rsidRPr="00F63D52">
        <w:t>QIVc</w:t>
      </w:r>
      <w:proofErr w:type="spellEnd"/>
      <w:r w:rsidR="0017155D" w:rsidRPr="00F63D52">
        <w:t>; 805 QIV)</w:t>
      </w:r>
      <w:r w:rsidR="00860028">
        <w:t>.</w:t>
      </w:r>
      <w:r w:rsidR="0017155D" w:rsidRPr="00F63D52">
        <w:t xml:space="preserve"> Of these 2402 subjects, 2322 subjects were enrolled for evaluation of immunogenicity (Immunogenicity Group) and 80 enrolled for exploratory evaluation of CMI response.</w:t>
      </w:r>
      <w:r w:rsidR="00A03F21">
        <w:t xml:space="preserve"> </w:t>
      </w:r>
      <w:r w:rsidR="000D42CF">
        <w:t>Participant disposition is shown in</w:t>
      </w:r>
      <w:r w:rsidR="000D3F6E">
        <w:t xml:space="preserve"> </w:t>
      </w:r>
      <w:r w:rsidR="000D3F6E">
        <w:fldChar w:fldCharType="begin"/>
      </w:r>
      <w:r w:rsidR="000D3F6E">
        <w:instrText xml:space="preserve"> REF _Ref143263254 \h </w:instrText>
      </w:r>
      <w:r w:rsidR="000D3F6E">
        <w:fldChar w:fldCharType="separate"/>
      </w:r>
      <w:r w:rsidR="009C5F1A">
        <w:t xml:space="preserve">Figure </w:t>
      </w:r>
      <w:r w:rsidR="009C5F1A">
        <w:rPr>
          <w:noProof/>
        </w:rPr>
        <w:t>1</w:t>
      </w:r>
      <w:r w:rsidR="000D3F6E">
        <w:fldChar w:fldCharType="end"/>
      </w:r>
      <w:r w:rsidR="000D3F6E">
        <w:t>.</w:t>
      </w:r>
    </w:p>
    <w:p w14:paraId="72F86C37" w14:textId="32ABF5E3" w:rsidR="00A03F21" w:rsidRDefault="00155EFE" w:rsidP="00601D79">
      <w:pPr>
        <w:pStyle w:val="FigureTitle"/>
        <w:keepNext/>
      </w:pPr>
      <w:bookmarkStart w:id="49" w:name="_Ref143263254"/>
      <w:r>
        <w:t xml:space="preserve">Figure </w:t>
      </w:r>
      <w:r w:rsidR="000E770F">
        <w:fldChar w:fldCharType="begin"/>
      </w:r>
      <w:r w:rsidR="000E770F">
        <w:instrText xml:space="preserve"> SEQ Figure \* ARABIC </w:instrText>
      </w:r>
      <w:r w:rsidR="000E770F">
        <w:fldChar w:fldCharType="separate"/>
      </w:r>
      <w:r w:rsidR="009C5F1A">
        <w:rPr>
          <w:noProof/>
        </w:rPr>
        <w:t>1</w:t>
      </w:r>
      <w:r w:rsidR="000E770F">
        <w:rPr>
          <w:noProof/>
        </w:rPr>
        <w:fldChar w:fldCharType="end"/>
      </w:r>
      <w:bookmarkEnd w:id="49"/>
      <w:r>
        <w:t xml:space="preserve">: </w:t>
      </w:r>
      <w:r w:rsidR="00FB6B9A">
        <w:t xml:space="preserve">Study </w:t>
      </w:r>
      <w:r>
        <w:t>V</w:t>
      </w:r>
      <w:r w:rsidR="000D7E02">
        <w:t>130_10</w:t>
      </w:r>
      <w:r>
        <w:t xml:space="preserve"> Study </w:t>
      </w:r>
      <w:r w:rsidR="00F97576">
        <w:t>disposition flowchart</w:t>
      </w:r>
    </w:p>
    <w:p w14:paraId="6E054248" w14:textId="4DDE7B85" w:rsidR="00F97576" w:rsidRDefault="001B32DE" w:rsidP="00155EFE">
      <w:pPr>
        <w:pStyle w:val="FigureTitle"/>
      </w:pPr>
      <w:r>
        <w:rPr>
          <w:noProof/>
        </w:rPr>
        <w:drawing>
          <wp:inline distT="0" distB="0" distL="0" distR="0" wp14:anchorId="6B358BFC" wp14:editId="76DAD069">
            <wp:extent cx="5759450" cy="5079365"/>
            <wp:effectExtent l="0" t="0" r="0" b="6985"/>
            <wp:docPr id="1" name="Picture 1" descr="Figure 1 shows the disposition of the 2414 subjects in the All enrolled set into 15 distinct groups. These included the Full analysis set,  Full analysis set excluding subjects in  cell-mediated immunity study, Full analysis set immunogenicity study, and  Per protocol set. The number of subjects is provided for each of the 15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hows the disposition of the 2414 subjects in the All enrolled set into 15 distinct groups. These included the Full analysis set,  Full analysis set excluding subjects in  cell-mediated immunity study, Full analysis set immunogenicity study, and  Per protocol set. The number of subjects is provided for each of the 15 groups."/>
                    <pic:cNvPicPr/>
                  </pic:nvPicPr>
                  <pic:blipFill>
                    <a:blip r:embed="rId30"/>
                    <a:stretch>
                      <a:fillRect/>
                    </a:stretch>
                  </pic:blipFill>
                  <pic:spPr>
                    <a:xfrm>
                      <a:off x="0" y="0"/>
                      <a:ext cx="5759450" cy="5079365"/>
                    </a:xfrm>
                    <a:prstGeom prst="rect">
                      <a:avLst/>
                    </a:prstGeom>
                  </pic:spPr>
                </pic:pic>
              </a:graphicData>
            </a:graphic>
          </wp:inline>
        </w:drawing>
      </w:r>
    </w:p>
    <w:p w14:paraId="79A4B10C" w14:textId="304EBA59" w:rsidR="00F97576" w:rsidRPr="008C7DEC" w:rsidRDefault="004B4CCE" w:rsidP="008C7DEC">
      <w:pPr>
        <w:pStyle w:val="FigureDescription"/>
      </w:pPr>
      <w:r w:rsidRPr="008C7DEC">
        <w:t>Abbreviations: CMI</w:t>
      </w:r>
      <w:r w:rsidR="00212192">
        <w:t> = </w:t>
      </w:r>
      <w:r w:rsidR="00E26F3E">
        <w:t>c</w:t>
      </w:r>
      <w:r w:rsidRPr="008C7DEC">
        <w:t>ell-</w:t>
      </w:r>
      <w:r w:rsidR="00E26F3E">
        <w:t>m</w:t>
      </w:r>
      <w:r w:rsidRPr="008C7DEC">
        <w:t xml:space="preserve">ediated </w:t>
      </w:r>
      <w:r w:rsidR="00E26F3E">
        <w:t>i</w:t>
      </w:r>
      <w:r w:rsidRPr="008C7DEC">
        <w:t>mmunity; FAS</w:t>
      </w:r>
      <w:r w:rsidR="00212192">
        <w:t> = </w:t>
      </w:r>
      <w:r w:rsidR="00E26F3E">
        <w:t>f</w:t>
      </w:r>
      <w:r w:rsidRPr="008C7DEC">
        <w:t>ull analysis set; PPS</w:t>
      </w:r>
      <w:r w:rsidR="00212192">
        <w:t> = </w:t>
      </w:r>
      <w:r w:rsidR="00E26F3E">
        <w:t>p</w:t>
      </w:r>
      <w:r w:rsidRPr="008C7DEC">
        <w:t xml:space="preserve">er </w:t>
      </w:r>
      <w:r w:rsidR="00E26F3E">
        <w:t>p</w:t>
      </w:r>
      <w:r w:rsidRPr="008C7DEC">
        <w:t xml:space="preserve">rotocol </w:t>
      </w:r>
      <w:r w:rsidR="00E26F3E">
        <w:t>s</w:t>
      </w:r>
      <w:r w:rsidRPr="008C7DEC">
        <w:t>et; QIV</w:t>
      </w:r>
      <w:r w:rsidR="00212192">
        <w:t> = </w:t>
      </w:r>
      <w:r w:rsidRPr="008C7DEC">
        <w:t xml:space="preserve">quadrivalent influenza vaccine; </w:t>
      </w:r>
      <w:proofErr w:type="spellStart"/>
      <w:r w:rsidRPr="008C7DEC">
        <w:t>QIVc</w:t>
      </w:r>
      <w:proofErr w:type="spellEnd"/>
      <w:r w:rsidR="00212192">
        <w:t> = </w:t>
      </w:r>
      <w:r w:rsidRPr="008C7DEC">
        <w:t>cell-based quadrivalent subunit in</w:t>
      </w:r>
      <w:r w:rsidR="00F90CE1" w:rsidRPr="008C7DEC">
        <w:t>fluenza virus vaccine; US</w:t>
      </w:r>
      <w:r w:rsidR="00212192">
        <w:t> = </w:t>
      </w:r>
      <w:r w:rsidR="00F90CE1" w:rsidRPr="008C7DEC">
        <w:t>United States</w:t>
      </w:r>
    </w:p>
    <w:p w14:paraId="4A66B176" w14:textId="6A5ABEF9" w:rsidR="00EE6039" w:rsidRPr="00030D15" w:rsidRDefault="00EE6039" w:rsidP="00810085">
      <w:pPr>
        <w:pStyle w:val="Heading7"/>
        <w:rPr>
          <w:rFonts w:eastAsia="Calibri"/>
        </w:rPr>
      </w:pPr>
      <w:r w:rsidRPr="00030D15">
        <w:rPr>
          <w:rFonts w:eastAsia="Calibri"/>
        </w:rPr>
        <w:t>Major protocol violations</w:t>
      </w:r>
      <w:r w:rsidR="00243ECF">
        <w:rPr>
          <w:rFonts w:eastAsia="Calibri"/>
        </w:rPr>
        <w:t xml:space="preserve"> and </w:t>
      </w:r>
      <w:r w:rsidRPr="00030D15">
        <w:rPr>
          <w:rFonts w:eastAsia="Calibri"/>
        </w:rPr>
        <w:t>deviations</w:t>
      </w:r>
    </w:p>
    <w:p w14:paraId="60B2C5D2" w14:textId="2D1AF92A" w:rsidR="00EE6039" w:rsidRPr="00030D15" w:rsidRDefault="00EE6039" w:rsidP="00EE6039">
      <w:r w:rsidRPr="00030D15">
        <w:t>Overall, 439</w:t>
      </w:r>
      <w:r w:rsidR="00243ECF">
        <w:t xml:space="preserve"> of</w:t>
      </w:r>
      <w:r w:rsidR="003E5935">
        <w:t xml:space="preserve"> </w:t>
      </w:r>
      <w:r w:rsidRPr="00030D15">
        <w:t>1</w:t>
      </w:r>
      <w:r w:rsidR="00243ECF">
        <w:t>,</w:t>
      </w:r>
      <w:r w:rsidRPr="00030D15">
        <w:t xml:space="preserve">605 subjects (27.4%) in the </w:t>
      </w:r>
      <w:proofErr w:type="spellStart"/>
      <w:r w:rsidRPr="00030D15">
        <w:t>QIVc</w:t>
      </w:r>
      <w:proofErr w:type="spellEnd"/>
      <w:r w:rsidRPr="00030D15">
        <w:t xml:space="preserve"> </w:t>
      </w:r>
      <w:r>
        <w:t>group</w:t>
      </w:r>
      <w:r w:rsidRPr="00030D15">
        <w:t xml:space="preserve"> and 204</w:t>
      </w:r>
      <w:r w:rsidR="00243ECF">
        <w:t xml:space="preserve"> of </w:t>
      </w:r>
      <w:r w:rsidRPr="00030D15">
        <w:t xml:space="preserve">809 subjects (25.2%) in the QIV </w:t>
      </w:r>
      <w:r>
        <w:t>group</w:t>
      </w:r>
      <w:r w:rsidRPr="00030D15">
        <w:t xml:space="preserve"> had a major protocol deviation. The most common major protocol deviation in both vaccine </w:t>
      </w:r>
      <w:r>
        <w:t>group</w:t>
      </w:r>
      <w:r w:rsidRPr="00030D15">
        <w:t xml:space="preserve">s was a serology sample not being taken, reported by 276 subjects (17.2%) in the </w:t>
      </w:r>
      <w:proofErr w:type="spellStart"/>
      <w:r w:rsidRPr="00030D15">
        <w:t>QIVc</w:t>
      </w:r>
      <w:proofErr w:type="spellEnd"/>
      <w:r w:rsidRPr="00030D15">
        <w:t xml:space="preserve"> </w:t>
      </w:r>
      <w:r>
        <w:t>group</w:t>
      </w:r>
      <w:r w:rsidRPr="00030D15">
        <w:t xml:space="preserve"> and </w:t>
      </w:r>
      <w:r w:rsidR="005E7D86">
        <w:t xml:space="preserve">117 </w:t>
      </w:r>
      <w:r w:rsidRPr="00030D15">
        <w:t xml:space="preserve">subjects (14.5%) in the QIV </w:t>
      </w:r>
      <w:r>
        <w:t>group</w:t>
      </w:r>
      <w:r w:rsidRPr="00030D15">
        <w:t>.</w:t>
      </w:r>
    </w:p>
    <w:p w14:paraId="455BEDD8" w14:textId="7CB8B98C" w:rsidR="00EE6039" w:rsidRPr="00030D15" w:rsidRDefault="00EE6039" w:rsidP="00810085">
      <w:pPr>
        <w:pStyle w:val="Heading7"/>
        <w:rPr>
          <w:rFonts w:eastAsia="Times New Roman"/>
        </w:rPr>
      </w:pPr>
      <w:r w:rsidRPr="00030D15">
        <w:rPr>
          <w:rFonts w:eastAsia="Times New Roman"/>
        </w:rPr>
        <w:t>Baseline data</w:t>
      </w:r>
    </w:p>
    <w:p w14:paraId="72C0482A" w14:textId="028DBCF5" w:rsidR="00EE6039" w:rsidRPr="00030D15" w:rsidRDefault="00EE6039" w:rsidP="00EE6039">
      <w:r w:rsidRPr="00030D15">
        <w:t>The mean age was 28.1</w:t>
      </w:r>
      <w:r w:rsidR="00D70AA5">
        <w:t xml:space="preserve"> months </w:t>
      </w:r>
      <w:r w:rsidRPr="00030D15">
        <w:t>(</w:t>
      </w:r>
      <w:r w:rsidR="00D70AA5">
        <w:t xml:space="preserve">standard deviation </w:t>
      </w:r>
      <w:r w:rsidRPr="00030D15">
        <w:t>11.57</w:t>
      </w:r>
      <w:r w:rsidR="00AE60C9">
        <w:t xml:space="preserve"> months</w:t>
      </w:r>
      <w:r w:rsidR="00D70AA5">
        <w:t xml:space="preserve">; </w:t>
      </w:r>
      <w:r w:rsidRPr="00030D15">
        <w:t>range 6</w:t>
      </w:r>
      <w:r w:rsidR="00174D8B">
        <w:t xml:space="preserve"> to </w:t>
      </w:r>
      <w:r w:rsidRPr="00030D15">
        <w:t xml:space="preserve">47 </w:t>
      </w:r>
      <w:r>
        <w:t>months</w:t>
      </w:r>
      <w:r w:rsidR="00AE60C9">
        <w:t>).</w:t>
      </w:r>
      <w:r w:rsidRPr="00030D15">
        <w:t xml:space="preserve"> Overall, 37.2% of subjects (894</w:t>
      </w:r>
      <w:r w:rsidR="00243ECF">
        <w:t xml:space="preserve"> of </w:t>
      </w:r>
      <w:r w:rsidRPr="00030D15">
        <w:t>2</w:t>
      </w:r>
      <w:r w:rsidR="00AE60C9">
        <w:t>,</w:t>
      </w:r>
      <w:r w:rsidRPr="00030D15">
        <w:t xml:space="preserve">402 subjects) were </w:t>
      </w:r>
      <w:r w:rsidR="00AE60C9">
        <w:t xml:space="preserve">aged </w:t>
      </w:r>
      <w:r w:rsidRPr="00030D15">
        <w:t>6</w:t>
      </w:r>
      <w:r w:rsidR="00AE60C9">
        <w:t xml:space="preserve"> to </w:t>
      </w:r>
      <w:r w:rsidRPr="00030D15">
        <w:t xml:space="preserve">23 </w:t>
      </w:r>
      <w:r>
        <w:t>months</w:t>
      </w:r>
      <w:r w:rsidRPr="00030D15">
        <w:t xml:space="preserve"> and 62.8% of subjects (1</w:t>
      </w:r>
      <w:r w:rsidR="00AE60C9">
        <w:t>,</w:t>
      </w:r>
      <w:r w:rsidRPr="00030D15">
        <w:t>508</w:t>
      </w:r>
      <w:r w:rsidR="00243ECF">
        <w:t xml:space="preserve"> of </w:t>
      </w:r>
      <w:r w:rsidRPr="00030D15">
        <w:t>2</w:t>
      </w:r>
      <w:r w:rsidR="00AE60C9">
        <w:t>,</w:t>
      </w:r>
      <w:r w:rsidRPr="00030D15">
        <w:t xml:space="preserve">402 subjects) were </w:t>
      </w:r>
      <w:r w:rsidR="00AE60C9">
        <w:t xml:space="preserve">aged </w:t>
      </w:r>
      <w:r w:rsidRPr="00030D15">
        <w:t>24</w:t>
      </w:r>
      <w:r w:rsidR="00AE60C9">
        <w:t xml:space="preserve"> to </w:t>
      </w:r>
      <w:r w:rsidRPr="00030D15">
        <w:t xml:space="preserve">47 </w:t>
      </w:r>
      <w:r>
        <w:t>months</w:t>
      </w:r>
      <w:r w:rsidRPr="00030D15">
        <w:t xml:space="preserve">. The study </w:t>
      </w:r>
      <w:r>
        <w:t>population</w:t>
      </w:r>
      <w:r w:rsidRPr="00030D15">
        <w:t xml:space="preserve"> was balanced with respect to sex (1</w:t>
      </w:r>
      <w:r w:rsidR="00A347E8">
        <w:t>,</w:t>
      </w:r>
      <w:r w:rsidRPr="00030D15">
        <w:t>209</w:t>
      </w:r>
      <w:r w:rsidR="00243ECF">
        <w:t xml:space="preserve"> of </w:t>
      </w:r>
      <w:r w:rsidRPr="00030D15">
        <w:t>2</w:t>
      </w:r>
      <w:r w:rsidR="00A347E8">
        <w:t>,</w:t>
      </w:r>
      <w:r w:rsidRPr="00030D15">
        <w:t xml:space="preserve">402 </w:t>
      </w:r>
      <w:r w:rsidR="00243ECF">
        <w:t xml:space="preserve">(50.3%) </w:t>
      </w:r>
      <w:r w:rsidRPr="00030D15">
        <w:t>subjects</w:t>
      </w:r>
      <w:r w:rsidR="00243ECF">
        <w:t xml:space="preserve"> were males;</w:t>
      </w:r>
      <w:r w:rsidRPr="00030D15">
        <w:t xml:space="preserve"> 1</w:t>
      </w:r>
      <w:r w:rsidR="00243ECF">
        <w:t>,</w:t>
      </w:r>
      <w:r w:rsidRPr="00030D15">
        <w:t>193</w:t>
      </w:r>
      <w:r w:rsidR="00243ECF">
        <w:t xml:space="preserve"> of </w:t>
      </w:r>
      <w:r w:rsidRPr="00030D15">
        <w:t>2</w:t>
      </w:r>
      <w:r w:rsidR="00243ECF">
        <w:t>,</w:t>
      </w:r>
      <w:r w:rsidRPr="00030D15">
        <w:t xml:space="preserve">402 </w:t>
      </w:r>
      <w:r w:rsidR="00243ECF">
        <w:t xml:space="preserve">(49.7%) </w:t>
      </w:r>
      <w:r w:rsidRPr="00030D15">
        <w:t>subjects</w:t>
      </w:r>
      <w:r w:rsidR="00243ECF">
        <w:t xml:space="preserve"> were female</w:t>
      </w:r>
      <w:r w:rsidRPr="00030D15">
        <w:t xml:space="preserve">). </w:t>
      </w:r>
      <w:r w:rsidR="005101D2" w:rsidRPr="00030D15">
        <w:t>Most</w:t>
      </w:r>
      <w:r w:rsidRPr="00030D15">
        <w:t xml:space="preserve"> subjects were White (1</w:t>
      </w:r>
      <w:r w:rsidR="00A347E8">
        <w:t>,</w:t>
      </w:r>
      <w:r w:rsidRPr="00030D15">
        <w:t>578</w:t>
      </w:r>
      <w:r w:rsidR="00243ECF">
        <w:t xml:space="preserve"> of </w:t>
      </w:r>
      <w:r w:rsidRPr="00030D15">
        <w:t>2</w:t>
      </w:r>
      <w:r w:rsidR="00A347E8">
        <w:t>,</w:t>
      </w:r>
      <w:r w:rsidRPr="00030D15">
        <w:t>402 subjects</w:t>
      </w:r>
      <w:r w:rsidR="00243ECF">
        <w:t xml:space="preserve"> (</w:t>
      </w:r>
      <w:r w:rsidRPr="00030D15">
        <w:t>65.7%</w:t>
      </w:r>
      <w:r w:rsidR="00243ECF">
        <w:t>)</w:t>
      </w:r>
      <w:r w:rsidRPr="00030D15">
        <w:t xml:space="preserve">) or </w:t>
      </w:r>
      <w:r w:rsidRPr="00030D15">
        <w:lastRenderedPageBreak/>
        <w:t>Black or African American (664</w:t>
      </w:r>
      <w:r w:rsidR="00243ECF">
        <w:t xml:space="preserve"> of </w:t>
      </w:r>
      <w:r w:rsidRPr="00030D15">
        <w:t>2</w:t>
      </w:r>
      <w:r w:rsidR="00A347E8">
        <w:t>,</w:t>
      </w:r>
      <w:r w:rsidRPr="00030D15">
        <w:t>402 subjects</w:t>
      </w:r>
      <w:r w:rsidR="00243ECF">
        <w:t>(</w:t>
      </w:r>
      <w:r w:rsidRPr="00030D15">
        <w:t xml:space="preserve"> 27.6%</w:t>
      </w:r>
      <w:r w:rsidR="00243ECF">
        <w:t>)</w:t>
      </w:r>
      <w:r w:rsidRPr="00030D15">
        <w:t xml:space="preserve">), and predominantly </w:t>
      </w:r>
      <w:r w:rsidR="00A347E8">
        <w:t>‘</w:t>
      </w:r>
      <w:r w:rsidRPr="00030D15">
        <w:t>Not Hispanic or Latino</w:t>
      </w:r>
      <w:r w:rsidR="00A347E8">
        <w:t>’</w:t>
      </w:r>
      <w:r w:rsidRPr="00030D15">
        <w:t xml:space="preserve"> origin (1</w:t>
      </w:r>
      <w:r w:rsidR="00A347E8">
        <w:t>,</w:t>
      </w:r>
      <w:r w:rsidRPr="00030D15">
        <w:t>735</w:t>
      </w:r>
      <w:r w:rsidR="00243ECF">
        <w:t xml:space="preserve"> of </w:t>
      </w:r>
      <w:r w:rsidRPr="00030D15">
        <w:t>2</w:t>
      </w:r>
      <w:r w:rsidR="00A347E8">
        <w:t>,</w:t>
      </w:r>
      <w:r w:rsidRPr="00030D15">
        <w:t xml:space="preserve">402 subjects </w:t>
      </w:r>
      <w:r w:rsidR="00243ECF">
        <w:t>(</w:t>
      </w:r>
      <w:r w:rsidRPr="00030D15">
        <w:t>72.2%</w:t>
      </w:r>
      <w:r w:rsidR="00243ECF">
        <w:t>)</w:t>
      </w:r>
      <w:r w:rsidRPr="00030D15">
        <w:t xml:space="preserve">). </w:t>
      </w:r>
      <w:r w:rsidR="00660863">
        <w:t xml:space="preserve">The study </w:t>
      </w:r>
      <w:r w:rsidR="00D12CB2">
        <w:t xml:space="preserve">population consisted of </w:t>
      </w:r>
      <w:r w:rsidRPr="00030D15">
        <w:t>51.6%</w:t>
      </w:r>
      <w:r w:rsidR="00D24447">
        <w:t xml:space="preserve"> of subjects who </w:t>
      </w:r>
      <w:r w:rsidR="00CA73C8">
        <w:t xml:space="preserve">had </w:t>
      </w:r>
      <w:r w:rsidR="009A7526">
        <w:t xml:space="preserve">had influenza vaccine </w:t>
      </w:r>
      <w:r w:rsidRPr="00030D15">
        <w:t xml:space="preserve">previously and 48.4% of subjects </w:t>
      </w:r>
      <w:r w:rsidR="00D24447">
        <w:t xml:space="preserve">who had </w:t>
      </w:r>
      <w:r w:rsidRPr="00030D15">
        <w:t xml:space="preserve">not </w:t>
      </w:r>
      <w:r w:rsidR="00D12CB2">
        <w:t xml:space="preserve">received a </w:t>
      </w:r>
      <w:r w:rsidRPr="00030D15">
        <w:t>previous</w:t>
      </w:r>
      <w:r w:rsidR="00D12CB2">
        <w:t xml:space="preserve"> influenza vaccine.</w:t>
      </w:r>
      <w:r w:rsidRPr="00030D15">
        <w:t xml:space="preserve"> Demographic characteristics were generally balanced between the </w:t>
      </w:r>
      <w:r>
        <w:t>group</w:t>
      </w:r>
      <w:r w:rsidRPr="00030D15">
        <w:t>s</w:t>
      </w:r>
      <w:r>
        <w:t xml:space="preserve">. </w:t>
      </w:r>
      <w:r w:rsidR="00D26A12">
        <w:t>The Delegate noted that t</w:t>
      </w:r>
      <w:r>
        <w:t xml:space="preserve">he </w:t>
      </w:r>
      <w:r w:rsidR="002F2225">
        <w:t>s</w:t>
      </w:r>
      <w:r w:rsidRPr="00657A85">
        <w:t>tudy population was not representative of typical Australian d</w:t>
      </w:r>
      <w:r w:rsidRPr="00030D15">
        <w:t>emograph</w:t>
      </w:r>
      <w:r w:rsidRPr="00657A85">
        <w:t>ic characteristics</w:t>
      </w:r>
      <w:r w:rsidRPr="00030D15">
        <w:t>.</w:t>
      </w:r>
    </w:p>
    <w:p w14:paraId="559D6526" w14:textId="77777777" w:rsidR="00EE6039" w:rsidRDefault="00EE6039" w:rsidP="00810085">
      <w:pPr>
        <w:pStyle w:val="Heading6"/>
        <w:rPr>
          <w:rFonts w:eastAsia="Calibri"/>
        </w:rPr>
      </w:pPr>
      <w:r w:rsidRPr="00030D15">
        <w:rPr>
          <w:rFonts w:eastAsia="Calibri"/>
        </w:rPr>
        <w:t>Results</w:t>
      </w:r>
    </w:p>
    <w:p w14:paraId="123E403E" w14:textId="77777777" w:rsidR="00EE6039" w:rsidRPr="00030D15" w:rsidRDefault="00EE6039" w:rsidP="00810085">
      <w:pPr>
        <w:pStyle w:val="Heading7"/>
        <w:rPr>
          <w:rFonts w:eastAsia="Calibri"/>
        </w:rPr>
      </w:pPr>
      <w:r w:rsidRPr="007A4C24">
        <w:rPr>
          <w:rFonts w:eastAsia="Calibri"/>
        </w:rPr>
        <w:t>P</w:t>
      </w:r>
      <w:r w:rsidRPr="00030D15">
        <w:rPr>
          <w:rFonts w:eastAsia="Calibri"/>
        </w:rPr>
        <w:t>rimary efficacy outcome</w:t>
      </w:r>
    </w:p>
    <w:p w14:paraId="79335167" w14:textId="009AD11F" w:rsidR="00EE6039" w:rsidRPr="00030D15" w:rsidRDefault="00EE6039" w:rsidP="00EE6039">
      <w:pPr>
        <w:rPr>
          <w:lang w:eastAsia="ja-JP"/>
        </w:rPr>
      </w:pPr>
      <w:r w:rsidRPr="00030D15">
        <w:rPr>
          <w:lang w:eastAsia="ja-JP"/>
        </w:rPr>
        <w:t xml:space="preserve">The primary immunogenicity objective was met. For all 4 strains, the upper bound of the 2-sided 95% </w:t>
      </w:r>
      <w:r w:rsidR="001E2BD8">
        <w:rPr>
          <w:lang w:eastAsia="ja-JP"/>
        </w:rPr>
        <w:t>confidence interval (</w:t>
      </w:r>
      <w:r w:rsidRPr="00030D15">
        <w:rPr>
          <w:lang w:eastAsia="ja-JP"/>
        </w:rPr>
        <w:t>CI</w:t>
      </w:r>
      <w:r w:rsidR="001E2BD8">
        <w:rPr>
          <w:lang w:eastAsia="ja-JP"/>
        </w:rPr>
        <w:t>)</w:t>
      </w:r>
      <w:r w:rsidRPr="00030D15">
        <w:rPr>
          <w:lang w:eastAsia="ja-JP"/>
        </w:rPr>
        <w:t xml:space="preserve"> did not exceed the pre</w:t>
      </w:r>
      <w:r w:rsidR="00AC1378">
        <w:rPr>
          <w:lang w:eastAsia="ja-JP"/>
        </w:rPr>
        <w:noBreakHyphen/>
      </w:r>
      <w:r w:rsidRPr="00030D15">
        <w:rPr>
          <w:lang w:eastAsia="ja-JP"/>
        </w:rPr>
        <w:t>specified non</w:t>
      </w:r>
      <w:r w:rsidR="00AC1378">
        <w:rPr>
          <w:lang w:eastAsia="ja-JP"/>
        </w:rPr>
        <w:noBreakHyphen/>
      </w:r>
      <w:r w:rsidRPr="00030D15">
        <w:rPr>
          <w:lang w:eastAsia="ja-JP"/>
        </w:rPr>
        <w:t>inferiority margin of 1.5 for the Day 29</w:t>
      </w:r>
      <w:r w:rsidR="004F4937">
        <w:rPr>
          <w:lang w:eastAsia="ja-JP"/>
        </w:rPr>
        <w:t xml:space="preserve"> or </w:t>
      </w:r>
      <w:r w:rsidRPr="00030D15">
        <w:rPr>
          <w:lang w:eastAsia="ja-JP"/>
        </w:rPr>
        <w:t>57 GMT ratio (</w:t>
      </w:r>
      <w:r w:rsidR="00AC1378">
        <w:rPr>
          <w:lang w:eastAsia="ja-JP"/>
        </w:rPr>
        <w:t xml:space="preserve">influenza </w:t>
      </w:r>
      <w:r w:rsidRPr="00030D15">
        <w:rPr>
          <w:lang w:eastAsia="ja-JP"/>
        </w:rPr>
        <w:t xml:space="preserve">A/H1N1: 0.836; </w:t>
      </w:r>
      <w:r w:rsidR="00AC1378">
        <w:rPr>
          <w:lang w:eastAsia="ja-JP"/>
        </w:rPr>
        <w:t xml:space="preserve">influenza </w:t>
      </w:r>
      <w:r w:rsidRPr="00030D15">
        <w:rPr>
          <w:lang w:eastAsia="ja-JP"/>
        </w:rPr>
        <w:t xml:space="preserve">A/H3N2: 1.160; </w:t>
      </w:r>
      <w:r w:rsidR="00AC1378">
        <w:rPr>
          <w:lang w:eastAsia="ja-JP"/>
        </w:rPr>
        <w:t>influenza</w:t>
      </w:r>
      <w:r w:rsidR="00924B3A">
        <w:rPr>
          <w:lang w:eastAsia="ja-JP"/>
        </w:rPr>
        <w:t> </w:t>
      </w:r>
      <w:r w:rsidRPr="00030D15">
        <w:rPr>
          <w:lang w:eastAsia="ja-JP"/>
        </w:rPr>
        <w:t xml:space="preserve">B/Yamagata: 0.809; </w:t>
      </w:r>
      <w:r w:rsidR="00924B3A">
        <w:rPr>
          <w:lang w:eastAsia="ja-JP"/>
        </w:rPr>
        <w:t xml:space="preserve">influenza </w:t>
      </w:r>
      <w:r w:rsidRPr="00030D15">
        <w:rPr>
          <w:lang w:eastAsia="ja-JP"/>
        </w:rPr>
        <w:t>B/Victoria: 0.972) or the pre</w:t>
      </w:r>
      <w:r w:rsidR="00924B3A">
        <w:rPr>
          <w:lang w:eastAsia="ja-JP"/>
        </w:rPr>
        <w:noBreakHyphen/>
      </w:r>
      <w:r w:rsidRPr="00030D15">
        <w:rPr>
          <w:lang w:eastAsia="ja-JP"/>
        </w:rPr>
        <w:t>specified non</w:t>
      </w:r>
      <w:r w:rsidR="00924B3A">
        <w:rPr>
          <w:lang w:eastAsia="ja-JP"/>
        </w:rPr>
        <w:noBreakHyphen/>
      </w:r>
      <w:r w:rsidRPr="00030D15">
        <w:rPr>
          <w:lang w:eastAsia="ja-JP"/>
        </w:rPr>
        <w:t xml:space="preserve">inferiority margin of 10% for the </w:t>
      </w:r>
      <w:r w:rsidR="00C566F5">
        <w:rPr>
          <w:lang w:eastAsia="ja-JP"/>
        </w:rPr>
        <w:t>seroconversion rate</w:t>
      </w:r>
      <w:r w:rsidRPr="00030D15">
        <w:rPr>
          <w:lang w:eastAsia="ja-JP"/>
        </w:rPr>
        <w:t xml:space="preserve"> difference (</w:t>
      </w:r>
      <w:r w:rsidR="00924B3A">
        <w:rPr>
          <w:lang w:eastAsia="ja-JP"/>
        </w:rPr>
        <w:t xml:space="preserve">influenza </w:t>
      </w:r>
      <w:r w:rsidRPr="00030D15">
        <w:rPr>
          <w:lang w:eastAsia="ja-JP"/>
        </w:rPr>
        <w:t xml:space="preserve">A/H1N1: -6.423%; </w:t>
      </w:r>
      <w:r w:rsidR="00924B3A">
        <w:rPr>
          <w:lang w:eastAsia="ja-JP"/>
        </w:rPr>
        <w:t xml:space="preserve">influenza </w:t>
      </w:r>
      <w:r w:rsidRPr="00030D15">
        <w:rPr>
          <w:lang w:eastAsia="ja-JP"/>
        </w:rPr>
        <w:t xml:space="preserve">A/H3N2: 7.812%; </w:t>
      </w:r>
      <w:r w:rsidR="00467B3F">
        <w:rPr>
          <w:lang w:eastAsia="ja-JP"/>
        </w:rPr>
        <w:t xml:space="preserve">influenza </w:t>
      </w:r>
      <w:r w:rsidRPr="00030D15">
        <w:rPr>
          <w:lang w:eastAsia="ja-JP"/>
        </w:rPr>
        <w:t xml:space="preserve">B/Yamagata: -9.983%; </w:t>
      </w:r>
      <w:r w:rsidR="00467B3F">
        <w:rPr>
          <w:lang w:eastAsia="ja-JP"/>
        </w:rPr>
        <w:t xml:space="preserve">influenza </w:t>
      </w:r>
      <w:r w:rsidRPr="00030D15">
        <w:rPr>
          <w:lang w:eastAsia="ja-JP"/>
        </w:rPr>
        <w:t>B/Victoria: -1.440%). As all 8 co-primary immunogenicity endpoints were met, non</w:t>
      </w:r>
      <w:r w:rsidR="0075600F">
        <w:rPr>
          <w:lang w:eastAsia="ja-JP"/>
        </w:rPr>
        <w:t>-</w:t>
      </w:r>
      <w:r w:rsidRPr="00030D15">
        <w:rPr>
          <w:lang w:eastAsia="ja-JP"/>
        </w:rPr>
        <w:t xml:space="preserve">inferiority of </w:t>
      </w:r>
      <w:proofErr w:type="spellStart"/>
      <w:r w:rsidRPr="00030D15">
        <w:rPr>
          <w:lang w:eastAsia="ja-JP"/>
        </w:rPr>
        <w:t>QIVc</w:t>
      </w:r>
      <w:proofErr w:type="spellEnd"/>
      <w:r w:rsidRPr="00030D15">
        <w:rPr>
          <w:lang w:eastAsia="ja-JP"/>
        </w:rPr>
        <w:t xml:space="preserve"> v</w:t>
      </w:r>
      <w:r w:rsidR="00467B3F">
        <w:rPr>
          <w:lang w:eastAsia="ja-JP"/>
        </w:rPr>
        <w:t>ersu</w:t>
      </w:r>
      <w:r w:rsidRPr="00030D15">
        <w:rPr>
          <w:lang w:eastAsia="ja-JP"/>
        </w:rPr>
        <w:t>s QIV in subjects 6</w:t>
      </w:r>
      <w:r w:rsidR="00467B3F">
        <w:rPr>
          <w:lang w:eastAsia="ja-JP"/>
        </w:rPr>
        <w:t xml:space="preserve"> to </w:t>
      </w:r>
      <w:r w:rsidRPr="00030D15">
        <w:rPr>
          <w:lang w:eastAsia="ja-JP"/>
        </w:rPr>
        <w:t>47</w:t>
      </w:r>
      <w:r w:rsidR="00467B3F">
        <w:rPr>
          <w:lang w:eastAsia="ja-JP"/>
        </w:rPr>
        <w:t> </w:t>
      </w:r>
      <w:r>
        <w:rPr>
          <w:lang w:eastAsia="ja-JP"/>
        </w:rPr>
        <w:t>months</w:t>
      </w:r>
      <w:r w:rsidRPr="00030D15">
        <w:rPr>
          <w:lang w:eastAsia="ja-JP"/>
        </w:rPr>
        <w:t xml:space="preserve"> of age was concluded</w:t>
      </w:r>
      <w:r w:rsidR="006F171E">
        <w:rPr>
          <w:lang w:eastAsia="ja-JP"/>
        </w:rPr>
        <w:t xml:space="preserve">; see </w:t>
      </w:r>
      <w:r w:rsidR="006F171E">
        <w:rPr>
          <w:lang w:eastAsia="ja-JP"/>
        </w:rPr>
        <w:fldChar w:fldCharType="begin"/>
      </w:r>
      <w:r w:rsidR="006F171E">
        <w:rPr>
          <w:lang w:eastAsia="ja-JP"/>
        </w:rPr>
        <w:instrText xml:space="preserve"> REF _Ref143603528 \h </w:instrText>
      </w:r>
      <w:r w:rsidR="006F171E">
        <w:rPr>
          <w:lang w:eastAsia="ja-JP"/>
        </w:rPr>
      </w:r>
      <w:r w:rsidR="006F171E">
        <w:rPr>
          <w:lang w:eastAsia="ja-JP"/>
        </w:rPr>
        <w:fldChar w:fldCharType="separate"/>
      </w:r>
      <w:r w:rsidR="009C5F1A">
        <w:t xml:space="preserve">Table </w:t>
      </w:r>
      <w:r w:rsidR="009C5F1A">
        <w:rPr>
          <w:noProof/>
        </w:rPr>
        <w:t>3</w:t>
      </w:r>
      <w:r w:rsidR="006F171E">
        <w:rPr>
          <w:lang w:eastAsia="ja-JP"/>
        </w:rPr>
        <w:fldChar w:fldCharType="end"/>
      </w:r>
      <w:r w:rsidR="006F171E">
        <w:rPr>
          <w:lang w:eastAsia="ja-JP"/>
        </w:rPr>
        <w:t xml:space="preserve"> </w:t>
      </w:r>
      <w:r w:rsidR="00995E01">
        <w:rPr>
          <w:lang w:eastAsia="ja-JP"/>
        </w:rPr>
        <w:t>and</w:t>
      </w:r>
      <w:r w:rsidR="00AA58C2">
        <w:rPr>
          <w:lang w:eastAsia="ja-JP"/>
        </w:rPr>
        <w:t xml:space="preserve"> </w:t>
      </w:r>
      <w:r w:rsidR="00AA58C2">
        <w:rPr>
          <w:lang w:eastAsia="ja-JP"/>
        </w:rPr>
        <w:fldChar w:fldCharType="begin"/>
      </w:r>
      <w:r w:rsidR="00AA58C2">
        <w:rPr>
          <w:lang w:eastAsia="ja-JP"/>
        </w:rPr>
        <w:instrText xml:space="preserve"> REF _Ref149652742 \h </w:instrText>
      </w:r>
      <w:r w:rsidR="00AA58C2">
        <w:rPr>
          <w:lang w:eastAsia="ja-JP"/>
        </w:rPr>
      </w:r>
      <w:r w:rsidR="00AA58C2">
        <w:rPr>
          <w:lang w:eastAsia="ja-JP"/>
        </w:rPr>
        <w:fldChar w:fldCharType="separate"/>
      </w:r>
      <w:r w:rsidR="00AA58C2">
        <w:t xml:space="preserve">Table </w:t>
      </w:r>
      <w:r w:rsidR="00AA58C2">
        <w:rPr>
          <w:noProof/>
        </w:rPr>
        <w:t>4</w:t>
      </w:r>
      <w:r w:rsidR="00AA58C2">
        <w:rPr>
          <w:lang w:eastAsia="ja-JP"/>
        </w:rPr>
        <w:fldChar w:fldCharType="end"/>
      </w:r>
      <w:r w:rsidR="00AA58C2">
        <w:rPr>
          <w:lang w:eastAsia="ja-JP"/>
        </w:rPr>
        <w:t xml:space="preserve"> </w:t>
      </w:r>
      <w:r w:rsidR="006F171E">
        <w:rPr>
          <w:lang w:eastAsia="ja-JP"/>
        </w:rPr>
        <w:t>for</w:t>
      </w:r>
      <w:r w:rsidR="007907E5">
        <w:rPr>
          <w:lang w:eastAsia="ja-JP"/>
        </w:rPr>
        <w:t xml:space="preserve"> results of the per</w:t>
      </w:r>
      <w:r w:rsidR="00106201">
        <w:rPr>
          <w:lang w:eastAsia="ja-JP"/>
        </w:rPr>
        <w:t xml:space="preserve"> </w:t>
      </w:r>
      <w:r w:rsidR="007907E5">
        <w:rPr>
          <w:lang w:eastAsia="ja-JP"/>
        </w:rPr>
        <w:t>protocol set</w:t>
      </w:r>
      <w:r w:rsidRPr="00030D15">
        <w:rPr>
          <w:lang w:eastAsia="ja-JP"/>
        </w:rPr>
        <w:t>.</w:t>
      </w:r>
      <w:r w:rsidR="007907E5">
        <w:rPr>
          <w:rStyle w:val="FootnoteReference"/>
          <w:lang w:eastAsia="ja-JP"/>
        </w:rPr>
        <w:footnoteReference w:id="20"/>
      </w:r>
    </w:p>
    <w:p w14:paraId="1C169423" w14:textId="15605E10" w:rsidR="00606026" w:rsidRDefault="00B407BF" w:rsidP="00B407BF">
      <w:pPr>
        <w:pStyle w:val="TableTitle"/>
      </w:pPr>
      <w:bookmarkStart w:id="50" w:name="_Ref143603528"/>
      <w:r>
        <w:t xml:space="preserve">Table </w:t>
      </w:r>
      <w:r w:rsidR="000E770F">
        <w:fldChar w:fldCharType="begin"/>
      </w:r>
      <w:r w:rsidR="000E770F">
        <w:instrText xml:space="preserve"> SEQ Table \* ARABIC </w:instrText>
      </w:r>
      <w:r w:rsidR="000E770F">
        <w:fldChar w:fldCharType="separate"/>
      </w:r>
      <w:r w:rsidR="009C5F1A">
        <w:rPr>
          <w:noProof/>
        </w:rPr>
        <w:t>3</w:t>
      </w:r>
      <w:r w:rsidR="000E770F">
        <w:rPr>
          <w:noProof/>
        </w:rPr>
        <w:fldChar w:fldCharType="end"/>
      </w:r>
      <w:bookmarkEnd w:id="50"/>
      <w:r>
        <w:t xml:space="preserve">: </w:t>
      </w:r>
      <w:r w:rsidR="00467B3F">
        <w:t xml:space="preserve">Study </w:t>
      </w:r>
      <w:r>
        <w:t>V</w:t>
      </w:r>
      <w:r w:rsidR="00473A60">
        <w:t xml:space="preserve">130_10 </w:t>
      </w:r>
      <w:r w:rsidR="00473A60" w:rsidRPr="00473A60">
        <w:t>Post</w:t>
      </w:r>
      <w:r w:rsidR="001F489D">
        <w:noBreakHyphen/>
      </w:r>
      <w:r w:rsidR="00473A60" w:rsidRPr="00473A60">
        <w:t xml:space="preserve">vaccination </w:t>
      </w:r>
      <w:r w:rsidR="0087674B">
        <w:t>g</w:t>
      </w:r>
      <w:r w:rsidR="0087674B" w:rsidRPr="00F63D52">
        <w:t>eometric mean titre (GMT)</w:t>
      </w:r>
      <w:r w:rsidR="00473A60" w:rsidRPr="00473A60">
        <w:t xml:space="preserve">, GMT </w:t>
      </w:r>
      <w:r w:rsidR="0087674B">
        <w:t>r</w:t>
      </w:r>
      <w:r w:rsidR="00473A60" w:rsidRPr="00473A60">
        <w:t xml:space="preserve">atio, and </w:t>
      </w:r>
      <w:r w:rsidR="0087674B">
        <w:t>a</w:t>
      </w:r>
      <w:r w:rsidR="00473A60" w:rsidRPr="00473A60">
        <w:t xml:space="preserve">nalysis of </w:t>
      </w:r>
      <w:r w:rsidR="0087674B">
        <w:t>n</w:t>
      </w:r>
      <w:r w:rsidR="00473A60" w:rsidRPr="00473A60">
        <w:t>on</w:t>
      </w:r>
      <w:r w:rsidR="00CA4E0E">
        <w:noBreakHyphen/>
      </w:r>
      <w:r w:rsidR="00473A60" w:rsidRPr="00473A60">
        <w:t xml:space="preserve">inferiority of </w:t>
      </w:r>
      <w:proofErr w:type="spellStart"/>
      <w:r w:rsidR="00473A60" w:rsidRPr="00473A60">
        <w:t>QIVc</w:t>
      </w:r>
      <w:proofErr w:type="spellEnd"/>
      <w:r w:rsidR="00473A60" w:rsidRPr="00473A60">
        <w:t xml:space="preserve"> </w:t>
      </w:r>
      <w:r w:rsidR="00CA4E0E">
        <w:t>r</w:t>
      </w:r>
      <w:r w:rsidR="00473A60" w:rsidRPr="00473A60">
        <w:t>elative to QIV</w:t>
      </w:r>
      <w:r w:rsidR="00BD7474">
        <w:t>,</w:t>
      </w:r>
      <w:r w:rsidR="00473A60" w:rsidRPr="00473A60">
        <w:t xml:space="preserve"> in </w:t>
      </w:r>
      <w:r w:rsidR="00CA4E0E">
        <w:t>s</w:t>
      </w:r>
      <w:r w:rsidR="00473A60" w:rsidRPr="00473A60">
        <w:t>ubjects 6</w:t>
      </w:r>
      <w:r w:rsidR="00CA4E0E">
        <w:t xml:space="preserve"> to </w:t>
      </w:r>
      <w:r w:rsidR="00473A60" w:rsidRPr="00473A60">
        <w:t xml:space="preserve">47 </w:t>
      </w:r>
      <w:r w:rsidR="00CA4E0E">
        <w:t>m</w:t>
      </w:r>
      <w:r w:rsidR="00473A60" w:rsidRPr="00473A60">
        <w:t xml:space="preserve">onths of </w:t>
      </w:r>
      <w:r w:rsidR="00CA4E0E">
        <w:t>a</w:t>
      </w:r>
      <w:r w:rsidR="00473A60" w:rsidRPr="00473A60">
        <w:t>ge for</w:t>
      </w:r>
      <w:r w:rsidR="00CA4E0E">
        <w:t xml:space="preserve"> influenza</w:t>
      </w:r>
      <w:r w:rsidR="00473A60" w:rsidRPr="00473A60">
        <w:t xml:space="preserve"> A/H1N1, </w:t>
      </w:r>
      <w:r w:rsidR="00CA4E0E">
        <w:t xml:space="preserve">influenza </w:t>
      </w:r>
      <w:r w:rsidR="00473A60" w:rsidRPr="00473A60">
        <w:t xml:space="preserve">B/Yamagata, and </w:t>
      </w:r>
      <w:r w:rsidR="00CA4E0E">
        <w:t xml:space="preserve">influenza </w:t>
      </w:r>
      <w:r w:rsidR="00473A60" w:rsidRPr="00473A60">
        <w:t xml:space="preserve">B/Victoria (HAI </w:t>
      </w:r>
      <w:r w:rsidR="00FE195C">
        <w:t>a</w:t>
      </w:r>
      <w:r w:rsidR="00473A60" w:rsidRPr="00473A60">
        <w:t xml:space="preserve">ssay </w:t>
      </w:r>
      <w:r w:rsidR="00FE195C">
        <w:t>d</w:t>
      </w:r>
      <w:r w:rsidR="00473A60" w:rsidRPr="00473A60">
        <w:t xml:space="preserve">ata) and </w:t>
      </w:r>
      <w:r w:rsidR="00FE195C">
        <w:t xml:space="preserve">influenza </w:t>
      </w:r>
      <w:r w:rsidR="00473A60" w:rsidRPr="00473A60">
        <w:t xml:space="preserve">A/H3N2 (MN </w:t>
      </w:r>
      <w:r w:rsidR="00FE195C">
        <w:t>a</w:t>
      </w:r>
      <w:r w:rsidR="00473A60" w:rsidRPr="00473A60">
        <w:t xml:space="preserve">ssay </w:t>
      </w:r>
      <w:r w:rsidR="00FE195C">
        <w:t>d</w:t>
      </w:r>
      <w:r w:rsidR="00473A60" w:rsidRPr="00473A60">
        <w:t xml:space="preserve">ata), </w:t>
      </w:r>
      <w:r w:rsidR="00FE195C">
        <w:t>u</w:t>
      </w:r>
      <w:r w:rsidR="00473A60" w:rsidRPr="00473A60">
        <w:t xml:space="preserve">sing </w:t>
      </w:r>
      <w:r w:rsidR="00FE195C">
        <w:t>c</w:t>
      </w:r>
      <w:r w:rsidR="00473A60" w:rsidRPr="00473A60">
        <w:t xml:space="preserve">ell-derived </w:t>
      </w:r>
      <w:r w:rsidR="00FE195C">
        <w:t>t</w:t>
      </w:r>
      <w:r w:rsidR="00473A60" w:rsidRPr="00473A60">
        <w:t xml:space="preserve">arget </w:t>
      </w:r>
      <w:r w:rsidR="00FE195C">
        <w:t>v</w:t>
      </w:r>
      <w:r w:rsidR="00473A60" w:rsidRPr="00473A60">
        <w:t xml:space="preserve">iruses </w:t>
      </w:r>
      <w:r w:rsidR="00C42915">
        <w:t>(p</w:t>
      </w:r>
      <w:r w:rsidR="00FE195C">
        <w:t xml:space="preserve">er </w:t>
      </w:r>
      <w:r w:rsidR="00C42915">
        <w:t>p</w:t>
      </w:r>
      <w:r w:rsidR="00FE195C">
        <w:t xml:space="preserve">rotocol </w:t>
      </w:r>
      <w:r w:rsidR="00C42915">
        <w:t>s</w:t>
      </w:r>
      <w:r w:rsidR="00FE195C">
        <w:t>et</w:t>
      </w:r>
      <w:r w:rsidR="00C42915">
        <w:t>)</w:t>
      </w:r>
    </w:p>
    <w:p w14:paraId="55BF52BE" w14:textId="223B0571" w:rsidR="00606026" w:rsidRDefault="00103A52" w:rsidP="00F90CE1">
      <w:pPr>
        <w:pStyle w:val="FigureDescription"/>
      </w:pPr>
      <w:r>
        <w:rPr>
          <w:noProof/>
        </w:rPr>
        <w:drawing>
          <wp:inline distT="0" distB="0" distL="0" distR="0" wp14:anchorId="4D4C947F" wp14:editId="4892A4FB">
            <wp:extent cx="5759450" cy="1726114"/>
            <wp:effectExtent l="0" t="0" r="0" b="7620"/>
            <wp:docPr id="2" name="Picture 2" descr="Tabulation of results. Meets predefined noninferiority criteria for each of the 4 tested target 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ulation of results. Meets predefined noninferiority criteria for each of the 4 tested target viruses."/>
                    <pic:cNvPicPr/>
                  </pic:nvPicPr>
                  <pic:blipFill>
                    <a:blip r:embed="rId31"/>
                    <a:stretch>
                      <a:fillRect/>
                    </a:stretch>
                  </pic:blipFill>
                  <pic:spPr>
                    <a:xfrm>
                      <a:off x="0" y="0"/>
                      <a:ext cx="5763711" cy="1727391"/>
                    </a:xfrm>
                    <a:prstGeom prst="rect">
                      <a:avLst/>
                    </a:prstGeom>
                  </pic:spPr>
                </pic:pic>
              </a:graphicData>
            </a:graphic>
          </wp:inline>
        </w:drawing>
      </w:r>
    </w:p>
    <w:p w14:paraId="784974E4" w14:textId="2D384255" w:rsidR="00103A52" w:rsidRPr="002668CA" w:rsidRDefault="00103A52" w:rsidP="002668CA">
      <w:pPr>
        <w:pStyle w:val="TableDescription"/>
      </w:pPr>
      <w:r w:rsidRPr="002668CA">
        <w:t>Abbreviations: CI</w:t>
      </w:r>
      <w:r w:rsidR="00212192">
        <w:t> = </w:t>
      </w:r>
      <w:r w:rsidR="00C63184" w:rsidRPr="002668CA">
        <w:t>confidence interval</w:t>
      </w:r>
      <w:r w:rsidRPr="002668CA">
        <w:t xml:space="preserve">; </w:t>
      </w:r>
      <w:r w:rsidR="008E6072" w:rsidRPr="002668CA">
        <w:t>GMT</w:t>
      </w:r>
      <w:r w:rsidR="00212192">
        <w:t> = </w:t>
      </w:r>
      <w:r w:rsidR="008E6072" w:rsidRPr="002668CA">
        <w:t>geometric mean tit</w:t>
      </w:r>
      <w:r w:rsidR="00C133A3">
        <w:t>re</w:t>
      </w:r>
      <w:r w:rsidR="008E6072" w:rsidRPr="002668CA">
        <w:t>; HAI</w:t>
      </w:r>
      <w:r w:rsidR="00212192">
        <w:t> = </w:t>
      </w:r>
      <w:r w:rsidR="008E6072" w:rsidRPr="002668CA">
        <w:t>haemagglutination inhibition; MN</w:t>
      </w:r>
      <w:r w:rsidR="00212192">
        <w:t> = </w:t>
      </w:r>
      <w:proofErr w:type="spellStart"/>
      <w:r w:rsidR="008E6072" w:rsidRPr="002668CA">
        <w:t>microneutralisation</w:t>
      </w:r>
      <w:proofErr w:type="spellEnd"/>
      <w:r w:rsidR="008E6072" w:rsidRPr="002668CA">
        <w:t xml:space="preserve">; </w:t>
      </w:r>
      <w:r w:rsidR="00BA361D" w:rsidRPr="002668CA">
        <w:t>NHAI</w:t>
      </w:r>
      <w:r w:rsidR="00212192">
        <w:t> = </w:t>
      </w:r>
      <w:r w:rsidR="00BA361D" w:rsidRPr="002668CA">
        <w:t>number of subjects with valid HAI assay results; NMN</w:t>
      </w:r>
      <w:r w:rsidR="00212192">
        <w:t> = </w:t>
      </w:r>
      <w:r w:rsidR="00BA361D" w:rsidRPr="002668CA">
        <w:t xml:space="preserve">number of subjects with valid MN assay results; </w:t>
      </w:r>
      <w:r w:rsidRPr="002668CA">
        <w:t>QIV</w:t>
      </w:r>
      <w:r w:rsidR="00212192">
        <w:t> = </w:t>
      </w:r>
      <w:r w:rsidRPr="002668CA">
        <w:t xml:space="preserve">quadrivalent influenza vaccine; </w:t>
      </w:r>
      <w:proofErr w:type="spellStart"/>
      <w:r w:rsidRPr="002668CA">
        <w:t>QIVc</w:t>
      </w:r>
      <w:proofErr w:type="spellEnd"/>
      <w:r w:rsidR="00212192">
        <w:t> = </w:t>
      </w:r>
      <w:r w:rsidRPr="002668CA">
        <w:t>cell-based quadrivalent subunit influenza virus vaccine; US</w:t>
      </w:r>
      <w:r w:rsidR="00212192">
        <w:t> = </w:t>
      </w:r>
      <w:r w:rsidRPr="002668CA">
        <w:t>United States</w:t>
      </w:r>
    </w:p>
    <w:p w14:paraId="39A0E832" w14:textId="29AC0718" w:rsidR="008C7DEC" w:rsidRPr="002668CA" w:rsidRDefault="008C7DEC" w:rsidP="002668CA">
      <w:pPr>
        <w:pStyle w:val="TableDescription"/>
      </w:pPr>
      <w:r w:rsidRPr="002668CA">
        <w:t xml:space="preserve">Note 1: Immunogenicity measured by HAI assay for the A/H1N1, B/Yamagata, and B/Victoria strains and by MN assay for the A/H3N2 strain. </w:t>
      </w:r>
    </w:p>
    <w:p w14:paraId="0261E13A" w14:textId="77777777" w:rsidR="008C7DEC" w:rsidRPr="002668CA" w:rsidRDefault="008C7DEC" w:rsidP="002668CA">
      <w:pPr>
        <w:pStyle w:val="TableDescription"/>
      </w:pPr>
      <w:r w:rsidRPr="002668CA">
        <w:t>Note 2: Immunogenicity measured using cell-derived target viruses in both the HAI and MN assays. The cell-derived target viruses were A/Idaho/07/2018 (A/H1N1), A/Indiana/08/2018 (A/H3N2), B/Singapore/INFTT-16 0610/2016 (B/Yamagata), and B/Iowa/06/2017 (B/Victoria)</w:t>
      </w:r>
    </w:p>
    <w:p w14:paraId="7F987C38" w14:textId="77777777" w:rsidR="008C7DEC" w:rsidRPr="002668CA" w:rsidRDefault="008C7DEC" w:rsidP="002668CA">
      <w:pPr>
        <w:pStyle w:val="TableDescription"/>
      </w:pPr>
      <w:r w:rsidRPr="002668CA">
        <w:t xml:space="preserve">Note 3: Adjusted GMT and GMT ratio are </w:t>
      </w:r>
      <w:proofErr w:type="gramStart"/>
      <w:r w:rsidRPr="002668CA">
        <w:t>presented</w:t>
      </w:r>
      <w:proofErr w:type="gramEnd"/>
    </w:p>
    <w:p w14:paraId="2D36AB49" w14:textId="0339C716" w:rsidR="008C7DEC" w:rsidRPr="002668CA" w:rsidRDefault="008C7DEC" w:rsidP="002668CA">
      <w:pPr>
        <w:pStyle w:val="TableDescription"/>
      </w:pPr>
      <w:r w:rsidRPr="002668CA">
        <w:t>Note 4: Adjusted analysis GMT model: Log-transformed Post</w:t>
      </w:r>
      <w:r w:rsidR="001F489D">
        <w:noBreakHyphen/>
      </w:r>
      <w:r w:rsidRPr="002668CA">
        <w:t>vaccination HAI (or MN) Titre</w:t>
      </w:r>
      <w:r w:rsidR="00212192">
        <w:t> = </w:t>
      </w:r>
      <w:r w:rsidRPr="002668CA">
        <w:t xml:space="preserve">Vaccine + Age Strata + Gender + Vaccination History </w:t>
      </w:r>
      <w:r w:rsidR="007E05BD">
        <w:t>(</w:t>
      </w:r>
      <w:r w:rsidRPr="002668CA">
        <w:t>y</w:t>
      </w:r>
      <w:r w:rsidR="00261A2A" w:rsidRPr="002668CA">
        <w:t>es</w:t>
      </w:r>
      <w:r w:rsidR="00C42915">
        <w:t xml:space="preserve"> or </w:t>
      </w:r>
      <w:r w:rsidRPr="002668CA">
        <w:t>n</w:t>
      </w:r>
      <w:r w:rsidR="00261A2A" w:rsidRPr="002668CA">
        <w:t>o</w:t>
      </w:r>
      <w:r w:rsidR="007E05BD">
        <w:t>)</w:t>
      </w:r>
      <w:r w:rsidRPr="002668CA">
        <w:t xml:space="preserve"> + Log-transformed Pre</w:t>
      </w:r>
      <w:r w:rsidR="00640FBF">
        <w:noBreakHyphen/>
      </w:r>
      <w:r w:rsidRPr="002668CA">
        <w:t xml:space="preserve">vaccination HAI (or MN) Titre + Site + Age </w:t>
      </w:r>
      <w:r w:rsidRPr="00C133A3">
        <w:t>Strata*Vaccine</w:t>
      </w:r>
    </w:p>
    <w:p w14:paraId="3F8C3A88" w14:textId="77777777" w:rsidR="00A27FDB" w:rsidRDefault="008C7DEC" w:rsidP="00174D8B">
      <w:pPr>
        <w:pStyle w:val="TableDescription"/>
      </w:pPr>
      <w:r w:rsidRPr="002668CA">
        <w:t xml:space="preserve">Note 5: Non-inferiority criterion for the GMT ratio: upper bound of the 2-sided 95% CI on the GMT ratio of US-licensed QIV over </w:t>
      </w:r>
      <w:proofErr w:type="spellStart"/>
      <w:r w:rsidRPr="002668CA">
        <w:t>QIVc</w:t>
      </w:r>
      <w:proofErr w:type="spellEnd"/>
      <w:r w:rsidRPr="002668CA">
        <w:t xml:space="preserve"> does not exceed 1.5.</w:t>
      </w:r>
    </w:p>
    <w:p w14:paraId="3A7945E2" w14:textId="77777777" w:rsidR="00A27FDB" w:rsidRDefault="00A27FDB" w:rsidP="00174D8B">
      <w:pPr>
        <w:pStyle w:val="TableDescription"/>
      </w:pPr>
    </w:p>
    <w:p w14:paraId="5C6DB2B5" w14:textId="5E0C2C91" w:rsidR="00174D8B" w:rsidRDefault="00174D8B" w:rsidP="00174D8B">
      <w:pPr>
        <w:pStyle w:val="TableDescription"/>
      </w:pPr>
      <w:r>
        <w:br w:type="page"/>
      </w:r>
    </w:p>
    <w:p w14:paraId="5C5065F7" w14:textId="59478864" w:rsidR="00B46065" w:rsidRDefault="00B46065" w:rsidP="00B46065">
      <w:pPr>
        <w:pStyle w:val="TableTitle"/>
        <w:keepLines/>
      </w:pPr>
      <w:bookmarkStart w:id="51" w:name="_Ref149652742"/>
      <w:bookmarkStart w:id="52" w:name="_Ref143608913"/>
      <w:r>
        <w:lastRenderedPageBreak/>
        <w:t xml:space="preserve">Table </w:t>
      </w:r>
      <w:r w:rsidR="000E770F">
        <w:fldChar w:fldCharType="begin"/>
      </w:r>
      <w:r w:rsidR="000E770F">
        <w:instrText xml:space="preserve"> SEQ Table \* ARABIC </w:instrText>
      </w:r>
      <w:r w:rsidR="000E770F">
        <w:fldChar w:fldCharType="separate"/>
      </w:r>
      <w:r w:rsidR="009C5F1A">
        <w:rPr>
          <w:noProof/>
        </w:rPr>
        <w:t>4</w:t>
      </w:r>
      <w:r w:rsidR="000E770F">
        <w:rPr>
          <w:noProof/>
        </w:rPr>
        <w:fldChar w:fldCharType="end"/>
      </w:r>
      <w:bookmarkEnd w:id="51"/>
      <w:r>
        <w:t xml:space="preserve">: Study V130_10 </w:t>
      </w:r>
      <w:r w:rsidRPr="00B46065">
        <w:t xml:space="preserve">Seroconversion rate, </w:t>
      </w:r>
      <w:r w:rsidR="00BD7474">
        <w:t>s</w:t>
      </w:r>
      <w:r w:rsidRPr="00B46065">
        <w:t>eroconversion rate difference, and analysis of non</w:t>
      </w:r>
      <w:r w:rsidRPr="00B46065">
        <w:noBreakHyphen/>
        <w:t xml:space="preserve">inferiority of </w:t>
      </w:r>
      <w:proofErr w:type="spellStart"/>
      <w:r w:rsidRPr="00B46065">
        <w:t>QIVc</w:t>
      </w:r>
      <w:proofErr w:type="spellEnd"/>
      <w:r w:rsidRPr="00B46065">
        <w:t xml:space="preserve"> relative to QIV</w:t>
      </w:r>
      <w:r w:rsidR="00BD7474">
        <w:t>,</w:t>
      </w:r>
      <w:r w:rsidRPr="00B46065">
        <w:t xml:space="preserve"> in subjects 6 to 47 months of age for influenza A/H1N1, influenza B/Yamagata, and influenza B/Victoria (HAI assay data) and influenza A/H3N2 (MN assay data), using cell-derived target viruses </w:t>
      </w:r>
      <w:r w:rsidR="00C133A3">
        <w:t>(</w:t>
      </w:r>
      <w:r w:rsidR="00C42915">
        <w:t>p</w:t>
      </w:r>
      <w:r w:rsidRPr="00B46065">
        <w:t xml:space="preserve">er </w:t>
      </w:r>
      <w:r w:rsidR="00C42915">
        <w:t>p</w:t>
      </w:r>
      <w:r w:rsidRPr="00B46065">
        <w:t xml:space="preserve">rotocol </w:t>
      </w:r>
      <w:r w:rsidR="00C42915">
        <w:t>s</w:t>
      </w:r>
      <w:r w:rsidRPr="00B46065">
        <w:t>et</w:t>
      </w:r>
      <w:bookmarkEnd w:id="52"/>
      <w:r w:rsidR="00C133A3">
        <w:t>)</w:t>
      </w:r>
    </w:p>
    <w:p w14:paraId="78FA1C96" w14:textId="11B940A5" w:rsidR="00606026" w:rsidRDefault="00386EEA" w:rsidP="00F90CE1">
      <w:pPr>
        <w:pStyle w:val="FigureDescription"/>
      </w:pPr>
      <w:r>
        <w:rPr>
          <w:noProof/>
        </w:rPr>
        <w:drawing>
          <wp:inline distT="0" distB="0" distL="0" distR="0" wp14:anchorId="0AF1ABFF" wp14:editId="1696BC15">
            <wp:extent cx="5758311" cy="1760343"/>
            <wp:effectExtent l="0" t="0" r="0" b="0"/>
            <wp:docPr id="3" name="Picture 3" descr="Tabulation of results. Meets predefined noninferiority criteria for each of the 4 tested target 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ulation of results. Meets predefined noninferiority criteria for each of the 4 tested target viruses."/>
                    <pic:cNvPicPr/>
                  </pic:nvPicPr>
                  <pic:blipFill>
                    <a:blip r:embed="rId32"/>
                    <a:stretch>
                      <a:fillRect/>
                    </a:stretch>
                  </pic:blipFill>
                  <pic:spPr>
                    <a:xfrm>
                      <a:off x="0" y="0"/>
                      <a:ext cx="5779572" cy="1766842"/>
                    </a:xfrm>
                    <a:prstGeom prst="rect">
                      <a:avLst/>
                    </a:prstGeom>
                  </pic:spPr>
                </pic:pic>
              </a:graphicData>
            </a:graphic>
          </wp:inline>
        </w:drawing>
      </w:r>
    </w:p>
    <w:p w14:paraId="7AB6B855" w14:textId="61AEFAC8" w:rsidR="00363634" w:rsidRPr="00C33422" w:rsidRDefault="00363634" w:rsidP="00C33422">
      <w:pPr>
        <w:pStyle w:val="TableDescription"/>
      </w:pPr>
      <w:r w:rsidRPr="00C33422">
        <w:t>Abbreviations: CI</w:t>
      </w:r>
      <w:r w:rsidR="00212192">
        <w:t> = </w:t>
      </w:r>
      <w:r w:rsidRPr="00C33422">
        <w:t>confidence interval; HAI</w:t>
      </w:r>
      <w:r w:rsidR="00212192">
        <w:t> = </w:t>
      </w:r>
      <w:r w:rsidRPr="00C33422">
        <w:t>haemagglutination inhibition; MN</w:t>
      </w:r>
      <w:r w:rsidR="00212192">
        <w:t> = </w:t>
      </w:r>
      <w:proofErr w:type="spellStart"/>
      <w:r w:rsidRPr="00C33422">
        <w:t>microneutralisation</w:t>
      </w:r>
      <w:proofErr w:type="spellEnd"/>
      <w:r w:rsidRPr="00C33422">
        <w:t>; NHAI</w:t>
      </w:r>
      <w:r w:rsidR="00212192">
        <w:t> = </w:t>
      </w:r>
      <w:r w:rsidRPr="00C33422">
        <w:t>number of subjects with valid HAI assay results; NMN</w:t>
      </w:r>
      <w:r w:rsidR="00212192">
        <w:t> = </w:t>
      </w:r>
      <w:r w:rsidRPr="00C33422">
        <w:t>number of subjects with valid MN assay results; QIV</w:t>
      </w:r>
      <w:r w:rsidR="00212192">
        <w:t> = </w:t>
      </w:r>
      <w:r w:rsidRPr="00C33422">
        <w:t xml:space="preserve">quadrivalent influenza vaccine; </w:t>
      </w:r>
      <w:proofErr w:type="spellStart"/>
      <w:r w:rsidRPr="00C33422">
        <w:t>QIVc</w:t>
      </w:r>
      <w:proofErr w:type="spellEnd"/>
      <w:r w:rsidR="00212192">
        <w:t> = </w:t>
      </w:r>
      <w:r w:rsidRPr="00C33422">
        <w:t xml:space="preserve">cell-based quadrivalent subunit influenza virus vaccine; </w:t>
      </w:r>
      <w:r w:rsidR="009A0FB6" w:rsidRPr="00C33422">
        <w:t>SCR</w:t>
      </w:r>
      <w:r w:rsidR="00212192">
        <w:t> = </w:t>
      </w:r>
      <w:r w:rsidR="00313FF3">
        <w:t>seroconversion rate</w:t>
      </w:r>
      <w:r w:rsidR="009A0FB6" w:rsidRPr="00C33422">
        <w:t xml:space="preserve">; </w:t>
      </w:r>
      <w:r w:rsidRPr="00C33422">
        <w:t>US</w:t>
      </w:r>
      <w:r w:rsidR="00212192">
        <w:t> = </w:t>
      </w:r>
      <w:r w:rsidRPr="00C33422">
        <w:t>United States</w:t>
      </w:r>
    </w:p>
    <w:p w14:paraId="0684FEF9" w14:textId="73224193" w:rsidR="00124B34" w:rsidRPr="00C33422" w:rsidRDefault="00363634" w:rsidP="00C33422">
      <w:pPr>
        <w:pStyle w:val="TableDescription"/>
      </w:pPr>
      <w:r w:rsidRPr="00C33422">
        <w:t>Note 1: Immunogenicity measured by HAI assay for the A/H1N1, B/Yamagata, and B/Victoria strains and by MN assay for the A/H3N2 strain.</w:t>
      </w:r>
    </w:p>
    <w:p w14:paraId="6591A2B0" w14:textId="77777777" w:rsidR="00124B34" w:rsidRPr="00C33422" w:rsidRDefault="00363634" w:rsidP="00C33422">
      <w:pPr>
        <w:pStyle w:val="TableDescription"/>
      </w:pPr>
      <w:r w:rsidRPr="00C33422">
        <w:t>Note 2: Immunogenicity measured using cell-derived target viruses in both the HAI and MN assays. The cell-derived target viruses were A/Idaho/07/2018 (A/H1N1), A/Indiana/08/2018 (A/H3N2), B/Singapore/INFTT-16-0610/2016 (B/Yamagata), and B/Iowa/06/2017 (B/Victoria).</w:t>
      </w:r>
    </w:p>
    <w:p w14:paraId="2D5CD4EB" w14:textId="5555C5FA" w:rsidR="00173227" w:rsidRDefault="00363634" w:rsidP="00C133A3">
      <w:pPr>
        <w:pStyle w:val="TableDescription"/>
      </w:pPr>
      <w:r w:rsidRPr="00C33422">
        <w:t xml:space="preserve">Note 3: Non-inferiority criterion for the SCR difference: upper bound of the 2-sided 95% CI on the SCR difference for US-licensed QIV minus </w:t>
      </w:r>
      <w:proofErr w:type="spellStart"/>
      <w:r w:rsidRPr="00C33422">
        <w:t>QIVc</w:t>
      </w:r>
      <w:proofErr w:type="spellEnd"/>
      <w:r w:rsidRPr="00C33422">
        <w:t xml:space="preserve"> does not exceed 10%.</w:t>
      </w:r>
    </w:p>
    <w:p w14:paraId="3D1BFFB5" w14:textId="52912562" w:rsidR="00173227" w:rsidRPr="00030D15" w:rsidRDefault="00173227" w:rsidP="00D839AA">
      <w:pPr>
        <w:pStyle w:val="Heading7"/>
        <w:rPr>
          <w:rFonts w:eastAsia="Calibri"/>
        </w:rPr>
      </w:pPr>
      <w:r w:rsidRPr="00030D15">
        <w:rPr>
          <w:rFonts w:eastAsia="Calibri"/>
        </w:rPr>
        <w:t>Secondary immunogenicity outcomes</w:t>
      </w:r>
    </w:p>
    <w:p w14:paraId="50C02F2A" w14:textId="0ADC693E" w:rsidR="00173227" w:rsidRPr="00030D15" w:rsidRDefault="00173227" w:rsidP="00173227">
      <w:r w:rsidRPr="00030D15">
        <w:t xml:space="preserve">Immunogenicity of </w:t>
      </w:r>
      <w:proofErr w:type="spellStart"/>
      <w:r w:rsidRPr="00030D15">
        <w:t>QIVc</w:t>
      </w:r>
      <w:proofErr w:type="spellEnd"/>
      <w:r w:rsidRPr="00030D15">
        <w:t xml:space="preserve"> and the QIV by HAI assay for the </w:t>
      </w:r>
      <w:r w:rsidR="00313FF3">
        <w:t xml:space="preserve">influenza </w:t>
      </w:r>
      <w:r w:rsidRPr="00030D15">
        <w:t xml:space="preserve">A/H1N1, </w:t>
      </w:r>
      <w:r w:rsidR="00313FF3">
        <w:t>influenza </w:t>
      </w:r>
      <w:r w:rsidRPr="00030D15">
        <w:t xml:space="preserve">B/Yamagata, and </w:t>
      </w:r>
      <w:r w:rsidR="00313FF3">
        <w:t xml:space="preserve">influenza </w:t>
      </w:r>
      <w:r w:rsidRPr="00030D15">
        <w:t xml:space="preserve">B/Victoria strains, and by MN assay for the </w:t>
      </w:r>
      <w:r w:rsidR="00313FF3">
        <w:t>influenza </w:t>
      </w:r>
      <w:r w:rsidRPr="00030D15">
        <w:t>A/H3N2 strain, using egg-derived target viruses</w:t>
      </w:r>
      <w:r w:rsidR="00313FF3">
        <w:t>,</w:t>
      </w:r>
      <w:r w:rsidRPr="00030D15">
        <w:t xml:space="preserve"> showed no notable differences in the immunogenicity between the 2 vaccines for the GMT, </w:t>
      </w:r>
      <w:r w:rsidR="00313FF3">
        <w:t>geometric mean ratio (</w:t>
      </w:r>
      <w:r w:rsidRPr="00030D15">
        <w:t>GMR</w:t>
      </w:r>
      <w:r w:rsidR="00313FF3">
        <w:t>)</w:t>
      </w:r>
      <w:r w:rsidRPr="00030D15">
        <w:t xml:space="preserve">, seropositivity rates, percentage with titre </w:t>
      </w:r>
      <w:r w:rsidR="00313FF3">
        <w:t xml:space="preserve">at least </w:t>
      </w:r>
      <w:r w:rsidRPr="00030D15">
        <w:t>1:40, and</w:t>
      </w:r>
      <w:r w:rsidR="00C566F5">
        <w:t xml:space="preserve"> seroconversion rates</w:t>
      </w:r>
      <w:r w:rsidRPr="00030D15">
        <w:t xml:space="preserve"> for all 4</w:t>
      </w:r>
      <w:r w:rsidR="00C566F5">
        <w:t> </w:t>
      </w:r>
      <w:r w:rsidRPr="00030D15">
        <w:t>vaccine strains.</w:t>
      </w:r>
    </w:p>
    <w:p w14:paraId="22CA6C61" w14:textId="099AF792" w:rsidR="00173227" w:rsidRPr="00030D15" w:rsidRDefault="00173227" w:rsidP="00173227">
      <w:r w:rsidRPr="00030D15">
        <w:t xml:space="preserve">Immunogenicity of </w:t>
      </w:r>
      <w:proofErr w:type="spellStart"/>
      <w:r w:rsidRPr="00030D15">
        <w:t>QIVc</w:t>
      </w:r>
      <w:proofErr w:type="spellEnd"/>
      <w:r w:rsidRPr="00030D15">
        <w:t xml:space="preserve"> and the QIV by HAI assay for the </w:t>
      </w:r>
      <w:r w:rsidR="00313FF3">
        <w:t xml:space="preserve">influenza </w:t>
      </w:r>
      <w:r w:rsidRPr="00030D15">
        <w:t xml:space="preserve">A/H1N1, </w:t>
      </w:r>
      <w:r w:rsidR="00313FF3">
        <w:t>influenza </w:t>
      </w:r>
      <w:r w:rsidRPr="00030D15">
        <w:t xml:space="preserve">B/Yamagata, and </w:t>
      </w:r>
      <w:r w:rsidR="00313FF3">
        <w:t xml:space="preserve">influenza </w:t>
      </w:r>
      <w:r w:rsidRPr="00030D15">
        <w:t xml:space="preserve">B/Victoria strains, and by MN assay for the </w:t>
      </w:r>
      <w:r w:rsidR="00313FF3">
        <w:t>influenza </w:t>
      </w:r>
      <w:r w:rsidRPr="00030D15">
        <w:t xml:space="preserve">A/H3N2 strain, using cell-derived target viruses showed no notable differences in the immunogenicity between the 2 vaccines for the GMT, GMR, seropositivity rates, percentage of subjects with titre </w:t>
      </w:r>
      <w:r w:rsidR="00313FF3">
        <w:t xml:space="preserve">at least </w:t>
      </w:r>
      <w:r w:rsidRPr="00030D15">
        <w:t xml:space="preserve">1:40, and </w:t>
      </w:r>
      <w:r w:rsidR="00C566F5">
        <w:t>seroconversion rates</w:t>
      </w:r>
      <w:r w:rsidRPr="00030D15">
        <w:t xml:space="preserve"> for the </w:t>
      </w:r>
      <w:r w:rsidR="00313FF3">
        <w:t xml:space="preserve">influenza </w:t>
      </w:r>
      <w:r w:rsidRPr="00030D15">
        <w:t xml:space="preserve">A/H3N2 and </w:t>
      </w:r>
      <w:r w:rsidR="00313FF3">
        <w:t xml:space="preserve">influenza </w:t>
      </w:r>
      <w:r w:rsidRPr="00030D15">
        <w:t xml:space="preserve">B/Victoria strains. For the </w:t>
      </w:r>
      <w:r w:rsidR="00313FF3">
        <w:t xml:space="preserve">influenza </w:t>
      </w:r>
      <w:r w:rsidRPr="00030D15">
        <w:t xml:space="preserve">A/H1N1 and </w:t>
      </w:r>
      <w:r w:rsidR="00313FF3">
        <w:t xml:space="preserve">influenza </w:t>
      </w:r>
      <w:r w:rsidRPr="00030D15">
        <w:t>B/Yamagata strains, there were no notable differences in seropositivity rates between the 2 vaccines, while the Day 29</w:t>
      </w:r>
      <w:r w:rsidR="004F4937">
        <w:t xml:space="preserve"> or </w:t>
      </w:r>
      <w:r w:rsidRPr="00030D15">
        <w:t>57 GMTs, GMRs, Day 29</w:t>
      </w:r>
      <w:r w:rsidR="004F4937">
        <w:t xml:space="preserve"> or </w:t>
      </w:r>
      <w:r w:rsidRPr="00030D15">
        <w:t xml:space="preserve">57 percentage with titre </w:t>
      </w:r>
      <w:r w:rsidR="00313FF3">
        <w:t xml:space="preserve">at least </w:t>
      </w:r>
      <w:r w:rsidRPr="00030D15">
        <w:t xml:space="preserve">1:40, and SCRs </w:t>
      </w:r>
      <w:r w:rsidR="00313FF3">
        <w:t xml:space="preserve">were </w:t>
      </w:r>
      <w:r w:rsidRPr="00030D15">
        <w:t xml:space="preserve">observed to be higher for </w:t>
      </w:r>
      <w:proofErr w:type="spellStart"/>
      <w:r w:rsidRPr="00030D15">
        <w:t>QIVc</w:t>
      </w:r>
      <w:proofErr w:type="spellEnd"/>
      <w:r w:rsidRPr="00030D15">
        <w:t xml:space="preserve"> than QIV.</w:t>
      </w:r>
    </w:p>
    <w:p w14:paraId="559FD627" w14:textId="3DFFAE5C" w:rsidR="00173227" w:rsidRDefault="00173227" w:rsidP="00173227">
      <w:r w:rsidRPr="00030D15">
        <w:t xml:space="preserve">Immunogenicity of </w:t>
      </w:r>
      <w:proofErr w:type="spellStart"/>
      <w:r w:rsidRPr="00030D15">
        <w:t>QIVc</w:t>
      </w:r>
      <w:proofErr w:type="spellEnd"/>
      <w:r w:rsidRPr="00030D15">
        <w:t xml:space="preserve"> and the QIV by MN assay for the </w:t>
      </w:r>
      <w:r w:rsidR="00313FF3">
        <w:t xml:space="preserve">influenza </w:t>
      </w:r>
      <w:r w:rsidRPr="00030D15">
        <w:t xml:space="preserve">A/H1N1, </w:t>
      </w:r>
      <w:r w:rsidR="00313FF3">
        <w:t>influenza </w:t>
      </w:r>
      <w:r w:rsidRPr="00030D15">
        <w:t xml:space="preserve">B/Yamagata, and </w:t>
      </w:r>
      <w:r w:rsidR="00313FF3">
        <w:t xml:space="preserve">influenza </w:t>
      </w:r>
      <w:r w:rsidRPr="00030D15">
        <w:t xml:space="preserve">B/Victoria strains using cell-derived target viruses in a randomly selected subset showed no notable differences in immunogenicity between the 2 vaccines for the GMT, GMR, seropositivity rates, percentage of subjects with titre </w:t>
      </w:r>
      <w:r w:rsidR="00313FF3">
        <w:t xml:space="preserve">at least </w:t>
      </w:r>
      <w:r w:rsidRPr="00030D15">
        <w:t xml:space="preserve">1:40, and </w:t>
      </w:r>
      <w:r w:rsidR="00C566F5">
        <w:t>seroconversion rates</w:t>
      </w:r>
      <w:r w:rsidRPr="00030D15">
        <w:t xml:space="preserve"> for the 3 vaccine strains.</w:t>
      </w:r>
    </w:p>
    <w:p w14:paraId="1CE51396" w14:textId="230057C2" w:rsidR="001F4029" w:rsidRPr="001F4029" w:rsidRDefault="001F4029" w:rsidP="001F4029">
      <w:pPr>
        <w:pStyle w:val="TableTitle"/>
        <w:keepLines/>
      </w:pPr>
      <w:bookmarkStart w:id="53" w:name="_Ref143608215"/>
      <w:r w:rsidRPr="001F4029">
        <w:lastRenderedPageBreak/>
        <w:t xml:space="preserve">Table </w:t>
      </w:r>
      <w:r w:rsidR="000E770F">
        <w:fldChar w:fldCharType="begin"/>
      </w:r>
      <w:r w:rsidR="000E770F">
        <w:instrText xml:space="preserve"> SEQ Table \* ARABIC </w:instrText>
      </w:r>
      <w:r w:rsidR="000E770F">
        <w:fldChar w:fldCharType="separate"/>
      </w:r>
      <w:r w:rsidR="009C5F1A">
        <w:rPr>
          <w:noProof/>
        </w:rPr>
        <w:t>5</w:t>
      </w:r>
      <w:r w:rsidR="000E770F">
        <w:rPr>
          <w:noProof/>
        </w:rPr>
        <w:fldChar w:fldCharType="end"/>
      </w:r>
      <w:r w:rsidRPr="001F4029">
        <w:t>: Study V130_10 Pre</w:t>
      </w:r>
      <w:r w:rsidR="001D2FFE">
        <w:noBreakHyphen/>
      </w:r>
      <w:r w:rsidR="00BD7474">
        <w:t>vaccination</w:t>
      </w:r>
      <w:r w:rsidRPr="001F4029">
        <w:t xml:space="preserve"> and </w:t>
      </w:r>
      <w:r w:rsidR="00BD7474">
        <w:t>p</w:t>
      </w:r>
      <w:r w:rsidRPr="001F4029">
        <w:t>ost</w:t>
      </w:r>
      <w:r w:rsidR="001D2FFE">
        <w:noBreakHyphen/>
      </w:r>
      <w:r w:rsidRPr="001F4029">
        <w:t xml:space="preserve">vaccination </w:t>
      </w:r>
      <w:r w:rsidR="00BD7474">
        <w:t>g</w:t>
      </w:r>
      <w:r w:rsidRPr="001F4029">
        <w:t xml:space="preserve">eometric mean titre, </w:t>
      </w:r>
      <w:r w:rsidR="00BD7474">
        <w:t>g</w:t>
      </w:r>
      <w:r w:rsidRPr="001F4029">
        <w:t xml:space="preserve">eometric mean ratio, </w:t>
      </w:r>
      <w:r w:rsidR="00BD7474">
        <w:t>s</w:t>
      </w:r>
      <w:r w:rsidRPr="001F4029">
        <w:t xml:space="preserve">eropositivity </w:t>
      </w:r>
      <w:r w:rsidR="00BD7474">
        <w:t>r</w:t>
      </w:r>
      <w:r w:rsidRPr="001F4029">
        <w:t xml:space="preserve">ates, </w:t>
      </w:r>
      <w:r w:rsidR="00BD7474">
        <w:t>p</w:t>
      </w:r>
      <w:r w:rsidRPr="001F4029">
        <w:t xml:space="preserve">ercentage of subjects with </w:t>
      </w:r>
      <w:r w:rsidR="00BD7474">
        <w:t>t</w:t>
      </w:r>
      <w:r w:rsidR="00C133A3" w:rsidRPr="001F4029">
        <w:t>itre</w:t>
      </w:r>
      <w:r w:rsidRPr="001F4029">
        <w:t xml:space="preserve"> at least 1:40, and </w:t>
      </w:r>
      <w:r w:rsidR="00BD7474">
        <w:t>s</w:t>
      </w:r>
      <w:r w:rsidRPr="001F4029">
        <w:t xml:space="preserve">eroconversion </w:t>
      </w:r>
      <w:r w:rsidR="00BD7474">
        <w:t>r</w:t>
      </w:r>
      <w:r w:rsidRPr="001F4029">
        <w:t>ates</w:t>
      </w:r>
      <w:r w:rsidR="00BD7474">
        <w:t>,</w:t>
      </w:r>
      <w:r w:rsidRPr="001F4029">
        <w:t xml:space="preserve"> in subjects 6 months through 47 months of age for influenza A/H1N1, influenza B/Yamagata, and influenza B/Victoria (HAI assay data) and influenza A/H3N2 (MN assay data), using egg-derived target viruses </w:t>
      </w:r>
      <w:r w:rsidR="00C133A3">
        <w:t>(</w:t>
      </w:r>
      <w:r w:rsidR="00C42915">
        <w:t>p</w:t>
      </w:r>
      <w:r w:rsidRPr="001F4029">
        <w:t xml:space="preserve">er </w:t>
      </w:r>
      <w:r w:rsidR="00C42915">
        <w:t>p</w:t>
      </w:r>
      <w:r w:rsidRPr="001F4029">
        <w:t xml:space="preserve">rotocol </w:t>
      </w:r>
      <w:r w:rsidR="00C42915">
        <w:t>s</w:t>
      </w:r>
      <w:r w:rsidRPr="001F4029">
        <w:t>et</w:t>
      </w:r>
      <w:r w:rsidR="00C133A3">
        <w:t>)</w:t>
      </w:r>
    </w:p>
    <w:bookmarkEnd w:id="53"/>
    <w:p w14:paraId="32103E08" w14:textId="463E0CC4" w:rsidR="00B97237" w:rsidRDefault="00B97237" w:rsidP="00313FF3">
      <w:pPr>
        <w:pStyle w:val="TableTitle"/>
      </w:pPr>
      <w:r>
        <w:rPr>
          <w:noProof/>
        </w:rPr>
        <w:drawing>
          <wp:inline distT="0" distB="0" distL="0" distR="0" wp14:anchorId="557CA706" wp14:editId="3590F928">
            <wp:extent cx="4858022" cy="7676148"/>
            <wp:effectExtent l="0" t="0" r="0" b="1270"/>
            <wp:docPr id="8" name="Picture 8" descr="Tabulat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ulation of results."/>
                    <pic:cNvPicPr/>
                  </pic:nvPicPr>
                  <pic:blipFill>
                    <a:blip r:embed="rId33"/>
                    <a:stretch>
                      <a:fillRect/>
                    </a:stretch>
                  </pic:blipFill>
                  <pic:spPr>
                    <a:xfrm>
                      <a:off x="0" y="0"/>
                      <a:ext cx="4895229" cy="7734939"/>
                    </a:xfrm>
                    <a:prstGeom prst="rect">
                      <a:avLst/>
                    </a:prstGeom>
                  </pic:spPr>
                </pic:pic>
              </a:graphicData>
            </a:graphic>
          </wp:inline>
        </w:drawing>
      </w:r>
    </w:p>
    <w:p w14:paraId="55CC2B82" w14:textId="6A0DF92D" w:rsidR="00990102" w:rsidRDefault="00990102" w:rsidP="00990102">
      <w:pPr>
        <w:pStyle w:val="TableDescription"/>
      </w:pPr>
      <w:r w:rsidRPr="00B97237">
        <w:t>Abbreviations: CI</w:t>
      </w:r>
      <w:r w:rsidR="00212192">
        <w:t> = </w:t>
      </w:r>
      <w:r w:rsidRPr="00B97237">
        <w:t xml:space="preserve">confidence interval; </w:t>
      </w:r>
      <w:r w:rsidR="00B97237" w:rsidRPr="00B97237">
        <w:t>GMR</w:t>
      </w:r>
      <w:r w:rsidR="00212192">
        <w:t> = </w:t>
      </w:r>
      <w:r w:rsidR="00B97237" w:rsidRPr="00B97237">
        <w:t>geometric mean ratio; GMT</w:t>
      </w:r>
      <w:r w:rsidR="00212192">
        <w:t> =</w:t>
      </w:r>
      <w:r w:rsidR="00B97237" w:rsidRPr="00B97237">
        <w:t xml:space="preserve"> geometric mean tit</w:t>
      </w:r>
      <w:r w:rsidR="00C133A3">
        <w:t>re</w:t>
      </w:r>
      <w:r w:rsidR="00B97237" w:rsidRPr="00B97237">
        <w:t xml:space="preserve">; </w:t>
      </w:r>
      <w:r w:rsidRPr="00B97237">
        <w:t>HAI</w:t>
      </w:r>
      <w:r w:rsidR="00212192">
        <w:t> = </w:t>
      </w:r>
      <w:r w:rsidRPr="00B97237">
        <w:t>haemagglutination inhibition; MN</w:t>
      </w:r>
      <w:r w:rsidR="00212192">
        <w:t> = </w:t>
      </w:r>
      <w:proofErr w:type="spellStart"/>
      <w:r w:rsidRPr="00B97237">
        <w:t>microneutralisation</w:t>
      </w:r>
      <w:proofErr w:type="spellEnd"/>
      <w:r w:rsidRPr="00B97237">
        <w:t>; QIV</w:t>
      </w:r>
      <w:r w:rsidR="00212192">
        <w:t> = </w:t>
      </w:r>
      <w:r w:rsidRPr="00B97237">
        <w:t xml:space="preserve">quadrivalent influenza vaccine; </w:t>
      </w:r>
      <w:proofErr w:type="spellStart"/>
      <w:r w:rsidRPr="00B97237">
        <w:t>QIVc</w:t>
      </w:r>
      <w:proofErr w:type="spellEnd"/>
      <w:r w:rsidR="00212192">
        <w:t> = </w:t>
      </w:r>
      <w:r w:rsidRPr="00B97237">
        <w:t>cell-based quadrivalent subunit influenza virus vaccine; SCR</w:t>
      </w:r>
      <w:r w:rsidR="00212192">
        <w:t> = </w:t>
      </w:r>
      <w:r w:rsidR="00B97237" w:rsidRPr="00B97237">
        <w:t>seroconversion rate</w:t>
      </w:r>
      <w:r w:rsidRPr="00B97237">
        <w:t>; US</w:t>
      </w:r>
      <w:r w:rsidR="00212192">
        <w:t> = </w:t>
      </w:r>
      <w:r w:rsidRPr="00B97237">
        <w:t>United States</w:t>
      </w:r>
    </w:p>
    <w:p w14:paraId="27DB139F" w14:textId="11CBBEB2" w:rsidR="00C33422" w:rsidRDefault="00990102" w:rsidP="00C133A3">
      <w:pPr>
        <w:pStyle w:val="TableDescription"/>
      </w:pPr>
      <w:r w:rsidRPr="00C33422">
        <w:lastRenderedPageBreak/>
        <w:t>Note 1: Immunogenicity measured by HAI assay for the A/H1N1, B/Yamagata, and B/Victoria strains and by MN assay for the A/H3N2 strain; Note 2: Immunogenicity measured using egg-derived target viruses in both the HAI and MN assays. The egg-derived target viruses were A/Brisbane/02/2018 (IVR-190) (A/H1N1), A/Kansas/14/2017 (X-327) (A/H3N2), B/Phuket/3073/2013 (BVR-1B) (B/Yamagata), and B/Maryland/15/2016 (B/Victoria); Note 3: Adjusted GMT, GMT ratio, and GMR are presented; Note 4: The Day 29</w:t>
      </w:r>
      <w:r w:rsidR="004F4937">
        <w:t xml:space="preserve"> or </w:t>
      </w:r>
      <w:r w:rsidRPr="00C33422">
        <w:t>57 HAI GMT ratio is the Day 29</w:t>
      </w:r>
      <w:r w:rsidR="004F4937">
        <w:t xml:space="preserve"> or </w:t>
      </w:r>
      <w:r w:rsidRPr="00C33422">
        <w:t>57 GMT for the US-licensed QIV over the Day 29</w:t>
      </w:r>
      <w:r w:rsidR="004F4937">
        <w:t xml:space="preserve"> or </w:t>
      </w:r>
      <w:r w:rsidRPr="00C33422">
        <w:t xml:space="preserve">57 GMT for </w:t>
      </w:r>
      <w:proofErr w:type="spellStart"/>
      <w:r w:rsidRPr="00C33422">
        <w:t>QIVc</w:t>
      </w:r>
      <w:proofErr w:type="spellEnd"/>
      <w:r w:rsidRPr="00C33422">
        <w:t>; the SCR difference is the SCR for the US-licensed QIV minus the SCR for QIV</w:t>
      </w:r>
      <w:r w:rsidR="00174D8B">
        <w:t>.</w:t>
      </w:r>
    </w:p>
    <w:p w14:paraId="6DF8B5AC" w14:textId="5A0C3BCC" w:rsidR="009C48F9" w:rsidRPr="00030D15" w:rsidRDefault="009C48F9" w:rsidP="00D839AA">
      <w:pPr>
        <w:pStyle w:val="Heading7"/>
      </w:pPr>
      <w:r w:rsidRPr="00D839AA">
        <w:t xml:space="preserve">Exploratory </w:t>
      </w:r>
      <w:r w:rsidR="00C133A3">
        <w:t>i</w:t>
      </w:r>
      <w:r w:rsidRPr="00D839AA">
        <w:t xml:space="preserve">mmunogenicity </w:t>
      </w:r>
      <w:r w:rsidR="00C133A3">
        <w:t>o</w:t>
      </w:r>
      <w:r w:rsidRPr="00D839AA">
        <w:t>bjectives outcome</w:t>
      </w:r>
    </w:p>
    <w:p w14:paraId="39FB6319" w14:textId="0278855F" w:rsidR="009C48F9" w:rsidRPr="00030D15" w:rsidRDefault="009C48F9" w:rsidP="009C48F9">
      <w:pPr>
        <w:rPr>
          <w:b/>
          <w:bCs/>
        </w:rPr>
      </w:pPr>
      <w:r w:rsidRPr="00030D15">
        <w:t>C</w:t>
      </w:r>
      <w:r w:rsidR="00D839AA">
        <w:t>ell-mediated immunity</w:t>
      </w:r>
      <w:r w:rsidRPr="00030D15">
        <w:t xml:space="preserve"> response in subjects 24</w:t>
      </w:r>
      <w:r w:rsidR="00D839AA">
        <w:t xml:space="preserve"> to </w:t>
      </w:r>
      <w:r w:rsidRPr="00030D15">
        <w:t xml:space="preserve">47 </w:t>
      </w:r>
      <w:r>
        <w:t>months</w:t>
      </w:r>
      <w:r w:rsidRPr="00030D15">
        <w:t xml:space="preserve"> of age showed CD4+ and CD8+ T</w:t>
      </w:r>
      <w:r w:rsidR="00D839AA">
        <w:noBreakHyphen/>
      </w:r>
      <w:r w:rsidRPr="00030D15">
        <w:t xml:space="preserve">cells responsive to influenza antigen stimulation </w:t>
      </w:r>
      <w:r w:rsidRPr="00D839AA">
        <w:rPr>
          <w:i/>
          <w:iCs/>
        </w:rPr>
        <w:t>in vitro</w:t>
      </w:r>
      <w:r w:rsidRPr="00030D15">
        <w:t>, as measured by antigen</w:t>
      </w:r>
      <w:r w:rsidR="00D839AA">
        <w:noBreakHyphen/>
      </w:r>
      <w:r w:rsidRPr="00030D15">
        <w:t>induced expression of markers of T</w:t>
      </w:r>
      <w:r w:rsidR="00D839AA">
        <w:noBreakHyphen/>
      </w:r>
      <w:r w:rsidRPr="00030D15">
        <w:t xml:space="preserve">cell activation, were detected at low frequencies for both </w:t>
      </w:r>
      <w:proofErr w:type="spellStart"/>
      <w:r w:rsidRPr="00030D15">
        <w:t>QIVc</w:t>
      </w:r>
      <w:proofErr w:type="spellEnd"/>
      <w:r w:rsidRPr="00030D15">
        <w:t xml:space="preserve"> and QIV</w:t>
      </w:r>
      <w:r w:rsidR="00D839AA">
        <w:t>.</w:t>
      </w:r>
    </w:p>
    <w:p w14:paraId="649F4A8F" w14:textId="7A78FB3C" w:rsidR="008C4108" w:rsidRDefault="009C48F9" w:rsidP="009C48F9">
      <w:pPr>
        <w:rPr>
          <w:b/>
          <w:bCs/>
          <w:lang w:eastAsia="ja-JP"/>
        </w:rPr>
      </w:pPr>
      <w:r w:rsidRPr="00030D15">
        <w:rPr>
          <w:lang w:eastAsia="ja-JP"/>
        </w:rPr>
        <w:t xml:space="preserve">Immunogenicity of </w:t>
      </w:r>
      <w:proofErr w:type="spellStart"/>
      <w:r w:rsidRPr="00030D15">
        <w:rPr>
          <w:lang w:eastAsia="ja-JP"/>
        </w:rPr>
        <w:t>QIVc</w:t>
      </w:r>
      <w:proofErr w:type="spellEnd"/>
      <w:r w:rsidRPr="00030D15">
        <w:rPr>
          <w:lang w:eastAsia="ja-JP"/>
        </w:rPr>
        <w:t xml:space="preserve"> and QIV by HAI assay for the </w:t>
      </w:r>
      <w:r w:rsidR="00D839AA">
        <w:rPr>
          <w:lang w:eastAsia="ja-JP"/>
        </w:rPr>
        <w:t xml:space="preserve">influenza </w:t>
      </w:r>
      <w:r w:rsidRPr="00030D15">
        <w:rPr>
          <w:lang w:eastAsia="ja-JP"/>
        </w:rPr>
        <w:t>A/H3N2 strain using cell-derived target viruses showed no notable differences in the immunogenicity results between the 2 vaccines for the endpoints of GMR, seropositivity rates, and Day 29</w:t>
      </w:r>
      <w:r w:rsidR="004F4937">
        <w:rPr>
          <w:lang w:eastAsia="ja-JP"/>
        </w:rPr>
        <w:t xml:space="preserve"> or </w:t>
      </w:r>
      <w:r w:rsidRPr="00030D15">
        <w:rPr>
          <w:lang w:eastAsia="ja-JP"/>
        </w:rPr>
        <w:t xml:space="preserve">57 percentage of subjects with titre </w:t>
      </w:r>
      <w:r w:rsidR="00D839AA">
        <w:rPr>
          <w:lang w:eastAsia="ja-JP"/>
        </w:rPr>
        <w:t xml:space="preserve">of at least </w:t>
      </w:r>
      <w:r w:rsidRPr="00030D15">
        <w:rPr>
          <w:lang w:eastAsia="ja-JP"/>
        </w:rPr>
        <w:t>1:40, while the Day 29</w:t>
      </w:r>
      <w:r w:rsidR="004F4937">
        <w:rPr>
          <w:lang w:eastAsia="ja-JP"/>
        </w:rPr>
        <w:t xml:space="preserve"> or </w:t>
      </w:r>
      <w:r w:rsidRPr="00030D15">
        <w:rPr>
          <w:lang w:eastAsia="ja-JP"/>
        </w:rPr>
        <w:t xml:space="preserve">57 GMT and </w:t>
      </w:r>
      <w:r w:rsidR="00C566F5">
        <w:rPr>
          <w:lang w:eastAsia="ja-JP"/>
        </w:rPr>
        <w:t>seroconversion rates</w:t>
      </w:r>
      <w:r w:rsidRPr="00030D15">
        <w:rPr>
          <w:lang w:eastAsia="ja-JP"/>
        </w:rPr>
        <w:t xml:space="preserve"> were observed to be higher for </w:t>
      </w:r>
      <w:proofErr w:type="spellStart"/>
      <w:r w:rsidRPr="00030D15">
        <w:rPr>
          <w:lang w:eastAsia="ja-JP"/>
        </w:rPr>
        <w:t>QIVc</w:t>
      </w:r>
      <w:proofErr w:type="spellEnd"/>
      <w:r w:rsidRPr="00030D15">
        <w:rPr>
          <w:lang w:eastAsia="ja-JP"/>
        </w:rPr>
        <w:t xml:space="preserve"> than QIV. Evaluation of the immunogenicity of </w:t>
      </w:r>
      <w:proofErr w:type="spellStart"/>
      <w:r w:rsidRPr="00030D15">
        <w:rPr>
          <w:lang w:eastAsia="ja-JP"/>
        </w:rPr>
        <w:t>QIVc</w:t>
      </w:r>
      <w:proofErr w:type="spellEnd"/>
      <w:r w:rsidRPr="00030D15">
        <w:rPr>
          <w:lang w:eastAsia="ja-JP"/>
        </w:rPr>
        <w:t xml:space="preserve"> and the QIV by HAI assay for the</w:t>
      </w:r>
      <w:r w:rsidR="00D839AA">
        <w:rPr>
          <w:lang w:eastAsia="ja-JP"/>
        </w:rPr>
        <w:t xml:space="preserve"> influenza</w:t>
      </w:r>
      <w:r w:rsidRPr="00030D15">
        <w:rPr>
          <w:lang w:eastAsia="ja-JP"/>
        </w:rPr>
        <w:t xml:space="preserve"> A/H3N2 strain using egg-derived target viruses showed no notable differences in the immunogenicity results between the 2 vaccines for any of the endpoints.</w:t>
      </w:r>
    </w:p>
    <w:p w14:paraId="66FC01FF" w14:textId="024CC5C1" w:rsidR="009D06FE" w:rsidRPr="00F0238C" w:rsidRDefault="009D06FE" w:rsidP="00DC03AE">
      <w:pPr>
        <w:pStyle w:val="Heading4"/>
        <w:rPr>
          <w:sz w:val="24"/>
          <w:szCs w:val="24"/>
        </w:rPr>
      </w:pPr>
      <w:bookmarkStart w:id="54" w:name="_Toc143608677"/>
      <w:r w:rsidRPr="00F0238C">
        <w:t>Clinical Safety</w:t>
      </w:r>
      <w:bookmarkEnd w:id="54"/>
    </w:p>
    <w:p w14:paraId="6CE587C6" w14:textId="77777777" w:rsidR="009D06FE" w:rsidRPr="00F0238C" w:rsidRDefault="009D06FE" w:rsidP="00DC03AE">
      <w:pPr>
        <w:pStyle w:val="Heading5"/>
        <w:rPr>
          <w:rFonts w:eastAsia="Calibri"/>
        </w:rPr>
      </w:pPr>
      <w:r w:rsidRPr="00F0238C">
        <w:rPr>
          <w:rFonts w:eastAsia="Calibri"/>
        </w:rPr>
        <w:t>Study ID</w:t>
      </w:r>
      <w:r w:rsidRPr="00F0238C">
        <w:rPr>
          <w:rFonts w:eastAsia="Calibri"/>
          <w:lang w:val="en-GB"/>
        </w:rPr>
        <w:t xml:space="preserve"> V130_10</w:t>
      </w:r>
    </w:p>
    <w:p w14:paraId="3C96A599" w14:textId="77777777" w:rsidR="009D06FE" w:rsidRPr="00F0238C" w:rsidRDefault="009D06FE" w:rsidP="00DC03AE">
      <w:pPr>
        <w:pStyle w:val="Heading6"/>
        <w:rPr>
          <w:lang w:eastAsia="ja-JP"/>
        </w:rPr>
      </w:pPr>
      <w:bookmarkStart w:id="55" w:name="_Toc129434997"/>
      <w:r w:rsidRPr="00F0238C">
        <w:rPr>
          <w:lang w:eastAsia="ja-JP"/>
        </w:rPr>
        <w:t>Patient exposure</w:t>
      </w:r>
      <w:bookmarkEnd w:id="55"/>
    </w:p>
    <w:p w14:paraId="7A5BC35B" w14:textId="30A53575" w:rsidR="009D06FE" w:rsidRDefault="009D06FE" w:rsidP="009D06FE">
      <w:pPr>
        <w:rPr>
          <w:bCs/>
          <w:lang w:val="en-GB"/>
        </w:rPr>
      </w:pPr>
      <w:r w:rsidRPr="00F0238C">
        <w:rPr>
          <w:bCs/>
          <w:lang w:val="en-GB"/>
        </w:rPr>
        <w:t xml:space="preserve">In </w:t>
      </w:r>
      <w:r w:rsidR="00DC03AE">
        <w:rPr>
          <w:bCs/>
          <w:lang w:val="en-GB"/>
        </w:rPr>
        <w:t>Study</w:t>
      </w:r>
      <w:r w:rsidR="00DC03AE" w:rsidRPr="00DC03AE">
        <w:rPr>
          <w:bCs/>
          <w:lang w:val="en-GB"/>
        </w:rPr>
        <w:t xml:space="preserve"> </w:t>
      </w:r>
      <w:r w:rsidRPr="00DC03AE">
        <w:rPr>
          <w:bCs/>
          <w:lang w:val="en-GB"/>
        </w:rPr>
        <w:t>V130_10</w:t>
      </w:r>
      <w:r w:rsidRPr="00F0238C">
        <w:rPr>
          <w:bCs/>
          <w:lang w:val="en-GB"/>
        </w:rPr>
        <w:t xml:space="preserve">, </w:t>
      </w:r>
      <w:r>
        <w:rPr>
          <w:bCs/>
          <w:lang w:val="en-GB"/>
        </w:rPr>
        <w:t xml:space="preserve">a total of </w:t>
      </w:r>
      <w:r w:rsidRPr="00F0238C">
        <w:rPr>
          <w:bCs/>
          <w:lang w:val="en-GB"/>
        </w:rPr>
        <w:t>2</w:t>
      </w:r>
      <w:r w:rsidR="00DC03AE">
        <w:rPr>
          <w:bCs/>
          <w:lang w:val="en-GB"/>
        </w:rPr>
        <w:t>,</w:t>
      </w:r>
      <w:r w:rsidRPr="00F0238C">
        <w:rPr>
          <w:bCs/>
          <w:lang w:val="en-GB"/>
        </w:rPr>
        <w:t xml:space="preserve">402 subjects received </w:t>
      </w:r>
      <w:r w:rsidR="00DC03AE">
        <w:rPr>
          <w:bCs/>
          <w:lang w:val="en-GB"/>
        </w:rPr>
        <w:t>at least one</w:t>
      </w:r>
      <w:r w:rsidRPr="00F0238C">
        <w:rPr>
          <w:bCs/>
          <w:lang w:val="en-GB"/>
        </w:rPr>
        <w:t xml:space="preserve"> study vaccination</w:t>
      </w:r>
      <w:r w:rsidR="00DC03AE">
        <w:rPr>
          <w:bCs/>
          <w:lang w:val="en-GB"/>
        </w:rPr>
        <w:t xml:space="preserve">; </w:t>
      </w:r>
      <w:r w:rsidRPr="00F0238C">
        <w:rPr>
          <w:bCs/>
          <w:lang w:val="en-GB"/>
        </w:rPr>
        <w:t>1</w:t>
      </w:r>
      <w:r w:rsidR="00DC03AE">
        <w:rPr>
          <w:bCs/>
          <w:lang w:val="en-GB"/>
        </w:rPr>
        <w:t>,</w:t>
      </w:r>
      <w:r w:rsidRPr="00F0238C">
        <w:rPr>
          <w:bCs/>
          <w:lang w:val="en-GB"/>
        </w:rPr>
        <w:t xml:space="preserve">597 subjects received </w:t>
      </w:r>
      <w:proofErr w:type="spellStart"/>
      <w:proofErr w:type="gramStart"/>
      <w:r w:rsidRPr="00F0238C">
        <w:rPr>
          <w:bCs/>
          <w:lang w:val="en-GB"/>
        </w:rPr>
        <w:t>QIVc</w:t>
      </w:r>
      <w:proofErr w:type="spellEnd"/>
      <w:proofErr w:type="gramEnd"/>
      <w:r w:rsidRPr="00F0238C">
        <w:rPr>
          <w:bCs/>
          <w:lang w:val="en-GB"/>
        </w:rPr>
        <w:t xml:space="preserve"> and 805 subjects received the QIV.</w:t>
      </w:r>
    </w:p>
    <w:p w14:paraId="5E2B5F2C" w14:textId="2EE17603" w:rsidR="00D839AA" w:rsidRDefault="00D839AA" w:rsidP="00D839AA">
      <w:pPr>
        <w:rPr>
          <w:lang w:eastAsia="ja-JP"/>
        </w:rPr>
      </w:pPr>
      <w:r w:rsidRPr="00030D15">
        <w:rPr>
          <w:lang w:eastAsia="ja-JP"/>
        </w:rPr>
        <w:t xml:space="preserve">Overall, </w:t>
      </w:r>
      <w:proofErr w:type="spellStart"/>
      <w:r w:rsidRPr="00030D15">
        <w:rPr>
          <w:lang w:eastAsia="ja-JP"/>
        </w:rPr>
        <w:t>QIVc</w:t>
      </w:r>
      <w:proofErr w:type="spellEnd"/>
      <w:r w:rsidRPr="00030D15">
        <w:rPr>
          <w:lang w:eastAsia="ja-JP"/>
        </w:rPr>
        <w:t xml:space="preserve"> and the QIV were well tolerated in this paediatric </w:t>
      </w:r>
      <w:r>
        <w:rPr>
          <w:lang w:eastAsia="ja-JP"/>
        </w:rPr>
        <w:t>population</w:t>
      </w:r>
      <w:r w:rsidRPr="00030D15">
        <w:rPr>
          <w:lang w:eastAsia="ja-JP"/>
        </w:rPr>
        <w:t xml:space="preserve"> 6</w:t>
      </w:r>
      <w:r w:rsidR="00DC03AE">
        <w:rPr>
          <w:lang w:eastAsia="ja-JP"/>
        </w:rPr>
        <w:t xml:space="preserve"> to </w:t>
      </w:r>
      <w:r w:rsidRPr="00030D15">
        <w:rPr>
          <w:lang w:eastAsia="ja-JP"/>
        </w:rPr>
        <w:t xml:space="preserve">47 </w:t>
      </w:r>
      <w:r>
        <w:rPr>
          <w:lang w:eastAsia="ja-JP"/>
        </w:rPr>
        <w:t>months</w:t>
      </w:r>
      <w:r w:rsidRPr="00030D15">
        <w:rPr>
          <w:lang w:eastAsia="ja-JP"/>
        </w:rPr>
        <w:t xml:space="preserve"> of age, with both vaccines associated with a clinically acceptable safety profile.</w:t>
      </w:r>
    </w:p>
    <w:p w14:paraId="37BC79B5" w14:textId="2EF075E9" w:rsidR="009D06FE" w:rsidRDefault="009D06FE" w:rsidP="00DC03AE">
      <w:pPr>
        <w:pStyle w:val="Heading6"/>
      </w:pPr>
      <w:r w:rsidRPr="00F0238C">
        <w:t xml:space="preserve">Solicited </w:t>
      </w:r>
      <w:r w:rsidR="00DC03AE">
        <w:t xml:space="preserve">adverse </w:t>
      </w:r>
      <w:proofErr w:type="gramStart"/>
      <w:r w:rsidR="00DC03AE">
        <w:t>events</w:t>
      </w:r>
      <w:proofErr w:type="gramEnd"/>
    </w:p>
    <w:p w14:paraId="5495F350" w14:textId="26F9055E" w:rsidR="009D06FE" w:rsidRDefault="00DC03AE" w:rsidP="009D06FE">
      <w:r>
        <w:t>Reactions were s</w:t>
      </w:r>
      <w:r w:rsidR="009D06FE" w:rsidRPr="00F0238C">
        <w:t xml:space="preserve">imilar between the </w:t>
      </w:r>
      <w:proofErr w:type="spellStart"/>
      <w:r w:rsidR="009D06FE" w:rsidRPr="00F0238C">
        <w:t>QIVc</w:t>
      </w:r>
      <w:proofErr w:type="spellEnd"/>
      <w:r w:rsidR="009D06FE" w:rsidRPr="00F0238C">
        <w:t xml:space="preserve"> (</w:t>
      </w:r>
      <w:r>
        <w:t>n</w:t>
      </w:r>
      <w:r w:rsidR="00212192">
        <w:t> = </w:t>
      </w:r>
      <w:r w:rsidR="009D06FE" w:rsidRPr="00F0238C">
        <w:t>1</w:t>
      </w:r>
      <w:r>
        <w:t>,</w:t>
      </w:r>
      <w:r w:rsidR="009D06FE" w:rsidRPr="00F0238C">
        <w:t>564) and QIV (</w:t>
      </w:r>
      <w:r>
        <w:t>n</w:t>
      </w:r>
      <w:r w:rsidR="00212192">
        <w:t> = </w:t>
      </w:r>
      <w:r w:rsidR="009D06FE" w:rsidRPr="00F0238C">
        <w:t xml:space="preserve">784) </w:t>
      </w:r>
      <w:r w:rsidR="009D06FE">
        <w:t>group</w:t>
      </w:r>
      <w:r w:rsidR="009D06FE" w:rsidRPr="00F0238C">
        <w:t>s after any vaccination (63.7% v</w:t>
      </w:r>
      <w:r>
        <w:t>ersu</w:t>
      </w:r>
      <w:r w:rsidR="009D06FE" w:rsidRPr="00F0238C">
        <w:t>s 65.9%), at 30 minutes after any vaccination (12.3% v</w:t>
      </w:r>
      <w:r>
        <w:t>ersus</w:t>
      </w:r>
      <w:r w:rsidR="009D06FE" w:rsidRPr="00F0238C">
        <w:t xml:space="preserve"> 13.3%), and from Day 1 through Day 7 after any vaccination (60.1% v</w:t>
      </w:r>
      <w:r>
        <w:t>ersu</w:t>
      </w:r>
      <w:r w:rsidR="009D06FE" w:rsidRPr="00F0238C">
        <w:t>s 62.6%). At 30</w:t>
      </w:r>
      <w:r>
        <w:t> </w:t>
      </w:r>
      <w:r w:rsidR="009D06FE" w:rsidRPr="00F0238C">
        <w:t xml:space="preserve">minutes after any vaccination, the proportions reporting solicited local and systemic </w:t>
      </w:r>
      <w:r>
        <w:t>adverse events (</w:t>
      </w:r>
      <w:r w:rsidR="009D06FE" w:rsidRPr="00F0238C">
        <w:t>AEs</w:t>
      </w:r>
      <w:r>
        <w:t>)</w:t>
      </w:r>
      <w:r w:rsidR="009D06FE" w:rsidRPr="00F0238C">
        <w:t xml:space="preserve"> were similar between the 2 vaccine </w:t>
      </w:r>
      <w:r w:rsidR="009D06FE">
        <w:t>group</w:t>
      </w:r>
      <w:r w:rsidR="009D06FE" w:rsidRPr="00F0238C">
        <w:t>s.</w:t>
      </w:r>
    </w:p>
    <w:p w14:paraId="3A4FA7AA" w14:textId="4E25E69B" w:rsidR="001E254A" w:rsidRDefault="001E254A" w:rsidP="009D06FE">
      <w:r w:rsidRPr="00F0238C">
        <w:t xml:space="preserve">Rates of solicited </w:t>
      </w:r>
      <w:r w:rsidRPr="00A32D92">
        <w:t xml:space="preserve">AEs were similar between the </w:t>
      </w:r>
      <w:proofErr w:type="spellStart"/>
      <w:r w:rsidRPr="00A32D92">
        <w:t>QIVc</w:t>
      </w:r>
      <w:proofErr w:type="spellEnd"/>
      <w:r w:rsidRPr="00A32D92">
        <w:t xml:space="preserve"> and QIV groups after </w:t>
      </w:r>
      <w:r w:rsidRPr="007B3D11">
        <w:t>Vaccination 1</w:t>
      </w:r>
      <w:r w:rsidRPr="00A32D92">
        <w:t xml:space="preserve"> (59.7% versus 62.5%). In both the </w:t>
      </w:r>
      <w:proofErr w:type="spellStart"/>
      <w:r w:rsidRPr="00A32D92">
        <w:t>QIVc</w:t>
      </w:r>
      <w:proofErr w:type="spellEnd"/>
      <w:r w:rsidRPr="00A32D92">
        <w:t xml:space="preserve"> and QIV groups, the rates of solicited AEs were lower after the </w:t>
      </w:r>
      <w:r w:rsidRPr="007B3D11">
        <w:t>second vaccination than after the first</w:t>
      </w:r>
      <w:r w:rsidRPr="00A32D92">
        <w:t xml:space="preserve"> (</w:t>
      </w:r>
      <w:proofErr w:type="spellStart"/>
      <w:r w:rsidRPr="00A32D92">
        <w:t>QIVc</w:t>
      </w:r>
      <w:proofErr w:type="spellEnd"/>
      <w:r w:rsidRPr="00A32D92">
        <w:t>: 47.0% versus 59.7%; QIV: 46.8% versus</w:t>
      </w:r>
      <w:r w:rsidRPr="00F0238C">
        <w:t xml:space="preserve"> 62.5%).</w:t>
      </w:r>
    </w:p>
    <w:p w14:paraId="17A426BF" w14:textId="4A1F540E" w:rsidR="009D06FE" w:rsidRDefault="009D06FE" w:rsidP="00DC03AE">
      <w:pPr>
        <w:pStyle w:val="Heading7"/>
      </w:pPr>
      <w:r w:rsidRPr="00860213">
        <w:t xml:space="preserve">Solicited local </w:t>
      </w:r>
      <w:r w:rsidR="00660BF3">
        <w:t xml:space="preserve">adverse </w:t>
      </w:r>
      <w:proofErr w:type="gramStart"/>
      <w:r w:rsidR="00660BF3">
        <w:t>events</w:t>
      </w:r>
      <w:proofErr w:type="gramEnd"/>
    </w:p>
    <w:p w14:paraId="3D777597" w14:textId="582F4528" w:rsidR="00AA58C2" w:rsidRDefault="009D06FE" w:rsidP="00AA58C2">
      <w:r w:rsidRPr="00860213">
        <w:t>Solicited local AEs (after any dose) after 30 minutes were reported by 171</w:t>
      </w:r>
      <w:r w:rsidR="00C42915">
        <w:t xml:space="preserve"> of </w:t>
      </w:r>
      <w:r w:rsidRPr="00860213">
        <w:t>1</w:t>
      </w:r>
      <w:r w:rsidR="00DC03AE">
        <w:t>,</w:t>
      </w:r>
      <w:r w:rsidRPr="00860213">
        <w:t xml:space="preserve">564 subjects (10.9%) in the </w:t>
      </w:r>
      <w:proofErr w:type="spellStart"/>
      <w:r w:rsidRPr="00860213">
        <w:t>QIVc</w:t>
      </w:r>
      <w:proofErr w:type="spellEnd"/>
      <w:r w:rsidRPr="00860213">
        <w:t xml:space="preserve"> group and 95</w:t>
      </w:r>
      <w:r w:rsidR="00C42915">
        <w:t xml:space="preserve"> of </w:t>
      </w:r>
      <w:r w:rsidRPr="00860213">
        <w:t xml:space="preserve">784 subjects (12.1%) in the QIV group. Solicited systemic AEs </w:t>
      </w:r>
      <w:r w:rsidR="00DC03AE">
        <w:t xml:space="preserve">were </w:t>
      </w:r>
      <w:r w:rsidRPr="00860213">
        <w:t xml:space="preserve">reported by 30 subjects (1.9%) in the </w:t>
      </w:r>
      <w:proofErr w:type="spellStart"/>
      <w:r w:rsidRPr="00860213">
        <w:t>QIVc</w:t>
      </w:r>
      <w:proofErr w:type="spellEnd"/>
      <w:r w:rsidRPr="00860213">
        <w:t xml:space="preserve"> group and 18 subjects (2.3%) in the QIV group. From Day 1 through Day 7 after any vaccination, the proportions of subjects reporting solicited local and systemic AEs were similar between the 2 vaccine groups. Solicited local AEs </w:t>
      </w:r>
      <w:r w:rsidR="00DC03AE">
        <w:t xml:space="preserve">were </w:t>
      </w:r>
      <w:r w:rsidRPr="00860213">
        <w:t xml:space="preserve">reported by 656 subjects (41.9%) in the </w:t>
      </w:r>
      <w:proofErr w:type="spellStart"/>
      <w:r w:rsidRPr="00860213">
        <w:t>QIVc</w:t>
      </w:r>
      <w:proofErr w:type="spellEnd"/>
      <w:r w:rsidRPr="00860213">
        <w:t xml:space="preserve"> group and 350 subjects (44.6%) in the QIV group</w:t>
      </w:r>
      <w:r w:rsidR="00DC03AE">
        <w:t>,</w:t>
      </w:r>
      <w:r w:rsidRPr="00860213">
        <w:t xml:space="preserve"> and systemic AEs </w:t>
      </w:r>
      <w:r w:rsidR="00DC03AE">
        <w:t xml:space="preserve">were reported </w:t>
      </w:r>
      <w:r w:rsidRPr="00860213">
        <w:t>in 681</w:t>
      </w:r>
      <w:r w:rsidR="00A61D9C">
        <w:t xml:space="preserve"> </w:t>
      </w:r>
      <w:r w:rsidRPr="00860213">
        <w:t>(43.5%) and 358</w:t>
      </w:r>
      <w:r w:rsidR="00A61D9C">
        <w:t xml:space="preserve"> </w:t>
      </w:r>
      <w:r w:rsidRPr="00860213">
        <w:t>(45</w:t>
      </w:r>
      <w:r w:rsidR="00AA5961">
        <w:t>.7</w:t>
      </w:r>
      <w:r w:rsidRPr="00860213">
        <w:t xml:space="preserve">%) subjects in </w:t>
      </w:r>
      <w:proofErr w:type="spellStart"/>
      <w:r w:rsidRPr="00860213">
        <w:t>QIVc</w:t>
      </w:r>
      <w:proofErr w:type="spellEnd"/>
      <w:r w:rsidRPr="00860213">
        <w:t xml:space="preserve"> and QIV group respectively</w:t>
      </w:r>
      <w:r w:rsidR="00DC03AE">
        <w:t xml:space="preserve">; </w:t>
      </w:r>
      <w:r w:rsidR="00AA58C2">
        <w:t xml:space="preserve">see </w:t>
      </w:r>
      <w:r w:rsidR="00AA58C2">
        <w:fldChar w:fldCharType="begin"/>
      </w:r>
      <w:r w:rsidR="00AA58C2">
        <w:instrText xml:space="preserve"> REF _Ref149652823 \h </w:instrText>
      </w:r>
      <w:r w:rsidR="00AA58C2">
        <w:fldChar w:fldCharType="separate"/>
      </w:r>
      <w:r w:rsidR="00AA58C2">
        <w:t xml:space="preserve">Table </w:t>
      </w:r>
      <w:r w:rsidR="00AA58C2">
        <w:rPr>
          <w:noProof/>
        </w:rPr>
        <w:t>6</w:t>
      </w:r>
      <w:r w:rsidR="00AA58C2">
        <w:fldChar w:fldCharType="end"/>
      </w:r>
      <w:r w:rsidR="00AA58C2">
        <w:t>.</w:t>
      </w:r>
    </w:p>
    <w:p w14:paraId="36916158" w14:textId="77777777" w:rsidR="009D06FE" w:rsidRDefault="009D06FE" w:rsidP="009D06FE">
      <w:r w:rsidRPr="00860213">
        <w:lastRenderedPageBreak/>
        <w:t xml:space="preserve">The most reported solicited local AEs after any vaccination in the </w:t>
      </w:r>
      <w:proofErr w:type="spellStart"/>
      <w:r w:rsidRPr="00860213">
        <w:t>QIVc</w:t>
      </w:r>
      <w:proofErr w:type="spellEnd"/>
      <w:r w:rsidRPr="00860213">
        <w:t xml:space="preserve"> and QIV groups were tenderness (27.9% and 30.0%, respectively) and erythema (25.8% and 24.6%, respectively)</w:t>
      </w:r>
      <w:r>
        <w:t>.</w:t>
      </w:r>
    </w:p>
    <w:p w14:paraId="3F68E7E4" w14:textId="4663E833" w:rsidR="00174D8B" w:rsidRDefault="009D06FE" w:rsidP="00174D8B">
      <w:pPr>
        <w:rPr>
          <w:rFonts w:eastAsia="TimesNewRoman" w:cs="TimesNewRoman"/>
          <w:sz w:val="20"/>
        </w:rPr>
        <w:sectPr w:rsidR="00174D8B" w:rsidSect="007452E8">
          <w:headerReference w:type="default" r:id="rId34"/>
          <w:footerReference w:type="default" r:id="rId35"/>
          <w:pgSz w:w="11906" w:h="16838" w:code="9"/>
          <w:pgMar w:top="1134" w:right="1418" w:bottom="1361" w:left="1418" w:header="573" w:footer="567" w:gutter="0"/>
          <w:cols w:space="708"/>
          <w:docGrid w:linePitch="360"/>
        </w:sectPr>
      </w:pPr>
      <w:r w:rsidRPr="00860213">
        <w:rPr>
          <w:lang w:val="en-GB"/>
        </w:rPr>
        <w:t xml:space="preserve">The rates of induration, erythema, ecchymosis, and tenderness occurring Day 1 through Day 7 after each vaccination and after any vaccination were similar between the </w:t>
      </w:r>
      <w:proofErr w:type="spellStart"/>
      <w:r w:rsidRPr="00860213">
        <w:rPr>
          <w:lang w:val="en-GB"/>
        </w:rPr>
        <w:t>QIVc</w:t>
      </w:r>
      <w:proofErr w:type="spellEnd"/>
      <w:r w:rsidRPr="00860213">
        <w:rPr>
          <w:lang w:val="en-GB"/>
        </w:rPr>
        <w:t xml:space="preserve"> and QIV groups </w:t>
      </w:r>
      <w:r w:rsidR="00DC03AE">
        <w:rPr>
          <w:lang w:val="en-GB"/>
        </w:rPr>
        <w:t>(</w:t>
      </w:r>
      <w:r w:rsidR="00BA20CC">
        <w:rPr>
          <w:lang w:val="en-GB"/>
        </w:rPr>
        <w:fldChar w:fldCharType="begin"/>
      </w:r>
      <w:r w:rsidR="00BA20CC">
        <w:rPr>
          <w:lang w:val="en-GB"/>
        </w:rPr>
        <w:instrText xml:space="preserve"> REF _Ref143609293 \h </w:instrText>
      </w:r>
      <w:r w:rsidR="00BA20CC">
        <w:rPr>
          <w:lang w:val="en-GB"/>
        </w:rPr>
      </w:r>
      <w:r w:rsidR="00BA20CC">
        <w:rPr>
          <w:lang w:val="en-GB"/>
        </w:rPr>
        <w:fldChar w:fldCharType="separate"/>
      </w:r>
      <w:r w:rsidR="009C5F1A">
        <w:t xml:space="preserve">Table </w:t>
      </w:r>
      <w:r w:rsidR="009C5F1A">
        <w:rPr>
          <w:noProof/>
        </w:rPr>
        <w:t>7</w:t>
      </w:r>
      <w:r w:rsidR="00BA20CC">
        <w:rPr>
          <w:lang w:val="en-GB"/>
        </w:rPr>
        <w:fldChar w:fldCharType="end"/>
      </w:r>
      <w:r w:rsidRPr="00860213">
        <w:rPr>
          <w:lang w:val="en-GB"/>
        </w:rPr>
        <w:t>). The rates of each of the individual solicited local AEs were lower after the second vaccination than after the first vaccination in both vaccine groups. Induration</w:t>
      </w:r>
      <w:r w:rsidR="00C42915">
        <w:rPr>
          <w:lang w:val="en-GB"/>
        </w:rPr>
        <w:t xml:space="preserve">, </w:t>
      </w:r>
      <w:r w:rsidRPr="00860213">
        <w:rPr>
          <w:lang w:val="en-GB"/>
        </w:rPr>
        <w:t>erythema</w:t>
      </w:r>
      <w:r w:rsidR="00C42915">
        <w:rPr>
          <w:lang w:val="en-GB"/>
        </w:rPr>
        <w:t>,</w:t>
      </w:r>
      <w:r w:rsidR="000410DB">
        <w:rPr>
          <w:lang w:val="en-GB"/>
        </w:rPr>
        <w:t xml:space="preserve"> </w:t>
      </w:r>
      <w:r w:rsidRPr="00860213">
        <w:rPr>
          <w:lang w:val="en-GB"/>
        </w:rPr>
        <w:t>ecchymosis</w:t>
      </w:r>
      <w:r w:rsidR="00C42915">
        <w:rPr>
          <w:lang w:val="en-GB"/>
        </w:rPr>
        <w:t xml:space="preserve">, and </w:t>
      </w:r>
      <w:r w:rsidRPr="00860213">
        <w:rPr>
          <w:lang w:val="en-GB"/>
        </w:rPr>
        <w:t>tenderness persisting beyond 7</w:t>
      </w:r>
      <w:r w:rsidR="00C42915">
        <w:rPr>
          <w:lang w:val="en-GB"/>
        </w:rPr>
        <w:t> </w:t>
      </w:r>
      <w:r w:rsidRPr="00860213">
        <w:rPr>
          <w:lang w:val="en-GB"/>
        </w:rPr>
        <w:t>days after vaccination were very low in both groups.</w:t>
      </w:r>
    </w:p>
    <w:p w14:paraId="2C79E4C8" w14:textId="2D71DF3A" w:rsidR="00A7051C" w:rsidRDefault="00A7051C" w:rsidP="00A7051C">
      <w:pPr>
        <w:pStyle w:val="TableTitle"/>
      </w:pPr>
      <w:bookmarkStart w:id="56" w:name="_Ref149652823"/>
      <w:bookmarkStart w:id="57" w:name="_Ref143266957"/>
      <w:r>
        <w:lastRenderedPageBreak/>
        <w:t xml:space="preserve">Table </w:t>
      </w:r>
      <w:r w:rsidR="000E770F">
        <w:fldChar w:fldCharType="begin"/>
      </w:r>
      <w:r w:rsidR="000E770F">
        <w:instrText xml:space="preserve"> SEQ Table \* ARABIC </w:instrText>
      </w:r>
      <w:r w:rsidR="000E770F">
        <w:fldChar w:fldCharType="separate"/>
      </w:r>
      <w:r w:rsidR="009C5F1A">
        <w:rPr>
          <w:noProof/>
        </w:rPr>
        <w:t>6</w:t>
      </w:r>
      <w:r w:rsidR="000E770F">
        <w:rPr>
          <w:noProof/>
        </w:rPr>
        <w:fldChar w:fldCharType="end"/>
      </w:r>
      <w:bookmarkEnd w:id="56"/>
      <w:r>
        <w:t xml:space="preserve">: Study </w:t>
      </w:r>
      <w:r w:rsidRPr="003B5354">
        <w:t>V130_10</w:t>
      </w:r>
      <w:r>
        <w:t xml:space="preserve"> </w:t>
      </w:r>
      <w:r w:rsidRPr="003B5354">
        <w:t xml:space="preserve">Number (%) of </w:t>
      </w:r>
      <w:r>
        <w:t>s</w:t>
      </w:r>
      <w:r w:rsidRPr="003B5354">
        <w:t xml:space="preserve">ubjects 6 </w:t>
      </w:r>
      <w:r>
        <w:t>m</w:t>
      </w:r>
      <w:r w:rsidRPr="003B5354">
        <w:t xml:space="preserve">onths </w:t>
      </w:r>
      <w:r>
        <w:t>t</w:t>
      </w:r>
      <w:r w:rsidRPr="003B5354">
        <w:t xml:space="preserve">hrough 47 </w:t>
      </w:r>
      <w:r>
        <w:t>m</w:t>
      </w:r>
      <w:r w:rsidRPr="003B5354">
        <w:t xml:space="preserve">onths of </w:t>
      </w:r>
      <w:r>
        <w:t>a</w:t>
      </w:r>
      <w:r w:rsidRPr="003B5354">
        <w:t xml:space="preserve">ge </w:t>
      </w:r>
      <w:r>
        <w:t>w</w:t>
      </w:r>
      <w:r w:rsidRPr="003B5354">
        <w:t xml:space="preserve">ith </w:t>
      </w:r>
      <w:r w:rsidRPr="00A141EA">
        <w:t>at least one solicited adverse event 30 minutes post</w:t>
      </w:r>
      <w:r w:rsidR="001D2FFE" w:rsidRPr="00A141EA">
        <w:noBreakHyphen/>
      </w:r>
      <w:r w:rsidRPr="00A141EA">
        <w:t>vaccination and/or Day 1 through</w:t>
      </w:r>
      <w:r w:rsidRPr="003B5354">
        <w:t xml:space="preserve"> 7</w:t>
      </w:r>
      <w:r w:rsidR="0075600F">
        <w:t> </w:t>
      </w:r>
      <w:r>
        <w:t>d</w:t>
      </w:r>
      <w:r w:rsidRPr="003B5354">
        <w:t xml:space="preserve">ays </w:t>
      </w:r>
      <w:r>
        <w:t>a</w:t>
      </w:r>
      <w:r w:rsidRPr="003B5354">
        <w:t xml:space="preserve">fter </w:t>
      </w:r>
      <w:r>
        <w:t>v</w:t>
      </w:r>
      <w:r w:rsidRPr="003B5354">
        <w:t xml:space="preserve">accination </w:t>
      </w:r>
      <w:r w:rsidR="00C133A3">
        <w:t>(</w:t>
      </w:r>
      <w:r w:rsidR="00C42915">
        <w:t>s</w:t>
      </w:r>
      <w:r w:rsidRPr="003B5354">
        <w:t xml:space="preserve">olicited </w:t>
      </w:r>
      <w:r w:rsidR="00C42915">
        <w:t>s</w:t>
      </w:r>
      <w:r w:rsidRPr="003B5354">
        <w:t xml:space="preserve">afety </w:t>
      </w:r>
      <w:r w:rsidR="00C42915">
        <w:t>s</w:t>
      </w:r>
      <w:r w:rsidRPr="003B5354">
        <w:t>et</w:t>
      </w:r>
      <w:r w:rsidR="00C133A3">
        <w:t>)</w:t>
      </w:r>
    </w:p>
    <w:bookmarkEnd w:id="57"/>
    <w:p w14:paraId="63DF5572" w14:textId="649DC0B6" w:rsidR="00C33422" w:rsidRDefault="00F505D3" w:rsidP="00124B34">
      <w:pPr>
        <w:pStyle w:val="TableDescription"/>
        <w:rPr>
          <w:rFonts w:eastAsia="TimesNewRoman" w:cs="TimesNewRoman"/>
          <w:sz w:val="20"/>
          <w:szCs w:val="20"/>
        </w:rPr>
      </w:pPr>
      <w:r>
        <w:rPr>
          <w:noProof/>
        </w:rPr>
        <w:drawing>
          <wp:inline distT="0" distB="0" distL="0" distR="0" wp14:anchorId="12F6ED99" wp14:editId="4514275F">
            <wp:extent cx="5667375" cy="7134225"/>
            <wp:effectExtent l="0" t="0" r="9525" b="9525"/>
            <wp:docPr id="4" name="Picture 4" descr="Tabulation of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ulation of results.&#10;"/>
                    <pic:cNvPicPr/>
                  </pic:nvPicPr>
                  <pic:blipFill>
                    <a:blip r:embed="rId36"/>
                    <a:stretch>
                      <a:fillRect/>
                    </a:stretch>
                  </pic:blipFill>
                  <pic:spPr>
                    <a:xfrm>
                      <a:off x="0" y="0"/>
                      <a:ext cx="5667375" cy="7134225"/>
                    </a:xfrm>
                    <a:prstGeom prst="rect">
                      <a:avLst/>
                    </a:prstGeom>
                  </pic:spPr>
                </pic:pic>
              </a:graphicData>
            </a:graphic>
          </wp:inline>
        </w:drawing>
      </w:r>
    </w:p>
    <w:p w14:paraId="7E12A7DD" w14:textId="73B4F74D" w:rsidR="008D5A6B" w:rsidRPr="00E47DB7" w:rsidRDefault="00BA194A" w:rsidP="00E47DB7">
      <w:pPr>
        <w:pStyle w:val="TableDescription"/>
      </w:pPr>
      <w:r w:rsidRPr="00A7051C">
        <w:t xml:space="preserve">Abbreviations: </w:t>
      </w:r>
      <w:r w:rsidR="00CE40D6" w:rsidRPr="00A7051C">
        <w:t>AE</w:t>
      </w:r>
      <w:r w:rsidR="00215153">
        <w:t> </w:t>
      </w:r>
      <w:r w:rsidR="00212192">
        <w:t>= </w:t>
      </w:r>
      <w:r w:rsidR="00CE40D6" w:rsidRPr="00A7051C">
        <w:t xml:space="preserve">adverse event; </w:t>
      </w:r>
      <w:r w:rsidR="006C5399" w:rsidRPr="00A7051C">
        <w:t>n</w:t>
      </w:r>
      <w:r w:rsidR="00212192">
        <w:t> = </w:t>
      </w:r>
      <w:r w:rsidR="000410DB" w:rsidRPr="00A7051C">
        <w:t>number of subjects</w:t>
      </w:r>
      <w:r w:rsidR="008D5A6B" w:rsidRPr="00A7051C">
        <w:t>; QIV</w:t>
      </w:r>
      <w:r w:rsidR="00212192">
        <w:t> = </w:t>
      </w:r>
      <w:r w:rsidR="008D5A6B" w:rsidRPr="00A7051C">
        <w:t xml:space="preserve">quadrivalent influenza vaccine; </w:t>
      </w:r>
      <w:proofErr w:type="spellStart"/>
      <w:r w:rsidR="008D5A6B" w:rsidRPr="00A7051C">
        <w:t>QIVc</w:t>
      </w:r>
      <w:proofErr w:type="spellEnd"/>
      <w:r w:rsidR="00212192">
        <w:t> = </w:t>
      </w:r>
      <w:r w:rsidR="008D5A6B" w:rsidRPr="00A7051C">
        <w:t>cell-based</w:t>
      </w:r>
      <w:r w:rsidR="008D5A6B" w:rsidRPr="00E47DB7">
        <w:t xml:space="preserve"> quadrivalent subunit influenza virus vaccine; US</w:t>
      </w:r>
      <w:r w:rsidR="00212192">
        <w:t> = </w:t>
      </w:r>
      <w:r w:rsidR="008D5A6B" w:rsidRPr="00E47DB7">
        <w:t>United States</w:t>
      </w:r>
    </w:p>
    <w:p w14:paraId="7F7A126F" w14:textId="56D8AB54" w:rsidR="008A1783" w:rsidRPr="00E47DB7" w:rsidRDefault="00F2494B" w:rsidP="00E47DB7">
      <w:pPr>
        <w:pStyle w:val="TableDescription"/>
      </w:pPr>
      <w:r w:rsidRPr="00E47DB7">
        <w:t>Note 1: Analgesic</w:t>
      </w:r>
      <w:r w:rsidR="00C42915">
        <w:t xml:space="preserve"> or </w:t>
      </w:r>
      <w:r w:rsidRPr="00E47DB7">
        <w:t>antipyretic use was for prevention or treatment of pain</w:t>
      </w:r>
      <w:r w:rsidR="00C42915">
        <w:t xml:space="preserve"> or </w:t>
      </w:r>
      <w:proofErr w:type="gramStart"/>
      <w:r w:rsidRPr="00E47DB7">
        <w:t>fever</w:t>
      </w:r>
      <w:proofErr w:type="gramEnd"/>
    </w:p>
    <w:p w14:paraId="2027F06D" w14:textId="51319E44" w:rsidR="00174D8B" w:rsidRDefault="00F2494B" w:rsidP="00124B34">
      <w:pPr>
        <w:pStyle w:val="TableDescription"/>
        <w:sectPr w:rsidR="00174D8B" w:rsidSect="007452E8">
          <w:pgSz w:w="11906" w:h="16838" w:code="9"/>
          <w:pgMar w:top="1134" w:right="1418" w:bottom="1361" w:left="1418" w:header="573" w:footer="567" w:gutter="0"/>
          <w:cols w:space="708"/>
          <w:docGrid w:linePitch="360"/>
        </w:sectPr>
      </w:pPr>
      <w:r w:rsidRPr="00E47DB7">
        <w:t xml:space="preserve">Note 2: Solicited AEs were reported through the first 30 minutes after vaccination (by clinical study staff) and from Day 1 through Day 7 after vaccination using Subject Diary Cards. On Day 1, it was recommended to assess solicited AEs preferably in the evening, at </w:t>
      </w:r>
      <w:r w:rsidR="00E47DB7" w:rsidRPr="00E47DB7">
        <w:t>approximately</w:t>
      </w:r>
      <w:r w:rsidRPr="00E47DB7">
        <w:t xml:space="preserve"> 6 hours post</w:t>
      </w:r>
      <w:r w:rsidR="001F489D">
        <w:noBreakHyphen/>
      </w:r>
      <w:r w:rsidRPr="00E47DB7">
        <w:t>vaccination.</w:t>
      </w:r>
    </w:p>
    <w:p w14:paraId="54452B32" w14:textId="468FBE31" w:rsidR="00A7051C" w:rsidRDefault="00A7051C" w:rsidP="00A7051C">
      <w:pPr>
        <w:pStyle w:val="TableTitle"/>
      </w:pPr>
      <w:bookmarkStart w:id="58" w:name="_Ref143609293"/>
      <w:bookmarkStart w:id="59" w:name="_Ref143266898"/>
      <w:bookmarkStart w:id="60" w:name="_Ref143266891"/>
      <w:r>
        <w:lastRenderedPageBreak/>
        <w:t xml:space="preserve">Table </w:t>
      </w:r>
      <w:r w:rsidR="000E770F">
        <w:fldChar w:fldCharType="begin"/>
      </w:r>
      <w:r w:rsidR="000E770F">
        <w:instrText xml:space="preserve"> SEQ Table \* ARABIC</w:instrText>
      </w:r>
      <w:r w:rsidR="000E770F">
        <w:instrText xml:space="preserve"> </w:instrText>
      </w:r>
      <w:r w:rsidR="000E770F">
        <w:fldChar w:fldCharType="separate"/>
      </w:r>
      <w:r w:rsidR="009C5F1A">
        <w:rPr>
          <w:noProof/>
        </w:rPr>
        <w:t>7</w:t>
      </w:r>
      <w:r w:rsidR="000E770F">
        <w:rPr>
          <w:noProof/>
        </w:rPr>
        <w:fldChar w:fldCharType="end"/>
      </w:r>
      <w:bookmarkEnd w:id="58"/>
      <w:r>
        <w:t xml:space="preserve">: Study </w:t>
      </w:r>
      <w:r w:rsidRPr="003B5354">
        <w:t>V130_10</w:t>
      </w:r>
      <w:r>
        <w:t xml:space="preserve"> </w:t>
      </w:r>
      <w:r w:rsidRPr="00F0238C">
        <w:rPr>
          <w:lang w:val="en-GB"/>
        </w:rPr>
        <w:t xml:space="preserve">Number (%) of </w:t>
      </w:r>
      <w:r>
        <w:rPr>
          <w:lang w:val="en-GB"/>
        </w:rPr>
        <w:t>s</w:t>
      </w:r>
      <w:r w:rsidRPr="00F0238C">
        <w:rPr>
          <w:lang w:val="en-GB"/>
        </w:rPr>
        <w:t xml:space="preserve">ubjects 6 </w:t>
      </w:r>
      <w:r>
        <w:rPr>
          <w:lang w:val="en-GB"/>
        </w:rPr>
        <w:t>mon</w:t>
      </w:r>
      <w:r w:rsidRPr="00F0238C">
        <w:rPr>
          <w:lang w:val="en-GB"/>
        </w:rPr>
        <w:t xml:space="preserve">ths </w:t>
      </w:r>
      <w:r>
        <w:rPr>
          <w:lang w:val="en-GB"/>
        </w:rPr>
        <w:t>t</w:t>
      </w:r>
      <w:r w:rsidRPr="00F0238C">
        <w:rPr>
          <w:lang w:val="en-GB"/>
        </w:rPr>
        <w:t xml:space="preserve">hrough 47 </w:t>
      </w:r>
      <w:r>
        <w:rPr>
          <w:lang w:val="en-GB"/>
        </w:rPr>
        <w:t>mon</w:t>
      </w:r>
      <w:r w:rsidRPr="00F0238C">
        <w:rPr>
          <w:lang w:val="en-GB"/>
        </w:rPr>
        <w:t xml:space="preserve">ths of </w:t>
      </w:r>
      <w:r>
        <w:rPr>
          <w:lang w:val="en-GB"/>
        </w:rPr>
        <w:t>a</w:t>
      </w:r>
      <w:r w:rsidRPr="00F0238C">
        <w:rPr>
          <w:lang w:val="en-GB"/>
        </w:rPr>
        <w:t xml:space="preserve">ge with </w:t>
      </w:r>
      <w:r>
        <w:rPr>
          <w:lang w:val="en-GB"/>
        </w:rPr>
        <w:t>s</w:t>
      </w:r>
      <w:r w:rsidRPr="00F0238C">
        <w:rPr>
          <w:lang w:val="en-GB"/>
        </w:rPr>
        <w:t xml:space="preserve">olicited </w:t>
      </w:r>
      <w:r>
        <w:rPr>
          <w:lang w:val="en-GB"/>
        </w:rPr>
        <w:t>l</w:t>
      </w:r>
      <w:r w:rsidRPr="00F0238C">
        <w:rPr>
          <w:lang w:val="en-GB"/>
        </w:rPr>
        <w:t xml:space="preserve">ocal </w:t>
      </w:r>
      <w:r>
        <w:rPr>
          <w:lang w:val="en-GB"/>
        </w:rPr>
        <w:t>adverse events</w:t>
      </w:r>
      <w:r w:rsidRPr="00F0238C">
        <w:rPr>
          <w:lang w:val="en-GB"/>
        </w:rPr>
        <w:t xml:space="preserve"> from Day 1 </w:t>
      </w:r>
      <w:r>
        <w:rPr>
          <w:lang w:val="en-GB"/>
        </w:rPr>
        <w:t>t</w:t>
      </w:r>
      <w:r w:rsidRPr="00F0238C">
        <w:rPr>
          <w:lang w:val="en-GB"/>
        </w:rPr>
        <w:t xml:space="preserve">hrough Day 7 </w:t>
      </w:r>
      <w:r>
        <w:rPr>
          <w:lang w:val="en-GB"/>
        </w:rPr>
        <w:t>a</w:t>
      </w:r>
      <w:r w:rsidRPr="00F0238C">
        <w:rPr>
          <w:lang w:val="en-GB"/>
        </w:rPr>
        <w:t xml:space="preserve">fter </w:t>
      </w:r>
      <w:r>
        <w:rPr>
          <w:lang w:val="en-GB"/>
        </w:rPr>
        <w:t>v</w:t>
      </w:r>
      <w:r w:rsidRPr="00F0238C">
        <w:rPr>
          <w:lang w:val="en-GB"/>
        </w:rPr>
        <w:t xml:space="preserve">accination </w:t>
      </w:r>
      <w:r w:rsidR="00C133A3">
        <w:rPr>
          <w:lang w:val="en-GB"/>
        </w:rPr>
        <w:t>(</w:t>
      </w:r>
      <w:r w:rsidR="00625D00">
        <w:rPr>
          <w:lang w:val="en-GB"/>
        </w:rPr>
        <w:t>s</w:t>
      </w:r>
      <w:r w:rsidRPr="00CB583D">
        <w:t xml:space="preserve">olicited </w:t>
      </w:r>
      <w:r w:rsidR="00625D00">
        <w:t>s</w:t>
      </w:r>
      <w:r w:rsidRPr="00CB583D">
        <w:t xml:space="preserve">afety </w:t>
      </w:r>
      <w:r w:rsidR="00625D00">
        <w:t>s</w:t>
      </w:r>
      <w:r w:rsidRPr="00CB583D">
        <w:t>et</w:t>
      </w:r>
      <w:r w:rsidR="00625D00">
        <w:t>)</w:t>
      </w:r>
    </w:p>
    <w:bookmarkEnd w:id="59"/>
    <w:bookmarkEnd w:id="60"/>
    <w:p w14:paraId="7E1DABD9" w14:textId="1BBF712B" w:rsidR="00AA20C9" w:rsidRDefault="00790265" w:rsidP="00FA71CF">
      <w:pPr>
        <w:pStyle w:val="TableTitle"/>
        <w:rPr>
          <w:bCs/>
        </w:rPr>
      </w:pPr>
      <w:r>
        <w:rPr>
          <w:noProof/>
        </w:rPr>
        <w:drawing>
          <wp:inline distT="0" distB="0" distL="0" distR="0" wp14:anchorId="1A653D7D" wp14:editId="6E4A3BD6">
            <wp:extent cx="5400675" cy="7400925"/>
            <wp:effectExtent l="0" t="0" r="9525" b="9525"/>
            <wp:docPr id="5" name="Picture 5" descr="Tabulation of results, including induration, erythema, ecchymosis and tenderness after any vaccination or after vaccination 1 or after vaccin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ulation of results, including induration, erythema, ecchymosis and tenderness after any vaccination or after vaccination 1 or after vaccination 2."/>
                    <pic:cNvPicPr/>
                  </pic:nvPicPr>
                  <pic:blipFill>
                    <a:blip r:embed="rId37"/>
                    <a:stretch>
                      <a:fillRect/>
                    </a:stretch>
                  </pic:blipFill>
                  <pic:spPr>
                    <a:xfrm>
                      <a:off x="0" y="0"/>
                      <a:ext cx="5400675" cy="7400925"/>
                    </a:xfrm>
                    <a:prstGeom prst="rect">
                      <a:avLst/>
                    </a:prstGeom>
                  </pic:spPr>
                </pic:pic>
              </a:graphicData>
            </a:graphic>
          </wp:inline>
        </w:drawing>
      </w:r>
    </w:p>
    <w:p w14:paraId="50B75EEC" w14:textId="60767342" w:rsidR="004B4F1C" w:rsidRPr="00790265" w:rsidRDefault="004B4F1C" w:rsidP="00790265">
      <w:pPr>
        <w:pStyle w:val="TableDescription"/>
      </w:pPr>
      <w:r w:rsidRPr="00B7470E">
        <w:t>Abbreviations: AE</w:t>
      </w:r>
      <w:r w:rsidR="00212192">
        <w:t> = </w:t>
      </w:r>
      <w:r w:rsidRPr="00B7470E">
        <w:t xml:space="preserve">adverse event; </w:t>
      </w:r>
      <w:r w:rsidR="000410DB" w:rsidRPr="00B7470E">
        <w:t>N</w:t>
      </w:r>
      <w:r w:rsidR="00212192">
        <w:t> = </w:t>
      </w:r>
      <w:r w:rsidR="00B7470E" w:rsidRPr="00B7470E">
        <w:t>number of participants</w:t>
      </w:r>
      <w:r w:rsidRPr="00B7470E">
        <w:t>; QIV</w:t>
      </w:r>
      <w:r w:rsidR="00212192">
        <w:t> = </w:t>
      </w:r>
      <w:r w:rsidRPr="00B7470E">
        <w:t xml:space="preserve">quadrivalent influenza vaccine; </w:t>
      </w:r>
      <w:proofErr w:type="spellStart"/>
      <w:r w:rsidRPr="00B7470E">
        <w:t>QIVc</w:t>
      </w:r>
      <w:proofErr w:type="spellEnd"/>
      <w:r w:rsidR="00212192">
        <w:t> = </w:t>
      </w:r>
      <w:r w:rsidRPr="00B7470E">
        <w:t>cell-</w:t>
      </w:r>
      <w:r w:rsidRPr="00790265">
        <w:t>based quadrivalent subunit influenza virus vaccine; US</w:t>
      </w:r>
      <w:r w:rsidR="00212192">
        <w:t> = </w:t>
      </w:r>
      <w:r w:rsidRPr="00790265">
        <w:t>United States</w:t>
      </w:r>
    </w:p>
    <w:p w14:paraId="174D8870" w14:textId="5D408F8D" w:rsidR="004B4F1C" w:rsidRPr="00790265" w:rsidRDefault="00AA20C9" w:rsidP="00790265">
      <w:pPr>
        <w:pStyle w:val="TableDescription"/>
      </w:pPr>
      <w:r w:rsidRPr="00790265">
        <w:t xml:space="preserve">Note 1: For induration, ecchymosis, and erythema, severe was defined as </w:t>
      </w:r>
      <w:r w:rsidR="00AB6E8C" w:rsidRPr="00790265">
        <w:t xml:space="preserve">over </w:t>
      </w:r>
      <w:r w:rsidRPr="00790265">
        <w:t xml:space="preserve">50 mm. For tenderness, severe was defined as </w:t>
      </w:r>
      <w:r w:rsidR="00AB6E8C" w:rsidRPr="00790265">
        <w:t>‘</w:t>
      </w:r>
      <w:r w:rsidRPr="00790265">
        <w:t>Cried when limb was moved</w:t>
      </w:r>
      <w:r w:rsidR="00C42915">
        <w:t xml:space="preserve"> or </w:t>
      </w:r>
      <w:r w:rsidRPr="00790265">
        <w:t>spontaneously painful</w:t>
      </w:r>
      <w:r w:rsidR="005366D5" w:rsidRPr="00790265">
        <w:t>’</w:t>
      </w:r>
      <w:r w:rsidRPr="00790265">
        <w:t xml:space="preserve"> in subjects </w:t>
      </w:r>
      <w:r w:rsidR="005366D5" w:rsidRPr="00790265">
        <w:t xml:space="preserve">under </w:t>
      </w:r>
      <w:r w:rsidRPr="00790265">
        <w:t>24 m</w:t>
      </w:r>
      <w:r w:rsidR="005366D5" w:rsidRPr="00790265">
        <w:t>on</w:t>
      </w:r>
      <w:r w:rsidRPr="00790265">
        <w:t xml:space="preserve">ths of age at time of first dose of vaccine and </w:t>
      </w:r>
      <w:r w:rsidR="005366D5" w:rsidRPr="00790265">
        <w:t>‘</w:t>
      </w:r>
      <w:r w:rsidRPr="00790265">
        <w:t>Prevents daily activity</w:t>
      </w:r>
      <w:r w:rsidR="005366D5" w:rsidRPr="00790265">
        <w:t>’</w:t>
      </w:r>
      <w:r w:rsidRPr="00790265">
        <w:t xml:space="preserve"> in subjects 24 m</w:t>
      </w:r>
      <w:r w:rsidR="005366D5" w:rsidRPr="00790265">
        <w:t>on</w:t>
      </w:r>
      <w:r w:rsidRPr="00790265">
        <w:t xml:space="preserve">ths of age </w:t>
      </w:r>
      <w:r w:rsidR="005366D5" w:rsidRPr="00790265">
        <w:t xml:space="preserve">and older </w:t>
      </w:r>
      <w:r w:rsidRPr="00790265">
        <w:t xml:space="preserve">at time of first dose of </w:t>
      </w:r>
      <w:r w:rsidR="005101D2" w:rsidRPr="00790265">
        <w:t>vaccine.</w:t>
      </w:r>
    </w:p>
    <w:p w14:paraId="765F0593" w14:textId="10D000A6" w:rsidR="004B4F1C" w:rsidRPr="00790265" w:rsidRDefault="00AA20C9" w:rsidP="00790265">
      <w:pPr>
        <w:pStyle w:val="TableDescription"/>
      </w:pPr>
      <w:r w:rsidRPr="00790265">
        <w:t xml:space="preserve">Note 2: Solicited AEs were reported from Day 1 through Day 7 after </w:t>
      </w:r>
      <w:r w:rsidR="005101D2" w:rsidRPr="00790265">
        <w:t>vaccination.</w:t>
      </w:r>
    </w:p>
    <w:p w14:paraId="4B4BEFA6" w14:textId="024A45F5" w:rsidR="00AB6E8C" w:rsidRPr="00790265" w:rsidRDefault="00AB6E8C" w:rsidP="00790265">
      <w:pPr>
        <w:pStyle w:val="TableDescription"/>
      </w:pPr>
      <w:r w:rsidRPr="00790265">
        <w:lastRenderedPageBreak/>
        <w:t>N</w:t>
      </w:r>
      <w:r w:rsidR="00AA20C9" w:rsidRPr="00790265">
        <w:t xml:space="preserve">ote 3: </w:t>
      </w:r>
      <w:r w:rsidR="000410DB">
        <w:t>‘</w:t>
      </w:r>
      <w:r w:rsidR="00AA20C9" w:rsidRPr="00790265">
        <w:t>n</w:t>
      </w:r>
      <w:r w:rsidR="000410DB">
        <w:t>’</w:t>
      </w:r>
      <w:r w:rsidR="00AA20C9" w:rsidRPr="00790265">
        <w:t xml:space="preserve"> shown for each specific event represents the sum of subjects reporting </w:t>
      </w:r>
      <w:r w:rsidR="00A63248" w:rsidRPr="00790265">
        <w:t>‘</w:t>
      </w:r>
      <w:r w:rsidR="00AA20C9" w:rsidRPr="00790265">
        <w:t>any</w:t>
      </w:r>
      <w:r w:rsidR="00A63248" w:rsidRPr="00790265">
        <w:t>’</w:t>
      </w:r>
      <w:r w:rsidR="00AA20C9" w:rsidRPr="00790265">
        <w:t xml:space="preserve"> or </w:t>
      </w:r>
      <w:r w:rsidR="00A63248" w:rsidRPr="00790265">
        <w:t>‘</w:t>
      </w:r>
      <w:r w:rsidR="00AA20C9" w:rsidRPr="00790265">
        <w:t>none</w:t>
      </w:r>
      <w:r w:rsidR="00A63248" w:rsidRPr="00790265">
        <w:t>’</w:t>
      </w:r>
      <w:r w:rsidR="00AA20C9" w:rsidRPr="00790265">
        <w:t xml:space="preserve"> for that </w:t>
      </w:r>
      <w:proofErr w:type="gramStart"/>
      <w:r w:rsidR="00AA20C9" w:rsidRPr="00790265">
        <w:t>particular solicited</w:t>
      </w:r>
      <w:proofErr w:type="gramEnd"/>
      <w:r w:rsidR="00AA20C9" w:rsidRPr="00790265">
        <w:t xml:space="preserve"> local AE. The individual solicited AE counts are based on the number of subjects in each vaccine group with at least </w:t>
      </w:r>
      <w:r w:rsidR="00471A86" w:rsidRPr="00790265">
        <w:t>one</w:t>
      </w:r>
      <w:r w:rsidR="00AA20C9" w:rsidRPr="00790265">
        <w:t xml:space="preserve"> occurrence of a solicited local AE</w:t>
      </w:r>
      <w:r w:rsidR="00471A86" w:rsidRPr="00790265">
        <w:t xml:space="preserve"> </w:t>
      </w:r>
      <w:r w:rsidR="00AA20C9" w:rsidRPr="00790265">
        <w:t>after any vaccination during the Day 1 through Day 7 assessment interval only</w:t>
      </w:r>
      <w:r w:rsidR="00174D8B">
        <w:t>.</w:t>
      </w:r>
    </w:p>
    <w:p w14:paraId="686AE585" w14:textId="1AA82C59" w:rsidR="00AA20C9" w:rsidRPr="00790265" w:rsidRDefault="00AA20C9" w:rsidP="00790265">
      <w:pPr>
        <w:pStyle w:val="TableDescription"/>
      </w:pPr>
      <w:r w:rsidRPr="00790265">
        <w:t xml:space="preserve">Note 4: Percentages are based on the number of subjects in each vaccine group in the </w:t>
      </w:r>
      <w:r w:rsidR="00E26F3E">
        <w:t>s</w:t>
      </w:r>
      <w:r w:rsidRPr="00790265">
        <w:t xml:space="preserve">olicited </w:t>
      </w:r>
      <w:r w:rsidR="00E26F3E">
        <w:t>s</w:t>
      </w:r>
      <w:r w:rsidRPr="00790265">
        <w:t xml:space="preserve">afety </w:t>
      </w:r>
      <w:r w:rsidR="00E26F3E">
        <w:t>s</w:t>
      </w:r>
      <w:r w:rsidRPr="00790265">
        <w:t>et.</w:t>
      </w:r>
    </w:p>
    <w:p w14:paraId="29D1CCC1" w14:textId="76C07F19" w:rsidR="00A576AC" w:rsidRPr="00860213" w:rsidRDefault="00A576AC" w:rsidP="00DC03AE">
      <w:pPr>
        <w:pStyle w:val="Heading7"/>
      </w:pPr>
      <w:r w:rsidRPr="00F0238C">
        <w:t xml:space="preserve">Solicited systemic </w:t>
      </w:r>
      <w:r w:rsidR="00660BF3">
        <w:t xml:space="preserve">adverse </w:t>
      </w:r>
      <w:proofErr w:type="gramStart"/>
      <w:r w:rsidR="00660BF3">
        <w:t>events</w:t>
      </w:r>
      <w:proofErr w:type="gramEnd"/>
    </w:p>
    <w:p w14:paraId="70A8D06B" w14:textId="65BE8E08" w:rsidR="00A576AC" w:rsidRPr="00F0238C" w:rsidRDefault="000410DB" w:rsidP="00A576AC">
      <w:r>
        <w:rPr>
          <w:rFonts w:eastAsia="TimesNewRoman" w:cs="TimesNewRoman"/>
          <w:lang w:val="en-GB"/>
        </w:rPr>
        <w:t>There were n</w:t>
      </w:r>
      <w:r w:rsidR="00A576AC" w:rsidRPr="00F0238C">
        <w:rPr>
          <w:rFonts w:eastAsia="TimesNewRoman" w:cs="TimesNewRoman"/>
          <w:lang w:val="en-GB"/>
        </w:rPr>
        <w:t>o notable differences in rates of solicited systemic AEs after each vaccination</w:t>
      </w:r>
      <w:r w:rsidR="00A576AC" w:rsidRPr="00F0238C">
        <w:rPr>
          <w:rFonts w:cs="TimesNewRoman,Bold"/>
          <w:lang w:val="en-GB"/>
        </w:rPr>
        <w:t xml:space="preserve"> </w:t>
      </w:r>
      <w:r w:rsidR="00A576AC" w:rsidRPr="00F0238C">
        <w:rPr>
          <w:rFonts w:eastAsia="TimesNewRoman" w:cs="TimesNewRoman"/>
          <w:lang w:val="en-GB"/>
        </w:rPr>
        <w:t xml:space="preserve">and after any vaccination between the </w:t>
      </w:r>
      <w:proofErr w:type="spellStart"/>
      <w:r w:rsidR="00A576AC" w:rsidRPr="00F0238C">
        <w:rPr>
          <w:rFonts w:eastAsia="TimesNewRoman" w:cs="TimesNewRoman"/>
          <w:lang w:val="en-GB"/>
        </w:rPr>
        <w:t>QIVc</w:t>
      </w:r>
      <w:proofErr w:type="spellEnd"/>
      <w:r w:rsidR="00A576AC" w:rsidRPr="00F0238C">
        <w:rPr>
          <w:rFonts w:eastAsia="TimesNewRoman" w:cs="TimesNewRoman"/>
          <w:lang w:val="en-GB"/>
        </w:rPr>
        <w:t xml:space="preserve"> and QIV </w:t>
      </w:r>
      <w:r w:rsidR="00A576AC" w:rsidRPr="00F5654C">
        <w:rPr>
          <w:rFonts w:eastAsia="TimesNewRoman" w:cs="TimesNewRoman"/>
          <w:lang w:val="en-GB"/>
        </w:rPr>
        <w:t>group</w:t>
      </w:r>
      <w:r w:rsidR="00A576AC" w:rsidRPr="00F0238C">
        <w:rPr>
          <w:rFonts w:eastAsia="TimesNewRoman" w:cs="TimesNewRoman"/>
          <w:lang w:val="en-GB"/>
        </w:rPr>
        <w:t>s</w:t>
      </w:r>
      <w:r>
        <w:rPr>
          <w:rFonts w:eastAsia="TimesNewRoman" w:cs="TimesNewRoman"/>
          <w:lang w:val="en-GB"/>
        </w:rPr>
        <w:t xml:space="preserve">, </w:t>
      </w:r>
      <w:r w:rsidR="005101D2" w:rsidRPr="00F0238C">
        <w:t>reported</w:t>
      </w:r>
      <w:r w:rsidR="00A576AC" w:rsidRPr="00F0238C">
        <w:t xml:space="preserve"> by 681</w:t>
      </w:r>
      <w:r w:rsidR="00243ECF">
        <w:t xml:space="preserve"> of </w:t>
      </w:r>
      <w:r w:rsidR="00A576AC" w:rsidRPr="00F0238C">
        <w:t>1</w:t>
      </w:r>
      <w:r>
        <w:t>,</w:t>
      </w:r>
      <w:r w:rsidR="00A576AC" w:rsidRPr="00F0238C">
        <w:t xml:space="preserve">564 subjects (43.5%) in the </w:t>
      </w:r>
      <w:proofErr w:type="spellStart"/>
      <w:r w:rsidR="00A576AC" w:rsidRPr="00F0238C">
        <w:t>QIVc</w:t>
      </w:r>
      <w:proofErr w:type="spellEnd"/>
      <w:r w:rsidR="00A576AC" w:rsidRPr="00F0238C">
        <w:t xml:space="preserve"> </w:t>
      </w:r>
      <w:r w:rsidR="00A576AC" w:rsidRPr="00F5654C">
        <w:t>group</w:t>
      </w:r>
      <w:r w:rsidR="00A576AC" w:rsidRPr="00F0238C">
        <w:t xml:space="preserve"> and 358</w:t>
      </w:r>
      <w:r w:rsidR="00243ECF">
        <w:t xml:space="preserve"> of </w:t>
      </w:r>
      <w:r w:rsidR="00A576AC" w:rsidRPr="00F0238C">
        <w:t xml:space="preserve">784 subjects (45.7%) in the QIV </w:t>
      </w:r>
      <w:r w:rsidR="00A576AC" w:rsidRPr="00F5654C">
        <w:t>group</w:t>
      </w:r>
      <w:r w:rsidR="00A576AC" w:rsidRPr="00F0238C">
        <w:t>.</w:t>
      </w:r>
    </w:p>
    <w:p w14:paraId="17507D94" w14:textId="4DFEDC52" w:rsidR="00A576AC" w:rsidRPr="00F5654C" w:rsidRDefault="00A576AC" w:rsidP="00A576AC">
      <w:pPr>
        <w:rPr>
          <w:rFonts w:eastAsia="TimesNewRoman" w:cs="TimesNewRoman"/>
          <w:lang w:val="en-GB"/>
        </w:rPr>
      </w:pPr>
      <w:r w:rsidRPr="00F0238C">
        <w:rPr>
          <w:rFonts w:eastAsia="TimesNewRoman" w:cs="TimesNewRoman"/>
          <w:lang w:val="en-GB"/>
        </w:rPr>
        <w:t xml:space="preserve">The most frequently reported solicited systemic AEs occurring from Day 1 through Day 7 after any vaccination reported in both the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F5654C">
        <w:rPr>
          <w:rFonts w:eastAsia="TimesNewRoman" w:cs="TimesNewRoman"/>
          <w:lang w:val="en-GB"/>
        </w:rPr>
        <w:t>group</w:t>
      </w:r>
      <w:r w:rsidRPr="00F0238C">
        <w:rPr>
          <w:rFonts w:eastAsia="TimesNewRoman" w:cs="TimesNewRoman"/>
          <w:lang w:val="en-GB"/>
        </w:rPr>
        <w:t>s were irritability</w:t>
      </w:r>
      <w:r w:rsidRPr="00F0238C">
        <w:rPr>
          <w:rFonts w:cs="TimesNewRoman,Bold"/>
          <w:lang w:val="en-GB"/>
        </w:rPr>
        <w:t xml:space="preserve"> </w:t>
      </w:r>
      <w:r w:rsidRPr="00F0238C">
        <w:rPr>
          <w:rFonts w:eastAsia="TimesNewRoman" w:cs="TimesNewRoman"/>
          <w:lang w:val="en-GB"/>
        </w:rPr>
        <w:t xml:space="preserve">(27.9% and 29.6%, respectively) and sleepiness (26.9% and 25.5%, respectively). The majority of solicited systemic AEs after any vaccination in both vaccine </w:t>
      </w:r>
      <w:r w:rsidRPr="00F5654C">
        <w:rPr>
          <w:rFonts w:eastAsia="TimesNewRoman" w:cs="TimesNewRoman"/>
          <w:lang w:val="en-GB"/>
        </w:rPr>
        <w:t>group</w:t>
      </w:r>
      <w:r w:rsidRPr="00F0238C">
        <w:rPr>
          <w:rFonts w:eastAsia="TimesNewRoman" w:cs="TimesNewRoman"/>
          <w:lang w:val="en-GB"/>
        </w:rPr>
        <w:t xml:space="preserve">s were mild </w:t>
      </w:r>
      <w:proofErr w:type="gramStart"/>
      <w:r w:rsidRPr="00F0238C">
        <w:rPr>
          <w:rFonts w:eastAsia="TimesNewRoman" w:cs="TimesNewRoman"/>
          <w:lang w:val="en-GB"/>
        </w:rPr>
        <w:t>or</w:t>
      </w:r>
      <w:proofErr w:type="gramEnd"/>
      <w:r w:rsidRPr="00F0238C">
        <w:rPr>
          <w:rFonts w:eastAsia="TimesNewRoman" w:cs="TimesNewRoman"/>
          <w:lang w:val="en-GB"/>
        </w:rPr>
        <w:t xml:space="preserve"> moderate in severity. The percentage reporting severe solicited systemic AEs was </w:t>
      </w:r>
      <w:r w:rsidR="000410DB">
        <w:rPr>
          <w:rFonts w:eastAsia="TimesNewRoman" w:cs="TimesNewRoman"/>
          <w:lang w:val="en-GB"/>
        </w:rPr>
        <w:t xml:space="preserve">less than </w:t>
      </w:r>
      <w:r w:rsidRPr="00F0238C">
        <w:rPr>
          <w:rFonts w:eastAsia="TimesNewRoman" w:cs="TimesNewRoman"/>
          <w:lang w:val="en-GB"/>
        </w:rPr>
        <w:t xml:space="preserve">2.0% in both vaccine </w:t>
      </w:r>
      <w:r w:rsidRPr="00F5654C">
        <w:rPr>
          <w:rFonts w:eastAsia="TimesNewRoman" w:cs="TimesNewRoman"/>
          <w:lang w:val="en-GB"/>
        </w:rPr>
        <w:t>group</w:t>
      </w:r>
      <w:r w:rsidRPr="00F0238C">
        <w:rPr>
          <w:rFonts w:eastAsia="TimesNewRoman" w:cs="TimesNewRoman"/>
          <w:lang w:val="en-GB"/>
        </w:rPr>
        <w:t xml:space="preserve">s, apart from severe sleepiness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w:t>
      </w:r>
      <w:r w:rsidRPr="00F5654C">
        <w:rPr>
          <w:rFonts w:eastAsia="TimesNewRoman" w:cs="TimesNewRoman"/>
          <w:lang w:val="en-GB"/>
        </w:rPr>
        <w:t>group</w:t>
      </w:r>
      <w:r w:rsidRPr="00F0238C">
        <w:rPr>
          <w:rFonts w:eastAsia="TimesNewRoman" w:cs="TimesNewRoman"/>
          <w:lang w:val="en-GB"/>
        </w:rPr>
        <w:t xml:space="preserve"> (2.1%) and severe irritability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(3.1%) and QIV (2.7%) </w:t>
      </w:r>
      <w:r w:rsidRPr="00F5654C">
        <w:rPr>
          <w:rFonts w:eastAsia="TimesNewRoman" w:cs="TimesNewRoman"/>
          <w:lang w:val="en-GB"/>
        </w:rPr>
        <w:t>group</w:t>
      </w:r>
      <w:r w:rsidRPr="00F0238C">
        <w:rPr>
          <w:rFonts w:eastAsia="TimesNewRoman" w:cs="TimesNewRoman"/>
          <w:lang w:val="en-GB"/>
        </w:rPr>
        <w:t>s.</w:t>
      </w:r>
      <w:r w:rsidRPr="00F0238C">
        <w:t xml:space="preserve"> </w:t>
      </w:r>
      <w:r w:rsidRPr="00F0238C">
        <w:rPr>
          <w:rFonts w:eastAsia="TimesNewRoman" w:cs="TimesNewRoman"/>
          <w:lang w:val="en-GB"/>
        </w:rPr>
        <w:t xml:space="preserve">The mean time of onset of the individual solicited systemic AEs after any vaccination ranged from 1.6 to 3.1 days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w:t>
      </w:r>
      <w:r w:rsidRPr="00F5654C">
        <w:rPr>
          <w:rFonts w:eastAsia="TimesNewRoman" w:cs="TimesNewRoman"/>
          <w:lang w:val="en-GB"/>
        </w:rPr>
        <w:t>group</w:t>
      </w:r>
      <w:r w:rsidRPr="00F0238C">
        <w:rPr>
          <w:rFonts w:eastAsia="TimesNewRoman" w:cs="TimesNewRoman"/>
          <w:lang w:val="en-GB"/>
        </w:rPr>
        <w:t xml:space="preserve"> and from 1.5 to 3.1 days in the QIV </w:t>
      </w:r>
      <w:r w:rsidRPr="00F5654C">
        <w:rPr>
          <w:rFonts w:eastAsia="TimesNewRoman" w:cs="TimesNewRoman"/>
          <w:lang w:val="en-GB"/>
        </w:rPr>
        <w:t>group</w:t>
      </w:r>
      <w:r w:rsidRPr="00F0238C">
        <w:rPr>
          <w:rFonts w:eastAsia="TimesNewRoman" w:cs="TimesNewRoman"/>
          <w:lang w:val="en-GB"/>
        </w:rPr>
        <w:t xml:space="preserve">. Proportions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F5654C">
        <w:rPr>
          <w:rFonts w:eastAsia="TimesNewRoman" w:cs="TimesNewRoman"/>
          <w:lang w:val="en-GB"/>
        </w:rPr>
        <w:t>group</w:t>
      </w:r>
      <w:r w:rsidRPr="00F0238C">
        <w:rPr>
          <w:rFonts w:eastAsia="TimesNewRoman" w:cs="TimesNewRoman"/>
          <w:lang w:val="en-GB"/>
        </w:rPr>
        <w:t xml:space="preserve">s reporting solicited systemic AEs progressively decreased over the </w:t>
      </w:r>
      <w:proofErr w:type="gramStart"/>
      <w:r w:rsidRPr="00F0238C">
        <w:rPr>
          <w:rFonts w:eastAsia="TimesNewRoman" w:cs="TimesNewRoman"/>
          <w:lang w:val="en-GB"/>
        </w:rPr>
        <w:t>7</w:t>
      </w:r>
      <w:r w:rsidR="004F4937">
        <w:rPr>
          <w:rFonts w:eastAsia="TimesNewRoman" w:cs="TimesNewRoman"/>
          <w:lang w:val="en-GB"/>
        </w:rPr>
        <w:t> </w:t>
      </w:r>
      <w:r w:rsidRPr="00F0238C">
        <w:rPr>
          <w:rFonts w:eastAsia="TimesNewRoman" w:cs="TimesNewRoman"/>
          <w:lang w:val="en-GB"/>
        </w:rPr>
        <w:t>day</w:t>
      </w:r>
      <w:proofErr w:type="gramEnd"/>
      <w:r w:rsidRPr="00F0238C">
        <w:rPr>
          <w:rFonts w:eastAsia="TimesNewRoman" w:cs="TimesNewRoman"/>
          <w:lang w:val="en-GB"/>
        </w:rPr>
        <w:t xml:space="preserve"> period following any vaccination. Proportions </w:t>
      </w:r>
      <w:r w:rsidR="00A141EA">
        <w:rPr>
          <w:rFonts w:eastAsia="TimesNewRoman" w:cs="TimesNewRoman"/>
          <w:lang w:val="en-GB"/>
        </w:rPr>
        <w:t xml:space="preserve">of subjects </w:t>
      </w:r>
      <w:r w:rsidRPr="00F0238C">
        <w:rPr>
          <w:rFonts w:eastAsia="TimesNewRoman" w:cs="TimesNewRoman"/>
          <w:lang w:val="en-GB"/>
        </w:rPr>
        <w:t xml:space="preserve">with individual solicited systemic AEs persisting beyond 7 days after any vaccination were low in both </w:t>
      </w:r>
      <w:proofErr w:type="spellStart"/>
      <w:r w:rsidRPr="00F0238C">
        <w:rPr>
          <w:rFonts w:eastAsia="TimesNewRoman" w:cs="TimesNewRoman"/>
          <w:lang w:val="en-GB"/>
        </w:rPr>
        <w:t>QIVc</w:t>
      </w:r>
      <w:proofErr w:type="spellEnd"/>
      <w:r w:rsidRPr="00F0238C">
        <w:rPr>
          <w:rFonts w:eastAsia="TimesNewRoman" w:cs="TimesNewRoman"/>
          <w:lang w:val="en-GB"/>
        </w:rPr>
        <w:t xml:space="preserve"> (0.3</w:t>
      </w:r>
      <w:r w:rsidR="00174D8B">
        <w:rPr>
          <w:rFonts w:eastAsia="TimesNewRoman" w:cs="TimesNewRoman"/>
          <w:lang w:val="en-GB"/>
        </w:rPr>
        <w:t xml:space="preserve">% to </w:t>
      </w:r>
      <w:r w:rsidRPr="00F0238C">
        <w:rPr>
          <w:rFonts w:eastAsia="TimesNewRoman" w:cs="TimesNewRoman"/>
          <w:lang w:val="en-GB"/>
        </w:rPr>
        <w:t>2.3%) and QIV (0.1</w:t>
      </w:r>
      <w:r w:rsidR="00174D8B">
        <w:rPr>
          <w:rFonts w:eastAsia="TimesNewRoman" w:cs="TimesNewRoman"/>
          <w:lang w:val="en-GB"/>
        </w:rPr>
        <w:t xml:space="preserve">% to </w:t>
      </w:r>
      <w:r w:rsidRPr="00F0238C">
        <w:rPr>
          <w:rFonts w:eastAsia="TimesNewRoman" w:cs="TimesNewRoman"/>
          <w:lang w:val="en-GB"/>
        </w:rPr>
        <w:t xml:space="preserve">1.5%) </w:t>
      </w:r>
      <w:r w:rsidRPr="00F5654C">
        <w:rPr>
          <w:rFonts w:eastAsia="TimesNewRoman" w:cs="TimesNewRoman"/>
          <w:lang w:val="en-GB"/>
        </w:rPr>
        <w:t>groups.</w:t>
      </w:r>
    </w:p>
    <w:p w14:paraId="05EE4F0A" w14:textId="680BA0CE" w:rsidR="00A576AC" w:rsidRDefault="00A576AC" w:rsidP="00A576AC">
      <w:pPr>
        <w:rPr>
          <w:rFonts w:eastAsia="TimesNewRoman" w:cs="TimesNewRoman"/>
          <w:lang w:val="en-GB"/>
        </w:rPr>
      </w:pPr>
      <w:r w:rsidRPr="00F0238C">
        <w:rPr>
          <w:rFonts w:eastAsia="TimesNewRoman" w:cs="TimesNewRoman"/>
          <w:lang w:val="en-GB"/>
        </w:rPr>
        <w:t>Fever (38.0°C</w:t>
      </w:r>
      <w:r w:rsidR="000410DB">
        <w:rPr>
          <w:rFonts w:eastAsia="TimesNewRoman" w:cs="TimesNewRoman"/>
          <w:lang w:val="en-GB"/>
        </w:rPr>
        <w:t xml:space="preserve"> and higher</w:t>
      </w:r>
      <w:r w:rsidRPr="00F0238C">
        <w:rPr>
          <w:rFonts w:eastAsia="TimesNewRoman" w:cs="TimesNewRoman"/>
          <w:lang w:val="en-GB"/>
        </w:rPr>
        <w:t xml:space="preserve">) was reported after any vaccination by 6.8% and 6.9% of subjects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F5654C">
        <w:rPr>
          <w:rFonts w:eastAsia="TimesNewRoman" w:cs="TimesNewRoman"/>
          <w:lang w:val="en-GB"/>
        </w:rPr>
        <w:t>group</w:t>
      </w:r>
      <w:r w:rsidRPr="00F0238C">
        <w:rPr>
          <w:rFonts w:eastAsia="TimesNewRoman" w:cs="TimesNewRoman"/>
          <w:lang w:val="en-GB"/>
        </w:rPr>
        <w:t>s, respectively. Fever (40.0°C</w:t>
      </w:r>
      <w:r w:rsidR="000410DB">
        <w:rPr>
          <w:rFonts w:eastAsia="TimesNewRoman" w:cs="TimesNewRoman"/>
          <w:lang w:val="en-GB"/>
        </w:rPr>
        <w:t xml:space="preserve"> and higher</w:t>
      </w:r>
      <w:r w:rsidRPr="00F0238C">
        <w:rPr>
          <w:rFonts w:eastAsia="TimesNewRoman" w:cs="TimesNewRoman"/>
          <w:lang w:val="en-GB"/>
        </w:rPr>
        <w:t xml:space="preserve">) was reported by 0.6% and 0.1% of subjects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F5654C">
        <w:rPr>
          <w:rFonts w:eastAsia="TimesNewRoman" w:cs="TimesNewRoman"/>
          <w:lang w:val="en-GB"/>
        </w:rPr>
        <w:t>group</w:t>
      </w:r>
      <w:r w:rsidRPr="00F0238C">
        <w:rPr>
          <w:rFonts w:eastAsia="TimesNewRoman" w:cs="TimesNewRoman"/>
          <w:lang w:val="en-GB"/>
        </w:rPr>
        <w:t xml:space="preserve">s, respectively. Proportions </w:t>
      </w:r>
      <w:r w:rsidRPr="00F5654C">
        <w:rPr>
          <w:rFonts w:eastAsia="TimesNewRoman" w:cs="TimesNewRoman"/>
          <w:lang w:val="en-GB"/>
        </w:rPr>
        <w:t xml:space="preserve">of subjects </w:t>
      </w:r>
      <w:r w:rsidRPr="00F0238C">
        <w:rPr>
          <w:rFonts w:eastAsia="TimesNewRoman" w:cs="TimesNewRoman"/>
          <w:lang w:val="en-GB"/>
        </w:rPr>
        <w:t xml:space="preserve">experiencing fever </w:t>
      </w:r>
      <w:r w:rsidR="000410DB">
        <w:rPr>
          <w:rFonts w:eastAsia="TimesNewRoman" w:cs="TimesNewRoman"/>
          <w:lang w:val="en-GB"/>
        </w:rPr>
        <w:t xml:space="preserve">of at least </w:t>
      </w:r>
      <w:r w:rsidRPr="00F0238C">
        <w:rPr>
          <w:rFonts w:eastAsia="TimesNewRoman" w:cs="TimesNewRoman"/>
          <w:lang w:val="en-GB"/>
        </w:rPr>
        <w:t>38.0°</w:t>
      </w:r>
      <w:r w:rsidRPr="00F5654C">
        <w:rPr>
          <w:rFonts w:eastAsia="TimesNewRoman" w:cs="TimesNewRoman"/>
          <w:lang w:val="en-GB"/>
        </w:rPr>
        <w:t xml:space="preserve">C was </w:t>
      </w:r>
      <w:r w:rsidRPr="00F0238C">
        <w:rPr>
          <w:rFonts w:eastAsia="TimesNewRoman" w:cs="TimesNewRoman"/>
          <w:lang w:val="en-GB"/>
        </w:rPr>
        <w:t xml:space="preserve">similar between the vaccine </w:t>
      </w:r>
      <w:r w:rsidRPr="00F5654C">
        <w:rPr>
          <w:rFonts w:eastAsia="TimesNewRoman" w:cs="TimesNewRoman"/>
          <w:lang w:val="en-GB"/>
        </w:rPr>
        <w:t>group</w:t>
      </w:r>
      <w:r w:rsidRPr="00F0238C">
        <w:rPr>
          <w:rFonts w:eastAsia="TimesNewRoman" w:cs="TimesNewRoman"/>
          <w:lang w:val="en-GB"/>
        </w:rPr>
        <w:t xml:space="preserve">s. In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F5654C">
        <w:rPr>
          <w:rFonts w:eastAsia="TimesNewRoman" w:cs="TimesNewRoman"/>
          <w:lang w:val="en-GB"/>
        </w:rPr>
        <w:t>group</w:t>
      </w:r>
      <w:r w:rsidRPr="00F0238C">
        <w:rPr>
          <w:rFonts w:eastAsia="TimesNewRoman" w:cs="TimesNewRoman"/>
          <w:lang w:val="en-GB"/>
        </w:rPr>
        <w:t>s, 4.6% and 5.1%, respectively reported a fever between 38.0</w:t>
      </w:r>
      <w:r w:rsidR="00C3496A" w:rsidRPr="00F0238C">
        <w:rPr>
          <w:rFonts w:eastAsia="TimesNewRoman" w:cs="TimesNewRoman"/>
          <w:lang w:val="en-GB"/>
        </w:rPr>
        <w:t>°C</w:t>
      </w:r>
      <w:r w:rsidR="00C3496A">
        <w:rPr>
          <w:rFonts w:eastAsia="TimesNewRoman" w:cs="TimesNewRoman"/>
          <w:lang w:val="en-GB"/>
        </w:rPr>
        <w:t xml:space="preserve"> and </w:t>
      </w:r>
      <w:r w:rsidRPr="00F0238C">
        <w:rPr>
          <w:rFonts w:eastAsia="TimesNewRoman" w:cs="TimesNewRoman"/>
          <w:lang w:val="en-GB"/>
        </w:rPr>
        <w:t>38.9°C</w:t>
      </w:r>
      <w:r w:rsidR="00C3496A">
        <w:rPr>
          <w:rFonts w:eastAsia="TimesNewRoman" w:cs="TimesNewRoman"/>
          <w:lang w:val="en-GB"/>
        </w:rPr>
        <w:t xml:space="preserve">; </w:t>
      </w:r>
      <w:r w:rsidRPr="00F0238C">
        <w:rPr>
          <w:rFonts w:eastAsia="TimesNewRoman" w:cs="TimesNewRoman"/>
          <w:lang w:val="en-GB"/>
        </w:rPr>
        <w:t xml:space="preserve">fever </w:t>
      </w:r>
      <w:r w:rsidRPr="00F5654C">
        <w:rPr>
          <w:rFonts w:eastAsia="TimesNewRoman" w:cs="TimesNewRoman"/>
          <w:lang w:val="en-GB"/>
        </w:rPr>
        <w:t xml:space="preserve">of </w:t>
      </w:r>
      <w:r w:rsidRPr="00F0238C">
        <w:rPr>
          <w:rFonts w:eastAsia="TimesNewRoman" w:cs="TimesNewRoman"/>
          <w:lang w:val="en-GB"/>
        </w:rPr>
        <w:t>39.0</w:t>
      </w:r>
      <w:r w:rsidR="00C3496A" w:rsidRPr="00F0238C">
        <w:rPr>
          <w:rFonts w:eastAsia="TimesNewRoman" w:cs="TimesNewRoman"/>
          <w:lang w:val="en-GB"/>
        </w:rPr>
        <w:t xml:space="preserve">°C </w:t>
      </w:r>
      <w:r w:rsidR="00C3496A">
        <w:rPr>
          <w:rFonts w:eastAsia="TimesNewRoman" w:cs="TimesNewRoman"/>
          <w:lang w:val="en-GB"/>
        </w:rPr>
        <w:t xml:space="preserve">to </w:t>
      </w:r>
      <w:r w:rsidRPr="00F0238C">
        <w:rPr>
          <w:rFonts w:eastAsia="TimesNewRoman" w:cs="TimesNewRoman"/>
          <w:lang w:val="en-GB"/>
        </w:rPr>
        <w:t>39.4°C</w:t>
      </w:r>
      <w:r w:rsidRPr="00F5654C">
        <w:rPr>
          <w:rFonts w:eastAsia="TimesNewRoman" w:cs="TimesNewRoman"/>
          <w:lang w:val="en-GB"/>
        </w:rPr>
        <w:t xml:space="preserve"> was reported in </w:t>
      </w:r>
      <w:r w:rsidR="004D1301">
        <w:rPr>
          <w:rFonts w:eastAsia="TimesNewRoman" w:cs="TimesNewRoman"/>
          <w:lang w:val="en-GB"/>
        </w:rPr>
        <w:t>1.</w:t>
      </w:r>
      <w:r w:rsidRPr="00F0238C">
        <w:rPr>
          <w:rFonts w:eastAsia="TimesNewRoman" w:cs="TimesNewRoman"/>
          <w:lang w:val="en-GB"/>
        </w:rPr>
        <w:t>2% and 1.3 %,</w:t>
      </w:r>
      <w:r w:rsidR="000526FB">
        <w:rPr>
          <w:rFonts w:eastAsia="TimesNewRoman" w:cs="TimesNewRoman"/>
          <w:lang w:val="en-GB"/>
        </w:rPr>
        <w:t xml:space="preserve"> </w:t>
      </w:r>
      <w:r w:rsidRPr="00F5654C">
        <w:rPr>
          <w:rFonts w:eastAsia="TimesNewRoman" w:cs="TimesNewRoman"/>
          <w:lang w:val="en-GB"/>
        </w:rPr>
        <w:t xml:space="preserve">in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F5654C">
        <w:rPr>
          <w:rFonts w:eastAsia="TimesNewRoman" w:cs="TimesNewRoman"/>
          <w:lang w:val="en-GB"/>
        </w:rPr>
        <w:t>group</w:t>
      </w:r>
      <w:r w:rsidRPr="00F0238C">
        <w:rPr>
          <w:rFonts w:eastAsia="TimesNewRoman" w:cs="TimesNewRoman"/>
          <w:lang w:val="en-GB"/>
        </w:rPr>
        <w:t>s</w:t>
      </w:r>
      <w:r w:rsidR="005101D2">
        <w:rPr>
          <w:rFonts w:eastAsia="TimesNewRoman" w:cs="TimesNewRoman"/>
          <w:lang w:val="en-GB"/>
        </w:rPr>
        <w:t>,</w:t>
      </w:r>
      <w:r w:rsidRPr="00F0238C">
        <w:rPr>
          <w:rFonts w:eastAsia="TimesNewRoman" w:cs="TimesNewRoman"/>
          <w:lang w:val="en-GB"/>
        </w:rPr>
        <w:t xml:space="preserve"> respectively. Reports of fever 39.5</w:t>
      </w:r>
      <w:r w:rsidR="00C3496A" w:rsidRPr="00F0238C">
        <w:rPr>
          <w:rFonts w:eastAsia="TimesNewRoman" w:cs="TimesNewRoman"/>
          <w:lang w:val="en-GB"/>
        </w:rPr>
        <w:t xml:space="preserve">°C </w:t>
      </w:r>
      <w:r w:rsidR="00C3496A">
        <w:rPr>
          <w:rFonts w:eastAsia="TimesNewRoman" w:cs="TimesNewRoman"/>
          <w:lang w:val="en-GB"/>
        </w:rPr>
        <w:t xml:space="preserve">to </w:t>
      </w:r>
      <w:r w:rsidRPr="00F0238C">
        <w:rPr>
          <w:rFonts w:eastAsia="TimesNewRoman" w:cs="TimesNewRoman"/>
          <w:lang w:val="en-GB"/>
        </w:rPr>
        <w:t xml:space="preserve">39.9°C and fever 40°C </w:t>
      </w:r>
      <w:r w:rsidR="00C3496A">
        <w:rPr>
          <w:rFonts w:eastAsia="TimesNewRoman" w:cs="TimesNewRoman"/>
          <w:lang w:val="en-GB"/>
        </w:rPr>
        <w:t xml:space="preserve">and higher </w:t>
      </w:r>
      <w:r w:rsidRPr="00F0238C">
        <w:rPr>
          <w:rFonts w:eastAsia="TimesNewRoman" w:cs="TimesNewRoman"/>
          <w:lang w:val="en-GB"/>
        </w:rPr>
        <w:t xml:space="preserve">were low and similar in </w:t>
      </w:r>
      <w:proofErr w:type="spellStart"/>
      <w:r w:rsidRPr="00F0238C">
        <w:rPr>
          <w:rFonts w:eastAsia="TimesNewRoman" w:cs="TimesNewRoman"/>
          <w:lang w:val="en-GB"/>
        </w:rPr>
        <w:t>QIVc</w:t>
      </w:r>
      <w:proofErr w:type="spellEnd"/>
      <w:r w:rsidRPr="00F0238C">
        <w:rPr>
          <w:rFonts w:eastAsia="TimesNewRoman" w:cs="TimesNewRoman"/>
          <w:lang w:val="en-GB"/>
        </w:rPr>
        <w:t xml:space="preserve"> (0.5% and 0.6%</w:t>
      </w:r>
      <w:r w:rsidRPr="00F5654C">
        <w:rPr>
          <w:rFonts w:eastAsia="TimesNewRoman" w:cs="TimesNewRoman"/>
          <w:lang w:val="en-GB"/>
        </w:rPr>
        <w:t xml:space="preserve">) </w:t>
      </w:r>
      <w:r w:rsidRPr="00F0238C">
        <w:rPr>
          <w:rFonts w:eastAsia="TimesNewRoman" w:cs="TimesNewRoman"/>
          <w:lang w:val="en-GB"/>
        </w:rPr>
        <w:t xml:space="preserve">and QIV (0.4% and 0.1%) </w:t>
      </w:r>
      <w:r w:rsidRPr="00F5654C">
        <w:rPr>
          <w:rFonts w:eastAsia="TimesNewRoman" w:cs="TimesNewRoman"/>
          <w:lang w:val="en-GB"/>
        </w:rPr>
        <w:t>group</w:t>
      </w:r>
      <w:r w:rsidRPr="00F0238C">
        <w:rPr>
          <w:rFonts w:eastAsia="TimesNewRoman" w:cs="TimesNewRoman"/>
          <w:lang w:val="en-GB"/>
        </w:rPr>
        <w:t>s. The use of analgesics</w:t>
      </w:r>
      <w:r w:rsidR="00C42915">
        <w:rPr>
          <w:rFonts w:eastAsia="TimesNewRoman" w:cs="TimesNewRoman"/>
          <w:lang w:val="en-GB"/>
        </w:rPr>
        <w:t xml:space="preserve"> or </w:t>
      </w:r>
      <w:r w:rsidRPr="00F0238C">
        <w:rPr>
          <w:rFonts w:eastAsia="TimesNewRoman" w:cs="TimesNewRoman"/>
          <w:lang w:val="en-GB"/>
        </w:rPr>
        <w:t>antipyretics from Day 1</w:t>
      </w:r>
      <w:r w:rsidR="00174D8B">
        <w:rPr>
          <w:rFonts w:eastAsia="TimesNewRoman" w:cs="TimesNewRoman"/>
          <w:lang w:val="en-GB"/>
        </w:rPr>
        <w:t xml:space="preserve"> to </w:t>
      </w:r>
      <w:r w:rsidRPr="00F0238C">
        <w:rPr>
          <w:rFonts w:eastAsia="TimesNewRoman" w:cs="TimesNewRoman"/>
          <w:lang w:val="en-GB"/>
        </w:rPr>
        <w:t xml:space="preserve">Day 7 after any vaccination for prevention and treatment of pain and/or fever were similar in </w:t>
      </w:r>
      <w:r w:rsidRPr="00F5654C">
        <w:rPr>
          <w:rFonts w:eastAsia="TimesNewRoman" w:cs="TimesNewRoman"/>
          <w:lang w:val="en-GB"/>
        </w:rPr>
        <w:t>both</w:t>
      </w:r>
      <w:r w:rsidRPr="00F0238C">
        <w:rPr>
          <w:rFonts w:eastAsia="TimesNewRoman" w:cs="TimesNewRoman"/>
          <w:lang w:val="en-GB"/>
        </w:rPr>
        <w:t xml:space="preserve"> </w:t>
      </w:r>
      <w:r w:rsidRPr="00F5654C">
        <w:rPr>
          <w:rFonts w:eastAsia="TimesNewRoman" w:cs="TimesNewRoman"/>
          <w:lang w:val="en-GB"/>
        </w:rPr>
        <w:t>group</w:t>
      </w:r>
      <w:r w:rsidRPr="00F0238C">
        <w:rPr>
          <w:rFonts w:eastAsia="TimesNewRoman" w:cs="TimesNewRoman"/>
          <w:lang w:val="en-GB"/>
        </w:rPr>
        <w:t>s.</w:t>
      </w:r>
    </w:p>
    <w:p w14:paraId="1699168F" w14:textId="35A50DE1" w:rsidR="00A576AC" w:rsidRDefault="00A576AC" w:rsidP="00DC03AE">
      <w:pPr>
        <w:pStyle w:val="Heading6"/>
        <w:rPr>
          <w:lang w:val="en-GB"/>
        </w:rPr>
      </w:pPr>
      <w:r w:rsidRPr="00F0238C">
        <w:rPr>
          <w:lang w:val="en-GB"/>
        </w:rPr>
        <w:t xml:space="preserve">Unsolicited </w:t>
      </w:r>
      <w:r w:rsidR="00660BF3">
        <w:rPr>
          <w:lang w:val="en-GB"/>
        </w:rPr>
        <w:t>adverse events</w:t>
      </w:r>
    </w:p>
    <w:p w14:paraId="0A032BCB" w14:textId="7F95257A" w:rsidR="00A576AC" w:rsidRPr="00F0238C" w:rsidRDefault="00A576AC" w:rsidP="00A576AC">
      <w:pPr>
        <w:rPr>
          <w:rFonts w:eastAsia="Calibri"/>
          <w:sz w:val="24"/>
          <w:szCs w:val="24"/>
        </w:rPr>
      </w:pPr>
      <w:r w:rsidRPr="005D771B">
        <w:rPr>
          <w:rFonts w:eastAsia="TimesNewRoman" w:cs="TimesNewRoman"/>
        </w:rPr>
        <w:t xml:space="preserve">Similar </w:t>
      </w:r>
      <w:r w:rsidRPr="009A36E1">
        <w:rPr>
          <w:rFonts w:eastAsia="TimesNewRoman" w:cs="TimesNewRoman"/>
        </w:rPr>
        <w:t xml:space="preserve">proportions of subjects in the </w:t>
      </w:r>
      <w:proofErr w:type="spellStart"/>
      <w:r w:rsidRPr="009A36E1">
        <w:rPr>
          <w:rFonts w:eastAsia="TimesNewRoman" w:cs="TimesNewRoman"/>
        </w:rPr>
        <w:t>QIVc</w:t>
      </w:r>
      <w:proofErr w:type="spellEnd"/>
      <w:r w:rsidRPr="009A36E1">
        <w:rPr>
          <w:rFonts w:eastAsia="TimesNewRoman" w:cs="TimesNewRoman"/>
        </w:rPr>
        <w:t xml:space="preserve"> and QIV groups reported unsolicited AEs</w:t>
      </w:r>
      <w:r w:rsidR="007E05BD">
        <w:rPr>
          <w:rFonts w:eastAsia="TimesNewRoman" w:cs="TimesNewRoman"/>
        </w:rPr>
        <w:t>:</w:t>
      </w:r>
      <w:r w:rsidRPr="005D771B">
        <w:rPr>
          <w:rFonts w:eastAsia="TimesNewRoman" w:cs="TimesNewRoman"/>
        </w:rPr>
        <w:t xml:space="preserve"> </w:t>
      </w:r>
      <w:r w:rsidRPr="00F0238C">
        <w:rPr>
          <w:rFonts w:eastAsia="TimesNewRoman" w:cs="TimesNewRoman"/>
          <w:lang w:val="en-GB"/>
        </w:rPr>
        <w:t xml:space="preserve">26.2% </w:t>
      </w:r>
      <w:r w:rsidR="007E05BD">
        <w:rPr>
          <w:rFonts w:eastAsia="TimesNewRoman" w:cs="TimesNewRoman"/>
          <w:lang w:val="en-GB"/>
        </w:rPr>
        <w:t>(</w:t>
      </w:r>
      <w:r w:rsidRPr="00F0238C">
        <w:rPr>
          <w:rFonts w:eastAsia="TimesNewRoman" w:cs="TimesNewRoman"/>
          <w:lang w:val="en-GB"/>
        </w:rPr>
        <w:t>418 of 1</w:t>
      </w:r>
      <w:r w:rsidR="00C3496A">
        <w:rPr>
          <w:rFonts w:eastAsia="TimesNewRoman" w:cs="TimesNewRoman"/>
          <w:lang w:val="en-GB"/>
        </w:rPr>
        <w:t>,</w:t>
      </w:r>
      <w:r w:rsidRPr="00F0238C">
        <w:rPr>
          <w:rFonts w:eastAsia="TimesNewRoman" w:cs="TimesNewRoman"/>
          <w:lang w:val="en-GB"/>
        </w:rPr>
        <w:t>597 subjects</w:t>
      </w:r>
      <w:r w:rsidR="007E05BD">
        <w:rPr>
          <w:rFonts w:eastAsia="TimesNewRoman" w:cs="TimesNewRoman"/>
          <w:lang w:val="en-GB"/>
        </w:rPr>
        <w:t>)</w:t>
      </w:r>
      <w:r w:rsidRPr="005D771B">
        <w:rPr>
          <w:rFonts w:eastAsia="TimesNewRoman" w:cs="TimesNewRoman"/>
          <w:lang w:val="en-GB"/>
        </w:rPr>
        <w:t xml:space="preserve"> and </w:t>
      </w:r>
      <w:r w:rsidRPr="00F0238C">
        <w:rPr>
          <w:rFonts w:eastAsia="TimesNewRoman" w:cs="TimesNewRoman"/>
          <w:lang w:val="en-GB"/>
        </w:rPr>
        <w:t xml:space="preserve">25.7% </w:t>
      </w:r>
      <w:r w:rsidR="007E05BD">
        <w:rPr>
          <w:rFonts w:eastAsia="TimesNewRoman" w:cs="TimesNewRoman"/>
          <w:lang w:val="en-GB"/>
        </w:rPr>
        <w:t>(</w:t>
      </w:r>
      <w:r w:rsidRPr="00F0238C">
        <w:rPr>
          <w:rFonts w:eastAsia="TimesNewRoman" w:cs="TimesNewRoman"/>
          <w:lang w:val="en-GB"/>
        </w:rPr>
        <w:t>207 of 805 subjects</w:t>
      </w:r>
      <w:r w:rsidR="007E05BD">
        <w:rPr>
          <w:rFonts w:eastAsia="TimesNewRoman" w:cs="TimesNewRoman"/>
          <w:lang w:val="en-GB"/>
        </w:rPr>
        <w:t>)</w:t>
      </w:r>
      <w:r w:rsidRPr="005D771B">
        <w:rPr>
          <w:rFonts w:eastAsia="TimesNewRoman" w:cs="TimesNewRoman"/>
          <w:lang w:val="en-GB"/>
        </w:rPr>
        <w:t xml:space="preserve"> </w:t>
      </w:r>
      <w:r w:rsidRPr="005D771B">
        <w:rPr>
          <w:rFonts w:eastAsia="TimesNewRoman" w:cs="TimesNewRoman"/>
        </w:rPr>
        <w:t xml:space="preserve">respectively </w:t>
      </w:r>
      <w:r w:rsidRPr="009A36E1">
        <w:rPr>
          <w:rFonts w:eastAsia="TimesNewRoman" w:cs="TimesNewRoman"/>
        </w:rPr>
        <w:t xml:space="preserve">in the </w:t>
      </w:r>
      <w:proofErr w:type="spellStart"/>
      <w:r w:rsidRPr="009A36E1">
        <w:rPr>
          <w:rFonts w:eastAsia="TimesNewRoman" w:cs="TimesNewRoman"/>
        </w:rPr>
        <w:t>QIVc</w:t>
      </w:r>
      <w:proofErr w:type="spellEnd"/>
      <w:r w:rsidRPr="009A36E1">
        <w:rPr>
          <w:rFonts w:eastAsia="TimesNewRoman" w:cs="TimesNewRoman"/>
        </w:rPr>
        <w:t xml:space="preserve"> and QIV </w:t>
      </w:r>
      <w:r w:rsidRPr="00920E08">
        <w:rPr>
          <w:rFonts w:eastAsia="TimesNewRoman" w:cs="TimesNewRoman"/>
        </w:rPr>
        <w:t>groups)</w:t>
      </w:r>
      <w:r w:rsidRPr="00920E08">
        <w:rPr>
          <w:rFonts w:eastAsia="TimesNewRoman" w:cs="TimesNewRoman"/>
          <w:lang w:val="en-GB"/>
        </w:rPr>
        <w:t xml:space="preserve">. The most frequently reported unsolicited AEs by </w:t>
      </w:r>
      <w:r w:rsidR="00C3496A" w:rsidRPr="00920E08">
        <w:rPr>
          <w:rFonts w:eastAsia="TimesNewRoman" w:cs="TimesNewRoman"/>
          <w:lang w:val="en-GB"/>
        </w:rPr>
        <w:t>System Organ Class (</w:t>
      </w:r>
      <w:r w:rsidRPr="00920E08">
        <w:rPr>
          <w:rFonts w:eastAsia="TimesNewRoman" w:cs="TimesNewRoman"/>
          <w:lang w:val="en-GB"/>
        </w:rPr>
        <w:t>SOC</w:t>
      </w:r>
      <w:r w:rsidR="00C3496A" w:rsidRPr="00920E08">
        <w:rPr>
          <w:rFonts w:eastAsia="TimesNewRoman" w:cs="TimesNewRoman"/>
          <w:lang w:val="en-GB"/>
        </w:rPr>
        <w:t>)</w:t>
      </w:r>
      <w:r w:rsidR="00C3496A" w:rsidRPr="00920E08">
        <w:rPr>
          <w:rStyle w:val="FootnoteReference"/>
          <w:rFonts w:eastAsia="TimesNewRoman" w:cs="TimesNewRoman"/>
          <w:lang w:val="en-GB"/>
        </w:rPr>
        <w:footnoteReference w:id="21"/>
      </w:r>
      <w:r w:rsidRPr="00920E08">
        <w:rPr>
          <w:rFonts w:eastAsia="TimesNewRoman" w:cs="TimesNewRoman"/>
          <w:lang w:val="en-GB"/>
        </w:rPr>
        <w:t xml:space="preserve"> in the</w:t>
      </w:r>
      <w:r w:rsidRPr="00F0238C">
        <w:rPr>
          <w:rFonts w:eastAsia="TimesNewRoman" w:cs="TimesNewRoman"/>
          <w:lang w:val="en-GB"/>
        </w:rPr>
        <w:t xml:space="preserve"> </w:t>
      </w:r>
      <w:proofErr w:type="spellStart"/>
      <w:r w:rsidRPr="00F0238C">
        <w:rPr>
          <w:rFonts w:eastAsia="TimesNewRoman" w:cs="TimesNewRoman"/>
          <w:lang w:val="en-GB"/>
        </w:rPr>
        <w:t>QIVc</w:t>
      </w:r>
      <w:proofErr w:type="spellEnd"/>
      <w:r w:rsidRPr="00F0238C">
        <w:rPr>
          <w:rFonts w:eastAsia="TimesNewRoman" w:cs="TimesNewRoman"/>
          <w:lang w:val="en-GB"/>
        </w:rPr>
        <w:t xml:space="preserve"> and QIV </w:t>
      </w:r>
      <w:r w:rsidRPr="005D771B">
        <w:rPr>
          <w:rFonts w:eastAsia="TimesNewRoman" w:cs="TimesNewRoman"/>
          <w:lang w:val="en-GB"/>
        </w:rPr>
        <w:t>group</w:t>
      </w:r>
      <w:r w:rsidRPr="00F0238C">
        <w:rPr>
          <w:rFonts w:eastAsia="TimesNewRoman" w:cs="TimesNewRoman"/>
          <w:lang w:val="en-GB"/>
        </w:rPr>
        <w:t xml:space="preserve">s were: </w:t>
      </w:r>
      <w:r w:rsidR="00C3496A">
        <w:rPr>
          <w:rFonts w:eastAsia="TimesNewRoman" w:cs="TimesNewRoman"/>
          <w:lang w:val="en-GB"/>
        </w:rPr>
        <w:t>‘</w:t>
      </w:r>
      <w:r w:rsidRPr="00F0238C">
        <w:rPr>
          <w:rFonts w:eastAsia="TimesNewRoman" w:cs="TimesNewRoman"/>
          <w:lang w:val="en-GB"/>
        </w:rPr>
        <w:t>Infections and Infestations</w:t>
      </w:r>
      <w:r w:rsidR="00C3496A">
        <w:rPr>
          <w:rFonts w:eastAsia="TimesNewRoman" w:cs="TimesNewRoman"/>
          <w:lang w:val="en-GB"/>
        </w:rPr>
        <w:t>’</w:t>
      </w:r>
      <w:r w:rsidRPr="00F0238C">
        <w:rPr>
          <w:rFonts w:eastAsia="TimesNewRoman" w:cs="TimesNewRoman"/>
          <w:lang w:val="en-GB"/>
        </w:rPr>
        <w:t xml:space="preserve"> (14.1% and 13.8%, respectively) and </w:t>
      </w:r>
      <w:r w:rsidR="00C3496A">
        <w:rPr>
          <w:rFonts w:eastAsia="TimesNewRoman" w:cs="TimesNewRoman"/>
          <w:lang w:val="en-GB"/>
        </w:rPr>
        <w:t>‘</w:t>
      </w:r>
      <w:r w:rsidRPr="00F0238C">
        <w:rPr>
          <w:rFonts w:eastAsia="TimesNewRoman" w:cs="TimesNewRoman"/>
          <w:lang w:val="en-GB"/>
        </w:rPr>
        <w:t>General</w:t>
      </w:r>
      <w:r w:rsidRPr="00F0238C">
        <w:rPr>
          <w:rFonts w:cs="TimesNewRoman,Bold"/>
          <w:lang w:val="en-GB"/>
        </w:rPr>
        <w:t xml:space="preserve"> </w:t>
      </w:r>
      <w:r w:rsidRPr="00F0238C">
        <w:rPr>
          <w:rFonts w:eastAsia="TimesNewRoman" w:cs="TimesNewRoman"/>
          <w:lang w:val="en-GB"/>
        </w:rPr>
        <w:t>Disorders and Administration Site Conditions</w:t>
      </w:r>
      <w:r w:rsidR="00C3496A">
        <w:rPr>
          <w:rFonts w:eastAsia="TimesNewRoman" w:cs="TimesNewRoman"/>
          <w:lang w:val="en-GB"/>
        </w:rPr>
        <w:t>’</w:t>
      </w:r>
      <w:r w:rsidRPr="00F0238C">
        <w:rPr>
          <w:rFonts w:eastAsia="TimesNewRoman" w:cs="TimesNewRoman"/>
          <w:lang w:val="en-GB"/>
        </w:rPr>
        <w:t xml:space="preserve"> (5.1% and 5.3%, respectively). On a SOC level, proportions reporting any unsolicited AEs was similar.</w:t>
      </w:r>
      <w:r w:rsidRPr="00F0238C">
        <w:rPr>
          <w:rFonts w:cs="TimesNewRoman,Bold"/>
          <w:lang w:val="en-GB"/>
        </w:rPr>
        <w:t xml:space="preserve"> </w:t>
      </w:r>
      <w:r w:rsidRPr="00F0238C">
        <w:rPr>
          <w:rFonts w:eastAsia="TimesNewRoman" w:cs="TimesNewRoman"/>
          <w:lang w:val="en-GB"/>
        </w:rPr>
        <w:t>The proportion reporting all</w:t>
      </w:r>
      <w:r w:rsidR="00C3496A">
        <w:rPr>
          <w:rFonts w:eastAsia="TimesNewRoman" w:cs="TimesNewRoman"/>
          <w:lang w:val="en-GB"/>
        </w:rPr>
        <w:noBreakHyphen/>
      </w:r>
      <w:r w:rsidRPr="00F0238C">
        <w:rPr>
          <w:rFonts w:eastAsia="TimesNewRoman" w:cs="TimesNewRoman"/>
          <w:lang w:val="en-GB"/>
        </w:rPr>
        <w:t>causality unsolicited AEs during the treatment period</w:t>
      </w:r>
      <w:r w:rsidRPr="00F0238C">
        <w:rPr>
          <w:rFonts w:cs="TimesNewRoman,Bold"/>
          <w:lang w:val="en-GB"/>
        </w:rPr>
        <w:t xml:space="preserve"> </w:t>
      </w:r>
      <w:r w:rsidRPr="00F0238C">
        <w:rPr>
          <w:rFonts w:eastAsia="TimesNewRoman" w:cs="TimesNewRoman"/>
          <w:lang w:val="en-GB"/>
        </w:rPr>
        <w:t>was similar, with 418</w:t>
      </w:r>
      <w:r w:rsidR="00C42915">
        <w:rPr>
          <w:rFonts w:eastAsia="TimesNewRoman" w:cs="TimesNewRoman"/>
          <w:lang w:val="en-GB"/>
        </w:rPr>
        <w:t xml:space="preserve"> of </w:t>
      </w:r>
      <w:r w:rsidRPr="00F0238C">
        <w:rPr>
          <w:rFonts w:eastAsia="TimesNewRoman" w:cs="TimesNewRoman"/>
          <w:lang w:val="en-GB"/>
        </w:rPr>
        <w:t>1</w:t>
      </w:r>
      <w:r w:rsidR="00C3496A">
        <w:rPr>
          <w:rFonts w:eastAsia="TimesNewRoman" w:cs="TimesNewRoman"/>
          <w:lang w:val="en-GB"/>
        </w:rPr>
        <w:t>,</w:t>
      </w:r>
      <w:r w:rsidRPr="00F0238C">
        <w:rPr>
          <w:rFonts w:eastAsia="TimesNewRoman" w:cs="TimesNewRoman"/>
          <w:lang w:val="en-GB"/>
        </w:rPr>
        <w:t xml:space="preserve">597 subjects (26.2%) in the </w:t>
      </w:r>
      <w:proofErr w:type="spellStart"/>
      <w:r w:rsidRPr="00F0238C">
        <w:rPr>
          <w:rFonts w:eastAsia="TimesNewRoman" w:cs="TimesNewRoman"/>
          <w:lang w:val="en-GB"/>
        </w:rPr>
        <w:t>QIVc</w:t>
      </w:r>
      <w:proofErr w:type="spellEnd"/>
      <w:r w:rsidRPr="00F0238C">
        <w:rPr>
          <w:rFonts w:eastAsia="TimesNewRoman" w:cs="TimesNewRoman"/>
          <w:lang w:val="en-GB"/>
        </w:rPr>
        <w:t xml:space="preserve"> </w:t>
      </w:r>
      <w:r w:rsidRPr="005D771B">
        <w:rPr>
          <w:rFonts w:eastAsia="TimesNewRoman" w:cs="TimesNewRoman"/>
          <w:lang w:val="en-GB"/>
        </w:rPr>
        <w:t>group</w:t>
      </w:r>
      <w:r w:rsidRPr="00F0238C">
        <w:rPr>
          <w:rFonts w:eastAsia="TimesNewRoman" w:cs="TimesNewRoman"/>
          <w:lang w:val="en-GB"/>
        </w:rPr>
        <w:t xml:space="preserve"> and 207</w:t>
      </w:r>
      <w:r w:rsidR="00C42915">
        <w:rPr>
          <w:rFonts w:eastAsia="TimesNewRoman" w:cs="TimesNewRoman"/>
          <w:lang w:val="en-GB"/>
        </w:rPr>
        <w:t xml:space="preserve"> of </w:t>
      </w:r>
      <w:r w:rsidRPr="00F0238C">
        <w:rPr>
          <w:rFonts w:eastAsia="TimesNewRoman" w:cs="TimesNewRoman"/>
          <w:lang w:val="en-GB"/>
        </w:rPr>
        <w:t xml:space="preserve">805 subjects (25.7%) in the QIV </w:t>
      </w:r>
      <w:r w:rsidRPr="005D771B">
        <w:rPr>
          <w:rFonts w:eastAsia="TimesNewRoman" w:cs="TimesNewRoman"/>
          <w:lang w:val="en-GB"/>
        </w:rPr>
        <w:t>group</w:t>
      </w:r>
      <w:r w:rsidRPr="00F0238C">
        <w:rPr>
          <w:rFonts w:eastAsia="TimesNewRoman" w:cs="TimesNewRoman"/>
          <w:lang w:val="en-GB"/>
        </w:rPr>
        <w:t xml:space="preserve"> reporting unsolicited </w:t>
      </w:r>
      <w:r w:rsidRPr="000526FB">
        <w:rPr>
          <w:rFonts w:eastAsia="TimesNewRoman" w:cs="TimesNewRoman"/>
          <w:lang w:val="en-GB"/>
        </w:rPr>
        <w:t xml:space="preserve">AEs. The most frequently reported AEs by </w:t>
      </w:r>
      <w:r w:rsidR="00C3496A" w:rsidRPr="000526FB">
        <w:rPr>
          <w:rFonts w:eastAsia="TimesNewRoman" w:cs="TimesNewRoman"/>
          <w:lang w:val="en-GB"/>
        </w:rPr>
        <w:t>preferred term (</w:t>
      </w:r>
      <w:r w:rsidRPr="000526FB">
        <w:rPr>
          <w:rFonts w:eastAsia="TimesNewRoman" w:cs="TimesNewRoman"/>
          <w:lang w:val="en-GB"/>
        </w:rPr>
        <w:t>PT</w:t>
      </w:r>
      <w:r w:rsidR="00C3496A" w:rsidRPr="000526FB">
        <w:rPr>
          <w:rFonts w:eastAsia="TimesNewRoman" w:cs="TimesNewRoman"/>
          <w:lang w:val="en-GB"/>
        </w:rPr>
        <w:t>)</w:t>
      </w:r>
      <w:r w:rsidR="00C3496A" w:rsidRPr="000526FB">
        <w:rPr>
          <w:rStyle w:val="FootnoteReference"/>
          <w:rFonts w:eastAsia="TimesNewRoman" w:cs="TimesNewRoman"/>
          <w:lang w:val="en-GB"/>
        </w:rPr>
        <w:footnoteReference w:id="22"/>
      </w:r>
      <w:r w:rsidRPr="000526FB">
        <w:rPr>
          <w:rFonts w:eastAsia="TimesNewRoman" w:cs="TimesNewRoman"/>
          <w:lang w:val="en-GB"/>
        </w:rPr>
        <w:t xml:space="preserve"> in the </w:t>
      </w:r>
      <w:proofErr w:type="spellStart"/>
      <w:r w:rsidRPr="000526FB">
        <w:rPr>
          <w:rFonts w:eastAsia="TimesNewRoman" w:cs="TimesNewRoman"/>
          <w:lang w:val="en-GB"/>
        </w:rPr>
        <w:t>QIVc</w:t>
      </w:r>
      <w:proofErr w:type="spellEnd"/>
      <w:r w:rsidRPr="000526FB">
        <w:rPr>
          <w:rFonts w:eastAsia="TimesNewRoman" w:cs="TimesNewRoman"/>
          <w:lang w:val="en-GB"/>
        </w:rPr>
        <w:t xml:space="preserve"> and QIV groups</w:t>
      </w:r>
      <w:r w:rsidRPr="00F0238C">
        <w:rPr>
          <w:rFonts w:eastAsia="TimesNewRoman" w:cs="TimesNewRoman"/>
          <w:lang w:val="en-GB"/>
        </w:rPr>
        <w:t xml:space="preserve"> were upper respiratory tract infection (3.7% and 5.5%, respectively) and pyrexia (2.9% and 3.1%, respectively).</w:t>
      </w:r>
    </w:p>
    <w:p w14:paraId="36B3B4EE" w14:textId="77777777" w:rsidR="00A576AC" w:rsidRPr="00F0238C" w:rsidRDefault="00A576AC" w:rsidP="00DC03AE">
      <w:pPr>
        <w:pStyle w:val="Heading6"/>
      </w:pPr>
      <w:bookmarkStart w:id="61" w:name="_Ref272333567"/>
      <w:bookmarkStart w:id="62" w:name="_Toc272414665"/>
      <w:bookmarkStart w:id="63" w:name="_Toc290888529"/>
      <w:bookmarkStart w:id="64" w:name="_Toc416353745"/>
      <w:bookmarkStart w:id="65" w:name="_Toc421005288"/>
      <w:bookmarkStart w:id="66" w:name="_Toc432079165"/>
      <w:bookmarkStart w:id="67" w:name="_Toc432080738"/>
      <w:r w:rsidRPr="00F0238C">
        <w:lastRenderedPageBreak/>
        <w:t>Treatment related adverse events (adverse drug reactions)</w:t>
      </w:r>
      <w:bookmarkEnd w:id="61"/>
      <w:bookmarkEnd w:id="62"/>
      <w:bookmarkEnd w:id="63"/>
      <w:bookmarkEnd w:id="64"/>
      <w:bookmarkEnd w:id="65"/>
      <w:bookmarkEnd w:id="66"/>
      <w:bookmarkEnd w:id="67"/>
    </w:p>
    <w:p w14:paraId="2730F26B" w14:textId="0C404362" w:rsidR="00A576AC" w:rsidRPr="00F0238C" w:rsidRDefault="00A576AC" w:rsidP="00A576AC">
      <w:r w:rsidRPr="00F76025">
        <w:t>Similar</w:t>
      </w:r>
      <w:r>
        <w:t xml:space="preserve"> </w:t>
      </w:r>
      <w:r w:rsidRPr="00F76025">
        <w:t xml:space="preserve">proportions of subjects in the </w:t>
      </w:r>
      <w:proofErr w:type="spellStart"/>
      <w:r w:rsidRPr="00F76025">
        <w:t>QIVc</w:t>
      </w:r>
      <w:proofErr w:type="spellEnd"/>
      <w:r w:rsidRPr="00F76025">
        <w:t xml:space="preserve"> and QIV groups reported related unsolicited AEs (4.4% and 4.5%, respectively).</w:t>
      </w:r>
      <w:r>
        <w:t xml:space="preserve"> </w:t>
      </w:r>
      <w:r w:rsidR="00C3496A">
        <w:t xml:space="preserve">The </w:t>
      </w:r>
      <w:r w:rsidR="004F4937">
        <w:t>most</w:t>
      </w:r>
      <w:r w:rsidRPr="00F0238C">
        <w:rPr>
          <w:lang w:val="en-GB"/>
        </w:rPr>
        <w:t xml:space="preserve"> frequently reported related unsolicited AEs by PT in the </w:t>
      </w:r>
      <w:proofErr w:type="spellStart"/>
      <w:r w:rsidRPr="00F0238C">
        <w:rPr>
          <w:lang w:val="en-GB"/>
        </w:rPr>
        <w:t>QIVc</w:t>
      </w:r>
      <w:proofErr w:type="spellEnd"/>
      <w:r w:rsidRPr="00F0238C">
        <w:rPr>
          <w:lang w:val="en-GB"/>
        </w:rPr>
        <w:t xml:space="preserve"> and QIV </w:t>
      </w:r>
      <w:r w:rsidRPr="00047645">
        <w:rPr>
          <w:lang w:val="en-GB"/>
        </w:rPr>
        <w:t>group</w:t>
      </w:r>
      <w:r w:rsidRPr="00F0238C">
        <w:rPr>
          <w:lang w:val="en-GB"/>
        </w:rPr>
        <w:t>s were injection-site bruising (0.8% and 1.0%, respectively) and irritability (0.8% and 0.7%, respectively).</w:t>
      </w:r>
    </w:p>
    <w:p w14:paraId="1BD0B230" w14:textId="078A02E8" w:rsidR="00A576AC" w:rsidRPr="00B841AB" w:rsidRDefault="00A576AC" w:rsidP="00A576AC">
      <w:r w:rsidRPr="00B841AB">
        <w:t xml:space="preserve">No </w:t>
      </w:r>
      <w:r w:rsidR="00C3496A">
        <w:t xml:space="preserve">serious </w:t>
      </w:r>
      <w:r w:rsidRPr="00B841AB">
        <w:t xml:space="preserve">AEs </w:t>
      </w:r>
      <w:r w:rsidR="00C3496A">
        <w:t xml:space="preserve">(SAE) </w:t>
      </w:r>
      <w:r w:rsidRPr="00B841AB">
        <w:t>were assessed as related to the study vaccine during Study V130_10</w:t>
      </w:r>
      <w:r>
        <w:t>.</w:t>
      </w:r>
    </w:p>
    <w:p w14:paraId="3050A192" w14:textId="77777777" w:rsidR="00A576AC" w:rsidRPr="00F0238C" w:rsidRDefault="00A576AC" w:rsidP="00DC03AE">
      <w:pPr>
        <w:pStyle w:val="Heading6"/>
      </w:pPr>
      <w:r w:rsidRPr="00F0238C">
        <w:t>Deaths and other serious adverse events</w:t>
      </w:r>
    </w:p>
    <w:p w14:paraId="2053387B" w14:textId="77777777" w:rsidR="00A576AC" w:rsidRPr="00F0238C" w:rsidRDefault="00A576AC" w:rsidP="00A576AC">
      <w:r w:rsidRPr="00F0238C">
        <w:t>Two deaths not considered related to the study vaccine were reported.</w:t>
      </w:r>
    </w:p>
    <w:p w14:paraId="33AA8360" w14:textId="053460DB" w:rsidR="00A576AC" w:rsidRPr="00F0238C" w:rsidRDefault="00BB2DB8" w:rsidP="00A576AC">
      <w:r>
        <w:t xml:space="preserve">There were </w:t>
      </w:r>
      <w:r w:rsidR="00A576AC" w:rsidRPr="00F0238C">
        <w:t xml:space="preserve">15 (0.9%) subjects in the </w:t>
      </w:r>
      <w:proofErr w:type="spellStart"/>
      <w:r w:rsidR="00A576AC" w:rsidRPr="00F0238C">
        <w:t>QIVc</w:t>
      </w:r>
      <w:proofErr w:type="spellEnd"/>
      <w:r w:rsidR="00A576AC" w:rsidRPr="00F0238C">
        <w:t xml:space="preserve"> </w:t>
      </w:r>
      <w:r w:rsidR="00A576AC">
        <w:t>group</w:t>
      </w:r>
      <w:r w:rsidR="00A576AC" w:rsidRPr="00F0238C">
        <w:t xml:space="preserve"> and 7 (0.9%) subjects in the QIV </w:t>
      </w:r>
      <w:r w:rsidR="00A576AC">
        <w:t>group</w:t>
      </w:r>
      <w:r>
        <w:t xml:space="preserve"> with </w:t>
      </w:r>
      <w:r w:rsidR="00A576AC" w:rsidRPr="00F0238C">
        <w:t xml:space="preserve">reported SAEs during the study. None of the SAEs were assessed as related to study vaccine. </w:t>
      </w:r>
      <w:proofErr w:type="gramStart"/>
      <w:r w:rsidR="00A576AC" w:rsidRPr="00F0238C">
        <w:t>The majority of</w:t>
      </w:r>
      <w:proofErr w:type="gramEnd"/>
      <w:r w:rsidR="00A576AC" w:rsidRPr="00F0238C">
        <w:t xml:space="preserve"> SAEs were reported in the SOC of </w:t>
      </w:r>
      <w:r>
        <w:t>‘</w:t>
      </w:r>
      <w:r w:rsidR="00A576AC" w:rsidRPr="00F0238C">
        <w:t>Infections and Infestations</w:t>
      </w:r>
      <w:r>
        <w:t>’</w:t>
      </w:r>
      <w:r w:rsidR="00A576AC" w:rsidRPr="00F0238C">
        <w:t xml:space="preserve"> (10</w:t>
      </w:r>
      <w:r w:rsidR="00C42915">
        <w:t xml:space="preserve"> of </w:t>
      </w:r>
      <w:r w:rsidR="00A576AC" w:rsidRPr="00F0238C">
        <w:t>1</w:t>
      </w:r>
      <w:r>
        <w:t>,</w:t>
      </w:r>
      <w:r w:rsidR="00A576AC" w:rsidRPr="00F0238C">
        <w:t xml:space="preserve">597 subjects </w:t>
      </w:r>
      <w:r w:rsidR="007E05BD">
        <w:t>(</w:t>
      </w:r>
      <w:r w:rsidR="00A576AC" w:rsidRPr="00F0238C">
        <w:t>0.6%</w:t>
      </w:r>
      <w:r w:rsidR="007E05BD">
        <w:t>)</w:t>
      </w:r>
      <w:r w:rsidR="00A576AC" w:rsidRPr="00F0238C">
        <w:t xml:space="preserve"> in the </w:t>
      </w:r>
      <w:proofErr w:type="spellStart"/>
      <w:r w:rsidR="00A576AC" w:rsidRPr="00F0238C">
        <w:t>QIVc</w:t>
      </w:r>
      <w:proofErr w:type="spellEnd"/>
      <w:r w:rsidR="00A576AC" w:rsidRPr="00F0238C">
        <w:t xml:space="preserve"> </w:t>
      </w:r>
      <w:r w:rsidR="00A576AC">
        <w:t>group</w:t>
      </w:r>
      <w:r w:rsidR="00A576AC" w:rsidRPr="00F0238C">
        <w:t xml:space="preserve"> and 3</w:t>
      </w:r>
      <w:r w:rsidR="00C42915">
        <w:t xml:space="preserve"> of </w:t>
      </w:r>
      <w:r w:rsidR="00A576AC" w:rsidRPr="00F0238C">
        <w:t xml:space="preserve">805 subjects </w:t>
      </w:r>
      <w:r w:rsidR="007E05BD">
        <w:t>(</w:t>
      </w:r>
      <w:r w:rsidR="00A576AC" w:rsidRPr="00F0238C">
        <w:t>0.4%</w:t>
      </w:r>
      <w:r w:rsidR="007E05BD">
        <w:t>)</w:t>
      </w:r>
      <w:r w:rsidR="00A576AC" w:rsidRPr="00F0238C">
        <w:t xml:space="preserve"> in the QIV </w:t>
      </w:r>
      <w:r w:rsidR="00A576AC">
        <w:t>group</w:t>
      </w:r>
      <w:r w:rsidR="00A576AC" w:rsidRPr="00F0238C">
        <w:t>). Pneumonia was reported for 3 subjects (</w:t>
      </w:r>
      <w:proofErr w:type="spellStart"/>
      <w:r w:rsidR="00A576AC" w:rsidRPr="00F0238C">
        <w:t>QIVc</w:t>
      </w:r>
      <w:proofErr w:type="spellEnd"/>
      <w:r w:rsidR="00A576AC" w:rsidRPr="00F0238C">
        <w:t xml:space="preserve"> </w:t>
      </w:r>
      <w:r w:rsidR="00A576AC">
        <w:t>group</w:t>
      </w:r>
      <w:r w:rsidR="00A576AC" w:rsidRPr="00F0238C">
        <w:t xml:space="preserve">) and bronchiolitis was reported for 3 subjects (QIV </w:t>
      </w:r>
      <w:r w:rsidR="00A576AC">
        <w:t>group</w:t>
      </w:r>
      <w:r w:rsidR="00A576AC" w:rsidRPr="00F0238C">
        <w:t xml:space="preserve">); all other conditions reported for this SOC were </w:t>
      </w:r>
      <w:r>
        <w:t xml:space="preserve">of nil or </w:t>
      </w:r>
      <w:r w:rsidR="00A576AC" w:rsidRPr="00F0238C">
        <w:t xml:space="preserve">1 subject in each vaccine </w:t>
      </w:r>
      <w:r w:rsidR="00A576AC">
        <w:t>group</w:t>
      </w:r>
      <w:r w:rsidR="00A576AC" w:rsidRPr="00F0238C">
        <w:t xml:space="preserve">. The SAEs in the other listed SOC categories were reported by </w:t>
      </w:r>
      <w:r>
        <w:t>nil or 1</w:t>
      </w:r>
      <w:r w:rsidR="00A576AC" w:rsidRPr="00F0238C">
        <w:t xml:space="preserve"> subject in each </w:t>
      </w:r>
      <w:r w:rsidR="00A576AC">
        <w:t>group</w:t>
      </w:r>
      <w:r w:rsidR="00A576AC" w:rsidRPr="00F0238C">
        <w:t xml:space="preserve"> except in the </w:t>
      </w:r>
      <w:proofErr w:type="spellStart"/>
      <w:r w:rsidR="00A576AC" w:rsidRPr="00F0238C">
        <w:t>QIVc</w:t>
      </w:r>
      <w:proofErr w:type="spellEnd"/>
      <w:r w:rsidR="00A576AC" w:rsidRPr="00F0238C">
        <w:t xml:space="preserve"> </w:t>
      </w:r>
      <w:r w:rsidR="00A576AC">
        <w:t>group</w:t>
      </w:r>
      <w:r w:rsidR="00A576AC" w:rsidRPr="00F0238C">
        <w:t xml:space="preserve"> where 2 subjects reported asthma in the SOC </w:t>
      </w:r>
      <w:r>
        <w:t>‘</w:t>
      </w:r>
      <w:r w:rsidR="00A576AC" w:rsidRPr="00F0238C">
        <w:t>Respiratory, thoracic and mediastinal disorders</w:t>
      </w:r>
      <w:r>
        <w:t>’</w:t>
      </w:r>
      <w:r w:rsidR="00A576AC" w:rsidRPr="00F0238C">
        <w:t xml:space="preserve"> and 2 subjects reported seizures in the SOC </w:t>
      </w:r>
      <w:r>
        <w:t>‘</w:t>
      </w:r>
      <w:r w:rsidR="00A576AC" w:rsidRPr="00F0238C">
        <w:t xml:space="preserve">Nervous system </w:t>
      </w:r>
      <w:proofErr w:type="gramStart"/>
      <w:r w:rsidR="00A576AC" w:rsidRPr="00F0238C">
        <w:t>disorders</w:t>
      </w:r>
      <w:r>
        <w:t>’</w:t>
      </w:r>
      <w:proofErr w:type="gramEnd"/>
      <w:r w:rsidR="00A576AC" w:rsidRPr="00F0238C">
        <w:t>.</w:t>
      </w:r>
    </w:p>
    <w:p w14:paraId="2F7ED8A9" w14:textId="77777777" w:rsidR="00A576AC" w:rsidRPr="00F0238C" w:rsidRDefault="00A576AC" w:rsidP="00DC03AE">
      <w:pPr>
        <w:pStyle w:val="Heading6"/>
      </w:pPr>
      <w:r w:rsidRPr="00F0238C">
        <w:t>Discontinuations due to adverse events</w:t>
      </w:r>
    </w:p>
    <w:p w14:paraId="304A9C9E" w14:textId="3EDA7945" w:rsidR="00A576AC" w:rsidRPr="00F0238C" w:rsidRDefault="00BB2DB8" w:rsidP="00A576AC">
      <w:r>
        <w:t xml:space="preserve">Three </w:t>
      </w:r>
      <w:r w:rsidR="00A576AC" w:rsidRPr="00F0238C">
        <w:t>out of 1</w:t>
      </w:r>
      <w:r>
        <w:t>,</w:t>
      </w:r>
      <w:r w:rsidR="00A576AC" w:rsidRPr="00F0238C">
        <w:t xml:space="preserve">597 subjects (0.2%) in the </w:t>
      </w:r>
      <w:proofErr w:type="spellStart"/>
      <w:r w:rsidR="00A576AC" w:rsidRPr="00F0238C">
        <w:t>QIVc</w:t>
      </w:r>
      <w:proofErr w:type="spellEnd"/>
      <w:r w:rsidR="00A576AC" w:rsidRPr="00F0238C">
        <w:t xml:space="preserve"> group reported AEs leading to withdrawal from the study including the 2 deaths described above. No subjects in the QIV group withdrew from the study because of an AE.</w:t>
      </w:r>
    </w:p>
    <w:p w14:paraId="39672F58" w14:textId="77777777" w:rsidR="00A576AC" w:rsidRPr="00F0238C" w:rsidRDefault="00A576AC" w:rsidP="00DC03AE">
      <w:pPr>
        <w:pStyle w:val="Heading5"/>
      </w:pPr>
      <w:bookmarkStart w:id="68" w:name="_Toc241374322"/>
      <w:bookmarkStart w:id="69" w:name="_Ref272331212"/>
      <w:bookmarkStart w:id="70" w:name="_Toc272414687"/>
      <w:bookmarkStart w:id="71" w:name="_Toc290888551"/>
      <w:bookmarkStart w:id="72" w:name="_Toc416353766"/>
      <w:bookmarkStart w:id="73" w:name="_Toc421005309"/>
      <w:bookmarkStart w:id="74" w:name="_Toc432079180"/>
      <w:bookmarkStart w:id="75" w:name="_Toc432080753"/>
      <w:r w:rsidRPr="00F0238C">
        <w:t>Safety in special populations</w:t>
      </w:r>
      <w:bookmarkEnd w:id="68"/>
      <w:bookmarkEnd w:id="69"/>
      <w:bookmarkEnd w:id="70"/>
      <w:bookmarkEnd w:id="71"/>
      <w:bookmarkEnd w:id="72"/>
      <w:bookmarkEnd w:id="73"/>
      <w:bookmarkEnd w:id="74"/>
      <w:bookmarkEnd w:id="75"/>
    </w:p>
    <w:p w14:paraId="4690038F" w14:textId="45571433" w:rsidR="00A576AC" w:rsidRPr="00F0238C" w:rsidRDefault="00BB2DB8" w:rsidP="00A576AC">
      <w:r>
        <w:rPr>
          <w:rFonts w:cs="Arial,Bold"/>
          <w:lang w:val="en-GB"/>
        </w:rPr>
        <w:t>There were n</w:t>
      </w:r>
      <w:r w:rsidR="00A576AC" w:rsidRPr="00F0238C">
        <w:rPr>
          <w:rFonts w:cs="Arial,Bold"/>
          <w:lang w:val="en-GB"/>
        </w:rPr>
        <w:t>o meaningful differences</w:t>
      </w:r>
      <w:r w:rsidR="00A576AC" w:rsidRPr="00F0238C">
        <w:rPr>
          <w:rFonts w:cs="Arial,Bold"/>
        </w:rPr>
        <w:t xml:space="preserve"> </w:t>
      </w:r>
      <w:r w:rsidR="00A576AC" w:rsidRPr="00F0238C">
        <w:rPr>
          <w:rFonts w:cs="Arial,Bold"/>
          <w:lang w:val="en-GB"/>
        </w:rPr>
        <w:t>in frequency of solicited local</w:t>
      </w:r>
      <w:r w:rsidR="00C42915">
        <w:rPr>
          <w:rFonts w:cs="Arial,Bold"/>
          <w:lang w:val="en-GB"/>
        </w:rPr>
        <w:t xml:space="preserve"> or </w:t>
      </w:r>
      <w:r w:rsidR="00A576AC" w:rsidRPr="00F0238C">
        <w:rPr>
          <w:rFonts w:cs="Arial,Bold"/>
          <w:lang w:val="en-GB"/>
        </w:rPr>
        <w:t>systemic or unsolicited AEs reported a</w:t>
      </w:r>
      <w:r>
        <w:rPr>
          <w:rFonts w:cs="Arial,Bold"/>
          <w:lang w:val="en-GB"/>
        </w:rPr>
        <w:t xml:space="preserve">ccording to </w:t>
      </w:r>
      <w:r w:rsidR="00A576AC" w:rsidRPr="00F0238C">
        <w:rPr>
          <w:rFonts w:cs="Arial,Bold"/>
        </w:rPr>
        <w:t>age</w:t>
      </w:r>
      <w:r>
        <w:rPr>
          <w:rFonts w:cs="Arial,Bold"/>
        </w:rPr>
        <w:t xml:space="preserve">, </w:t>
      </w:r>
      <w:r w:rsidR="005101D2" w:rsidRPr="00F0238C">
        <w:rPr>
          <w:rFonts w:cs="Arial,Bold"/>
        </w:rPr>
        <w:t>gender,</w:t>
      </w:r>
      <w:r>
        <w:rPr>
          <w:rFonts w:cs="Arial,Bold"/>
        </w:rPr>
        <w:t xml:space="preserve"> or </w:t>
      </w:r>
      <w:r w:rsidR="00A576AC" w:rsidRPr="00F0238C">
        <w:rPr>
          <w:rFonts w:cs="Arial,Bold"/>
        </w:rPr>
        <w:t>race</w:t>
      </w:r>
      <w:r w:rsidR="00A576AC" w:rsidRPr="00F0238C">
        <w:rPr>
          <w:rFonts w:cs="Arial,Bold"/>
          <w:lang w:val="en-GB"/>
        </w:rPr>
        <w:t>.</w:t>
      </w:r>
    </w:p>
    <w:p w14:paraId="1DE54E75" w14:textId="32611777" w:rsidR="00A576AC" w:rsidRPr="00F0238C" w:rsidRDefault="00A576AC" w:rsidP="00A576AC">
      <w:pPr>
        <w:rPr>
          <w:sz w:val="20"/>
        </w:rPr>
      </w:pPr>
      <w:r w:rsidRPr="00F0238C">
        <w:rPr>
          <w:rFonts w:eastAsia="TimesNewRoman" w:cs="TimesNewRoman"/>
          <w:color w:val="000000"/>
          <w:lang w:val="en-GB"/>
        </w:rPr>
        <w:t>In the QIV group, the proportion reporting solicited local AEs was higher in the 24</w:t>
      </w:r>
      <w:r w:rsidR="00BB2DB8">
        <w:rPr>
          <w:rFonts w:eastAsia="TimesNewRoman" w:cs="TimesNewRoman"/>
          <w:color w:val="000000"/>
          <w:lang w:val="en-GB"/>
        </w:rPr>
        <w:t xml:space="preserve"> to </w:t>
      </w:r>
      <w:r w:rsidRPr="00F0238C">
        <w:rPr>
          <w:rFonts w:eastAsia="TimesNewRoman" w:cs="TimesNewRoman"/>
          <w:color w:val="000000"/>
          <w:lang w:val="en-GB"/>
        </w:rPr>
        <w:t xml:space="preserve">47 months age subgroup than </w:t>
      </w:r>
      <w:r w:rsidR="00BB2DB8">
        <w:rPr>
          <w:rFonts w:eastAsia="TimesNewRoman" w:cs="TimesNewRoman"/>
          <w:color w:val="000000"/>
          <w:lang w:val="en-GB"/>
        </w:rPr>
        <w:t xml:space="preserve">in </w:t>
      </w:r>
      <w:r w:rsidRPr="00F0238C">
        <w:rPr>
          <w:rFonts w:eastAsia="TimesNewRoman" w:cs="TimesNewRoman"/>
          <w:color w:val="000000"/>
          <w:lang w:val="en-GB"/>
        </w:rPr>
        <w:t>the 6</w:t>
      </w:r>
      <w:r w:rsidR="00BB2DB8">
        <w:rPr>
          <w:rFonts w:eastAsia="TimesNewRoman" w:cs="TimesNewRoman"/>
          <w:color w:val="000000"/>
          <w:lang w:val="en-GB"/>
        </w:rPr>
        <w:t xml:space="preserve"> to </w:t>
      </w:r>
      <w:r w:rsidRPr="00F0238C">
        <w:rPr>
          <w:rFonts w:eastAsia="TimesNewRoman" w:cs="TimesNewRoman"/>
          <w:color w:val="000000"/>
          <w:lang w:val="en-GB"/>
        </w:rPr>
        <w:t xml:space="preserve">23 months age subgroup. In both </w:t>
      </w:r>
      <w:proofErr w:type="spellStart"/>
      <w:r w:rsidRPr="00F0238C">
        <w:rPr>
          <w:rFonts w:eastAsia="TimesNewRoman" w:cs="TimesNewRoman"/>
          <w:color w:val="000000"/>
          <w:lang w:val="en-GB"/>
        </w:rPr>
        <w:t>QIVc</w:t>
      </w:r>
      <w:proofErr w:type="spellEnd"/>
      <w:r w:rsidRPr="00F0238C">
        <w:rPr>
          <w:rFonts w:eastAsia="TimesNewRoman" w:cs="TimesNewRoman"/>
          <w:color w:val="000000"/>
          <w:lang w:val="en-GB"/>
        </w:rPr>
        <w:t xml:space="preserve"> and QIV groups, the proportion reporting solicited systemic AEs was higher in the 6</w:t>
      </w:r>
      <w:r w:rsidR="00BB2DB8">
        <w:rPr>
          <w:rFonts w:eastAsia="TimesNewRoman" w:cs="TimesNewRoman"/>
          <w:color w:val="000000"/>
          <w:lang w:val="en-GB"/>
        </w:rPr>
        <w:t xml:space="preserve"> to</w:t>
      </w:r>
      <w:r w:rsidRPr="00F0238C">
        <w:rPr>
          <w:rFonts w:eastAsia="TimesNewRoman" w:cs="TimesNewRoman"/>
          <w:color w:val="000000"/>
          <w:lang w:val="en-GB"/>
        </w:rPr>
        <w:t xml:space="preserve"> 23 months age subgroup than </w:t>
      </w:r>
      <w:r w:rsidR="00BB2DB8">
        <w:rPr>
          <w:rFonts w:eastAsia="TimesNewRoman" w:cs="TimesNewRoman"/>
          <w:color w:val="000000"/>
          <w:lang w:val="en-GB"/>
        </w:rPr>
        <w:t xml:space="preserve">in </w:t>
      </w:r>
      <w:r w:rsidRPr="00F0238C">
        <w:rPr>
          <w:rFonts w:eastAsia="TimesNewRoman" w:cs="TimesNewRoman"/>
          <w:color w:val="000000"/>
          <w:lang w:val="en-GB"/>
        </w:rPr>
        <w:t>the 24</w:t>
      </w:r>
      <w:r w:rsidR="00BB2DB8">
        <w:rPr>
          <w:rFonts w:eastAsia="TimesNewRoman" w:cs="TimesNewRoman"/>
          <w:color w:val="000000"/>
          <w:lang w:val="en-GB"/>
        </w:rPr>
        <w:t xml:space="preserve"> to </w:t>
      </w:r>
      <w:r w:rsidRPr="00F0238C">
        <w:rPr>
          <w:rFonts w:eastAsia="TimesNewRoman" w:cs="TimesNewRoman"/>
          <w:color w:val="000000"/>
          <w:lang w:val="en-GB"/>
        </w:rPr>
        <w:t>47 months age subgroup.</w:t>
      </w:r>
    </w:p>
    <w:p w14:paraId="00FF9940" w14:textId="1FB7994C" w:rsidR="00A576AC" w:rsidRPr="00F0238C" w:rsidRDefault="00A576AC" w:rsidP="00A576AC">
      <w:pPr>
        <w:rPr>
          <w:rFonts w:eastAsia="TimesNewRoman" w:cs="TimesNewRoman"/>
          <w:color w:val="000000"/>
          <w:lang w:val="en-GB"/>
        </w:rPr>
      </w:pPr>
      <w:r w:rsidRPr="00F0238C">
        <w:rPr>
          <w:rFonts w:eastAsia="TimesNewRoman" w:cs="TimesNewRoman"/>
          <w:color w:val="000000"/>
          <w:lang w:val="en-GB"/>
        </w:rPr>
        <w:t xml:space="preserve">In both </w:t>
      </w:r>
      <w:proofErr w:type="spellStart"/>
      <w:r w:rsidRPr="00F0238C">
        <w:rPr>
          <w:rFonts w:eastAsia="TimesNewRoman" w:cs="TimesNewRoman"/>
          <w:color w:val="000000"/>
          <w:lang w:val="en-GB"/>
        </w:rPr>
        <w:t>QIVc</w:t>
      </w:r>
      <w:proofErr w:type="spellEnd"/>
      <w:r w:rsidRPr="00F0238C">
        <w:rPr>
          <w:rFonts w:eastAsia="TimesNewRoman" w:cs="TimesNewRoman"/>
          <w:color w:val="000000"/>
          <w:lang w:val="en-GB"/>
        </w:rPr>
        <w:t xml:space="preserve"> and QIV groups, the proportion reporting all-causality unsolicited AEs was higher in the 6</w:t>
      </w:r>
      <w:r w:rsidR="00174D8B">
        <w:rPr>
          <w:rFonts w:eastAsia="TimesNewRoman" w:cs="TimesNewRoman"/>
          <w:color w:val="000000"/>
          <w:lang w:val="en-GB"/>
        </w:rPr>
        <w:t xml:space="preserve"> to </w:t>
      </w:r>
      <w:r w:rsidRPr="00F0238C">
        <w:rPr>
          <w:rFonts w:eastAsia="TimesNewRoman" w:cs="TimesNewRoman"/>
          <w:color w:val="000000"/>
          <w:lang w:val="en-GB"/>
        </w:rPr>
        <w:t>23 months age subgroup than the 24</w:t>
      </w:r>
      <w:r w:rsidR="00174D8B">
        <w:rPr>
          <w:rFonts w:eastAsia="TimesNewRoman" w:cs="TimesNewRoman"/>
          <w:color w:val="000000"/>
          <w:lang w:val="en-GB"/>
        </w:rPr>
        <w:t xml:space="preserve"> to </w:t>
      </w:r>
      <w:r w:rsidRPr="00F0238C">
        <w:rPr>
          <w:rFonts w:eastAsia="TimesNewRoman" w:cs="TimesNewRoman"/>
          <w:color w:val="000000"/>
          <w:lang w:val="en-GB"/>
        </w:rPr>
        <w:t>47 months age subgroup.</w:t>
      </w:r>
    </w:p>
    <w:p w14:paraId="67379957" w14:textId="4BDDEC6F" w:rsidR="00A576AC" w:rsidRPr="00F0238C" w:rsidRDefault="00BB2DB8" w:rsidP="00BB2DB8">
      <w:pPr>
        <w:pStyle w:val="Heading4"/>
        <w:rPr>
          <w:lang w:eastAsia="ja-JP"/>
        </w:rPr>
      </w:pPr>
      <w:bookmarkStart w:id="76" w:name="_Toc143608678"/>
      <w:r>
        <w:rPr>
          <w:lang w:eastAsia="ja-JP"/>
        </w:rPr>
        <w:t xml:space="preserve">Use in pregnancy </w:t>
      </w:r>
      <w:proofErr w:type="gramStart"/>
      <w:r w:rsidR="00A576AC" w:rsidRPr="00F0238C">
        <w:rPr>
          <w:lang w:eastAsia="ja-JP"/>
        </w:rPr>
        <w:t>category</w:t>
      </w:r>
      <w:bookmarkEnd w:id="76"/>
      <w:proofErr w:type="gramEnd"/>
    </w:p>
    <w:p w14:paraId="5B029CA2" w14:textId="6D9EE302" w:rsidR="00A576AC" w:rsidRPr="00F0238C" w:rsidRDefault="00A576AC" w:rsidP="00A576AC">
      <w:pPr>
        <w:rPr>
          <w:rFonts w:eastAsia="Calibri"/>
        </w:rPr>
      </w:pPr>
      <w:r w:rsidRPr="00F0238C">
        <w:rPr>
          <w:rFonts w:eastAsia="Calibri"/>
        </w:rPr>
        <w:t xml:space="preserve">This </w:t>
      </w:r>
      <w:r w:rsidR="00BB2DB8">
        <w:rPr>
          <w:rFonts w:eastAsia="Calibri"/>
        </w:rPr>
        <w:t>a</w:t>
      </w:r>
      <w:r w:rsidRPr="00F0238C">
        <w:rPr>
          <w:rFonts w:eastAsia="Calibri"/>
        </w:rPr>
        <w:t xml:space="preserve">pplication </w:t>
      </w:r>
      <w:r w:rsidR="00DB510D">
        <w:rPr>
          <w:rFonts w:eastAsia="Calibri"/>
        </w:rPr>
        <w:t xml:space="preserve">also sought to change the </w:t>
      </w:r>
      <w:r w:rsidR="00DB510D" w:rsidRPr="00DB510D">
        <w:rPr>
          <w:rFonts w:eastAsia="Calibri"/>
        </w:rPr>
        <w:t>Australian categor</w:t>
      </w:r>
      <w:r w:rsidR="00DB510D">
        <w:rPr>
          <w:rFonts w:eastAsia="Calibri"/>
        </w:rPr>
        <w:t>y</w:t>
      </w:r>
      <w:r w:rsidR="00DB510D" w:rsidRPr="00DB510D">
        <w:rPr>
          <w:rFonts w:eastAsia="Calibri"/>
        </w:rPr>
        <w:t xml:space="preserve"> for prescribing medicines in pregnancy</w:t>
      </w:r>
      <w:r w:rsidRPr="00F0238C">
        <w:rPr>
          <w:rFonts w:eastAsia="Calibri"/>
        </w:rPr>
        <w:t xml:space="preserve"> from </w:t>
      </w:r>
      <w:r w:rsidR="00DB510D">
        <w:rPr>
          <w:rFonts w:eastAsia="Calibri"/>
        </w:rPr>
        <w:t xml:space="preserve">Category </w:t>
      </w:r>
      <w:r w:rsidRPr="00F0238C">
        <w:rPr>
          <w:rFonts w:eastAsia="Calibri"/>
        </w:rPr>
        <w:t xml:space="preserve">B1 to </w:t>
      </w:r>
      <w:r w:rsidR="00DB510D">
        <w:rPr>
          <w:rFonts w:eastAsia="Calibri"/>
        </w:rPr>
        <w:t xml:space="preserve">Category </w:t>
      </w:r>
      <w:r w:rsidRPr="00F0238C">
        <w:rPr>
          <w:rFonts w:eastAsia="Calibri"/>
        </w:rPr>
        <w:t>A</w:t>
      </w:r>
      <w:r w:rsidR="00DB510D">
        <w:rPr>
          <w:rFonts w:eastAsia="Calibri"/>
        </w:rPr>
        <w:t>.</w:t>
      </w:r>
      <w:r w:rsidR="00DB510D">
        <w:rPr>
          <w:rStyle w:val="FootnoteReference"/>
          <w:rFonts w:eastAsia="Calibri"/>
        </w:rPr>
        <w:footnoteReference w:id="23"/>
      </w:r>
    </w:p>
    <w:p w14:paraId="0E3FE0A0" w14:textId="15350F00" w:rsidR="00A576AC" w:rsidRPr="00F0238C" w:rsidRDefault="00A576AC" w:rsidP="00DB510D">
      <w:pPr>
        <w:pStyle w:val="Heading5"/>
        <w:rPr>
          <w:rFonts w:eastAsia="Calibri"/>
        </w:rPr>
      </w:pPr>
      <w:r w:rsidRPr="00F0238C">
        <w:rPr>
          <w:rFonts w:eastAsia="Calibri"/>
        </w:rPr>
        <w:lastRenderedPageBreak/>
        <w:t>Study V130_11</w:t>
      </w:r>
      <w:r w:rsidR="00DB510D">
        <w:rPr>
          <w:rFonts w:eastAsia="Calibri"/>
        </w:rPr>
        <w:t>O</w:t>
      </w:r>
      <w:r w:rsidRPr="00F0238C">
        <w:rPr>
          <w:rFonts w:eastAsia="Calibri"/>
        </w:rPr>
        <w:t>B</w:t>
      </w:r>
    </w:p>
    <w:p w14:paraId="6AB6BA69" w14:textId="1D7D4104" w:rsidR="00043B79" w:rsidRDefault="00043B79" w:rsidP="00043B79">
      <w:pPr>
        <w:pStyle w:val="Heading6"/>
        <w:rPr>
          <w:rFonts w:eastAsia="Calibri"/>
        </w:rPr>
      </w:pPr>
      <w:bookmarkStart w:id="77" w:name="_Hlk134522367"/>
      <w:r>
        <w:rPr>
          <w:rFonts w:eastAsia="Calibri"/>
        </w:rPr>
        <w:t>Description</w:t>
      </w:r>
    </w:p>
    <w:p w14:paraId="43991192" w14:textId="71272E68" w:rsidR="00A576AC" w:rsidRPr="00F0238C" w:rsidRDefault="00DB510D" w:rsidP="00A576AC">
      <w:pPr>
        <w:rPr>
          <w:rFonts w:eastAsia="Calibri"/>
        </w:rPr>
      </w:pPr>
      <w:r>
        <w:rPr>
          <w:rFonts w:eastAsia="Calibri"/>
        </w:rPr>
        <w:t xml:space="preserve">Study V130_11OB was a </w:t>
      </w:r>
      <w:r w:rsidR="00A576AC" w:rsidRPr="00F0238C">
        <w:rPr>
          <w:rFonts w:eastAsia="Calibri"/>
        </w:rPr>
        <w:t xml:space="preserve">prospective observational cohort study </w:t>
      </w:r>
      <w:r w:rsidR="0087361C">
        <w:rPr>
          <w:rFonts w:eastAsia="Calibri"/>
        </w:rPr>
        <w:t xml:space="preserve">in the US </w:t>
      </w:r>
      <w:r w:rsidR="00A576AC" w:rsidRPr="00F0238C">
        <w:rPr>
          <w:rFonts w:eastAsia="Calibri"/>
        </w:rPr>
        <w:t xml:space="preserve">with </w:t>
      </w:r>
      <w:r>
        <w:rPr>
          <w:rFonts w:eastAsia="Calibri"/>
        </w:rPr>
        <w:t xml:space="preserve">the </w:t>
      </w:r>
      <w:r w:rsidR="00A576AC" w:rsidRPr="00F0238C">
        <w:rPr>
          <w:rFonts w:eastAsia="Calibri"/>
        </w:rPr>
        <w:t>safety objective to evaluate pregnancy outcomes as well as events of interest of major congenital malformations, preterm birth and low birthweight among women immuni</w:t>
      </w:r>
      <w:r>
        <w:rPr>
          <w:rFonts w:eastAsia="Calibri"/>
        </w:rPr>
        <w:t>s</w:t>
      </w:r>
      <w:r w:rsidR="00A576AC" w:rsidRPr="00F0238C">
        <w:rPr>
          <w:rFonts w:eastAsia="Calibri"/>
        </w:rPr>
        <w:t xml:space="preserve">ed as part of routine care with the </w:t>
      </w:r>
      <w:r w:rsidR="00CD7466">
        <w:rPr>
          <w:rFonts w:eastAsia="Calibri"/>
        </w:rPr>
        <w:t xml:space="preserve">trivalent or quadrivalent cell-based influenza </w:t>
      </w:r>
      <w:r w:rsidR="00A576AC" w:rsidRPr="00F0238C">
        <w:rPr>
          <w:rFonts w:eastAsia="Calibri"/>
        </w:rPr>
        <w:t>vaccine during pregnancy.</w:t>
      </w:r>
      <w:r w:rsidR="00043B79">
        <w:rPr>
          <w:rStyle w:val="FootnoteReference"/>
          <w:rFonts w:eastAsia="Calibri"/>
        </w:rPr>
        <w:footnoteReference w:id="24"/>
      </w:r>
    </w:p>
    <w:bookmarkEnd w:id="77"/>
    <w:p w14:paraId="6484D8FE" w14:textId="490DDF4C" w:rsidR="00A576AC" w:rsidRDefault="0087361C" w:rsidP="00A576AC">
      <w:pPr>
        <w:rPr>
          <w:rFonts w:eastAsia="Calibri"/>
        </w:rPr>
      </w:pPr>
      <w:r>
        <w:rPr>
          <w:rFonts w:eastAsia="Calibri"/>
        </w:rPr>
        <w:t>D</w:t>
      </w:r>
      <w:r w:rsidR="00A576AC" w:rsidRPr="00F0238C">
        <w:rPr>
          <w:rFonts w:eastAsia="Calibri"/>
        </w:rPr>
        <w:t>ata collection for each participant began at enrolment (during pregnancy),</w:t>
      </w:r>
      <w:r w:rsidR="00043B79">
        <w:rPr>
          <w:rFonts w:eastAsia="Calibri"/>
        </w:rPr>
        <w:t xml:space="preserve"> </w:t>
      </w:r>
      <w:r>
        <w:rPr>
          <w:rFonts w:eastAsia="Calibri"/>
        </w:rPr>
        <w:t xml:space="preserve">with </w:t>
      </w:r>
      <w:r w:rsidR="00A576AC" w:rsidRPr="00F0238C">
        <w:rPr>
          <w:rFonts w:eastAsia="Calibri"/>
        </w:rPr>
        <w:t>follow-up at the end of the second trimester (</w:t>
      </w:r>
      <w:r>
        <w:rPr>
          <w:rFonts w:eastAsia="Calibri"/>
        </w:rPr>
        <w:t xml:space="preserve">approximately </w:t>
      </w:r>
      <w:r w:rsidR="00A576AC" w:rsidRPr="00F0238C">
        <w:rPr>
          <w:rFonts w:eastAsia="Calibri"/>
        </w:rPr>
        <w:t>24 weeks’ gestation) and/or at pregnancy outcome (delivery or early termination).</w:t>
      </w:r>
    </w:p>
    <w:p w14:paraId="343C380F" w14:textId="3A1AD61C" w:rsidR="00043B79" w:rsidRPr="00F0238C" w:rsidRDefault="00043B79" w:rsidP="00043B79">
      <w:pPr>
        <w:pStyle w:val="Heading6"/>
        <w:rPr>
          <w:rFonts w:eastAsia="Calibri"/>
        </w:rPr>
      </w:pPr>
      <w:r>
        <w:rPr>
          <w:rFonts w:eastAsia="Calibri"/>
        </w:rPr>
        <w:t>Participants</w:t>
      </w:r>
    </w:p>
    <w:p w14:paraId="57856A5A" w14:textId="5E82F222" w:rsidR="00A576AC" w:rsidRDefault="0087361C" w:rsidP="00A576AC">
      <w:pPr>
        <w:rPr>
          <w:rFonts w:eastAsia="Calibri"/>
        </w:rPr>
      </w:pPr>
      <w:r>
        <w:rPr>
          <w:rFonts w:eastAsia="Calibri"/>
        </w:rPr>
        <w:t xml:space="preserve">There were </w:t>
      </w:r>
      <w:r w:rsidR="00A576AC" w:rsidRPr="00F0238C">
        <w:rPr>
          <w:rFonts w:eastAsia="Calibri"/>
        </w:rPr>
        <w:t xml:space="preserve">693 women enrolled with 1 woman confirmed </w:t>
      </w:r>
      <w:r>
        <w:rPr>
          <w:rFonts w:eastAsia="Calibri"/>
        </w:rPr>
        <w:t xml:space="preserve">as </w:t>
      </w:r>
      <w:r w:rsidR="00A576AC" w:rsidRPr="00F0238C">
        <w:rPr>
          <w:rFonts w:eastAsia="Calibri"/>
        </w:rPr>
        <w:t>ineligible after enrolment. Of the 692</w:t>
      </w:r>
      <w:r>
        <w:rPr>
          <w:rFonts w:eastAsia="Calibri"/>
        </w:rPr>
        <w:t xml:space="preserve"> eligible women</w:t>
      </w:r>
      <w:r w:rsidR="00A576AC" w:rsidRPr="00F0238C">
        <w:rPr>
          <w:rFonts w:eastAsia="Calibri"/>
        </w:rPr>
        <w:t xml:space="preserve">, 27 (3.9%) were lost to follow-up. Hence, there were 665 evaluable women who </w:t>
      </w:r>
      <w:r>
        <w:rPr>
          <w:rFonts w:eastAsia="Calibri"/>
        </w:rPr>
        <w:t xml:space="preserve">had </w:t>
      </w:r>
      <w:r w:rsidR="00A576AC" w:rsidRPr="00F0238C">
        <w:rPr>
          <w:rFonts w:eastAsia="Calibri"/>
        </w:rPr>
        <w:t xml:space="preserve">received </w:t>
      </w:r>
      <w:proofErr w:type="spellStart"/>
      <w:r w:rsidR="00A576AC" w:rsidRPr="00F0238C">
        <w:rPr>
          <w:rFonts w:eastAsia="Calibri"/>
        </w:rPr>
        <w:t>QIVc</w:t>
      </w:r>
      <w:proofErr w:type="spellEnd"/>
      <w:r w:rsidR="00A576AC" w:rsidRPr="00F0238C">
        <w:rPr>
          <w:rFonts w:eastAsia="Calibri"/>
        </w:rPr>
        <w:t xml:space="preserve"> as part of routine care, enrolled over </w:t>
      </w:r>
      <w:r w:rsidR="00510E89">
        <w:rPr>
          <w:rFonts w:eastAsia="Calibri"/>
        </w:rPr>
        <w:t>3</w:t>
      </w:r>
      <w:r w:rsidR="00A576AC" w:rsidRPr="00F0238C">
        <w:rPr>
          <w:rFonts w:eastAsia="Calibri"/>
        </w:rPr>
        <w:t xml:space="preserve"> </w:t>
      </w:r>
      <w:r w:rsidR="00E86A5E">
        <w:rPr>
          <w:rFonts w:eastAsia="Calibri"/>
        </w:rPr>
        <w:t xml:space="preserve">consecutive </w:t>
      </w:r>
      <w:r>
        <w:rPr>
          <w:rFonts w:eastAsia="Calibri"/>
        </w:rPr>
        <w:t>northern hemisphere</w:t>
      </w:r>
      <w:r w:rsidR="00A576AC" w:rsidRPr="00F0238C">
        <w:rPr>
          <w:rFonts w:eastAsia="Calibri"/>
        </w:rPr>
        <w:t xml:space="preserve"> </w:t>
      </w:r>
      <w:r>
        <w:rPr>
          <w:rFonts w:eastAsia="Calibri"/>
        </w:rPr>
        <w:t xml:space="preserve">influenza seasons </w:t>
      </w:r>
      <w:r w:rsidR="00E86A5E">
        <w:rPr>
          <w:rFonts w:eastAsia="Calibri"/>
        </w:rPr>
        <w:t xml:space="preserve">commencing </w:t>
      </w:r>
      <w:r w:rsidR="00A576AC" w:rsidRPr="00F0238C">
        <w:rPr>
          <w:rFonts w:eastAsia="Calibri"/>
        </w:rPr>
        <w:t>2017.</w:t>
      </w:r>
    </w:p>
    <w:p w14:paraId="560418C7" w14:textId="7DF2377D" w:rsidR="0087361C" w:rsidRPr="00F0238C" w:rsidRDefault="0087361C" w:rsidP="0087361C">
      <w:pPr>
        <w:rPr>
          <w:lang w:eastAsia="ja-JP"/>
        </w:rPr>
      </w:pPr>
      <w:r w:rsidRPr="00F0238C">
        <w:rPr>
          <w:lang w:eastAsia="ja-JP"/>
        </w:rPr>
        <w:t>Mean maternal age at conception was 28 years</w:t>
      </w:r>
      <w:r>
        <w:rPr>
          <w:lang w:eastAsia="ja-JP"/>
        </w:rPr>
        <w:t>;</w:t>
      </w:r>
      <w:r w:rsidRPr="00F0238C">
        <w:rPr>
          <w:lang w:eastAsia="ja-JP"/>
        </w:rPr>
        <w:t xml:space="preserve"> 399 (60%) were White, 194 (29.2%) were Black and 29 (4.4%) were of Asian race. Non-Hispanic ethnicity </w:t>
      </w:r>
      <w:r>
        <w:rPr>
          <w:lang w:eastAsia="ja-JP"/>
        </w:rPr>
        <w:t xml:space="preserve">was </w:t>
      </w:r>
      <w:r w:rsidRPr="00F0238C">
        <w:rPr>
          <w:lang w:eastAsia="ja-JP"/>
        </w:rPr>
        <w:t xml:space="preserve">reported </w:t>
      </w:r>
      <w:r>
        <w:rPr>
          <w:lang w:eastAsia="ja-JP"/>
        </w:rPr>
        <w:t xml:space="preserve">by </w:t>
      </w:r>
      <w:r w:rsidRPr="00F0238C">
        <w:rPr>
          <w:lang w:eastAsia="ja-JP"/>
        </w:rPr>
        <w:t>437 (65.7%)</w:t>
      </w:r>
      <w:r>
        <w:rPr>
          <w:lang w:eastAsia="ja-JP"/>
        </w:rPr>
        <w:t xml:space="preserve"> women</w:t>
      </w:r>
      <w:r w:rsidRPr="00F0238C">
        <w:rPr>
          <w:lang w:eastAsia="ja-JP"/>
        </w:rPr>
        <w:t xml:space="preserve">. </w:t>
      </w:r>
      <w:proofErr w:type="gramStart"/>
      <w:r w:rsidRPr="00671F1C">
        <w:rPr>
          <w:lang w:eastAsia="ja-JP"/>
        </w:rPr>
        <w:t>The majority of</w:t>
      </w:r>
      <w:proofErr w:type="gramEnd"/>
      <w:r w:rsidRPr="00671F1C">
        <w:rPr>
          <w:lang w:eastAsia="ja-JP"/>
        </w:rPr>
        <w:t xml:space="preserve"> women in the </w:t>
      </w:r>
      <w:r w:rsidR="00671F1C" w:rsidRPr="00671F1C">
        <w:rPr>
          <w:lang w:eastAsia="ja-JP"/>
        </w:rPr>
        <w:t>primary analysis population</w:t>
      </w:r>
      <w:r w:rsidRPr="00671F1C">
        <w:rPr>
          <w:lang w:eastAsia="ja-JP"/>
        </w:rPr>
        <w:t xml:space="preserve"> (n</w:t>
      </w:r>
      <w:r w:rsidR="00212192">
        <w:rPr>
          <w:lang w:eastAsia="ja-JP"/>
        </w:rPr>
        <w:t> = </w:t>
      </w:r>
      <w:r w:rsidRPr="00671F1C">
        <w:rPr>
          <w:lang w:eastAsia="ja-JP"/>
        </w:rPr>
        <w:t>527; 79.2%) reported</w:t>
      </w:r>
      <w:r w:rsidR="00671F1C" w:rsidRPr="00671F1C">
        <w:rPr>
          <w:lang w:eastAsia="ja-JP"/>
        </w:rPr>
        <w:t xml:space="preserve"> at least </w:t>
      </w:r>
      <w:r w:rsidRPr="00671F1C">
        <w:rPr>
          <w:lang w:eastAsia="ja-JP"/>
        </w:rPr>
        <w:t>one</w:t>
      </w:r>
      <w:r w:rsidRPr="00F0238C">
        <w:rPr>
          <w:lang w:eastAsia="ja-JP"/>
        </w:rPr>
        <w:t xml:space="preserve"> concurrent condition. Most (n</w:t>
      </w:r>
      <w:r w:rsidR="00212192">
        <w:rPr>
          <w:lang w:eastAsia="ja-JP"/>
        </w:rPr>
        <w:t> = </w:t>
      </w:r>
      <w:r w:rsidRPr="00F0238C">
        <w:rPr>
          <w:lang w:eastAsia="ja-JP"/>
        </w:rPr>
        <w:t xml:space="preserve">651; 97.9%) reported use of concomitant medications (including prenatal vitamins). Tobacco use was reported by 84 (12.6%) women and </w:t>
      </w:r>
      <w:r w:rsidR="00671F1C">
        <w:rPr>
          <w:lang w:eastAsia="ja-JP"/>
        </w:rPr>
        <w:t>one</w:t>
      </w:r>
      <w:r w:rsidRPr="00F0238C">
        <w:rPr>
          <w:lang w:eastAsia="ja-JP"/>
        </w:rPr>
        <w:t xml:space="preserve"> woman reported alcohol use. No illicit drug use </w:t>
      </w:r>
      <w:r w:rsidR="00671F1C">
        <w:rPr>
          <w:lang w:eastAsia="ja-JP"/>
        </w:rPr>
        <w:t xml:space="preserve">was </w:t>
      </w:r>
      <w:r w:rsidRPr="00F0238C">
        <w:rPr>
          <w:lang w:eastAsia="ja-JP"/>
        </w:rPr>
        <w:t xml:space="preserve">reported. No major differences </w:t>
      </w:r>
      <w:r w:rsidR="00671F1C">
        <w:rPr>
          <w:lang w:eastAsia="ja-JP"/>
        </w:rPr>
        <w:t xml:space="preserve">were evident </w:t>
      </w:r>
      <w:r w:rsidRPr="00F0238C">
        <w:rPr>
          <w:lang w:eastAsia="ja-JP"/>
        </w:rPr>
        <w:t>in the demographic</w:t>
      </w:r>
      <w:r w:rsidR="00C42915">
        <w:rPr>
          <w:lang w:eastAsia="ja-JP"/>
        </w:rPr>
        <w:t xml:space="preserve"> and </w:t>
      </w:r>
      <w:r w:rsidRPr="00F0238C">
        <w:rPr>
          <w:lang w:eastAsia="ja-JP"/>
        </w:rPr>
        <w:t>baseline characteristics between women enrolled by different dedicated reporters.</w:t>
      </w:r>
      <w:r w:rsidRPr="00F0238C">
        <w:t xml:space="preserve"> </w:t>
      </w:r>
      <w:r w:rsidRPr="00F0238C">
        <w:rPr>
          <w:lang w:eastAsia="ja-JP"/>
        </w:rPr>
        <w:t xml:space="preserve">All women </w:t>
      </w:r>
      <w:r w:rsidR="00043B79">
        <w:rPr>
          <w:lang w:eastAsia="ja-JP"/>
        </w:rPr>
        <w:t xml:space="preserve">were </w:t>
      </w:r>
      <w:r w:rsidRPr="00F0238C">
        <w:rPr>
          <w:lang w:eastAsia="ja-JP"/>
        </w:rPr>
        <w:t xml:space="preserve">exposed to </w:t>
      </w:r>
      <w:proofErr w:type="spellStart"/>
      <w:r w:rsidRPr="00F0238C">
        <w:rPr>
          <w:lang w:eastAsia="ja-JP"/>
        </w:rPr>
        <w:t>QIVc</w:t>
      </w:r>
      <w:proofErr w:type="spellEnd"/>
      <w:r w:rsidR="00043B79">
        <w:rPr>
          <w:lang w:eastAsia="ja-JP"/>
        </w:rPr>
        <w:t>.</w:t>
      </w:r>
      <w:r w:rsidRPr="00F0238C">
        <w:rPr>
          <w:lang w:eastAsia="ja-JP"/>
        </w:rPr>
        <w:t xml:space="preserve"> Of prospectively enrolled women, 196 (28.3%) were exposed during their first trimester, 286 (41.3%) during the second trimester and 211 (30.4%) during the third trimester. Of the 665 women, 211 (31.7%) enrolled prior to 20 weeks gestation.</w:t>
      </w:r>
    </w:p>
    <w:p w14:paraId="344DF5FB" w14:textId="1A4C7CDA" w:rsidR="00A576AC" w:rsidRPr="00F0238C" w:rsidRDefault="00A576AC" w:rsidP="0087361C">
      <w:pPr>
        <w:pStyle w:val="Heading6"/>
        <w:rPr>
          <w:rFonts w:eastAsia="Calibri"/>
        </w:rPr>
      </w:pPr>
      <w:r w:rsidRPr="00F0238C">
        <w:rPr>
          <w:rFonts w:eastAsia="Calibri"/>
        </w:rPr>
        <w:t>R</w:t>
      </w:r>
      <w:r w:rsidR="0087361C">
        <w:rPr>
          <w:rFonts w:eastAsia="Calibri"/>
        </w:rPr>
        <w:t>esults</w:t>
      </w:r>
    </w:p>
    <w:p w14:paraId="5481F8C7" w14:textId="77777777" w:rsidR="00043B79" w:rsidRDefault="00043B79" w:rsidP="00A576AC">
      <w:pPr>
        <w:rPr>
          <w:lang w:eastAsia="ja-JP"/>
        </w:rPr>
      </w:pPr>
      <w:r>
        <w:rPr>
          <w:lang w:eastAsia="ja-JP"/>
        </w:rPr>
        <w:t>A t</w:t>
      </w:r>
      <w:r w:rsidR="00A576AC" w:rsidRPr="00F0238C">
        <w:rPr>
          <w:lang w:eastAsia="ja-JP"/>
        </w:rPr>
        <w:t xml:space="preserve">otal of 99.1% </w:t>
      </w:r>
      <w:r>
        <w:rPr>
          <w:lang w:eastAsia="ja-JP"/>
        </w:rPr>
        <w:t xml:space="preserve">of the women </w:t>
      </w:r>
      <w:r w:rsidR="00A576AC" w:rsidRPr="00F0238C">
        <w:rPr>
          <w:lang w:eastAsia="ja-JP"/>
        </w:rPr>
        <w:t>had a pregnancy outcome of a live birth. No stillbirth</w:t>
      </w:r>
      <w:r>
        <w:rPr>
          <w:lang w:eastAsia="ja-JP"/>
        </w:rPr>
        <w:t xml:space="preserve"> wa</w:t>
      </w:r>
      <w:r w:rsidR="00A576AC" w:rsidRPr="00F0238C">
        <w:rPr>
          <w:lang w:eastAsia="ja-JP"/>
        </w:rPr>
        <w:t>s reported. Among the 211 subjects with an enrolment prior to 20 w</w:t>
      </w:r>
      <w:r>
        <w:rPr>
          <w:lang w:eastAsia="ja-JP"/>
        </w:rPr>
        <w:t>ee</w:t>
      </w:r>
      <w:r w:rsidR="00A576AC" w:rsidRPr="00F0238C">
        <w:rPr>
          <w:lang w:eastAsia="ja-JP"/>
        </w:rPr>
        <w:t xml:space="preserve">ks gestation, 4 spontaneous abortions (1.9%) and 1 elective termination (0.5%) were reported. One ectopic pregnancy was reported. For the 665 reported pregnancy outcomes, data were reported for 673 infants. There were 656 singleton pregnancies and 9 multiple gestation pregnancies enrolled (all twins), however, for 1 multiple gestation pregnancy one of the twins died </w:t>
      </w:r>
      <w:r w:rsidR="00A576AC" w:rsidRPr="00043B79">
        <w:rPr>
          <w:i/>
          <w:iCs/>
          <w:lang w:eastAsia="ja-JP"/>
        </w:rPr>
        <w:t>in utero</w:t>
      </w:r>
      <w:r w:rsidR="00A576AC" w:rsidRPr="00F0238C">
        <w:rPr>
          <w:lang w:eastAsia="ja-JP"/>
        </w:rPr>
        <w:t xml:space="preserve"> prior to vaccination and enrolment.</w:t>
      </w:r>
    </w:p>
    <w:p w14:paraId="008BD591" w14:textId="4EDBF560" w:rsidR="00A576AC" w:rsidRPr="00F0238C" w:rsidRDefault="00A576AC" w:rsidP="00A576AC">
      <w:pPr>
        <w:rPr>
          <w:lang w:eastAsia="ja-JP"/>
        </w:rPr>
      </w:pPr>
      <w:r w:rsidRPr="00F0238C">
        <w:rPr>
          <w:lang w:eastAsia="ja-JP"/>
        </w:rPr>
        <w:t>For the infant events of interest, preterm birth was reported for 52 infants (9.2%</w:t>
      </w:r>
      <w:r w:rsidR="00EF56B7">
        <w:rPr>
          <w:lang w:eastAsia="ja-JP"/>
        </w:rPr>
        <w:t>;</w:t>
      </w:r>
      <w:r w:rsidRPr="00F0238C">
        <w:rPr>
          <w:lang w:eastAsia="ja-JP"/>
        </w:rPr>
        <w:t xml:space="preserve"> upper 95% CI</w:t>
      </w:r>
      <w:r w:rsidR="00B13796">
        <w:rPr>
          <w:lang w:eastAsia="ja-JP"/>
        </w:rPr>
        <w:t>:</w:t>
      </w:r>
      <w:r w:rsidRPr="00F0238C">
        <w:rPr>
          <w:lang w:eastAsia="ja-JP"/>
        </w:rPr>
        <w:t xml:space="preserve">11.5%) and </w:t>
      </w:r>
      <w:r w:rsidR="00DB510D">
        <w:rPr>
          <w:lang w:eastAsia="ja-JP"/>
        </w:rPr>
        <w:t xml:space="preserve">low birthweight </w:t>
      </w:r>
      <w:r w:rsidRPr="00F0238C">
        <w:rPr>
          <w:lang w:eastAsia="ja-JP"/>
        </w:rPr>
        <w:t>reported for 37 infants (5.8%, upper 95% CI</w:t>
      </w:r>
      <w:r w:rsidR="00B13796">
        <w:rPr>
          <w:lang w:eastAsia="ja-JP"/>
        </w:rPr>
        <w:t>:</w:t>
      </w:r>
      <w:r w:rsidRPr="00F0238C">
        <w:rPr>
          <w:lang w:eastAsia="ja-JP"/>
        </w:rPr>
        <w:t xml:space="preserve"> 7.6%). For 17</w:t>
      </w:r>
      <w:r w:rsidR="00043B79">
        <w:rPr>
          <w:lang w:eastAsia="ja-JP"/>
        </w:rPr>
        <w:t> </w:t>
      </w:r>
      <w:r w:rsidRPr="00F0238C">
        <w:rPr>
          <w:lang w:eastAsia="ja-JP"/>
        </w:rPr>
        <w:t>fetus</w:t>
      </w:r>
      <w:r w:rsidR="00E86A5E">
        <w:rPr>
          <w:lang w:eastAsia="ja-JP"/>
        </w:rPr>
        <w:t>es</w:t>
      </w:r>
      <w:r w:rsidR="00C42915">
        <w:rPr>
          <w:lang w:eastAsia="ja-JP"/>
        </w:rPr>
        <w:t xml:space="preserve"> </w:t>
      </w:r>
      <w:r w:rsidR="00E86A5E">
        <w:rPr>
          <w:lang w:eastAsia="ja-JP"/>
        </w:rPr>
        <w:t>and</w:t>
      </w:r>
      <w:r w:rsidR="00C42915">
        <w:rPr>
          <w:lang w:eastAsia="ja-JP"/>
        </w:rPr>
        <w:t xml:space="preserve"> </w:t>
      </w:r>
      <w:r w:rsidRPr="00F0238C">
        <w:rPr>
          <w:lang w:eastAsia="ja-JP"/>
        </w:rPr>
        <w:t xml:space="preserve">infants at least one </w:t>
      </w:r>
      <w:r w:rsidR="00043B79">
        <w:rPr>
          <w:lang w:eastAsia="ja-JP"/>
        </w:rPr>
        <w:t>m</w:t>
      </w:r>
      <w:r w:rsidR="00043B79" w:rsidRPr="00043B79">
        <w:rPr>
          <w:lang w:eastAsia="ja-JP"/>
        </w:rPr>
        <w:t>ajor congenital malformation</w:t>
      </w:r>
      <w:r w:rsidRPr="00F0238C">
        <w:rPr>
          <w:lang w:eastAsia="ja-JP"/>
        </w:rPr>
        <w:t xml:space="preserve"> was reported by a</w:t>
      </w:r>
      <w:r w:rsidR="00043B79">
        <w:rPr>
          <w:lang w:eastAsia="ja-JP"/>
        </w:rPr>
        <w:t xml:space="preserve"> healthcare </w:t>
      </w:r>
      <w:r w:rsidR="00043B79" w:rsidRPr="00F23027">
        <w:rPr>
          <w:lang w:eastAsia="ja-JP"/>
        </w:rPr>
        <w:t>provider. F</w:t>
      </w:r>
      <w:r w:rsidRPr="00F23027">
        <w:rPr>
          <w:lang w:eastAsia="ja-JP"/>
        </w:rPr>
        <w:t>or 3</w:t>
      </w:r>
      <w:r w:rsidR="00043B79" w:rsidRPr="00F23027">
        <w:rPr>
          <w:lang w:eastAsia="ja-JP"/>
        </w:rPr>
        <w:t> </w:t>
      </w:r>
      <w:r w:rsidRPr="00F23027">
        <w:rPr>
          <w:lang w:eastAsia="ja-JP"/>
        </w:rPr>
        <w:t>cases with a</w:t>
      </w:r>
      <w:r w:rsidRPr="00F23027">
        <w:t xml:space="preserve"> </w:t>
      </w:r>
      <w:r w:rsidRPr="00F23027">
        <w:rPr>
          <w:lang w:eastAsia="ja-JP"/>
        </w:rPr>
        <w:t xml:space="preserve">reported </w:t>
      </w:r>
      <w:r w:rsidR="00043B79" w:rsidRPr="00F23027">
        <w:rPr>
          <w:lang w:eastAsia="ja-JP"/>
        </w:rPr>
        <w:t>major congenital malformation</w:t>
      </w:r>
      <w:r w:rsidRPr="00F23027">
        <w:rPr>
          <w:lang w:eastAsia="ja-JP"/>
        </w:rPr>
        <w:t xml:space="preserve">, the </w:t>
      </w:r>
      <w:r w:rsidR="00F23027" w:rsidRPr="00F23027">
        <w:rPr>
          <w:lang w:eastAsia="ja-JP"/>
        </w:rPr>
        <w:t>event of interest</w:t>
      </w:r>
      <w:r w:rsidRPr="00F23027">
        <w:rPr>
          <w:lang w:eastAsia="ja-JP"/>
        </w:rPr>
        <w:t xml:space="preserve"> was</w:t>
      </w:r>
      <w:r w:rsidRPr="00F0238C">
        <w:rPr>
          <w:lang w:eastAsia="ja-JP"/>
        </w:rPr>
        <w:t xml:space="preserve"> adjudicated as not being an MACDP-listed defect.</w:t>
      </w:r>
      <w:r w:rsidR="00043B79">
        <w:rPr>
          <w:rStyle w:val="FootnoteReference"/>
          <w:lang w:eastAsia="ja-JP"/>
        </w:rPr>
        <w:footnoteReference w:id="25"/>
      </w:r>
      <w:r w:rsidRPr="00F0238C">
        <w:rPr>
          <w:lang w:eastAsia="ja-JP"/>
        </w:rPr>
        <w:t xml:space="preserve"> Of the 14 cases with a confirmed MACDP defect, </w:t>
      </w:r>
      <w:r w:rsidR="00985997">
        <w:rPr>
          <w:lang w:eastAsia="ja-JP"/>
        </w:rPr>
        <w:t>one</w:t>
      </w:r>
      <w:r w:rsidRPr="00F0238C">
        <w:rPr>
          <w:lang w:eastAsia="ja-JP"/>
        </w:rPr>
        <w:t xml:space="preserve"> was observed in an elective termination prior to 20 weeks gestation. Using the primary method to calculate the prevalence (</w:t>
      </w:r>
      <w:r w:rsidR="00985997">
        <w:rPr>
          <w:lang w:eastAsia="ja-JP"/>
        </w:rPr>
        <w:t xml:space="preserve">that is, </w:t>
      </w:r>
      <w:r w:rsidRPr="00F0238C">
        <w:rPr>
          <w:lang w:eastAsia="ja-JP"/>
        </w:rPr>
        <w:t xml:space="preserve">excluding </w:t>
      </w:r>
      <w:r w:rsidR="00043B79">
        <w:rPr>
          <w:lang w:eastAsia="ja-JP"/>
        </w:rPr>
        <w:t>m</w:t>
      </w:r>
      <w:r w:rsidR="00043B79" w:rsidRPr="00043B79">
        <w:rPr>
          <w:lang w:eastAsia="ja-JP"/>
        </w:rPr>
        <w:t>ajor congenital malformation</w:t>
      </w:r>
      <w:r w:rsidRPr="00F0238C">
        <w:rPr>
          <w:lang w:eastAsia="ja-JP"/>
        </w:rPr>
        <w:t>s reported in non-live births prior to 20 weeks gestation), 13 of 667 live births with an MACDP defect account for 1.9% (upper 95% CI</w:t>
      </w:r>
      <w:r w:rsidR="00B13796">
        <w:rPr>
          <w:lang w:eastAsia="ja-JP"/>
        </w:rPr>
        <w:t>:</w:t>
      </w:r>
      <w:r w:rsidRPr="00F0238C">
        <w:rPr>
          <w:lang w:eastAsia="ja-JP"/>
        </w:rPr>
        <w:t xml:space="preserve"> 3.1%). For 2 of the 14 fetus</w:t>
      </w:r>
      <w:r w:rsidR="00E86A5E">
        <w:rPr>
          <w:lang w:eastAsia="ja-JP"/>
        </w:rPr>
        <w:t>es</w:t>
      </w:r>
      <w:r w:rsidR="00C42915">
        <w:rPr>
          <w:lang w:eastAsia="ja-JP"/>
        </w:rPr>
        <w:t xml:space="preserve"> and </w:t>
      </w:r>
      <w:r w:rsidRPr="00F0238C">
        <w:rPr>
          <w:lang w:eastAsia="ja-JP"/>
        </w:rPr>
        <w:t xml:space="preserve">infants, their mother </w:t>
      </w:r>
      <w:r w:rsidRPr="00F0238C">
        <w:rPr>
          <w:lang w:eastAsia="ja-JP"/>
        </w:rPr>
        <w:lastRenderedPageBreak/>
        <w:t xml:space="preserve">had a </w:t>
      </w:r>
      <w:r w:rsidR="00F23027">
        <w:rPr>
          <w:lang w:eastAsia="ja-JP"/>
        </w:rPr>
        <w:t>first</w:t>
      </w:r>
      <w:r w:rsidRPr="00F0238C">
        <w:rPr>
          <w:lang w:eastAsia="ja-JP"/>
        </w:rPr>
        <w:t xml:space="preserve"> trimester exposure, and for both the reported defect had a known cause other than exposure to the study vaccine.</w:t>
      </w:r>
    </w:p>
    <w:p w14:paraId="2858B006" w14:textId="77777777" w:rsidR="00C22214" w:rsidRDefault="00C22214" w:rsidP="00C22214">
      <w:pPr>
        <w:pStyle w:val="Heading3"/>
        <w:rPr>
          <w:lang w:eastAsia="en-AU"/>
        </w:rPr>
      </w:pPr>
      <w:bookmarkStart w:id="78" w:name="_Toc314842514"/>
      <w:bookmarkStart w:id="79" w:name="_Toc103679298"/>
      <w:bookmarkStart w:id="80" w:name="_Toc143608679"/>
      <w:r>
        <w:rPr>
          <w:lang w:eastAsia="en-AU"/>
        </w:rPr>
        <w:t>Risk management plan</w:t>
      </w:r>
      <w:bookmarkEnd w:id="78"/>
      <w:bookmarkEnd w:id="79"/>
      <w:bookmarkEnd w:id="80"/>
    </w:p>
    <w:p w14:paraId="7F1C9D53" w14:textId="27C45A95" w:rsidR="00961290" w:rsidRPr="00961290" w:rsidRDefault="00961290" w:rsidP="00961290">
      <w:bookmarkStart w:id="81" w:name="_Toc247691531"/>
      <w:bookmarkStart w:id="82" w:name="_Toc314842515"/>
      <w:r w:rsidRPr="00FE2D82">
        <w:t>In support of the extended indications, the sponsor submitted draft E</w:t>
      </w:r>
      <w:r w:rsidR="00F23027" w:rsidRPr="00FE2D82">
        <w:t xml:space="preserve">uropean </w:t>
      </w:r>
      <w:r w:rsidR="003845A5" w:rsidRPr="00FE2D82">
        <w:t xml:space="preserve">Union </w:t>
      </w:r>
      <w:r w:rsidR="00F23027" w:rsidRPr="00FE2D82">
        <w:t>(E</w:t>
      </w:r>
      <w:r w:rsidRPr="00FE2D82">
        <w:t>U</w:t>
      </w:r>
      <w:r w:rsidR="00F23027" w:rsidRPr="00FE2D82">
        <w:t>)</w:t>
      </w:r>
      <w:r w:rsidRPr="00FE2D82">
        <w:t xml:space="preserve"> </w:t>
      </w:r>
      <w:r w:rsidR="00F23027" w:rsidRPr="00FE2D82">
        <w:t>risk management plan (</w:t>
      </w:r>
      <w:r w:rsidRPr="00FE2D82">
        <w:t>RMP</w:t>
      </w:r>
      <w:r w:rsidR="00F23027" w:rsidRPr="00FE2D82">
        <w:t>)</w:t>
      </w:r>
      <w:r w:rsidRPr="00FE2D82">
        <w:t xml:space="preserve"> version 3.1 (dated 27</w:t>
      </w:r>
      <w:r w:rsidR="008E12D0" w:rsidRPr="00FE2D82">
        <w:t> </w:t>
      </w:r>
      <w:r w:rsidRPr="00FE2D82">
        <w:t>August</w:t>
      </w:r>
      <w:r w:rsidR="008E12D0" w:rsidRPr="00FE2D82">
        <w:t> </w:t>
      </w:r>
      <w:r w:rsidRPr="00FE2D82">
        <w:t xml:space="preserve">2021; </w:t>
      </w:r>
      <w:r w:rsidR="00F23027" w:rsidRPr="00FE2D82">
        <w:t>data lock point</w:t>
      </w:r>
      <w:r w:rsidR="008E12D0" w:rsidRPr="00FE2D82">
        <w:t> </w:t>
      </w:r>
      <w:r w:rsidRPr="00FE2D82">
        <w:t>30</w:t>
      </w:r>
      <w:r w:rsidR="008E12D0" w:rsidRPr="00FE2D82">
        <w:t> </w:t>
      </w:r>
      <w:r w:rsidRPr="00FE2D82">
        <w:t xml:space="preserve">June 2021) in association with </w:t>
      </w:r>
      <w:r w:rsidR="00B63793" w:rsidRPr="00FE2D82">
        <w:t>Australia</w:t>
      </w:r>
      <w:r w:rsidR="006962B6">
        <w:t>-</w:t>
      </w:r>
      <w:r w:rsidR="00B63793" w:rsidRPr="00FE2D82">
        <w:t>specific annex (</w:t>
      </w:r>
      <w:r w:rsidRPr="00FE2D82">
        <w:t>ASA</w:t>
      </w:r>
      <w:r w:rsidR="00B63793" w:rsidRPr="00FE2D82">
        <w:t>)</w:t>
      </w:r>
      <w:r w:rsidRPr="00FE2D82">
        <w:t xml:space="preserve"> version 3.1 (dated 9</w:t>
      </w:r>
      <w:r w:rsidR="008E12D0" w:rsidRPr="00FE2D82">
        <w:t> </w:t>
      </w:r>
      <w:r w:rsidRPr="00FE2D82">
        <w:t>May</w:t>
      </w:r>
      <w:r w:rsidR="008E12D0" w:rsidRPr="00FE2D82">
        <w:t> </w:t>
      </w:r>
      <w:r w:rsidRPr="00FE2D82">
        <w:t xml:space="preserve">2022). </w:t>
      </w:r>
      <w:bookmarkStart w:id="83" w:name="_Hlk129008849"/>
      <w:r w:rsidRPr="00FE2D82">
        <w:t xml:space="preserve">At </w:t>
      </w:r>
      <w:r w:rsidR="00B63793" w:rsidRPr="00FE2D82">
        <w:t>the second round of evaluation</w:t>
      </w:r>
      <w:r w:rsidRPr="00FE2D82">
        <w:t>, the sponsor submitted ASA version 3.2 (dated 6</w:t>
      </w:r>
      <w:r w:rsidR="00152BC7" w:rsidRPr="00FE2D82">
        <w:t> </w:t>
      </w:r>
      <w:r w:rsidRPr="00FE2D82">
        <w:t>January</w:t>
      </w:r>
      <w:r w:rsidR="00152BC7" w:rsidRPr="00FE2D82">
        <w:t> </w:t>
      </w:r>
      <w:r w:rsidRPr="00FE2D82">
        <w:t>2023)</w:t>
      </w:r>
      <w:r w:rsidR="00152BC7" w:rsidRPr="00FE2D82">
        <w:t>.</w:t>
      </w:r>
    </w:p>
    <w:bookmarkEnd w:id="83"/>
    <w:p w14:paraId="69D4617F" w14:textId="07CC72C4" w:rsidR="00961290" w:rsidRDefault="00961290" w:rsidP="00961290">
      <w:r w:rsidRPr="00D7782A">
        <w:t>As the TGA has previously evaluated RMPs for this product, the focus of this evaluation is on the differences between the RMP versions that could have an impact on the safety profile, and any new safety related information relevant to this submission.</w:t>
      </w:r>
    </w:p>
    <w:p w14:paraId="39F3CD1D" w14:textId="10C11B35" w:rsidR="0072003B" w:rsidRDefault="00C22214" w:rsidP="00C22214">
      <w:pPr>
        <w:rPr>
          <w:szCs w:val="22"/>
        </w:rPr>
      </w:pPr>
      <w:r w:rsidRPr="00BD5DBD">
        <w:rPr>
          <w:szCs w:val="22"/>
        </w:rPr>
        <w:t xml:space="preserve">The summary of safety concerns and their associated risk monitoring and mitigation strategies </w:t>
      </w:r>
      <w:r w:rsidRPr="00782564">
        <w:rPr>
          <w:szCs w:val="22"/>
        </w:rPr>
        <w:t>are summarised in</w:t>
      </w:r>
      <w:r w:rsidR="00782564" w:rsidRPr="00782564">
        <w:rPr>
          <w:szCs w:val="22"/>
        </w:rPr>
        <w:t xml:space="preserve"> </w:t>
      </w:r>
      <w:r w:rsidR="00782564" w:rsidRPr="00782564">
        <w:rPr>
          <w:szCs w:val="22"/>
        </w:rPr>
        <w:fldChar w:fldCharType="begin"/>
      </w:r>
      <w:r w:rsidR="00782564" w:rsidRPr="00782564">
        <w:rPr>
          <w:szCs w:val="22"/>
        </w:rPr>
        <w:instrText xml:space="preserve"> REF _Ref143609387 \h </w:instrText>
      </w:r>
      <w:r w:rsidR="00782564">
        <w:rPr>
          <w:szCs w:val="22"/>
        </w:rPr>
        <w:instrText xml:space="preserve"> \* MERGEFORMAT </w:instrText>
      </w:r>
      <w:r w:rsidR="00782564" w:rsidRPr="00782564">
        <w:rPr>
          <w:szCs w:val="22"/>
        </w:rPr>
      </w:r>
      <w:r w:rsidR="00782564" w:rsidRPr="00782564">
        <w:rPr>
          <w:szCs w:val="22"/>
        </w:rPr>
        <w:fldChar w:fldCharType="separate"/>
      </w:r>
      <w:r w:rsidR="009C5F1A">
        <w:t xml:space="preserve">Table </w:t>
      </w:r>
      <w:r w:rsidR="009C5F1A">
        <w:rPr>
          <w:noProof/>
        </w:rPr>
        <w:t>8</w:t>
      </w:r>
      <w:r w:rsidR="00782564" w:rsidRPr="00782564">
        <w:rPr>
          <w:szCs w:val="22"/>
        </w:rPr>
        <w:fldChar w:fldCharType="end"/>
      </w:r>
      <w:r w:rsidR="008C49C6" w:rsidRPr="00782564">
        <w:rPr>
          <w:szCs w:val="22"/>
        </w:rPr>
        <w:t>.</w:t>
      </w:r>
      <w:r w:rsidR="0072003B" w:rsidRPr="00782564">
        <w:rPr>
          <w:szCs w:val="22"/>
        </w:rPr>
        <w:t xml:space="preserve"> The TGA</w:t>
      </w:r>
      <w:r w:rsidR="00C07551" w:rsidRPr="00782564">
        <w:rPr>
          <w:szCs w:val="22"/>
        </w:rPr>
        <w:t xml:space="preserve"> may</w:t>
      </w:r>
      <w:r w:rsidR="0072003B" w:rsidRPr="00782564">
        <w:rPr>
          <w:szCs w:val="22"/>
        </w:rPr>
        <w:t xml:space="preserve"> request an updated RMP at any stage of a product's</w:t>
      </w:r>
      <w:r w:rsidR="0072003B" w:rsidRPr="00BD5DBD">
        <w:rPr>
          <w:szCs w:val="22"/>
        </w:rPr>
        <w:t xml:space="preserve"> life</w:t>
      </w:r>
      <w:r w:rsidR="00B63793">
        <w:rPr>
          <w:szCs w:val="22"/>
        </w:rPr>
        <w:noBreakHyphen/>
      </w:r>
      <w:r w:rsidR="0072003B" w:rsidRPr="00BD5DBD">
        <w:rPr>
          <w:szCs w:val="22"/>
        </w:rPr>
        <w:t>cycle, during both the pre</w:t>
      </w:r>
      <w:r w:rsidR="00B63793">
        <w:rPr>
          <w:szCs w:val="22"/>
        </w:rPr>
        <w:noBreakHyphen/>
      </w:r>
      <w:r w:rsidR="0072003B" w:rsidRPr="00BD5DBD">
        <w:rPr>
          <w:szCs w:val="22"/>
        </w:rPr>
        <w:t>approval and post</w:t>
      </w:r>
      <w:r w:rsidR="00B63793">
        <w:rPr>
          <w:szCs w:val="22"/>
        </w:rPr>
        <w:noBreakHyphen/>
      </w:r>
      <w:r w:rsidR="0072003B" w:rsidRPr="00BD5DBD">
        <w:rPr>
          <w:szCs w:val="22"/>
        </w:rPr>
        <w:t>approval phases.</w:t>
      </w:r>
    </w:p>
    <w:p w14:paraId="56B51A93" w14:textId="5E7D3773" w:rsidR="006A277A" w:rsidRDefault="00782564" w:rsidP="00782564">
      <w:pPr>
        <w:pStyle w:val="TableTitle"/>
      </w:pPr>
      <w:bookmarkStart w:id="84" w:name="_Ref143609387"/>
      <w:r>
        <w:t xml:space="preserve">Table </w:t>
      </w:r>
      <w:r w:rsidR="000E770F">
        <w:fldChar w:fldCharType="begin"/>
      </w:r>
      <w:r w:rsidR="000E770F">
        <w:instrText xml:space="preserve"> SEQ Table \* ARABIC </w:instrText>
      </w:r>
      <w:r w:rsidR="000E770F">
        <w:fldChar w:fldCharType="separate"/>
      </w:r>
      <w:r w:rsidR="009C5F1A">
        <w:rPr>
          <w:noProof/>
        </w:rPr>
        <w:t>8</w:t>
      </w:r>
      <w:r w:rsidR="000E770F">
        <w:rPr>
          <w:noProof/>
        </w:rPr>
        <w:fldChar w:fldCharType="end"/>
      </w:r>
      <w:bookmarkEnd w:id="84"/>
      <w:r>
        <w:t>: Summary of safety concerns</w:t>
      </w:r>
    </w:p>
    <w:tbl>
      <w:tblPr>
        <w:tblStyle w:val="TableTGAblue2023"/>
        <w:tblW w:w="0" w:type="auto"/>
        <w:tblLayout w:type="fixed"/>
        <w:tblLook w:val="04A0" w:firstRow="1" w:lastRow="0" w:firstColumn="1" w:lastColumn="0" w:noHBand="0" w:noVBand="1"/>
      </w:tblPr>
      <w:tblGrid>
        <w:gridCol w:w="1726"/>
        <w:gridCol w:w="2616"/>
        <w:gridCol w:w="1058"/>
        <w:gridCol w:w="1301"/>
        <w:gridCol w:w="1058"/>
        <w:gridCol w:w="1301"/>
      </w:tblGrid>
      <w:tr w:rsidR="00D666BA" w14:paraId="01C8883D" w14:textId="77777777" w:rsidTr="00E86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gridSpan w:val="2"/>
            <w:vMerge w:val="restart"/>
          </w:tcPr>
          <w:p w14:paraId="1E26FFED" w14:textId="04A9BA25" w:rsidR="00D666BA" w:rsidRPr="005225D2" w:rsidRDefault="00D666BA" w:rsidP="008B1DBC">
            <w:pPr>
              <w:pStyle w:val="TableText"/>
            </w:pPr>
            <w:r w:rsidRPr="005225D2">
              <w:t>Summary of safety concerns</w:t>
            </w:r>
          </w:p>
        </w:tc>
        <w:tc>
          <w:tcPr>
            <w:tcW w:w="2359" w:type="dxa"/>
            <w:gridSpan w:val="2"/>
          </w:tcPr>
          <w:p w14:paraId="5BA68B97" w14:textId="5497B73F" w:rsidR="00D666BA" w:rsidRPr="005225D2" w:rsidRDefault="00D666BA" w:rsidP="008B1DBC">
            <w:pPr>
              <w:pStyle w:val="TableText"/>
              <w:cnfStyle w:val="100000000000" w:firstRow="1" w:lastRow="0" w:firstColumn="0" w:lastColumn="0" w:oddVBand="0" w:evenVBand="0" w:oddHBand="0" w:evenHBand="0" w:firstRowFirstColumn="0" w:firstRowLastColumn="0" w:lastRowFirstColumn="0" w:lastRowLastColumn="0"/>
            </w:pPr>
            <w:r w:rsidRPr="005225D2">
              <w:t>Pharmacovigilance</w:t>
            </w:r>
          </w:p>
        </w:tc>
        <w:tc>
          <w:tcPr>
            <w:tcW w:w="2359" w:type="dxa"/>
            <w:gridSpan w:val="2"/>
          </w:tcPr>
          <w:p w14:paraId="5CF017A9" w14:textId="4FF93EAF" w:rsidR="00D666BA" w:rsidRPr="005225D2" w:rsidRDefault="00D666BA" w:rsidP="008B1DBC">
            <w:pPr>
              <w:pStyle w:val="TableText"/>
              <w:cnfStyle w:val="100000000000" w:firstRow="1" w:lastRow="0" w:firstColumn="0" w:lastColumn="0" w:oddVBand="0" w:evenVBand="0" w:oddHBand="0" w:evenHBand="0" w:firstRowFirstColumn="0" w:firstRowLastColumn="0" w:lastRowFirstColumn="0" w:lastRowLastColumn="0"/>
            </w:pPr>
            <w:r w:rsidRPr="005225D2">
              <w:t>Risk Minimisation</w:t>
            </w:r>
          </w:p>
        </w:tc>
      </w:tr>
      <w:tr w:rsidR="006236EE" w:rsidRPr="00174D8B" w14:paraId="7DE593BF" w14:textId="77777777" w:rsidTr="00E86A5E">
        <w:tc>
          <w:tcPr>
            <w:cnfStyle w:val="001000000000" w:firstRow="0" w:lastRow="0" w:firstColumn="1" w:lastColumn="0" w:oddVBand="0" w:evenVBand="0" w:oddHBand="0" w:evenHBand="0" w:firstRowFirstColumn="0" w:firstRowLastColumn="0" w:lastRowFirstColumn="0" w:lastRowLastColumn="0"/>
            <w:tcW w:w="4342" w:type="dxa"/>
            <w:gridSpan w:val="2"/>
            <w:vMerge/>
          </w:tcPr>
          <w:p w14:paraId="199FCFFD" w14:textId="77777777" w:rsidR="00243777" w:rsidRPr="005225D2" w:rsidRDefault="00243777" w:rsidP="008B1DBC">
            <w:pPr>
              <w:pStyle w:val="TableText"/>
            </w:pPr>
          </w:p>
        </w:tc>
        <w:tc>
          <w:tcPr>
            <w:tcW w:w="1058" w:type="dxa"/>
            <w:shd w:val="clear" w:color="auto" w:fill="DEEAF6"/>
          </w:tcPr>
          <w:p w14:paraId="22FADBC5" w14:textId="0EC23E2F" w:rsidR="00243777" w:rsidRPr="00E86A5E" w:rsidRDefault="00D666BA" w:rsidP="00E86A5E">
            <w:pPr>
              <w:pStyle w:val="TableText"/>
              <w:keepNext/>
              <w:cnfStyle w:val="000000000000" w:firstRow="0" w:lastRow="0" w:firstColumn="0" w:lastColumn="0" w:oddVBand="0" w:evenVBand="0" w:oddHBand="0" w:evenHBand="0" w:firstRowFirstColumn="0" w:firstRowLastColumn="0" w:lastRowFirstColumn="0" w:lastRowLastColumn="0"/>
              <w:rPr>
                <w:b/>
              </w:rPr>
            </w:pPr>
            <w:r w:rsidRPr="00E86A5E">
              <w:rPr>
                <w:b/>
              </w:rPr>
              <w:t>Routine</w:t>
            </w:r>
          </w:p>
        </w:tc>
        <w:tc>
          <w:tcPr>
            <w:tcW w:w="1301" w:type="dxa"/>
            <w:shd w:val="clear" w:color="auto" w:fill="DEEAF6"/>
          </w:tcPr>
          <w:p w14:paraId="0CCDC802" w14:textId="762D90E2" w:rsidR="00243777" w:rsidRPr="00E86A5E" w:rsidRDefault="00D666BA" w:rsidP="00E86A5E">
            <w:pPr>
              <w:pStyle w:val="TableText"/>
              <w:keepNext/>
              <w:cnfStyle w:val="000000000000" w:firstRow="0" w:lastRow="0" w:firstColumn="0" w:lastColumn="0" w:oddVBand="0" w:evenVBand="0" w:oddHBand="0" w:evenHBand="0" w:firstRowFirstColumn="0" w:firstRowLastColumn="0" w:lastRowFirstColumn="0" w:lastRowLastColumn="0"/>
              <w:rPr>
                <w:b/>
              </w:rPr>
            </w:pPr>
            <w:r w:rsidRPr="00E86A5E">
              <w:rPr>
                <w:b/>
              </w:rPr>
              <w:t>Additional</w:t>
            </w:r>
          </w:p>
        </w:tc>
        <w:tc>
          <w:tcPr>
            <w:tcW w:w="1058" w:type="dxa"/>
            <w:shd w:val="clear" w:color="auto" w:fill="DEEAF6"/>
          </w:tcPr>
          <w:p w14:paraId="4D7EAFBB" w14:textId="018E7E64" w:rsidR="00243777" w:rsidRPr="00E86A5E" w:rsidRDefault="00D666BA" w:rsidP="00E86A5E">
            <w:pPr>
              <w:pStyle w:val="TableText"/>
              <w:keepNext/>
              <w:cnfStyle w:val="000000000000" w:firstRow="0" w:lastRow="0" w:firstColumn="0" w:lastColumn="0" w:oddVBand="0" w:evenVBand="0" w:oddHBand="0" w:evenHBand="0" w:firstRowFirstColumn="0" w:firstRowLastColumn="0" w:lastRowFirstColumn="0" w:lastRowLastColumn="0"/>
              <w:rPr>
                <w:b/>
              </w:rPr>
            </w:pPr>
            <w:r w:rsidRPr="00E86A5E">
              <w:rPr>
                <w:b/>
              </w:rPr>
              <w:t>Routine</w:t>
            </w:r>
          </w:p>
        </w:tc>
        <w:tc>
          <w:tcPr>
            <w:tcW w:w="1301" w:type="dxa"/>
            <w:shd w:val="clear" w:color="auto" w:fill="DEEAF6"/>
          </w:tcPr>
          <w:p w14:paraId="10288792" w14:textId="61B36559" w:rsidR="00243777" w:rsidRPr="00E86A5E" w:rsidRDefault="00D666BA" w:rsidP="00E86A5E">
            <w:pPr>
              <w:pStyle w:val="TableText"/>
              <w:keepNext/>
              <w:cnfStyle w:val="000000000000" w:firstRow="0" w:lastRow="0" w:firstColumn="0" w:lastColumn="0" w:oddVBand="0" w:evenVBand="0" w:oddHBand="0" w:evenHBand="0" w:firstRowFirstColumn="0" w:firstRowLastColumn="0" w:lastRowFirstColumn="0" w:lastRowLastColumn="0"/>
              <w:rPr>
                <w:b/>
              </w:rPr>
            </w:pPr>
            <w:r w:rsidRPr="00E86A5E">
              <w:rPr>
                <w:b/>
              </w:rPr>
              <w:t>Additional</w:t>
            </w:r>
          </w:p>
        </w:tc>
      </w:tr>
      <w:tr w:rsidR="00D666BA" w14:paraId="366A0C95" w14:textId="77777777" w:rsidTr="00E86A5E">
        <w:tc>
          <w:tcPr>
            <w:cnfStyle w:val="001000000000" w:firstRow="0" w:lastRow="0" w:firstColumn="1" w:lastColumn="0" w:oddVBand="0" w:evenVBand="0" w:oddHBand="0" w:evenHBand="0" w:firstRowFirstColumn="0" w:firstRowLastColumn="0" w:lastRowFirstColumn="0" w:lastRowLastColumn="0"/>
            <w:tcW w:w="1726" w:type="dxa"/>
          </w:tcPr>
          <w:p w14:paraId="6B6210ED" w14:textId="710E4042" w:rsidR="003D11B5" w:rsidRPr="006236EE" w:rsidRDefault="00D774DE" w:rsidP="008B1DBC">
            <w:pPr>
              <w:pStyle w:val="TableText"/>
              <w:rPr>
                <w:b/>
                <w:bCs/>
              </w:rPr>
            </w:pPr>
            <w:r w:rsidRPr="006236EE">
              <w:rPr>
                <w:b/>
                <w:bCs/>
              </w:rPr>
              <w:t>Important identified risks</w:t>
            </w:r>
          </w:p>
        </w:tc>
        <w:tc>
          <w:tcPr>
            <w:tcW w:w="2616" w:type="dxa"/>
          </w:tcPr>
          <w:p w14:paraId="2C304EC2" w14:textId="2275C058" w:rsidR="003D11B5" w:rsidRPr="005225D2" w:rsidRDefault="001D2E59" w:rsidP="008B1DBC">
            <w:pPr>
              <w:pStyle w:val="TableText"/>
              <w:cnfStyle w:val="000000000000" w:firstRow="0" w:lastRow="0" w:firstColumn="0" w:lastColumn="0" w:oddVBand="0" w:evenVBand="0" w:oddHBand="0" w:evenHBand="0" w:firstRowFirstColumn="0" w:firstRowLastColumn="0" w:lastRowFirstColumn="0" w:lastRowLastColumn="0"/>
            </w:pPr>
            <w:r w:rsidRPr="005225D2">
              <w:t>None</w:t>
            </w:r>
          </w:p>
        </w:tc>
        <w:tc>
          <w:tcPr>
            <w:tcW w:w="1058" w:type="dxa"/>
          </w:tcPr>
          <w:p w14:paraId="544A294A" w14:textId="213B4DF6"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301" w:type="dxa"/>
          </w:tcPr>
          <w:p w14:paraId="3C1EDA4B" w14:textId="233CA9F3"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058" w:type="dxa"/>
          </w:tcPr>
          <w:p w14:paraId="06A943FE" w14:textId="64320481"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301" w:type="dxa"/>
          </w:tcPr>
          <w:p w14:paraId="26A22B76" w14:textId="50DFE552"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r>
      <w:tr w:rsidR="00D666BA" w14:paraId="463BC417" w14:textId="77777777" w:rsidTr="00E86A5E">
        <w:tc>
          <w:tcPr>
            <w:cnfStyle w:val="001000000000" w:firstRow="0" w:lastRow="0" w:firstColumn="1" w:lastColumn="0" w:oddVBand="0" w:evenVBand="0" w:oddHBand="0" w:evenHBand="0" w:firstRowFirstColumn="0" w:firstRowLastColumn="0" w:lastRowFirstColumn="0" w:lastRowLastColumn="0"/>
            <w:tcW w:w="1726" w:type="dxa"/>
          </w:tcPr>
          <w:p w14:paraId="1D718B3F" w14:textId="3A851BCF" w:rsidR="003D11B5" w:rsidRPr="006236EE" w:rsidRDefault="00D774DE" w:rsidP="008B1DBC">
            <w:pPr>
              <w:pStyle w:val="TableText"/>
              <w:rPr>
                <w:b/>
                <w:bCs/>
              </w:rPr>
            </w:pPr>
            <w:r w:rsidRPr="006236EE">
              <w:rPr>
                <w:b/>
                <w:bCs/>
              </w:rPr>
              <w:t>Important potential risks</w:t>
            </w:r>
          </w:p>
        </w:tc>
        <w:tc>
          <w:tcPr>
            <w:tcW w:w="2616" w:type="dxa"/>
          </w:tcPr>
          <w:p w14:paraId="27F79E92" w14:textId="02235538" w:rsidR="003D11B5" w:rsidRPr="005225D2" w:rsidRDefault="001D2E59" w:rsidP="008B1DBC">
            <w:pPr>
              <w:pStyle w:val="TableText"/>
              <w:cnfStyle w:val="000000000000" w:firstRow="0" w:lastRow="0" w:firstColumn="0" w:lastColumn="0" w:oddVBand="0" w:evenVBand="0" w:oddHBand="0" w:evenHBand="0" w:firstRowFirstColumn="0" w:firstRowLastColumn="0" w:lastRowFirstColumn="0" w:lastRowLastColumn="0"/>
            </w:pPr>
            <w:r w:rsidRPr="005225D2">
              <w:t>None</w:t>
            </w:r>
          </w:p>
        </w:tc>
        <w:tc>
          <w:tcPr>
            <w:tcW w:w="1058" w:type="dxa"/>
          </w:tcPr>
          <w:p w14:paraId="618B00BB" w14:textId="7B2AA903"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301" w:type="dxa"/>
          </w:tcPr>
          <w:p w14:paraId="2CA800E4" w14:textId="6950A179"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058" w:type="dxa"/>
          </w:tcPr>
          <w:p w14:paraId="44370771" w14:textId="6DE3A28D"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301" w:type="dxa"/>
          </w:tcPr>
          <w:p w14:paraId="0E254103" w14:textId="386D5C6C" w:rsidR="003D11B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r>
      <w:tr w:rsidR="008D2395" w14:paraId="79AB85B1" w14:textId="77777777" w:rsidTr="00E86A5E">
        <w:tc>
          <w:tcPr>
            <w:cnfStyle w:val="001000000000" w:firstRow="0" w:lastRow="0" w:firstColumn="1" w:lastColumn="0" w:oddVBand="0" w:evenVBand="0" w:oddHBand="0" w:evenHBand="0" w:firstRowFirstColumn="0" w:firstRowLastColumn="0" w:lastRowFirstColumn="0" w:lastRowLastColumn="0"/>
            <w:tcW w:w="1726" w:type="dxa"/>
            <w:vMerge w:val="restart"/>
          </w:tcPr>
          <w:p w14:paraId="7DDE8270" w14:textId="3029F008" w:rsidR="008D2395" w:rsidRPr="006236EE" w:rsidRDefault="008D2395" w:rsidP="008B1DBC">
            <w:pPr>
              <w:pStyle w:val="TableText"/>
              <w:rPr>
                <w:b/>
                <w:bCs/>
              </w:rPr>
            </w:pPr>
            <w:r w:rsidRPr="006236EE">
              <w:rPr>
                <w:b/>
                <w:bCs/>
              </w:rPr>
              <w:t>Missing information</w:t>
            </w:r>
          </w:p>
        </w:tc>
        <w:tc>
          <w:tcPr>
            <w:tcW w:w="2616" w:type="dxa"/>
          </w:tcPr>
          <w:p w14:paraId="5C3F0BF4" w14:textId="158FEA84" w:rsidR="008D2395" w:rsidRPr="005225D2" w:rsidRDefault="008D2395" w:rsidP="008B1DBC">
            <w:pPr>
              <w:pStyle w:val="TableText"/>
              <w:cnfStyle w:val="000000000000" w:firstRow="0" w:lastRow="0" w:firstColumn="0" w:lastColumn="0" w:oddVBand="0" w:evenVBand="0" w:oddHBand="0" w:evenHBand="0" w:firstRowFirstColumn="0" w:firstRowLastColumn="0" w:lastRowFirstColumn="0" w:lastRowLastColumn="0"/>
            </w:pPr>
            <w:r w:rsidRPr="005225D2">
              <w:t>Safety in immunocompromised patients</w:t>
            </w:r>
          </w:p>
        </w:tc>
        <w:tc>
          <w:tcPr>
            <w:tcW w:w="1058" w:type="dxa"/>
          </w:tcPr>
          <w:p w14:paraId="79BA86D9" w14:textId="5CEF12E1" w:rsidR="008D239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sym w:font="Wingdings" w:char="F0FC"/>
            </w:r>
          </w:p>
        </w:tc>
        <w:tc>
          <w:tcPr>
            <w:tcW w:w="1301" w:type="dxa"/>
          </w:tcPr>
          <w:p w14:paraId="03D432AA" w14:textId="554F82C3" w:rsidR="008D239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058" w:type="dxa"/>
          </w:tcPr>
          <w:p w14:paraId="7EA852BC" w14:textId="6F216A8F" w:rsidR="008D2395" w:rsidRPr="005225D2" w:rsidRDefault="005225D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sym w:font="Wingdings" w:char="F0FC"/>
            </w:r>
          </w:p>
        </w:tc>
        <w:tc>
          <w:tcPr>
            <w:tcW w:w="1301" w:type="dxa"/>
          </w:tcPr>
          <w:p w14:paraId="1A7AF23B" w14:textId="567F68B6" w:rsidR="008D239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r>
      <w:tr w:rsidR="008D2395" w14:paraId="4218801B" w14:textId="77777777" w:rsidTr="00E86A5E">
        <w:tc>
          <w:tcPr>
            <w:cnfStyle w:val="001000000000" w:firstRow="0" w:lastRow="0" w:firstColumn="1" w:lastColumn="0" w:oddVBand="0" w:evenVBand="0" w:oddHBand="0" w:evenHBand="0" w:firstRowFirstColumn="0" w:firstRowLastColumn="0" w:lastRowFirstColumn="0" w:lastRowLastColumn="0"/>
            <w:tcW w:w="1726" w:type="dxa"/>
            <w:vMerge/>
          </w:tcPr>
          <w:p w14:paraId="4434C359" w14:textId="77777777" w:rsidR="008D2395" w:rsidRPr="005225D2" w:rsidRDefault="008D2395" w:rsidP="008B1DBC">
            <w:pPr>
              <w:pStyle w:val="TableText"/>
            </w:pPr>
          </w:p>
        </w:tc>
        <w:tc>
          <w:tcPr>
            <w:tcW w:w="2616" w:type="dxa"/>
          </w:tcPr>
          <w:p w14:paraId="37370479" w14:textId="5C17E398" w:rsidR="008D2395" w:rsidRPr="005225D2" w:rsidRDefault="008D2395" w:rsidP="008B1DBC">
            <w:pPr>
              <w:pStyle w:val="TableText"/>
              <w:cnfStyle w:val="000000000000" w:firstRow="0" w:lastRow="0" w:firstColumn="0" w:lastColumn="0" w:oddVBand="0" w:evenVBand="0" w:oddHBand="0" w:evenHBand="0" w:firstRowFirstColumn="0" w:firstRowLastColumn="0" w:lastRowFirstColumn="0" w:lastRowLastColumn="0"/>
            </w:pPr>
            <w:r w:rsidRPr="005225D2">
              <w:t>Safety in subjects with underlying diseases</w:t>
            </w:r>
          </w:p>
        </w:tc>
        <w:tc>
          <w:tcPr>
            <w:tcW w:w="1058" w:type="dxa"/>
          </w:tcPr>
          <w:p w14:paraId="54B37950" w14:textId="3F13A157" w:rsidR="008D2395" w:rsidRPr="005225D2" w:rsidRDefault="005225D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sym w:font="Wingdings" w:char="F0FC"/>
            </w:r>
          </w:p>
        </w:tc>
        <w:tc>
          <w:tcPr>
            <w:tcW w:w="1301" w:type="dxa"/>
          </w:tcPr>
          <w:p w14:paraId="0441C65C" w14:textId="66584A94" w:rsidR="008D239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c>
          <w:tcPr>
            <w:tcW w:w="1058" w:type="dxa"/>
          </w:tcPr>
          <w:p w14:paraId="6A637828" w14:textId="7001D5A0" w:rsidR="008D2395" w:rsidRPr="005225D2" w:rsidRDefault="005225D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sym w:font="Wingdings" w:char="F0FC"/>
            </w:r>
          </w:p>
        </w:tc>
        <w:tc>
          <w:tcPr>
            <w:tcW w:w="1301" w:type="dxa"/>
          </w:tcPr>
          <w:p w14:paraId="05059457" w14:textId="70E0E0E9" w:rsidR="008D2395" w:rsidRPr="005225D2" w:rsidRDefault="00705B42" w:rsidP="006236EE">
            <w:pPr>
              <w:pStyle w:val="TableText"/>
              <w:jc w:val="center"/>
              <w:cnfStyle w:val="000000000000" w:firstRow="0" w:lastRow="0" w:firstColumn="0" w:lastColumn="0" w:oddVBand="0" w:evenVBand="0" w:oddHBand="0" w:evenHBand="0" w:firstRowFirstColumn="0" w:firstRowLastColumn="0" w:lastRowFirstColumn="0" w:lastRowLastColumn="0"/>
            </w:pPr>
            <w:r w:rsidRPr="005225D2">
              <w:t>_</w:t>
            </w:r>
          </w:p>
        </w:tc>
      </w:tr>
    </w:tbl>
    <w:p w14:paraId="7A973874" w14:textId="77777777" w:rsidR="00B54F70" w:rsidRDefault="00B54F70" w:rsidP="002777ED"/>
    <w:p w14:paraId="51B2CB68" w14:textId="339F1FE4" w:rsidR="002139A2" w:rsidRPr="002777ED" w:rsidRDefault="002139A2" w:rsidP="002777ED">
      <w:r w:rsidRPr="002777ED">
        <w:t xml:space="preserve">Missing information ‘Use in pregnant and breastfeeding women’ has been removed as a safety concern. This is a result of data from the completed pregnancy registry </w:t>
      </w:r>
      <w:r w:rsidR="00174D8B">
        <w:t>S</w:t>
      </w:r>
      <w:r w:rsidR="00FB6B9A">
        <w:t xml:space="preserve">tudy </w:t>
      </w:r>
      <w:r w:rsidRPr="002777ED">
        <w:t>V130_11OB. The summary of safety concerns for Flucelvax Quad is acceptable from an RMP perspective.</w:t>
      </w:r>
    </w:p>
    <w:p w14:paraId="53323331" w14:textId="6E5ADF47" w:rsidR="002139A2" w:rsidRPr="002777ED" w:rsidRDefault="002139A2" w:rsidP="002777ED">
      <w:r w:rsidRPr="002777ED">
        <w:t xml:space="preserve">The sponsor has proposed routine pharmacovigilance for all safety concerns and no additional pharmacovigilance activities are to be implemented in Australia. The status of the pregnancy registry </w:t>
      </w:r>
      <w:r w:rsidR="00174D8B">
        <w:t>S</w:t>
      </w:r>
      <w:r w:rsidR="00FB6B9A">
        <w:t xml:space="preserve">tudy </w:t>
      </w:r>
      <w:r w:rsidRPr="002777ED">
        <w:t xml:space="preserve">V130_11OB has been updated to </w:t>
      </w:r>
      <w:r w:rsidR="00C84DEC">
        <w:t>‘</w:t>
      </w:r>
      <w:r w:rsidRPr="002777ED">
        <w:t>complete</w:t>
      </w:r>
      <w:r w:rsidR="00C84DEC">
        <w:t>’</w:t>
      </w:r>
      <w:r w:rsidRPr="002777ED">
        <w:t xml:space="preserve"> and the pregnancy outcome follow-up questionnaire has been removed from the pharmacovigilance plan as ‘Use in pregnant and breastfeeding women’ is no longer considered missing information. The pharmacovigilance plan is acceptable form an RMP perspective.</w:t>
      </w:r>
    </w:p>
    <w:p w14:paraId="47E2B38B" w14:textId="77777777" w:rsidR="002139A2" w:rsidRPr="002777ED" w:rsidRDefault="002139A2" w:rsidP="002777ED">
      <w:r w:rsidRPr="002777ED">
        <w:t>Routine risk minimisation is proposed for the safety concerns. The risk minimisation plan for Flucelvax Quad is acceptable from an RMP perspective.</w:t>
      </w:r>
    </w:p>
    <w:p w14:paraId="74A4F87F" w14:textId="77777777" w:rsidR="00C22214" w:rsidRDefault="00C22214" w:rsidP="00C22214">
      <w:pPr>
        <w:pStyle w:val="Heading3"/>
      </w:pPr>
      <w:bookmarkStart w:id="85" w:name="_Toc103679299"/>
      <w:bookmarkStart w:id="86" w:name="_Toc143608680"/>
      <w:r>
        <w:lastRenderedPageBreak/>
        <w:t>Risk-benefit analysis</w:t>
      </w:r>
      <w:bookmarkEnd w:id="81"/>
      <w:bookmarkEnd w:id="82"/>
      <w:bookmarkEnd w:id="85"/>
      <w:bookmarkEnd w:id="86"/>
    </w:p>
    <w:p w14:paraId="77DE2655" w14:textId="77777777" w:rsidR="00C22214" w:rsidRDefault="00C22214" w:rsidP="00C22214">
      <w:pPr>
        <w:pStyle w:val="Heading4"/>
      </w:pPr>
      <w:bookmarkStart w:id="87" w:name="_Toc98931932"/>
      <w:bookmarkStart w:id="88" w:name="_Toc143608681"/>
      <w:r>
        <w:t>Delegate’s considerations</w:t>
      </w:r>
      <w:bookmarkEnd w:id="87"/>
      <w:bookmarkEnd w:id="88"/>
    </w:p>
    <w:p w14:paraId="3887F097" w14:textId="77777777" w:rsidR="00F1321A" w:rsidRPr="00C93E50" w:rsidRDefault="00F1321A" w:rsidP="00B63793">
      <w:pPr>
        <w:pStyle w:val="Heading5"/>
      </w:pPr>
      <w:r w:rsidRPr="00C93E50">
        <w:t>Immunogenicity</w:t>
      </w:r>
    </w:p>
    <w:p w14:paraId="52259EC8" w14:textId="1407AA09" w:rsidR="00F1321A" w:rsidRPr="00C93E50" w:rsidRDefault="00B63793" w:rsidP="00F1321A">
      <w:r w:rsidRPr="00BD67A5">
        <w:t xml:space="preserve">Flucelvax Quad </w:t>
      </w:r>
      <w:r w:rsidRPr="00BD67A5">
        <w:rPr>
          <w:bCs/>
        </w:rPr>
        <w:t xml:space="preserve">(also referred to as </w:t>
      </w:r>
      <w:proofErr w:type="spellStart"/>
      <w:r w:rsidRPr="00BD67A5">
        <w:rPr>
          <w:bCs/>
        </w:rPr>
        <w:t>QIVc</w:t>
      </w:r>
      <w:proofErr w:type="spellEnd"/>
      <w:r w:rsidRPr="00BD67A5">
        <w:rPr>
          <w:bCs/>
        </w:rPr>
        <w:t xml:space="preserve">) </w:t>
      </w:r>
      <w:r w:rsidRPr="00BD67A5">
        <w:t xml:space="preserve">is a quadrivalent surface antigen, inactivated, influenza vaccine, prepared in </w:t>
      </w:r>
      <w:proofErr w:type="spellStart"/>
      <w:r w:rsidRPr="00BD67A5">
        <w:t>Madin</w:t>
      </w:r>
      <w:proofErr w:type="spellEnd"/>
      <w:r w:rsidRPr="00BD67A5">
        <w:t>-Darby canine kidney (MDCK) cell cultures (that is, cell-based).</w:t>
      </w:r>
    </w:p>
    <w:p w14:paraId="084934E7" w14:textId="49B8EDD3" w:rsidR="00F1321A" w:rsidRPr="00C93E50" w:rsidRDefault="00F1321A" w:rsidP="00F1321A">
      <w:r w:rsidRPr="00C93E50">
        <w:t>No dose</w:t>
      </w:r>
      <w:r w:rsidR="00B63793">
        <w:noBreakHyphen/>
      </w:r>
      <w:r w:rsidRPr="00C93E50">
        <w:t xml:space="preserve">finding studies were conducted since the vaccine composition and dosing are based on the </w:t>
      </w:r>
      <w:r w:rsidR="00305386">
        <w:t xml:space="preserve">EMA’s </w:t>
      </w:r>
      <w:r w:rsidR="00305386" w:rsidRPr="00305386">
        <w:rPr>
          <w:i/>
          <w:iCs/>
        </w:rPr>
        <w:t>Guideline on Influenza Vaccines</w:t>
      </w:r>
      <w:r w:rsidRPr="00C93E50">
        <w:t xml:space="preserve"> and is also consistent with other influenza vaccine products approved for children in this age group. This is considered acceptable.</w:t>
      </w:r>
    </w:p>
    <w:p w14:paraId="7B7F3803" w14:textId="661E5698" w:rsidR="00F1321A" w:rsidRPr="00C93E50" w:rsidRDefault="00F1321A" w:rsidP="00F1321A">
      <w:pPr>
        <w:rPr>
          <w:lang w:val="en-GB"/>
        </w:rPr>
      </w:pPr>
      <w:r w:rsidRPr="00C93E50">
        <w:t xml:space="preserve">The immunogenicity data for this submission </w:t>
      </w:r>
      <w:r w:rsidR="00FF5779">
        <w:t>were</w:t>
      </w:r>
      <w:r w:rsidRPr="00C93E50">
        <w:t xml:space="preserve"> provided by Study V130_10, a Phase</w:t>
      </w:r>
      <w:r w:rsidR="00305386">
        <w:t> III</w:t>
      </w:r>
      <w:r w:rsidRPr="00C93E50">
        <w:t xml:space="preserve"> study conducted</w:t>
      </w:r>
      <w:r w:rsidRPr="00C93E50">
        <w:rPr>
          <w:lang w:val="en-GB"/>
        </w:rPr>
        <w:t xml:space="preserve"> in healthy subjects 6 </w:t>
      </w:r>
      <w:r w:rsidR="00305386">
        <w:rPr>
          <w:lang w:val="en-GB"/>
        </w:rPr>
        <w:t>m</w:t>
      </w:r>
      <w:r w:rsidRPr="00C93E50">
        <w:rPr>
          <w:lang w:val="en-GB"/>
        </w:rPr>
        <w:t xml:space="preserve">onths </w:t>
      </w:r>
      <w:r w:rsidR="00305386">
        <w:rPr>
          <w:lang w:val="en-GB"/>
        </w:rPr>
        <w:t>t</w:t>
      </w:r>
      <w:r w:rsidRPr="00C93E50">
        <w:rPr>
          <w:lang w:val="en-GB"/>
        </w:rPr>
        <w:t xml:space="preserve">hrough 47 </w:t>
      </w:r>
      <w:r w:rsidR="00305386">
        <w:rPr>
          <w:lang w:val="en-GB"/>
        </w:rPr>
        <w:t>m</w:t>
      </w:r>
      <w:r w:rsidRPr="00C93E50">
        <w:rPr>
          <w:lang w:val="en-GB"/>
        </w:rPr>
        <w:t>onths</w:t>
      </w:r>
      <w:r w:rsidR="00305386">
        <w:rPr>
          <w:lang w:val="en-GB"/>
        </w:rPr>
        <w:t xml:space="preserve"> of age</w:t>
      </w:r>
      <w:r w:rsidRPr="00C93E50">
        <w:rPr>
          <w:lang w:val="en-GB"/>
        </w:rPr>
        <w:t>.</w:t>
      </w:r>
    </w:p>
    <w:p w14:paraId="5A94D0D6" w14:textId="103449D5" w:rsidR="00F1321A" w:rsidRPr="00C93E50" w:rsidRDefault="00F1321A" w:rsidP="00F1321A">
      <w:r w:rsidRPr="00C93E50">
        <w:t>In Study V130_10, immunogenicity endpoints were assessed by the haemagglutination inhibition (H</w:t>
      </w:r>
      <w:r w:rsidR="00305386">
        <w:t>A</w:t>
      </w:r>
      <w:r w:rsidRPr="00C93E50">
        <w:t xml:space="preserve">I) and </w:t>
      </w:r>
      <w:proofErr w:type="spellStart"/>
      <w:r w:rsidRPr="00C93E50">
        <w:t>microneu</w:t>
      </w:r>
      <w:r w:rsidR="00305386">
        <w:t>t</w:t>
      </w:r>
      <w:r w:rsidRPr="00C93E50">
        <w:t>rali</w:t>
      </w:r>
      <w:r w:rsidR="00305386">
        <w:t>s</w:t>
      </w:r>
      <w:r w:rsidRPr="00C93E50">
        <w:t>ation</w:t>
      </w:r>
      <w:proofErr w:type="spellEnd"/>
      <w:r w:rsidRPr="00C93E50">
        <w:t xml:space="preserve"> (MN) assay. The H</w:t>
      </w:r>
      <w:r w:rsidR="00305386">
        <w:t>A</w:t>
      </w:r>
      <w:r w:rsidRPr="00C93E50">
        <w:t xml:space="preserve">I assay used for immunogenicity evaluation of influenza vaccines is considered adequate for </w:t>
      </w:r>
      <w:r w:rsidR="00987DFF">
        <w:t xml:space="preserve">study </w:t>
      </w:r>
      <w:r w:rsidRPr="00C93E50">
        <w:t xml:space="preserve">V130_10, as it is in line with the </w:t>
      </w:r>
      <w:r w:rsidRPr="00305386">
        <w:rPr>
          <w:i/>
          <w:iCs/>
        </w:rPr>
        <w:t>Guideline on Influenza Vaccines</w:t>
      </w:r>
      <w:r w:rsidRPr="00C93E50">
        <w:t>. Due to the technical challenges with the H</w:t>
      </w:r>
      <w:r w:rsidR="00305386">
        <w:t>A</w:t>
      </w:r>
      <w:r w:rsidRPr="00C93E50">
        <w:t xml:space="preserve">I assay, </w:t>
      </w:r>
      <w:r w:rsidRPr="00E26F3E">
        <w:t xml:space="preserve">particularly with the </w:t>
      </w:r>
      <w:r w:rsidR="00305386" w:rsidRPr="00E26F3E">
        <w:t xml:space="preserve">influenza </w:t>
      </w:r>
      <w:r w:rsidRPr="00E26F3E">
        <w:t>A/</w:t>
      </w:r>
      <w:r w:rsidR="005944FD" w:rsidRPr="00E26F3E">
        <w:t>Singapore/GP2050/2015</w:t>
      </w:r>
      <w:r w:rsidRPr="00E26F3E">
        <w:t xml:space="preserve"> strain , quantification of neutrali</w:t>
      </w:r>
      <w:r w:rsidR="00BB1B7B" w:rsidRPr="00E26F3E">
        <w:t>s</w:t>
      </w:r>
      <w:r w:rsidRPr="00E26F3E">
        <w:t>ing</w:t>
      </w:r>
      <w:r w:rsidRPr="008A167B">
        <w:t xml:space="preserve"> antibody</w:t>
      </w:r>
      <w:r w:rsidRPr="00C93E50">
        <w:t xml:space="preserve"> titres using the MN assay against </w:t>
      </w:r>
      <w:r w:rsidR="00BB1B7B">
        <w:t>influenza</w:t>
      </w:r>
      <w:r w:rsidRPr="00C93E50">
        <w:t xml:space="preserve"> A/H3N2 has been used as an alternative. This is considered acceptable.</w:t>
      </w:r>
    </w:p>
    <w:p w14:paraId="1A1C846D" w14:textId="313FA2E8" w:rsidR="00F1321A" w:rsidRPr="00C93E50" w:rsidRDefault="00BB1B7B" w:rsidP="00F1321A">
      <w:r>
        <w:t xml:space="preserve">Haemagglutination inhibition </w:t>
      </w:r>
      <w:r w:rsidR="00F1321A" w:rsidRPr="00C93E50">
        <w:t xml:space="preserve">and </w:t>
      </w:r>
      <w:proofErr w:type="spellStart"/>
      <w:r>
        <w:t>microneutralisation</w:t>
      </w:r>
      <w:proofErr w:type="spellEnd"/>
      <w:r w:rsidR="00F1321A" w:rsidRPr="00C93E50">
        <w:t xml:space="preserve"> titres are not true surrogate marker</w:t>
      </w:r>
      <w:r>
        <w:t>s</w:t>
      </w:r>
      <w:r w:rsidR="00F1321A" w:rsidRPr="00C93E50">
        <w:t xml:space="preserve"> as there is no defined cut-off titre co</w:t>
      </w:r>
      <w:r>
        <w:t>r</w:t>
      </w:r>
      <w:r w:rsidR="00F1321A" w:rsidRPr="00C93E50">
        <w:t xml:space="preserve">relating with clinical protection. However, it has been demonstrated that higher titres tend to correlate with better protection. Although the immunogenicity data </w:t>
      </w:r>
      <w:r w:rsidR="00DE7FAE">
        <w:t>are</w:t>
      </w:r>
      <w:r w:rsidR="00F1321A" w:rsidRPr="00C93E50">
        <w:t xml:space="preserve"> descriptive and without predetermined criteria for success, the </w:t>
      </w:r>
      <w:proofErr w:type="spellStart"/>
      <w:r w:rsidR="00F1321A" w:rsidRPr="00C93E50">
        <w:t>QIVc</w:t>
      </w:r>
      <w:proofErr w:type="spellEnd"/>
      <w:r w:rsidR="00F1321A" w:rsidRPr="00C93E50">
        <w:t xml:space="preserve"> group showed increase in the H</w:t>
      </w:r>
      <w:r w:rsidR="00DE7FAE">
        <w:t>A</w:t>
      </w:r>
      <w:r w:rsidR="00F1321A" w:rsidRPr="00C93E50">
        <w:t>I titres.</w:t>
      </w:r>
    </w:p>
    <w:p w14:paraId="5311058A" w14:textId="2747027C" w:rsidR="00F1321A" w:rsidRPr="00C93E50" w:rsidRDefault="00F1321A" w:rsidP="00F1321A">
      <w:r w:rsidRPr="00C93E50">
        <w:t>In general, the design of Study V130_10</w:t>
      </w:r>
      <w:r w:rsidR="00DE7FAE">
        <w:t>,</w:t>
      </w:r>
      <w:r w:rsidRPr="00C93E50">
        <w:t xml:space="preserve"> conducted to evaluate safety and immunogenicity of the </w:t>
      </w:r>
      <w:proofErr w:type="spellStart"/>
      <w:r w:rsidRPr="00C93E50">
        <w:t>QIVc</w:t>
      </w:r>
      <w:proofErr w:type="spellEnd"/>
      <w:r w:rsidRPr="00C93E50">
        <w:t xml:space="preserve"> in children 6 months to 47 months of age</w:t>
      </w:r>
      <w:r w:rsidR="00DE7FAE">
        <w:t>,</w:t>
      </w:r>
      <w:r w:rsidRPr="00C93E50">
        <w:t xml:space="preserve"> is considered adequate. The study was carried out as observer blind. Although the optimal design would have been a double</w:t>
      </w:r>
      <w:r w:rsidR="00DE7FAE">
        <w:noBreakHyphen/>
      </w:r>
      <w:r w:rsidRPr="00C93E50">
        <w:t>blinded trial, it is considered that the observer blind strategy used here is sufficient as it is very unlikely that this design would have affected the study outcomes.</w:t>
      </w:r>
    </w:p>
    <w:p w14:paraId="4F0E64F6" w14:textId="5D7357D6" w:rsidR="00F1321A" w:rsidRPr="00C93E50" w:rsidRDefault="00F1321A" w:rsidP="00F1321A">
      <w:r w:rsidRPr="00C93E50">
        <w:t>The sample size, and the stratification by age, inclusion</w:t>
      </w:r>
      <w:r w:rsidR="00C42915">
        <w:t xml:space="preserve"> and </w:t>
      </w:r>
      <w:r w:rsidRPr="00C93E50">
        <w:t>exclusion criteria</w:t>
      </w:r>
      <w:r w:rsidR="00C42915">
        <w:t>,</w:t>
      </w:r>
      <w:r w:rsidRPr="00C93E50">
        <w:t xml:space="preserve"> and statistical methods are considered satisfactory. However, only </w:t>
      </w:r>
      <w:r w:rsidR="00DE7FAE">
        <w:t>one-third of</w:t>
      </w:r>
      <w:r w:rsidRPr="00C93E50">
        <w:t xml:space="preserve"> subjects were from </w:t>
      </w:r>
      <w:r>
        <w:t xml:space="preserve">the </w:t>
      </w:r>
      <w:r w:rsidRPr="00C93E50">
        <w:t xml:space="preserve">target age group of </w:t>
      </w:r>
      <w:bookmarkStart w:id="89" w:name="_Hlk134009512"/>
      <w:r w:rsidRPr="00C93E50">
        <w:t>6 months to 2 years.</w:t>
      </w:r>
    </w:p>
    <w:bookmarkEnd w:id="89"/>
    <w:p w14:paraId="7644056F" w14:textId="0C8E80BC" w:rsidR="00F1321A" w:rsidRPr="00C93E50" w:rsidRDefault="00F1321A" w:rsidP="00F1321A">
      <w:r w:rsidRPr="00C93E50">
        <w:t xml:space="preserve">There was no notable difference in the distribution of demographic and baseline characteristics between the 2 vaccine groups. The percentages and reason for discontinuation were similar in the </w:t>
      </w:r>
      <w:r w:rsidR="00F25563">
        <w:t>2</w:t>
      </w:r>
      <w:r w:rsidRPr="00C93E50">
        <w:t xml:space="preserve"> treatment groups.</w:t>
      </w:r>
    </w:p>
    <w:p w14:paraId="2A916BE3" w14:textId="50332E0C" w:rsidR="00F1321A" w:rsidRPr="00C93E50" w:rsidRDefault="00F1321A" w:rsidP="00F1321A">
      <w:r w:rsidRPr="00C93E50">
        <w:t>The predefined success criteria of non</w:t>
      </w:r>
      <w:r w:rsidR="00DE7FAE">
        <w:noBreakHyphen/>
      </w:r>
      <w:r w:rsidRPr="00C93E50">
        <w:t xml:space="preserve">inferiority for the primary immunogenicity objectives were met, demonstrating that </w:t>
      </w:r>
      <w:proofErr w:type="spellStart"/>
      <w:r w:rsidRPr="00C93E50">
        <w:t>QIVc</w:t>
      </w:r>
      <w:proofErr w:type="spellEnd"/>
      <w:r w:rsidRPr="00C93E50">
        <w:t xml:space="preserve"> was non</w:t>
      </w:r>
      <w:r w:rsidR="00DE7FAE">
        <w:noBreakHyphen/>
      </w:r>
      <w:r w:rsidRPr="00C93E50">
        <w:t xml:space="preserve">inferior to QIV in children </w:t>
      </w:r>
      <w:bookmarkStart w:id="90" w:name="_Hlk133923282"/>
      <w:r w:rsidRPr="00C93E50">
        <w:t>6</w:t>
      </w:r>
      <w:r w:rsidR="00DE7FAE">
        <w:t xml:space="preserve"> to </w:t>
      </w:r>
      <w:r w:rsidRPr="00C93E50">
        <w:t>47 months of age</w:t>
      </w:r>
      <w:bookmarkEnd w:id="90"/>
      <w:r w:rsidRPr="00C93E50">
        <w:t xml:space="preserve">. </w:t>
      </w:r>
      <w:r w:rsidRPr="001B2E4B">
        <w:t xml:space="preserve">For each of the 4 vaccine strains, the upper bound of the </w:t>
      </w:r>
      <w:r w:rsidR="006B71A5" w:rsidRPr="001B2E4B">
        <w:t>2</w:t>
      </w:r>
      <w:r w:rsidRPr="001B2E4B">
        <w:t>-sided 95% CI for the GMT ratio did</w:t>
      </w:r>
      <w:r w:rsidRPr="00C93E50">
        <w:t xml:space="preserve"> not exceed 1.5, and the upper bound of the </w:t>
      </w:r>
      <w:r w:rsidR="006B71A5">
        <w:t>2</w:t>
      </w:r>
      <w:r w:rsidRPr="00C93E50">
        <w:t xml:space="preserve">-sided 95% CI of the difference in the </w:t>
      </w:r>
      <w:r w:rsidR="00C566F5">
        <w:t>seroconversion rates</w:t>
      </w:r>
      <w:r w:rsidRPr="00C93E50">
        <w:t xml:space="preserve"> between the vaccines did not exceed 10%</w:t>
      </w:r>
      <w:r w:rsidR="00DE7FAE">
        <w:t>.</w:t>
      </w:r>
    </w:p>
    <w:p w14:paraId="27E4A0FC" w14:textId="1FAE2E8C" w:rsidR="00F1321A" w:rsidRPr="00C93E50" w:rsidRDefault="00F1321A" w:rsidP="00F1321A">
      <w:r w:rsidRPr="00C93E50">
        <w:t xml:space="preserve">Regarding the secondary immunogenicity endpoints, </w:t>
      </w:r>
      <w:r w:rsidR="00DE7FAE">
        <w:t xml:space="preserve">for </w:t>
      </w:r>
      <w:r w:rsidRPr="00C93E50">
        <w:t>the assays using egg</w:t>
      </w:r>
      <w:r w:rsidR="00DE7FAE">
        <w:noBreakHyphen/>
      </w:r>
      <w:r w:rsidRPr="00C93E50">
        <w:t xml:space="preserve">derived target viruses, no notable differences in immune responses were observed for </w:t>
      </w:r>
      <w:proofErr w:type="spellStart"/>
      <w:r w:rsidRPr="00C93E50">
        <w:t>QIVc</w:t>
      </w:r>
      <w:proofErr w:type="spellEnd"/>
      <w:r w:rsidRPr="00C93E50">
        <w:t xml:space="preserve"> compared with QIV across all endpoints, including GMT, GMR, seropositivity rates (percentage of subjects with tit</w:t>
      </w:r>
      <w:r w:rsidR="00C133A3">
        <w:t>re</w:t>
      </w:r>
      <w:r w:rsidRPr="00C93E50">
        <w:t xml:space="preserve"> </w:t>
      </w:r>
      <w:r w:rsidR="00DE7FAE">
        <w:t>above</w:t>
      </w:r>
      <w:r w:rsidRPr="00C93E50">
        <w:t xml:space="preserve"> 1:10), percentage of subjects with tit</w:t>
      </w:r>
      <w:r w:rsidR="00C133A3">
        <w:t>re</w:t>
      </w:r>
      <w:r w:rsidRPr="00C93E50">
        <w:t xml:space="preserve"> </w:t>
      </w:r>
      <w:r w:rsidR="00DE7FAE">
        <w:t>above</w:t>
      </w:r>
      <w:r w:rsidRPr="00C93E50">
        <w:t>1:40, and SCR. Using cell</w:t>
      </w:r>
      <w:r w:rsidR="00DE7FAE">
        <w:noBreakHyphen/>
      </w:r>
      <w:r w:rsidRPr="00C93E50">
        <w:t xml:space="preserve">derived target viruses, immune responses to </w:t>
      </w:r>
      <w:r w:rsidR="00DE7FAE">
        <w:t xml:space="preserve">influenza </w:t>
      </w:r>
      <w:r w:rsidRPr="00C93E50">
        <w:t xml:space="preserve">A/H3N2 and </w:t>
      </w:r>
      <w:r w:rsidR="00DE7FAE">
        <w:t xml:space="preserve">influenza </w:t>
      </w:r>
      <w:r w:rsidRPr="00C93E50">
        <w:t xml:space="preserve">B/Victoria were not different for the 2 vaccines, whereas for </w:t>
      </w:r>
      <w:r w:rsidR="00DE7FAE">
        <w:t xml:space="preserve">influenza </w:t>
      </w:r>
      <w:r w:rsidRPr="00C93E50">
        <w:t xml:space="preserve">A/H1N1 and </w:t>
      </w:r>
      <w:r w:rsidR="00DE7FAE">
        <w:t xml:space="preserve">influenza </w:t>
      </w:r>
      <w:r w:rsidRPr="00C93E50">
        <w:t xml:space="preserve">B/Yamagata, higher </w:t>
      </w:r>
      <w:r w:rsidRPr="00C93E50">
        <w:lastRenderedPageBreak/>
        <w:t>post</w:t>
      </w:r>
      <w:r w:rsidR="001D2FFE">
        <w:noBreakHyphen/>
      </w:r>
      <w:r w:rsidRPr="00C93E50">
        <w:t>vaccination GMTs, GMRs, percentage of subjects with tit</w:t>
      </w:r>
      <w:r w:rsidR="00C133A3">
        <w:t>re</w:t>
      </w:r>
      <w:r w:rsidRPr="00C93E50">
        <w:t xml:space="preserve"> </w:t>
      </w:r>
      <w:r w:rsidR="00DE7FAE">
        <w:t xml:space="preserve">above </w:t>
      </w:r>
      <w:r w:rsidRPr="00C93E50">
        <w:t xml:space="preserve">1:40, and SCRs were observed for </w:t>
      </w:r>
      <w:proofErr w:type="spellStart"/>
      <w:r w:rsidRPr="00C93E50">
        <w:t>QIVc</w:t>
      </w:r>
      <w:proofErr w:type="spellEnd"/>
      <w:r w:rsidRPr="00C93E50">
        <w:t xml:space="preserve"> compared with QIV.</w:t>
      </w:r>
    </w:p>
    <w:p w14:paraId="09009BE6" w14:textId="191D64C6" w:rsidR="00F1321A" w:rsidRPr="00C93E50" w:rsidRDefault="00DE7FAE" w:rsidP="00F1321A">
      <w:pPr>
        <w:rPr>
          <w:lang w:val="en-GB"/>
        </w:rPr>
      </w:pPr>
      <w:r>
        <w:rPr>
          <w:lang w:val="en-GB"/>
        </w:rPr>
        <w:t>O</w:t>
      </w:r>
      <w:r w:rsidR="00F1321A" w:rsidRPr="00C93E50">
        <w:rPr>
          <w:lang w:val="en-GB"/>
        </w:rPr>
        <w:t xml:space="preserve">verall, </w:t>
      </w:r>
      <w:proofErr w:type="spellStart"/>
      <w:r w:rsidR="00F1321A" w:rsidRPr="00C93E50">
        <w:rPr>
          <w:lang w:val="en-GB"/>
        </w:rPr>
        <w:t>QIVc</w:t>
      </w:r>
      <w:proofErr w:type="spellEnd"/>
      <w:r w:rsidR="00F1321A" w:rsidRPr="00C93E50">
        <w:rPr>
          <w:lang w:val="en-GB"/>
        </w:rPr>
        <w:t xml:space="preserve"> was as immunogenic as a comparator QIV in infants and children aged 6</w:t>
      </w:r>
      <w:r>
        <w:rPr>
          <w:lang w:val="en-GB"/>
        </w:rPr>
        <w:t xml:space="preserve"> to </w:t>
      </w:r>
      <w:r w:rsidR="00F1321A" w:rsidRPr="00C93E50">
        <w:rPr>
          <w:lang w:val="en-GB"/>
        </w:rPr>
        <w:t>47 months of age against all 4 strains. Cell-mediated responses were equally low to both vaccines, which is acceptable for an inactivated, non-adjuvanted vaccine.</w:t>
      </w:r>
    </w:p>
    <w:p w14:paraId="77696A71" w14:textId="669A31C6" w:rsidR="00F1321A" w:rsidRPr="00677F31" w:rsidRDefault="00F1321A" w:rsidP="00B63793">
      <w:pPr>
        <w:pStyle w:val="Heading5"/>
      </w:pPr>
      <w:r w:rsidRPr="00677F31">
        <w:t>Safety</w:t>
      </w:r>
      <w:r w:rsidR="007B3D11">
        <w:t>:</w:t>
      </w:r>
      <w:r w:rsidR="00896D32">
        <w:t xml:space="preserve"> use in</w:t>
      </w:r>
      <w:r w:rsidR="00D76274">
        <w:t xml:space="preserve"> infants and children 6 months to 2 years of age</w:t>
      </w:r>
    </w:p>
    <w:p w14:paraId="2225717B" w14:textId="77777777" w:rsidR="00F1321A" w:rsidRPr="00C93E50" w:rsidRDefault="00F1321A" w:rsidP="00F1321A">
      <w:r w:rsidRPr="00C93E50">
        <w:t>The current indication for Flucelvax Quad is established for children aged 2 years and older, adolescents and adults.</w:t>
      </w:r>
      <w:r w:rsidRPr="00C93E50">
        <w:rPr>
          <w:rFonts w:ascii="Verdana" w:hAnsi="Verdana" w:cs="Verdana"/>
          <w:sz w:val="18"/>
          <w:szCs w:val="18"/>
        </w:rPr>
        <w:t xml:space="preserve"> </w:t>
      </w:r>
      <w:r w:rsidRPr="00C93E50">
        <w:t xml:space="preserve">Study Phase 3 (V130_10) provides safety data to support the extension of indication to children </w:t>
      </w:r>
      <w:r>
        <w:t>aged</w:t>
      </w:r>
      <w:r w:rsidRPr="00C93E50">
        <w:t xml:space="preserve"> 6 months to 2 years.</w:t>
      </w:r>
    </w:p>
    <w:p w14:paraId="117F3C0D" w14:textId="639ACACE" w:rsidR="00F1321A" w:rsidRPr="00C93E50" w:rsidRDefault="00F1321A" w:rsidP="00F1321A">
      <w:r w:rsidRPr="00C93E50">
        <w:t xml:space="preserve">The safety database in </w:t>
      </w:r>
      <w:r w:rsidR="00987DFF">
        <w:t xml:space="preserve">study </w:t>
      </w:r>
      <w:r w:rsidRPr="00C93E50">
        <w:t>V130_10 was of 2</w:t>
      </w:r>
      <w:r w:rsidR="00F23E8E">
        <w:t>,</w:t>
      </w:r>
      <w:r w:rsidRPr="00C93E50">
        <w:t xml:space="preserve">402 subjects from 6 months to 47 months of age. </w:t>
      </w:r>
      <w:r w:rsidR="00876789">
        <w:t xml:space="preserve">Of this group, </w:t>
      </w:r>
      <w:r w:rsidRPr="00C93E50">
        <w:t>1</w:t>
      </w:r>
      <w:r w:rsidR="00876789">
        <w:t>,</w:t>
      </w:r>
      <w:r w:rsidRPr="00C93E50">
        <w:t xml:space="preserve">597 subjects received </w:t>
      </w:r>
      <w:proofErr w:type="spellStart"/>
      <w:r w:rsidRPr="00C93E50">
        <w:t>QIVc</w:t>
      </w:r>
      <w:proofErr w:type="spellEnd"/>
      <w:r w:rsidRPr="00C93E50">
        <w:t>.</w:t>
      </w:r>
    </w:p>
    <w:p w14:paraId="592F7352" w14:textId="77777777" w:rsidR="00F1321A" w:rsidRPr="00C93E50" w:rsidRDefault="00F1321A" w:rsidP="00F1321A">
      <w:r w:rsidRPr="00C93E50">
        <w:t xml:space="preserve">Rates of solicited and unsolicited AEs were similar between the 2 vaccine groups; any solicited AE after any vaccination was reported in 63.7% and 65.9% of subjects receiving </w:t>
      </w:r>
      <w:proofErr w:type="spellStart"/>
      <w:r w:rsidRPr="00C93E50">
        <w:t>QIVc</w:t>
      </w:r>
      <w:proofErr w:type="spellEnd"/>
      <w:r w:rsidRPr="00C93E50">
        <w:t xml:space="preserve"> and QIV, respectively, and any unsolicited AE was reported during the treatment period in 26.2% and 25.7%, respectively.</w:t>
      </w:r>
    </w:p>
    <w:p w14:paraId="0C67FE43" w14:textId="650D8945" w:rsidR="00F1321A" w:rsidRPr="00C93E50" w:rsidRDefault="00F0609F" w:rsidP="00F1321A">
      <w:r>
        <w:t>The m</w:t>
      </w:r>
      <w:r w:rsidR="00F1321A" w:rsidRPr="00C93E50">
        <w:t>ajority of solicited AEs were of mild to moderate severity in both groups. The most common solicited local AEs were tenderness and erythema at the injection site, and most common solicited systemic AEs were irritability and sleepiness.</w:t>
      </w:r>
      <w:r w:rsidR="00F1321A" w:rsidRPr="00C93E50">
        <w:rPr>
          <w:rFonts w:ascii="AdvTT08640291" w:eastAsia="Calibri" w:hAnsi="AdvTT08640291" w:cs="AdvTT08640291"/>
          <w:sz w:val="19"/>
          <w:szCs w:val="19"/>
        </w:rPr>
        <w:t xml:space="preserve"> </w:t>
      </w:r>
      <w:r w:rsidR="00F1321A" w:rsidRPr="00C93E50">
        <w:t>Fever (</w:t>
      </w:r>
      <w:bookmarkStart w:id="91" w:name="_Hlk134011156"/>
      <w:r>
        <w:t>at least</w:t>
      </w:r>
      <w:bookmarkEnd w:id="91"/>
      <w:r>
        <w:t xml:space="preserve"> </w:t>
      </w:r>
      <w:r w:rsidR="00F1321A" w:rsidRPr="00C93E50">
        <w:t>38</w:t>
      </w:r>
      <w:r w:rsidRPr="00F0238C">
        <w:rPr>
          <w:rFonts w:eastAsia="TimesNewRoman" w:cs="TimesNewRoman"/>
          <w:lang w:val="en-GB"/>
        </w:rPr>
        <w:t>°C</w:t>
      </w:r>
      <w:r w:rsidR="00F1321A" w:rsidRPr="00C93E50">
        <w:t xml:space="preserve">) was reported for 6.8% and 6.9% of subjects in the </w:t>
      </w:r>
      <w:proofErr w:type="spellStart"/>
      <w:r w:rsidR="00F1321A" w:rsidRPr="00C93E50">
        <w:t>QIVc</w:t>
      </w:r>
      <w:proofErr w:type="spellEnd"/>
      <w:r w:rsidR="00F1321A" w:rsidRPr="00C93E50">
        <w:t xml:space="preserve"> and QIV groups, respectively with temperatures </w:t>
      </w:r>
      <w:r w:rsidR="00EC1825">
        <w:t xml:space="preserve">of </w:t>
      </w:r>
      <w:r w:rsidR="00F1321A" w:rsidRPr="00C93E50">
        <w:t>40</w:t>
      </w:r>
      <w:r w:rsidRPr="00F0238C">
        <w:rPr>
          <w:rFonts w:eastAsia="TimesNewRoman" w:cs="TimesNewRoman"/>
          <w:lang w:val="en-GB"/>
        </w:rPr>
        <w:t>°C</w:t>
      </w:r>
      <w:r w:rsidR="00F1321A" w:rsidRPr="00C93E50">
        <w:t xml:space="preserve"> </w:t>
      </w:r>
      <w:r w:rsidR="00EC1825">
        <w:t xml:space="preserve">or higher </w:t>
      </w:r>
      <w:r w:rsidR="00F1321A" w:rsidRPr="00C93E50">
        <w:t xml:space="preserve">reported in </w:t>
      </w:r>
      <w:r w:rsidR="00EC1825">
        <w:t xml:space="preserve">less than </w:t>
      </w:r>
      <w:r w:rsidR="00F1321A" w:rsidRPr="00C93E50">
        <w:t>1% of subjects in either group.</w:t>
      </w:r>
    </w:p>
    <w:p w14:paraId="5AD401A3" w14:textId="33B1731D" w:rsidR="00F1321A" w:rsidRDefault="00F1321A" w:rsidP="00F1321A">
      <w:pPr>
        <w:rPr>
          <w:rFonts w:eastAsia="Calibri" w:cs="AdvTT08640291"/>
        </w:rPr>
      </w:pPr>
      <w:r w:rsidRPr="00C93E50">
        <w:rPr>
          <w:rFonts w:eastAsia="Calibri" w:cs="AdvTT08640291"/>
        </w:rPr>
        <w:t xml:space="preserve">The most frequently reported unsolicited AEs during the treatment period for both vaccine groups were upper respiratory tract infection and pyrexia. Subjects reporting unsolicited AEs assessed as at least possibly related to study vaccine were similar for </w:t>
      </w:r>
      <w:proofErr w:type="spellStart"/>
      <w:r w:rsidRPr="00C93E50">
        <w:rPr>
          <w:rFonts w:eastAsia="Calibri" w:cs="AdvTT08640291"/>
        </w:rPr>
        <w:t>QIVc</w:t>
      </w:r>
      <w:proofErr w:type="spellEnd"/>
      <w:r w:rsidRPr="00C93E50">
        <w:rPr>
          <w:rFonts w:eastAsia="Calibri" w:cs="AdvTT08640291"/>
        </w:rPr>
        <w:t xml:space="preserve"> (4.4%) and QIV (4.5%), with injection site bruising and irritability being the most common events. At least 1</w:t>
      </w:r>
      <w:r w:rsidR="0009700D">
        <w:rPr>
          <w:rFonts w:eastAsia="Calibri" w:cs="AdvTT08640291"/>
        </w:rPr>
        <w:t> </w:t>
      </w:r>
      <w:r w:rsidRPr="00C93E50">
        <w:rPr>
          <w:rFonts w:eastAsia="Calibri" w:cs="AdvTT08640291"/>
        </w:rPr>
        <w:t xml:space="preserve">medically attended AE were reported by 10.8% of </w:t>
      </w:r>
      <w:proofErr w:type="spellStart"/>
      <w:r w:rsidRPr="00C93E50">
        <w:rPr>
          <w:rFonts w:eastAsia="Calibri" w:cs="AdvTT08640291"/>
        </w:rPr>
        <w:t>QIVc</w:t>
      </w:r>
      <w:proofErr w:type="spellEnd"/>
      <w:r w:rsidRPr="00C93E50">
        <w:rPr>
          <w:rFonts w:eastAsia="Calibri" w:cs="AdvTT08640291"/>
        </w:rPr>
        <w:t xml:space="preserve"> and 9.3% of QIV recipients. Adverse events leading to new onset chronic disease were reported by 1.4% of </w:t>
      </w:r>
      <w:proofErr w:type="spellStart"/>
      <w:r w:rsidRPr="00C93E50">
        <w:rPr>
          <w:rFonts w:eastAsia="Calibri" w:cs="AdvTT08640291"/>
        </w:rPr>
        <w:t>QIVc</w:t>
      </w:r>
      <w:proofErr w:type="spellEnd"/>
      <w:r w:rsidRPr="00C93E50">
        <w:rPr>
          <w:rFonts w:eastAsia="Calibri" w:cs="AdvTT08640291"/>
        </w:rPr>
        <w:t xml:space="preserve"> and 1.6% of QIV recipients with more than 1 subject reporting asthma (0.2%), seasonal allergy (0.1%), ear infection (0.1%), and</w:t>
      </w:r>
      <w:r w:rsidR="00EE678C">
        <w:rPr>
          <w:rFonts w:eastAsia="Calibri" w:cs="AdvTT08640291"/>
        </w:rPr>
        <w:t xml:space="preserve"> </w:t>
      </w:r>
      <w:r w:rsidRPr="00C93E50">
        <w:rPr>
          <w:rFonts w:eastAsia="Calibri" w:cs="AdvTT08640291"/>
        </w:rPr>
        <w:t xml:space="preserve">atopic dermatitis (0.1%) in the </w:t>
      </w:r>
      <w:proofErr w:type="spellStart"/>
      <w:r w:rsidRPr="00C93E50">
        <w:rPr>
          <w:rFonts w:eastAsia="Calibri" w:cs="AdvTT08640291"/>
        </w:rPr>
        <w:t>QIVc</w:t>
      </w:r>
      <w:proofErr w:type="spellEnd"/>
      <w:r w:rsidRPr="00C93E50">
        <w:rPr>
          <w:rFonts w:eastAsia="Calibri" w:cs="AdvTT08640291"/>
        </w:rPr>
        <w:t xml:space="preserve"> group and cardiac murmur (0.2%) in the QIV group. </w:t>
      </w:r>
      <w:r w:rsidR="00EE678C">
        <w:rPr>
          <w:rFonts w:eastAsia="Calibri" w:cs="AdvTT08640291"/>
        </w:rPr>
        <w:t xml:space="preserve">Serious </w:t>
      </w:r>
      <w:r w:rsidRPr="00C93E50">
        <w:rPr>
          <w:rFonts w:eastAsia="Calibri" w:cs="AdvTT08640291"/>
        </w:rPr>
        <w:t xml:space="preserve">AEs were reported in </w:t>
      </w:r>
      <w:r w:rsidR="00EE678C">
        <w:rPr>
          <w:rFonts w:eastAsia="Calibri" w:cs="AdvTT08640291"/>
        </w:rPr>
        <w:t xml:space="preserve">less than </w:t>
      </w:r>
      <w:r w:rsidRPr="00C93E50">
        <w:rPr>
          <w:rFonts w:eastAsia="Calibri" w:cs="AdvTT08640291"/>
        </w:rPr>
        <w:t>1% of subjects in each vaccine group and none were assessed as related</w:t>
      </w:r>
      <w:r w:rsidR="00173466">
        <w:rPr>
          <w:rFonts w:eastAsia="Calibri" w:cs="AdvTT08640291"/>
        </w:rPr>
        <w:t xml:space="preserve"> to the vaccine</w:t>
      </w:r>
      <w:r w:rsidRPr="00C93E50">
        <w:rPr>
          <w:rFonts w:eastAsia="Calibri" w:cs="AdvTT08640291"/>
        </w:rPr>
        <w:t xml:space="preserve">. One subject in the </w:t>
      </w:r>
      <w:proofErr w:type="spellStart"/>
      <w:r w:rsidRPr="00C93E50">
        <w:rPr>
          <w:rFonts w:eastAsia="Calibri" w:cs="AdvTT08640291"/>
        </w:rPr>
        <w:t>QIVc</w:t>
      </w:r>
      <w:proofErr w:type="spellEnd"/>
      <w:r w:rsidRPr="00C93E50">
        <w:rPr>
          <w:rFonts w:eastAsia="Calibri" w:cs="AdvTT08640291"/>
        </w:rPr>
        <w:t xml:space="preserve"> group had a SAE of new onset seizures 17 days after study vaccination and withdrew from the study. Two subjects in the </w:t>
      </w:r>
      <w:proofErr w:type="spellStart"/>
      <w:r w:rsidRPr="00C93E50">
        <w:rPr>
          <w:rFonts w:eastAsia="Calibri" w:cs="AdvTT08640291"/>
        </w:rPr>
        <w:t>QIVc</w:t>
      </w:r>
      <w:proofErr w:type="spellEnd"/>
      <w:r w:rsidRPr="00C93E50">
        <w:rPr>
          <w:rFonts w:eastAsia="Calibri" w:cs="AdvTT08640291"/>
        </w:rPr>
        <w:t xml:space="preserve"> group had SAEs with a fatal outcome</w:t>
      </w:r>
      <w:r w:rsidR="00173466">
        <w:rPr>
          <w:rFonts w:eastAsia="Calibri" w:cs="AdvTT08640291"/>
        </w:rPr>
        <w:t>:</w:t>
      </w:r>
      <w:r w:rsidRPr="00C93E50">
        <w:rPr>
          <w:rFonts w:eastAsia="Calibri" w:cs="AdvTT08640291"/>
        </w:rPr>
        <w:t xml:space="preserve"> </w:t>
      </w:r>
      <w:r w:rsidR="00174D8B">
        <w:rPr>
          <w:rFonts w:eastAsia="Calibri" w:cs="AdvTT08640291"/>
        </w:rPr>
        <w:t>one</w:t>
      </w:r>
      <w:r w:rsidRPr="00C93E50">
        <w:rPr>
          <w:rFonts w:eastAsia="Calibri" w:cs="AdvTT08640291"/>
        </w:rPr>
        <w:t xml:space="preserve"> subject </w:t>
      </w:r>
      <w:r w:rsidR="00924556">
        <w:rPr>
          <w:rFonts w:eastAsia="Calibri" w:cs="AdvTT08640291"/>
        </w:rPr>
        <w:t xml:space="preserve">was diagnosed with </w:t>
      </w:r>
      <w:r w:rsidRPr="00C93E50">
        <w:rPr>
          <w:rFonts w:eastAsia="Calibri" w:cs="AdvTT08640291"/>
        </w:rPr>
        <w:t xml:space="preserve">adenoviral encephalopathy 27 days after receipt of second dose of </w:t>
      </w:r>
      <w:proofErr w:type="spellStart"/>
      <w:r w:rsidRPr="00C93E50">
        <w:rPr>
          <w:rFonts w:eastAsia="Calibri" w:cs="AdvTT08640291"/>
        </w:rPr>
        <w:t>QIVc</w:t>
      </w:r>
      <w:proofErr w:type="spellEnd"/>
      <w:r w:rsidRPr="00C93E50">
        <w:rPr>
          <w:rFonts w:eastAsia="Calibri" w:cs="AdvTT08640291"/>
        </w:rPr>
        <w:t xml:space="preserve">, and </w:t>
      </w:r>
      <w:r w:rsidR="00174D8B">
        <w:rPr>
          <w:rFonts w:eastAsia="Calibri" w:cs="AdvTT08640291"/>
        </w:rPr>
        <w:t>one</w:t>
      </w:r>
      <w:r w:rsidRPr="00C93E50">
        <w:rPr>
          <w:rFonts w:eastAsia="Calibri" w:cs="AdvTT08640291"/>
        </w:rPr>
        <w:t xml:space="preserve"> subject </w:t>
      </w:r>
      <w:r w:rsidR="00717F5C">
        <w:rPr>
          <w:rFonts w:eastAsia="Calibri" w:cs="AdvTT08640291"/>
        </w:rPr>
        <w:t xml:space="preserve">died of injuries sustained in a </w:t>
      </w:r>
      <w:r w:rsidRPr="00C93E50">
        <w:rPr>
          <w:rFonts w:eastAsia="Calibri" w:cs="AdvTT08640291"/>
        </w:rPr>
        <w:t>traffic accident.</w:t>
      </w:r>
    </w:p>
    <w:p w14:paraId="691670FE" w14:textId="74E99512" w:rsidR="00F1321A" w:rsidRPr="00C93E50" w:rsidRDefault="00F1321A" w:rsidP="00B63793">
      <w:pPr>
        <w:pStyle w:val="Heading6"/>
      </w:pPr>
      <w:r w:rsidRPr="00C93E50">
        <w:t>Data limitations</w:t>
      </w:r>
    </w:p>
    <w:p w14:paraId="1CF9B218" w14:textId="65959B36" w:rsidR="00F1321A" w:rsidRPr="00C93E50" w:rsidRDefault="00F1321A" w:rsidP="00B63793">
      <w:pPr>
        <w:pStyle w:val="ListBullet"/>
      </w:pPr>
      <w:r w:rsidRPr="00C93E50">
        <w:t xml:space="preserve">Only around a third of enrolled participants were </w:t>
      </w:r>
      <w:r w:rsidR="00EA5F07">
        <w:t>aged</w:t>
      </w:r>
      <w:r w:rsidRPr="00C93E50">
        <w:t xml:space="preserve"> 6</w:t>
      </w:r>
      <w:r w:rsidR="00EA5F07">
        <w:t xml:space="preserve"> to </w:t>
      </w:r>
      <w:r w:rsidRPr="00C93E50">
        <w:t>23 months of age</w:t>
      </w:r>
      <w:r w:rsidR="00EA5F07">
        <w:t xml:space="preserve">, the </w:t>
      </w:r>
      <w:r w:rsidRPr="00677F31">
        <w:t xml:space="preserve">proposed age group for </w:t>
      </w:r>
      <w:r w:rsidR="00EA5F07">
        <w:t xml:space="preserve">this </w:t>
      </w:r>
      <w:r w:rsidRPr="00677F31">
        <w:t>extension of indication</w:t>
      </w:r>
      <w:r w:rsidRPr="00C93E50">
        <w:t>.</w:t>
      </w:r>
    </w:p>
    <w:p w14:paraId="3231F2D3" w14:textId="501B900F" w:rsidR="00F1321A" w:rsidRPr="00C93E50" w:rsidRDefault="00F1321A" w:rsidP="00B63793">
      <w:pPr>
        <w:pStyle w:val="ListBullet"/>
      </w:pPr>
      <w:r w:rsidRPr="00C93E50">
        <w:t>No</w:t>
      </w:r>
      <w:r w:rsidRPr="00677F31">
        <w:t xml:space="preserve"> clinical</w:t>
      </w:r>
      <w:r w:rsidRPr="00C93E50">
        <w:t xml:space="preserve"> efficacy data</w:t>
      </w:r>
      <w:r w:rsidR="00EA5F07">
        <w:t xml:space="preserve"> w</w:t>
      </w:r>
      <w:r w:rsidR="005E2692">
        <w:t>ere</w:t>
      </w:r>
      <w:r w:rsidR="00EA5F07">
        <w:t xml:space="preserve"> available.</w:t>
      </w:r>
    </w:p>
    <w:p w14:paraId="413D53A8" w14:textId="330806DD" w:rsidR="00F1321A" w:rsidRPr="00C93E50" w:rsidRDefault="00F1321A" w:rsidP="00B63793">
      <w:pPr>
        <w:pStyle w:val="ListBullet"/>
      </w:pPr>
      <w:r w:rsidRPr="00C93E50">
        <w:t>No data on subjects with co-morbidities and immune deficiency</w:t>
      </w:r>
      <w:r w:rsidR="00285EE2">
        <w:t xml:space="preserve"> w</w:t>
      </w:r>
      <w:r w:rsidR="005E2692">
        <w:t>ere</w:t>
      </w:r>
      <w:r w:rsidR="00285EE2">
        <w:t xml:space="preserve"> available</w:t>
      </w:r>
      <w:r w:rsidRPr="00C93E50">
        <w:t>.</w:t>
      </w:r>
    </w:p>
    <w:p w14:paraId="68BF270D" w14:textId="1FA936E7" w:rsidR="00F1321A" w:rsidRPr="00C93E50" w:rsidRDefault="00F1321A" w:rsidP="00B63793">
      <w:pPr>
        <w:pStyle w:val="ListBullet"/>
      </w:pPr>
      <w:r w:rsidRPr="00C93E50">
        <w:t>No immunogenicity and safety data on co-administration with other vaccines in this age group</w:t>
      </w:r>
      <w:r w:rsidR="00073D0E">
        <w:t xml:space="preserve"> w</w:t>
      </w:r>
      <w:r w:rsidR="001543C7">
        <w:t>ere</w:t>
      </w:r>
      <w:r w:rsidR="00073D0E">
        <w:t xml:space="preserve"> available, including for </w:t>
      </w:r>
      <w:r w:rsidRPr="00C93E50">
        <w:t>those recommended in the childhood immuni</w:t>
      </w:r>
      <w:r w:rsidR="00073D0E">
        <w:t>s</w:t>
      </w:r>
      <w:r w:rsidRPr="00C93E50">
        <w:t>ation programs</w:t>
      </w:r>
      <w:r w:rsidR="00073D0E">
        <w:t>.</w:t>
      </w:r>
    </w:p>
    <w:p w14:paraId="124FADDF" w14:textId="42078E28" w:rsidR="00F1321A" w:rsidRDefault="00F1321A" w:rsidP="00B63793">
      <w:pPr>
        <w:pStyle w:val="Heading5"/>
      </w:pPr>
      <w:r w:rsidRPr="00677F31">
        <w:lastRenderedPageBreak/>
        <w:t>S</w:t>
      </w:r>
      <w:r w:rsidRPr="00C93E50">
        <w:t>afety</w:t>
      </w:r>
      <w:r w:rsidR="007B3D11">
        <w:t>:</w:t>
      </w:r>
      <w:r w:rsidR="00D76274">
        <w:t xml:space="preserve"> p</w:t>
      </w:r>
      <w:r>
        <w:t>regnancy category change</w:t>
      </w:r>
    </w:p>
    <w:p w14:paraId="15CE0DD2" w14:textId="6649112E" w:rsidR="00F1321A" w:rsidRPr="00CF2553" w:rsidRDefault="00F1321A" w:rsidP="00F1321A">
      <w:r w:rsidRPr="00C93E50">
        <w:t>Study V130_11</w:t>
      </w:r>
      <w:r w:rsidR="00073D0E">
        <w:t>O</w:t>
      </w:r>
      <w:r w:rsidRPr="00C93E50">
        <w:t xml:space="preserve">B </w:t>
      </w:r>
      <w:r w:rsidRPr="00677F31">
        <w:t xml:space="preserve">provided data </w:t>
      </w:r>
      <w:r w:rsidR="001543C7">
        <w:t>to</w:t>
      </w:r>
      <w:r w:rsidRPr="00677F31">
        <w:t xml:space="preserve"> support </w:t>
      </w:r>
      <w:r w:rsidR="001543C7">
        <w:t>the</w:t>
      </w:r>
      <w:r w:rsidR="00FE606F">
        <w:t xml:space="preserve"> change of the Australian </w:t>
      </w:r>
      <w:r w:rsidR="00FD71CE">
        <w:t>categor</w:t>
      </w:r>
      <w:r w:rsidR="001543C7">
        <w:t>y</w:t>
      </w:r>
      <w:r w:rsidR="00FD71CE">
        <w:t xml:space="preserve"> for prescribing medicines in </w:t>
      </w:r>
      <w:r w:rsidRPr="00677F31">
        <w:t>pregnancy from Category B1</w:t>
      </w:r>
      <w:r w:rsidRPr="00860213">
        <w:t xml:space="preserve"> </w:t>
      </w:r>
      <w:r w:rsidRPr="00677F31">
        <w:t>to Category A</w:t>
      </w:r>
      <w:r>
        <w:t>. Th</w:t>
      </w:r>
      <w:r w:rsidR="00044B7E">
        <w:t>e study</w:t>
      </w:r>
      <w:r>
        <w:t xml:space="preserve"> was a</w:t>
      </w:r>
      <w:r w:rsidRPr="00CF2553">
        <w:t xml:space="preserve"> prospective observational cohort study with safety objective to evaluate pregnancy outcomes as well as events of interest of major congenital malformations, preterm birth and low birthweight among women immuni</w:t>
      </w:r>
      <w:r w:rsidR="00044B7E">
        <w:t>s</w:t>
      </w:r>
      <w:r w:rsidRPr="00CF2553">
        <w:t xml:space="preserve">ed as part of routine care with </w:t>
      </w:r>
      <w:r w:rsidR="00CD7466">
        <w:t>Flucelvax Quad</w:t>
      </w:r>
      <w:r w:rsidRPr="00CF2553">
        <w:t xml:space="preserve"> during pregnancy.</w:t>
      </w:r>
    </w:p>
    <w:p w14:paraId="1CF4E18C" w14:textId="1CA6B332" w:rsidR="00F1321A" w:rsidRPr="00C93E50" w:rsidRDefault="00F1321A" w:rsidP="00F1321A">
      <w:r w:rsidRPr="00C93E50">
        <w:t>Of the 665 evaluable participants, 659 (99.1%) had a live birth. No stillbirth (0%</w:t>
      </w:r>
      <w:r w:rsidR="000048FD">
        <w:t xml:space="preserve">; </w:t>
      </w:r>
      <w:r w:rsidRPr="00C93E50">
        <w:t>95% CI</w:t>
      </w:r>
      <w:r w:rsidR="000048FD">
        <w:t>:</w:t>
      </w:r>
      <w:r w:rsidRPr="00C93E50">
        <w:t xml:space="preserve"> 0.0–0.6), 4 spontaneous abortions (1.9%</w:t>
      </w:r>
      <w:r w:rsidR="000048FD">
        <w:t>; 95% CI:</w:t>
      </w:r>
      <w:r w:rsidRPr="00C93E50">
        <w:t xml:space="preserve"> 0.5–4.8), and 1 elective termination (0.5%</w:t>
      </w:r>
      <w:r w:rsidR="000048FD">
        <w:t xml:space="preserve">; 95% CI: </w:t>
      </w:r>
      <w:r w:rsidRPr="00C93E50">
        <w:t>0.0–2.6) were reported. Among 673 infants, 9.2% (upper 95% CI</w:t>
      </w:r>
      <w:r w:rsidR="000048FD">
        <w:t>:</w:t>
      </w:r>
      <w:r w:rsidRPr="00C93E50">
        <w:t xml:space="preserve"> 11.5%) were born prematurely, 5.8% (upper 95% CI</w:t>
      </w:r>
      <w:r w:rsidR="000048FD">
        <w:t>:</w:t>
      </w:r>
      <w:r w:rsidRPr="00C93E50">
        <w:t xml:space="preserve"> 7.6%) had low birth weight, and 1.9% (upper 95% CI</w:t>
      </w:r>
      <w:r w:rsidR="000048FD">
        <w:t>:</w:t>
      </w:r>
      <w:r w:rsidRPr="00C93E50">
        <w:t xml:space="preserve"> 3.1%) were reported to have a </w:t>
      </w:r>
      <w:r w:rsidR="00043B79">
        <w:t>m</w:t>
      </w:r>
      <w:r w:rsidR="00043B79" w:rsidRPr="00043B79">
        <w:t>ajor congenital malformation</w:t>
      </w:r>
      <w:r w:rsidRPr="00C93E50">
        <w:t xml:space="preserve">. No maternal deaths were reported. Of the 2 infants who died shortly after birth, one </w:t>
      </w:r>
      <w:r w:rsidR="001E0554">
        <w:t xml:space="preserve">death </w:t>
      </w:r>
      <w:r w:rsidRPr="00C93E50">
        <w:t xml:space="preserve">was adjudicated as not related to the vaccine; the </w:t>
      </w:r>
      <w:r w:rsidR="001E0554">
        <w:t>cause of death</w:t>
      </w:r>
      <w:r w:rsidR="00513512">
        <w:t xml:space="preserve"> of the other infant </w:t>
      </w:r>
      <w:r w:rsidRPr="00C93E50">
        <w:t xml:space="preserve">could not be determined due to maternal loss to follow-up. The prevalence of adverse pregnancy outcomes or preterm birth, low birth weight, or </w:t>
      </w:r>
      <w:r w:rsidR="00043B79">
        <w:t>m</w:t>
      </w:r>
      <w:r w:rsidR="00043B79" w:rsidRPr="00043B79">
        <w:t>ajor congenital malformation</w:t>
      </w:r>
      <w:r w:rsidRPr="00C93E50">
        <w:t xml:space="preserve">s in newborns was similar in persons vaccinated with </w:t>
      </w:r>
      <w:r w:rsidR="001B7FBE">
        <w:t>Flucelvax Quad</w:t>
      </w:r>
      <w:r w:rsidRPr="00C93E50">
        <w:t xml:space="preserve"> compared to the rates observed in US surveillance systems.</w:t>
      </w:r>
    </w:p>
    <w:p w14:paraId="797D6A6F" w14:textId="7371FA39" w:rsidR="00F1321A" w:rsidRPr="00677F31" w:rsidRDefault="00BF1310" w:rsidP="00F1321A">
      <w:r>
        <w:t>F</w:t>
      </w:r>
      <w:r w:rsidR="00F1321A" w:rsidRPr="00C93E50">
        <w:t xml:space="preserve">or all outcomes, the point estimate of the prevalence observed in the study population was below the background prevalence for the general population. These data suggest no evidence of a safety concern for </w:t>
      </w:r>
      <w:proofErr w:type="spellStart"/>
      <w:r w:rsidR="00F1321A" w:rsidRPr="00C93E50">
        <w:t>QIVc</w:t>
      </w:r>
      <w:proofErr w:type="spellEnd"/>
      <w:r w:rsidR="00F1321A" w:rsidRPr="00C93E50">
        <w:t xml:space="preserve"> received during any stage of pregnancy. These findings are consistent with published data from various databases and surveillance systems that monitor the safety of influenza vaccines in pregnant women. Based on these </w:t>
      </w:r>
      <w:r w:rsidR="00F1321A" w:rsidRPr="00677F31">
        <w:t>outcomes,</w:t>
      </w:r>
      <w:r w:rsidR="00F1321A" w:rsidRPr="00C93E50">
        <w:t xml:space="preserve"> </w:t>
      </w:r>
      <w:r w:rsidR="00794338">
        <w:t xml:space="preserve">the </w:t>
      </w:r>
      <w:r w:rsidR="00F1321A" w:rsidRPr="00C93E50">
        <w:t xml:space="preserve">pregnancy category for Flucelvax </w:t>
      </w:r>
      <w:r w:rsidR="00794338">
        <w:t>Q</w:t>
      </w:r>
      <w:r w:rsidR="00F1321A" w:rsidRPr="00C93E50">
        <w:t>uad can be changed to Cat</w:t>
      </w:r>
      <w:r w:rsidR="00794338">
        <w:t>egory</w:t>
      </w:r>
      <w:r w:rsidR="00F1321A" w:rsidRPr="00C93E50">
        <w:t xml:space="preserve"> A.</w:t>
      </w:r>
    </w:p>
    <w:p w14:paraId="3916F296" w14:textId="77777777" w:rsidR="00C22214" w:rsidRDefault="00C22214" w:rsidP="00C22214">
      <w:pPr>
        <w:pStyle w:val="Heading4"/>
      </w:pPr>
      <w:bookmarkStart w:id="92" w:name="_Toc98931933"/>
      <w:bookmarkStart w:id="93" w:name="_Toc143608682"/>
      <w:r w:rsidRPr="00D23139">
        <w:t xml:space="preserve">Proposed </w:t>
      </w:r>
      <w:proofErr w:type="gramStart"/>
      <w:r w:rsidRPr="00D23139">
        <w:t>action</w:t>
      </w:r>
      <w:bookmarkEnd w:id="92"/>
      <w:bookmarkEnd w:id="93"/>
      <w:proofErr w:type="gramEnd"/>
    </w:p>
    <w:p w14:paraId="7F29606A" w14:textId="426B9B4E" w:rsidR="000B343F" w:rsidRPr="000B343F" w:rsidRDefault="000B343F" w:rsidP="000B343F">
      <w:r w:rsidRPr="00C93E50">
        <w:rPr>
          <w:lang w:val="en-GB"/>
        </w:rPr>
        <w:t xml:space="preserve">There is existing public health need for </w:t>
      </w:r>
      <w:r w:rsidRPr="00677F31">
        <w:rPr>
          <w:lang w:val="en-GB"/>
        </w:rPr>
        <w:t>cell based quadrivalent influenza vaccine</w:t>
      </w:r>
      <w:r w:rsidRPr="00C93E50">
        <w:rPr>
          <w:lang w:val="en-GB"/>
        </w:rPr>
        <w:t xml:space="preserve">, particularly for use in </w:t>
      </w:r>
      <w:r w:rsidRPr="00677F31">
        <w:rPr>
          <w:lang w:val="en-GB"/>
        </w:rPr>
        <w:t>infants and younger children.</w:t>
      </w:r>
      <w:r w:rsidRPr="00C93E50">
        <w:rPr>
          <w:lang w:val="en-GB"/>
        </w:rPr>
        <w:t xml:space="preserve"> Based on the acceptable immunogenicity and safety demonstrated by the submitted data, </w:t>
      </w:r>
      <w:r w:rsidR="00B87AA6">
        <w:rPr>
          <w:lang w:val="en-GB"/>
        </w:rPr>
        <w:t>the Delegate</w:t>
      </w:r>
      <w:r w:rsidR="00405642">
        <w:rPr>
          <w:lang w:val="en-GB"/>
        </w:rPr>
        <w:t>’s preliminary</w:t>
      </w:r>
      <w:r w:rsidRPr="00C93E50">
        <w:rPr>
          <w:lang w:val="en-GB"/>
        </w:rPr>
        <w:t xml:space="preserve"> view </w:t>
      </w:r>
      <w:r w:rsidR="00405642">
        <w:rPr>
          <w:lang w:val="en-GB"/>
        </w:rPr>
        <w:t xml:space="preserve">is </w:t>
      </w:r>
      <w:r w:rsidRPr="00C93E50">
        <w:rPr>
          <w:lang w:val="en-GB"/>
        </w:rPr>
        <w:t xml:space="preserve">that </w:t>
      </w:r>
      <w:r w:rsidR="00405642">
        <w:rPr>
          <w:lang w:val="en-GB"/>
        </w:rPr>
        <w:t xml:space="preserve">the </w:t>
      </w:r>
      <w:r w:rsidRPr="00677F31">
        <w:rPr>
          <w:lang w:val="en-GB"/>
        </w:rPr>
        <w:t xml:space="preserve">extension of indication </w:t>
      </w:r>
      <w:r w:rsidR="00405642">
        <w:rPr>
          <w:lang w:val="en-GB"/>
        </w:rPr>
        <w:t>for Flucelvax Quad</w:t>
      </w:r>
      <w:r w:rsidRPr="00677F31">
        <w:rPr>
          <w:lang w:val="en-GB"/>
        </w:rPr>
        <w:t xml:space="preserve"> in the proposed age group of 6 months to 2 years </w:t>
      </w:r>
      <w:r w:rsidRPr="00677F31">
        <w:t>is</w:t>
      </w:r>
      <w:r w:rsidRPr="00C93E50">
        <w:rPr>
          <w:lang w:val="en-GB"/>
        </w:rPr>
        <w:t xml:space="preserve"> appropriate.</w:t>
      </w:r>
    </w:p>
    <w:p w14:paraId="318CFABC" w14:textId="77777777" w:rsidR="00C22214" w:rsidRPr="00F73346" w:rsidRDefault="00C22214" w:rsidP="00C22214">
      <w:pPr>
        <w:pStyle w:val="Heading4"/>
      </w:pPr>
      <w:bookmarkStart w:id="94" w:name="_Toc98931936"/>
      <w:bookmarkStart w:id="95" w:name="_Toc143608683"/>
      <w:bookmarkStart w:id="96" w:name="_Toc247691532"/>
      <w:bookmarkStart w:id="97" w:name="_Toc314842516"/>
      <w:r w:rsidRPr="00F73346">
        <w:t>Advisory Committee considerations</w:t>
      </w:r>
      <w:bookmarkEnd w:id="94"/>
      <w:bookmarkEnd w:id="95"/>
    </w:p>
    <w:p w14:paraId="087BB9CB" w14:textId="3AB78C63" w:rsidR="00C22214" w:rsidRPr="00BD5DBD" w:rsidRDefault="00C22214" w:rsidP="00C22214">
      <w:pPr>
        <w:rPr>
          <w:bCs/>
          <w:szCs w:val="22"/>
        </w:rPr>
      </w:pPr>
      <w:r w:rsidRPr="00BD5DBD">
        <w:rPr>
          <w:bCs/>
          <w:szCs w:val="22"/>
        </w:rPr>
        <w:t xml:space="preserve">The </w:t>
      </w:r>
      <w:hyperlink r:id="rId38"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18BEB88E" w14:textId="77777777" w:rsidR="00CE42B9" w:rsidRPr="000249CF" w:rsidRDefault="00CE42B9" w:rsidP="000249CF">
      <w:pPr>
        <w:pStyle w:val="Numberbullet0"/>
        <w:numPr>
          <w:ilvl w:val="0"/>
          <w:numId w:val="19"/>
        </w:numPr>
        <w:rPr>
          <w:b/>
          <w:bCs/>
          <w:i/>
          <w:iCs/>
        </w:rPr>
      </w:pPr>
      <w:r w:rsidRPr="000249CF">
        <w:rPr>
          <w:b/>
          <w:bCs/>
          <w:i/>
          <w:iCs/>
        </w:rPr>
        <w:t xml:space="preserve">Does ACV consider that there is a favourable benefit risk balance for the use of this vaccine in the proposed population, and the submitted data has satisfied the regulatory requirement for the extension of registration to individuals 6 months to 2 years of age? Especially in view of that, immunogenicity data having only one-third population from the target age group </w:t>
      </w:r>
      <w:proofErr w:type="gramStart"/>
      <w:r w:rsidRPr="000249CF">
        <w:rPr>
          <w:b/>
          <w:bCs/>
          <w:i/>
          <w:iCs/>
        </w:rPr>
        <w:t>and also</w:t>
      </w:r>
      <w:proofErr w:type="gramEnd"/>
      <w:r w:rsidRPr="000249CF">
        <w:rPr>
          <w:b/>
          <w:bCs/>
          <w:i/>
          <w:iCs/>
        </w:rPr>
        <w:t xml:space="preserve"> the absence of clinical efficacy data.</w:t>
      </w:r>
    </w:p>
    <w:p w14:paraId="67BADE13" w14:textId="77777777" w:rsidR="00CE42B9" w:rsidRPr="00CE42B9" w:rsidRDefault="00CE42B9" w:rsidP="00CE42B9">
      <w:r w:rsidRPr="00CE42B9">
        <w:t>The ACV advised that there is a favourable benefit risk balance for the use of Flucelvax Quad in individuals 6 months to 2 years of age.</w:t>
      </w:r>
    </w:p>
    <w:p w14:paraId="06E66B7A" w14:textId="77777777" w:rsidR="00CE42B9" w:rsidRPr="00CE42B9" w:rsidRDefault="00CE42B9" w:rsidP="00CE42B9">
      <w:r w:rsidRPr="00CE42B9">
        <w:t>The ACV noted that the sample size and diversity of the trial population allowed for a meaningful comparison of safety as well as immunogenicity outcomes.</w:t>
      </w:r>
    </w:p>
    <w:p w14:paraId="50B5E25D" w14:textId="33D660ED" w:rsidR="00CE42B9" w:rsidRPr="00CE42B9" w:rsidRDefault="00CE42B9" w:rsidP="00CE42B9">
      <w:r w:rsidRPr="00CE42B9">
        <w:t xml:space="preserve">Immunogenicity assessment was extensive with antibody responses evaluated in 2 types of assays (haemagglutination inhibition and </w:t>
      </w:r>
      <w:proofErr w:type="spellStart"/>
      <w:r w:rsidRPr="00CE42B9">
        <w:t>microneutralisation</w:t>
      </w:r>
      <w:proofErr w:type="spellEnd"/>
      <w:r w:rsidRPr="00CE42B9">
        <w:t xml:space="preserve">) with both cell and egg-derived </w:t>
      </w:r>
      <w:r w:rsidRPr="00CE42B9">
        <w:lastRenderedPageBreak/>
        <w:t>target viruses. Pre-defined success criteria of non-inferiority for the primary immunogenicity objectives were met, demonstrating that Flucelvax Quad was non-inferior to approved comparator vaccine in children 6 to 47 months of age for all 4 influenza strains, which has demonstrated efficacy</w:t>
      </w:r>
      <w:r w:rsidR="00BD7474">
        <w:t xml:space="preserve"> or </w:t>
      </w:r>
      <w:r w:rsidRPr="00CE42B9">
        <w:t>effectiveness.</w:t>
      </w:r>
    </w:p>
    <w:p w14:paraId="6CB9E8B8" w14:textId="77777777" w:rsidR="00CE42B9" w:rsidRPr="00CE42B9" w:rsidRDefault="00CE42B9" w:rsidP="00CE42B9">
      <w:pPr>
        <w:pStyle w:val="Numberbullet0"/>
        <w:rPr>
          <w:b/>
          <w:bCs/>
          <w:i/>
          <w:iCs/>
        </w:rPr>
      </w:pPr>
      <w:r w:rsidRPr="00CE42B9">
        <w:rPr>
          <w:b/>
          <w:bCs/>
          <w:i/>
          <w:iCs/>
        </w:rPr>
        <w:t>Does ACV consider safety data as adequate in the proposed age group?</w:t>
      </w:r>
    </w:p>
    <w:p w14:paraId="3321BA01" w14:textId="77777777" w:rsidR="00CE42B9" w:rsidRPr="00CE42B9" w:rsidRDefault="00CE42B9" w:rsidP="00CE42B9">
      <w:r w:rsidRPr="00CE42B9">
        <w:t>The ACV advised that the safety data appeared to be sufficient and comparable to other inactivated influenza vaccine administered to the age group 6 months to 2 years.</w:t>
      </w:r>
    </w:p>
    <w:p w14:paraId="2FE98637" w14:textId="49C96CE2" w:rsidR="00CE42B9" w:rsidRPr="00CE42B9" w:rsidRDefault="00CE42B9" w:rsidP="00CE42B9">
      <w:r w:rsidRPr="00CE42B9">
        <w:t>Ongoing post-market monitoring should consider co-administration of Flucelvax Quad with vaccines that are included in childhood immunisation programs. Of note, AusVaxSafety surveillance in Australia provides analysis of adverse events following immunisation by age and brand and should be useful in this regard.</w:t>
      </w:r>
      <w:r w:rsidR="008067F4">
        <w:rPr>
          <w:rStyle w:val="FootnoteReference"/>
        </w:rPr>
        <w:footnoteReference w:id="26"/>
      </w:r>
      <w:r w:rsidRPr="00CE42B9">
        <w:t xml:space="preserve"> No immunogenicity and safety data had been provided on co-administration of Flucelvax Quad with other vaccines in this age group.</w:t>
      </w:r>
    </w:p>
    <w:p w14:paraId="2CCEBB42" w14:textId="77777777" w:rsidR="00CE42B9" w:rsidRPr="00CE42B9" w:rsidRDefault="00CE42B9" w:rsidP="00CE42B9">
      <w:pPr>
        <w:pStyle w:val="Numberbullet0"/>
        <w:rPr>
          <w:b/>
          <w:bCs/>
          <w:i/>
          <w:iCs/>
        </w:rPr>
      </w:pPr>
      <w:r w:rsidRPr="00CE42B9">
        <w:rPr>
          <w:b/>
          <w:bCs/>
          <w:i/>
          <w:iCs/>
        </w:rPr>
        <w:t>Does ACV agree with the proposed indication?</w:t>
      </w:r>
    </w:p>
    <w:p w14:paraId="11F28D33" w14:textId="77777777" w:rsidR="00CE42B9" w:rsidRPr="00CE42B9" w:rsidRDefault="00CE42B9" w:rsidP="00CE42B9">
      <w:r w:rsidRPr="00CE42B9">
        <w:t>The ACV advised that the proposed indication was appropriate.</w:t>
      </w:r>
    </w:p>
    <w:p w14:paraId="211F962D" w14:textId="77777777" w:rsidR="00CE42B9" w:rsidRPr="00CE42B9" w:rsidRDefault="00CE42B9" w:rsidP="00CE42B9">
      <w:r w:rsidRPr="00CE42B9">
        <w:t>No dose adjustment is required for the proposed age group, and rates of adverse events were similar between the Flucelvax Quad and comparator vaccine with no serious adverse events related to vaccination.</w:t>
      </w:r>
    </w:p>
    <w:p w14:paraId="53D0FC1C" w14:textId="77777777" w:rsidR="00CE42B9" w:rsidRPr="00CE42B9" w:rsidRDefault="00CE42B9" w:rsidP="00CE42B9">
      <w:r w:rsidRPr="00CE42B9">
        <w:t>While reiterating that people with egg allergy, including a history of anaphylaxis, can be safely vaccinated with any inactivated influenza vaccine (including egg-based vaccines) unless they have reported a serious adverse reaction to influenza vaccines,</w:t>
      </w:r>
      <w:r w:rsidRPr="004F404E">
        <w:rPr>
          <w:vertAlign w:val="superscript"/>
        </w:rPr>
        <w:footnoteReference w:id="27"/>
      </w:r>
      <w:r w:rsidRPr="00CE42B9">
        <w:t xml:space="preserve"> the ACV noted that the availability of a cell-based vaccine for individuals 6 months to 2 years of age provided choice for parents and prescribers.</w:t>
      </w:r>
    </w:p>
    <w:p w14:paraId="5291EA2A" w14:textId="77777777" w:rsidR="00C22214" w:rsidRPr="00F73346" w:rsidRDefault="00C22214" w:rsidP="00C22214">
      <w:pPr>
        <w:pStyle w:val="Heading5"/>
      </w:pPr>
      <w:r w:rsidRPr="00F73346">
        <w:t>Conclusion</w:t>
      </w:r>
    </w:p>
    <w:p w14:paraId="4FE66D72" w14:textId="77777777" w:rsidR="003D5B7D" w:rsidRPr="003D5B7D" w:rsidRDefault="003D5B7D" w:rsidP="003D5B7D">
      <w:r w:rsidRPr="003D5B7D">
        <w:t>The ACV considered this product to have an overall positive benefit-risk profile for the indication:</w:t>
      </w:r>
    </w:p>
    <w:p w14:paraId="56017C6A" w14:textId="77777777" w:rsidR="003D5B7D" w:rsidRPr="003D5B7D" w:rsidRDefault="003D5B7D" w:rsidP="003D5B7D">
      <w:pPr>
        <w:ind w:left="720"/>
        <w:rPr>
          <w:i/>
          <w:iCs/>
        </w:rPr>
      </w:pPr>
      <w:r w:rsidRPr="003D5B7D">
        <w:rPr>
          <w:i/>
          <w:iCs/>
        </w:rPr>
        <w:t>For the prevention of influenza caused by influenza virus, types A and B contained in the vaccine. The vaccine is indicated for use in adults and children 6 months of age and older.</w:t>
      </w:r>
    </w:p>
    <w:p w14:paraId="120ECBB9" w14:textId="77777777" w:rsidR="003D5B7D" w:rsidRPr="003D5B7D" w:rsidRDefault="003D5B7D" w:rsidP="003D5B7D">
      <w:pPr>
        <w:ind w:left="720"/>
        <w:rPr>
          <w:i/>
          <w:iCs/>
        </w:rPr>
      </w:pPr>
      <w:r w:rsidRPr="003D5B7D">
        <w:rPr>
          <w:i/>
          <w:iCs/>
        </w:rPr>
        <w:t>For full details regarding recommendations for influenza vaccination, please refer to the relevant national immunisation guidelines.</w:t>
      </w:r>
    </w:p>
    <w:p w14:paraId="307F236C" w14:textId="77777777" w:rsidR="00C22214" w:rsidRPr="002E238E" w:rsidRDefault="00C22214" w:rsidP="00C22214">
      <w:pPr>
        <w:pStyle w:val="Heading2"/>
      </w:pPr>
      <w:bookmarkStart w:id="98" w:name="_Toc103679300"/>
      <w:bookmarkStart w:id="99" w:name="_Toc143608684"/>
      <w:r>
        <w:t>Outcome</w:t>
      </w:r>
      <w:bookmarkEnd w:id="96"/>
      <w:bookmarkEnd w:id="97"/>
      <w:bookmarkEnd w:id="98"/>
      <w:bookmarkEnd w:id="99"/>
    </w:p>
    <w:p w14:paraId="4EF22939" w14:textId="4656627B" w:rsidR="00C22214" w:rsidRDefault="00C22214" w:rsidP="000249CF">
      <w:r w:rsidRPr="00BD5DBD">
        <w:t xml:space="preserve">Based on a review of quality, safety, and efficacy, the TGA approved the registration of </w:t>
      </w:r>
      <w:r w:rsidR="000249CF">
        <w:t>Flucelvax Quad, a q</w:t>
      </w:r>
      <w:r w:rsidR="000249CF" w:rsidRPr="00AA5281">
        <w:t>uadrivalent influenza vaccine (surface antigen, inactivated, prepared in cell cultures)</w:t>
      </w:r>
      <w:r w:rsidR="000249CF">
        <w:t xml:space="preserve"> </w:t>
      </w:r>
      <w:r w:rsidR="000249CF" w:rsidRPr="00AA5281">
        <w:t xml:space="preserve">suspension for injection </w:t>
      </w:r>
      <w:r w:rsidR="000249CF">
        <w:t xml:space="preserve">in pre-filled syringes </w:t>
      </w:r>
      <w:r w:rsidR="000249CF" w:rsidRPr="00AA5281">
        <w:t xml:space="preserve">containing </w:t>
      </w:r>
      <w:r w:rsidR="000249CF">
        <w:t>60 µg i</w:t>
      </w:r>
      <w:r w:rsidR="000249CF" w:rsidRPr="00AA5281">
        <w:t>nfluenza virus haemagglutinin as active ingredient</w:t>
      </w:r>
      <w:r w:rsidRPr="00BD5DBD">
        <w:t>, for the following extension of indication:</w:t>
      </w:r>
    </w:p>
    <w:p w14:paraId="4F6E7F9F" w14:textId="7F8C599A" w:rsidR="000249CF" w:rsidRPr="006B1E05" w:rsidRDefault="000249CF" w:rsidP="000249CF">
      <w:pPr>
        <w:ind w:left="720"/>
        <w:rPr>
          <w:i/>
        </w:rPr>
      </w:pPr>
      <w:r w:rsidRPr="006B1E05">
        <w:rPr>
          <w:i/>
        </w:rPr>
        <w:t xml:space="preserve">For the prevention of influenza caused by Influenza Virus, Types A and B contained in the vaccine. The vaccine is indicated for use in children 6 months </w:t>
      </w:r>
      <w:r w:rsidR="000779AF">
        <w:rPr>
          <w:i/>
        </w:rPr>
        <w:t xml:space="preserve">to 2 years </w:t>
      </w:r>
      <w:r w:rsidRPr="006B1E05">
        <w:rPr>
          <w:i/>
        </w:rPr>
        <w:t>of age</w:t>
      </w:r>
      <w:r w:rsidR="000779AF">
        <w:rPr>
          <w:i/>
        </w:rPr>
        <w:t>.</w:t>
      </w:r>
    </w:p>
    <w:p w14:paraId="500F60C2" w14:textId="77777777" w:rsidR="00C22214" w:rsidRPr="00BD5DBD" w:rsidRDefault="00C22214" w:rsidP="00403726">
      <w:pPr>
        <w:keepNext/>
        <w:rPr>
          <w:szCs w:val="22"/>
        </w:rPr>
      </w:pPr>
      <w:r w:rsidRPr="00BD5DBD">
        <w:rPr>
          <w:szCs w:val="22"/>
        </w:rPr>
        <w:lastRenderedPageBreak/>
        <w:t>As such, the full indications at this time were:</w:t>
      </w:r>
    </w:p>
    <w:p w14:paraId="45BE6FC7" w14:textId="77777777" w:rsidR="00ED0C8A" w:rsidRPr="006B1E05" w:rsidRDefault="00ED0C8A" w:rsidP="00ED0C8A">
      <w:pPr>
        <w:ind w:left="720"/>
        <w:rPr>
          <w:i/>
        </w:rPr>
      </w:pPr>
      <w:r w:rsidRPr="006B1E05">
        <w:rPr>
          <w:i/>
        </w:rPr>
        <w:t>For the prevention of influenza caused by Influenza Virus, Types A and B contained in the vaccine. The vaccine is indicated for use in adults and children 6 months of age and older.</w:t>
      </w:r>
    </w:p>
    <w:p w14:paraId="35D30EA5" w14:textId="77777777" w:rsidR="00ED0C8A" w:rsidRPr="006B1E05" w:rsidRDefault="00ED0C8A" w:rsidP="00ED0C8A">
      <w:pPr>
        <w:ind w:left="720"/>
        <w:rPr>
          <w:i/>
        </w:rPr>
      </w:pPr>
      <w:r w:rsidRPr="006B1E05">
        <w:rPr>
          <w:i/>
        </w:rPr>
        <w:t>For full details regarding recommendations for influenza vaccination, please refer to the relevant national immunisation guidelines.</w:t>
      </w:r>
    </w:p>
    <w:p w14:paraId="0D732DA4" w14:textId="77777777" w:rsidR="00854D98" w:rsidRPr="00D23139" w:rsidRDefault="00854D98" w:rsidP="00854D98">
      <w:pPr>
        <w:pStyle w:val="Heading3"/>
      </w:pPr>
      <w:bookmarkStart w:id="100" w:name="_Toc103679301"/>
      <w:bookmarkStart w:id="101" w:name="_Toc143608685"/>
      <w:r w:rsidRPr="00D23139">
        <w:t>Specific conditions of registration applying to these goods</w:t>
      </w:r>
      <w:bookmarkEnd w:id="100"/>
      <w:bookmarkEnd w:id="101"/>
    </w:p>
    <w:p w14:paraId="76339B11" w14:textId="79D58E7B" w:rsidR="00EF1997" w:rsidRPr="00547019" w:rsidRDefault="00E72D1F" w:rsidP="00B65048">
      <w:r w:rsidRPr="00547019">
        <w:t>The influenza virus haemagglutinin E</w:t>
      </w:r>
      <w:r w:rsidR="004F3604" w:rsidRPr="00547019">
        <w:t>uropean Union</w:t>
      </w:r>
      <w:r w:rsidR="006962B6">
        <w:t xml:space="preserve"> R</w:t>
      </w:r>
      <w:r w:rsidRPr="00547019">
        <w:t xml:space="preserve">isk </w:t>
      </w:r>
      <w:r w:rsidR="00F309AC">
        <w:t>m</w:t>
      </w:r>
      <w:r w:rsidRPr="00547019">
        <w:t xml:space="preserve">anagement </w:t>
      </w:r>
      <w:r w:rsidR="00F309AC">
        <w:t>p</w:t>
      </w:r>
      <w:r w:rsidRPr="00547019">
        <w:t>lan (RMP) version 3.1</w:t>
      </w:r>
      <w:r w:rsidR="00B65048" w:rsidRPr="00547019">
        <w:t xml:space="preserve"> </w:t>
      </w:r>
      <w:r w:rsidRPr="00547019">
        <w:t>(dated 27</w:t>
      </w:r>
      <w:r w:rsidR="0068732D" w:rsidRPr="00547019">
        <w:t> </w:t>
      </w:r>
      <w:r w:rsidRPr="00547019">
        <w:t>August</w:t>
      </w:r>
      <w:r w:rsidR="0068732D" w:rsidRPr="00547019">
        <w:t> </w:t>
      </w:r>
      <w:r w:rsidRPr="00547019">
        <w:t>2021, data lock point 30</w:t>
      </w:r>
      <w:r w:rsidR="0068732D" w:rsidRPr="00547019">
        <w:t> </w:t>
      </w:r>
      <w:r w:rsidRPr="00547019">
        <w:t>June</w:t>
      </w:r>
      <w:r w:rsidR="0068732D" w:rsidRPr="00547019">
        <w:t> </w:t>
      </w:r>
      <w:r w:rsidRPr="00547019">
        <w:t>2021), with Australia</w:t>
      </w:r>
      <w:r w:rsidR="006962B6">
        <w:t>-</w:t>
      </w:r>
      <w:r w:rsidR="006E33ED">
        <w:t>s</w:t>
      </w:r>
      <w:r w:rsidRPr="00547019">
        <w:t xml:space="preserve">pecific </w:t>
      </w:r>
      <w:r w:rsidR="006E33ED">
        <w:t>a</w:t>
      </w:r>
      <w:r w:rsidRPr="00547019">
        <w:t>nnex</w:t>
      </w:r>
      <w:r w:rsidR="00B65048" w:rsidRPr="00547019">
        <w:t xml:space="preserve"> </w:t>
      </w:r>
      <w:r w:rsidRPr="00547019">
        <w:t>(version</w:t>
      </w:r>
      <w:r w:rsidR="006962B6">
        <w:t> </w:t>
      </w:r>
      <w:r w:rsidRPr="00547019">
        <w:t>3.2, dated 6</w:t>
      </w:r>
      <w:r w:rsidR="0068732D" w:rsidRPr="00547019">
        <w:t> </w:t>
      </w:r>
      <w:r w:rsidRPr="00547019">
        <w:t>January</w:t>
      </w:r>
      <w:r w:rsidR="0068732D" w:rsidRPr="00547019">
        <w:t> </w:t>
      </w:r>
      <w:r w:rsidRPr="00547019">
        <w:t xml:space="preserve">2023), included with </w:t>
      </w:r>
      <w:r w:rsidR="006E33ED">
        <w:t>S</w:t>
      </w:r>
      <w:r w:rsidRPr="00547019">
        <w:t>ubmission PM-2022-01977-1-2,</w:t>
      </w:r>
      <w:r w:rsidR="00B65048" w:rsidRPr="00547019">
        <w:t xml:space="preserve"> </w:t>
      </w:r>
      <w:r w:rsidRPr="00547019">
        <w:t>and any subsequent revisions, as agreed with the TGA will be implemented in Australia.</w:t>
      </w:r>
    </w:p>
    <w:p w14:paraId="6EADB6A2" w14:textId="28C1D814" w:rsidR="00E72D1F" w:rsidRPr="00E72D1F" w:rsidRDefault="00E72D1F" w:rsidP="00B65048">
      <w:r w:rsidRPr="00547019">
        <w:t>An obligatory component of risk management plans is routine pharmacovigilance.</w:t>
      </w:r>
      <w:r w:rsidR="0068732D" w:rsidRPr="00547019">
        <w:t xml:space="preserve"> </w:t>
      </w:r>
      <w:r w:rsidRPr="00547019">
        <w:t>Routine pharmacovigilance includes the submission of periodic safety update</w:t>
      </w:r>
      <w:r w:rsidR="0068732D" w:rsidRPr="00547019">
        <w:t xml:space="preserve"> </w:t>
      </w:r>
      <w:r w:rsidRPr="00547019">
        <w:t>reports (PSURs).</w:t>
      </w:r>
      <w:r w:rsidR="00EF1997" w:rsidRPr="00547019">
        <w:t xml:space="preserve"> </w:t>
      </w:r>
      <w:r w:rsidRPr="00547019">
        <w:t>Reports are to be provided in line with the current published list of E</w:t>
      </w:r>
      <w:r w:rsidR="000C7538" w:rsidRPr="00547019">
        <w:t>uropean Union</w:t>
      </w:r>
      <w:r w:rsidRPr="00547019">
        <w:t xml:space="preserve"> reference</w:t>
      </w:r>
      <w:r w:rsidR="0068732D" w:rsidRPr="00547019">
        <w:t xml:space="preserve"> </w:t>
      </w:r>
      <w:r w:rsidRPr="00547019">
        <w:t>dates and frequency of submission of PSURs until the period covered by such</w:t>
      </w:r>
      <w:r w:rsidR="0068732D" w:rsidRPr="00547019">
        <w:t xml:space="preserve"> </w:t>
      </w:r>
      <w:r w:rsidRPr="00547019">
        <w:t xml:space="preserve">reports is not less than </w:t>
      </w:r>
      <w:r w:rsidR="008D58C3" w:rsidRPr="00547019">
        <w:t>3 </w:t>
      </w:r>
      <w:r w:rsidRPr="00547019">
        <w:t>years from the date of th</w:t>
      </w:r>
      <w:r w:rsidR="003432DB" w:rsidRPr="00547019">
        <w:t>e</w:t>
      </w:r>
      <w:r w:rsidRPr="00547019">
        <w:t xml:space="preserve"> approval letter.</w:t>
      </w:r>
      <w:r w:rsidR="00443ACB" w:rsidRPr="00547019">
        <w:t xml:space="preserve"> </w:t>
      </w:r>
      <w:r w:rsidRPr="00547019">
        <w:t>The reports are to at least meet the requirements</w:t>
      </w:r>
      <w:r>
        <w:t xml:space="preserve"> for PSURs as described in the</w:t>
      </w:r>
      <w:r w:rsidR="0068732D">
        <w:t xml:space="preserve"> </w:t>
      </w:r>
      <w:r>
        <w:t>European Medicines Agency’s Guideline on</w:t>
      </w:r>
      <w:r w:rsidR="006E33ED">
        <w:t xml:space="preserve"> G</w:t>
      </w:r>
      <w:r>
        <w:t xml:space="preserve">ood </w:t>
      </w:r>
      <w:r w:rsidR="006E33ED">
        <w:t>P</w:t>
      </w:r>
      <w:r>
        <w:t xml:space="preserve">harmacovigilance </w:t>
      </w:r>
      <w:r w:rsidR="006E33ED">
        <w:t>P</w:t>
      </w:r>
      <w:r>
        <w:t>ractices (GVP)</w:t>
      </w:r>
      <w:r w:rsidR="0068732D">
        <w:t xml:space="preserve"> </w:t>
      </w:r>
      <w:r>
        <w:t>Module VII-periodic safety update report (Rev</w:t>
      </w:r>
      <w:r w:rsidR="00547019">
        <w:t>ision </w:t>
      </w:r>
      <w:r>
        <w:t>1), Part VII.B Structures and processes.</w:t>
      </w:r>
      <w:r w:rsidR="0068732D">
        <w:t xml:space="preserve"> </w:t>
      </w:r>
      <w:r>
        <w:t>Note that submission of a PSUR does not constitute an application to vary the</w:t>
      </w:r>
      <w:r w:rsidR="0068732D">
        <w:t xml:space="preserve"> </w:t>
      </w:r>
      <w:r>
        <w:t xml:space="preserve">registration. Each report must have been prepared within </w:t>
      </w:r>
      <w:r w:rsidR="008D58C3">
        <w:t>90</w:t>
      </w:r>
      <w:r>
        <w:t xml:space="preserve"> calendar days of the</w:t>
      </w:r>
      <w:r w:rsidR="0068732D">
        <w:t xml:space="preserve"> </w:t>
      </w:r>
      <w:r>
        <w:t>data lock point for that report.</w:t>
      </w:r>
    </w:p>
    <w:p w14:paraId="451DC3FC" w14:textId="77777777" w:rsidR="00C22214" w:rsidRDefault="00C22214" w:rsidP="00C22214">
      <w:pPr>
        <w:pStyle w:val="Heading2"/>
      </w:pPr>
      <w:bookmarkStart w:id="102" w:name="_Toc103679303"/>
      <w:bookmarkStart w:id="103" w:name="_Toc143608686"/>
      <w:r>
        <w:t>Attachment 1. Product Information</w:t>
      </w:r>
      <w:bookmarkEnd w:id="102"/>
      <w:bookmarkEnd w:id="103"/>
    </w:p>
    <w:p w14:paraId="21F47164" w14:textId="5FA93562" w:rsidR="00C22214" w:rsidRPr="00BD5DBD" w:rsidRDefault="00C22214" w:rsidP="00C22214">
      <w:pPr>
        <w:rPr>
          <w:szCs w:val="22"/>
        </w:rPr>
      </w:pPr>
      <w:r w:rsidRPr="00BD5DBD">
        <w:rPr>
          <w:szCs w:val="22"/>
        </w:rPr>
        <w:t xml:space="preserve">The PI for </w:t>
      </w:r>
      <w:r w:rsidR="00063652">
        <w:rPr>
          <w:szCs w:val="22"/>
        </w:rPr>
        <w:t>Flucelvax Quad</w:t>
      </w:r>
      <w:r w:rsidRPr="00BD5DBD">
        <w:rPr>
          <w:szCs w:val="22"/>
        </w:rPr>
        <w:t xml:space="preserve"> approved with the submission which is described in this AusPAR is at Attachment 1. </w:t>
      </w:r>
      <w:r w:rsidR="00E637EF">
        <w:rPr>
          <w:szCs w:val="22"/>
        </w:rPr>
        <w:t xml:space="preserve">It may have been superseded. </w:t>
      </w:r>
      <w:r w:rsidRPr="00BD5DBD">
        <w:rPr>
          <w:szCs w:val="22"/>
        </w:rPr>
        <w:t xml:space="preserve">For the most recent PI, please refer to the TGA </w:t>
      </w:r>
      <w:hyperlink r:id="rId39"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A744E8" w:rsidRDefault="00F02AEC" w:rsidP="007452E8">
            <w:pPr>
              <w:pStyle w:val="Address"/>
              <w:jc w:val="center"/>
              <w:rPr>
                <w:rFonts w:cs="Arial"/>
              </w:rPr>
            </w:pPr>
            <w:r w:rsidRPr="00A744E8">
              <w:rPr>
                <w:rFonts w:cs="Arial"/>
              </w:rPr>
              <w:t>PO Box 100 Woden ACT 2606 Australia</w:t>
            </w:r>
          </w:p>
          <w:p w14:paraId="5D0FE0E7" w14:textId="2F46D5D5" w:rsidR="00F02AEC" w:rsidRPr="00A744E8" w:rsidRDefault="00F02AEC">
            <w:pPr>
              <w:pStyle w:val="Address"/>
              <w:jc w:val="center"/>
              <w:rPr>
                <w:rFonts w:cs="Arial"/>
                <w:sz w:val="22"/>
                <w:szCs w:val="22"/>
              </w:rPr>
            </w:pPr>
            <w:r w:rsidRPr="00A744E8">
              <w:rPr>
                <w:rFonts w:cs="Arial"/>
              </w:rPr>
              <w:t>Email:</w:t>
            </w:r>
            <w:r w:rsidR="00A744E8" w:rsidRPr="002179A1">
              <w:rPr>
                <w:rFonts w:cs="Arial"/>
              </w:rPr>
              <w:t xml:space="preserve"> </w:t>
            </w:r>
            <w:hyperlink r:id="rId40" w:history="1">
              <w:r w:rsidR="00A744E8" w:rsidRPr="00A744E8">
                <w:rPr>
                  <w:rStyle w:val="Hyperlink"/>
                  <w:rFonts w:ascii="Arial" w:hAnsi="Arial" w:cs="Arial"/>
                </w:rPr>
                <w:t>info@tga.gov.au</w:t>
              </w:r>
            </w:hyperlink>
            <w:r w:rsidRPr="00A744E8">
              <w:rPr>
                <w:rFonts w:cs="Arial"/>
              </w:rPr>
              <w:t xml:space="preserve"> Phone: 1800 020 653  Fax: 02 6203 1605</w:t>
            </w:r>
          </w:p>
          <w:p w14:paraId="4533D80F" w14:textId="590ABC42" w:rsidR="00F02AEC" w:rsidRPr="00215D48" w:rsidRDefault="000E770F">
            <w:pPr>
              <w:pStyle w:val="Address"/>
              <w:jc w:val="center"/>
              <w:rPr>
                <w:rStyle w:val="Hyperlink"/>
                <w:b/>
                <w:color w:val="auto"/>
                <w:sz w:val="22"/>
              </w:rPr>
            </w:pPr>
            <w:hyperlink r:id="rId4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2"/>
      <w:footerReference w:type="first" r:id="rId4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371C7" w14:textId="77777777" w:rsidR="003B4794" w:rsidRDefault="003B4794" w:rsidP="00F02AEC">
      <w:pPr>
        <w:spacing w:after="0" w:line="240" w:lineRule="auto"/>
      </w:pPr>
      <w:r>
        <w:separator/>
      </w:r>
    </w:p>
  </w:endnote>
  <w:endnote w:type="continuationSeparator" w:id="0">
    <w:p w14:paraId="52B96DD2" w14:textId="77777777" w:rsidR="003B4794" w:rsidRDefault="003B4794" w:rsidP="00F02AEC">
      <w:pPr>
        <w:spacing w:after="0" w:line="240" w:lineRule="auto"/>
      </w:pPr>
      <w:r>
        <w:continuationSeparator/>
      </w:r>
    </w:p>
  </w:endnote>
  <w:endnote w:type="continuationNotice" w:id="1">
    <w:p w14:paraId="3E71F41A" w14:textId="77777777" w:rsidR="003B4794" w:rsidRDefault="003B47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altName w:val="Yu Gothic"/>
    <w:panose1 w:val="00000000000000000000"/>
    <w:charset w:val="00"/>
    <w:family w:val="auto"/>
    <w:notTrueType/>
    <w:pitch w:val="default"/>
    <w:sig w:usb0="00000003" w:usb1="080F0000" w:usb2="00000010" w:usb3="00000000" w:csb0="0012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Bold">
    <w:panose1 w:val="00000000000000000000"/>
    <w:charset w:val="00"/>
    <w:family w:val="auto"/>
    <w:notTrueType/>
    <w:pitch w:val="default"/>
    <w:sig w:usb0="00000003" w:usb1="08070000" w:usb2="00000010" w:usb3="00000000" w:csb0="00020001" w:csb1="00000000"/>
  </w:font>
  <w:font w:name="Arial,Bold">
    <w:altName w:val="MS Gothic"/>
    <w:panose1 w:val="00000000000000000000"/>
    <w:charset w:val="00"/>
    <w:family w:val="swiss"/>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AdvTT08640291">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0E770F">
                <w:fldChar w:fldCharType="begin"/>
              </w:r>
              <w:r w:rsidR="000E770F">
                <w:instrText xml:space="preserve"> NUMPAGES  </w:instrText>
              </w:r>
              <w:r w:rsidR="000E770F">
                <w:fldChar w:fldCharType="separate"/>
              </w:r>
              <w:r>
                <w:rPr>
                  <w:noProof/>
                </w:rPr>
                <w:t>2</w:t>
              </w:r>
              <w:r w:rsidR="000E770F">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13"/>
      <w:gridCol w:w="1559"/>
    </w:tblGrid>
    <w:tr w:rsidR="007452E8" w:rsidRPr="004A3084" w14:paraId="6266BC33" w14:textId="77777777" w:rsidTr="007B3D11">
      <w:trPr>
        <w:trHeight w:val="423"/>
      </w:trPr>
      <w:tc>
        <w:tcPr>
          <w:tcW w:w="7513" w:type="dxa"/>
          <w:tcBorders>
            <w:top w:val="single" w:sz="4" w:space="0" w:color="auto"/>
          </w:tcBorders>
        </w:tcPr>
        <w:p w14:paraId="3C421323" w14:textId="5D13E785" w:rsidR="007452E8" w:rsidRPr="004A3084" w:rsidRDefault="007452E8" w:rsidP="007452E8">
          <w:pPr>
            <w:pStyle w:val="Footer"/>
          </w:pPr>
          <w:r w:rsidRPr="00487162">
            <w:t>AusPA</w:t>
          </w:r>
          <w:r>
            <w:t xml:space="preserve">R </w:t>
          </w:r>
          <w:r w:rsidR="002A3380">
            <w:t>–</w:t>
          </w:r>
          <w:r>
            <w:t xml:space="preserve"> </w:t>
          </w:r>
          <w:r w:rsidR="002A3380">
            <w:t>Flucelvax Quad</w:t>
          </w:r>
          <w:r>
            <w:t xml:space="preserve"> </w:t>
          </w:r>
          <w:r w:rsidR="002A3380">
            <w:t>–</w:t>
          </w:r>
          <w:r w:rsidRPr="00460036">
            <w:t xml:space="preserve"> </w:t>
          </w:r>
          <w:r w:rsidR="002A3380">
            <w:t>influenza virus haemagglutinin</w:t>
          </w:r>
          <w:r w:rsidRPr="00460036">
            <w:t xml:space="preserve"> </w:t>
          </w:r>
          <w:r w:rsidR="002A3380">
            <w:t>–</w:t>
          </w:r>
          <w:r>
            <w:t xml:space="preserve"> S</w:t>
          </w:r>
          <w:r w:rsidR="002A3380">
            <w:t>eqirus Pty Ltd</w:t>
          </w:r>
          <w:r>
            <w:t xml:space="preserve"> - PM-202</w:t>
          </w:r>
          <w:r w:rsidR="002A3380">
            <w:t>2</w:t>
          </w:r>
          <w:r w:rsidRPr="00487162">
            <w:t>-</w:t>
          </w:r>
          <w:r w:rsidR="002A3380">
            <w:t>01977-1-2</w:t>
          </w:r>
          <w:r>
            <w:br/>
          </w:r>
          <w:r w:rsidR="006962B6">
            <w:t>Final</w:t>
          </w:r>
          <w:r w:rsidR="004E3DA5">
            <w:t xml:space="preserve"> – </w:t>
          </w:r>
          <w:r w:rsidR="006962B6">
            <w:t>1 November</w:t>
          </w:r>
          <w:r w:rsidR="004E3DA5">
            <w:t xml:space="preserve"> 2023</w:t>
          </w:r>
        </w:p>
      </w:tc>
      <w:tc>
        <w:tcPr>
          <w:tcW w:w="1559"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0E770F">
                <w:fldChar w:fldCharType="begin"/>
              </w:r>
              <w:r w:rsidR="000E770F">
                <w:instrText xml:space="preserve"> NUMPAGES  </w:instrText>
              </w:r>
              <w:r w:rsidR="000E770F">
                <w:fldChar w:fldCharType="separate"/>
              </w:r>
              <w:r w:rsidR="006D6B44">
                <w:rPr>
                  <w:noProof/>
                </w:rPr>
                <w:t>17</w:t>
              </w:r>
              <w:r w:rsidR="000E770F">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7A848" w14:textId="77777777" w:rsidR="003B4794" w:rsidRDefault="003B4794" w:rsidP="00F02AEC">
      <w:pPr>
        <w:spacing w:after="0" w:line="240" w:lineRule="auto"/>
      </w:pPr>
      <w:r>
        <w:separator/>
      </w:r>
    </w:p>
  </w:footnote>
  <w:footnote w:type="continuationSeparator" w:id="0">
    <w:p w14:paraId="72522952" w14:textId="77777777" w:rsidR="003B4794" w:rsidRDefault="003B4794" w:rsidP="00F02AEC">
      <w:pPr>
        <w:spacing w:after="0" w:line="240" w:lineRule="auto"/>
      </w:pPr>
      <w:r>
        <w:continuationSeparator/>
      </w:r>
    </w:p>
  </w:footnote>
  <w:footnote w:type="continuationNotice" w:id="1">
    <w:p w14:paraId="31A44A33" w14:textId="77777777" w:rsidR="003B4794" w:rsidRDefault="003B4794">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06CAEDF8" w14:textId="1D9C6E87" w:rsidR="00312153" w:rsidRPr="00372810" w:rsidRDefault="00312153" w:rsidP="00312153">
      <w:pPr>
        <w:pStyle w:val="FootnoteText"/>
      </w:pPr>
      <w:r w:rsidRPr="00372810">
        <w:rPr>
          <w:rStyle w:val="FootnoteReference"/>
        </w:rPr>
        <w:footnoteRef/>
      </w:r>
      <w:r w:rsidRPr="00372810">
        <w:t xml:space="preserve"> </w:t>
      </w:r>
      <w:r w:rsidR="00EF134C">
        <w:t>World Health Organization (WHO)</w:t>
      </w:r>
      <w:r w:rsidR="00820888">
        <w:t xml:space="preserve">, </w:t>
      </w:r>
      <w:r w:rsidR="00E12538">
        <w:t xml:space="preserve">Influenza (seasonal), last updated </w:t>
      </w:r>
      <w:r w:rsidR="00577FAE">
        <w:t xml:space="preserve">12 </w:t>
      </w:r>
      <w:r w:rsidR="00820888">
        <w:t xml:space="preserve">January 2023. Available at </w:t>
      </w:r>
      <w:hyperlink r:id="rId1" w:history="1">
        <w:r w:rsidR="00744265" w:rsidRPr="007C15FE">
          <w:rPr>
            <w:rStyle w:val="Hyperlink"/>
          </w:rPr>
          <w:t>https://www.who.int/en/news-room/fact-sheets/detail/influenza-(seasonal)</w:t>
        </w:r>
      </w:hyperlink>
      <w:r w:rsidR="00BD7474">
        <w:rPr>
          <w:rStyle w:val="Hyperlink"/>
        </w:rPr>
        <w:t>.</w:t>
      </w:r>
    </w:p>
  </w:footnote>
  <w:footnote w:id="4">
    <w:p w14:paraId="1D327EF3" w14:textId="7227A563" w:rsidR="005639AC" w:rsidRPr="00372810" w:rsidRDefault="00312153" w:rsidP="00312153">
      <w:pPr>
        <w:pStyle w:val="FootnoteText"/>
      </w:pPr>
      <w:r w:rsidRPr="00372810">
        <w:rPr>
          <w:rStyle w:val="FootnoteReference"/>
        </w:rPr>
        <w:footnoteRef/>
      </w:r>
      <w:r w:rsidRPr="00372810">
        <w:t xml:space="preserve"> </w:t>
      </w:r>
      <w:r w:rsidR="00201E24">
        <w:t>World Health Organization</w:t>
      </w:r>
      <w:r w:rsidR="00957B01">
        <w:t xml:space="preserve"> (WHO)</w:t>
      </w:r>
      <w:r w:rsidR="00F26CA4">
        <w:t xml:space="preserve"> Regional office for Europe, How pandemic influenza emerges, last updated 4 March 2014. Available at </w:t>
      </w:r>
      <w:hyperlink r:id="rId2" w:history="1">
        <w:r w:rsidR="005639AC">
          <w:rPr>
            <w:rStyle w:val="Hyperlink"/>
          </w:rPr>
          <w:t>How pandemic influenza emerges (who.int)</w:t>
        </w:r>
      </w:hyperlink>
      <w:r w:rsidR="00BD7474">
        <w:rPr>
          <w:rStyle w:val="Hyperlink"/>
        </w:rPr>
        <w:t>.</w:t>
      </w:r>
    </w:p>
  </w:footnote>
  <w:footnote w:id="5">
    <w:p w14:paraId="1DBE1958" w14:textId="0CD5A507" w:rsidR="00064F9D" w:rsidRDefault="00064F9D">
      <w:pPr>
        <w:pStyle w:val="FootnoteText"/>
      </w:pPr>
      <w:r>
        <w:rPr>
          <w:rStyle w:val="FootnoteReference"/>
        </w:rPr>
        <w:footnoteRef/>
      </w:r>
      <w:r>
        <w:t xml:space="preserve"> </w:t>
      </w:r>
      <w:hyperlink r:id="rId3" w:history="1">
        <w:r>
          <w:rPr>
            <w:rStyle w:val="Hyperlink"/>
          </w:rPr>
          <w:t>Australian Influenza Surveillance Report – 2022 national influenza season summary (health.gov.au)</w:t>
        </w:r>
      </w:hyperlink>
      <w:r w:rsidR="006962B6">
        <w:rPr>
          <w:rStyle w:val="Hyperlink"/>
        </w:rPr>
        <w:t>.</w:t>
      </w:r>
    </w:p>
  </w:footnote>
  <w:footnote w:id="6">
    <w:p w14:paraId="43BCAECC" w14:textId="10C80AF5" w:rsidR="00FD581F" w:rsidRDefault="00FD581F">
      <w:pPr>
        <w:pStyle w:val="FootnoteText"/>
      </w:pPr>
      <w:r>
        <w:rPr>
          <w:rStyle w:val="FootnoteReference"/>
        </w:rPr>
        <w:footnoteRef/>
      </w:r>
      <w:r>
        <w:t xml:space="preserve"> Oseltamivir </w:t>
      </w:r>
      <w:r w:rsidR="00F1630C">
        <w:t xml:space="preserve">oral suspension was first registered </w:t>
      </w:r>
      <w:r w:rsidR="006962B6">
        <w:t>i</w:t>
      </w:r>
      <w:r w:rsidR="00F1630C">
        <w:t>n the ARTG on 11 May 2012 (ARTG number</w:t>
      </w:r>
      <w:r w:rsidR="00483C42">
        <w:t xml:space="preserve"> 188016).</w:t>
      </w:r>
      <w:r w:rsidR="00A21B71">
        <w:t xml:space="preserve"> The indication includes use for the treatment of infections due to influenza A and B viruses in adults and children including full-term neonates.</w:t>
      </w:r>
    </w:p>
  </w:footnote>
  <w:footnote w:id="7">
    <w:p w14:paraId="0B4EE192" w14:textId="01DF5D33" w:rsidR="00312153" w:rsidRDefault="00312153" w:rsidP="00312153">
      <w:pPr>
        <w:pStyle w:val="FootnoteText"/>
      </w:pPr>
      <w:r>
        <w:rPr>
          <w:rStyle w:val="FootnoteReference"/>
        </w:rPr>
        <w:footnoteRef/>
      </w:r>
      <w:r w:rsidR="0093082D">
        <w:t xml:space="preserve"> </w:t>
      </w:r>
      <w:hyperlink r:id="rId4" w:anchor="flu-influenza-vaccines" w:history="1">
        <w:r w:rsidR="0093082D">
          <w:rPr>
            <w:rStyle w:val="Hyperlink"/>
          </w:rPr>
          <w:t>National Immunisation Program Schedule | Australian Government Department of Health and Aged Care</w:t>
        </w:r>
      </w:hyperlink>
      <w:r w:rsidR="00456BA1">
        <w:rPr>
          <w:rStyle w:val="Hyperlink"/>
        </w:rPr>
        <w:t>.</w:t>
      </w:r>
    </w:p>
  </w:footnote>
  <w:footnote w:id="8">
    <w:p w14:paraId="21F2A952" w14:textId="6F48DDAE" w:rsidR="00735ACF" w:rsidRDefault="00735ACF">
      <w:pPr>
        <w:pStyle w:val="FootnoteText"/>
      </w:pPr>
      <w:r>
        <w:rPr>
          <w:rStyle w:val="FootnoteReference"/>
        </w:rPr>
        <w:footnoteRef/>
      </w:r>
      <w:r>
        <w:t xml:space="preserve"> </w:t>
      </w:r>
      <w:hyperlink r:id="rId5" w:history="1">
        <w:r w:rsidR="00F20381">
          <w:rPr>
            <w:rStyle w:val="Hyperlink"/>
          </w:rPr>
          <w:t>ATAGI advice on seasonal influenza vaccines in 2023 (health.gov.au)</w:t>
        </w:r>
      </w:hyperlink>
      <w:r w:rsidR="00456BA1">
        <w:rPr>
          <w:rStyle w:val="Hyperlink"/>
        </w:rPr>
        <w:t>.</w:t>
      </w:r>
    </w:p>
  </w:footnote>
  <w:footnote w:id="9">
    <w:p w14:paraId="4A921012" w14:textId="65591FA9" w:rsidR="000759EC" w:rsidRDefault="000759EC" w:rsidP="000759EC">
      <w:pPr>
        <w:pStyle w:val="FootnoteText"/>
      </w:pPr>
      <w:r>
        <w:rPr>
          <w:rStyle w:val="FootnoteReference"/>
        </w:rPr>
        <w:footnoteRef/>
      </w:r>
      <w:r>
        <w:t xml:space="preserve"> Vaxigrip Tetra </w:t>
      </w:r>
      <w:r w:rsidR="00E66067">
        <w:t xml:space="preserve">was first registered </w:t>
      </w:r>
      <w:r w:rsidR="006962B6">
        <w:t>i</w:t>
      </w:r>
      <w:r w:rsidR="00E66067">
        <w:t xml:space="preserve">n the ARTG on 20 May 2019 (ARTG number </w:t>
      </w:r>
      <w:r w:rsidR="009F0D11">
        <w:t>299922)</w:t>
      </w:r>
      <w:r w:rsidR="00137567">
        <w:t>.</w:t>
      </w:r>
    </w:p>
  </w:footnote>
  <w:footnote w:id="10">
    <w:p w14:paraId="6CEAEB20" w14:textId="27207B40" w:rsidR="00700A27" w:rsidRDefault="00700A27">
      <w:pPr>
        <w:pStyle w:val="FootnoteText"/>
      </w:pPr>
      <w:r>
        <w:rPr>
          <w:rStyle w:val="FootnoteReference"/>
        </w:rPr>
        <w:footnoteRef/>
      </w:r>
      <w:r>
        <w:t xml:space="preserve"> </w:t>
      </w:r>
      <w:r w:rsidR="006C4EAF">
        <w:t>Fluarix Tetra</w:t>
      </w:r>
      <w:r w:rsidR="00813CB4">
        <w:t xml:space="preserve"> was first </w:t>
      </w:r>
      <w:r w:rsidR="00EA497F">
        <w:t xml:space="preserve">registered </w:t>
      </w:r>
      <w:r w:rsidR="006962B6">
        <w:t>i</w:t>
      </w:r>
      <w:r w:rsidR="00EA497F">
        <w:t xml:space="preserve">n the ARTG on 28 August 2013 (ARTG number: </w:t>
      </w:r>
      <w:r w:rsidR="00E66067">
        <w:t>200674)</w:t>
      </w:r>
      <w:r w:rsidR="00137567">
        <w:t>.</w:t>
      </w:r>
    </w:p>
  </w:footnote>
  <w:footnote w:id="11">
    <w:p w14:paraId="37AF7D95" w14:textId="24250C76" w:rsidR="00D84A40" w:rsidRDefault="00D84A40">
      <w:pPr>
        <w:pStyle w:val="FootnoteText"/>
      </w:pPr>
      <w:r>
        <w:rPr>
          <w:rStyle w:val="FootnoteReference"/>
        </w:rPr>
        <w:footnoteRef/>
      </w:r>
      <w:r>
        <w:t xml:space="preserve"> </w:t>
      </w:r>
      <w:hyperlink r:id="rId6" w:history="1">
        <w:r w:rsidR="002C7682" w:rsidRPr="00940EBD">
          <w:t>FluQuadri</w:t>
        </w:r>
      </w:hyperlink>
      <w:r w:rsidR="002C7682" w:rsidRPr="00940EBD">
        <w:t xml:space="preserve"> </w:t>
      </w:r>
      <w:r w:rsidR="009F0D11" w:rsidRPr="00940EBD">
        <w:t xml:space="preserve">was first registered </w:t>
      </w:r>
      <w:r w:rsidR="006962B6" w:rsidRPr="00940EBD">
        <w:t>i</w:t>
      </w:r>
      <w:r w:rsidR="009F0D11" w:rsidRPr="00940EBD">
        <w:t xml:space="preserve">n the ARTG on </w:t>
      </w:r>
      <w:r w:rsidR="00137567" w:rsidRPr="00940EBD">
        <w:t>2 December 2014 (ARTG number 213963).</w:t>
      </w:r>
    </w:p>
  </w:footnote>
  <w:footnote w:id="12">
    <w:p w14:paraId="3B97D9C2" w14:textId="3C5BC5E9" w:rsidR="002861DA" w:rsidRDefault="002861DA">
      <w:pPr>
        <w:pStyle w:val="FootnoteText"/>
      </w:pPr>
      <w:r>
        <w:rPr>
          <w:rStyle w:val="FootnoteReference"/>
        </w:rPr>
        <w:footnoteRef/>
      </w:r>
      <w:r>
        <w:t xml:space="preserve"> Influvac Tetra was first registered </w:t>
      </w:r>
      <w:r w:rsidR="006962B6">
        <w:t>i</w:t>
      </w:r>
      <w:r>
        <w:t xml:space="preserve">n the ARTG on </w:t>
      </w:r>
      <w:r w:rsidR="00C739EB">
        <w:t>2 Nov</w:t>
      </w:r>
      <w:r w:rsidR="00DA4984">
        <w:t>em</w:t>
      </w:r>
      <w:r w:rsidR="00C739EB">
        <w:t>ber 2017</w:t>
      </w:r>
      <w:r>
        <w:t xml:space="preserve"> (ARTG number </w:t>
      </w:r>
      <w:r w:rsidR="00DA4984">
        <w:t>281035).</w:t>
      </w:r>
    </w:p>
  </w:footnote>
  <w:footnote w:id="13">
    <w:p w14:paraId="7B3D0EAE" w14:textId="151EB46D" w:rsidR="00104B48" w:rsidRDefault="00104B48">
      <w:pPr>
        <w:pStyle w:val="FootnoteText"/>
      </w:pPr>
      <w:r>
        <w:rPr>
          <w:rStyle w:val="FootnoteReference"/>
        </w:rPr>
        <w:footnoteRef/>
      </w:r>
      <w:r>
        <w:t xml:space="preserve"> </w:t>
      </w:r>
      <w:r w:rsidR="00FA7C02">
        <w:t xml:space="preserve">AusPAR for Flucelvax Quad as a new biological entity for immunisation of persons 9 years and older, published December 2020. Available at </w:t>
      </w:r>
      <w:hyperlink r:id="rId7" w:history="1">
        <w:r w:rsidR="00FA7C02">
          <w:rPr>
            <w:rStyle w:val="Hyperlink"/>
          </w:rPr>
          <w:t>AusPAR: Influenza virus haemagglutinin | Therapeutic Goods Administration (TGA)</w:t>
        </w:r>
      </w:hyperlink>
      <w:r w:rsidR="00456BA1">
        <w:rPr>
          <w:rStyle w:val="Hyperlink"/>
        </w:rPr>
        <w:t>.</w:t>
      </w:r>
    </w:p>
  </w:footnote>
  <w:footnote w:id="14">
    <w:p w14:paraId="68358FFC" w14:textId="4D0AD8CF" w:rsidR="00FA7C02" w:rsidRDefault="00FA7C02" w:rsidP="00FA7C02">
      <w:pPr>
        <w:pStyle w:val="FootnoteText"/>
      </w:pPr>
      <w:r w:rsidRPr="00372810">
        <w:rPr>
          <w:rStyle w:val="FootnoteReference"/>
        </w:rPr>
        <w:footnoteRef/>
      </w:r>
      <w:r w:rsidRPr="00372810">
        <w:t xml:space="preserve"> </w:t>
      </w:r>
      <w:hyperlink r:id="rId8" w:history="1"/>
      <w:hyperlink r:id="rId9" w:history="1">
        <w:r>
          <w:rPr>
            <w:rStyle w:val="Hyperlink"/>
          </w:rPr>
          <w:t>AIVC Recommendations for the Composition of Influenza Vaccines for Australia in 2023 | Therapeutic Goods Administration (TGA)</w:t>
        </w:r>
      </w:hyperlink>
      <w:r w:rsidR="00456BA1">
        <w:rPr>
          <w:rStyle w:val="Hyperlink"/>
        </w:rPr>
        <w:t>.</w:t>
      </w:r>
    </w:p>
  </w:footnote>
  <w:footnote w:id="15">
    <w:p w14:paraId="7533A83A" w14:textId="5F98CF20" w:rsidR="002B616E" w:rsidRDefault="002B616E">
      <w:pPr>
        <w:pStyle w:val="FootnoteText"/>
      </w:pPr>
      <w:r>
        <w:rPr>
          <w:rStyle w:val="FootnoteReference"/>
        </w:rPr>
        <w:footnoteRef/>
      </w:r>
      <w:r>
        <w:t xml:space="preserve"> AusPAR for Flucelvax Quad exten</w:t>
      </w:r>
      <w:r w:rsidR="00700021">
        <w:t>ding use to persons</w:t>
      </w:r>
      <w:r>
        <w:t xml:space="preserve"> 2</w:t>
      </w:r>
      <w:r w:rsidR="00700021">
        <w:t> years and older</w:t>
      </w:r>
      <w:r>
        <w:t xml:space="preserve">, published </w:t>
      </w:r>
      <w:r w:rsidR="00D10534">
        <w:t>November 2022</w:t>
      </w:r>
      <w:r>
        <w:t>. Available at</w:t>
      </w:r>
      <w:r w:rsidR="000645F3">
        <w:t xml:space="preserve"> </w:t>
      </w:r>
      <w:hyperlink r:id="rId10" w:history="1">
        <w:r w:rsidR="000645F3">
          <w:rPr>
            <w:rStyle w:val="Hyperlink"/>
          </w:rPr>
          <w:t>Australian public assessment report for Flucelvax Quad (tga.gov.au)</w:t>
        </w:r>
      </w:hyperlink>
      <w:r w:rsidR="00456BA1">
        <w:rPr>
          <w:rStyle w:val="Hyperlink"/>
        </w:rPr>
        <w:t>.</w:t>
      </w:r>
    </w:p>
  </w:footnote>
  <w:footnote w:id="16">
    <w:p w14:paraId="574FAF86" w14:textId="53EC314C" w:rsidR="001E0363" w:rsidRPr="00C133A3" w:rsidRDefault="001E0363">
      <w:pPr>
        <w:pStyle w:val="FootnoteText"/>
      </w:pPr>
      <w:r>
        <w:rPr>
          <w:rStyle w:val="FootnoteReference"/>
        </w:rPr>
        <w:footnoteRef/>
      </w:r>
      <w:r>
        <w:t xml:space="preserve"> </w:t>
      </w:r>
      <w:r w:rsidR="00456BA1">
        <w:t xml:space="preserve">In this report the </w:t>
      </w:r>
      <w:r w:rsidR="00C133A3">
        <w:t>‘</w:t>
      </w:r>
      <w:r w:rsidRPr="00C133A3">
        <w:t>Delegate</w:t>
      </w:r>
      <w:r w:rsidR="00C133A3">
        <w:t>’</w:t>
      </w:r>
      <w:r w:rsidR="00FA7C02" w:rsidRPr="00C133A3">
        <w:t xml:space="preserve"> </w:t>
      </w:r>
      <w:r w:rsidR="00456BA1">
        <w:t>is the</w:t>
      </w:r>
      <w:r w:rsidR="00C133A3">
        <w:t xml:space="preserve"> </w:t>
      </w:r>
      <w:r w:rsidR="00FA7C02" w:rsidRPr="00C133A3">
        <w:t xml:space="preserve">Delegate of the Secretary of the Department of Health and Aged Care who </w:t>
      </w:r>
      <w:r w:rsidR="00C133A3" w:rsidRPr="00C133A3">
        <w:t>approved the product under section 25 of the Act.</w:t>
      </w:r>
    </w:p>
  </w:footnote>
  <w:footnote w:id="17">
    <w:p w14:paraId="240426F9" w14:textId="0315E099" w:rsidR="003A3765" w:rsidRDefault="003A3765">
      <w:pPr>
        <w:pStyle w:val="FootnoteText"/>
      </w:pPr>
      <w:r>
        <w:rPr>
          <w:rStyle w:val="FootnoteReference"/>
        </w:rPr>
        <w:footnoteRef/>
      </w:r>
      <w:r>
        <w:t xml:space="preserve"> This study was designed to </w:t>
      </w:r>
      <w:r w:rsidR="00AF4D5A">
        <w:t xml:space="preserve">include cell-based </w:t>
      </w:r>
      <w:r>
        <w:t xml:space="preserve">trivalent and </w:t>
      </w:r>
      <w:r w:rsidR="00AF4D5A">
        <w:t xml:space="preserve">cell-based </w:t>
      </w:r>
      <w:r>
        <w:t>quadrivalent</w:t>
      </w:r>
      <w:r w:rsidR="00AF4D5A">
        <w:t xml:space="preserve"> vaccine</w:t>
      </w:r>
      <w:r w:rsidR="004B60CE">
        <w:t>s</w:t>
      </w:r>
      <w:r w:rsidR="00AF4D5A">
        <w:t xml:space="preserve">. </w:t>
      </w:r>
      <w:r w:rsidR="006D6A9A">
        <w:t xml:space="preserve">The trivalent vaccine </w:t>
      </w:r>
      <w:r w:rsidRPr="00043B79">
        <w:rPr>
          <w:rStyle w:val="FootnoteTextChar"/>
        </w:rPr>
        <w:t xml:space="preserve">was no longer available on the US market at the time of active enrolment </w:t>
      </w:r>
      <w:r w:rsidR="006D6A9A">
        <w:rPr>
          <w:rStyle w:val="FootnoteTextChar"/>
        </w:rPr>
        <w:t>to</w:t>
      </w:r>
      <w:r w:rsidRPr="00043B79">
        <w:rPr>
          <w:rStyle w:val="FootnoteTextChar"/>
        </w:rPr>
        <w:t xml:space="preserve"> the study.</w:t>
      </w:r>
    </w:p>
  </w:footnote>
  <w:footnote w:id="18">
    <w:p w14:paraId="60869F0E" w14:textId="6AC819E2" w:rsidR="00C538AA" w:rsidRDefault="00C538AA">
      <w:pPr>
        <w:pStyle w:val="FootnoteText"/>
      </w:pPr>
      <w:r w:rsidRPr="00A60176">
        <w:rPr>
          <w:rStyle w:val="FootnoteReference"/>
        </w:rPr>
        <w:footnoteRef/>
      </w:r>
      <w:r w:rsidRPr="00A60176">
        <w:t xml:space="preserve"> </w:t>
      </w:r>
      <w:r w:rsidR="00A60176" w:rsidRPr="00A60176">
        <w:t>European Medicines Evaluation Agency (EMEA), Committee for Medicinal Products for Human Use (CHMP), Guideline on Clinical Evaluation of New Vaccines, EMEA/CHMP/VWP/164653/2005.</w:t>
      </w:r>
    </w:p>
  </w:footnote>
  <w:footnote w:id="19">
    <w:p w14:paraId="41642CC6" w14:textId="0E34687C" w:rsidR="00985997" w:rsidRDefault="00985997">
      <w:pPr>
        <w:pStyle w:val="FootnoteText"/>
      </w:pPr>
      <w:r w:rsidRPr="00023863">
        <w:rPr>
          <w:rStyle w:val="FootnoteReference"/>
        </w:rPr>
        <w:footnoteRef/>
      </w:r>
      <w:r w:rsidRPr="00023863">
        <w:t xml:space="preserve"> </w:t>
      </w:r>
      <w:bookmarkStart w:id="48" w:name="_Hlk129430679"/>
      <w:r w:rsidRPr="00023863">
        <w:rPr>
          <w:lang w:eastAsia="ja-JP"/>
        </w:rPr>
        <w:t>Essink</w:t>
      </w:r>
      <w:r w:rsidR="005D103A" w:rsidRPr="00023863">
        <w:rPr>
          <w:lang w:eastAsia="ja-JP"/>
        </w:rPr>
        <w:t xml:space="preserve"> BJ,</w:t>
      </w:r>
      <w:r w:rsidRPr="00023863">
        <w:rPr>
          <w:lang w:eastAsia="ja-JP"/>
        </w:rPr>
        <w:t xml:space="preserve"> Heeringa</w:t>
      </w:r>
      <w:r w:rsidR="005D103A" w:rsidRPr="00023863">
        <w:rPr>
          <w:lang w:eastAsia="ja-JP"/>
        </w:rPr>
        <w:t xml:space="preserve"> M</w:t>
      </w:r>
      <w:r w:rsidRPr="00023863">
        <w:rPr>
          <w:lang w:eastAsia="ja-JP"/>
        </w:rPr>
        <w:t xml:space="preserve">, Jeanfreau </w:t>
      </w:r>
      <w:r w:rsidR="00A8211C" w:rsidRPr="00023863">
        <w:rPr>
          <w:lang w:eastAsia="ja-JP"/>
        </w:rPr>
        <w:t xml:space="preserve">RJ, </w:t>
      </w:r>
      <w:r w:rsidRPr="00023863">
        <w:rPr>
          <w:lang w:eastAsia="ja-JP"/>
        </w:rPr>
        <w:t xml:space="preserve">et al. </w:t>
      </w:r>
      <w:r w:rsidR="00A8211C" w:rsidRPr="00023863">
        <w:rPr>
          <w:lang w:eastAsia="ja-JP"/>
        </w:rPr>
        <w:t>Safety and Immunogenicity of Cell-Based Quadrivalent Influenza Vaccine: A Randomized Trial.</w:t>
      </w:r>
      <w:r w:rsidR="00A8211C" w:rsidRPr="00023863">
        <w:rPr>
          <w:i/>
          <w:iCs/>
          <w:lang w:eastAsia="ja-JP"/>
        </w:rPr>
        <w:t xml:space="preserve"> </w:t>
      </w:r>
      <w:r w:rsidRPr="00023863">
        <w:rPr>
          <w:i/>
          <w:iCs/>
          <w:lang w:eastAsia="ja-JP"/>
        </w:rPr>
        <w:t>Pediatrics</w:t>
      </w:r>
      <w:r w:rsidRPr="00023863">
        <w:rPr>
          <w:lang w:eastAsia="ja-JP"/>
        </w:rPr>
        <w:t xml:space="preserve"> 2022</w:t>
      </w:r>
      <w:r w:rsidR="00A8211C" w:rsidRPr="00023863">
        <w:rPr>
          <w:lang w:eastAsia="ja-JP"/>
        </w:rPr>
        <w:t xml:space="preserve">; </w:t>
      </w:r>
      <w:r w:rsidRPr="00023863">
        <w:rPr>
          <w:lang w:eastAsia="ja-JP"/>
        </w:rPr>
        <w:t xml:space="preserve">150(5):e2022057509. </w:t>
      </w:r>
      <w:bookmarkEnd w:id="48"/>
      <w:r w:rsidR="00C24BD5" w:rsidRPr="00023863">
        <w:rPr>
          <w:lang w:eastAsia="ja-JP"/>
        </w:rPr>
        <w:t>d</w:t>
      </w:r>
      <w:r w:rsidRPr="00023863">
        <w:rPr>
          <w:lang w:eastAsia="ja-JP"/>
        </w:rPr>
        <w:t>oi:</w:t>
      </w:r>
      <w:r w:rsidR="00456BA1">
        <w:rPr>
          <w:lang w:eastAsia="ja-JP"/>
        </w:rPr>
        <w:t> </w:t>
      </w:r>
      <w:r w:rsidRPr="00023863">
        <w:rPr>
          <w:lang w:eastAsia="ja-JP"/>
        </w:rPr>
        <w:t>10.1542/peds.2022-057509</w:t>
      </w:r>
      <w:r w:rsidR="00456BA1">
        <w:rPr>
          <w:lang w:eastAsia="ja-JP"/>
        </w:rPr>
        <w:t>.</w:t>
      </w:r>
    </w:p>
  </w:footnote>
  <w:footnote w:id="20">
    <w:p w14:paraId="5DACCEF9" w14:textId="613FBAB2" w:rsidR="007907E5" w:rsidRDefault="007907E5">
      <w:pPr>
        <w:pStyle w:val="FootnoteText"/>
      </w:pPr>
      <w:r>
        <w:rPr>
          <w:rStyle w:val="FootnoteReference"/>
        </w:rPr>
        <w:footnoteRef/>
      </w:r>
      <w:r>
        <w:t xml:space="preserve"> </w:t>
      </w:r>
      <w:r w:rsidR="002728DE">
        <w:t>The per-protocol (PP) analysis is restricted to the participants who strictly adhered to the protocol. Also known as ‘on-treatment’ analysis.</w:t>
      </w:r>
    </w:p>
  </w:footnote>
  <w:footnote w:id="21">
    <w:p w14:paraId="152F744D" w14:textId="73E49B15" w:rsidR="00C3496A" w:rsidRDefault="00C3496A">
      <w:pPr>
        <w:pStyle w:val="FootnoteText"/>
      </w:pPr>
      <w:r w:rsidRPr="00920E08">
        <w:rPr>
          <w:rStyle w:val="FootnoteReference"/>
        </w:rPr>
        <w:footnoteRef/>
      </w:r>
      <w:r w:rsidRPr="00920E08">
        <w:rPr>
          <w:vertAlign w:val="superscript"/>
        </w:rPr>
        <w:t xml:space="preserve"> </w:t>
      </w:r>
      <w:r w:rsidRPr="00920E08">
        <w:t>System Organ Class (SOC)</w:t>
      </w:r>
      <w:r w:rsidR="003D221B" w:rsidRPr="00920E08">
        <w:t xml:space="preserve"> is the </w:t>
      </w:r>
      <w:r w:rsidR="0072648B" w:rsidRPr="00920E08">
        <w:t>highest level o</w:t>
      </w:r>
      <w:r w:rsidR="00895AF8" w:rsidRPr="00920E08">
        <w:t>f</w:t>
      </w:r>
      <w:r w:rsidR="0072648B" w:rsidRPr="00920E08">
        <w:t xml:space="preserve"> the MedDRA terminology for classification of adverse events. </w:t>
      </w:r>
      <w:r w:rsidR="002C46F4">
        <w:t>There are 27</w:t>
      </w:r>
      <w:r w:rsidR="000526FB">
        <w:t> </w:t>
      </w:r>
      <w:r w:rsidR="00BC1C67">
        <w:t xml:space="preserve">classes. </w:t>
      </w:r>
      <w:r w:rsidR="00895AF8" w:rsidRPr="00920E08">
        <w:t>The Medical</w:t>
      </w:r>
      <w:r w:rsidR="00895AF8" w:rsidRPr="00246538">
        <w:t xml:space="preserve"> Dictionary for Regulatory Activities (MedDRA) is </w:t>
      </w:r>
      <w:r w:rsidR="00FE7DF2" w:rsidRPr="00246538">
        <w:t>an internationally used set of terms relating to medical conditions, medicines and medical devices. It was created to assist regulators with sharing information. It is also used by industry, academics, health professionals and other organisations that communicate medical information.</w:t>
      </w:r>
    </w:p>
  </w:footnote>
  <w:footnote w:id="22">
    <w:p w14:paraId="5C66B520" w14:textId="0E9D8A11" w:rsidR="00C3496A" w:rsidRDefault="00C3496A">
      <w:pPr>
        <w:pStyle w:val="FootnoteText"/>
      </w:pPr>
      <w:r w:rsidRPr="000526FB">
        <w:rPr>
          <w:rStyle w:val="FootnoteReference"/>
        </w:rPr>
        <w:footnoteRef/>
      </w:r>
      <w:r w:rsidRPr="000526FB">
        <w:t xml:space="preserve"> </w:t>
      </w:r>
      <w:r w:rsidR="00645A71" w:rsidRPr="000526FB">
        <w:t>In MedDRA, p</w:t>
      </w:r>
      <w:r w:rsidRPr="000526FB">
        <w:rPr>
          <w:rFonts w:eastAsia="TimesNewRoman" w:cs="TimesNewRoman"/>
          <w:lang w:val="en-GB"/>
        </w:rPr>
        <w:t>referred term</w:t>
      </w:r>
      <w:r w:rsidR="002C46F4" w:rsidRPr="000526FB">
        <w:rPr>
          <w:rFonts w:eastAsia="TimesNewRoman" w:cs="TimesNewRoman"/>
          <w:lang w:val="en-GB"/>
        </w:rPr>
        <w:t>s</w:t>
      </w:r>
      <w:r w:rsidRPr="000526FB">
        <w:rPr>
          <w:rFonts w:eastAsia="TimesNewRoman" w:cs="TimesNewRoman"/>
          <w:lang w:val="en-GB"/>
        </w:rPr>
        <w:t xml:space="preserve"> (PT)</w:t>
      </w:r>
      <w:r w:rsidR="002C46F4" w:rsidRPr="000526FB">
        <w:rPr>
          <w:rFonts w:eastAsia="TimesNewRoman" w:cs="TimesNewRoman"/>
          <w:lang w:val="en-GB"/>
        </w:rPr>
        <w:t xml:space="preserve"> </w:t>
      </w:r>
      <w:r w:rsidR="00645A71" w:rsidRPr="000526FB">
        <w:rPr>
          <w:rFonts w:eastAsia="TimesNewRoman" w:cs="TimesNewRoman"/>
          <w:lang w:val="en-GB"/>
        </w:rPr>
        <w:t>are single concepts f</w:t>
      </w:r>
      <w:r w:rsidR="00744EF1" w:rsidRPr="000526FB">
        <w:rPr>
          <w:rFonts w:eastAsia="TimesNewRoman" w:cs="TimesNewRoman"/>
          <w:lang w:val="en-GB"/>
        </w:rPr>
        <w:t>or symptoms, signs, disease diagnosis</w:t>
      </w:r>
      <w:r w:rsidR="005E5B49" w:rsidRPr="000526FB">
        <w:rPr>
          <w:rFonts w:eastAsia="TimesNewRoman" w:cs="TimesNewRoman"/>
          <w:lang w:val="en-GB"/>
        </w:rPr>
        <w:t>, therapeutic indications,</w:t>
      </w:r>
      <w:r w:rsidR="005E5B49">
        <w:rPr>
          <w:rFonts w:eastAsia="TimesNewRoman" w:cs="TimesNewRoman"/>
          <w:lang w:val="en-GB"/>
        </w:rPr>
        <w:t xml:space="preserve"> investigations, procedures</w:t>
      </w:r>
      <w:r w:rsidR="000526FB">
        <w:rPr>
          <w:rFonts w:eastAsia="TimesNewRoman" w:cs="TimesNewRoman"/>
          <w:lang w:val="en-GB"/>
        </w:rPr>
        <w:t>, and characteristics. There are over 20,000 preferred terms.</w:t>
      </w:r>
    </w:p>
  </w:footnote>
  <w:footnote w:id="23">
    <w:p w14:paraId="4D1CE985" w14:textId="77777777" w:rsidR="00DB510D" w:rsidRDefault="00DB510D" w:rsidP="00DB510D">
      <w:pPr>
        <w:pStyle w:val="FootnoteText"/>
        <w:rPr>
          <w:color w:val="313131"/>
        </w:rPr>
      </w:pPr>
      <w:r>
        <w:rPr>
          <w:rStyle w:val="FootnoteReference"/>
        </w:rPr>
        <w:footnoteRef/>
      </w:r>
      <w:r>
        <w:t xml:space="preserve"> </w:t>
      </w:r>
      <w:r w:rsidRPr="00DB510D">
        <w:rPr>
          <w:b/>
          <w:bCs/>
        </w:rPr>
        <w:t xml:space="preserve">Category A: </w:t>
      </w:r>
      <w:r>
        <w:rPr>
          <w:color w:val="313131"/>
        </w:rPr>
        <w:t>Drugs which have been taken by a large number of pregnant women and women of childbearing age without any proven increase in the frequency of malformations or other direct or indirect harmful effects on the fetus having been observed.</w:t>
      </w:r>
    </w:p>
    <w:p w14:paraId="1C2D9A5B" w14:textId="1D1516EB" w:rsidR="00DB510D" w:rsidRDefault="00DB510D" w:rsidP="00DB510D">
      <w:pPr>
        <w:pStyle w:val="FootnoteText"/>
      </w:pPr>
      <w:r w:rsidRPr="00DB510D">
        <w:rPr>
          <w:b/>
          <w:bCs/>
        </w:rPr>
        <w:t xml:space="preserve">Category B1: </w:t>
      </w:r>
      <w:r>
        <w:rPr>
          <w:color w:val="313131"/>
        </w:rPr>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24">
    <w:p w14:paraId="06681FBD" w14:textId="7D1729BA" w:rsidR="00043B79" w:rsidRPr="00043B79" w:rsidRDefault="00043B79" w:rsidP="00043B79">
      <w:pPr>
        <w:autoSpaceDE w:val="0"/>
        <w:autoSpaceDN w:val="0"/>
        <w:adjustRightInd w:val="0"/>
        <w:spacing w:after="0" w:line="240" w:lineRule="auto"/>
        <w:rPr>
          <w:rStyle w:val="FootnoteTextChar"/>
        </w:rPr>
      </w:pPr>
      <w:r>
        <w:rPr>
          <w:rStyle w:val="FootnoteReference"/>
        </w:rPr>
        <w:footnoteRef/>
      </w:r>
      <w:r>
        <w:t xml:space="preserve"> </w:t>
      </w:r>
      <w:r w:rsidRPr="00043B79">
        <w:rPr>
          <w:rStyle w:val="FootnoteTextChar"/>
        </w:rPr>
        <w:t xml:space="preserve">All women enrolled in this study </w:t>
      </w:r>
      <w:r>
        <w:rPr>
          <w:rStyle w:val="FootnoteTextChar"/>
        </w:rPr>
        <w:t>were</w:t>
      </w:r>
      <w:r w:rsidRPr="00043B79">
        <w:rPr>
          <w:rStyle w:val="FootnoteTextChar"/>
        </w:rPr>
        <w:t xml:space="preserve"> exposed to </w:t>
      </w:r>
      <w:r w:rsidR="00CD7466">
        <w:rPr>
          <w:rStyle w:val="FootnoteTextChar"/>
        </w:rPr>
        <w:t>Flucelvax Quad</w:t>
      </w:r>
      <w:r w:rsidRPr="00043B79">
        <w:rPr>
          <w:rStyle w:val="FootnoteTextChar"/>
        </w:rPr>
        <w:t xml:space="preserve"> as </w:t>
      </w:r>
      <w:r w:rsidR="00CD7466">
        <w:rPr>
          <w:rStyle w:val="FootnoteTextChar"/>
        </w:rPr>
        <w:t>the trivalent cell-based influenza vaccine</w:t>
      </w:r>
      <w:r w:rsidRPr="00043B79">
        <w:rPr>
          <w:rStyle w:val="FootnoteTextChar"/>
        </w:rPr>
        <w:t xml:space="preserve"> was no longer available on the US market at the time of active enrolment </w:t>
      </w:r>
      <w:r w:rsidR="00CD7466">
        <w:rPr>
          <w:rStyle w:val="FootnoteTextChar"/>
        </w:rPr>
        <w:t>t</w:t>
      </w:r>
      <w:r w:rsidRPr="00043B79">
        <w:rPr>
          <w:rStyle w:val="FootnoteTextChar"/>
        </w:rPr>
        <w:t>o the study.</w:t>
      </w:r>
    </w:p>
  </w:footnote>
  <w:footnote w:id="25">
    <w:p w14:paraId="4318CA3A" w14:textId="45659ACF" w:rsidR="00043B79" w:rsidRPr="00043B79" w:rsidRDefault="00043B79" w:rsidP="00985997">
      <w:pPr>
        <w:pStyle w:val="FootnoteText"/>
      </w:pPr>
      <w:r>
        <w:rPr>
          <w:rStyle w:val="FootnoteReference"/>
        </w:rPr>
        <w:footnoteRef/>
      </w:r>
      <w:r>
        <w:t xml:space="preserve"> </w:t>
      </w:r>
      <w:r w:rsidR="00985997">
        <w:t xml:space="preserve">The </w:t>
      </w:r>
      <w:r w:rsidRPr="00043B79">
        <w:t>Metropolitan Atlanta Congenital Defects Program</w:t>
      </w:r>
      <w:r>
        <w:t xml:space="preserve"> </w:t>
      </w:r>
      <w:r w:rsidR="00985997">
        <w:t>(MACDP) is a population-based tracking system for birth defects. MACDP was established in 1967</w:t>
      </w:r>
      <w:r>
        <w:t>.</w:t>
      </w:r>
      <w:r w:rsidR="00F23027">
        <w:t xml:space="preserve"> </w:t>
      </w:r>
      <w:r w:rsidR="00264A6F">
        <w:t>See</w:t>
      </w:r>
      <w:r w:rsidR="00985997">
        <w:t xml:space="preserve"> </w:t>
      </w:r>
      <w:hyperlink r:id="rId11" w:history="1">
        <w:r w:rsidR="00985997">
          <w:rPr>
            <w:rStyle w:val="Hyperlink"/>
          </w:rPr>
          <w:t>Metropolitan Atlanta Congenital Defects Program (MACDP) | CDC</w:t>
        </w:r>
      </w:hyperlink>
      <w:r w:rsidR="00A27FDB">
        <w:rPr>
          <w:rStyle w:val="Hyperlink"/>
        </w:rPr>
        <w:t>.</w:t>
      </w:r>
    </w:p>
  </w:footnote>
  <w:footnote w:id="26">
    <w:p w14:paraId="4F62FC2F" w14:textId="7F940EA3" w:rsidR="008067F4" w:rsidRDefault="008067F4">
      <w:pPr>
        <w:pStyle w:val="FootnoteText"/>
      </w:pPr>
      <w:r>
        <w:rPr>
          <w:rStyle w:val="FootnoteReference"/>
        </w:rPr>
        <w:footnoteRef/>
      </w:r>
      <w:r>
        <w:t xml:space="preserve"> AusVaxSafety is </w:t>
      </w:r>
      <w:r w:rsidR="00F1191F">
        <w:t>Australia’s national collaborative vaccine safety surveillance system led by the N</w:t>
      </w:r>
      <w:r w:rsidR="008428A5">
        <w:t>ational Centre for Immunisation Research and Surveillance</w:t>
      </w:r>
      <w:r w:rsidR="00F1191F">
        <w:t xml:space="preserve"> and funded by the</w:t>
      </w:r>
      <w:r w:rsidR="00ED15D0">
        <w:t xml:space="preserve"> Australian Government Department of Health and Aged Care.</w:t>
      </w:r>
    </w:p>
  </w:footnote>
  <w:footnote w:id="27">
    <w:p w14:paraId="1364AE1E" w14:textId="2E917421" w:rsidR="00CE42B9" w:rsidRDefault="00CE42B9" w:rsidP="00CE42B9">
      <w:pPr>
        <w:pStyle w:val="FootnoteText"/>
      </w:pPr>
      <w:r>
        <w:rPr>
          <w:rStyle w:val="FootnoteReference"/>
        </w:rPr>
        <w:footnoteRef/>
      </w:r>
      <w:r>
        <w:t xml:space="preserve"> </w:t>
      </w:r>
      <w:hyperlink r:id="rId12" w:history="1">
        <w:r>
          <w:rPr>
            <w:rStyle w:val="Hyperlink"/>
          </w:rPr>
          <w:t>Influenza (flu) | The Australian Immunisation Handbook (health.gov.au)</w:t>
        </w:r>
      </w:hyperlink>
      <w:r w:rsidR="00E637EF">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E770F"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4AFF3E88">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1895EC12">
          <wp:extent cx="2676525" cy="621665"/>
          <wp:effectExtent l="0" t="0" r="9525" b="6985"/>
          <wp:docPr id="12" name="Picture 12" descr="Australian Government, Department of Health and Aged Care, Therapeutic Goods Administ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ustralian Government, Department of Health and Aged Care, Therapeutic Goods Administration &#1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58240" behindDoc="0" locked="0" layoutInCell="0" allowOverlap="1" wp14:anchorId="14BBEAC1" wp14:editId="3B95F8E6">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94A5516"/>
    <w:multiLevelType w:val="hybridMultilevel"/>
    <w:tmpl w:val="E9F04A00"/>
    <w:lvl w:ilvl="0" w:tplc="D1A4FBA4">
      <w:start w:val="9"/>
      <w:numFmt w:val="bullet"/>
      <w:lvlText w:val="-"/>
      <w:lvlJc w:val="left"/>
      <w:pPr>
        <w:ind w:left="720" w:hanging="360"/>
      </w:pPr>
      <w:rPr>
        <w:rFonts w:ascii="Cambria" w:eastAsia="Calibri"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F40AA"/>
    <w:multiLevelType w:val="hybridMultilevel"/>
    <w:tmpl w:val="DB107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9F0CA2"/>
    <w:multiLevelType w:val="hybridMultilevel"/>
    <w:tmpl w:val="0B369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A8571A7"/>
    <w:multiLevelType w:val="multilevel"/>
    <w:tmpl w:val="AE16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B03B7"/>
    <w:multiLevelType w:val="multilevel"/>
    <w:tmpl w:val="6A4C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C03931"/>
    <w:multiLevelType w:val="hybridMultilevel"/>
    <w:tmpl w:val="6918149C"/>
    <w:lvl w:ilvl="0" w:tplc="5B044592">
      <w:start w:val="13"/>
      <w:numFmt w:val="bullet"/>
      <w:lvlText w:val="-"/>
      <w:lvlJc w:val="left"/>
      <w:pPr>
        <w:ind w:left="360" w:hanging="360"/>
      </w:pPr>
      <w:rPr>
        <w:rFonts w:ascii="Cambria" w:eastAsia="TimesNewRoman" w:hAnsi="Cambria" w:cs="TimesNew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E1248D"/>
    <w:multiLevelType w:val="hybridMultilevel"/>
    <w:tmpl w:val="10C46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1052A4"/>
    <w:multiLevelType w:val="multilevel"/>
    <w:tmpl w:val="5612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719140">
    <w:abstractNumId w:val="3"/>
  </w:num>
  <w:num w:numId="2" w16cid:durableId="1820145001">
    <w:abstractNumId w:val="1"/>
  </w:num>
  <w:num w:numId="3" w16cid:durableId="809714148">
    <w:abstractNumId w:val="2"/>
  </w:num>
  <w:num w:numId="4" w16cid:durableId="405297501">
    <w:abstractNumId w:val="12"/>
  </w:num>
  <w:num w:numId="5" w16cid:durableId="484857486">
    <w:abstractNumId w:val="7"/>
  </w:num>
  <w:num w:numId="6" w16cid:durableId="51075646">
    <w:abstractNumId w:val="11"/>
  </w:num>
  <w:num w:numId="7" w16cid:durableId="171245856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974871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71005">
    <w:abstractNumId w:val="0"/>
  </w:num>
  <w:num w:numId="10" w16cid:durableId="1247574907">
    <w:abstractNumId w:val="14"/>
  </w:num>
  <w:num w:numId="11" w16cid:durableId="1644654971">
    <w:abstractNumId w:val="8"/>
  </w:num>
  <w:num w:numId="12" w16cid:durableId="1563446717">
    <w:abstractNumId w:val="9"/>
  </w:num>
  <w:num w:numId="13" w16cid:durableId="1383865203">
    <w:abstractNumId w:val="13"/>
  </w:num>
  <w:num w:numId="14" w16cid:durableId="1895853749">
    <w:abstractNumId w:val="6"/>
  </w:num>
  <w:num w:numId="15" w16cid:durableId="1915780645">
    <w:abstractNumId w:val="4"/>
  </w:num>
  <w:num w:numId="16" w16cid:durableId="1269853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3495954">
    <w:abstractNumId w:val="10"/>
  </w:num>
  <w:num w:numId="18" w16cid:durableId="2066098339">
    <w:abstractNumId w:val="5"/>
  </w:num>
  <w:num w:numId="19" w16cid:durableId="7717764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1C36"/>
    <w:rsid w:val="0000458C"/>
    <w:rsid w:val="000048FD"/>
    <w:rsid w:val="00005903"/>
    <w:rsid w:val="0000749B"/>
    <w:rsid w:val="00023863"/>
    <w:rsid w:val="000249CF"/>
    <w:rsid w:val="000307E2"/>
    <w:rsid w:val="00030837"/>
    <w:rsid w:val="000410DB"/>
    <w:rsid w:val="00043B79"/>
    <w:rsid w:val="00044B7E"/>
    <w:rsid w:val="00045535"/>
    <w:rsid w:val="00047C23"/>
    <w:rsid w:val="00050F17"/>
    <w:rsid w:val="000526FB"/>
    <w:rsid w:val="00062ABA"/>
    <w:rsid w:val="00063652"/>
    <w:rsid w:val="000645F3"/>
    <w:rsid w:val="00064F9D"/>
    <w:rsid w:val="0007183B"/>
    <w:rsid w:val="00073D0E"/>
    <w:rsid w:val="000759EC"/>
    <w:rsid w:val="00077844"/>
    <w:rsid w:val="000779AF"/>
    <w:rsid w:val="00080621"/>
    <w:rsid w:val="000867BC"/>
    <w:rsid w:val="00091561"/>
    <w:rsid w:val="00094541"/>
    <w:rsid w:val="00094928"/>
    <w:rsid w:val="00094B81"/>
    <w:rsid w:val="0009700D"/>
    <w:rsid w:val="000973ED"/>
    <w:rsid w:val="000975AA"/>
    <w:rsid w:val="000A67D7"/>
    <w:rsid w:val="000B343F"/>
    <w:rsid w:val="000C2915"/>
    <w:rsid w:val="000C2CBF"/>
    <w:rsid w:val="000C7538"/>
    <w:rsid w:val="000D1019"/>
    <w:rsid w:val="000D3F6E"/>
    <w:rsid w:val="000D42CF"/>
    <w:rsid w:val="000D7934"/>
    <w:rsid w:val="000D7E02"/>
    <w:rsid w:val="000E0B3A"/>
    <w:rsid w:val="000E6C23"/>
    <w:rsid w:val="000E6F2E"/>
    <w:rsid w:val="000E770F"/>
    <w:rsid w:val="000F009B"/>
    <w:rsid w:val="000F3874"/>
    <w:rsid w:val="000F48DB"/>
    <w:rsid w:val="000F59D1"/>
    <w:rsid w:val="00101FB1"/>
    <w:rsid w:val="00103A52"/>
    <w:rsid w:val="00104B48"/>
    <w:rsid w:val="00105AFB"/>
    <w:rsid w:val="00105B0D"/>
    <w:rsid w:val="00106201"/>
    <w:rsid w:val="001108EE"/>
    <w:rsid w:val="00122D9E"/>
    <w:rsid w:val="0012473C"/>
    <w:rsid w:val="00124B34"/>
    <w:rsid w:val="00126A23"/>
    <w:rsid w:val="001302FF"/>
    <w:rsid w:val="0013132F"/>
    <w:rsid w:val="0013528C"/>
    <w:rsid w:val="001354DE"/>
    <w:rsid w:val="00137567"/>
    <w:rsid w:val="00144BF4"/>
    <w:rsid w:val="001472AB"/>
    <w:rsid w:val="00152BC7"/>
    <w:rsid w:val="001543C7"/>
    <w:rsid w:val="00155EFE"/>
    <w:rsid w:val="00156D82"/>
    <w:rsid w:val="001633BD"/>
    <w:rsid w:val="00165D28"/>
    <w:rsid w:val="0017155D"/>
    <w:rsid w:val="00173227"/>
    <w:rsid w:val="00173466"/>
    <w:rsid w:val="00174D8B"/>
    <w:rsid w:val="00175CD8"/>
    <w:rsid w:val="001764B0"/>
    <w:rsid w:val="00197E78"/>
    <w:rsid w:val="001A3A14"/>
    <w:rsid w:val="001B2E4B"/>
    <w:rsid w:val="001B32DE"/>
    <w:rsid w:val="001B4CB1"/>
    <w:rsid w:val="001B7FBE"/>
    <w:rsid w:val="001C1C2E"/>
    <w:rsid w:val="001D0696"/>
    <w:rsid w:val="001D2E59"/>
    <w:rsid w:val="001D2FFE"/>
    <w:rsid w:val="001D4F6C"/>
    <w:rsid w:val="001D65D2"/>
    <w:rsid w:val="001E0363"/>
    <w:rsid w:val="001E0554"/>
    <w:rsid w:val="001E1F6D"/>
    <w:rsid w:val="001E254A"/>
    <w:rsid w:val="001E2BD8"/>
    <w:rsid w:val="001E4A69"/>
    <w:rsid w:val="001E625C"/>
    <w:rsid w:val="001E7936"/>
    <w:rsid w:val="001E7F16"/>
    <w:rsid w:val="001F3014"/>
    <w:rsid w:val="001F4029"/>
    <w:rsid w:val="001F489D"/>
    <w:rsid w:val="00201E24"/>
    <w:rsid w:val="00202635"/>
    <w:rsid w:val="00202D87"/>
    <w:rsid w:val="0020369B"/>
    <w:rsid w:val="00206580"/>
    <w:rsid w:val="00211186"/>
    <w:rsid w:val="00212192"/>
    <w:rsid w:val="002137E0"/>
    <w:rsid w:val="002139A2"/>
    <w:rsid w:val="00214AAC"/>
    <w:rsid w:val="00214BE7"/>
    <w:rsid w:val="00215153"/>
    <w:rsid w:val="002257C1"/>
    <w:rsid w:val="00226F39"/>
    <w:rsid w:val="002415FB"/>
    <w:rsid w:val="00241B60"/>
    <w:rsid w:val="00242209"/>
    <w:rsid w:val="00243777"/>
    <w:rsid w:val="00243ECF"/>
    <w:rsid w:val="00245CE9"/>
    <w:rsid w:val="00246538"/>
    <w:rsid w:val="002506A9"/>
    <w:rsid w:val="002510C0"/>
    <w:rsid w:val="002537DE"/>
    <w:rsid w:val="002568D1"/>
    <w:rsid w:val="00261A2A"/>
    <w:rsid w:val="00262C79"/>
    <w:rsid w:val="00264A6F"/>
    <w:rsid w:val="00266032"/>
    <w:rsid w:val="002668CA"/>
    <w:rsid w:val="00266DB1"/>
    <w:rsid w:val="002728DE"/>
    <w:rsid w:val="00276998"/>
    <w:rsid w:val="002777ED"/>
    <w:rsid w:val="00282264"/>
    <w:rsid w:val="0028421A"/>
    <w:rsid w:val="00285EE2"/>
    <w:rsid w:val="002861DA"/>
    <w:rsid w:val="00290CD6"/>
    <w:rsid w:val="00291206"/>
    <w:rsid w:val="00292A6B"/>
    <w:rsid w:val="002A21E8"/>
    <w:rsid w:val="002A3380"/>
    <w:rsid w:val="002A794E"/>
    <w:rsid w:val="002B616E"/>
    <w:rsid w:val="002C1CD0"/>
    <w:rsid w:val="002C2B46"/>
    <w:rsid w:val="002C323A"/>
    <w:rsid w:val="002C3EF9"/>
    <w:rsid w:val="002C46F4"/>
    <w:rsid w:val="002C5E29"/>
    <w:rsid w:val="002C7682"/>
    <w:rsid w:val="002D0346"/>
    <w:rsid w:val="002D4236"/>
    <w:rsid w:val="002D7127"/>
    <w:rsid w:val="002D75AB"/>
    <w:rsid w:val="002E0F35"/>
    <w:rsid w:val="002F2225"/>
    <w:rsid w:val="00300505"/>
    <w:rsid w:val="003008D8"/>
    <w:rsid w:val="00300E15"/>
    <w:rsid w:val="003026BA"/>
    <w:rsid w:val="00303959"/>
    <w:rsid w:val="003045ED"/>
    <w:rsid w:val="00305013"/>
    <w:rsid w:val="00305386"/>
    <w:rsid w:val="00312153"/>
    <w:rsid w:val="00312AC3"/>
    <w:rsid w:val="00313FF3"/>
    <w:rsid w:val="00314430"/>
    <w:rsid w:val="003158AF"/>
    <w:rsid w:val="00322E13"/>
    <w:rsid w:val="00323038"/>
    <w:rsid w:val="00324B33"/>
    <w:rsid w:val="00327708"/>
    <w:rsid w:val="00331345"/>
    <w:rsid w:val="00333462"/>
    <w:rsid w:val="003432DB"/>
    <w:rsid w:val="003463D0"/>
    <w:rsid w:val="00346EC2"/>
    <w:rsid w:val="00353566"/>
    <w:rsid w:val="0035444D"/>
    <w:rsid w:val="00356C33"/>
    <w:rsid w:val="00363634"/>
    <w:rsid w:val="00366468"/>
    <w:rsid w:val="00371924"/>
    <w:rsid w:val="003817E0"/>
    <w:rsid w:val="003845A5"/>
    <w:rsid w:val="00386EEA"/>
    <w:rsid w:val="003900B2"/>
    <w:rsid w:val="003944C1"/>
    <w:rsid w:val="00395140"/>
    <w:rsid w:val="003A3765"/>
    <w:rsid w:val="003A5D30"/>
    <w:rsid w:val="003A76CC"/>
    <w:rsid w:val="003B149C"/>
    <w:rsid w:val="003B4794"/>
    <w:rsid w:val="003B5354"/>
    <w:rsid w:val="003C1284"/>
    <w:rsid w:val="003D0D3A"/>
    <w:rsid w:val="003D11B5"/>
    <w:rsid w:val="003D1706"/>
    <w:rsid w:val="003D221B"/>
    <w:rsid w:val="003D5B7D"/>
    <w:rsid w:val="003D62AB"/>
    <w:rsid w:val="003D71A1"/>
    <w:rsid w:val="003E4D35"/>
    <w:rsid w:val="003E5935"/>
    <w:rsid w:val="003F75DA"/>
    <w:rsid w:val="00403726"/>
    <w:rsid w:val="00405642"/>
    <w:rsid w:val="004066AD"/>
    <w:rsid w:val="00407B29"/>
    <w:rsid w:val="004109FF"/>
    <w:rsid w:val="0041411E"/>
    <w:rsid w:val="0041584C"/>
    <w:rsid w:val="00416041"/>
    <w:rsid w:val="0041688F"/>
    <w:rsid w:val="004223AD"/>
    <w:rsid w:val="0042376F"/>
    <w:rsid w:val="004246B8"/>
    <w:rsid w:val="004318A4"/>
    <w:rsid w:val="00433318"/>
    <w:rsid w:val="00443ACB"/>
    <w:rsid w:val="004468A7"/>
    <w:rsid w:val="00454DCF"/>
    <w:rsid w:val="00456BA1"/>
    <w:rsid w:val="00462260"/>
    <w:rsid w:val="00467B3F"/>
    <w:rsid w:val="00471A86"/>
    <w:rsid w:val="00473A60"/>
    <w:rsid w:val="004752A6"/>
    <w:rsid w:val="00475760"/>
    <w:rsid w:val="00477C4E"/>
    <w:rsid w:val="00483C42"/>
    <w:rsid w:val="00491A55"/>
    <w:rsid w:val="0049771C"/>
    <w:rsid w:val="004B3081"/>
    <w:rsid w:val="004B4CCE"/>
    <w:rsid w:val="004B4F1C"/>
    <w:rsid w:val="004B5527"/>
    <w:rsid w:val="004B60CE"/>
    <w:rsid w:val="004B7759"/>
    <w:rsid w:val="004C1AE4"/>
    <w:rsid w:val="004D1301"/>
    <w:rsid w:val="004E3DA5"/>
    <w:rsid w:val="004F2341"/>
    <w:rsid w:val="004F3604"/>
    <w:rsid w:val="004F404E"/>
    <w:rsid w:val="004F4937"/>
    <w:rsid w:val="00500E11"/>
    <w:rsid w:val="00505D79"/>
    <w:rsid w:val="00506E4A"/>
    <w:rsid w:val="005072F1"/>
    <w:rsid w:val="005101D2"/>
    <w:rsid w:val="00510201"/>
    <w:rsid w:val="00510E89"/>
    <w:rsid w:val="00511AD9"/>
    <w:rsid w:val="00513512"/>
    <w:rsid w:val="005225D2"/>
    <w:rsid w:val="0052520F"/>
    <w:rsid w:val="00535DFE"/>
    <w:rsid w:val="005366D5"/>
    <w:rsid w:val="005451B5"/>
    <w:rsid w:val="00547019"/>
    <w:rsid w:val="0055433E"/>
    <w:rsid w:val="005608DE"/>
    <w:rsid w:val="00562F42"/>
    <w:rsid w:val="005639AC"/>
    <w:rsid w:val="00565AC3"/>
    <w:rsid w:val="0056766D"/>
    <w:rsid w:val="00570CCA"/>
    <w:rsid w:val="00571C05"/>
    <w:rsid w:val="00573377"/>
    <w:rsid w:val="00577FAE"/>
    <w:rsid w:val="005804CA"/>
    <w:rsid w:val="0058536C"/>
    <w:rsid w:val="0058575E"/>
    <w:rsid w:val="005877F1"/>
    <w:rsid w:val="0058783C"/>
    <w:rsid w:val="005911AE"/>
    <w:rsid w:val="0059313A"/>
    <w:rsid w:val="005944FD"/>
    <w:rsid w:val="00596F33"/>
    <w:rsid w:val="005A0DE3"/>
    <w:rsid w:val="005B023F"/>
    <w:rsid w:val="005B1365"/>
    <w:rsid w:val="005B1535"/>
    <w:rsid w:val="005D08D4"/>
    <w:rsid w:val="005D103A"/>
    <w:rsid w:val="005D2089"/>
    <w:rsid w:val="005D296F"/>
    <w:rsid w:val="005D7514"/>
    <w:rsid w:val="005E1A7B"/>
    <w:rsid w:val="005E2692"/>
    <w:rsid w:val="005E5B49"/>
    <w:rsid w:val="005E7223"/>
    <w:rsid w:val="005E7D86"/>
    <w:rsid w:val="005F0FEE"/>
    <w:rsid w:val="005F45C4"/>
    <w:rsid w:val="005F50F6"/>
    <w:rsid w:val="005F74E2"/>
    <w:rsid w:val="00601D79"/>
    <w:rsid w:val="0060220C"/>
    <w:rsid w:val="00604889"/>
    <w:rsid w:val="00606026"/>
    <w:rsid w:val="00615071"/>
    <w:rsid w:val="00615714"/>
    <w:rsid w:val="006236EE"/>
    <w:rsid w:val="00625542"/>
    <w:rsid w:val="00625D00"/>
    <w:rsid w:val="006277A1"/>
    <w:rsid w:val="00633ABF"/>
    <w:rsid w:val="006351D9"/>
    <w:rsid w:val="00637130"/>
    <w:rsid w:val="00637F0E"/>
    <w:rsid w:val="00640FBF"/>
    <w:rsid w:val="006423F2"/>
    <w:rsid w:val="0064350D"/>
    <w:rsid w:val="00645A71"/>
    <w:rsid w:val="00660863"/>
    <w:rsid w:val="00660BF3"/>
    <w:rsid w:val="0066580D"/>
    <w:rsid w:val="00671F1C"/>
    <w:rsid w:val="00671FE1"/>
    <w:rsid w:val="00676A7A"/>
    <w:rsid w:val="0068732D"/>
    <w:rsid w:val="00687CB9"/>
    <w:rsid w:val="006919C4"/>
    <w:rsid w:val="0069218F"/>
    <w:rsid w:val="00692CCD"/>
    <w:rsid w:val="0069430A"/>
    <w:rsid w:val="00694A1C"/>
    <w:rsid w:val="006962B6"/>
    <w:rsid w:val="006964D4"/>
    <w:rsid w:val="006A1F0B"/>
    <w:rsid w:val="006A277A"/>
    <w:rsid w:val="006B1E05"/>
    <w:rsid w:val="006B3D21"/>
    <w:rsid w:val="006B47E2"/>
    <w:rsid w:val="006B511B"/>
    <w:rsid w:val="006B71A5"/>
    <w:rsid w:val="006C4EAF"/>
    <w:rsid w:val="006C5399"/>
    <w:rsid w:val="006D6A9A"/>
    <w:rsid w:val="006D6AE8"/>
    <w:rsid w:val="006D6B44"/>
    <w:rsid w:val="006D7956"/>
    <w:rsid w:val="006E33ED"/>
    <w:rsid w:val="006F171E"/>
    <w:rsid w:val="006F3D74"/>
    <w:rsid w:val="006F4F1E"/>
    <w:rsid w:val="00700021"/>
    <w:rsid w:val="00700A27"/>
    <w:rsid w:val="00704CAD"/>
    <w:rsid w:val="00705B42"/>
    <w:rsid w:val="00706A24"/>
    <w:rsid w:val="007072A1"/>
    <w:rsid w:val="0071003A"/>
    <w:rsid w:val="00710BC5"/>
    <w:rsid w:val="00717F5C"/>
    <w:rsid w:val="0072003B"/>
    <w:rsid w:val="00725B49"/>
    <w:rsid w:val="0072648B"/>
    <w:rsid w:val="00730A8B"/>
    <w:rsid w:val="007357B9"/>
    <w:rsid w:val="00735ACF"/>
    <w:rsid w:val="00736E58"/>
    <w:rsid w:val="00737834"/>
    <w:rsid w:val="007415E1"/>
    <w:rsid w:val="00742C04"/>
    <w:rsid w:val="00744265"/>
    <w:rsid w:val="00744EF1"/>
    <w:rsid w:val="007452E8"/>
    <w:rsid w:val="00746990"/>
    <w:rsid w:val="00750D70"/>
    <w:rsid w:val="0075600F"/>
    <w:rsid w:val="00761A22"/>
    <w:rsid w:val="00762288"/>
    <w:rsid w:val="00765D15"/>
    <w:rsid w:val="0076728F"/>
    <w:rsid w:val="0077073F"/>
    <w:rsid w:val="00782564"/>
    <w:rsid w:val="00787634"/>
    <w:rsid w:val="00790265"/>
    <w:rsid w:val="007907E5"/>
    <w:rsid w:val="00793272"/>
    <w:rsid w:val="00794338"/>
    <w:rsid w:val="00797D9A"/>
    <w:rsid w:val="007A32EE"/>
    <w:rsid w:val="007A5F71"/>
    <w:rsid w:val="007B04DE"/>
    <w:rsid w:val="007B3D11"/>
    <w:rsid w:val="007C57BC"/>
    <w:rsid w:val="007D12C3"/>
    <w:rsid w:val="007D319C"/>
    <w:rsid w:val="007D4138"/>
    <w:rsid w:val="007D4A3B"/>
    <w:rsid w:val="007E05BD"/>
    <w:rsid w:val="007E3264"/>
    <w:rsid w:val="007E330E"/>
    <w:rsid w:val="007E6164"/>
    <w:rsid w:val="007F0A77"/>
    <w:rsid w:val="007F50D3"/>
    <w:rsid w:val="0080416F"/>
    <w:rsid w:val="008067F4"/>
    <w:rsid w:val="00810085"/>
    <w:rsid w:val="00813CB4"/>
    <w:rsid w:val="00820888"/>
    <w:rsid w:val="008215F8"/>
    <w:rsid w:val="008329DB"/>
    <w:rsid w:val="00832A91"/>
    <w:rsid w:val="008361C5"/>
    <w:rsid w:val="0083628F"/>
    <w:rsid w:val="00836381"/>
    <w:rsid w:val="00837AB9"/>
    <w:rsid w:val="00840806"/>
    <w:rsid w:val="008428A5"/>
    <w:rsid w:val="00842B55"/>
    <w:rsid w:val="008432D3"/>
    <w:rsid w:val="00843BD1"/>
    <w:rsid w:val="00844DA8"/>
    <w:rsid w:val="00850637"/>
    <w:rsid w:val="00854D92"/>
    <w:rsid w:val="00854D98"/>
    <w:rsid w:val="00860028"/>
    <w:rsid w:val="00860B29"/>
    <w:rsid w:val="00861A8E"/>
    <w:rsid w:val="00864295"/>
    <w:rsid w:val="00871A35"/>
    <w:rsid w:val="0087361C"/>
    <w:rsid w:val="008762B1"/>
    <w:rsid w:val="0087674B"/>
    <w:rsid w:val="00876789"/>
    <w:rsid w:val="008804CF"/>
    <w:rsid w:val="00880635"/>
    <w:rsid w:val="00887045"/>
    <w:rsid w:val="00895060"/>
    <w:rsid w:val="00895AF8"/>
    <w:rsid w:val="008964B3"/>
    <w:rsid w:val="00896561"/>
    <w:rsid w:val="00896D32"/>
    <w:rsid w:val="008A167B"/>
    <w:rsid w:val="008A1783"/>
    <w:rsid w:val="008A46FC"/>
    <w:rsid w:val="008A5456"/>
    <w:rsid w:val="008B1DBC"/>
    <w:rsid w:val="008B245E"/>
    <w:rsid w:val="008B2D9B"/>
    <w:rsid w:val="008B4CAE"/>
    <w:rsid w:val="008C1904"/>
    <w:rsid w:val="008C28B2"/>
    <w:rsid w:val="008C4108"/>
    <w:rsid w:val="008C49C6"/>
    <w:rsid w:val="008C6CC0"/>
    <w:rsid w:val="008C754C"/>
    <w:rsid w:val="008C7DEC"/>
    <w:rsid w:val="008D2395"/>
    <w:rsid w:val="008D2986"/>
    <w:rsid w:val="008D58C3"/>
    <w:rsid w:val="008D5A6B"/>
    <w:rsid w:val="008D6A54"/>
    <w:rsid w:val="008E0761"/>
    <w:rsid w:val="008E12D0"/>
    <w:rsid w:val="008E52CE"/>
    <w:rsid w:val="008E6072"/>
    <w:rsid w:val="008E76F3"/>
    <w:rsid w:val="008F595F"/>
    <w:rsid w:val="008F5CBC"/>
    <w:rsid w:val="008F7D79"/>
    <w:rsid w:val="0090605E"/>
    <w:rsid w:val="009108CE"/>
    <w:rsid w:val="009127EE"/>
    <w:rsid w:val="00915A9F"/>
    <w:rsid w:val="00917A7B"/>
    <w:rsid w:val="00920E08"/>
    <w:rsid w:val="00924556"/>
    <w:rsid w:val="00924B3A"/>
    <w:rsid w:val="0093082D"/>
    <w:rsid w:val="00930D58"/>
    <w:rsid w:val="0093714D"/>
    <w:rsid w:val="00937282"/>
    <w:rsid w:val="00940EBD"/>
    <w:rsid w:val="00950903"/>
    <w:rsid w:val="00957B01"/>
    <w:rsid w:val="00961290"/>
    <w:rsid w:val="00966EF1"/>
    <w:rsid w:val="00971C86"/>
    <w:rsid w:val="0098350E"/>
    <w:rsid w:val="00984BC8"/>
    <w:rsid w:val="00985997"/>
    <w:rsid w:val="00987DFF"/>
    <w:rsid w:val="00990102"/>
    <w:rsid w:val="00990EB3"/>
    <w:rsid w:val="00995E01"/>
    <w:rsid w:val="00996FA5"/>
    <w:rsid w:val="009A0FB6"/>
    <w:rsid w:val="009A2240"/>
    <w:rsid w:val="009A6063"/>
    <w:rsid w:val="009A7526"/>
    <w:rsid w:val="009B6A79"/>
    <w:rsid w:val="009C1B5B"/>
    <w:rsid w:val="009C3AD3"/>
    <w:rsid w:val="009C48F9"/>
    <w:rsid w:val="009C5373"/>
    <w:rsid w:val="009C5F1A"/>
    <w:rsid w:val="009C6F89"/>
    <w:rsid w:val="009D0460"/>
    <w:rsid w:val="009D06FE"/>
    <w:rsid w:val="009E1AB2"/>
    <w:rsid w:val="009E29CA"/>
    <w:rsid w:val="009E6F8C"/>
    <w:rsid w:val="009F0D11"/>
    <w:rsid w:val="009F37AB"/>
    <w:rsid w:val="009F6BC8"/>
    <w:rsid w:val="00A01C56"/>
    <w:rsid w:val="00A03F21"/>
    <w:rsid w:val="00A06431"/>
    <w:rsid w:val="00A118E9"/>
    <w:rsid w:val="00A141EA"/>
    <w:rsid w:val="00A14736"/>
    <w:rsid w:val="00A17012"/>
    <w:rsid w:val="00A20BEA"/>
    <w:rsid w:val="00A21B71"/>
    <w:rsid w:val="00A2600A"/>
    <w:rsid w:val="00A260D3"/>
    <w:rsid w:val="00A2685C"/>
    <w:rsid w:val="00A27FDB"/>
    <w:rsid w:val="00A30840"/>
    <w:rsid w:val="00A32D92"/>
    <w:rsid w:val="00A345CC"/>
    <w:rsid w:val="00A347E8"/>
    <w:rsid w:val="00A358E7"/>
    <w:rsid w:val="00A47854"/>
    <w:rsid w:val="00A51090"/>
    <w:rsid w:val="00A51A2D"/>
    <w:rsid w:val="00A55419"/>
    <w:rsid w:val="00A576AC"/>
    <w:rsid w:val="00A60176"/>
    <w:rsid w:val="00A60CF8"/>
    <w:rsid w:val="00A61D9C"/>
    <w:rsid w:val="00A63248"/>
    <w:rsid w:val="00A63D9B"/>
    <w:rsid w:val="00A7051C"/>
    <w:rsid w:val="00A70860"/>
    <w:rsid w:val="00A744E8"/>
    <w:rsid w:val="00A8211C"/>
    <w:rsid w:val="00A93DC6"/>
    <w:rsid w:val="00AA20C9"/>
    <w:rsid w:val="00AA419B"/>
    <w:rsid w:val="00AA5281"/>
    <w:rsid w:val="00AA58C2"/>
    <w:rsid w:val="00AA5961"/>
    <w:rsid w:val="00AA7412"/>
    <w:rsid w:val="00AB2394"/>
    <w:rsid w:val="00AB3A32"/>
    <w:rsid w:val="00AB6E8C"/>
    <w:rsid w:val="00AB730A"/>
    <w:rsid w:val="00AB7CBF"/>
    <w:rsid w:val="00AC0061"/>
    <w:rsid w:val="00AC1378"/>
    <w:rsid w:val="00AC3740"/>
    <w:rsid w:val="00AC4B44"/>
    <w:rsid w:val="00AC66D9"/>
    <w:rsid w:val="00AD0270"/>
    <w:rsid w:val="00AD68A2"/>
    <w:rsid w:val="00AE1947"/>
    <w:rsid w:val="00AE255B"/>
    <w:rsid w:val="00AE60C9"/>
    <w:rsid w:val="00AE6670"/>
    <w:rsid w:val="00AE78BC"/>
    <w:rsid w:val="00AE79B1"/>
    <w:rsid w:val="00AF4D5A"/>
    <w:rsid w:val="00B047EE"/>
    <w:rsid w:val="00B05E23"/>
    <w:rsid w:val="00B13796"/>
    <w:rsid w:val="00B20B59"/>
    <w:rsid w:val="00B22844"/>
    <w:rsid w:val="00B26091"/>
    <w:rsid w:val="00B35650"/>
    <w:rsid w:val="00B407BF"/>
    <w:rsid w:val="00B46065"/>
    <w:rsid w:val="00B46BC0"/>
    <w:rsid w:val="00B52283"/>
    <w:rsid w:val="00B52528"/>
    <w:rsid w:val="00B54F70"/>
    <w:rsid w:val="00B55681"/>
    <w:rsid w:val="00B5590A"/>
    <w:rsid w:val="00B63793"/>
    <w:rsid w:val="00B65048"/>
    <w:rsid w:val="00B7470E"/>
    <w:rsid w:val="00B82CED"/>
    <w:rsid w:val="00B835D7"/>
    <w:rsid w:val="00B87AA6"/>
    <w:rsid w:val="00B956CA"/>
    <w:rsid w:val="00B967FF"/>
    <w:rsid w:val="00B97237"/>
    <w:rsid w:val="00BA0EBF"/>
    <w:rsid w:val="00BA164B"/>
    <w:rsid w:val="00BA194A"/>
    <w:rsid w:val="00BA20CC"/>
    <w:rsid w:val="00BA361D"/>
    <w:rsid w:val="00BA4D62"/>
    <w:rsid w:val="00BA7F7D"/>
    <w:rsid w:val="00BB055B"/>
    <w:rsid w:val="00BB1B7B"/>
    <w:rsid w:val="00BB1C14"/>
    <w:rsid w:val="00BB2DB8"/>
    <w:rsid w:val="00BB79F6"/>
    <w:rsid w:val="00BC0506"/>
    <w:rsid w:val="00BC1C67"/>
    <w:rsid w:val="00BC7DE9"/>
    <w:rsid w:val="00BD07DF"/>
    <w:rsid w:val="00BD38F4"/>
    <w:rsid w:val="00BD5DBD"/>
    <w:rsid w:val="00BD67A5"/>
    <w:rsid w:val="00BD7474"/>
    <w:rsid w:val="00BE0275"/>
    <w:rsid w:val="00BE2AAC"/>
    <w:rsid w:val="00BF1310"/>
    <w:rsid w:val="00BF4638"/>
    <w:rsid w:val="00C042FA"/>
    <w:rsid w:val="00C07551"/>
    <w:rsid w:val="00C079C8"/>
    <w:rsid w:val="00C133A3"/>
    <w:rsid w:val="00C20B98"/>
    <w:rsid w:val="00C22214"/>
    <w:rsid w:val="00C24BD5"/>
    <w:rsid w:val="00C25D3A"/>
    <w:rsid w:val="00C30FDA"/>
    <w:rsid w:val="00C33422"/>
    <w:rsid w:val="00C3356B"/>
    <w:rsid w:val="00C3496A"/>
    <w:rsid w:val="00C35DF8"/>
    <w:rsid w:val="00C36722"/>
    <w:rsid w:val="00C36D25"/>
    <w:rsid w:val="00C407AB"/>
    <w:rsid w:val="00C42915"/>
    <w:rsid w:val="00C43025"/>
    <w:rsid w:val="00C47A46"/>
    <w:rsid w:val="00C5134D"/>
    <w:rsid w:val="00C538AA"/>
    <w:rsid w:val="00C55330"/>
    <w:rsid w:val="00C566F5"/>
    <w:rsid w:val="00C570FF"/>
    <w:rsid w:val="00C60F37"/>
    <w:rsid w:val="00C619E7"/>
    <w:rsid w:val="00C63184"/>
    <w:rsid w:val="00C6574E"/>
    <w:rsid w:val="00C66020"/>
    <w:rsid w:val="00C71428"/>
    <w:rsid w:val="00C739EB"/>
    <w:rsid w:val="00C7698D"/>
    <w:rsid w:val="00C816C6"/>
    <w:rsid w:val="00C84DEC"/>
    <w:rsid w:val="00C964DD"/>
    <w:rsid w:val="00CA4E0E"/>
    <w:rsid w:val="00CA73C8"/>
    <w:rsid w:val="00CA7E99"/>
    <w:rsid w:val="00CB0550"/>
    <w:rsid w:val="00CB7471"/>
    <w:rsid w:val="00CC0CC2"/>
    <w:rsid w:val="00CC2C72"/>
    <w:rsid w:val="00CD7466"/>
    <w:rsid w:val="00CE0EEA"/>
    <w:rsid w:val="00CE1B76"/>
    <w:rsid w:val="00CE1EF4"/>
    <w:rsid w:val="00CE40D6"/>
    <w:rsid w:val="00CE42B9"/>
    <w:rsid w:val="00CE5CAA"/>
    <w:rsid w:val="00CF12C6"/>
    <w:rsid w:val="00CF77C7"/>
    <w:rsid w:val="00D01616"/>
    <w:rsid w:val="00D01DDB"/>
    <w:rsid w:val="00D078BE"/>
    <w:rsid w:val="00D10534"/>
    <w:rsid w:val="00D12CB2"/>
    <w:rsid w:val="00D13F8A"/>
    <w:rsid w:val="00D1436D"/>
    <w:rsid w:val="00D14A5C"/>
    <w:rsid w:val="00D14C29"/>
    <w:rsid w:val="00D22F1A"/>
    <w:rsid w:val="00D24447"/>
    <w:rsid w:val="00D26A12"/>
    <w:rsid w:val="00D30428"/>
    <w:rsid w:val="00D332A1"/>
    <w:rsid w:val="00D4186C"/>
    <w:rsid w:val="00D42702"/>
    <w:rsid w:val="00D452B1"/>
    <w:rsid w:val="00D50789"/>
    <w:rsid w:val="00D51B01"/>
    <w:rsid w:val="00D5540D"/>
    <w:rsid w:val="00D56297"/>
    <w:rsid w:val="00D56A6E"/>
    <w:rsid w:val="00D62877"/>
    <w:rsid w:val="00D6361F"/>
    <w:rsid w:val="00D63760"/>
    <w:rsid w:val="00D666BA"/>
    <w:rsid w:val="00D70AA5"/>
    <w:rsid w:val="00D76274"/>
    <w:rsid w:val="00D774DE"/>
    <w:rsid w:val="00D839AA"/>
    <w:rsid w:val="00D84A40"/>
    <w:rsid w:val="00D918D5"/>
    <w:rsid w:val="00D94C8E"/>
    <w:rsid w:val="00D95021"/>
    <w:rsid w:val="00DA2377"/>
    <w:rsid w:val="00DA285A"/>
    <w:rsid w:val="00DA4984"/>
    <w:rsid w:val="00DB0F3B"/>
    <w:rsid w:val="00DB192C"/>
    <w:rsid w:val="00DB1CF3"/>
    <w:rsid w:val="00DB2FED"/>
    <w:rsid w:val="00DB4E0B"/>
    <w:rsid w:val="00DB510D"/>
    <w:rsid w:val="00DB5F37"/>
    <w:rsid w:val="00DB6809"/>
    <w:rsid w:val="00DC03AE"/>
    <w:rsid w:val="00DE0327"/>
    <w:rsid w:val="00DE3B1E"/>
    <w:rsid w:val="00DE7FAE"/>
    <w:rsid w:val="00DF391F"/>
    <w:rsid w:val="00DF5BFE"/>
    <w:rsid w:val="00E12538"/>
    <w:rsid w:val="00E22377"/>
    <w:rsid w:val="00E24B14"/>
    <w:rsid w:val="00E26F3E"/>
    <w:rsid w:val="00E3000B"/>
    <w:rsid w:val="00E37FDA"/>
    <w:rsid w:val="00E40BFF"/>
    <w:rsid w:val="00E47DB7"/>
    <w:rsid w:val="00E47E0C"/>
    <w:rsid w:val="00E51813"/>
    <w:rsid w:val="00E51D21"/>
    <w:rsid w:val="00E53D3F"/>
    <w:rsid w:val="00E546EF"/>
    <w:rsid w:val="00E5579B"/>
    <w:rsid w:val="00E56094"/>
    <w:rsid w:val="00E56BBC"/>
    <w:rsid w:val="00E637EF"/>
    <w:rsid w:val="00E66067"/>
    <w:rsid w:val="00E72D1F"/>
    <w:rsid w:val="00E74A1C"/>
    <w:rsid w:val="00E86A5E"/>
    <w:rsid w:val="00E90F8A"/>
    <w:rsid w:val="00E91B82"/>
    <w:rsid w:val="00E9614D"/>
    <w:rsid w:val="00E97145"/>
    <w:rsid w:val="00E97A8C"/>
    <w:rsid w:val="00EA497F"/>
    <w:rsid w:val="00EA5F07"/>
    <w:rsid w:val="00EA6BD5"/>
    <w:rsid w:val="00EA77FF"/>
    <w:rsid w:val="00EC1825"/>
    <w:rsid w:val="00EC47A0"/>
    <w:rsid w:val="00ED0C8A"/>
    <w:rsid w:val="00ED15D0"/>
    <w:rsid w:val="00ED659D"/>
    <w:rsid w:val="00ED7265"/>
    <w:rsid w:val="00ED79CE"/>
    <w:rsid w:val="00EE6039"/>
    <w:rsid w:val="00EE678C"/>
    <w:rsid w:val="00EF134C"/>
    <w:rsid w:val="00EF1997"/>
    <w:rsid w:val="00EF56B7"/>
    <w:rsid w:val="00EF7774"/>
    <w:rsid w:val="00F02AEC"/>
    <w:rsid w:val="00F04163"/>
    <w:rsid w:val="00F0609F"/>
    <w:rsid w:val="00F061B7"/>
    <w:rsid w:val="00F1191F"/>
    <w:rsid w:val="00F1321A"/>
    <w:rsid w:val="00F157FC"/>
    <w:rsid w:val="00F1630C"/>
    <w:rsid w:val="00F20381"/>
    <w:rsid w:val="00F23027"/>
    <w:rsid w:val="00F23E8E"/>
    <w:rsid w:val="00F2494B"/>
    <w:rsid w:val="00F25563"/>
    <w:rsid w:val="00F26CA4"/>
    <w:rsid w:val="00F309AC"/>
    <w:rsid w:val="00F30AF3"/>
    <w:rsid w:val="00F366C3"/>
    <w:rsid w:val="00F40EC8"/>
    <w:rsid w:val="00F45A7A"/>
    <w:rsid w:val="00F505D3"/>
    <w:rsid w:val="00F55289"/>
    <w:rsid w:val="00F6200A"/>
    <w:rsid w:val="00F63B2C"/>
    <w:rsid w:val="00F63D52"/>
    <w:rsid w:val="00F657B4"/>
    <w:rsid w:val="00F67DEB"/>
    <w:rsid w:val="00F72C03"/>
    <w:rsid w:val="00F865A7"/>
    <w:rsid w:val="00F90387"/>
    <w:rsid w:val="00F90CE1"/>
    <w:rsid w:val="00F9694E"/>
    <w:rsid w:val="00F97576"/>
    <w:rsid w:val="00FA0754"/>
    <w:rsid w:val="00FA1BC9"/>
    <w:rsid w:val="00FA49C3"/>
    <w:rsid w:val="00FA71CF"/>
    <w:rsid w:val="00FA7C02"/>
    <w:rsid w:val="00FB1AB2"/>
    <w:rsid w:val="00FB236E"/>
    <w:rsid w:val="00FB4B6C"/>
    <w:rsid w:val="00FB5345"/>
    <w:rsid w:val="00FB6B9A"/>
    <w:rsid w:val="00FC6F56"/>
    <w:rsid w:val="00FD581F"/>
    <w:rsid w:val="00FD71CE"/>
    <w:rsid w:val="00FE087C"/>
    <w:rsid w:val="00FE195C"/>
    <w:rsid w:val="00FE2267"/>
    <w:rsid w:val="00FE2D82"/>
    <w:rsid w:val="00FE3514"/>
    <w:rsid w:val="00FE606F"/>
    <w:rsid w:val="00FE6B17"/>
    <w:rsid w:val="00FE7DF2"/>
    <w:rsid w:val="00FF5779"/>
    <w:rsid w:val="00FF58F8"/>
    <w:rsid w:val="00FF59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6A37B86A-70F1-4B37-8672-19A36BC3D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D56A6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E91B82"/>
    <w:pPr>
      <w:autoSpaceDE w:val="0"/>
      <w:autoSpaceDN w:val="0"/>
      <w:adjustRightInd w:val="0"/>
      <w:spacing w:after="0" w:line="240" w:lineRule="auto"/>
    </w:pPr>
    <w:rPr>
      <w:rFonts w:ascii="Calibri" w:hAnsi="Calibri" w:cs="Calibri"/>
      <w:color w:val="000000"/>
      <w:sz w:val="24"/>
      <w:szCs w:val="24"/>
    </w:rPr>
  </w:style>
  <w:style w:type="paragraph" w:customStyle="1" w:styleId="Bulletlist">
    <w:name w:val="Bullet list"/>
    <w:basedOn w:val="Normal"/>
    <w:link w:val="BulletlistChar"/>
    <w:qFormat/>
    <w:rsid w:val="00961290"/>
    <w:pPr>
      <w:numPr>
        <w:numId w:val="9"/>
      </w:numPr>
      <w:spacing w:after="180" w:line="252" w:lineRule="auto"/>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961290"/>
    <w:rPr>
      <w:rFonts w:ascii="Cambria" w:eastAsia="Times New Roman" w:hAnsi="Cambria" w:cs="Times New Roman"/>
      <w:snapToGrid w:val="0"/>
      <w:kern w:val="2"/>
      <w:sz w:val="23"/>
      <w:szCs w:val="22"/>
    </w:rPr>
  </w:style>
  <w:style w:type="paragraph" w:styleId="ListParagraph">
    <w:name w:val="List Paragraph"/>
    <w:basedOn w:val="Normal"/>
    <w:uiPriority w:val="34"/>
    <w:rsid w:val="003463D0"/>
    <w:pPr>
      <w:adjustRightInd w:val="0"/>
      <w:snapToGrid w:val="0"/>
      <w:spacing w:before="180" w:after="180" w:line="240" w:lineRule="atLeast"/>
      <w:ind w:left="720"/>
      <w:contextualSpacing/>
    </w:pPr>
    <w:rPr>
      <w:rFonts w:eastAsia="MS Mincho" w:cs="Times New Roman"/>
      <w:lang w:eastAsia="ja-JP"/>
    </w:rPr>
  </w:style>
  <w:style w:type="character" w:customStyle="1" w:styleId="Heading7Char">
    <w:name w:val="Heading 7 Char"/>
    <w:basedOn w:val="DefaultParagraphFont"/>
    <w:link w:val="Heading7"/>
    <w:uiPriority w:val="9"/>
    <w:rsid w:val="00D56A6E"/>
    <w:rPr>
      <w:rFonts w:asciiTheme="majorHAnsi" w:eastAsiaTheme="majorEastAsia" w:hAnsiTheme="majorHAnsi" w:cstheme="majorBidi"/>
      <w:i/>
      <w:iCs/>
      <w:color w:val="1F3763" w:themeColor="accent1" w:themeShade="7F"/>
      <w:sz w:val="22"/>
    </w:rPr>
  </w:style>
  <w:style w:type="paragraph" w:styleId="NormalWeb">
    <w:name w:val="Normal (Web)"/>
    <w:basedOn w:val="Normal"/>
    <w:uiPriority w:val="99"/>
    <w:semiHidden/>
    <w:unhideWhenUsed/>
    <w:rsid w:val="00DB510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A7C02"/>
    <w:rPr>
      <w:rFonts w:ascii="Segoe UI" w:hAnsi="Segoe UI" w:cs="Segoe UI" w:hint="default"/>
      <w:sz w:val="18"/>
      <w:szCs w:val="18"/>
    </w:rPr>
  </w:style>
  <w:style w:type="character" w:styleId="Mention">
    <w:name w:val="Mention"/>
    <w:basedOn w:val="DefaultParagraphFont"/>
    <w:uiPriority w:val="99"/>
    <w:unhideWhenUsed/>
    <w:rsid w:val="001E4A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2081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13177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tga.copyright@tga.gov.au" TargetMode="External"/><Relationship Id="rId26" Type="http://schemas.openxmlformats.org/officeDocument/2006/relationships/hyperlink" Target="https://www.tga.gov.au/products/australian-register-therapeutic-goods-artg/product-information" TargetMode="External"/><Relationship Id="rId39" Type="http://schemas.openxmlformats.org/officeDocument/2006/relationships/hyperlink" Target="https://www.tga.gov.au/picmi-search-facility" TargetMode="External"/><Relationship Id="rId3" Type="http://schemas.openxmlformats.org/officeDocument/2006/relationships/customXml" Target="../customXml/item3.xml"/><Relationship Id="rId21" Type="http://schemas.openxmlformats.org/officeDocument/2006/relationships/hyperlink" Target="https://www.health.gov.au/topics/immunisation/when-to-get-vaccinated/national-immunisation-program-schedule" TargetMode="External"/><Relationship Id="rId34" Type="http://schemas.openxmlformats.org/officeDocument/2006/relationships/header" Target="header3.xml"/><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ga.gov.au/australian-public-assessment-report-auspar-guidance" TargetMode="External"/><Relationship Id="rId25" Type="http://schemas.openxmlformats.org/officeDocument/2006/relationships/hyperlink" Target="https://www.tga.gov.au/products/australian-register-therapeutic-goods-artg" TargetMode="External"/><Relationship Id="rId33" Type="http://schemas.openxmlformats.org/officeDocument/2006/relationships/image" Target="media/image7.png"/><Relationship Id="rId38" Type="http://schemas.openxmlformats.org/officeDocument/2006/relationships/hyperlink" Target="https://www.tga.gov.au/committee/advisory-committee-vaccines-acv" TargetMode="External"/><Relationship Id="rId2" Type="http://schemas.openxmlformats.org/officeDocument/2006/relationships/customXml" Target="../customXml/item2.xml"/><Relationship Id="rId16" Type="http://schemas.openxmlformats.org/officeDocument/2006/relationships/hyperlink" Target="https://www.tga.gov.au/" TargetMode="External"/><Relationship Id="rId20" Type="http://schemas.openxmlformats.org/officeDocument/2006/relationships/hyperlink" Target="https://www.tga.gov.au/about-tga/advisory-bodies-and-committees/australian-influenza-vaccine-committee-aivc" TargetMode="External"/><Relationship Id="rId29" Type="http://schemas.openxmlformats.org/officeDocument/2006/relationships/hyperlink" Target="https://www.tga.gov.au/how-we-regulate/supply-therapeutic-good/supply-prescription-medicine/application-process/prescription-medicines-registration-process" TargetMode="External"/><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au/topics/immunisation/vaccines/influenza-flu-vaccine"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mailto:info@tga.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immunisationhandbook.health.gov.au/" TargetMode="External"/><Relationship Id="rId28" Type="http://schemas.openxmlformats.org/officeDocument/2006/relationships/hyperlink" Target="https://www.tga.gov.au/picmi-search-facility" TargetMode="Externa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s://www.tga.gov.au/how-we-regulate/monitoring-safety-and-shortages/report-adverse-event-or-incident/report-adverse-events-medicines-and-biologicals/black-triangle-scheme"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health.gov.au/topics/immunisation/vaccines/influenza-flu-vaccine" TargetMode="External"/><Relationship Id="rId27" Type="http://schemas.openxmlformats.org/officeDocument/2006/relationships/hyperlink" Target="https://www.tga.gov.au/products/australian-register-therapeutic-goods-artg/consumer-medicines-information-cmi" TargetMode="External"/><Relationship Id="rId30" Type="http://schemas.openxmlformats.org/officeDocument/2006/relationships/image" Target="media/image4.png"/><Relationship Id="rId35" Type="http://schemas.openxmlformats.org/officeDocument/2006/relationships/footer" Target="footer3.xm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publication/meeting-statements/aivc-recommendations-composition-influenza-vaccines-australia-2023" TargetMode="External"/><Relationship Id="rId3" Type="http://schemas.openxmlformats.org/officeDocument/2006/relationships/hyperlink" Target="https://www.health.gov.au/sites/default/files/2022-12/aisr-2022-national-influenza-season-summary.pdf" TargetMode="External"/><Relationship Id="rId7" Type="http://schemas.openxmlformats.org/officeDocument/2006/relationships/hyperlink" Target="https://www.tga.gov.au/resources/auspar/auspar-influenza-virus-haemagglutinin-1" TargetMode="External"/><Relationship Id="rId12" Type="http://schemas.openxmlformats.org/officeDocument/2006/relationships/hyperlink" Target="https://immunisationhandbook.health.gov.au/contents/vaccine-preventable-diseases/influenza-flu" TargetMode="External"/><Relationship Id="rId2" Type="http://schemas.openxmlformats.org/officeDocument/2006/relationships/hyperlink" Target="https://www.who.int/europe/news-room/fact-sheets/item/how-pandemic-influenza-emerges" TargetMode="External"/><Relationship Id="rId1" Type="http://schemas.openxmlformats.org/officeDocument/2006/relationships/hyperlink" Target="https://www.who.int/en/news-room/fact-sheets/detail/influenza-(seasonal)" TargetMode="External"/><Relationship Id="rId6" Type="http://schemas.openxmlformats.org/officeDocument/2006/relationships/hyperlink" Target="https://www.ebs.tga.gov.au/ebs/picmi/picmirepository.nsf/pdf?OpenAgent&amp;id=CP-2015-CMI-01083-1" TargetMode="External"/><Relationship Id="rId11" Type="http://schemas.openxmlformats.org/officeDocument/2006/relationships/hyperlink" Target="https://www.cdc.gov/ncbddd/birthdefects/macdp.html" TargetMode="External"/><Relationship Id="rId5" Type="http://schemas.openxmlformats.org/officeDocument/2006/relationships/hyperlink" Target="https://www.health.gov.au/sites/default/files/2023-06/atagi-advice-on-seasonal-influenza-vaccines-in-2023_0.pdf" TargetMode="External"/><Relationship Id="rId10" Type="http://schemas.openxmlformats.org/officeDocument/2006/relationships/hyperlink" Target="https://www.tga.gov.au/sites/default/files/2022-12/auspar-flucelvax-quad-221118.pdf" TargetMode="External"/><Relationship Id="rId4" Type="http://schemas.openxmlformats.org/officeDocument/2006/relationships/hyperlink" Target="https://www.health.gov.au/topics/immunisation/when-to-get-vaccinated/national-immunisation-program-schedule?language=und" TargetMode="External"/><Relationship Id="rId9" Type="http://schemas.openxmlformats.org/officeDocument/2006/relationships/hyperlink" Target="https://www.tga.gov.au/resources/publication/meeting-statements/aivc-recommendations-composition-influenza-vaccines-australia-202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f67dc1b-6a38-470f-bd7f-f47a04a0f011" xsi:nil="true"/>
    <_dlc_DocId xmlns="d30f8f32-45ee-4c7b-80a5-a1b45d09787e">5CZJAC6Z6P3W-1108160708-11187</_dlc_DocId>
    <_dlc_DocIdUrl xmlns="d30f8f32-45ee-4c7b-80a5-a1b45d09787e">
      <Url>https://cslpromise.sharepoint.com/sites/SQ_QIVc/_layouts/15/DocIdRedir.aspx?ID=5CZJAC6Z6P3W-1108160708-11187</Url>
      <Description>5CZJAC6Z6P3W-1108160708-11187</Description>
    </_dlc_DocIdUrl>
    <SharedWithUsers xmlns="d30f8f32-45ee-4c7b-80a5-a1b45d09787e">
      <UserInfo>
        <DisplayName>Molrine, Deborah US/WAL</DisplayName>
        <AccountId>45</AccountId>
        <AccountType/>
      </UserInfo>
      <UserInfo>
        <DisplayName>Heeringa, Marten NL/AMS</DisplayName>
        <AccountId>41</AccountId>
        <AccountType/>
      </UserInfo>
      <UserInfo>
        <DisplayName>Girardet, Roland NL/AMS</DisplayName>
        <AccountId>49</AccountId>
        <AccountType/>
      </UserInfo>
      <UserInfo>
        <DisplayName>Behm, Claire UK/MDH</DisplayName>
        <AccountId>491</AccountId>
        <AccountType/>
      </UserInfo>
      <UserInfo>
        <DisplayName>Moisidis, Ana AU/MEL</DisplayName>
        <AccountId>372</AccountId>
        <AccountType/>
      </UserInfo>
      <UserInfo>
        <DisplayName>Bui, Loan AU/MEL</DisplayName>
        <AccountId>373</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1EFDC1B426F204CAB7609398A7EA482" ma:contentTypeVersion="233" ma:contentTypeDescription="Create a new document." ma:contentTypeScope="" ma:versionID="55c7194dafc1f720b058287e610b9d1b">
  <xsd:schema xmlns:xsd="http://www.w3.org/2001/XMLSchema" xmlns:xs="http://www.w3.org/2001/XMLSchema" xmlns:p="http://schemas.microsoft.com/office/2006/metadata/properties" xmlns:ns2="ff67dc1b-6a38-470f-bd7f-f47a04a0f011" xmlns:ns3="d30f8f32-45ee-4c7b-80a5-a1b45d09787e" targetNamespace="http://schemas.microsoft.com/office/2006/metadata/properties" ma:root="true" ma:fieldsID="6801e3e1e56091ddeadce500a5351ef2" ns2:_="" ns3:_="">
    <xsd:import namespace="ff67dc1b-6a38-470f-bd7f-f47a04a0f011"/>
    <xsd:import namespace="d30f8f32-45ee-4c7b-80a5-a1b45d0978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3:_dlc_DocId" minOccurs="0"/>
                <xsd:element ref="ns3:_dlc_DocIdUrl" minOccurs="0"/>
                <xsd:element ref="ns3:_dlc_DocIdPersistId"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67dc1b-6a38-470f-bd7f-f47a04a0f01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_Flow_SignoffStatus" ma:index="8" nillable="true" ma:displayName="Sign-off status" ma:internalName="_x0024_Resources_x003a_core_x002c_Signoff_Status_x003b_" ma:readOnly="fals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f8f32-45ee-4c7b-80a5-a1b45d09787e"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225C1-CFD7-4344-A1D6-5B0F59BB5B1B}">
  <ds:schemaRefs>
    <ds:schemaRef ds:uri="http://schemas.microsoft.com/office/2006/metadata/properties"/>
    <ds:schemaRef ds:uri="http://schemas.microsoft.com/office/infopath/2007/PartnerControls"/>
    <ds:schemaRef ds:uri="ff67dc1b-6a38-470f-bd7f-f47a04a0f011"/>
    <ds:schemaRef ds:uri="d30f8f32-45ee-4c7b-80a5-a1b45d09787e"/>
  </ds:schemaRefs>
</ds:datastoreItem>
</file>

<file path=customXml/itemProps2.xml><?xml version="1.0" encoding="utf-8"?>
<ds:datastoreItem xmlns:ds="http://schemas.openxmlformats.org/officeDocument/2006/customXml" ds:itemID="{C0A3AB8E-4515-414C-976F-B7B0738E2B44}">
  <ds:schemaRefs>
    <ds:schemaRef ds:uri="http://schemas.microsoft.com/sharepoint/event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D5581C14-2C58-4ACF-AF78-6293C34B977C}">
  <ds:schemaRefs>
    <ds:schemaRef ds:uri="http://schemas.microsoft.com/sharepoint/v3/contenttype/forms"/>
  </ds:schemaRefs>
</ds:datastoreItem>
</file>

<file path=customXml/itemProps5.xml><?xml version="1.0" encoding="utf-8"?>
<ds:datastoreItem xmlns:ds="http://schemas.openxmlformats.org/officeDocument/2006/customXml" ds:itemID="{E4C0C9E7-6C8B-4DF2-894E-BA0FEF78A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67dc1b-6a38-470f-bd7f-f47a04a0f011"/>
    <ds:schemaRef ds:uri="d30f8f32-45ee-4c7b-80a5-a1b45d097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9817</Words>
  <Characters>55961</Characters>
  <Application>Microsoft Office Word</Application>
  <DocSecurity>4</DocSecurity>
  <Lines>466</Lines>
  <Paragraphs>131</Paragraphs>
  <ScaleCrop>false</ScaleCrop>
  <HeadingPairs>
    <vt:vector size="2" baseType="variant">
      <vt:variant>
        <vt:lpstr>Title</vt:lpstr>
      </vt:variant>
      <vt:variant>
        <vt:i4>1</vt:i4>
      </vt:variant>
    </vt:vector>
  </HeadingPairs>
  <TitlesOfParts>
    <vt:vector size="1" baseType="lpstr">
      <vt:lpstr>Australian public assessment report for Flucelvax Quad</vt:lpstr>
    </vt:vector>
  </TitlesOfParts>
  <Company>Department of Health and Aged Care</Company>
  <LinksUpToDate>false</LinksUpToDate>
  <CharactersWithSpaces>65647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Flucelvax Quad</dc:title>
  <dc:subject>Prescription medicine regulation</dc:subject>
  <dc:creator>Therapeutic Goods Administration</dc:creator>
  <cp:keywords/>
  <dc:description/>
  <cp:revision>2</cp:revision>
  <dcterms:created xsi:type="dcterms:W3CDTF">2023-11-03T06:15:00Z</dcterms:created>
  <dcterms:modified xsi:type="dcterms:W3CDTF">2023-11-03T06:15:00Z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0x01010081EFDC1B426F204CAB7609398A7EA482</vt:lpwstr>
  </property>
  <property fmtid="{D5CDD505-2E9C-101B-9397-08002B2CF9AE}" pid="3" name="_dlc_DocIdItemGuid">
    <vt:lpwstr>ebb95a39-b996-415c-bcc4-e413bca58026</vt:lpwstr>
  </property>
</Properties>
</file>