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A5799" w14:textId="16617D44" w:rsidR="00375DF3" w:rsidRPr="008B029F" w:rsidRDefault="00375DF3" w:rsidP="003B7CFF">
      <w:pPr>
        <w:pStyle w:val="Paragraph"/>
        <w:rPr>
          <w:lang w:val="en-AU"/>
        </w:rPr>
      </w:pPr>
      <w:r w:rsidRPr="008B029F">
        <w:rPr>
          <w:noProof/>
          <w:color w:val="2B579A"/>
          <w:shd w:val="clear" w:color="auto" w:fill="E6E6E6"/>
          <w:lang w:val="en-AU" w:eastAsia="en-AU"/>
        </w:rPr>
        <mc:AlternateContent>
          <mc:Choice Requires="wps">
            <w:drawing>
              <wp:inline distT="0" distB="0" distL="0" distR="0" wp14:anchorId="7AA665A0" wp14:editId="5C95A1F3">
                <wp:extent cx="252095" cy="25209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A5506" w14:textId="77777777" w:rsidR="00B37054" w:rsidRPr="00BE2A26" w:rsidRDefault="00B37054" w:rsidP="003B7CFF">
                            <w:pPr>
                              <w:pStyle w:val="Paragraph"/>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7AA665A0" id="_x0000_t202" coordsize="21600,21600" o:spt="202" path="m,l,21600r21600,l21600,xe">
                <v:stroke joinstyle="miter"/>
                <v:path gradientshapeok="t" o:connecttype="rect"/>
              </v:shapetype>
              <v:shape id="Text Box 1"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4A0A5506" w14:textId="77777777" w:rsidR="00B37054" w:rsidRPr="00BE2A26" w:rsidRDefault="00B37054" w:rsidP="003B7CFF">
                      <w:pPr>
                        <w:pStyle w:val="Paragraph"/>
                      </w:pPr>
                      <w:r w:rsidRPr="00BE2A26">
                        <w:rPr>
                          <w:rFonts w:ascii="SimSun" w:eastAsia="SimSun" w:hAnsi="SimSun" w:cs="Arial" w:hint="eastAsia"/>
                          <w:sz w:val="40"/>
                        </w:rPr>
                        <w:t>▼</w:t>
                      </w:r>
                    </w:p>
                  </w:txbxContent>
                </v:textbox>
                <w10:anchorlock/>
              </v:shape>
            </w:pict>
          </mc:Fallback>
        </mc:AlternateContent>
      </w:r>
      <w:r w:rsidR="001A3992" w:rsidRPr="008B029F">
        <w:rPr>
          <w:lang w:val="en-AU"/>
        </w:rPr>
        <w:t>This medicinal product is subject to additional monitoring in Australia</w:t>
      </w:r>
      <w:r w:rsidR="00EC66E1" w:rsidRPr="008B029F">
        <w:rPr>
          <w:lang w:val="en-AU"/>
        </w:rPr>
        <w:t xml:space="preserve"> due to </w:t>
      </w:r>
      <w:r w:rsidR="00EC66E1" w:rsidRPr="008B029F">
        <w:rPr>
          <w:b/>
          <w:bCs/>
          <w:lang w:val="en-AU"/>
        </w:rPr>
        <w:t>provisional approval</w:t>
      </w:r>
      <w:r w:rsidR="00EC66E1" w:rsidRPr="008B029F">
        <w:rPr>
          <w:lang w:val="en-AU"/>
        </w:rPr>
        <w:t xml:space="preserve"> of an extension of indication</w:t>
      </w:r>
      <w:r w:rsidR="001A3992" w:rsidRPr="008B029F">
        <w:rPr>
          <w:lang w:val="en-AU"/>
        </w:rPr>
        <w:t xml:space="preserve">. This will allow quick identification of new safety information. Healthcare professionals are asked to report any suspected adverse events at </w:t>
      </w:r>
      <w:r w:rsidR="009773EE" w:rsidRPr="008B029F">
        <w:rPr>
          <w:rFonts w:asciiTheme="majorHAnsi" w:eastAsiaTheme="minorHAnsi" w:hAnsiTheme="majorHAnsi" w:cstheme="minorBidi"/>
          <w:sz w:val="22"/>
          <w:szCs w:val="22"/>
          <w:lang w:val="en-AU"/>
        </w:rPr>
        <w:t>www.tga.gov.au/reporting-problems</w:t>
      </w:r>
      <w:r w:rsidRPr="008B029F">
        <w:rPr>
          <w:lang w:val="en-AU"/>
        </w:rPr>
        <w:t>.</w:t>
      </w:r>
    </w:p>
    <w:p w14:paraId="4CDF5562" w14:textId="3BF1181D" w:rsidR="00ED27EC" w:rsidRPr="008B029F" w:rsidRDefault="4DE668D6" w:rsidP="621D001C">
      <w:pPr>
        <w:pStyle w:val="Heading1Unnumbered"/>
        <w:rPr>
          <w:rFonts w:eastAsia="SimSun"/>
          <w:lang w:val="en-AU"/>
        </w:rPr>
      </w:pPr>
      <w:r w:rsidRPr="32DBB981">
        <w:rPr>
          <w:rFonts w:eastAsia="SimSun"/>
          <w:lang w:val="en-AU"/>
        </w:rPr>
        <w:t>Australian P</w:t>
      </w:r>
      <w:r w:rsidR="3D5A8B4F" w:rsidRPr="32DBB981">
        <w:rPr>
          <w:rFonts w:eastAsia="SimSun"/>
          <w:lang w:val="en-AU"/>
        </w:rPr>
        <w:t xml:space="preserve">RODUCT </w:t>
      </w:r>
      <w:r w:rsidRPr="32DBB981">
        <w:rPr>
          <w:rFonts w:eastAsia="SimSun"/>
          <w:lang w:val="en-AU"/>
        </w:rPr>
        <w:t>I</w:t>
      </w:r>
      <w:r w:rsidR="3D5A8B4F" w:rsidRPr="32DBB981">
        <w:rPr>
          <w:rFonts w:eastAsia="SimSun"/>
          <w:lang w:val="en-AU"/>
        </w:rPr>
        <w:t>NFORMATION</w:t>
      </w:r>
    </w:p>
    <w:p w14:paraId="2EDB7169" w14:textId="3BB95ECC" w:rsidR="006018AE" w:rsidRPr="008B029F" w:rsidRDefault="00974E0C" w:rsidP="00C4541C">
      <w:pPr>
        <w:pStyle w:val="Heading1Unnumbered"/>
        <w:rPr>
          <w:rFonts w:eastAsia="SimSun"/>
          <w:lang w:val="en-AU"/>
        </w:rPr>
      </w:pPr>
      <w:r w:rsidRPr="008B029F">
        <w:rPr>
          <w:rFonts w:eastAsia="SimSun"/>
          <w:caps w:val="0"/>
          <w:lang w:val="en-AU"/>
        </w:rPr>
        <w:t>IMFINZI</w:t>
      </w:r>
      <w:r w:rsidR="001E05C9" w:rsidRPr="008B029F">
        <w:rPr>
          <w:rFonts w:eastAsia="SimSun" w:cs="Times New Roman"/>
          <w:caps w:val="0"/>
          <w:vertAlign w:val="superscript"/>
          <w:lang w:val="en-AU"/>
        </w:rPr>
        <w:t>®</w:t>
      </w:r>
      <w:r w:rsidR="00A32E10" w:rsidRPr="008B029F">
        <w:rPr>
          <w:rFonts w:eastAsia="SimSun"/>
          <w:lang w:val="en-AU"/>
        </w:rPr>
        <w:t xml:space="preserve"> </w:t>
      </w:r>
      <w:r w:rsidR="00C85970" w:rsidRPr="008B029F">
        <w:rPr>
          <w:rFonts w:eastAsia="SimSun"/>
          <w:lang w:val="en-AU"/>
        </w:rPr>
        <w:br/>
      </w:r>
      <w:r w:rsidR="00A32E10" w:rsidRPr="008B029F">
        <w:rPr>
          <w:rFonts w:eastAsia="SimSun"/>
          <w:lang w:val="en-AU"/>
        </w:rPr>
        <w:t>(</w:t>
      </w:r>
      <w:r w:rsidRPr="008B029F">
        <w:rPr>
          <w:rFonts w:ascii="Times New Roman Bold" w:eastAsia="SimSun" w:hAnsi="Times New Roman Bold"/>
          <w:caps w:val="0"/>
          <w:lang w:val="en-AU"/>
        </w:rPr>
        <w:t>durvalum</w:t>
      </w:r>
      <w:r w:rsidR="006059AC" w:rsidRPr="008B029F">
        <w:rPr>
          <w:rFonts w:ascii="Times New Roman Bold" w:eastAsia="SimSun" w:hAnsi="Times New Roman Bold"/>
          <w:caps w:val="0"/>
          <w:lang w:val="en-AU"/>
        </w:rPr>
        <w:t>a</w:t>
      </w:r>
      <w:r w:rsidRPr="008B029F">
        <w:rPr>
          <w:rFonts w:ascii="Times New Roman Bold" w:eastAsia="SimSun" w:hAnsi="Times New Roman Bold"/>
          <w:caps w:val="0"/>
          <w:lang w:val="en-AU"/>
        </w:rPr>
        <w:t>b</w:t>
      </w:r>
      <w:r w:rsidR="00ED27EC" w:rsidRPr="008B029F">
        <w:rPr>
          <w:rFonts w:eastAsia="SimSun"/>
          <w:caps w:val="0"/>
          <w:lang w:val="en-AU"/>
        </w:rPr>
        <w:t>)</w:t>
      </w:r>
    </w:p>
    <w:p w14:paraId="339A96B2" w14:textId="77777777" w:rsidR="001A3992" w:rsidRPr="008B029F" w:rsidRDefault="001A3992" w:rsidP="00EE3AC8">
      <w:pPr>
        <w:pStyle w:val="Heading1"/>
        <w:rPr>
          <w:lang w:val="en-AU"/>
        </w:rPr>
      </w:pPr>
      <w:r w:rsidRPr="008B029F">
        <w:rPr>
          <w:lang w:val="en-AU"/>
        </w:rPr>
        <w:t>Name of the medicine</w:t>
      </w:r>
    </w:p>
    <w:p w14:paraId="4C94046D" w14:textId="77777777" w:rsidR="0080644B" w:rsidRPr="008B029F" w:rsidRDefault="00974E0C" w:rsidP="0080644B">
      <w:pPr>
        <w:pStyle w:val="Paragraph"/>
        <w:rPr>
          <w:lang w:val="en-AU"/>
        </w:rPr>
      </w:pPr>
      <w:r w:rsidRPr="008B029F">
        <w:rPr>
          <w:lang w:val="en-AU"/>
        </w:rPr>
        <w:t>Durvalumab</w:t>
      </w:r>
    </w:p>
    <w:p w14:paraId="657ABAAA" w14:textId="77777777" w:rsidR="001A3992" w:rsidRPr="008B029F" w:rsidRDefault="001A3992" w:rsidP="00EE3AC8">
      <w:pPr>
        <w:pStyle w:val="Heading1"/>
        <w:rPr>
          <w:lang w:val="en-AU"/>
        </w:rPr>
      </w:pPr>
      <w:bookmarkStart w:id="0" w:name="_Ref505770391"/>
      <w:r w:rsidRPr="008B029F">
        <w:rPr>
          <w:lang w:val="en-AU"/>
        </w:rPr>
        <w:t>Qualitative and quantitative composition</w:t>
      </w:r>
      <w:bookmarkEnd w:id="0"/>
    </w:p>
    <w:p w14:paraId="3057E945" w14:textId="77777777" w:rsidR="0080644B" w:rsidRPr="008B029F" w:rsidRDefault="00D90A12" w:rsidP="0080644B">
      <w:pPr>
        <w:pStyle w:val="Paragraph"/>
        <w:rPr>
          <w:lang w:val="en-AU"/>
        </w:rPr>
      </w:pPr>
      <w:r w:rsidRPr="008B029F">
        <w:rPr>
          <w:lang w:val="en-AU"/>
        </w:rPr>
        <w:t>Each vial of IMFINZI concentrated solution for infusion contains either 120 mg or 500 mg of durvalumab.</w:t>
      </w:r>
    </w:p>
    <w:p w14:paraId="379CC9EB" w14:textId="738F82DB" w:rsidR="00ED27EC" w:rsidRPr="008B029F" w:rsidRDefault="00ED27EC" w:rsidP="00B055A4">
      <w:pPr>
        <w:pStyle w:val="Paragraph"/>
        <w:rPr>
          <w:rFonts w:eastAsia="SimSun"/>
          <w:lang w:val="en-AU"/>
        </w:rPr>
      </w:pPr>
      <w:bookmarkStart w:id="1" w:name="_Hlk505357644"/>
      <w:r w:rsidRPr="008B029F">
        <w:rPr>
          <w:rFonts w:eastAsia="SimSun"/>
          <w:lang w:val="en-AU"/>
        </w:rPr>
        <w:t>For the full list of excipients, see Section</w:t>
      </w:r>
      <w:r w:rsidR="00BC3AE0" w:rsidRPr="008B029F">
        <w:rPr>
          <w:rFonts w:eastAsia="SimSun"/>
          <w:lang w:val="en-AU"/>
        </w:rPr>
        <w:t xml:space="preserve"> </w:t>
      </w:r>
      <w:r w:rsidR="00A3510E" w:rsidRPr="008B029F">
        <w:rPr>
          <w:rFonts w:eastAsia="SimSun"/>
          <w:color w:val="2B579A"/>
          <w:shd w:val="clear" w:color="auto" w:fill="E6E6E6"/>
          <w:lang w:val="en-AU"/>
        </w:rPr>
        <w:fldChar w:fldCharType="begin"/>
      </w:r>
      <w:r w:rsidR="00A3510E" w:rsidRPr="008B029F">
        <w:rPr>
          <w:rFonts w:eastAsia="SimSun"/>
          <w:lang w:val="en-AU"/>
        </w:rPr>
        <w:instrText xml:space="preserve"> REF _Ref505768678 \r \h </w:instrText>
      </w:r>
      <w:r w:rsidR="009852C8" w:rsidRPr="008B029F">
        <w:rPr>
          <w:rFonts w:eastAsia="SimSun"/>
          <w:lang w:val="en-AU"/>
        </w:rPr>
        <w:instrText xml:space="preserve"> \* MERGEFORMAT </w:instrText>
      </w:r>
      <w:r w:rsidR="00A3510E" w:rsidRPr="008B029F">
        <w:rPr>
          <w:rFonts w:eastAsia="SimSun"/>
          <w:color w:val="2B579A"/>
          <w:shd w:val="clear" w:color="auto" w:fill="E6E6E6"/>
          <w:lang w:val="en-AU"/>
        </w:rPr>
      </w:r>
      <w:r w:rsidR="00A3510E" w:rsidRPr="008B029F">
        <w:rPr>
          <w:rFonts w:eastAsia="SimSun"/>
          <w:color w:val="2B579A"/>
          <w:shd w:val="clear" w:color="auto" w:fill="E6E6E6"/>
          <w:lang w:val="en-AU"/>
        </w:rPr>
        <w:fldChar w:fldCharType="separate"/>
      </w:r>
      <w:r w:rsidR="009773EE" w:rsidRPr="008B029F">
        <w:rPr>
          <w:rFonts w:eastAsia="SimSun"/>
          <w:lang w:val="en-AU"/>
        </w:rPr>
        <w:t>6.1</w:t>
      </w:r>
      <w:r w:rsidR="00A3510E" w:rsidRPr="008B029F">
        <w:rPr>
          <w:rFonts w:eastAsia="SimSun"/>
          <w:color w:val="2B579A"/>
          <w:shd w:val="clear" w:color="auto" w:fill="E6E6E6"/>
          <w:lang w:val="en-AU"/>
        </w:rPr>
        <w:fldChar w:fldCharType="end"/>
      </w:r>
      <w:r w:rsidR="00A3510E" w:rsidRPr="008B029F">
        <w:rPr>
          <w:rFonts w:eastAsia="SimSun"/>
          <w:lang w:val="en-AU"/>
        </w:rPr>
        <w:t xml:space="preserve"> </w:t>
      </w:r>
      <w:r w:rsidR="00A3510E" w:rsidRPr="008B029F">
        <w:rPr>
          <w:rFonts w:eastAsia="SimSun"/>
          <w:color w:val="2B579A"/>
          <w:shd w:val="clear" w:color="auto" w:fill="E6E6E6"/>
          <w:lang w:val="en-AU"/>
        </w:rPr>
        <w:fldChar w:fldCharType="begin"/>
      </w:r>
      <w:r w:rsidR="00A3510E" w:rsidRPr="008B029F">
        <w:rPr>
          <w:rFonts w:eastAsia="SimSun"/>
          <w:lang w:val="en-AU"/>
        </w:rPr>
        <w:instrText xml:space="preserve"> REF _Ref505768678 \h </w:instrText>
      </w:r>
      <w:r w:rsidR="009852C8" w:rsidRPr="008B029F">
        <w:rPr>
          <w:rFonts w:eastAsia="SimSun"/>
          <w:lang w:val="en-AU"/>
        </w:rPr>
        <w:instrText xml:space="preserve"> \* MERGEFORMAT </w:instrText>
      </w:r>
      <w:r w:rsidR="00A3510E" w:rsidRPr="008B029F">
        <w:rPr>
          <w:rFonts w:eastAsia="SimSun"/>
          <w:color w:val="2B579A"/>
          <w:shd w:val="clear" w:color="auto" w:fill="E6E6E6"/>
          <w:lang w:val="en-AU"/>
        </w:rPr>
      </w:r>
      <w:r w:rsidR="00A3510E" w:rsidRPr="008B029F">
        <w:rPr>
          <w:rFonts w:eastAsia="SimSun"/>
          <w:color w:val="2B579A"/>
          <w:shd w:val="clear" w:color="auto" w:fill="E6E6E6"/>
          <w:lang w:val="en-AU"/>
        </w:rPr>
        <w:fldChar w:fldCharType="separate"/>
      </w:r>
      <w:r w:rsidR="009773EE" w:rsidRPr="008B029F">
        <w:rPr>
          <w:lang w:val="en-AU"/>
        </w:rPr>
        <w:t>List of excipients</w:t>
      </w:r>
      <w:r w:rsidR="00A3510E" w:rsidRPr="008B029F">
        <w:rPr>
          <w:rFonts w:eastAsia="SimSun"/>
          <w:color w:val="2B579A"/>
          <w:shd w:val="clear" w:color="auto" w:fill="E6E6E6"/>
          <w:lang w:val="en-AU"/>
        </w:rPr>
        <w:fldChar w:fldCharType="end"/>
      </w:r>
      <w:r w:rsidRPr="008B029F">
        <w:rPr>
          <w:rFonts w:eastAsia="SimSun"/>
          <w:lang w:val="en-AU"/>
        </w:rPr>
        <w:t>.</w:t>
      </w:r>
    </w:p>
    <w:bookmarkEnd w:id="1"/>
    <w:p w14:paraId="14FB0BA6" w14:textId="77777777" w:rsidR="001A3992" w:rsidRPr="008B029F" w:rsidRDefault="001A3992" w:rsidP="00EE3AC8">
      <w:pPr>
        <w:pStyle w:val="Heading1"/>
        <w:rPr>
          <w:lang w:val="en-AU"/>
        </w:rPr>
      </w:pPr>
      <w:r w:rsidRPr="008B029F">
        <w:rPr>
          <w:lang w:val="en-AU"/>
        </w:rPr>
        <w:t>Pharmaceutical form</w:t>
      </w:r>
    </w:p>
    <w:p w14:paraId="7DFA9985" w14:textId="77777777" w:rsidR="0080644B" w:rsidRPr="008B029F" w:rsidRDefault="00054F5B" w:rsidP="0080644B">
      <w:pPr>
        <w:pStyle w:val="Paragraph"/>
        <w:rPr>
          <w:lang w:val="en-AU"/>
        </w:rPr>
      </w:pPr>
      <w:r w:rsidRPr="008B029F">
        <w:rPr>
          <w:lang w:val="en-AU"/>
        </w:rPr>
        <w:t>Sterile, preservative free, c</w:t>
      </w:r>
      <w:r w:rsidR="00AB10FF" w:rsidRPr="008B029F">
        <w:rPr>
          <w:lang w:val="en-AU"/>
        </w:rPr>
        <w:t>lear to opalescent</w:t>
      </w:r>
      <w:r w:rsidR="00B42EA3" w:rsidRPr="008B029F">
        <w:rPr>
          <w:lang w:val="en-AU"/>
        </w:rPr>
        <w:t xml:space="preserve"> and free from visible particles</w:t>
      </w:r>
      <w:r w:rsidR="00AB10FF" w:rsidRPr="008B029F">
        <w:rPr>
          <w:lang w:val="en-AU"/>
        </w:rPr>
        <w:t>, colourless to slightly yellow, concentrated solution for infusion</w:t>
      </w:r>
      <w:r w:rsidR="00D90A12" w:rsidRPr="008B029F">
        <w:rPr>
          <w:lang w:val="en-AU"/>
        </w:rPr>
        <w:t>.</w:t>
      </w:r>
    </w:p>
    <w:p w14:paraId="11E088B1" w14:textId="77777777" w:rsidR="001A3992" w:rsidRPr="008B029F" w:rsidRDefault="001A3992" w:rsidP="00EE3AC8">
      <w:pPr>
        <w:pStyle w:val="Heading1"/>
        <w:rPr>
          <w:lang w:val="en-AU"/>
        </w:rPr>
      </w:pPr>
      <w:r w:rsidRPr="008B029F">
        <w:rPr>
          <w:lang w:val="en-AU"/>
        </w:rPr>
        <w:t>Clinical particulars</w:t>
      </w:r>
    </w:p>
    <w:p w14:paraId="6DE8AE10" w14:textId="77777777" w:rsidR="001A3992" w:rsidRPr="008B029F" w:rsidRDefault="001A3992" w:rsidP="00EE3AC8">
      <w:pPr>
        <w:pStyle w:val="Heading2"/>
        <w:rPr>
          <w:lang w:val="en-AU"/>
        </w:rPr>
      </w:pPr>
      <w:r w:rsidRPr="008B029F">
        <w:rPr>
          <w:lang w:val="en-AU"/>
        </w:rPr>
        <w:t>Therapeutic indi</w:t>
      </w:r>
      <w:r w:rsidR="003B7CFF" w:rsidRPr="008B029F">
        <w:rPr>
          <w:lang w:val="en-AU"/>
        </w:rPr>
        <w:t>cations</w:t>
      </w:r>
    </w:p>
    <w:p w14:paraId="71EC63C0" w14:textId="77777777" w:rsidR="00703699" w:rsidRPr="008B029F" w:rsidRDefault="00703699" w:rsidP="001325F7">
      <w:pPr>
        <w:pStyle w:val="Heading3Unnumbered"/>
        <w:rPr>
          <w:lang w:val="en-AU"/>
        </w:rPr>
      </w:pPr>
      <w:r w:rsidRPr="008B029F">
        <w:rPr>
          <w:lang w:val="en-AU"/>
        </w:rPr>
        <w:t>Locally</w:t>
      </w:r>
      <w:r w:rsidR="00236244" w:rsidRPr="008B029F">
        <w:rPr>
          <w:lang w:val="en-AU"/>
        </w:rPr>
        <w:t xml:space="preserve"> a</w:t>
      </w:r>
      <w:r w:rsidRPr="008B029F">
        <w:rPr>
          <w:lang w:val="en-AU"/>
        </w:rPr>
        <w:t xml:space="preserve">dvanced </w:t>
      </w:r>
      <w:r w:rsidR="00236244" w:rsidRPr="008B029F">
        <w:rPr>
          <w:lang w:val="en-AU"/>
        </w:rPr>
        <w:t>n</w:t>
      </w:r>
      <w:r w:rsidRPr="008B029F">
        <w:rPr>
          <w:lang w:val="en-AU"/>
        </w:rPr>
        <w:t xml:space="preserve">on-small </w:t>
      </w:r>
      <w:r w:rsidR="00236244" w:rsidRPr="008B029F">
        <w:rPr>
          <w:lang w:val="en-AU"/>
        </w:rPr>
        <w:t>c</w:t>
      </w:r>
      <w:r w:rsidRPr="008B029F">
        <w:rPr>
          <w:lang w:val="en-AU"/>
        </w:rPr>
        <w:t xml:space="preserve">ell </w:t>
      </w:r>
      <w:r w:rsidR="00236244" w:rsidRPr="008B029F">
        <w:rPr>
          <w:lang w:val="en-AU"/>
        </w:rPr>
        <w:t>l</w:t>
      </w:r>
      <w:r w:rsidRPr="008B029F">
        <w:rPr>
          <w:lang w:val="en-AU"/>
        </w:rPr>
        <w:t xml:space="preserve">ung </w:t>
      </w:r>
      <w:r w:rsidR="00236244" w:rsidRPr="008B029F">
        <w:rPr>
          <w:lang w:val="en-AU"/>
        </w:rPr>
        <w:t>c</w:t>
      </w:r>
      <w:r w:rsidRPr="008B029F">
        <w:rPr>
          <w:lang w:val="en-AU"/>
        </w:rPr>
        <w:t>ancer (NSCLC)</w:t>
      </w:r>
    </w:p>
    <w:p w14:paraId="14BBA13B" w14:textId="29D174B9" w:rsidR="00703699" w:rsidRPr="008B029F" w:rsidRDefault="00703699" w:rsidP="00703699">
      <w:pPr>
        <w:pStyle w:val="Paragraph"/>
        <w:rPr>
          <w:lang w:val="en-AU"/>
        </w:rPr>
      </w:pPr>
      <w:r w:rsidRPr="008B029F">
        <w:rPr>
          <w:lang w:val="en-AU"/>
        </w:rPr>
        <w:t>IMFINZI is indicated for the treatment of patients with locally advanced, unresectable NSCLC whose disease has not progressed following platinum-based chemoradiation therapy.</w:t>
      </w:r>
    </w:p>
    <w:p w14:paraId="6B3D88C2" w14:textId="7693060E" w:rsidR="00667D1C" w:rsidRPr="008B029F" w:rsidRDefault="00667D1C" w:rsidP="001325F7">
      <w:pPr>
        <w:pStyle w:val="Heading3Unnumbered"/>
        <w:rPr>
          <w:lang w:val="en-AU"/>
        </w:rPr>
      </w:pPr>
      <w:r w:rsidRPr="008B029F">
        <w:rPr>
          <w:lang w:val="en-AU"/>
        </w:rPr>
        <w:t xml:space="preserve">Small </w:t>
      </w:r>
      <w:r w:rsidR="00B27A36" w:rsidRPr="008B029F">
        <w:rPr>
          <w:lang w:val="en-AU"/>
        </w:rPr>
        <w:t>c</w:t>
      </w:r>
      <w:r w:rsidRPr="008B029F">
        <w:rPr>
          <w:lang w:val="en-AU"/>
        </w:rPr>
        <w:t xml:space="preserve">ell </w:t>
      </w:r>
      <w:r w:rsidR="00B27A36" w:rsidRPr="008B029F">
        <w:rPr>
          <w:lang w:val="en-AU"/>
        </w:rPr>
        <w:t>l</w:t>
      </w:r>
      <w:r w:rsidRPr="008B029F">
        <w:rPr>
          <w:lang w:val="en-AU"/>
        </w:rPr>
        <w:t xml:space="preserve">ung </w:t>
      </w:r>
      <w:r w:rsidR="00B27A36" w:rsidRPr="008B029F">
        <w:rPr>
          <w:lang w:val="en-AU"/>
        </w:rPr>
        <w:t>c</w:t>
      </w:r>
      <w:r w:rsidRPr="008B029F">
        <w:rPr>
          <w:lang w:val="en-AU"/>
        </w:rPr>
        <w:t>ancer (SCLC)</w:t>
      </w:r>
    </w:p>
    <w:p w14:paraId="1A6AE4AD" w14:textId="7E0A4ED4" w:rsidR="00667D1C" w:rsidRPr="008B029F" w:rsidRDefault="00667D1C" w:rsidP="00667D1C">
      <w:pPr>
        <w:pStyle w:val="Paragraph"/>
        <w:rPr>
          <w:lang w:val="en-AU"/>
        </w:rPr>
      </w:pPr>
      <w:r w:rsidRPr="008B029F">
        <w:rPr>
          <w:lang w:val="en-AU"/>
        </w:rPr>
        <w:t>IMFINZI</w:t>
      </w:r>
      <w:r w:rsidR="00F40591" w:rsidRPr="008B029F">
        <w:rPr>
          <w:lang w:val="en-AU"/>
        </w:rPr>
        <w:t xml:space="preserve"> </w:t>
      </w:r>
      <w:r w:rsidRPr="008B029F">
        <w:rPr>
          <w:lang w:val="en-AU"/>
        </w:rPr>
        <w:t>in combination with etoposide and either carboplatin or cisplatin is indicated for the first-line treatment of patients with extensive-stage small cell lung cancer (ES-SCLC).</w:t>
      </w:r>
    </w:p>
    <w:p w14:paraId="442826D8" w14:textId="28B7F899" w:rsidR="00EC66E1" w:rsidRPr="008B029F" w:rsidRDefault="00EC66E1" w:rsidP="00EC66E1">
      <w:pPr>
        <w:pStyle w:val="Heading3Unnumbered"/>
        <w:rPr>
          <w:lang w:val="en-AU"/>
        </w:rPr>
      </w:pPr>
      <w:r w:rsidRPr="008B029F">
        <w:rPr>
          <w:lang w:val="en-AU"/>
        </w:rPr>
        <w:t xml:space="preserve">Malignant </w:t>
      </w:r>
      <w:r w:rsidR="00155D8F" w:rsidRPr="008B029F">
        <w:rPr>
          <w:lang w:val="en-AU"/>
        </w:rPr>
        <w:t>p</w:t>
      </w:r>
      <w:r w:rsidRPr="008B029F">
        <w:rPr>
          <w:lang w:val="en-AU"/>
        </w:rPr>
        <w:t xml:space="preserve">leural </w:t>
      </w:r>
      <w:r w:rsidR="00155D8F" w:rsidRPr="008B029F">
        <w:rPr>
          <w:lang w:val="en-AU"/>
        </w:rPr>
        <w:t>m</w:t>
      </w:r>
      <w:r w:rsidRPr="008B029F">
        <w:rPr>
          <w:lang w:val="en-AU"/>
        </w:rPr>
        <w:t>esothelioma (MPM)</w:t>
      </w:r>
    </w:p>
    <w:p w14:paraId="7D27ED83" w14:textId="372B2665" w:rsidR="00EC66E1" w:rsidRPr="008B029F" w:rsidRDefault="00EC66E1" w:rsidP="00667D1C">
      <w:pPr>
        <w:pStyle w:val="Paragraph"/>
        <w:rPr>
          <w:lang w:val="en-AU"/>
        </w:rPr>
      </w:pPr>
      <w:r w:rsidRPr="008B029F">
        <w:rPr>
          <w:lang w:val="en-AU"/>
        </w:rPr>
        <w:t xml:space="preserve">IMFINZI in combination with pemetrexed and either cisplatin or carboplatin has </w:t>
      </w:r>
      <w:r w:rsidRPr="008B029F">
        <w:rPr>
          <w:b/>
          <w:bCs/>
          <w:lang w:val="en-AU"/>
        </w:rPr>
        <w:t>provisional approval</w:t>
      </w:r>
      <w:r w:rsidRPr="008B029F">
        <w:rPr>
          <w:lang w:val="en-AU"/>
        </w:rPr>
        <w:t xml:space="preserve"> for the first-line treatment of patients with unresectable MPM with epithelioid histology. The decision to approve this indication has been made on the basis of two phase 2 single arm studies. Continued approval of this indication depends on verification and description of clinical benefit in a confirmatory trial.</w:t>
      </w:r>
    </w:p>
    <w:p w14:paraId="180A9183" w14:textId="77777777" w:rsidR="0081146E" w:rsidRPr="008B029F" w:rsidRDefault="0081146E" w:rsidP="0081146E">
      <w:pPr>
        <w:pStyle w:val="Heading3Unnumbered"/>
        <w:rPr>
          <w:lang w:val="en-AU"/>
        </w:rPr>
      </w:pPr>
      <w:r w:rsidRPr="008B029F">
        <w:rPr>
          <w:lang w:val="en-AU"/>
        </w:rPr>
        <w:t>Biliary tract cancer (BTC)</w:t>
      </w:r>
    </w:p>
    <w:p w14:paraId="0D6CBCE6" w14:textId="188B953E" w:rsidR="00AB6F00" w:rsidRPr="008B029F" w:rsidRDefault="0081146E" w:rsidP="00667D1C">
      <w:pPr>
        <w:pStyle w:val="Paragraph"/>
        <w:rPr>
          <w:lang w:val="en-AU"/>
        </w:rPr>
      </w:pPr>
      <w:r w:rsidRPr="008B029F">
        <w:rPr>
          <w:lang w:val="en-AU"/>
        </w:rPr>
        <w:t xml:space="preserve">IMFINZI in combination with </w:t>
      </w:r>
      <w:r w:rsidR="004039ED" w:rsidRPr="008B029F">
        <w:rPr>
          <w:lang w:val="en-AU"/>
        </w:rPr>
        <w:t>gemcitabine</w:t>
      </w:r>
      <w:r w:rsidR="000504EE" w:rsidRPr="008B029F">
        <w:rPr>
          <w:lang w:val="en-AU"/>
        </w:rPr>
        <w:t xml:space="preserve"> and </w:t>
      </w:r>
      <w:r w:rsidR="00C247BD" w:rsidRPr="008B029F">
        <w:rPr>
          <w:lang w:val="en-AU"/>
        </w:rPr>
        <w:t>cisplatin</w:t>
      </w:r>
      <w:r w:rsidRPr="008B029F">
        <w:rPr>
          <w:lang w:val="en-AU"/>
        </w:rPr>
        <w:t xml:space="preserve"> is indicated for the treatment of patients with locally advanced or metastatic biliary tract cancer (BTC).</w:t>
      </w:r>
    </w:p>
    <w:p w14:paraId="67AE8963" w14:textId="34C8C892" w:rsidR="00155D8F" w:rsidRPr="008B029F" w:rsidRDefault="00155D8F" w:rsidP="00155D8F">
      <w:pPr>
        <w:pStyle w:val="Heading3Unnumbered"/>
        <w:rPr>
          <w:lang w:val="en-AU"/>
        </w:rPr>
      </w:pPr>
      <w:r w:rsidRPr="008B029F">
        <w:rPr>
          <w:lang w:val="en-AU"/>
        </w:rPr>
        <w:lastRenderedPageBreak/>
        <w:t>Hepatocellular carcinoma (HCC)</w:t>
      </w:r>
    </w:p>
    <w:p w14:paraId="3DE918B5" w14:textId="6981D760" w:rsidR="00155D8F" w:rsidRPr="008B029F" w:rsidRDefault="00155D8F" w:rsidP="00667D1C">
      <w:pPr>
        <w:pStyle w:val="Paragraph"/>
        <w:rPr>
          <w:lang w:val="en-AU"/>
        </w:rPr>
      </w:pPr>
      <w:r w:rsidRPr="008B029F">
        <w:rPr>
          <w:lang w:val="en-AU"/>
        </w:rPr>
        <w:t>IMFINZI in combination with tremelimumab is indicated for the treatment of adult patients with unresectable hepatocellular carcinoma (uHCC)</w:t>
      </w:r>
      <w:r w:rsidR="00731574" w:rsidRPr="008B029F">
        <w:rPr>
          <w:lang w:val="en-AU"/>
        </w:rPr>
        <w:t xml:space="preserve"> who have not received prior treatment with a PD-1/PD-L1 inhibitor</w:t>
      </w:r>
      <w:r w:rsidRPr="008B029F">
        <w:rPr>
          <w:lang w:val="en-AU"/>
        </w:rPr>
        <w:t>.</w:t>
      </w:r>
    </w:p>
    <w:p w14:paraId="7D251E3C" w14:textId="5BAF7C52" w:rsidR="003B7CFF" w:rsidRPr="008B029F" w:rsidRDefault="001A3992" w:rsidP="001325F7">
      <w:pPr>
        <w:pStyle w:val="Heading2"/>
        <w:rPr>
          <w:lang w:val="en-AU"/>
        </w:rPr>
      </w:pPr>
      <w:bookmarkStart w:id="2" w:name="_Hlk508791964"/>
      <w:r w:rsidRPr="008B029F">
        <w:rPr>
          <w:lang w:val="en-AU"/>
        </w:rPr>
        <w:t>Dose and method of administration</w:t>
      </w:r>
      <w:bookmarkEnd w:id="2"/>
    </w:p>
    <w:p w14:paraId="1405E0C8" w14:textId="7B77643C" w:rsidR="004139BC" w:rsidRPr="008B029F" w:rsidRDefault="004139BC" w:rsidP="000363E1">
      <w:pPr>
        <w:pStyle w:val="Paragraph"/>
        <w:rPr>
          <w:lang w:val="en-AU"/>
        </w:rPr>
      </w:pPr>
      <w:r w:rsidRPr="008B029F">
        <w:rPr>
          <w:lang w:val="en-AU"/>
        </w:rPr>
        <w:t>IMFINZI is for single use in one patient only. Discard any residue.</w:t>
      </w:r>
    </w:p>
    <w:p w14:paraId="4B2A811B" w14:textId="1FEB44B2" w:rsidR="00011814" w:rsidRPr="008B029F" w:rsidRDefault="00011814" w:rsidP="00011814">
      <w:pPr>
        <w:pStyle w:val="Paragraph"/>
        <w:rPr>
          <w:lang w:val="en-AU"/>
        </w:rPr>
      </w:pPr>
      <w:r w:rsidRPr="008B029F">
        <w:rPr>
          <w:lang w:val="en-AU"/>
        </w:rPr>
        <w:t xml:space="preserve">The recommended dose of IMFINZI depends on the indication as presented in </w:t>
      </w:r>
      <w:r w:rsidR="00254638" w:rsidRPr="008B029F">
        <w:rPr>
          <w:color w:val="2B579A"/>
          <w:shd w:val="clear" w:color="auto" w:fill="E6E6E6"/>
          <w:lang w:val="en-AU"/>
        </w:rPr>
        <w:fldChar w:fldCharType="begin"/>
      </w:r>
      <w:r w:rsidR="00254638" w:rsidRPr="008B029F">
        <w:rPr>
          <w:lang w:val="en-AU"/>
        </w:rPr>
        <w:instrText xml:space="preserve"> REF _Ref57380684 \h </w:instrText>
      </w:r>
      <w:r w:rsidR="008A632C" w:rsidRPr="008B029F">
        <w:rPr>
          <w:color w:val="2B579A"/>
          <w:shd w:val="clear" w:color="auto" w:fill="E6E6E6"/>
          <w:lang w:val="en-AU"/>
        </w:rPr>
        <w:instrText xml:space="preserve"> \* MERGEFORMAT </w:instrText>
      </w:r>
      <w:r w:rsidR="00254638" w:rsidRPr="008B029F">
        <w:rPr>
          <w:color w:val="2B579A"/>
          <w:shd w:val="clear" w:color="auto" w:fill="E6E6E6"/>
          <w:lang w:val="en-AU"/>
        </w:rPr>
      </w:r>
      <w:r w:rsidR="00254638" w:rsidRPr="008B029F">
        <w:rPr>
          <w:color w:val="2B579A"/>
          <w:shd w:val="clear" w:color="auto" w:fill="E6E6E6"/>
          <w:lang w:val="en-AU"/>
        </w:rPr>
        <w:fldChar w:fldCharType="separate"/>
      </w:r>
      <w:r w:rsidR="009773EE" w:rsidRPr="008B029F">
        <w:rPr>
          <w:lang w:val="en-AU"/>
        </w:rPr>
        <w:t>Table 1</w:t>
      </w:r>
      <w:r w:rsidR="00254638" w:rsidRPr="008B029F">
        <w:rPr>
          <w:color w:val="2B579A"/>
          <w:shd w:val="clear" w:color="auto" w:fill="E6E6E6"/>
          <w:lang w:val="en-AU"/>
        </w:rPr>
        <w:fldChar w:fldCharType="end"/>
      </w:r>
      <w:r w:rsidRPr="008B029F">
        <w:rPr>
          <w:lang w:val="en-AU"/>
        </w:rPr>
        <w:t xml:space="preserve">. </w:t>
      </w:r>
      <w:r w:rsidR="00567FE6" w:rsidRPr="008B029F">
        <w:rPr>
          <w:lang w:val="en-AU"/>
        </w:rPr>
        <w:t>IMFINZI is administered as an intravenous infusion over</w:t>
      </w:r>
      <w:r w:rsidR="00066E56" w:rsidRPr="008B029F">
        <w:rPr>
          <w:lang w:val="en-AU"/>
        </w:rPr>
        <w:t xml:space="preserve"> 1 hour</w:t>
      </w:r>
      <w:r w:rsidR="00567FE6" w:rsidRPr="008B029F">
        <w:rPr>
          <w:lang w:val="en-AU"/>
        </w:rPr>
        <w:t>.</w:t>
      </w:r>
    </w:p>
    <w:p w14:paraId="719D2EF1" w14:textId="5EF60EBB" w:rsidR="006E45E4" w:rsidRPr="008B029F" w:rsidRDefault="006E45E4" w:rsidP="00011814">
      <w:pPr>
        <w:pStyle w:val="Paragraph"/>
        <w:rPr>
          <w:lang w:val="en-AU"/>
        </w:rPr>
      </w:pPr>
      <w:r w:rsidRPr="008B029F">
        <w:rPr>
          <w:lang w:val="en-AU"/>
        </w:rPr>
        <w:t>The proposed combination should be administered and monitored under the supervision of physicians experienced with the use of immunotherapy.</w:t>
      </w:r>
    </w:p>
    <w:p w14:paraId="4429725B" w14:textId="299AD095" w:rsidR="001325F7" w:rsidRPr="008B029F" w:rsidRDefault="001325F7" w:rsidP="00305319">
      <w:pPr>
        <w:pStyle w:val="TableTitle"/>
        <w:rPr>
          <w:lang w:val="en-AU"/>
        </w:rPr>
      </w:pPr>
      <w:bookmarkStart w:id="3" w:name="_Ref57380684"/>
      <w:r w:rsidRPr="008B029F">
        <w:rPr>
          <w:lang w:val="en-AU"/>
        </w:rPr>
        <w:t>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w:t>
      </w:r>
      <w:r w:rsidRPr="008B029F">
        <w:rPr>
          <w:color w:val="2B579A"/>
          <w:shd w:val="clear" w:color="auto" w:fill="E6E6E6"/>
          <w:lang w:val="en-AU"/>
        </w:rPr>
        <w:fldChar w:fldCharType="end"/>
      </w:r>
      <w:bookmarkEnd w:id="3"/>
      <w:r w:rsidRPr="008B029F">
        <w:tab/>
      </w:r>
      <w:r w:rsidRPr="008B029F">
        <w:rPr>
          <w:lang w:val="en-AU"/>
        </w:rPr>
        <w:t xml:space="preserve">Recommended </w:t>
      </w:r>
      <w:r w:rsidR="00A3510E" w:rsidRPr="008B029F">
        <w:rPr>
          <w:lang w:val="en-AU"/>
        </w:rPr>
        <w:t>d</w:t>
      </w:r>
      <w:r w:rsidRPr="008B029F">
        <w:rPr>
          <w:lang w:val="en-AU"/>
        </w:rPr>
        <w:t>osage of IMFINZI</w:t>
      </w:r>
    </w:p>
    <w:tbl>
      <w:tblPr>
        <w:tblStyle w:val="TableGrid"/>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0"/>
        <w:gridCol w:w="5245"/>
        <w:gridCol w:w="2693"/>
      </w:tblGrid>
      <w:tr w:rsidR="00011814" w:rsidRPr="008B029F" w14:paraId="257851D7" w14:textId="77777777" w:rsidTr="00B70B7C">
        <w:trPr>
          <w:cantSplit/>
          <w:tblHeader/>
        </w:trPr>
        <w:tc>
          <w:tcPr>
            <w:tcW w:w="1840" w:type="dxa"/>
            <w:shd w:val="clear" w:color="auto" w:fill="auto"/>
          </w:tcPr>
          <w:p w14:paraId="37B2037F" w14:textId="3E8D3321" w:rsidR="00011814" w:rsidRPr="008B029F" w:rsidRDefault="00011814" w:rsidP="00305319">
            <w:pPr>
              <w:pStyle w:val="TableHead"/>
              <w:jc w:val="left"/>
              <w:rPr>
                <w:lang w:val="en-AU"/>
              </w:rPr>
            </w:pPr>
            <w:r w:rsidRPr="008B029F">
              <w:rPr>
                <w:lang w:val="en-AU"/>
              </w:rPr>
              <w:t>Indication</w:t>
            </w:r>
          </w:p>
        </w:tc>
        <w:tc>
          <w:tcPr>
            <w:tcW w:w="5245" w:type="dxa"/>
            <w:shd w:val="clear" w:color="auto" w:fill="auto"/>
          </w:tcPr>
          <w:p w14:paraId="433CFDFF" w14:textId="156FBB3B" w:rsidR="00011814" w:rsidRPr="008B029F" w:rsidRDefault="00567FE6" w:rsidP="00A3510E">
            <w:pPr>
              <w:pStyle w:val="TableHead"/>
              <w:rPr>
                <w:lang w:val="en-AU"/>
              </w:rPr>
            </w:pPr>
            <w:r w:rsidRPr="008B029F">
              <w:rPr>
                <w:lang w:val="en-AU"/>
              </w:rPr>
              <w:t>Recommended IMFINZI dosage</w:t>
            </w:r>
          </w:p>
        </w:tc>
        <w:tc>
          <w:tcPr>
            <w:tcW w:w="2693" w:type="dxa"/>
            <w:shd w:val="clear" w:color="auto" w:fill="auto"/>
          </w:tcPr>
          <w:p w14:paraId="15E8F7D5" w14:textId="1E08E332" w:rsidR="00011814" w:rsidRPr="008B029F" w:rsidRDefault="00567FE6" w:rsidP="00305319">
            <w:pPr>
              <w:pStyle w:val="TableHead"/>
              <w:rPr>
                <w:lang w:val="en-AU"/>
              </w:rPr>
            </w:pPr>
            <w:r w:rsidRPr="008B029F">
              <w:rPr>
                <w:lang w:val="en-AU"/>
              </w:rPr>
              <w:t xml:space="preserve">Duration of </w:t>
            </w:r>
            <w:r w:rsidR="00A3510E" w:rsidRPr="008B029F">
              <w:rPr>
                <w:lang w:val="en-AU"/>
              </w:rPr>
              <w:t>t</w:t>
            </w:r>
            <w:r w:rsidRPr="008B029F">
              <w:rPr>
                <w:lang w:val="en-AU"/>
              </w:rPr>
              <w:t>herapy</w:t>
            </w:r>
          </w:p>
        </w:tc>
      </w:tr>
      <w:tr w:rsidR="006E45E4" w:rsidRPr="008B029F" w14:paraId="3C3A942E" w14:textId="77777777">
        <w:trPr>
          <w:cantSplit/>
        </w:trPr>
        <w:tc>
          <w:tcPr>
            <w:tcW w:w="9778" w:type="dxa"/>
            <w:gridSpan w:val="3"/>
            <w:shd w:val="clear" w:color="auto" w:fill="auto"/>
          </w:tcPr>
          <w:p w14:paraId="48428D7B" w14:textId="77777777" w:rsidR="006E45E4" w:rsidRPr="008B029F" w:rsidRDefault="006E45E4">
            <w:pPr>
              <w:pStyle w:val="TableCenter"/>
              <w:jc w:val="left"/>
              <w:rPr>
                <w:b/>
                <w:bCs/>
                <w:lang w:val="en-AU"/>
              </w:rPr>
            </w:pPr>
            <w:r w:rsidRPr="008B029F">
              <w:rPr>
                <w:b/>
                <w:bCs/>
                <w:lang w:val="en-AU"/>
              </w:rPr>
              <w:t>Monotherapy</w:t>
            </w:r>
          </w:p>
        </w:tc>
      </w:tr>
      <w:tr w:rsidR="00011814" w:rsidRPr="008B029F" w14:paraId="1DDB02CA" w14:textId="77777777" w:rsidTr="00B70B7C">
        <w:trPr>
          <w:cantSplit/>
        </w:trPr>
        <w:tc>
          <w:tcPr>
            <w:tcW w:w="1840" w:type="dxa"/>
            <w:shd w:val="clear" w:color="auto" w:fill="auto"/>
          </w:tcPr>
          <w:p w14:paraId="5AE001C3" w14:textId="7D3B4BA2" w:rsidR="00011814" w:rsidRPr="008B029F" w:rsidRDefault="00011814" w:rsidP="00305319">
            <w:pPr>
              <w:pStyle w:val="TableLeft"/>
              <w:rPr>
                <w:lang w:val="en-AU"/>
              </w:rPr>
            </w:pPr>
            <w:r w:rsidRPr="008B029F">
              <w:rPr>
                <w:lang w:val="en-AU"/>
              </w:rPr>
              <w:t xml:space="preserve">Locally </w:t>
            </w:r>
            <w:r w:rsidR="00B70B7C" w:rsidRPr="008B029F">
              <w:rPr>
                <w:lang w:val="en-AU"/>
              </w:rPr>
              <w:t>a</w:t>
            </w:r>
            <w:r w:rsidRPr="008B029F">
              <w:rPr>
                <w:lang w:val="en-AU"/>
              </w:rPr>
              <w:t>dvanced NSCLC</w:t>
            </w:r>
          </w:p>
        </w:tc>
        <w:tc>
          <w:tcPr>
            <w:tcW w:w="5245" w:type="dxa"/>
            <w:shd w:val="clear" w:color="auto" w:fill="auto"/>
          </w:tcPr>
          <w:p w14:paraId="5EB06E1B" w14:textId="4FA3364A" w:rsidR="00011814" w:rsidRPr="008B029F" w:rsidRDefault="00567FE6" w:rsidP="00305319">
            <w:pPr>
              <w:pStyle w:val="TableCenter"/>
              <w:rPr>
                <w:lang w:val="en-AU"/>
              </w:rPr>
            </w:pPr>
            <w:r w:rsidRPr="008B029F">
              <w:rPr>
                <w:lang w:val="en-AU"/>
              </w:rPr>
              <w:t>10 mg/kg every 2 weeks</w:t>
            </w:r>
            <w:r w:rsidR="006F6C51" w:rsidRPr="008B029F">
              <w:rPr>
                <w:lang w:val="en-AU"/>
              </w:rPr>
              <w:t xml:space="preserve"> or 1500 mg every 4 weeks</w:t>
            </w:r>
            <w:r w:rsidR="006F6C51" w:rsidRPr="008B029F">
              <w:rPr>
                <w:vertAlign w:val="superscript"/>
                <w:lang w:val="en-AU"/>
              </w:rPr>
              <w:t>a</w:t>
            </w:r>
          </w:p>
        </w:tc>
        <w:tc>
          <w:tcPr>
            <w:tcW w:w="2693" w:type="dxa"/>
            <w:shd w:val="clear" w:color="auto" w:fill="auto"/>
          </w:tcPr>
          <w:p w14:paraId="317CDA9A" w14:textId="4DE9CBEE" w:rsidR="00011814" w:rsidRPr="008B029F" w:rsidRDefault="00BF3679" w:rsidP="00305319">
            <w:pPr>
              <w:pStyle w:val="TableCenter"/>
              <w:rPr>
                <w:lang w:val="en-AU"/>
              </w:rPr>
            </w:pPr>
            <w:r w:rsidRPr="008B029F">
              <w:rPr>
                <w:lang w:val="en-AU"/>
              </w:rPr>
              <w:t>For one year or u</w:t>
            </w:r>
            <w:r w:rsidR="00567FE6" w:rsidRPr="008B029F">
              <w:rPr>
                <w:lang w:val="en-AU"/>
              </w:rPr>
              <w:t>ntil disease progression or unacceptable toxicity</w:t>
            </w:r>
          </w:p>
        </w:tc>
      </w:tr>
      <w:tr w:rsidR="006E45E4" w:rsidRPr="008B029F" w14:paraId="30F4C2EE" w14:textId="77777777">
        <w:trPr>
          <w:cantSplit/>
        </w:trPr>
        <w:tc>
          <w:tcPr>
            <w:tcW w:w="9778" w:type="dxa"/>
            <w:gridSpan w:val="3"/>
            <w:shd w:val="clear" w:color="auto" w:fill="auto"/>
          </w:tcPr>
          <w:p w14:paraId="6F307491" w14:textId="77777777" w:rsidR="006E45E4" w:rsidRPr="008B029F" w:rsidRDefault="006E45E4">
            <w:pPr>
              <w:pStyle w:val="TableCenter"/>
              <w:jc w:val="left"/>
              <w:rPr>
                <w:b/>
                <w:bCs/>
                <w:lang w:val="en-AU"/>
              </w:rPr>
            </w:pPr>
            <w:r w:rsidRPr="008B029F">
              <w:rPr>
                <w:b/>
                <w:bCs/>
                <w:lang w:val="en-AU"/>
              </w:rPr>
              <w:t>Combination therapy</w:t>
            </w:r>
          </w:p>
        </w:tc>
      </w:tr>
      <w:tr w:rsidR="00011814" w:rsidRPr="008B029F" w14:paraId="36DF42A1" w14:textId="77777777" w:rsidTr="00B70B7C">
        <w:trPr>
          <w:cantSplit/>
        </w:trPr>
        <w:tc>
          <w:tcPr>
            <w:tcW w:w="1840" w:type="dxa"/>
            <w:shd w:val="clear" w:color="auto" w:fill="auto"/>
          </w:tcPr>
          <w:p w14:paraId="2DF9ACB0" w14:textId="76EE0E52" w:rsidR="00011814" w:rsidRPr="008B029F" w:rsidRDefault="00011814" w:rsidP="00305319">
            <w:pPr>
              <w:pStyle w:val="TableLeft"/>
              <w:rPr>
                <w:lang w:val="en-AU"/>
              </w:rPr>
            </w:pPr>
            <w:r w:rsidRPr="008B029F">
              <w:rPr>
                <w:lang w:val="en-AU"/>
              </w:rPr>
              <w:t>ES-SCLC</w:t>
            </w:r>
          </w:p>
        </w:tc>
        <w:tc>
          <w:tcPr>
            <w:tcW w:w="5245" w:type="dxa"/>
            <w:shd w:val="clear" w:color="auto" w:fill="auto"/>
          </w:tcPr>
          <w:p w14:paraId="5E62A5AA" w14:textId="3AEB9B68" w:rsidR="00011814" w:rsidRPr="008B029F" w:rsidRDefault="00567FE6" w:rsidP="00305319">
            <w:pPr>
              <w:pStyle w:val="TableCenter"/>
              <w:rPr>
                <w:lang w:val="en-AU"/>
              </w:rPr>
            </w:pPr>
            <w:r w:rsidRPr="008B029F">
              <w:rPr>
                <w:lang w:val="en-AU"/>
              </w:rPr>
              <w:t>1500 mg</w:t>
            </w:r>
            <w:r w:rsidR="00F26F3D">
              <w:rPr>
                <w:lang w:val="en-AU"/>
              </w:rPr>
              <w:t xml:space="preserve"> </w:t>
            </w:r>
            <w:r w:rsidR="006F6C51" w:rsidRPr="008B029F">
              <w:rPr>
                <w:vertAlign w:val="superscript"/>
                <w:lang w:val="en-AU"/>
              </w:rPr>
              <w:t>b</w:t>
            </w:r>
            <w:r w:rsidRPr="008B029F">
              <w:rPr>
                <w:lang w:val="en-AU"/>
              </w:rPr>
              <w:t xml:space="preserve"> in combination with chemotherapy</w:t>
            </w:r>
            <w:r w:rsidR="00F26F3D">
              <w:rPr>
                <w:lang w:val="en-AU"/>
              </w:rPr>
              <w:t xml:space="preserve"> </w:t>
            </w:r>
            <w:r w:rsidR="006F6C51" w:rsidRPr="008B029F">
              <w:rPr>
                <w:vertAlign w:val="superscript"/>
                <w:lang w:val="en-AU"/>
              </w:rPr>
              <w:t>d</w:t>
            </w:r>
            <w:r w:rsidR="00C84D09" w:rsidRPr="008B029F">
              <w:rPr>
                <w:vertAlign w:val="superscript"/>
                <w:lang w:val="en-AU"/>
              </w:rPr>
              <w:t>, e</w:t>
            </w:r>
            <w:r w:rsidRPr="008B029F">
              <w:rPr>
                <w:vertAlign w:val="superscript"/>
                <w:lang w:val="en-AU"/>
              </w:rPr>
              <w:t xml:space="preserve"> </w:t>
            </w:r>
            <w:r w:rsidRPr="008B029F">
              <w:rPr>
                <w:lang w:val="en-AU"/>
              </w:rPr>
              <w:t>every 3</w:t>
            </w:r>
            <w:r w:rsidR="00A74F32" w:rsidRPr="008B029F">
              <w:rPr>
                <w:lang w:val="en-AU"/>
              </w:rPr>
              <w:t> </w:t>
            </w:r>
            <w:r w:rsidRPr="008B029F">
              <w:rPr>
                <w:lang w:val="en-AU"/>
              </w:rPr>
              <w:t>weeks (21 days) for 4 cycles, followed by 1500</w:t>
            </w:r>
            <w:r w:rsidR="00A74F32" w:rsidRPr="008B029F">
              <w:rPr>
                <w:lang w:val="en-AU"/>
              </w:rPr>
              <w:t> </w:t>
            </w:r>
            <w:r w:rsidRPr="008B029F">
              <w:rPr>
                <w:lang w:val="en-AU"/>
              </w:rPr>
              <w:t>mg every 4 weeks as monotherapy</w:t>
            </w:r>
          </w:p>
        </w:tc>
        <w:tc>
          <w:tcPr>
            <w:tcW w:w="2693" w:type="dxa"/>
            <w:shd w:val="clear" w:color="auto" w:fill="auto"/>
          </w:tcPr>
          <w:p w14:paraId="097A60C6" w14:textId="793865A6" w:rsidR="00011814" w:rsidRPr="008B029F" w:rsidRDefault="00567FE6" w:rsidP="00305319">
            <w:pPr>
              <w:pStyle w:val="TableCenter"/>
              <w:rPr>
                <w:lang w:val="en-AU"/>
              </w:rPr>
            </w:pPr>
            <w:r w:rsidRPr="008B029F">
              <w:rPr>
                <w:lang w:val="en-AU"/>
              </w:rPr>
              <w:t>Until disease progression or unacceptable toxicity</w:t>
            </w:r>
          </w:p>
        </w:tc>
      </w:tr>
      <w:tr w:rsidR="00962B54" w:rsidRPr="008B029F" w14:paraId="617C5808" w14:textId="77777777" w:rsidTr="00B70B7C">
        <w:trPr>
          <w:cantSplit/>
        </w:trPr>
        <w:tc>
          <w:tcPr>
            <w:tcW w:w="1840" w:type="dxa"/>
            <w:shd w:val="clear" w:color="auto" w:fill="auto"/>
          </w:tcPr>
          <w:p w14:paraId="7FF95165" w14:textId="1E69E07C" w:rsidR="00962B54" w:rsidRPr="008B029F" w:rsidRDefault="00962B54" w:rsidP="00962B54">
            <w:pPr>
              <w:pStyle w:val="TableLeft"/>
              <w:rPr>
                <w:lang w:val="en-AU"/>
              </w:rPr>
            </w:pPr>
            <w:r w:rsidRPr="008B029F">
              <w:rPr>
                <w:lang w:val="en-AU"/>
              </w:rPr>
              <w:t>MPM</w:t>
            </w:r>
          </w:p>
        </w:tc>
        <w:tc>
          <w:tcPr>
            <w:tcW w:w="5245" w:type="dxa"/>
            <w:shd w:val="clear" w:color="auto" w:fill="auto"/>
          </w:tcPr>
          <w:p w14:paraId="1AB47A51" w14:textId="2C22A0B8" w:rsidR="00962B54" w:rsidRPr="008B029F" w:rsidRDefault="00962B54" w:rsidP="00A3510E">
            <w:pPr>
              <w:pStyle w:val="TableCenter"/>
              <w:rPr>
                <w:lang w:val="en-AU"/>
              </w:rPr>
            </w:pPr>
            <w:r w:rsidRPr="008B029F">
              <w:rPr>
                <w:lang w:val="en-AU"/>
              </w:rPr>
              <w:t>1120 mg</w:t>
            </w:r>
            <w:r w:rsidR="00F26F3D">
              <w:rPr>
                <w:lang w:val="en-AU"/>
              </w:rPr>
              <w:t xml:space="preserve"> </w:t>
            </w:r>
            <w:r w:rsidR="006E2EB5" w:rsidRPr="008B029F">
              <w:rPr>
                <w:vertAlign w:val="superscript"/>
                <w:lang w:val="en-AU"/>
              </w:rPr>
              <w:t>f</w:t>
            </w:r>
            <w:r w:rsidRPr="008B029F">
              <w:rPr>
                <w:lang w:val="en-AU"/>
              </w:rPr>
              <w:t xml:space="preserve"> in combination</w:t>
            </w:r>
            <w:r w:rsidR="00A74F32" w:rsidRPr="008B029F">
              <w:rPr>
                <w:lang w:val="en-AU"/>
              </w:rPr>
              <w:t xml:space="preserve"> </w:t>
            </w:r>
            <w:r w:rsidRPr="008B029F">
              <w:rPr>
                <w:lang w:val="en-AU"/>
              </w:rPr>
              <w:t>with chemotherapy</w:t>
            </w:r>
            <w:r w:rsidR="00F26F3D">
              <w:rPr>
                <w:lang w:val="en-AU"/>
              </w:rPr>
              <w:t xml:space="preserve"> </w:t>
            </w:r>
            <w:r w:rsidR="00C84D09" w:rsidRPr="008B029F">
              <w:rPr>
                <w:vertAlign w:val="superscript"/>
                <w:lang w:val="en-AU"/>
              </w:rPr>
              <w:t>d</w:t>
            </w:r>
            <w:r w:rsidRPr="008B029F">
              <w:rPr>
                <w:vertAlign w:val="superscript"/>
                <w:lang w:val="en-AU"/>
              </w:rPr>
              <w:t>,</w:t>
            </w:r>
            <w:r w:rsidR="00F26F3D">
              <w:rPr>
                <w:vertAlign w:val="superscript"/>
                <w:lang w:val="en-AU"/>
              </w:rPr>
              <w:t xml:space="preserve"> </w:t>
            </w:r>
            <w:r w:rsidR="00C84D09" w:rsidRPr="008B029F">
              <w:rPr>
                <w:vertAlign w:val="superscript"/>
                <w:lang w:val="en-AU"/>
              </w:rPr>
              <w:t>g</w:t>
            </w:r>
            <w:r w:rsidRPr="008B029F">
              <w:rPr>
                <w:vertAlign w:val="superscript"/>
                <w:lang w:val="en-AU"/>
              </w:rPr>
              <w:t xml:space="preserve"> </w:t>
            </w:r>
            <w:r w:rsidRPr="008B029F">
              <w:rPr>
                <w:lang w:val="en-AU"/>
              </w:rPr>
              <w:t>every 3</w:t>
            </w:r>
            <w:r w:rsidR="00A74F32" w:rsidRPr="008B029F">
              <w:rPr>
                <w:lang w:val="en-AU"/>
              </w:rPr>
              <w:t> </w:t>
            </w:r>
            <w:r w:rsidRPr="008B029F">
              <w:rPr>
                <w:lang w:val="en-AU"/>
              </w:rPr>
              <w:t>weeks (21 days) for 6 cycles,</w:t>
            </w:r>
            <w:r w:rsidR="00A74F32" w:rsidRPr="008B029F">
              <w:rPr>
                <w:lang w:val="en-AU"/>
              </w:rPr>
              <w:t xml:space="preserve"> </w:t>
            </w:r>
            <w:r w:rsidRPr="008B029F">
              <w:rPr>
                <w:lang w:val="en-AU"/>
              </w:rPr>
              <w:t>followed by 1120</w:t>
            </w:r>
            <w:r w:rsidR="00A74F32" w:rsidRPr="008B029F">
              <w:rPr>
                <w:lang w:val="en-AU"/>
              </w:rPr>
              <w:t> </w:t>
            </w:r>
            <w:r w:rsidRPr="008B029F">
              <w:rPr>
                <w:lang w:val="en-AU"/>
              </w:rPr>
              <w:t>mg every 3</w:t>
            </w:r>
            <w:r w:rsidR="00A74F32" w:rsidRPr="008B029F">
              <w:rPr>
                <w:lang w:val="en-AU"/>
              </w:rPr>
              <w:t> </w:t>
            </w:r>
            <w:r w:rsidRPr="008B029F">
              <w:rPr>
                <w:lang w:val="en-AU"/>
              </w:rPr>
              <w:t>weeks as monotherapy</w:t>
            </w:r>
          </w:p>
        </w:tc>
        <w:tc>
          <w:tcPr>
            <w:tcW w:w="2693" w:type="dxa"/>
            <w:shd w:val="clear" w:color="auto" w:fill="auto"/>
          </w:tcPr>
          <w:p w14:paraId="18C53B30" w14:textId="41C1E7F7" w:rsidR="00962B54" w:rsidRPr="008B029F" w:rsidRDefault="00962B54" w:rsidP="00A74F32">
            <w:pPr>
              <w:pStyle w:val="TableCenter"/>
              <w:rPr>
                <w:lang w:val="en-AU"/>
              </w:rPr>
            </w:pPr>
            <w:r w:rsidRPr="008B029F">
              <w:rPr>
                <w:lang w:val="en-AU"/>
              </w:rPr>
              <w:t>Until disease progression or</w:t>
            </w:r>
            <w:r w:rsidR="00A74F32" w:rsidRPr="008B029F">
              <w:rPr>
                <w:lang w:val="en-AU"/>
              </w:rPr>
              <w:t xml:space="preserve"> </w:t>
            </w:r>
            <w:r w:rsidRPr="008B029F">
              <w:rPr>
                <w:lang w:val="en-AU"/>
              </w:rPr>
              <w:t>unacceptable toxicity</w:t>
            </w:r>
          </w:p>
        </w:tc>
      </w:tr>
      <w:tr w:rsidR="008F3C73" w:rsidRPr="008B029F" w14:paraId="58E8DE49" w14:textId="77777777" w:rsidTr="00B70B7C">
        <w:trPr>
          <w:cantSplit/>
        </w:trPr>
        <w:tc>
          <w:tcPr>
            <w:tcW w:w="1840" w:type="dxa"/>
            <w:shd w:val="clear" w:color="auto" w:fill="auto"/>
          </w:tcPr>
          <w:p w14:paraId="6A8E018E" w14:textId="7296A806" w:rsidR="008F3C73" w:rsidRPr="008B029F" w:rsidRDefault="008F3C73" w:rsidP="008F3C73">
            <w:pPr>
              <w:pStyle w:val="TableLeft"/>
              <w:rPr>
                <w:lang w:val="en-AU"/>
              </w:rPr>
            </w:pPr>
            <w:r w:rsidRPr="008B029F">
              <w:rPr>
                <w:lang w:val="en-AU" w:eastAsia="x-none"/>
              </w:rPr>
              <w:t>BTC</w:t>
            </w:r>
          </w:p>
        </w:tc>
        <w:tc>
          <w:tcPr>
            <w:tcW w:w="5245" w:type="dxa"/>
            <w:shd w:val="clear" w:color="auto" w:fill="auto"/>
          </w:tcPr>
          <w:p w14:paraId="64DEA17D" w14:textId="477C7322" w:rsidR="008F3C73" w:rsidRPr="008B029F" w:rsidRDefault="4D92D47D" w:rsidP="008F3C73">
            <w:pPr>
              <w:pStyle w:val="TableCenter"/>
              <w:rPr>
                <w:lang w:val="en-AU"/>
              </w:rPr>
            </w:pPr>
            <w:r w:rsidRPr="008B029F">
              <w:rPr>
                <w:lang w:val="en-AU"/>
              </w:rPr>
              <w:t>1500 mg</w:t>
            </w:r>
            <w:r w:rsidR="00F26F3D">
              <w:rPr>
                <w:lang w:val="en-AU"/>
              </w:rPr>
              <w:t xml:space="preserve"> </w:t>
            </w:r>
            <w:r w:rsidR="0032159A" w:rsidRPr="008B029F">
              <w:rPr>
                <w:vertAlign w:val="superscript"/>
                <w:lang w:val="en-AU"/>
              </w:rPr>
              <w:t>c</w:t>
            </w:r>
            <w:r w:rsidRPr="008B029F">
              <w:rPr>
                <w:lang w:val="en-AU"/>
              </w:rPr>
              <w:t xml:space="preserve"> in combination with </w:t>
            </w:r>
            <w:r w:rsidR="00756DCE" w:rsidRPr="008B029F">
              <w:rPr>
                <w:lang w:val="en-AU"/>
              </w:rPr>
              <w:t xml:space="preserve">gemcitabine and </w:t>
            </w:r>
            <w:r w:rsidR="00904782" w:rsidRPr="008B029F">
              <w:rPr>
                <w:lang w:val="en-AU"/>
              </w:rPr>
              <w:t>cisplatin</w:t>
            </w:r>
            <w:r w:rsidR="00F26F3D">
              <w:rPr>
                <w:lang w:val="en-AU"/>
              </w:rPr>
              <w:t xml:space="preserve"> </w:t>
            </w:r>
            <w:r w:rsidR="00C84D09" w:rsidRPr="008B029F">
              <w:rPr>
                <w:vertAlign w:val="superscript"/>
                <w:lang w:val="en-AU"/>
              </w:rPr>
              <w:t>d</w:t>
            </w:r>
            <w:r w:rsidRPr="008B029F">
              <w:rPr>
                <w:vertAlign w:val="superscript"/>
                <w:lang w:val="en-AU"/>
              </w:rPr>
              <w:t>,</w:t>
            </w:r>
            <w:r w:rsidR="00F26F3D">
              <w:rPr>
                <w:vertAlign w:val="superscript"/>
                <w:lang w:val="en-AU"/>
              </w:rPr>
              <w:t xml:space="preserve"> </w:t>
            </w:r>
            <w:r w:rsidR="00C84D09" w:rsidRPr="008B029F">
              <w:rPr>
                <w:vertAlign w:val="superscript"/>
                <w:lang w:val="en-AU"/>
              </w:rPr>
              <w:t>h</w:t>
            </w:r>
            <w:r w:rsidR="2EDD91CD" w:rsidRPr="008B029F">
              <w:rPr>
                <w:vertAlign w:val="superscript"/>
                <w:lang w:val="en-AU"/>
              </w:rPr>
              <w:t xml:space="preserve"> </w:t>
            </w:r>
            <w:r w:rsidRPr="008B029F">
              <w:rPr>
                <w:lang w:val="en-AU"/>
              </w:rPr>
              <w:t>every 3 weeks (21 days)</w:t>
            </w:r>
            <w:r w:rsidR="49D71222" w:rsidRPr="008B029F">
              <w:rPr>
                <w:lang w:val="en-AU"/>
              </w:rPr>
              <w:t xml:space="preserve"> for up to 8 cycles</w:t>
            </w:r>
            <w:r w:rsidRPr="008B029F">
              <w:rPr>
                <w:lang w:val="en-AU"/>
              </w:rPr>
              <w:t>, followed by 1500 mg every 4 weeks as monotherapy</w:t>
            </w:r>
          </w:p>
        </w:tc>
        <w:tc>
          <w:tcPr>
            <w:tcW w:w="2693" w:type="dxa"/>
            <w:shd w:val="clear" w:color="auto" w:fill="auto"/>
          </w:tcPr>
          <w:p w14:paraId="4BE630BF" w14:textId="44A28E68" w:rsidR="008F3C73" w:rsidRPr="008B029F" w:rsidRDefault="008F3C73" w:rsidP="008F3C73">
            <w:pPr>
              <w:pStyle w:val="TableCenter"/>
              <w:rPr>
                <w:lang w:val="en-AU"/>
              </w:rPr>
            </w:pPr>
            <w:r w:rsidRPr="008B029F">
              <w:rPr>
                <w:lang w:val="en-AU" w:eastAsia="en-GB"/>
              </w:rPr>
              <w:t>Until disease progression or until unacceptable toxicity</w:t>
            </w:r>
          </w:p>
        </w:tc>
      </w:tr>
      <w:tr w:rsidR="006E45E4" w:rsidRPr="008B029F" w14:paraId="3E0DA838" w14:textId="77777777" w:rsidTr="00B70B7C">
        <w:trPr>
          <w:cantSplit/>
        </w:trPr>
        <w:tc>
          <w:tcPr>
            <w:tcW w:w="1840" w:type="dxa"/>
            <w:shd w:val="clear" w:color="auto" w:fill="auto"/>
          </w:tcPr>
          <w:p w14:paraId="60D18C14" w14:textId="4A5DB657" w:rsidR="006E45E4" w:rsidRPr="008B029F" w:rsidRDefault="006E45E4" w:rsidP="006E45E4">
            <w:pPr>
              <w:pStyle w:val="TableLeft"/>
              <w:rPr>
                <w:lang w:val="en-AU" w:eastAsia="x-none"/>
              </w:rPr>
            </w:pPr>
            <w:r w:rsidRPr="008B029F">
              <w:rPr>
                <w:lang w:val="en-AU" w:eastAsia="x-none"/>
              </w:rPr>
              <w:t>uHCC</w:t>
            </w:r>
          </w:p>
        </w:tc>
        <w:tc>
          <w:tcPr>
            <w:tcW w:w="5245" w:type="dxa"/>
            <w:shd w:val="clear" w:color="auto" w:fill="auto"/>
          </w:tcPr>
          <w:p w14:paraId="61F7BFF8" w14:textId="074639C3" w:rsidR="006E45E4" w:rsidRPr="008B029F" w:rsidRDefault="006E45E4" w:rsidP="006E45E4">
            <w:pPr>
              <w:pStyle w:val="TableCenter"/>
              <w:rPr>
                <w:lang w:val="en-AU"/>
              </w:rPr>
            </w:pPr>
            <w:r w:rsidRPr="008B029F">
              <w:rPr>
                <w:i/>
                <w:iCs/>
                <w:lang w:val="en-AU"/>
              </w:rPr>
              <w:t>Single Tremelimumab Regular Interval Durvalumab (STRIDE):</w:t>
            </w:r>
            <w:r w:rsidRPr="008B029F">
              <w:rPr>
                <w:lang w:val="en-AU"/>
              </w:rPr>
              <w:t xml:space="preserve"> 300 mg</w:t>
            </w:r>
            <w:r w:rsidR="00B70B7C" w:rsidRPr="008B029F">
              <w:rPr>
                <w:vertAlign w:val="superscript"/>
                <w:lang w:val="en-AU"/>
              </w:rPr>
              <w:t>i</w:t>
            </w:r>
            <w:r w:rsidRPr="008B029F">
              <w:rPr>
                <w:lang w:val="en-AU"/>
              </w:rPr>
              <w:t xml:space="preserve"> tremelimumab as a single priming dose in combination with IMFINZI 1500 mg</w:t>
            </w:r>
            <w:r w:rsidR="00F26F3D">
              <w:rPr>
                <w:lang w:val="en-AU"/>
              </w:rPr>
              <w:t xml:space="preserve"> </w:t>
            </w:r>
            <w:r w:rsidR="00B70B7C" w:rsidRPr="008B029F">
              <w:rPr>
                <w:vertAlign w:val="superscript"/>
                <w:lang w:val="en-AU"/>
              </w:rPr>
              <w:t xml:space="preserve"> i</w:t>
            </w:r>
            <w:r w:rsidR="00F26F3D">
              <w:rPr>
                <w:vertAlign w:val="superscript"/>
                <w:lang w:val="en-AU"/>
              </w:rPr>
              <w:t xml:space="preserve">, </w:t>
            </w:r>
            <w:r w:rsidR="00B70B7C" w:rsidRPr="008B029F">
              <w:rPr>
                <w:vertAlign w:val="superscript"/>
                <w:lang w:val="en-AU"/>
              </w:rPr>
              <w:t>,j</w:t>
            </w:r>
            <w:r w:rsidRPr="008B029F">
              <w:rPr>
                <w:vertAlign w:val="superscript"/>
                <w:lang w:val="en-AU"/>
              </w:rPr>
              <w:t xml:space="preserve"> </w:t>
            </w:r>
            <w:r w:rsidRPr="008B029F">
              <w:rPr>
                <w:lang w:val="en-AU"/>
              </w:rPr>
              <w:t xml:space="preserve">at Cycle 1/Day 1, followed by IMFINZI as monotherapy every 4 weeks </w:t>
            </w:r>
          </w:p>
        </w:tc>
        <w:tc>
          <w:tcPr>
            <w:tcW w:w="2693" w:type="dxa"/>
            <w:shd w:val="clear" w:color="auto" w:fill="auto"/>
          </w:tcPr>
          <w:p w14:paraId="788C6BBA" w14:textId="0E9D9E02" w:rsidR="006E45E4" w:rsidRPr="008B029F" w:rsidRDefault="00CE74B4" w:rsidP="006E45E4">
            <w:pPr>
              <w:pStyle w:val="TableCenter"/>
              <w:rPr>
                <w:lang w:val="en-AU" w:eastAsia="en-GB"/>
              </w:rPr>
            </w:pPr>
            <w:bookmarkStart w:id="4" w:name="_Hlk37069526"/>
            <w:r w:rsidRPr="008B029F">
              <w:rPr>
                <w:lang w:val="en-AU"/>
              </w:rPr>
              <w:t>Until disease progression</w:t>
            </w:r>
            <w:r w:rsidR="006E45E4" w:rsidRPr="008B029F">
              <w:rPr>
                <w:lang w:val="en-AU"/>
              </w:rPr>
              <w:t xml:space="preserve"> or unacceptable toxicity</w:t>
            </w:r>
            <w:bookmarkEnd w:id="4"/>
          </w:p>
        </w:tc>
      </w:tr>
    </w:tbl>
    <w:p w14:paraId="01420E6F" w14:textId="1F479A14" w:rsidR="006F6C51" w:rsidRPr="008B029F" w:rsidRDefault="006F6C51" w:rsidP="006F6C51">
      <w:pPr>
        <w:pStyle w:val="TableFootnoteLetter"/>
        <w:rPr>
          <w:lang w:val="en-AU"/>
        </w:rPr>
      </w:pPr>
      <w:r w:rsidRPr="008B029F">
        <w:rPr>
          <w:lang w:val="en-AU"/>
        </w:rPr>
        <w:t>Patients with a body weight of 30 kg or less must receive weight-based dosing, equivalent to IMFINZI 10 mg/kg every 2 weeks as monotherapy until weight increases to greater than 30 kg</w:t>
      </w:r>
      <w:r w:rsidR="00DC41F5" w:rsidRPr="008B029F">
        <w:rPr>
          <w:lang w:val="en-AU"/>
        </w:rPr>
        <w:t xml:space="preserve"> [locally advanced NSCLC]</w:t>
      </w:r>
      <w:r w:rsidRPr="008B029F">
        <w:rPr>
          <w:lang w:val="en-AU"/>
        </w:rPr>
        <w:t>.</w:t>
      </w:r>
      <w:r w:rsidRPr="008B029F">
        <w:rPr>
          <w:vertAlign w:val="superscript"/>
          <w:lang w:val="en-AU"/>
        </w:rPr>
        <w:t xml:space="preserve"> </w:t>
      </w:r>
    </w:p>
    <w:p w14:paraId="4863C517" w14:textId="22EA6576" w:rsidR="00567FE6" w:rsidRPr="008B029F" w:rsidRDefault="00567FE6" w:rsidP="00305319">
      <w:pPr>
        <w:pStyle w:val="TableFootnoteLetter"/>
        <w:rPr>
          <w:lang w:val="en-AU"/>
        </w:rPr>
      </w:pPr>
      <w:r w:rsidRPr="008B029F">
        <w:rPr>
          <w:lang w:val="en-AU"/>
        </w:rPr>
        <w:t xml:space="preserve">Patients with a body weight of 30 kg or less must receive weight-based dosing, equivalent to IMFINZI 20 mg/kg in combination with chemotherapy every 3 weeks (21 days) for 4 cycles, followed by </w:t>
      </w:r>
      <w:r w:rsidR="00591759" w:rsidRPr="008B029F">
        <w:rPr>
          <w:lang w:val="en-AU"/>
        </w:rPr>
        <w:t>10</w:t>
      </w:r>
      <w:r w:rsidRPr="008B029F">
        <w:rPr>
          <w:lang w:val="en-AU"/>
        </w:rPr>
        <w:t xml:space="preserve"> mg/kg every </w:t>
      </w:r>
      <w:r w:rsidR="00591759" w:rsidRPr="008B029F">
        <w:rPr>
          <w:lang w:val="en-AU"/>
        </w:rPr>
        <w:t>2</w:t>
      </w:r>
      <w:r w:rsidRPr="008B029F">
        <w:rPr>
          <w:lang w:val="en-AU"/>
        </w:rPr>
        <w:t xml:space="preserve"> weeks as monotherapy until weight increases to greater than 30 kg.</w:t>
      </w:r>
      <w:r w:rsidR="000F2D29" w:rsidRPr="008B029F">
        <w:rPr>
          <w:lang w:val="en-AU"/>
        </w:rPr>
        <w:t xml:space="preserve"> </w:t>
      </w:r>
      <w:r w:rsidR="00DC41F5" w:rsidRPr="008B029F">
        <w:rPr>
          <w:lang w:val="en-AU"/>
        </w:rPr>
        <w:t xml:space="preserve">[ES-SCLC] </w:t>
      </w:r>
    </w:p>
    <w:p w14:paraId="585AB1B4" w14:textId="619A4F2A" w:rsidR="00C84D09" w:rsidRPr="008B029F" w:rsidRDefault="00C84D09" w:rsidP="00305319">
      <w:pPr>
        <w:pStyle w:val="TableFootnoteLetter"/>
        <w:rPr>
          <w:lang w:val="en-AU"/>
        </w:rPr>
      </w:pPr>
      <w:r w:rsidRPr="008B029F">
        <w:rPr>
          <w:lang w:val="en-AU"/>
        </w:rPr>
        <w:t xml:space="preserve">Patients with a body weight of 30 kg or less must receive weight-based dosing of IMFINZI at 20 mg/kg in combination with </w:t>
      </w:r>
      <w:r w:rsidR="00904782" w:rsidRPr="008B029F">
        <w:rPr>
          <w:lang w:val="en-AU"/>
        </w:rPr>
        <w:t>gemcitabine and cisplatin</w:t>
      </w:r>
      <w:r w:rsidRPr="008B029F">
        <w:rPr>
          <w:lang w:val="en-AU"/>
        </w:rPr>
        <w:t xml:space="preserve"> dose</w:t>
      </w:r>
      <w:r w:rsidR="009508C2" w:rsidRPr="008B029F">
        <w:rPr>
          <w:lang w:val="en-AU"/>
        </w:rPr>
        <w:t>s</w:t>
      </w:r>
      <w:r w:rsidRPr="008B029F">
        <w:rPr>
          <w:lang w:val="en-AU"/>
        </w:rPr>
        <w:t xml:space="preserve"> every 3 weeks (21 days), followed by monotherapy at 20 mg/kg every 4 weeks until weight increases to greater than 30 kg</w:t>
      </w:r>
      <w:r w:rsidR="000F2D29" w:rsidRPr="008B029F">
        <w:rPr>
          <w:lang w:val="en-AU"/>
        </w:rPr>
        <w:t xml:space="preserve"> </w:t>
      </w:r>
      <w:r w:rsidR="00DC41F5" w:rsidRPr="008B029F">
        <w:rPr>
          <w:lang w:val="en-AU"/>
        </w:rPr>
        <w:t xml:space="preserve">[BTC] </w:t>
      </w:r>
    </w:p>
    <w:p w14:paraId="368CDF4B" w14:textId="186C0517" w:rsidR="00567FE6" w:rsidRPr="008B029F" w:rsidRDefault="00567FE6" w:rsidP="00305319">
      <w:pPr>
        <w:pStyle w:val="TableFootnoteLetter"/>
        <w:rPr>
          <w:lang w:val="en-AU"/>
        </w:rPr>
      </w:pPr>
      <w:r w:rsidRPr="008B029F">
        <w:rPr>
          <w:lang w:val="en-AU"/>
        </w:rPr>
        <w:t>Administer IMFINZI prior to chemotherapy when given on the same day</w:t>
      </w:r>
      <w:r w:rsidR="00DC41F5" w:rsidRPr="008B029F">
        <w:rPr>
          <w:lang w:val="en-AU"/>
        </w:rPr>
        <w:t xml:space="preserve"> [ES-SCLC, MPM, BTC]</w:t>
      </w:r>
    </w:p>
    <w:p w14:paraId="013BF9E1" w14:textId="012AEB77" w:rsidR="00011814" w:rsidRPr="008B029F" w:rsidRDefault="00567FE6" w:rsidP="00305319">
      <w:pPr>
        <w:pStyle w:val="TableFootnoteLetter"/>
        <w:rPr>
          <w:lang w:val="en-AU"/>
        </w:rPr>
      </w:pPr>
      <w:r w:rsidRPr="008B029F">
        <w:rPr>
          <w:lang w:val="en-AU"/>
        </w:rPr>
        <w:t xml:space="preserve">When IMFINZI is administered in combination with chemotherapy, refer </w:t>
      </w:r>
      <w:r w:rsidR="007F3261" w:rsidRPr="008B029F">
        <w:rPr>
          <w:lang w:val="en-AU"/>
        </w:rPr>
        <w:t xml:space="preserve">also </w:t>
      </w:r>
      <w:r w:rsidRPr="008B029F">
        <w:rPr>
          <w:lang w:val="en-AU"/>
        </w:rPr>
        <w:t>to the Product Information for etoposide</w:t>
      </w:r>
      <w:r w:rsidR="00BC4B8F" w:rsidRPr="008B029F">
        <w:rPr>
          <w:lang w:val="en-AU"/>
        </w:rPr>
        <w:t>,</w:t>
      </w:r>
      <w:r w:rsidRPr="008B029F">
        <w:rPr>
          <w:lang w:val="en-AU"/>
        </w:rPr>
        <w:t xml:space="preserve"> and carboplatin or cisplatin</w:t>
      </w:r>
      <w:r w:rsidR="00EB68FF" w:rsidRPr="008B029F">
        <w:rPr>
          <w:lang w:val="en-AU"/>
        </w:rPr>
        <w:t>,</w:t>
      </w:r>
      <w:r w:rsidR="009B00E2" w:rsidRPr="008B029F">
        <w:rPr>
          <w:lang w:val="en-AU"/>
        </w:rPr>
        <w:t xml:space="preserve"> and to Section </w:t>
      </w:r>
      <w:r w:rsidR="00B70B7C" w:rsidRPr="008B029F">
        <w:rPr>
          <w:color w:val="2B579A"/>
          <w:shd w:val="clear" w:color="auto" w:fill="E6E6E6"/>
          <w:lang w:val="en-AU"/>
        </w:rPr>
        <w:fldChar w:fldCharType="begin"/>
      </w:r>
      <w:r w:rsidR="00B70B7C" w:rsidRPr="008B029F">
        <w:rPr>
          <w:lang w:val="en-AU"/>
        </w:rPr>
        <w:instrText xml:space="preserve"> REF _Ref121909874 \r \h </w:instrText>
      </w:r>
      <w:r w:rsidR="00B70B7C" w:rsidRPr="008B029F">
        <w:rPr>
          <w:color w:val="2B579A"/>
          <w:shd w:val="clear" w:color="auto" w:fill="E6E6E6"/>
          <w:lang w:val="en-AU"/>
        </w:rPr>
        <w:instrText xml:space="preserve"> \* MERGEFORMAT </w:instrText>
      </w:r>
      <w:r w:rsidR="00B70B7C" w:rsidRPr="008B029F">
        <w:rPr>
          <w:color w:val="2B579A"/>
          <w:shd w:val="clear" w:color="auto" w:fill="E6E6E6"/>
          <w:lang w:val="en-AU"/>
        </w:rPr>
      </w:r>
      <w:r w:rsidR="00B70B7C" w:rsidRPr="008B029F">
        <w:rPr>
          <w:color w:val="2B579A"/>
          <w:shd w:val="clear" w:color="auto" w:fill="E6E6E6"/>
          <w:lang w:val="en-AU"/>
        </w:rPr>
        <w:fldChar w:fldCharType="separate"/>
      </w:r>
      <w:r w:rsidR="009773EE" w:rsidRPr="008B029F">
        <w:rPr>
          <w:lang w:val="en-AU"/>
        </w:rPr>
        <w:t>5.1</w:t>
      </w:r>
      <w:r w:rsidR="00B70B7C" w:rsidRPr="008B029F">
        <w:rPr>
          <w:color w:val="2B579A"/>
          <w:shd w:val="clear" w:color="auto" w:fill="E6E6E6"/>
          <w:lang w:val="en-AU"/>
        </w:rPr>
        <w:fldChar w:fldCharType="end"/>
      </w:r>
      <w:r w:rsidR="00B70B7C" w:rsidRPr="008B029F">
        <w:rPr>
          <w:lang w:val="en-AU"/>
        </w:rPr>
        <w:t xml:space="preserve"> </w:t>
      </w:r>
      <w:r w:rsidR="00B70B7C" w:rsidRPr="008B029F">
        <w:rPr>
          <w:color w:val="2B579A"/>
          <w:shd w:val="clear" w:color="auto" w:fill="E6E6E6"/>
          <w:lang w:val="en-AU"/>
        </w:rPr>
        <w:fldChar w:fldCharType="begin"/>
      </w:r>
      <w:r w:rsidR="00B70B7C" w:rsidRPr="008B029F">
        <w:rPr>
          <w:lang w:val="en-AU"/>
        </w:rPr>
        <w:instrText xml:space="preserve"> REF _Ref121909874 \h </w:instrText>
      </w:r>
      <w:r w:rsidR="00B70B7C" w:rsidRPr="008B029F">
        <w:rPr>
          <w:color w:val="2B579A"/>
          <w:shd w:val="clear" w:color="auto" w:fill="E6E6E6"/>
          <w:lang w:val="en-AU"/>
        </w:rPr>
        <w:instrText xml:space="preserve"> \* MERGEFORMAT </w:instrText>
      </w:r>
      <w:r w:rsidR="00B70B7C" w:rsidRPr="008B029F">
        <w:rPr>
          <w:color w:val="2B579A"/>
          <w:shd w:val="clear" w:color="auto" w:fill="E6E6E6"/>
          <w:lang w:val="en-AU"/>
        </w:rPr>
      </w:r>
      <w:r w:rsidR="00B70B7C" w:rsidRPr="008B029F">
        <w:rPr>
          <w:color w:val="2B579A"/>
          <w:shd w:val="clear" w:color="auto" w:fill="E6E6E6"/>
          <w:lang w:val="en-AU"/>
        </w:rPr>
        <w:fldChar w:fldCharType="separate"/>
      </w:r>
      <w:r w:rsidR="009773EE" w:rsidRPr="008B029F">
        <w:rPr>
          <w:lang w:val="en-AU"/>
        </w:rPr>
        <w:t>Pharmacodynamic properties</w:t>
      </w:r>
      <w:r w:rsidR="00B70B7C" w:rsidRPr="008B029F">
        <w:rPr>
          <w:color w:val="2B579A"/>
          <w:shd w:val="clear" w:color="auto" w:fill="E6E6E6"/>
          <w:lang w:val="en-AU"/>
        </w:rPr>
        <w:fldChar w:fldCharType="end"/>
      </w:r>
      <w:r w:rsidR="00B70B7C" w:rsidRPr="008B029F">
        <w:rPr>
          <w:lang w:val="en-AU"/>
        </w:rPr>
        <w:t xml:space="preserve"> </w:t>
      </w:r>
      <w:r w:rsidRPr="008B029F">
        <w:rPr>
          <w:lang w:val="en-AU"/>
        </w:rPr>
        <w:t>for dosing information</w:t>
      </w:r>
      <w:r w:rsidR="009B00E2" w:rsidRPr="008B029F">
        <w:rPr>
          <w:lang w:val="en-AU"/>
        </w:rPr>
        <w:t xml:space="preserve"> in the CASPIAN study</w:t>
      </w:r>
      <w:r w:rsidRPr="008B029F">
        <w:rPr>
          <w:lang w:val="en-AU"/>
        </w:rPr>
        <w:t>.</w:t>
      </w:r>
      <w:r w:rsidR="000F2D29" w:rsidRPr="008B029F">
        <w:rPr>
          <w:lang w:val="en-AU"/>
        </w:rPr>
        <w:t xml:space="preserve"> </w:t>
      </w:r>
      <w:r w:rsidR="00DC41F5" w:rsidRPr="008B029F">
        <w:rPr>
          <w:lang w:val="en-AU"/>
        </w:rPr>
        <w:t xml:space="preserve">[ES-SCLC] </w:t>
      </w:r>
    </w:p>
    <w:p w14:paraId="7977878C" w14:textId="6697D2E0" w:rsidR="00962B54" w:rsidRPr="008B029F" w:rsidRDefault="00962B54" w:rsidP="00962B54">
      <w:pPr>
        <w:pStyle w:val="TableFootnoteLetter"/>
        <w:rPr>
          <w:lang w:val="en-AU"/>
        </w:rPr>
      </w:pPr>
      <w:r w:rsidRPr="008B029F">
        <w:rPr>
          <w:lang w:val="en-AU"/>
        </w:rPr>
        <w:t>Patients with a body weight of 30 kg or less must receive weight-based dosing, equivalent to IMFINZI 15 mg/kg in combination with chemotherapy every 3 weeks (21 days) for 6 cycles, followed by 15 mg/kg every 3 weeks as monotherapy until weight increases to greater than 30 kg.</w:t>
      </w:r>
      <w:r w:rsidR="000F2D29" w:rsidRPr="008B029F">
        <w:rPr>
          <w:lang w:val="en-AU"/>
        </w:rPr>
        <w:t xml:space="preserve"> </w:t>
      </w:r>
      <w:r w:rsidR="00DC41F5" w:rsidRPr="008B029F">
        <w:rPr>
          <w:lang w:val="en-AU"/>
        </w:rPr>
        <w:t>[MPM]</w:t>
      </w:r>
    </w:p>
    <w:p w14:paraId="4A3F4CF1" w14:textId="4088CBEA" w:rsidR="00962B54" w:rsidRPr="008B029F" w:rsidRDefault="00962B54" w:rsidP="00962B54">
      <w:pPr>
        <w:pStyle w:val="TableFootnoteLetter"/>
        <w:rPr>
          <w:lang w:val="en-AU"/>
        </w:rPr>
      </w:pPr>
      <w:r w:rsidRPr="008B029F">
        <w:rPr>
          <w:lang w:val="en-AU"/>
        </w:rPr>
        <w:t xml:space="preserve">When IMFINZI is administered in combination with chemotherapy, refer also to the Product Information for pemetrexed, and cisplatin or carboplatin, and to Section </w:t>
      </w:r>
      <w:r w:rsidR="00AD25F6" w:rsidRPr="008B029F">
        <w:rPr>
          <w:color w:val="2B579A"/>
          <w:shd w:val="clear" w:color="auto" w:fill="E6E6E6"/>
          <w:lang w:val="en-AU"/>
        </w:rPr>
        <w:fldChar w:fldCharType="begin"/>
      </w:r>
      <w:r w:rsidR="00AD25F6" w:rsidRPr="008B029F">
        <w:rPr>
          <w:lang w:val="en-AU"/>
        </w:rPr>
        <w:instrText xml:space="preserve"> REF _Ref121909874 \r \h </w:instrText>
      </w:r>
      <w:r w:rsidR="0006562C" w:rsidRPr="008B029F">
        <w:rPr>
          <w:color w:val="2B579A"/>
          <w:shd w:val="clear" w:color="auto" w:fill="E6E6E6"/>
          <w:lang w:val="en-AU"/>
        </w:rPr>
        <w:instrText xml:space="preserve"> \* MERGEFORMAT </w:instrText>
      </w:r>
      <w:r w:rsidR="00AD25F6" w:rsidRPr="008B029F">
        <w:rPr>
          <w:color w:val="2B579A"/>
          <w:shd w:val="clear" w:color="auto" w:fill="E6E6E6"/>
          <w:lang w:val="en-AU"/>
        </w:rPr>
      </w:r>
      <w:r w:rsidR="00AD25F6" w:rsidRPr="008B029F">
        <w:rPr>
          <w:color w:val="2B579A"/>
          <w:shd w:val="clear" w:color="auto" w:fill="E6E6E6"/>
          <w:lang w:val="en-AU"/>
        </w:rPr>
        <w:fldChar w:fldCharType="separate"/>
      </w:r>
      <w:r w:rsidR="009773EE" w:rsidRPr="008B029F">
        <w:rPr>
          <w:lang w:val="en-AU"/>
        </w:rPr>
        <w:t>5.1</w:t>
      </w:r>
      <w:r w:rsidR="00AD25F6" w:rsidRPr="008B029F">
        <w:rPr>
          <w:color w:val="2B579A"/>
          <w:shd w:val="clear" w:color="auto" w:fill="E6E6E6"/>
          <w:lang w:val="en-AU"/>
        </w:rPr>
        <w:fldChar w:fldCharType="end"/>
      </w:r>
      <w:r w:rsidR="00AD25F6" w:rsidRPr="008B029F">
        <w:rPr>
          <w:lang w:val="en-AU"/>
        </w:rPr>
        <w:t xml:space="preserve"> </w:t>
      </w:r>
      <w:r w:rsidR="00AD25F6" w:rsidRPr="008B029F">
        <w:rPr>
          <w:color w:val="2B579A"/>
          <w:shd w:val="clear" w:color="auto" w:fill="E6E6E6"/>
          <w:lang w:val="en-AU"/>
        </w:rPr>
        <w:fldChar w:fldCharType="begin"/>
      </w:r>
      <w:r w:rsidR="00AD25F6" w:rsidRPr="008B029F">
        <w:rPr>
          <w:lang w:val="en-AU"/>
        </w:rPr>
        <w:instrText xml:space="preserve"> REF _Ref121909874 \h </w:instrText>
      </w:r>
      <w:r w:rsidR="0006562C" w:rsidRPr="008B029F">
        <w:rPr>
          <w:color w:val="2B579A"/>
          <w:shd w:val="clear" w:color="auto" w:fill="E6E6E6"/>
          <w:lang w:val="en-AU"/>
        </w:rPr>
        <w:instrText xml:space="preserve"> \* MERGEFORMAT </w:instrText>
      </w:r>
      <w:r w:rsidR="00AD25F6" w:rsidRPr="008B029F">
        <w:rPr>
          <w:color w:val="2B579A"/>
          <w:shd w:val="clear" w:color="auto" w:fill="E6E6E6"/>
          <w:lang w:val="en-AU"/>
        </w:rPr>
      </w:r>
      <w:r w:rsidR="00AD25F6" w:rsidRPr="008B029F">
        <w:rPr>
          <w:color w:val="2B579A"/>
          <w:shd w:val="clear" w:color="auto" w:fill="E6E6E6"/>
          <w:lang w:val="en-AU"/>
        </w:rPr>
        <w:fldChar w:fldCharType="separate"/>
      </w:r>
      <w:r w:rsidR="009773EE" w:rsidRPr="008B029F">
        <w:rPr>
          <w:lang w:val="en-AU"/>
        </w:rPr>
        <w:t>Pharmacodynamic properties</w:t>
      </w:r>
      <w:r w:rsidR="00AD25F6" w:rsidRPr="008B029F">
        <w:rPr>
          <w:color w:val="2B579A"/>
          <w:shd w:val="clear" w:color="auto" w:fill="E6E6E6"/>
          <w:lang w:val="en-AU"/>
        </w:rPr>
        <w:fldChar w:fldCharType="end"/>
      </w:r>
      <w:r w:rsidR="00AD25F6" w:rsidRPr="008B029F">
        <w:rPr>
          <w:lang w:val="en-AU"/>
        </w:rPr>
        <w:t xml:space="preserve"> – Clinical trials </w:t>
      </w:r>
      <w:r w:rsidRPr="008B029F">
        <w:rPr>
          <w:lang w:val="en-AU"/>
        </w:rPr>
        <w:t>for dosing information in the PrE0505 study.</w:t>
      </w:r>
      <w:r w:rsidR="000F2D29" w:rsidRPr="008B029F">
        <w:rPr>
          <w:lang w:val="en-AU"/>
        </w:rPr>
        <w:t xml:space="preserve"> </w:t>
      </w:r>
      <w:r w:rsidR="00DC41F5" w:rsidRPr="008B029F">
        <w:rPr>
          <w:lang w:val="en-AU"/>
        </w:rPr>
        <w:t xml:space="preserve">[MPM] </w:t>
      </w:r>
    </w:p>
    <w:p w14:paraId="1F8B79FF" w14:textId="1A91A03F" w:rsidR="00AD25F6" w:rsidRPr="008B029F" w:rsidRDefault="00AD25F6" w:rsidP="00DC41F5">
      <w:pPr>
        <w:pStyle w:val="TableFootnoteLetter"/>
        <w:numPr>
          <w:ilvl w:val="0"/>
          <w:numId w:val="28"/>
        </w:numPr>
        <w:rPr>
          <w:lang w:val="en-AU"/>
        </w:rPr>
      </w:pPr>
      <w:r w:rsidRPr="008B029F">
        <w:rPr>
          <w:lang w:val="en-AU"/>
        </w:rPr>
        <w:lastRenderedPageBreak/>
        <w:t xml:space="preserve">When IMFINZI is administered in combination with </w:t>
      </w:r>
      <w:r w:rsidR="00C84D09" w:rsidRPr="008B029F">
        <w:rPr>
          <w:lang w:val="en-AU"/>
        </w:rPr>
        <w:t>gemcitabine</w:t>
      </w:r>
      <w:r w:rsidR="00F05DFB" w:rsidRPr="008B029F">
        <w:rPr>
          <w:lang w:val="en-AU"/>
        </w:rPr>
        <w:t xml:space="preserve"> and</w:t>
      </w:r>
      <w:r w:rsidR="00904782" w:rsidRPr="008B029F">
        <w:rPr>
          <w:lang w:val="en-AU"/>
        </w:rPr>
        <w:t xml:space="preserve"> cisplatin</w:t>
      </w:r>
      <w:r w:rsidRPr="008B029F">
        <w:rPr>
          <w:lang w:val="en-AU"/>
        </w:rPr>
        <w:t xml:space="preserve">, refer also to the Product Information for </w:t>
      </w:r>
      <w:r w:rsidR="009B186F" w:rsidRPr="008B029F">
        <w:rPr>
          <w:lang w:val="en-AU"/>
        </w:rPr>
        <w:t>gemcitabine and</w:t>
      </w:r>
      <w:r w:rsidRPr="008B029F">
        <w:rPr>
          <w:lang w:val="en-AU"/>
        </w:rPr>
        <w:t xml:space="preserve"> </w:t>
      </w:r>
      <w:r w:rsidR="00904782" w:rsidRPr="008B029F">
        <w:rPr>
          <w:lang w:val="en-AU"/>
        </w:rPr>
        <w:t xml:space="preserve">cisplatin for </w:t>
      </w:r>
      <w:r w:rsidRPr="008B029F">
        <w:rPr>
          <w:lang w:val="en-AU"/>
        </w:rPr>
        <w:t>dosing information</w:t>
      </w:r>
      <w:r w:rsidR="000F2D29" w:rsidRPr="008B029F">
        <w:rPr>
          <w:lang w:val="en-AU"/>
        </w:rPr>
        <w:t xml:space="preserve"> </w:t>
      </w:r>
      <w:r w:rsidR="00DC41F5" w:rsidRPr="008B029F">
        <w:rPr>
          <w:lang w:val="en-AU"/>
        </w:rPr>
        <w:t>[BTC]</w:t>
      </w:r>
    </w:p>
    <w:p w14:paraId="518488F6" w14:textId="3E72F5CF" w:rsidR="00B70B7C" w:rsidRPr="008B029F" w:rsidRDefault="00B70B7C" w:rsidP="00B70B7C">
      <w:pPr>
        <w:pStyle w:val="TableFootnoteLetter"/>
        <w:rPr>
          <w:lang w:val="en-AU"/>
        </w:rPr>
      </w:pPr>
      <w:bookmarkStart w:id="5" w:name="_Hlk37070422"/>
      <w:r w:rsidRPr="008B029F">
        <w:rPr>
          <w:lang w:val="en-AU"/>
        </w:rPr>
        <w:t>Patients with a body weight of 30 kg or less must receive weight-based dosing, equivalent to IMFINZI 20 mg/kg and tremelimumab 4 mg/kg until weight is greater than 30 kg.</w:t>
      </w:r>
      <w:r w:rsidR="000F2D29" w:rsidRPr="008B029F">
        <w:rPr>
          <w:lang w:val="en-AU"/>
        </w:rPr>
        <w:t xml:space="preserve"> </w:t>
      </w:r>
      <w:r w:rsidR="00DC41F5" w:rsidRPr="008B029F">
        <w:rPr>
          <w:lang w:val="en-AU"/>
        </w:rPr>
        <w:t xml:space="preserve"> [uHCC]</w:t>
      </w:r>
    </w:p>
    <w:bookmarkEnd w:id="5"/>
    <w:p w14:paraId="53D3DD91" w14:textId="64255FCD" w:rsidR="00B70B7C" w:rsidRPr="008B029F" w:rsidRDefault="00B70B7C" w:rsidP="00B70B7C">
      <w:pPr>
        <w:pStyle w:val="TableFootnoteLetter"/>
        <w:numPr>
          <w:ilvl w:val="0"/>
          <w:numId w:val="26"/>
        </w:numPr>
        <w:rPr>
          <w:lang w:val="en-AU"/>
        </w:rPr>
      </w:pPr>
      <w:r w:rsidRPr="008B029F">
        <w:rPr>
          <w:lang w:val="en-AU"/>
        </w:rPr>
        <w:t xml:space="preserve">Administer tremelimumab prior to IMFINZI on the same day. When IMFINZI is administered in combination with tremelimumab, refer to the </w:t>
      </w:r>
      <w:r w:rsidR="00690471" w:rsidRPr="008B029F">
        <w:rPr>
          <w:lang w:val="en-AU"/>
        </w:rPr>
        <w:t>Product</w:t>
      </w:r>
      <w:r w:rsidRPr="008B029F">
        <w:rPr>
          <w:lang w:val="en-AU"/>
        </w:rPr>
        <w:t xml:space="preserve"> Information for tremelimumab dosing information</w:t>
      </w:r>
      <w:r w:rsidR="000F2D29" w:rsidRPr="008B029F">
        <w:rPr>
          <w:lang w:val="en-AU"/>
        </w:rPr>
        <w:t xml:space="preserve">. </w:t>
      </w:r>
      <w:r w:rsidR="00DC41F5" w:rsidRPr="008B029F">
        <w:rPr>
          <w:lang w:val="en-AU"/>
        </w:rPr>
        <w:t xml:space="preserve"> [uHCC]</w:t>
      </w:r>
    </w:p>
    <w:p w14:paraId="1AC9B10C" w14:textId="77777777" w:rsidR="00500E3C" w:rsidRPr="008B029F" w:rsidRDefault="00500E3C" w:rsidP="008A632C">
      <w:pPr>
        <w:pStyle w:val="Paragraph"/>
      </w:pPr>
    </w:p>
    <w:p w14:paraId="0915ABE7" w14:textId="4E292051" w:rsidR="00703699" w:rsidRPr="008B029F" w:rsidRDefault="00703699" w:rsidP="00703699">
      <w:pPr>
        <w:pStyle w:val="Paragraph"/>
        <w:rPr>
          <w:lang w:val="en-AU"/>
        </w:rPr>
      </w:pPr>
      <w:r w:rsidRPr="008B029F">
        <w:rPr>
          <w:lang w:val="en-AU"/>
        </w:rPr>
        <w:t>It is recommended to continue treatment for clinically stable patients with initial evidence of disease progression until disease progression is confirmed.</w:t>
      </w:r>
    </w:p>
    <w:p w14:paraId="432F3BC8" w14:textId="77777777" w:rsidR="00482FB9" w:rsidRPr="008B029F" w:rsidRDefault="0008016F" w:rsidP="00B9314F">
      <w:pPr>
        <w:pStyle w:val="Paragraph"/>
        <w:rPr>
          <w:lang w:val="en-AU"/>
        </w:rPr>
      </w:pPr>
      <w:r w:rsidRPr="008B029F">
        <w:rPr>
          <w:lang w:val="en-AU"/>
        </w:rPr>
        <w:t>No dose reduction or escalation for IMFINZI is recommended. In general, withhold IMFINZI for severe (Grade 3) immune-mediated adverse reactions. Permanently discontinue IMFINZI for life-threatening (Grade 4) immune-mediated adverse reactions, recurrent severe (Grade 3) immune-mediated reactions that require systemic immunosuppressive treatment, or an inability to reduce corticosteroid dose to 10 mg or less of prednisone or equivalent per day within 12 weeks of initiating corticosteroids.</w:t>
      </w:r>
    </w:p>
    <w:p w14:paraId="2D7A85A2" w14:textId="7E4F82DE" w:rsidR="00B9314F" w:rsidRPr="008B029F" w:rsidRDefault="00B9314F" w:rsidP="000E0479">
      <w:pPr>
        <w:pStyle w:val="Paragraph"/>
        <w:rPr>
          <w:lang w:val="en-AU"/>
        </w:rPr>
      </w:pPr>
      <w:r w:rsidRPr="008B029F">
        <w:rPr>
          <w:lang w:val="en-AU"/>
        </w:rPr>
        <w:t>Immune-mediated adverse reactions requiring specific management are summarized in</w:t>
      </w:r>
      <w:r w:rsidR="00F95FC0" w:rsidRPr="008B029F">
        <w:rPr>
          <w:lang w:val="en-AU"/>
        </w:rPr>
        <w:t xml:space="preserve"> </w:t>
      </w:r>
      <w:r w:rsidR="00F95FC0" w:rsidRPr="008B029F">
        <w:rPr>
          <w:color w:val="2B579A"/>
          <w:shd w:val="clear" w:color="auto" w:fill="E6E6E6"/>
          <w:lang w:val="en-AU"/>
        </w:rPr>
        <w:fldChar w:fldCharType="begin"/>
      </w:r>
      <w:r w:rsidR="00F95FC0" w:rsidRPr="008B029F">
        <w:rPr>
          <w:lang w:val="en-AU"/>
        </w:rPr>
        <w:instrText xml:space="preserve"> REF _Ref57362210 \h </w:instrText>
      </w:r>
      <w:r w:rsidR="000E0479" w:rsidRPr="008B029F">
        <w:rPr>
          <w:lang w:val="en-AU"/>
        </w:rPr>
        <w:instrText xml:space="preserve"> \* MERGEFORMAT </w:instrText>
      </w:r>
      <w:r w:rsidR="00F95FC0" w:rsidRPr="008B029F">
        <w:rPr>
          <w:color w:val="2B579A"/>
          <w:shd w:val="clear" w:color="auto" w:fill="E6E6E6"/>
          <w:lang w:val="en-AU"/>
        </w:rPr>
      </w:r>
      <w:r w:rsidR="00F95FC0" w:rsidRPr="008B029F">
        <w:rPr>
          <w:color w:val="2B579A"/>
          <w:shd w:val="clear" w:color="auto" w:fill="E6E6E6"/>
          <w:lang w:val="en-AU"/>
        </w:rPr>
        <w:fldChar w:fldCharType="separate"/>
      </w:r>
      <w:r w:rsidR="009773EE" w:rsidRPr="008B029F">
        <w:rPr>
          <w:lang w:val="en-AU"/>
        </w:rPr>
        <w:t>Table 2</w:t>
      </w:r>
      <w:r w:rsidR="00F95FC0" w:rsidRPr="008B029F">
        <w:rPr>
          <w:color w:val="2B579A"/>
          <w:shd w:val="clear" w:color="auto" w:fill="E6E6E6"/>
          <w:lang w:val="en-AU"/>
        </w:rPr>
        <w:fldChar w:fldCharType="end"/>
      </w:r>
      <w:r w:rsidRPr="008B029F">
        <w:rPr>
          <w:lang w:val="en-AU"/>
        </w:rPr>
        <w:t xml:space="preserve">. </w:t>
      </w:r>
    </w:p>
    <w:p w14:paraId="3125667D" w14:textId="08A37352" w:rsidR="004139BC" w:rsidRPr="008B029F" w:rsidRDefault="004139BC" w:rsidP="000363E1">
      <w:pPr>
        <w:pStyle w:val="Paragraph"/>
        <w:rPr>
          <w:lang w:val="en-AU"/>
        </w:rPr>
      </w:pPr>
      <w:r w:rsidRPr="008B029F">
        <w:rPr>
          <w:lang w:val="en-AU"/>
        </w:rPr>
        <w:t xml:space="preserve">Refer to </w:t>
      </w:r>
      <w:r w:rsidR="00CE742B" w:rsidRPr="008B029F">
        <w:rPr>
          <w:lang w:val="en-AU"/>
        </w:rPr>
        <w:t xml:space="preserve">Section </w:t>
      </w:r>
      <w:r w:rsidR="00A3510E" w:rsidRPr="008B029F">
        <w:rPr>
          <w:color w:val="2B579A"/>
          <w:shd w:val="clear" w:color="auto" w:fill="E6E6E6"/>
          <w:lang w:val="en-AU"/>
        </w:rPr>
        <w:fldChar w:fldCharType="begin"/>
      </w:r>
      <w:r w:rsidR="00A3510E" w:rsidRPr="008B029F">
        <w:rPr>
          <w:lang w:val="en-AU"/>
        </w:rPr>
        <w:instrText xml:space="preserve"> REF _Ref121909116 \r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4.4</w:t>
      </w:r>
      <w:r w:rsidR="00A3510E" w:rsidRPr="008B029F">
        <w:rPr>
          <w:color w:val="2B579A"/>
          <w:shd w:val="clear" w:color="auto" w:fill="E6E6E6"/>
          <w:lang w:val="en-AU"/>
        </w:rPr>
        <w:fldChar w:fldCharType="end"/>
      </w:r>
      <w:r w:rsidR="00A3510E" w:rsidRPr="008B029F">
        <w:rPr>
          <w:lang w:val="en-AU"/>
        </w:rPr>
        <w:t xml:space="preserve"> </w:t>
      </w:r>
      <w:r w:rsidR="00A3510E" w:rsidRPr="008B029F">
        <w:rPr>
          <w:color w:val="2B579A"/>
          <w:shd w:val="clear" w:color="auto" w:fill="E6E6E6"/>
          <w:lang w:val="en-AU"/>
        </w:rPr>
        <w:fldChar w:fldCharType="begin"/>
      </w:r>
      <w:r w:rsidR="00A3510E" w:rsidRPr="008B029F">
        <w:rPr>
          <w:lang w:val="en-AU"/>
        </w:rPr>
        <w:instrText xml:space="preserve"> REF _Ref121909116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Special warnings and precautions for use</w:t>
      </w:r>
      <w:r w:rsidR="00A3510E" w:rsidRPr="008B029F">
        <w:rPr>
          <w:color w:val="2B579A"/>
          <w:shd w:val="clear" w:color="auto" w:fill="E6E6E6"/>
          <w:lang w:val="en-AU"/>
        </w:rPr>
        <w:fldChar w:fldCharType="end"/>
      </w:r>
      <w:r w:rsidR="00A3510E" w:rsidRPr="008B029F">
        <w:rPr>
          <w:lang w:val="en-AU"/>
        </w:rPr>
        <w:t xml:space="preserve"> </w:t>
      </w:r>
      <w:r w:rsidRPr="008B029F">
        <w:rPr>
          <w:lang w:val="en-AU"/>
        </w:rPr>
        <w:t>for further monitoring and evaluation information.</w:t>
      </w:r>
    </w:p>
    <w:p w14:paraId="7C29039C" w14:textId="266AD644" w:rsidR="00305319" w:rsidRPr="008B029F" w:rsidRDefault="00305319" w:rsidP="00305319">
      <w:pPr>
        <w:pStyle w:val="TableTitle"/>
        <w:rPr>
          <w:lang w:val="en-AU"/>
        </w:rPr>
      </w:pPr>
      <w:bookmarkStart w:id="6" w:name="_Ref57362210"/>
      <w:r w:rsidRPr="008B029F">
        <w:rPr>
          <w:lang w:val="en-AU"/>
        </w:rPr>
        <w:t>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2</w:t>
      </w:r>
      <w:r w:rsidRPr="008B029F">
        <w:rPr>
          <w:color w:val="2B579A"/>
          <w:shd w:val="clear" w:color="auto" w:fill="E6E6E6"/>
          <w:lang w:val="en-AU"/>
        </w:rPr>
        <w:fldChar w:fldCharType="end"/>
      </w:r>
      <w:bookmarkEnd w:id="6"/>
      <w:r w:rsidRPr="008B029F">
        <w:rPr>
          <w:lang w:val="en-AU"/>
        </w:rPr>
        <w:tab/>
      </w:r>
      <w:r w:rsidR="00C9422A" w:rsidRPr="008B029F">
        <w:rPr>
          <w:lang w:val="en-AU"/>
        </w:rPr>
        <w:t>T</w:t>
      </w:r>
      <w:r w:rsidRPr="008B029F">
        <w:rPr>
          <w:lang w:val="en-AU"/>
        </w:rPr>
        <w:t xml:space="preserve">reatment modifications and management </w:t>
      </w:r>
      <w:r w:rsidR="00C9422A" w:rsidRPr="008B029F">
        <w:rPr>
          <w:lang w:val="en-AU"/>
        </w:rPr>
        <w:t xml:space="preserve">recommendations </w:t>
      </w:r>
      <w:r w:rsidRPr="008B029F">
        <w:rPr>
          <w:lang w:val="en-AU"/>
        </w:rPr>
        <w:t xml:space="preserve">for </w:t>
      </w:r>
      <w:r w:rsidR="00C9422A" w:rsidRPr="008B029F">
        <w:rPr>
          <w:lang w:val="en-AU"/>
        </w:rPr>
        <w:t>IMFINZI or IMFINZI in combination with tremelimumab</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2"/>
        <w:gridCol w:w="3547"/>
        <w:gridCol w:w="1558"/>
        <w:gridCol w:w="2409"/>
      </w:tblGrid>
      <w:tr w:rsidR="00700687" w:rsidRPr="008B029F" w14:paraId="69104CB1" w14:textId="77777777" w:rsidTr="007A6A01">
        <w:trPr>
          <w:cantSplit/>
          <w:tblHeader/>
        </w:trPr>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EE9BB9" w14:textId="77777777" w:rsidR="00F74B4F" w:rsidRPr="008B029F" w:rsidRDefault="00F74B4F" w:rsidP="00E436D3">
            <w:pPr>
              <w:pStyle w:val="TableHead"/>
              <w:tabs>
                <w:tab w:val="left" w:pos="1271"/>
              </w:tabs>
              <w:ind w:left="29"/>
              <w:jc w:val="both"/>
              <w:rPr>
                <w:lang w:val="en-AU"/>
              </w:rPr>
            </w:pPr>
            <w:bookmarkStart w:id="7" w:name="_Hlk57383531"/>
            <w:r w:rsidRPr="008B029F">
              <w:rPr>
                <w:lang w:val="en-AU"/>
              </w:rPr>
              <w:t xml:space="preserve">Adverse </w:t>
            </w:r>
            <w:r w:rsidR="00877C4C" w:rsidRPr="008B029F">
              <w:rPr>
                <w:lang w:val="en-AU"/>
              </w:rPr>
              <w:t>r</w:t>
            </w:r>
            <w:r w:rsidRPr="008B029F">
              <w:rPr>
                <w:lang w:val="en-AU"/>
              </w:rPr>
              <w:t>eactions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D90BA3" w14:textId="020326F1" w:rsidR="00F74B4F" w:rsidRPr="008B029F" w:rsidRDefault="00F74B4F" w:rsidP="00723702">
            <w:pPr>
              <w:pStyle w:val="TableHead"/>
              <w:jc w:val="left"/>
              <w:rPr>
                <w:lang w:val="en-AU"/>
              </w:rPr>
            </w:pPr>
            <w:r w:rsidRPr="008B029F">
              <w:rPr>
                <w:lang w:val="en-AU"/>
              </w:rPr>
              <w:t>Severity</w:t>
            </w:r>
            <w:r w:rsidRPr="008B029F">
              <w:rPr>
                <w:vertAlign w:val="superscript"/>
                <w:lang w:val="en-AU"/>
              </w:rPr>
              <w:t>a</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A02756" w14:textId="0EE8502F" w:rsidR="00F74B4F" w:rsidRPr="008B029F" w:rsidRDefault="00C9422A" w:rsidP="00723702">
            <w:pPr>
              <w:pStyle w:val="TableHead"/>
              <w:jc w:val="left"/>
              <w:rPr>
                <w:lang w:val="en-AU"/>
              </w:rPr>
            </w:pPr>
            <w:r w:rsidRPr="008B029F">
              <w:rPr>
                <w:lang w:val="en-AU"/>
              </w:rPr>
              <w:t>T</w:t>
            </w:r>
            <w:r w:rsidR="00F74B4F" w:rsidRPr="008B029F">
              <w:rPr>
                <w:lang w:val="en-AU"/>
              </w:rPr>
              <w:t xml:space="preserve">reatment </w:t>
            </w:r>
            <w:r w:rsidR="00877C4C" w:rsidRPr="008B029F">
              <w:rPr>
                <w:lang w:val="en-AU"/>
              </w:rPr>
              <w:t>m</w:t>
            </w:r>
            <w:r w:rsidR="00F74B4F" w:rsidRPr="008B029F">
              <w:rPr>
                <w:lang w:val="en-AU"/>
              </w:rPr>
              <w:t>odification</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11CDC7" w14:textId="77777777" w:rsidR="00F74B4F" w:rsidRPr="008B029F" w:rsidRDefault="00660759" w:rsidP="00723702">
            <w:pPr>
              <w:pStyle w:val="TableHead"/>
              <w:jc w:val="left"/>
              <w:rPr>
                <w:lang w:val="en-AU"/>
              </w:rPr>
            </w:pPr>
            <w:r w:rsidRPr="008B029F">
              <w:rPr>
                <w:lang w:val="en-AU"/>
              </w:rPr>
              <w:t>Additional management advice</w:t>
            </w:r>
          </w:p>
        </w:tc>
      </w:tr>
      <w:bookmarkEnd w:id="7"/>
      <w:tr w:rsidR="00B9314F" w:rsidRPr="008B029F" w14:paraId="353A2374" w14:textId="77777777" w:rsidTr="007A6A01">
        <w:trPr>
          <w:cantSplit/>
        </w:trPr>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B16D1" w14:textId="6CC1B6B6" w:rsidR="00B9314F" w:rsidRPr="008B029F" w:rsidRDefault="00B9314F" w:rsidP="00A3510E">
            <w:pPr>
              <w:pStyle w:val="TableLeft"/>
              <w:rPr>
                <w:lang w:val="en-AU"/>
              </w:rPr>
            </w:pPr>
            <w:r w:rsidRPr="008B029F">
              <w:rPr>
                <w:lang w:val="en-AU"/>
              </w:rPr>
              <w:t>Pneumonitis</w:t>
            </w:r>
            <w:r w:rsidR="00A3510E" w:rsidRPr="008B029F">
              <w:rPr>
                <w:lang w:val="en-AU"/>
              </w:rPr>
              <w:t xml:space="preserve"> </w:t>
            </w:r>
            <w:r w:rsidRPr="008B029F">
              <w:rPr>
                <w:lang w:val="en-AU"/>
              </w:rPr>
              <w:t>/</w:t>
            </w:r>
            <w:r w:rsidR="00A3510E" w:rsidRPr="008B029F">
              <w:rPr>
                <w:lang w:val="en-AU"/>
              </w:rPr>
              <w:t xml:space="preserve"> </w:t>
            </w:r>
            <w:r w:rsidRPr="008B029F">
              <w:rPr>
                <w:lang w:val="en-AU"/>
              </w:rPr>
              <w:t>interstitial lung disease</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8714B7" w14:textId="77777777" w:rsidR="00B9314F" w:rsidRPr="008B029F" w:rsidRDefault="00B9314F" w:rsidP="00A3510E">
            <w:pPr>
              <w:pStyle w:val="TableLeft"/>
              <w:rPr>
                <w:szCs w:val="20"/>
                <w:lang w:val="en-AU"/>
              </w:rPr>
            </w:pPr>
            <w:r w:rsidRPr="008B029F">
              <w:rPr>
                <w:szCs w:val="20"/>
                <w:lang w:val="en-AU"/>
              </w:rPr>
              <w:t>Grade 2</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325A37" w14:textId="248B76CA" w:rsidR="00B9314F" w:rsidRPr="008B029F" w:rsidRDefault="00B9314F" w:rsidP="00A3510E">
            <w:pPr>
              <w:pStyle w:val="TableLeft"/>
              <w:rPr>
                <w:szCs w:val="20"/>
                <w:lang w:val="en-AU"/>
              </w:rPr>
            </w:pPr>
            <w:r w:rsidRPr="008B029F">
              <w:rPr>
                <w:szCs w:val="20"/>
                <w:lang w:val="en-AU"/>
              </w:rPr>
              <w:t>Withhold dose</w:t>
            </w:r>
          </w:p>
        </w:tc>
        <w:tc>
          <w:tcPr>
            <w:tcW w:w="123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9BBD07C" w14:textId="4474A919" w:rsidR="00B9314F" w:rsidRPr="008B029F" w:rsidRDefault="00B9314F" w:rsidP="00A3510E">
            <w:pPr>
              <w:pStyle w:val="TableLeft"/>
              <w:rPr>
                <w:szCs w:val="20"/>
                <w:lang w:val="en-AU"/>
              </w:rPr>
            </w:pPr>
            <w:r w:rsidRPr="008B029F">
              <w:rPr>
                <w:szCs w:val="20"/>
                <w:lang w:val="en-AU"/>
              </w:rPr>
              <w:t>Initiate 1 to 2 mg/kg/day prednisone or equivalent followed by a taper</w:t>
            </w:r>
          </w:p>
        </w:tc>
      </w:tr>
      <w:tr w:rsidR="00B9314F" w:rsidRPr="008B029F" w14:paraId="261602DF" w14:textId="77777777" w:rsidTr="007A6A01">
        <w:trPr>
          <w:cantSplit/>
        </w:trPr>
        <w:tc>
          <w:tcPr>
            <w:tcW w:w="1157" w:type="pct"/>
            <w:vMerge/>
            <w:tcBorders>
              <w:top w:val="single" w:sz="4" w:space="0" w:color="auto"/>
              <w:left w:val="single" w:sz="4" w:space="0" w:color="auto"/>
              <w:bottom w:val="single" w:sz="4" w:space="0" w:color="auto"/>
              <w:right w:val="single" w:sz="4" w:space="0" w:color="auto"/>
            </w:tcBorders>
            <w:vAlign w:val="center"/>
            <w:hideMark/>
          </w:tcPr>
          <w:p w14:paraId="126EDD1B" w14:textId="77777777" w:rsidR="00B9314F" w:rsidRPr="008B029F" w:rsidRDefault="00B9314F"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24FE9E" w14:textId="77777777" w:rsidR="00B9314F" w:rsidRPr="008B029F" w:rsidRDefault="00B9314F" w:rsidP="00A3510E">
            <w:pPr>
              <w:pStyle w:val="TableLeft"/>
              <w:rPr>
                <w:szCs w:val="20"/>
                <w:lang w:val="en-AU"/>
              </w:rPr>
            </w:pPr>
            <w:r w:rsidRPr="008B029F">
              <w:rPr>
                <w:szCs w:val="20"/>
                <w:lang w:val="en-AU"/>
              </w:rPr>
              <w:t>Grade 3 or 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48DAE0" w14:textId="3C15B041" w:rsidR="00B9314F" w:rsidRPr="008B029F" w:rsidRDefault="00B9314F" w:rsidP="00A3510E">
            <w:pPr>
              <w:pStyle w:val="TableLeft"/>
              <w:rPr>
                <w:szCs w:val="20"/>
                <w:vertAlign w:val="superscript"/>
                <w:lang w:val="en-AU"/>
              </w:rPr>
            </w:pPr>
            <w:r w:rsidRPr="008B029F">
              <w:rPr>
                <w:szCs w:val="20"/>
                <w:lang w:val="en-AU"/>
              </w:rPr>
              <w:t>Permanently discontinue</w:t>
            </w:r>
          </w:p>
        </w:tc>
        <w:tc>
          <w:tcPr>
            <w:tcW w:w="123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601974C" w14:textId="33DA98A6" w:rsidR="00B9314F" w:rsidRPr="008B029F" w:rsidRDefault="00B9314F" w:rsidP="00A3510E">
            <w:pPr>
              <w:pStyle w:val="TableLeft"/>
              <w:rPr>
                <w:szCs w:val="20"/>
                <w:lang w:val="en-AU"/>
              </w:rPr>
            </w:pPr>
          </w:p>
        </w:tc>
      </w:tr>
      <w:tr w:rsidR="00700687" w:rsidRPr="008B029F" w14:paraId="37E3C66A" w14:textId="77777777" w:rsidTr="007A6A01">
        <w:trPr>
          <w:cantSplit/>
        </w:trPr>
        <w:tc>
          <w:tcPr>
            <w:tcW w:w="115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578EAB2" w14:textId="04CD76D8" w:rsidR="00F74B4F" w:rsidRPr="008B029F" w:rsidRDefault="00DA10A2" w:rsidP="00A3510E">
            <w:pPr>
              <w:pStyle w:val="TableLeft"/>
              <w:rPr>
                <w:lang w:val="en-AU"/>
              </w:rPr>
            </w:pPr>
            <w:r w:rsidRPr="008B029F">
              <w:rPr>
                <w:lang w:val="en-AU"/>
              </w:rPr>
              <w:t>H</w:t>
            </w:r>
            <w:r w:rsidR="00F74B4F" w:rsidRPr="008B029F">
              <w:rPr>
                <w:lang w:val="en-AU"/>
              </w:rPr>
              <w:t>epatitis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D085A7" w14:textId="2F8009CF" w:rsidR="00F74B4F" w:rsidRPr="008B029F" w:rsidRDefault="00F74B4F" w:rsidP="00A3510E">
            <w:pPr>
              <w:pStyle w:val="TableLeft"/>
              <w:rPr>
                <w:szCs w:val="20"/>
                <w:lang w:val="en-AU"/>
              </w:rPr>
            </w:pPr>
            <w:r w:rsidRPr="008B029F">
              <w:rPr>
                <w:szCs w:val="20"/>
                <w:lang w:val="en-AU"/>
              </w:rPr>
              <w:t>ALT or AST &gt;3</w:t>
            </w:r>
            <w:r w:rsidRPr="008B029F">
              <w:rPr>
                <w:szCs w:val="20"/>
                <w:lang w:val="en-AU"/>
              </w:rPr>
              <w:noBreakHyphen/>
            </w:r>
            <w:r w:rsidR="007C19AB" w:rsidRPr="008B029F">
              <w:rPr>
                <w:rFonts w:cs="Times New Roman"/>
                <w:szCs w:val="20"/>
                <w:lang w:val="en-AU"/>
              </w:rPr>
              <w:t>≤</w:t>
            </w:r>
            <w:r w:rsidRPr="008B029F">
              <w:rPr>
                <w:szCs w:val="20"/>
                <w:lang w:val="en-AU"/>
              </w:rPr>
              <w:t>5</w:t>
            </w:r>
            <w:r w:rsidR="00E41E36" w:rsidRPr="008B029F">
              <w:rPr>
                <w:szCs w:val="20"/>
                <w:lang w:val="en-AU"/>
              </w:rPr>
              <w:t xml:space="preserve"> </w:t>
            </w:r>
            <w:r w:rsidRPr="008B029F">
              <w:rPr>
                <w:szCs w:val="20"/>
                <w:lang w:val="en-AU"/>
              </w:rPr>
              <w:t>x</w:t>
            </w:r>
            <w:r w:rsidR="00E41E36" w:rsidRPr="008B029F">
              <w:rPr>
                <w:szCs w:val="20"/>
                <w:lang w:val="en-AU"/>
              </w:rPr>
              <w:t xml:space="preserve"> </w:t>
            </w:r>
            <w:r w:rsidRPr="008B029F">
              <w:rPr>
                <w:szCs w:val="20"/>
                <w:lang w:val="en-AU"/>
              </w:rPr>
              <w:t>ULN or total bilirubin &gt;1.5-3</w:t>
            </w:r>
            <w:r w:rsidR="00E41E36" w:rsidRPr="008B029F">
              <w:rPr>
                <w:szCs w:val="20"/>
                <w:lang w:val="en-AU"/>
              </w:rPr>
              <w:t xml:space="preserve"> </w:t>
            </w:r>
            <w:r w:rsidRPr="008B029F">
              <w:rPr>
                <w:szCs w:val="20"/>
                <w:lang w:val="en-AU"/>
              </w:rPr>
              <w:t>x</w:t>
            </w:r>
            <w:r w:rsidR="00E41E36" w:rsidRPr="008B029F">
              <w:rPr>
                <w:szCs w:val="20"/>
                <w:lang w:val="en-AU"/>
              </w:rPr>
              <w:t xml:space="preserve"> </w:t>
            </w:r>
            <w:r w:rsidRPr="008B029F">
              <w:rPr>
                <w:szCs w:val="20"/>
                <w:lang w:val="en-AU"/>
              </w:rPr>
              <w:t>ULN</w:t>
            </w:r>
          </w:p>
        </w:tc>
        <w:tc>
          <w:tcPr>
            <w:tcW w:w="79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A45373" w14:textId="1670C252" w:rsidR="00F74B4F" w:rsidRPr="008B029F" w:rsidRDefault="00F74B4F" w:rsidP="00A3510E">
            <w:pPr>
              <w:pStyle w:val="TableLeft"/>
              <w:rPr>
                <w:szCs w:val="20"/>
                <w:lang w:val="en-AU"/>
              </w:rPr>
            </w:pPr>
            <w:r w:rsidRPr="008B029F">
              <w:rPr>
                <w:szCs w:val="20"/>
                <w:lang w:val="en-AU"/>
              </w:rPr>
              <w:t>Withhold dose</w:t>
            </w:r>
          </w:p>
        </w:tc>
        <w:tc>
          <w:tcPr>
            <w:tcW w:w="123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7223F51" w14:textId="77777777" w:rsidR="00F74B4F" w:rsidRPr="008B029F" w:rsidRDefault="00F74B4F" w:rsidP="00A3510E">
            <w:pPr>
              <w:pStyle w:val="TableLeft"/>
              <w:rPr>
                <w:szCs w:val="20"/>
                <w:lang w:val="en-AU"/>
              </w:rPr>
            </w:pPr>
            <w:r w:rsidRPr="008B029F">
              <w:rPr>
                <w:szCs w:val="20"/>
                <w:lang w:val="en-AU"/>
              </w:rPr>
              <w:t>Initiate 1 to 2 mg/kg/day prednisone or equivalent followed by a taper</w:t>
            </w:r>
          </w:p>
        </w:tc>
      </w:tr>
      <w:tr w:rsidR="00700687" w:rsidRPr="008B029F" w14:paraId="146F391C" w14:textId="77777777" w:rsidTr="007A6A01">
        <w:trPr>
          <w:cantSplit/>
        </w:trPr>
        <w:tc>
          <w:tcPr>
            <w:tcW w:w="1157" w:type="pct"/>
            <w:vMerge/>
            <w:tcBorders>
              <w:left w:val="single" w:sz="4" w:space="0" w:color="auto"/>
              <w:right w:val="single" w:sz="4" w:space="0" w:color="auto"/>
            </w:tcBorders>
            <w:vAlign w:val="center"/>
            <w:hideMark/>
          </w:tcPr>
          <w:p w14:paraId="383FAEFE" w14:textId="77777777" w:rsidR="00F74B4F" w:rsidRPr="008B029F" w:rsidRDefault="00F74B4F"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2921FB" w14:textId="0FCAD59C" w:rsidR="00F74B4F" w:rsidRPr="008B029F" w:rsidRDefault="00F74B4F" w:rsidP="00A3510E">
            <w:pPr>
              <w:pStyle w:val="TableLeft"/>
              <w:rPr>
                <w:szCs w:val="20"/>
                <w:lang w:val="en-AU"/>
              </w:rPr>
            </w:pPr>
            <w:r w:rsidRPr="008B029F">
              <w:rPr>
                <w:szCs w:val="20"/>
                <w:lang w:val="en-AU"/>
              </w:rPr>
              <w:t>ALT</w:t>
            </w:r>
            <w:r w:rsidR="007C19AB" w:rsidRPr="008B029F">
              <w:rPr>
                <w:szCs w:val="20"/>
                <w:lang w:val="en-AU"/>
              </w:rPr>
              <w:t xml:space="preserve"> or AST</w:t>
            </w:r>
            <w:r w:rsidRPr="008B029F">
              <w:rPr>
                <w:szCs w:val="20"/>
                <w:lang w:val="en-AU"/>
              </w:rPr>
              <w:t xml:space="preserve"> </w:t>
            </w:r>
            <w:r w:rsidR="00726C73" w:rsidRPr="008B029F">
              <w:rPr>
                <w:szCs w:val="20"/>
                <w:lang w:val="en-AU"/>
              </w:rPr>
              <w:t>&gt;5</w:t>
            </w:r>
            <w:r w:rsidR="00A07F04" w:rsidRPr="008B029F">
              <w:rPr>
                <w:szCs w:val="20"/>
                <w:lang w:val="en-AU"/>
              </w:rPr>
              <w:t xml:space="preserve"> </w:t>
            </w:r>
            <w:r w:rsidR="00726C73" w:rsidRPr="008B029F">
              <w:rPr>
                <w:szCs w:val="20"/>
                <w:lang w:val="en-AU"/>
              </w:rPr>
              <w:t>-</w:t>
            </w:r>
            <w:r w:rsidR="00A07F04" w:rsidRPr="008B029F">
              <w:rPr>
                <w:szCs w:val="20"/>
                <w:lang w:val="en-AU"/>
              </w:rPr>
              <w:t xml:space="preserve"> </w:t>
            </w:r>
            <w:r w:rsidRPr="008B029F">
              <w:rPr>
                <w:szCs w:val="20"/>
                <w:lang w:val="en-AU"/>
              </w:rPr>
              <w:t>≤</w:t>
            </w:r>
            <w:r w:rsidR="007C19AB" w:rsidRPr="008B029F">
              <w:rPr>
                <w:szCs w:val="20"/>
                <w:lang w:val="en-AU"/>
              </w:rPr>
              <w:t>10</w:t>
            </w:r>
            <w:r w:rsidR="00E41E36" w:rsidRPr="008B029F">
              <w:rPr>
                <w:szCs w:val="20"/>
                <w:lang w:val="en-AU"/>
              </w:rPr>
              <w:t xml:space="preserve"> </w:t>
            </w:r>
            <w:r w:rsidRPr="008B029F">
              <w:rPr>
                <w:szCs w:val="20"/>
                <w:lang w:val="en-AU"/>
              </w:rPr>
              <w:t>x</w:t>
            </w:r>
            <w:r w:rsidR="00E41E36" w:rsidRPr="008B029F">
              <w:rPr>
                <w:szCs w:val="20"/>
                <w:lang w:val="en-AU"/>
              </w:rPr>
              <w:t xml:space="preserve"> </w:t>
            </w:r>
            <w:r w:rsidRPr="008B029F">
              <w:rPr>
                <w:szCs w:val="20"/>
                <w:lang w:val="en-AU"/>
              </w:rPr>
              <w:t>ULN</w:t>
            </w:r>
          </w:p>
        </w:tc>
        <w:tc>
          <w:tcPr>
            <w:tcW w:w="797" w:type="pct"/>
            <w:vMerge/>
            <w:tcBorders>
              <w:top w:val="single" w:sz="4" w:space="0" w:color="auto"/>
              <w:left w:val="single" w:sz="4" w:space="0" w:color="auto"/>
              <w:bottom w:val="single" w:sz="4" w:space="0" w:color="auto"/>
              <w:right w:val="single" w:sz="4" w:space="0" w:color="auto"/>
            </w:tcBorders>
            <w:vAlign w:val="center"/>
            <w:hideMark/>
          </w:tcPr>
          <w:p w14:paraId="0B09A6FA" w14:textId="77777777" w:rsidR="00F74B4F" w:rsidRPr="008B029F" w:rsidRDefault="00F74B4F" w:rsidP="00A3510E">
            <w:pPr>
              <w:pStyle w:val="TableLeft"/>
              <w:rPr>
                <w:szCs w:val="20"/>
                <w:lang w:val="en-AU"/>
              </w:rPr>
            </w:pPr>
          </w:p>
        </w:tc>
        <w:tc>
          <w:tcPr>
            <w:tcW w:w="1232" w:type="pct"/>
            <w:vMerge/>
            <w:tcBorders>
              <w:left w:val="single" w:sz="4" w:space="0" w:color="auto"/>
              <w:right w:val="single" w:sz="4" w:space="0" w:color="auto"/>
            </w:tcBorders>
            <w:vAlign w:val="center"/>
            <w:hideMark/>
          </w:tcPr>
          <w:p w14:paraId="0C5783FD" w14:textId="77777777" w:rsidR="00F74B4F" w:rsidRPr="008B029F" w:rsidRDefault="00F74B4F" w:rsidP="00A3510E">
            <w:pPr>
              <w:pStyle w:val="TableLeft"/>
              <w:rPr>
                <w:szCs w:val="20"/>
                <w:lang w:val="en-AU"/>
              </w:rPr>
            </w:pPr>
          </w:p>
        </w:tc>
      </w:tr>
      <w:tr w:rsidR="00700687" w:rsidRPr="008B029F" w14:paraId="023C9FC4" w14:textId="77777777" w:rsidTr="007A6A01">
        <w:trPr>
          <w:cantSplit/>
        </w:trPr>
        <w:tc>
          <w:tcPr>
            <w:tcW w:w="1157" w:type="pct"/>
            <w:vMerge/>
            <w:tcBorders>
              <w:left w:val="single" w:sz="4" w:space="0" w:color="auto"/>
              <w:right w:val="single" w:sz="4" w:space="0" w:color="auto"/>
            </w:tcBorders>
            <w:tcMar>
              <w:top w:w="0" w:type="dxa"/>
              <w:left w:w="108" w:type="dxa"/>
              <w:bottom w:w="0" w:type="dxa"/>
              <w:right w:w="108" w:type="dxa"/>
            </w:tcMar>
            <w:vAlign w:val="center"/>
            <w:hideMark/>
          </w:tcPr>
          <w:p w14:paraId="09EEA37E" w14:textId="77777777" w:rsidR="00F74B4F" w:rsidRPr="008B029F" w:rsidRDefault="00F74B4F"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02D4B8" w14:textId="3FFFFA38" w:rsidR="00F74B4F" w:rsidRPr="008B029F" w:rsidRDefault="007C19AB" w:rsidP="00A3510E">
            <w:pPr>
              <w:pStyle w:val="TableLeft"/>
              <w:rPr>
                <w:szCs w:val="20"/>
                <w:lang w:val="en-AU"/>
              </w:rPr>
            </w:pPr>
            <w:r w:rsidRPr="008B029F">
              <w:rPr>
                <w:szCs w:val="20"/>
                <w:lang w:val="en-AU"/>
              </w:rPr>
              <w:t>Concurrent</w:t>
            </w:r>
            <w:r w:rsidR="00F74B4F" w:rsidRPr="008B029F">
              <w:rPr>
                <w:szCs w:val="20"/>
                <w:lang w:val="en-AU"/>
              </w:rPr>
              <w:t xml:space="preserve"> ALT</w:t>
            </w:r>
            <w:r w:rsidRPr="008B029F">
              <w:rPr>
                <w:szCs w:val="20"/>
                <w:lang w:val="en-AU"/>
              </w:rPr>
              <w:t xml:space="preserve"> or AST</w:t>
            </w:r>
            <w:r w:rsidR="00F74B4F" w:rsidRPr="008B029F">
              <w:rPr>
                <w:szCs w:val="20"/>
                <w:lang w:val="en-AU"/>
              </w:rPr>
              <w:t xml:space="preserve"> &gt;</w:t>
            </w:r>
            <w:r w:rsidRPr="008B029F">
              <w:rPr>
                <w:szCs w:val="20"/>
                <w:lang w:val="en-AU"/>
              </w:rPr>
              <w:t>3</w:t>
            </w:r>
            <w:r w:rsidR="00E41E36" w:rsidRPr="008B029F">
              <w:rPr>
                <w:szCs w:val="20"/>
                <w:lang w:val="en-AU"/>
              </w:rPr>
              <w:t xml:space="preserve"> </w:t>
            </w:r>
            <w:r w:rsidR="00F74B4F" w:rsidRPr="008B029F">
              <w:rPr>
                <w:szCs w:val="20"/>
                <w:lang w:val="en-AU"/>
              </w:rPr>
              <w:t>x</w:t>
            </w:r>
            <w:r w:rsidR="00E41E36" w:rsidRPr="008B029F">
              <w:rPr>
                <w:szCs w:val="20"/>
                <w:lang w:val="en-AU"/>
              </w:rPr>
              <w:t xml:space="preserve"> </w:t>
            </w:r>
            <w:r w:rsidR="00F74B4F" w:rsidRPr="008B029F">
              <w:rPr>
                <w:szCs w:val="20"/>
                <w:lang w:val="en-AU"/>
              </w:rPr>
              <w:t xml:space="preserve">ULN </w:t>
            </w:r>
            <w:r w:rsidRPr="008B029F">
              <w:rPr>
                <w:szCs w:val="20"/>
                <w:lang w:val="en-AU"/>
              </w:rPr>
              <w:t xml:space="preserve">and </w:t>
            </w:r>
            <w:r w:rsidR="00F74B4F" w:rsidRPr="008B029F">
              <w:rPr>
                <w:szCs w:val="20"/>
                <w:lang w:val="en-AU"/>
              </w:rPr>
              <w:t>total bilirubin &gt;</w:t>
            </w:r>
            <w:r w:rsidRPr="008B029F">
              <w:rPr>
                <w:szCs w:val="20"/>
                <w:lang w:val="en-AU"/>
              </w:rPr>
              <w:t>2</w:t>
            </w:r>
            <w:r w:rsidR="00E41E36" w:rsidRPr="008B029F">
              <w:rPr>
                <w:szCs w:val="20"/>
                <w:lang w:val="en-AU"/>
              </w:rPr>
              <w:t xml:space="preserve"> </w:t>
            </w:r>
            <w:r w:rsidR="00F74B4F" w:rsidRPr="008B029F">
              <w:rPr>
                <w:szCs w:val="20"/>
                <w:lang w:val="en-AU"/>
              </w:rPr>
              <w:t>x</w:t>
            </w:r>
            <w:r w:rsidR="00E41E36" w:rsidRPr="008B029F">
              <w:rPr>
                <w:szCs w:val="20"/>
                <w:lang w:val="en-AU"/>
              </w:rPr>
              <w:t xml:space="preserve"> </w:t>
            </w:r>
            <w:r w:rsidR="00F74B4F" w:rsidRPr="008B029F">
              <w:rPr>
                <w:szCs w:val="20"/>
                <w:lang w:val="en-AU"/>
              </w:rPr>
              <w:t>ULN</w:t>
            </w:r>
            <w:r w:rsidR="00F26F3D">
              <w:rPr>
                <w:szCs w:val="20"/>
                <w:lang w:val="en-AU"/>
              </w:rPr>
              <w:t xml:space="preserve"> </w:t>
            </w:r>
            <w:r w:rsidRPr="008B029F">
              <w:rPr>
                <w:szCs w:val="20"/>
                <w:vertAlign w:val="superscript"/>
                <w:lang w:val="en-AU"/>
              </w:rPr>
              <w:t>e</w:t>
            </w:r>
          </w:p>
        </w:tc>
        <w:tc>
          <w:tcPr>
            <w:tcW w:w="79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A7564F" w14:textId="4B2790A9" w:rsidR="00F74B4F" w:rsidRPr="008B029F" w:rsidRDefault="00F74B4F" w:rsidP="00A3510E">
            <w:pPr>
              <w:pStyle w:val="TableLeft"/>
              <w:rPr>
                <w:szCs w:val="20"/>
                <w:vertAlign w:val="superscript"/>
                <w:lang w:val="en-AU"/>
              </w:rPr>
            </w:pPr>
            <w:r w:rsidRPr="008B029F">
              <w:rPr>
                <w:szCs w:val="20"/>
                <w:lang w:val="en-AU"/>
              </w:rPr>
              <w:t>Permanently discontinue</w:t>
            </w:r>
          </w:p>
        </w:tc>
        <w:tc>
          <w:tcPr>
            <w:tcW w:w="1232" w:type="pct"/>
            <w:vMerge/>
            <w:tcBorders>
              <w:left w:val="single" w:sz="4" w:space="0" w:color="auto"/>
              <w:right w:val="single" w:sz="4" w:space="0" w:color="auto"/>
            </w:tcBorders>
            <w:tcMar>
              <w:top w:w="0" w:type="dxa"/>
              <w:left w:w="108" w:type="dxa"/>
              <w:bottom w:w="0" w:type="dxa"/>
              <w:right w:w="108" w:type="dxa"/>
            </w:tcMar>
            <w:vAlign w:val="center"/>
            <w:hideMark/>
          </w:tcPr>
          <w:p w14:paraId="34A6E8C5" w14:textId="77777777" w:rsidR="00F74B4F" w:rsidRPr="008B029F" w:rsidRDefault="00F74B4F" w:rsidP="00A3510E">
            <w:pPr>
              <w:pStyle w:val="TableLeft"/>
              <w:rPr>
                <w:szCs w:val="20"/>
                <w:lang w:val="en-AU"/>
              </w:rPr>
            </w:pPr>
          </w:p>
        </w:tc>
      </w:tr>
      <w:tr w:rsidR="00700687" w:rsidRPr="008B029F" w14:paraId="10D5A444" w14:textId="77777777" w:rsidTr="007A6A01">
        <w:trPr>
          <w:cantSplit/>
        </w:trPr>
        <w:tc>
          <w:tcPr>
            <w:tcW w:w="1157" w:type="pct"/>
            <w:vMerge/>
            <w:tcBorders>
              <w:left w:val="single" w:sz="4" w:space="0" w:color="auto"/>
              <w:bottom w:val="single" w:sz="4" w:space="0" w:color="auto"/>
              <w:right w:val="single" w:sz="4" w:space="0" w:color="auto"/>
            </w:tcBorders>
            <w:vAlign w:val="center"/>
            <w:hideMark/>
          </w:tcPr>
          <w:p w14:paraId="6AC9DFA4" w14:textId="77777777" w:rsidR="00F74B4F" w:rsidRPr="008B029F" w:rsidRDefault="00F74B4F"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9594AF" w14:textId="5C675FA7" w:rsidR="00F74B4F" w:rsidRPr="008B029F" w:rsidRDefault="00F74B4F" w:rsidP="00A3510E">
            <w:pPr>
              <w:pStyle w:val="TableLeft"/>
              <w:rPr>
                <w:szCs w:val="20"/>
                <w:lang w:val="en-AU"/>
              </w:rPr>
            </w:pPr>
            <w:r w:rsidRPr="008B029F">
              <w:rPr>
                <w:szCs w:val="20"/>
                <w:lang w:val="en-AU"/>
              </w:rPr>
              <w:t>ALT or AST &gt;</w:t>
            </w:r>
            <w:r w:rsidR="007C19AB" w:rsidRPr="008B029F">
              <w:rPr>
                <w:szCs w:val="20"/>
                <w:lang w:val="en-AU"/>
              </w:rPr>
              <w:t>10</w:t>
            </w:r>
            <w:r w:rsidR="00E41E36" w:rsidRPr="008B029F">
              <w:rPr>
                <w:szCs w:val="20"/>
                <w:lang w:val="en-AU"/>
              </w:rPr>
              <w:t xml:space="preserve"> </w:t>
            </w:r>
            <w:r w:rsidRPr="008B029F">
              <w:rPr>
                <w:szCs w:val="20"/>
                <w:lang w:val="en-AU"/>
              </w:rPr>
              <w:t>x</w:t>
            </w:r>
            <w:r w:rsidR="00E41E36" w:rsidRPr="008B029F">
              <w:rPr>
                <w:szCs w:val="20"/>
                <w:lang w:val="en-AU"/>
              </w:rPr>
              <w:t xml:space="preserve"> </w:t>
            </w:r>
            <w:r w:rsidRPr="008B029F">
              <w:rPr>
                <w:szCs w:val="20"/>
                <w:lang w:val="en-AU"/>
              </w:rPr>
              <w:t xml:space="preserve">ULN </w:t>
            </w:r>
            <w:r w:rsidR="007A6A01" w:rsidRPr="008B029F">
              <w:rPr>
                <w:szCs w:val="20"/>
                <w:lang w:val="en-AU"/>
              </w:rPr>
              <w:t xml:space="preserve">or </w:t>
            </w:r>
            <w:r w:rsidRPr="008B029F">
              <w:rPr>
                <w:szCs w:val="20"/>
                <w:lang w:val="en-AU"/>
              </w:rPr>
              <w:t>total bilirubin &gt;</w:t>
            </w:r>
            <w:r w:rsidR="007A6A01" w:rsidRPr="008B029F">
              <w:rPr>
                <w:szCs w:val="20"/>
                <w:lang w:val="en-AU"/>
              </w:rPr>
              <w:t>3</w:t>
            </w:r>
            <w:r w:rsidR="00E41E36" w:rsidRPr="008B029F">
              <w:rPr>
                <w:szCs w:val="20"/>
                <w:lang w:val="en-AU"/>
              </w:rPr>
              <w:t xml:space="preserve"> </w:t>
            </w:r>
            <w:r w:rsidRPr="008B029F">
              <w:rPr>
                <w:szCs w:val="20"/>
                <w:lang w:val="en-AU"/>
              </w:rPr>
              <w:t>x</w:t>
            </w:r>
            <w:r w:rsidR="00E41E36" w:rsidRPr="008B029F">
              <w:rPr>
                <w:szCs w:val="20"/>
                <w:lang w:val="en-AU"/>
              </w:rPr>
              <w:t xml:space="preserve"> </w:t>
            </w:r>
            <w:r w:rsidRPr="008B029F">
              <w:rPr>
                <w:szCs w:val="20"/>
                <w:lang w:val="en-AU"/>
              </w:rPr>
              <w:t>ULN</w:t>
            </w:r>
          </w:p>
        </w:tc>
        <w:tc>
          <w:tcPr>
            <w:tcW w:w="797" w:type="pct"/>
            <w:vMerge/>
            <w:tcBorders>
              <w:top w:val="single" w:sz="4" w:space="0" w:color="auto"/>
              <w:left w:val="single" w:sz="4" w:space="0" w:color="auto"/>
              <w:bottom w:val="single" w:sz="4" w:space="0" w:color="auto"/>
              <w:right w:val="single" w:sz="4" w:space="0" w:color="auto"/>
            </w:tcBorders>
            <w:vAlign w:val="center"/>
            <w:hideMark/>
          </w:tcPr>
          <w:p w14:paraId="4E75E2F4" w14:textId="77777777" w:rsidR="00F74B4F" w:rsidRPr="008B029F" w:rsidRDefault="00F74B4F" w:rsidP="00A3510E">
            <w:pPr>
              <w:pStyle w:val="TableLeft"/>
              <w:rPr>
                <w:szCs w:val="20"/>
                <w:lang w:val="en-AU"/>
              </w:rPr>
            </w:pPr>
          </w:p>
        </w:tc>
        <w:tc>
          <w:tcPr>
            <w:tcW w:w="1232" w:type="pct"/>
            <w:vMerge/>
            <w:tcBorders>
              <w:left w:val="single" w:sz="4" w:space="0" w:color="auto"/>
              <w:bottom w:val="single" w:sz="4" w:space="0" w:color="auto"/>
              <w:right w:val="single" w:sz="4" w:space="0" w:color="auto"/>
            </w:tcBorders>
            <w:vAlign w:val="center"/>
            <w:hideMark/>
          </w:tcPr>
          <w:p w14:paraId="1B907B44" w14:textId="77777777" w:rsidR="00F74B4F" w:rsidRPr="008B029F" w:rsidRDefault="00F74B4F" w:rsidP="00A3510E">
            <w:pPr>
              <w:pStyle w:val="TableLeft"/>
              <w:rPr>
                <w:szCs w:val="20"/>
                <w:lang w:val="en-AU"/>
              </w:rPr>
            </w:pPr>
          </w:p>
        </w:tc>
      </w:tr>
      <w:tr w:rsidR="007A6A01" w:rsidRPr="008B029F" w14:paraId="3C402698" w14:textId="77777777" w:rsidTr="007A6A01">
        <w:trPr>
          <w:cantSplit/>
        </w:trPr>
        <w:tc>
          <w:tcPr>
            <w:tcW w:w="1157" w:type="pct"/>
            <w:vMerge w:val="restart"/>
            <w:tcBorders>
              <w:left w:val="single" w:sz="4" w:space="0" w:color="auto"/>
              <w:right w:val="single" w:sz="4" w:space="0" w:color="auto"/>
            </w:tcBorders>
            <w:vAlign w:val="center"/>
          </w:tcPr>
          <w:p w14:paraId="1F89F690" w14:textId="3E64E708" w:rsidR="007A6A01" w:rsidRPr="008B029F" w:rsidRDefault="007A6A01">
            <w:pPr>
              <w:pStyle w:val="TableLeft"/>
              <w:tabs>
                <w:tab w:val="left" w:pos="1271"/>
              </w:tabs>
              <w:ind w:left="142"/>
              <w:rPr>
                <w:szCs w:val="20"/>
                <w:lang w:val="en-AU"/>
              </w:rPr>
            </w:pPr>
            <w:r w:rsidRPr="008B029F">
              <w:rPr>
                <w:szCs w:val="20"/>
                <w:lang w:val="en-AU"/>
              </w:rPr>
              <w:t>Hepatitis in HCC (or secondary tumour involvement of the liver with abnormal baseline values)</w:t>
            </w:r>
            <w:r w:rsidR="00F26F3D">
              <w:rPr>
                <w:szCs w:val="20"/>
                <w:lang w:val="en-AU"/>
              </w:rPr>
              <w:t xml:space="preserve"> </w:t>
            </w:r>
            <w:r w:rsidRPr="008B029F">
              <w:rPr>
                <w:szCs w:val="20"/>
                <w:vertAlign w:val="superscript"/>
                <w:lang w:val="en-AU"/>
              </w:rPr>
              <w:t>f</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C4BCB8" w14:textId="0711AD8D" w:rsidR="007A6A01" w:rsidRPr="008B029F" w:rsidDel="00FD478C" w:rsidRDefault="007A6A01">
            <w:pPr>
              <w:pStyle w:val="TableLeft"/>
              <w:rPr>
                <w:szCs w:val="20"/>
                <w:lang w:val="en-AU"/>
              </w:rPr>
            </w:pPr>
            <w:r w:rsidRPr="008B029F">
              <w:rPr>
                <w:szCs w:val="20"/>
                <w:lang w:val="en-AU"/>
              </w:rPr>
              <w:t>ALT or AST &gt;2.5-≤5 x BLV and ≤20</w:t>
            </w:r>
            <w:r w:rsidR="004F6172">
              <w:rPr>
                <w:szCs w:val="20"/>
                <w:lang w:val="en-AU"/>
              </w:rPr>
              <w:t> </w:t>
            </w:r>
            <w:r w:rsidRPr="008B029F">
              <w:rPr>
                <w:szCs w:val="20"/>
                <w:lang w:val="en-AU"/>
              </w:rPr>
              <w:t>x</w:t>
            </w:r>
            <w:r w:rsidR="004F6172">
              <w:rPr>
                <w:szCs w:val="20"/>
                <w:lang w:val="en-AU"/>
              </w:rPr>
              <w:t> </w:t>
            </w:r>
            <w:r w:rsidRPr="008B029F">
              <w:rPr>
                <w:szCs w:val="20"/>
                <w:lang w:val="en-AU"/>
              </w:rPr>
              <w:t>ULN</w:t>
            </w:r>
          </w:p>
        </w:tc>
        <w:tc>
          <w:tcPr>
            <w:tcW w:w="797" w:type="pct"/>
            <w:tcBorders>
              <w:top w:val="single" w:sz="4" w:space="0" w:color="auto"/>
              <w:left w:val="single" w:sz="4" w:space="0" w:color="auto"/>
              <w:bottom w:val="single" w:sz="4" w:space="0" w:color="auto"/>
              <w:right w:val="single" w:sz="4" w:space="0" w:color="auto"/>
            </w:tcBorders>
            <w:vAlign w:val="center"/>
          </w:tcPr>
          <w:p w14:paraId="3888A07B" w14:textId="7114B38D" w:rsidR="007A6A01" w:rsidRPr="008B029F" w:rsidRDefault="007A6A01">
            <w:pPr>
              <w:pStyle w:val="TableLeft"/>
              <w:rPr>
                <w:szCs w:val="20"/>
                <w:lang w:val="en-AU"/>
              </w:rPr>
            </w:pPr>
            <w:r w:rsidRPr="008B029F">
              <w:rPr>
                <w:szCs w:val="20"/>
                <w:lang w:val="en-AU"/>
              </w:rPr>
              <w:t>Withhold dose</w:t>
            </w:r>
          </w:p>
        </w:tc>
        <w:tc>
          <w:tcPr>
            <w:tcW w:w="1232" w:type="pct"/>
            <w:vMerge w:val="restart"/>
            <w:tcBorders>
              <w:left w:val="single" w:sz="4" w:space="0" w:color="auto"/>
              <w:right w:val="single" w:sz="4" w:space="0" w:color="auto"/>
            </w:tcBorders>
            <w:vAlign w:val="center"/>
          </w:tcPr>
          <w:p w14:paraId="6C816D04" w14:textId="77777777" w:rsidR="007A6A01" w:rsidRPr="008B029F" w:rsidRDefault="007A6A01">
            <w:pPr>
              <w:pStyle w:val="TableLeft"/>
              <w:rPr>
                <w:szCs w:val="20"/>
                <w:lang w:val="en-AU"/>
              </w:rPr>
            </w:pPr>
            <w:r w:rsidRPr="008B029F">
              <w:rPr>
                <w:szCs w:val="20"/>
                <w:lang w:val="en-AU"/>
              </w:rPr>
              <w:t>Initiate 1 to 2 mg/kg/day prednisone or equivalent followed by a taper</w:t>
            </w:r>
          </w:p>
        </w:tc>
      </w:tr>
      <w:tr w:rsidR="007A6A01" w:rsidRPr="008B029F" w14:paraId="651FD556" w14:textId="77777777" w:rsidTr="007A6A01">
        <w:trPr>
          <w:cantSplit/>
        </w:trPr>
        <w:tc>
          <w:tcPr>
            <w:tcW w:w="1157" w:type="pct"/>
            <w:vMerge/>
            <w:tcBorders>
              <w:left w:val="single" w:sz="4" w:space="0" w:color="auto"/>
              <w:right w:val="single" w:sz="4" w:space="0" w:color="auto"/>
            </w:tcBorders>
            <w:vAlign w:val="center"/>
          </w:tcPr>
          <w:p w14:paraId="04155DAE" w14:textId="77777777" w:rsidR="007A6A01" w:rsidRPr="008B029F" w:rsidRDefault="007A6A01">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B78220" w14:textId="2B801B4D" w:rsidR="007A6A01" w:rsidRPr="008B029F" w:rsidDel="00FD478C" w:rsidRDefault="007A6A01">
            <w:pPr>
              <w:pStyle w:val="TableLeft"/>
              <w:rPr>
                <w:szCs w:val="20"/>
                <w:lang w:val="en-AU"/>
              </w:rPr>
            </w:pPr>
            <w:r w:rsidRPr="008B029F">
              <w:rPr>
                <w:szCs w:val="20"/>
                <w:lang w:val="en-AU"/>
              </w:rPr>
              <w:t>ALT or AST &gt;5-7 x BLV and ≤20</w:t>
            </w:r>
            <w:r w:rsidR="004F6172">
              <w:rPr>
                <w:szCs w:val="20"/>
                <w:lang w:val="en-AU"/>
              </w:rPr>
              <w:t> </w:t>
            </w:r>
            <w:r w:rsidRPr="008B029F">
              <w:rPr>
                <w:szCs w:val="20"/>
                <w:lang w:val="en-AU"/>
              </w:rPr>
              <w:t>x</w:t>
            </w:r>
            <w:r w:rsidR="004F6172">
              <w:rPr>
                <w:szCs w:val="20"/>
                <w:lang w:val="en-AU"/>
              </w:rPr>
              <w:t> </w:t>
            </w:r>
            <w:r w:rsidRPr="008B029F">
              <w:rPr>
                <w:szCs w:val="20"/>
                <w:lang w:val="en-AU"/>
              </w:rPr>
              <w:t>ULN OR concurrent ALT or AST 2.5-5</w:t>
            </w:r>
            <w:r w:rsidR="004F6172">
              <w:rPr>
                <w:szCs w:val="20"/>
                <w:lang w:val="en-AU"/>
              </w:rPr>
              <w:t> </w:t>
            </w:r>
            <w:r w:rsidRPr="008B029F">
              <w:rPr>
                <w:szCs w:val="20"/>
                <w:lang w:val="en-AU"/>
              </w:rPr>
              <w:t>x BLV and ≤20 x ULN AND total bilirubin &gt;1.5 - &lt;2 x ULN</w:t>
            </w:r>
            <w:r w:rsidRPr="008B029F">
              <w:rPr>
                <w:szCs w:val="20"/>
                <w:vertAlign w:val="superscript"/>
                <w:lang w:val="en-AU"/>
              </w:rPr>
              <w:t>e</w:t>
            </w:r>
          </w:p>
        </w:tc>
        <w:tc>
          <w:tcPr>
            <w:tcW w:w="797" w:type="pct"/>
            <w:tcBorders>
              <w:top w:val="single" w:sz="4" w:space="0" w:color="auto"/>
              <w:left w:val="single" w:sz="4" w:space="0" w:color="auto"/>
              <w:bottom w:val="single" w:sz="4" w:space="0" w:color="auto"/>
              <w:right w:val="single" w:sz="4" w:space="0" w:color="auto"/>
            </w:tcBorders>
            <w:vAlign w:val="center"/>
          </w:tcPr>
          <w:p w14:paraId="1507DC05" w14:textId="77777777" w:rsidR="007A6A01" w:rsidRPr="008B029F" w:rsidRDefault="007A6A01">
            <w:pPr>
              <w:pStyle w:val="TableLeft"/>
              <w:rPr>
                <w:szCs w:val="20"/>
                <w:lang w:val="en-AU"/>
              </w:rPr>
            </w:pPr>
            <w:r w:rsidRPr="008B029F">
              <w:rPr>
                <w:szCs w:val="20"/>
                <w:lang w:val="en-AU"/>
              </w:rPr>
              <w:t>Withhold durvalumab and permanently discontinue tremelimumab</w:t>
            </w:r>
          </w:p>
        </w:tc>
        <w:tc>
          <w:tcPr>
            <w:tcW w:w="1232" w:type="pct"/>
            <w:vMerge/>
            <w:tcBorders>
              <w:left w:val="single" w:sz="4" w:space="0" w:color="auto"/>
              <w:right w:val="single" w:sz="4" w:space="0" w:color="auto"/>
            </w:tcBorders>
            <w:vAlign w:val="center"/>
          </w:tcPr>
          <w:p w14:paraId="69906FD9" w14:textId="77777777" w:rsidR="007A6A01" w:rsidRPr="008B029F" w:rsidRDefault="007A6A01">
            <w:pPr>
              <w:pStyle w:val="TableLeft"/>
              <w:rPr>
                <w:szCs w:val="20"/>
                <w:lang w:val="en-AU"/>
              </w:rPr>
            </w:pPr>
          </w:p>
        </w:tc>
      </w:tr>
      <w:tr w:rsidR="007A6A01" w:rsidRPr="008B029F" w14:paraId="4F3A28B4" w14:textId="77777777" w:rsidTr="007A6A01">
        <w:trPr>
          <w:cantSplit/>
        </w:trPr>
        <w:tc>
          <w:tcPr>
            <w:tcW w:w="1157" w:type="pct"/>
            <w:vMerge/>
            <w:tcBorders>
              <w:left w:val="single" w:sz="4" w:space="0" w:color="auto"/>
              <w:bottom w:val="single" w:sz="4" w:space="0" w:color="auto"/>
              <w:right w:val="single" w:sz="4" w:space="0" w:color="auto"/>
            </w:tcBorders>
            <w:vAlign w:val="center"/>
          </w:tcPr>
          <w:p w14:paraId="1148279A" w14:textId="77777777" w:rsidR="007A6A01" w:rsidRPr="008B029F" w:rsidRDefault="007A6A01">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23ECE1" w14:textId="77172DCE" w:rsidR="007A6A01" w:rsidRPr="008B029F" w:rsidDel="00FD478C" w:rsidRDefault="007A6A01">
            <w:pPr>
              <w:pStyle w:val="TableLeft"/>
              <w:rPr>
                <w:szCs w:val="20"/>
                <w:lang w:val="en-AU"/>
              </w:rPr>
            </w:pPr>
            <w:r w:rsidRPr="008B029F">
              <w:rPr>
                <w:szCs w:val="20"/>
                <w:lang w:val="en-AU"/>
              </w:rPr>
              <w:t xml:space="preserve">ALT or AST &gt;7 x BLV OR &gt;20 </w:t>
            </w:r>
            <w:r w:rsidR="00987E0A" w:rsidRPr="008B029F">
              <w:rPr>
                <w:szCs w:val="20"/>
                <w:lang w:val="en-AU"/>
              </w:rPr>
              <w:t xml:space="preserve">x </w:t>
            </w:r>
            <w:r w:rsidRPr="008B029F">
              <w:rPr>
                <w:szCs w:val="20"/>
                <w:lang w:val="en-AU"/>
              </w:rPr>
              <w:t>ULN whichever occurs first OR bilirubin &gt;3</w:t>
            </w:r>
            <w:r w:rsidR="00F26F3D">
              <w:rPr>
                <w:szCs w:val="20"/>
                <w:lang w:val="en-AU"/>
              </w:rPr>
              <w:t> </w:t>
            </w:r>
            <w:r w:rsidR="00A50514" w:rsidRPr="008B029F">
              <w:rPr>
                <w:szCs w:val="20"/>
                <w:lang w:val="en-AU"/>
              </w:rPr>
              <w:t>x</w:t>
            </w:r>
            <w:r w:rsidR="00F26F3D">
              <w:rPr>
                <w:szCs w:val="20"/>
                <w:lang w:val="en-AU"/>
              </w:rPr>
              <w:t> </w:t>
            </w:r>
            <w:r w:rsidRPr="008B029F">
              <w:rPr>
                <w:szCs w:val="20"/>
                <w:lang w:val="en-AU"/>
              </w:rPr>
              <w:t>ULN</w:t>
            </w:r>
          </w:p>
        </w:tc>
        <w:tc>
          <w:tcPr>
            <w:tcW w:w="797" w:type="pct"/>
            <w:tcBorders>
              <w:top w:val="single" w:sz="4" w:space="0" w:color="auto"/>
              <w:left w:val="single" w:sz="4" w:space="0" w:color="auto"/>
              <w:bottom w:val="single" w:sz="4" w:space="0" w:color="auto"/>
              <w:right w:val="single" w:sz="4" w:space="0" w:color="auto"/>
            </w:tcBorders>
            <w:vAlign w:val="center"/>
          </w:tcPr>
          <w:p w14:paraId="3543347A" w14:textId="77777777" w:rsidR="007A6A01" w:rsidRPr="008B029F" w:rsidRDefault="007A6A01">
            <w:pPr>
              <w:pStyle w:val="TableLeft"/>
              <w:rPr>
                <w:szCs w:val="20"/>
                <w:lang w:val="en-AU"/>
              </w:rPr>
            </w:pPr>
            <w:r w:rsidRPr="008B029F">
              <w:rPr>
                <w:szCs w:val="20"/>
                <w:lang w:val="en-AU"/>
              </w:rPr>
              <w:t>Permanently discontinue</w:t>
            </w:r>
          </w:p>
        </w:tc>
        <w:tc>
          <w:tcPr>
            <w:tcW w:w="1232" w:type="pct"/>
            <w:vMerge/>
            <w:tcBorders>
              <w:left w:val="single" w:sz="4" w:space="0" w:color="auto"/>
              <w:bottom w:val="single" w:sz="4" w:space="0" w:color="auto"/>
              <w:right w:val="single" w:sz="4" w:space="0" w:color="auto"/>
            </w:tcBorders>
            <w:vAlign w:val="center"/>
          </w:tcPr>
          <w:p w14:paraId="6E4103C2" w14:textId="77777777" w:rsidR="007A6A01" w:rsidRPr="008B029F" w:rsidRDefault="007A6A01">
            <w:pPr>
              <w:pStyle w:val="TableLeft"/>
              <w:rPr>
                <w:szCs w:val="20"/>
                <w:lang w:val="en-AU"/>
              </w:rPr>
            </w:pPr>
          </w:p>
        </w:tc>
      </w:tr>
      <w:tr w:rsidR="004F5145" w:rsidRPr="00F26F3D" w14:paraId="6BC8FF26" w14:textId="77777777">
        <w:trPr>
          <w:cantSplit/>
        </w:trPr>
        <w:tc>
          <w:tcPr>
            <w:tcW w:w="115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F0B7FE5" w14:textId="567BCD19" w:rsidR="004F5145" w:rsidRPr="00F26F3D" w:rsidRDefault="004F5145" w:rsidP="00A3510E">
            <w:pPr>
              <w:pStyle w:val="TableLeft"/>
              <w:rPr>
                <w:lang w:val="en-AU"/>
              </w:rPr>
            </w:pPr>
            <w:r w:rsidRPr="00F26F3D">
              <w:rPr>
                <w:lang w:val="en-AU"/>
              </w:rPr>
              <w:t>Colitis or diarrhoea</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366110" w14:textId="4F4534BE" w:rsidR="004F5145" w:rsidRPr="00F26F3D" w:rsidRDefault="004F5145" w:rsidP="00A3510E">
            <w:pPr>
              <w:pStyle w:val="TableLeft"/>
              <w:rPr>
                <w:szCs w:val="20"/>
                <w:lang w:val="en-AU"/>
              </w:rPr>
            </w:pPr>
            <w:r w:rsidRPr="00F26F3D">
              <w:rPr>
                <w:szCs w:val="20"/>
                <w:lang w:val="en-AU"/>
              </w:rPr>
              <w:t>Grade 2</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3679CD" w14:textId="5E4B841F" w:rsidR="004F5145" w:rsidRPr="00F26F3D" w:rsidRDefault="004F5145" w:rsidP="00A3510E">
            <w:pPr>
              <w:pStyle w:val="TableLeft"/>
              <w:rPr>
                <w:szCs w:val="20"/>
                <w:lang w:val="en-AU"/>
              </w:rPr>
            </w:pPr>
            <w:r w:rsidRPr="00F26F3D">
              <w:rPr>
                <w:szCs w:val="20"/>
                <w:lang w:val="en-AU"/>
              </w:rPr>
              <w:t>Withhold dose</w:t>
            </w:r>
          </w:p>
        </w:tc>
        <w:tc>
          <w:tcPr>
            <w:tcW w:w="123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EBA942" w14:textId="77777777" w:rsidR="004F5145" w:rsidRPr="00F26F3D" w:rsidRDefault="004F5145" w:rsidP="00A3510E">
            <w:pPr>
              <w:pStyle w:val="TableLeft"/>
              <w:rPr>
                <w:szCs w:val="20"/>
                <w:lang w:val="en-AU"/>
              </w:rPr>
            </w:pPr>
            <w:r w:rsidRPr="00F26F3D">
              <w:rPr>
                <w:szCs w:val="20"/>
                <w:lang w:val="en-AU"/>
              </w:rPr>
              <w:t>Initiate 1 to 2 mg/kg/day prednisone or equivalent followed by a taper</w:t>
            </w:r>
          </w:p>
        </w:tc>
      </w:tr>
      <w:tr w:rsidR="004F5145" w:rsidRPr="00F26F3D" w14:paraId="7FBFD27B" w14:textId="77777777" w:rsidTr="00F26F3D">
        <w:trPr>
          <w:cantSplit/>
        </w:trPr>
        <w:tc>
          <w:tcPr>
            <w:tcW w:w="1157" w:type="pct"/>
            <w:vMerge/>
            <w:tcBorders>
              <w:left w:val="single" w:sz="4" w:space="0" w:color="auto"/>
              <w:right w:val="single" w:sz="4" w:space="0" w:color="auto"/>
            </w:tcBorders>
            <w:tcMar>
              <w:top w:w="0" w:type="dxa"/>
              <w:left w:w="108" w:type="dxa"/>
              <w:bottom w:w="0" w:type="dxa"/>
              <w:right w:w="108" w:type="dxa"/>
            </w:tcMar>
            <w:vAlign w:val="center"/>
          </w:tcPr>
          <w:p w14:paraId="41F883BF" w14:textId="77777777" w:rsidR="004F5145" w:rsidRPr="00F26F3D" w:rsidRDefault="004F5145" w:rsidP="00A3510E">
            <w:pPr>
              <w:pStyle w:val="TableLeft"/>
              <w:rPr>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E31265" w14:textId="0AEED2B1" w:rsidR="004F5145" w:rsidRPr="00F26F3D" w:rsidRDefault="00DD397D" w:rsidP="00A3510E">
            <w:pPr>
              <w:pStyle w:val="TableLeft"/>
              <w:rPr>
                <w:szCs w:val="20"/>
                <w:lang w:val="en-AU"/>
              </w:rPr>
            </w:pPr>
            <w:r w:rsidRPr="00F26F3D">
              <w:rPr>
                <w:szCs w:val="20"/>
                <w:lang w:val="en-AU"/>
              </w:rPr>
              <w:t>Grade 3 for IMFINZI monotherapy</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45AEFE" w14:textId="397577BE" w:rsidR="004F5145" w:rsidRPr="00F26F3D" w:rsidRDefault="00DD397D" w:rsidP="00A3510E">
            <w:pPr>
              <w:pStyle w:val="TableLeft"/>
              <w:rPr>
                <w:szCs w:val="20"/>
                <w:lang w:val="en-AU"/>
              </w:rPr>
            </w:pPr>
            <w:r w:rsidRPr="00F26F3D">
              <w:rPr>
                <w:szCs w:val="20"/>
                <w:lang w:val="en-AU"/>
              </w:rPr>
              <w:t>Withhold dose</w:t>
            </w:r>
          </w:p>
        </w:tc>
        <w:tc>
          <w:tcPr>
            <w:tcW w:w="1232"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571B51" w14:textId="77777777" w:rsidR="004F5145" w:rsidRPr="00F26F3D" w:rsidRDefault="004F5145" w:rsidP="00A3510E">
            <w:pPr>
              <w:pStyle w:val="TableLeft"/>
              <w:rPr>
                <w:szCs w:val="20"/>
                <w:lang w:val="en-AU"/>
              </w:rPr>
            </w:pPr>
          </w:p>
        </w:tc>
      </w:tr>
      <w:tr w:rsidR="004F5145" w:rsidRPr="00F26F3D" w14:paraId="4E9A6E4E" w14:textId="77777777" w:rsidTr="00F26F3D">
        <w:trPr>
          <w:cantSplit/>
        </w:trPr>
        <w:tc>
          <w:tcPr>
            <w:tcW w:w="1157" w:type="pct"/>
            <w:vMerge/>
            <w:tcBorders>
              <w:left w:val="single" w:sz="4" w:space="0" w:color="auto"/>
              <w:right w:val="single" w:sz="4" w:space="0" w:color="auto"/>
            </w:tcBorders>
            <w:tcMar>
              <w:top w:w="0" w:type="dxa"/>
              <w:left w:w="108" w:type="dxa"/>
              <w:bottom w:w="0" w:type="dxa"/>
              <w:right w:w="108" w:type="dxa"/>
            </w:tcMar>
            <w:vAlign w:val="center"/>
          </w:tcPr>
          <w:p w14:paraId="176CD732" w14:textId="77777777" w:rsidR="004F5145" w:rsidRPr="00F26F3D" w:rsidRDefault="004F5145" w:rsidP="00A3510E">
            <w:pPr>
              <w:pStyle w:val="TableLeft"/>
              <w:rPr>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885FAC" w14:textId="30248D95" w:rsidR="004F5145" w:rsidRPr="00F26F3D" w:rsidRDefault="00DD397D" w:rsidP="00A3510E">
            <w:pPr>
              <w:pStyle w:val="TableLeft"/>
              <w:rPr>
                <w:szCs w:val="20"/>
                <w:lang w:val="en-AU"/>
              </w:rPr>
            </w:pPr>
            <w:r w:rsidRPr="00F26F3D">
              <w:rPr>
                <w:szCs w:val="20"/>
                <w:lang w:val="en-AU"/>
              </w:rPr>
              <w:t>Grade 3 for IMFINZI + tremelimumab</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CB2067" w14:textId="586C6AA7" w:rsidR="004F5145" w:rsidRPr="00F26F3D" w:rsidRDefault="00DD397D" w:rsidP="00A3510E">
            <w:pPr>
              <w:pStyle w:val="TableLeft"/>
              <w:rPr>
                <w:szCs w:val="20"/>
                <w:lang w:val="en-AU"/>
              </w:rPr>
            </w:pPr>
            <w:r w:rsidRPr="00F26F3D">
              <w:rPr>
                <w:szCs w:val="20"/>
                <w:lang w:val="en-AU"/>
              </w:rPr>
              <w:t>Permanently discontinue</w:t>
            </w:r>
          </w:p>
        </w:tc>
        <w:tc>
          <w:tcPr>
            <w:tcW w:w="1232"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6DDDE" w14:textId="77777777" w:rsidR="004F5145" w:rsidRPr="00F26F3D" w:rsidRDefault="004F5145" w:rsidP="00A3510E">
            <w:pPr>
              <w:pStyle w:val="TableLeft"/>
              <w:rPr>
                <w:szCs w:val="20"/>
                <w:lang w:val="en-AU"/>
              </w:rPr>
            </w:pPr>
          </w:p>
        </w:tc>
      </w:tr>
      <w:tr w:rsidR="004F5145" w:rsidRPr="00F26F3D" w14:paraId="74FA4411" w14:textId="77777777">
        <w:trPr>
          <w:cantSplit/>
        </w:trPr>
        <w:tc>
          <w:tcPr>
            <w:tcW w:w="1157" w:type="pct"/>
            <w:vMerge/>
            <w:tcBorders>
              <w:left w:val="single" w:sz="4" w:space="0" w:color="auto"/>
              <w:right w:val="single" w:sz="4" w:space="0" w:color="auto"/>
            </w:tcBorders>
            <w:vAlign w:val="center"/>
            <w:hideMark/>
          </w:tcPr>
          <w:p w14:paraId="18F13B29" w14:textId="77777777" w:rsidR="004F5145" w:rsidRPr="00F26F3D" w:rsidRDefault="004F5145" w:rsidP="00A3510E">
            <w:pPr>
              <w:pStyle w:val="TableLeft"/>
              <w:rPr>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77578D" w14:textId="4A87FF0B" w:rsidR="004F5145" w:rsidRPr="00F26F3D" w:rsidRDefault="004F5145" w:rsidP="00A3510E">
            <w:pPr>
              <w:pStyle w:val="TableLeft"/>
              <w:rPr>
                <w:szCs w:val="20"/>
                <w:lang w:val="en-AU"/>
              </w:rPr>
            </w:pPr>
            <w:r w:rsidRPr="00F26F3D">
              <w:rPr>
                <w:szCs w:val="20"/>
                <w:lang w:val="en-AU"/>
              </w:rPr>
              <w:t>Grade 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66BD3F" w14:textId="0F3BDF7D" w:rsidR="004F5145" w:rsidRPr="00F26F3D" w:rsidRDefault="004F5145" w:rsidP="00A3510E">
            <w:pPr>
              <w:pStyle w:val="TableLeft"/>
              <w:rPr>
                <w:szCs w:val="20"/>
                <w:vertAlign w:val="superscript"/>
                <w:lang w:val="en-AU"/>
              </w:rPr>
            </w:pPr>
            <w:r w:rsidRPr="00F26F3D">
              <w:rPr>
                <w:szCs w:val="20"/>
                <w:lang w:val="en-AU"/>
              </w:rPr>
              <w:t>Permanently discontinue</w:t>
            </w: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6A7711FF" w14:textId="77777777" w:rsidR="004F5145" w:rsidRPr="00F26F3D" w:rsidRDefault="004F5145" w:rsidP="00A3510E">
            <w:pPr>
              <w:pStyle w:val="TableLeft"/>
              <w:rPr>
                <w:szCs w:val="20"/>
                <w:lang w:val="en-AU"/>
              </w:rPr>
            </w:pPr>
          </w:p>
        </w:tc>
      </w:tr>
      <w:tr w:rsidR="004F5145" w:rsidRPr="008B029F" w14:paraId="54F07209" w14:textId="77777777">
        <w:trPr>
          <w:cantSplit/>
        </w:trPr>
        <w:tc>
          <w:tcPr>
            <w:tcW w:w="1157" w:type="pct"/>
            <w:vMerge/>
            <w:tcBorders>
              <w:left w:val="single" w:sz="4" w:space="0" w:color="auto"/>
              <w:bottom w:val="single" w:sz="4" w:space="0" w:color="auto"/>
              <w:right w:val="single" w:sz="4" w:space="0" w:color="auto"/>
            </w:tcBorders>
            <w:vAlign w:val="center"/>
          </w:tcPr>
          <w:p w14:paraId="6BC8E59E" w14:textId="77777777" w:rsidR="004F5145" w:rsidRPr="00F26F3D" w:rsidRDefault="004F5145" w:rsidP="00A3510E">
            <w:pPr>
              <w:pStyle w:val="TableLeft"/>
              <w:rPr>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1DBC70" w14:textId="1D4F7676" w:rsidR="004F5145" w:rsidRPr="00F26F3D" w:rsidRDefault="004F5145" w:rsidP="00A3510E">
            <w:pPr>
              <w:pStyle w:val="TableLeft"/>
              <w:rPr>
                <w:szCs w:val="20"/>
                <w:lang w:val="en-AU"/>
              </w:rPr>
            </w:pPr>
            <w:r w:rsidRPr="00F26F3D">
              <w:rPr>
                <w:szCs w:val="20"/>
                <w:lang w:val="en-AU"/>
              </w:rPr>
              <w:t>Intestinal perforation ANY grade</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D2C6AA" w14:textId="15D1CB5A" w:rsidR="004F5145" w:rsidRPr="00F26F3D" w:rsidRDefault="004F5145" w:rsidP="00A3510E">
            <w:pPr>
              <w:pStyle w:val="TableLeft"/>
              <w:rPr>
                <w:szCs w:val="20"/>
                <w:lang w:val="en-AU"/>
              </w:rPr>
            </w:pPr>
            <w:r w:rsidRPr="00F26F3D">
              <w:rPr>
                <w:szCs w:val="20"/>
                <w:lang w:val="en-AU"/>
              </w:rPr>
              <w:t>Permanently discontinue</w:t>
            </w:r>
          </w:p>
        </w:tc>
        <w:tc>
          <w:tcPr>
            <w:tcW w:w="1232" w:type="pct"/>
            <w:tcBorders>
              <w:top w:val="single" w:sz="4" w:space="0" w:color="auto"/>
              <w:left w:val="single" w:sz="4" w:space="0" w:color="auto"/>
              <w:bottom w:val="single" w:sz="4" w:space="0" w:color="auto"/>
              <w:right w:val="single" w:sz="4" w:space="0" w:color="auto"/>
            </w:tcBorders>
            <w:vAlign w:val="center"/>
          </w:tcPr>
          <w:p w14:paraId="211C4785" w14:textId="3D74E222" w:rsidR="004F5145" w:rsidRPr="008B029F" w:rsidRDefault="004F5145" w:rsidP="004F5145">
            <w:pPr>
              <w:pStyle w:val="TableLeft"/>
              <w:rPr>
                <w:szCs w:val="20"/>
                <w:lang w:val="en-AU"/>
              </w:rPr>
            </w:pPr>
            <w:r w:rsidRPr="00F26F3D">
              <w:rPr>
                <w:szCs w:val="20"/>
                <w:lang w:val="en-AU"/>
              </w:rPr>
              <w:t>Consult a surgeon immediately if an intestinal perforation is suspected</w:t>
            </w:r>
          </w:p>
        </w:tc>
      </w:tr>
      <w:tr w:rsidR="00700687" w:rsidRPr="008B029F" w14:paraId="1AD81720" w14:textId="77777777" w:rsidTr="007A6A01">
        <w:trPr>
          <w:cantSplit/>
        </w:trPr>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2379D" w14:textId="032E6CA8" w:rsidR="00F74B4F" w:rsidRPr="008B029F" w:rsidRDefault="00DA10A2" w:rsidP="00A3510E">
            <w:pPr>
              <w:pStyle w:val="TableLeft"/>
              <w:rPr>
                <w:lang w:val="en-AU"/>
              </w:rPr>
            </w:pPr>
            <w:r w:rsidRPr="008B029F">
              <w:rPr>
                <w:i/>
                <w:iCs/>
                <w:lang w:val="en-AU"/>
              </w:rPr>
              <w:t>E</w:t>
            </w:r>
            <w:r w:rsidR="00F74B4F" w:rsidRPr="008B029F">
              <w:rPr>
                <w:i/>
                <w:iCs/>
                <w:lang w:val="en-AU"/>
              </w:rPr>
              <w:t>ndocrinopathies</w:t>
            </w:r>
            <w:r w:rsidR="00F74B4F" w:rsidRPr="008B029F">
              <w:rPr>
                <w:lang w:val="en-AU"/>
              </w:rPr>
              <w:t>:</w:t>
            </w:r>
            <w:r w:rsidR="00A3510E" w:rsidRPr="008B029F">
              <w:rPr>
                <w:lang w:val="en-AU"/>
              </w:rPr>
              <w:br/>
            </w:r>
            <w:r w:rsidR="00F74B4F" w:rsidRPr="008B029F">
              <w:rPr>
                <w:lang w:val="en-AU"/>
              </w:rPr>
              <w:t>Hyperthyroidism</w:t>
            </w:r>
            <w:r w:rsidR="00322BD3" w:rsidRPr="008B029F">
              <w:rPr>
                <w:lang w:val="en-AU"/>
              </w:rPr>
              <w:t>, Thyroiditis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EC4A32" w14:textId="77777777" w:rsidR="00F74B4F" w:rsidRPr="008B029F" w:rsidRDefault="00F74B4F" w:rsidP="00A3510E">
            <w:pPr>
              <w:pStyle w:val="TableLeft"/>
              <w:rPr>
                <w:szCs w:val="20"/>
                <w:lang w:val="en-AU"/>
              </w:rPr>
            </w:pPr>
            <w:r w:rsidRPr="008B029F">
              <w:rPr>
                <w:szCs w:val="20"/>
                <w:lang w:val="en-AU"/>
              </w:rPr>
              <w:t xml:space="preserve">Grade 2-4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E71092" w14:textId="77777777" w:rsidR="00F74B4F" w:rsidRPr="008B029F" w:rsidRDefault="00F74B4F" w:rsidP="00A3510E">
            <w:pPr>
              <w:pStyle w:val="TableLeft"/>
              <w:rPr>
                <w:szCs w:val="20"/>
                <w:lang w:val="en-AU"/>
              </w:rPr>
            </w:pPr>
            <w:r w:rsidRPr="008B029F">
              <w:rPr>
                <w:szCs w:val="20"/>
                <w:lang w:val="en-AU"/>
              </w:rPr>
              <w:t>Withhold dose until clinically stable</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73718D" w14:textId="77777777" w:rsidR="00F74B4F" w:rsidRPr="008B029F" w:rsidRDefault="00F74B4F" w:rsidP="00A3510E">
            <w:pPr>
              <w:pStyle w:val="TableLeft"/>
              <w:rPr>
                <w:szCs w:val="20"/>
                <w:lang w:val="en-AU"/>
              </w:rPr>
            </w:pPr>
            <w:r w:rsidRPr="008B029F">
              <w:rPr>
                <w:szCs w:val="20"/>
                <w:lang w:val="en-AU"/>
              </w:rPr>
              <w:t xml:space="preserve">Symptomatic management </w:t>
            </w:r>
          </w:p>
        </w:tc>
      </w:tr>
      <w:tr w:rsidR="00700687" w:rsidRPr="008B029F" w14:paraId="6BAC5142" w14:textId="77777777" w:rsidTr="007A6A01">
        <w:trPr>
          <w:cantSplit/>
        </w:trPr>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9FD575" w14:textId="6F7142FC" w:rsidR="00F74B4F" w:rsidRPr="008B029F" w:rsidRDefault="00DA10A2" w:rsidP="00A3510E">
            <w:pPr>
              <w:pStyle w:val="TableLeft"/>
              <w:rPr>
                <w:lang w:val="en-AU"/>
              </w:rPr>
            </w:pPr>
            <w:r w:rsidRPr="008B029F">
              <w:rPr>
                <w:i/>
                <w:iCs/>
                <w:lang w:val="en-AU"/>
              </w:rPr>
              <w:t>E</w:t>
            </w:r>
            <w:r w:rsidR="00F74B4F" w:rsidRPr="008B029F">
              <w:rPr>
                <w:i/>
                <w:iCs/>
                <w:lang w:val="en-AU"/>
              </w:rPr>
              <w:t>ndocrinopathies</w:t>
            </w:r>
            <w:r w:rsidR="00F74B4F" w:rsidRPr="008B029F">
              <w:rPr>
                <w:lang w:val="en-AU"/>
              </w:rPr>
              <w:t>:</w:t>
            </w:r>
            <w:r w:rsidR="00A3510E" w:rsidRPr="008B029F">
              <w:rPr>
                <w:lang w:val="en-AU"/>
              </w:rPr>
              <w:br/>
            </w:r>
            <w:r w:rsidR="00F74B4F" w:rsidRPr="008B029F">
              <w:rPr>
                <w:lang w:val="en-AU"/>
              </w:rPr>
              <w:t>Hypothyroidism</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CCDCD2" w14:textId="77777777" w:rsidR="00F74B4F" w:rsidRPr="008B029F" w:rsidRDefault="00F74B4F" w:rsidP="00A3510E">
            <w:pPr>
              <w:pStyle w:val="TableLeft"/>
              <w:rPr>
                <w:szCs w:val="20"/>
                <w:lang w:val="en-AU"/>
              </w:rPr>
            </w:pPr>
            <w:r w:rsidRPr="008B029F">
              <w:rPr>
                <w:szCs w:val="20"/>
                <w:lang w:val="en-AU"/>
              </w:rPr>
              <w:t>Grade 2-4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402CAC" w14:textId="77777777" w:rsidR="00F74B4F" w:rsidRPr="008B029F" w:rsidRDefault="00F74B4F" w:rsidP="00A3510E">
            <w:pPr>
              <w:pStyle w:val="TableLeft"/>
              <w:rPr>
                <w:szCs w:val="20"/>
                <w:lang w:val="en-AU"/>
              </w:rPr>
            </w:pPr>
            <w:r w:rsidRPr="008B029F">
              <w:rPr>
                <w:szCs w:val="20"/>
                <w:lang w:val="en-AU"/>
              </w:rPr>
              <w:t>No changes</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FE87CC" w14:textId="77777777" w:rsidR="00F74B4F" w:rsidRPr="008B029F" w:rsidRDefault="00F74B4F" w:rsidP="00A3510E">
            <w:pPr>
              <w:pStyle w:val="TableLeft"/>
              <w:rPr>
                <w:szCs w:val="20"/>
                <w:lang w:val="en-AU"/>
              </w:rPr>
            </w:pPr>
            <w:r w:rsidRPr="008B029F">
              <w:rPr>
                <w:szCs w:val="20"/>
                <w:lang w:val="en-AU"/>
              </w:rPr>
              <w:t>Initiate thyroid hormone replacement as clinically indicated</w:t>
            </w:r>
          </w:p>
        </w:tc>
      </w:tr>
      <w:tr w:rsidR="00700687" w:rsidRPr="008B029F" w14:paraId="716A5FA7" w14:textId="77777777" w:rsidTr="007A6A01">
        <w:trPr>
          <w:cantSplit/>
        </w:trPr>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0249BE" w14:textId="5BAF10EF" w:rsidR="00F74B4F" w:rsidRPr="008B029F" w:rsidRDefault="00DA10A2" w:rsidP="00A3510E">
            <w:pPr>
              <w:pStyle w:val="TableLeft"/>
              <w:rPr>
                <w:lang w:val="en-AU"/>
              </w:rPr>
            </w:pPr>
            <w:r w:rsidRPr="008B029F">
              <w:rPr>
                <w:i/>
                <w:iCs/>
                <w:lang w:val="en-AU"/>
              </w:rPr>
              <w:t>E</w:t>
            </w:r>
            <w:r w:rsidR="00F74B4F" w:rsidRPr="008B029F">
              <w:rPr>
                <w:i/>
                <w:iCs/>
                <w:lang w:val="en-AU"/>
              </w:rPr>
              <w:t>ndocrinopathies</w:t>
            </w:r>
            <w:r w:rsidR="00F74B4F" w:rsidRPr="008B029F">
              <w:rPr>
                <w:lang w:val="en-AU"/>
              </w:rPr>
              <w:t xml:space="preserve">: </w:t>
            </w:r>
            <w:r w:rsidR="00A3510E" w:rsidRPr="008B029F">
              <w:rPr>
                <w:lang w:val="en-AU"/>
              </w:rPr>
              <w:br/>
            </w:r>
            <w:r w:rsidR="00F74B4F" w:rsidRPr="008B029F">
              <w:rPr>
                <w:lang w:val="en-AU"/>
              </w:rPr>
              <w:t>Adrenal insufficiency,</w:t>
            </w:r>
            <w:r w:rsidR="00F74B4F" w:rsidRPr="008B029F">
              <w:rPr>
                <w:lang w:val="en-AU"/>
              </w:rPr>
              <w:br/>
            </w:r>
            <w:r w:rsidR="008A3922" w:rsidRPr="008B029F">
              <w:rPr>
                <w:lang w:val="en-AU"/>
              </w:rPr>
              <w:t>Hypophysitis</w:t>
            </w:r>
            <w:r w:rsidR="000E0479" w:rsidRPr="008B029F">
              <w:rPr>
                <w:lang w:val="en-AU"/>
              </w:rPr>
              <w:t xml:space="preserve"> </w:t>
            </w:r>
            <w:r w:rsidR="008A3922" w:rsidRPr="008B029F">
              <w:rPr>
                <w:lang w:val="en-AU"/>
              </w:rPr>
              <w:t>/</w:t>
            </w:r>
            <w:r w:rsidR="000E0479" w:rsidRPr="008B029F">
              <w:rPr>
                <w:lang w:val="en-AU"/>
              </w:rPr>
              <w:t xml:space="preserve"> </w:t>
            </w:r>
            <w:r w:rsidR="008A3922" w:rsidRPr="008B029F">
              <w:rPr>
                <w:lang w:val="en-AU"/>
              </w:rPr>
              <w:t>h</w:t>
            </w:r>
            <w:r w:rsidR="00F74B4F" w:rsidRPr="008B029F">
              <w:rPr>
                <w:lang w:val="en-AU"/>
              </w:rPr>
              <w:t>ypopituitarism</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3B03A" w14:textId="77777777" w:rsidR="00F74B4F" w:rsidRPr="008B029F" w:rsidRDefault="00F74B4F" w:rsidP="00A3510E">
            <w:pPr>
              <w:pStyle w:val="TableLeft"/>
              <w:rPr>
                <w:szCs w:val="20"/>
                <w:lang w:val="en-AU"/>
              </w:rPr>
            </w:pPr>
            <w:r w:rsidRPr="008B029F">
              <w:rPr>
                <w:szCs w:val="20"/>
                <w:lang w:val="en-AU"/>
              </w:rPr>
              <w:t>Grade 2-4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1C6F5E" w14:textId="77777777" w:rsidR="00F74B4F" w:rsidRPr="008B029F" w:rsidDel="00DA3F4A" w:rsidRDefault="00F74B4F" w:rsidP="00A3510E">
            <w:pPr>
              <w:pStyle w:val="TableLeft"/>
              <w:rPr>
                <w:szCs w:val="20"/>
                <w:lang w:val="en-AU"/>
              </w:rPr>
            </w:pPr>
            <w:r w:rsidRPr="008B029F">
              <w:rPr>
                <w:szCs w:val="20"/>
                <w:lang w:val="en-AU"/>
              </w:rPr>
              <w:t>Withhold dose until clinically stable</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9623D" w14:textId="77777777" w:rsidR="00F74B4F" w:rsidRPr="008B029F" w:rsidDel="00DA3F4A" w:rsidRDefault="00F74B4F" w:rsidP="00A3510E">
            <w:pPr>
              <w:pStyle w:val="TableLeft"/>
              <w:rPr>
                <w:szCs w:val="20"/>
                <w:lang w:val="en-AU"/>
              </w:rPr>
            </w:pPr>
            <w:r w:rsidRPr="008B029F">
              <w:rPr>
                <w:szCs w:val="20"/>
                <w:lang w:val="en-AU"/>
              </w:rPr>
              <w:t>Initiate 1 to 2 mg/kg/day</w:t>
            </w:r>
            <w:r w:rsidR="006059AC" w:rsidRPr="008B029F">
              <w:rPr>
                <w:szCs w:val="20"/>
                <w:lang w:val="en-AU"/>
              </w:rPr>
              <w:t xml:space="preserve"> </w:t>
            </w:r>
            <w:r w:rsidRPr="008B029F">
              <w:rPr>
                <w:szCs w:val="20"/>
                <w:lang w:val="en-AU"/>
              </w:rPr>
              <w:t>prednisone or equivalent followed by a taper and hormone replacement as clinically indicated</w:t>
            </w:r>
          </w:p>
        </w:tc>
      </w:tr>
      <w:tr w:rsidR="00700687" w:rsidRPr="008B029F" w14:paraId="3F4D699E" w14:textId="77777777" w:rsidTr="007A6A01">
        <w:trPr>
          <w:cantSplit/>
        </w:trPr>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E6EE2D" w14:textId="610262C5" w:rsidR="00F74B4F" w:rsidRPr="008B029F" w:rsidRDefault="00DA10A2" w:rsidP="00A3510E">
            <w:pPr>
              <w:pStyle w:val="TableLeft"/>
              <w:rPr>
                <w:lang w:val="en-AU"/>
              </w:rPr>
            </w:pPr>
            <w:r w:rsidRPr="008B029F">
              <w:rPr>
                <w:i/>
                <w:iCs/>
                <w:lang w:val="en-AU"/>
              </w:rPr>
              <w:t>E</w:t>
            </w:r>
            <w:r w:rsidR="00F74B4F" w:rsidRPr="008B029F">
              <w:rPr>
                <w:i/>
                <w:iCs/>
                <w:lang w:val="en-AU"/>
              </w:rPr>
              <w:t>ndocrinopathies</w:t>
            </w:r>
            <w:r w:rsidR="00F74B4F" w:rsidRPr="008B029F">
              <w:rPr>
                <w:lang w:val="en-AU"/>
              </w:rPr>
              <w:t xml:space="preserve">: </w:t>
            </w:r>
            <w:r w:rsidR="00A3510E" w:rsidRPr="008B029F">
              <w:rPr>
                <w:lang w:val="en-AU"/>
              </w:rPr>
              <w:br/>
            </w:r>
            <w:r w:rsidR="00F74B4F" w:rsidRPr="008B029F">
              <w:rPr>
                <w:lang w:val="en-AU"/>
              </w:rPr>
              <w:t>Type 1 diabetes mellitus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4BF349" w14:textId="77777777" w:rsidR="00F74B4F" w:rsidRPr="008B029F" w:rsidRDefault="00F74B4F" w:rsidP="00A3510E">
            <w:pPr>
              <w:pStyle w:val="TableLeft"/>
              <w:rPr>
                <w:szCs w:val="20"/>
                <w:lang w:val="en-AU"/>
              </w:rPr>
            </w:pPr>
            <w:r w:rsidRPr="008B029F">
              <w:rPr>
                <w:szCs w:val="20"/>
                <w:lang w:val="en-AU"/>
              </w:rPr>
              <w:t>Grade 2-4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12789" w14:textId="18C75703" w:rsidR="00F74B4F" w:rsidRPr="008B029F" w:rsidDel="00DA3F4A" w:rsidRDefault="00726C73" w:rsidP="00A3510E">
            <w:pPr>
              <w:pStyle w:val="TableLeft"/>
              <w:rPr>
                <w:szCs w:val="20"/>
                <w:lang w:val="en-AU"/>
              </w:rPr>
            </w:pPr>
            <w:r w:rsidRPr="008B029F">
              <w:rPr>
                <w:szCs w:val="20"/>
                <w:lang w:val="en-AU"/>
              </w:rPr>
              <w:t>No changes</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6A1E3" w14:textId="2893E17D" w:rsidR="00F74B4F" w:rsidRPr="008B029F" w:rsidDel="00DA3F4A" w:rsidRDefault="00F74B4F" w:rsidP="00533BFC">
            <w:pPr>
              <w:pStyle w:val="TableLeft"/>
              <w:ind w:left="1"/>
              <w:rPr>
                <w:szCs w:val="20"/>
                <w:lang w:val="en-AU"/>
              </w:rPr>
            </w:pPr>
            <w:r w:rsidRPr="008B029F">
              <w:rPr>
                <w:szCs w:val="20"/>
                <w:lang w:val="en-AU"/>
              </w:rPr>
              <w:t>Initiate treatment with insulin as clinically indicated</w:t>
            </w:r>
          </w:p>
        </w:tc>
      </w:tr>
      <w:tr w:rsidR="00700687" w:rsidRPr="008B029F" w14:paraId="2856AF59" w14:textId="77777777" w:rsidTr="007A6A01">
        <w:trPr>
          <w:cantSplit/>
        </w:trPr>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D9984F" w14:textId="77777777" w:rsidR="00F74B4F" w:rsidRPr="008B029F" w:rsidRDefault="00DA10A2" w:rsidP="00A3510E">
            <w:pPr>
              <w:pStyle w:val="TableLeft"/>
              <w:rPr>
                <w:lang w:val="en-AU"/>
              </w:rPr>
            </w:pPr>
            <w:r w:rsidRPr="008B029F">
              <w:rPr>
                <w:lang w:val="en-AU"/>
              </w:rPr>
              <w:t>N</w:t>
            </w:r>
            <w:r w:rsidR="00F74B4F" w:rsidRPr="008B029F">
              <w:rPr>
                <w:lang w:val="en-AU"/>
              </w:rPr>
              <w:t>ephritis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B4D43C" w14:textId="0E6C5196" w:rsidR="00F74B4F" w:rsidRPr="008B029F" w:rsidRDefault="00F74B4F" w:rsidP="00A3510E">
            <w:pPr>
              <w:pStyle w:val="TableLeft"/>
              <w:rPr>
                <w:szCs w:val="20"/>
                <w:lang w:val="en-AU"/>
              </w:rPr>
            </w:pPr>
            <w:r w:rsidRPr="008B029F">
              <w:rPr>
                <w:szCs w:val="20"/>
                <w:lang w:val="en-AU"/>
              </w:rPr>
              <w:t>Grade 2 with serum creatinine &gt;1.5-3</w:t>
            </w:r>
            <w:r w:rsidR="004C7BA2" w:rsidRPr="008B029F">
              <w:rPr>
                <w:szCs w:val="20"/>
                <w:lang w:val="en-AU"/>
              </w:rPr>
              <w:t xml:space="preserve"> </w:t>
            </w:r>
            <w:r w:rsidRPr="008B029F">
              <w:rPr>
                <w:szCs w:val="20"/>
                <w:lang w:val="en-AU"/>
              </w:rPr>
              <w:t>x (ULN or baseline)</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3ECADA" w14:textId="08FFE873" w:rsidR="00F74B4F" w:rsidRPr="008B029F" w:rsidRDefault="00F74B4F" w:rsidP="00A3510E">
            <w:pPr>
              <w:pStyle w:val="TableLeft"/>
              <w:rPr>
                <w:szCs w:val="20"/>
                <w:lang w:val="en-AU"/>
              </w:rPr>
            </w:pPr>
            <w:r w:rsidRPr="008B029F">
              <w:rPr>
                <w:szCs w:val="20"/>
                <w:lang w:val="en-AU"/>
              </w:rPr>
              <w:t>Withhold dose</w:t>
            </w:r>
          </w:p>
        </w:tc>
        <w:tc>
          <w:tcPr>
            <w:tcW w:w="123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F8EADB" w14:textId="77777777" w:rsidR="00F74B4F" w:rsidRPr="008B029F" w:rsidRDefault="00F74B4F" w:rsidP="00533BFC">
            <w:pPr>
              <w:pStyle w:val="TableLeft"/>
              <w:ind w:left="1"/>
              <w:rPr>
                <w:szCs w:val="20"/>
                <w:lang w:val="en-AU"/>
              </w:rPr>
            </w:pPr>
            <w:r w:rsidRPr="008B029F">
              <w:rPr>
                <w:szCs w:val="20"/>
                <w:lang w:val="en-AU"/>
              </w:rPr>
              <w:t>Initiate 1 to 2 mg/kg/day prednisone or equivalent followed by a taper</w:t>
            </w:r>
          </w:p>
        </w:tc>
      </w:tr>
      <w:tr w:rsidR="00700687" w:rsidRPr="008B029F" w14:paraId="78A83000" w14:textId="77777777" w:rsidTr="007A6A01">
        <w:trPr>
          <w:cantSplit/>
          <w:trHeight w:val="547"/>
        </w:trPr>
        <w:tc>
          <w:tcPr>
            <w:tcW w:w="1157" w:type="pct"/>
            <w:vMerge/>
            <w:tcBorders>
              <w:top w:val="single" w:sz="4" w:space="0" w:color="auto"/>
              <w:left w:val="single" w:sz="4" w:space="0" w:color="auto"/>
              <w:bottom w:val="single" w:sz="4" w:space="0" w:color="auto"/>
              <w:right w:val="single" w:sz="4" w:space="0" w:color="auto"/>
            </w:tcBorders>
            <w:vAlign w:val="center"/>
            <w:hideMark/>
          </w:tcPr>
          <w:p w14:paraId="2091B05E" w14:textId="77777777" w:rsidR="00F74B4F" w:rsidRPr="008B029F" w:rsidRDefault="00F74B4F" w:rsidP="00A3510E">
            <w:pPr>
              <w:pStyle w:val="TableLeft"/>
              <w:rPr>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694DC2" w14:textId="547607C3" w:rsidR="00533BFC" w:rsidRPr="008B029F" w:rsidRDefault="00F74B4F" w:rsidP="00A3510E">
            <w:pPr>
              <w:pStyle w:val="TableLeft"/>
              <w:rPr>
                <w:szCs w:val="20"/>
                <w:lang w:val="en-AU"/>
              </w:rPr>
            </w:pPr>
            <w:r w:rsidRPr="008B029F">
              <w:rPr>
                <w:szCs w:val="20"/>
                <w:lang w:val="en-AU"/>
              </w:rPr>
              <w:t>Grade 3 with serum creatinine &gt;3</w:t>
            </w:r>
            <w:r w:rsidR="004F6172">
              <w:rPr>
                <w:szCs w:val="20"/>
                <w:lang w:val="en-AU"/>
              </w:rPr>
              <w:t> </w:t>
            </w:r>
            <w:r w:rsidRPr="008B029F">
              <w:rPr>
                <w:szCs w:val="20"/>
                <w:lang w:val="en-AU"/>
              </w:rPr>
              <w:t>x</w:t>
            </w:r>
            <w:r w:rsidR="004F6172">
              <w:rPr>
                <w:szCs w:val="20"/>
                <w:lang w:val="en-AU"/>
              </w:rPr>
              <w:t> </w:t>
            </w:r>
            <w:r w:rsidRPr="008B029F">
              <w:rPr>
                <w:szCs w:val="20"/>
                <w:lang w:val="en-AU"/>
              </w:rPr>
              <w:t>baseline or &gt;3-6</w:t>
            </w:r>
            <w:r w:rsidR="004C7BA2" w:rsidRPr="008B029F">
              <w:rPr>
                <w:szCs w:val="20"/>
                <w:lang w:val="en-AU"/>
              </w:rPr>
              <w:t xml:space="preserve"> </w:t>
            </w:r>
            <w:r w:rsidRPr="008B029F">
              <w:rPr>
                <w:szCs w:val="20"/>
                <w:lang w:val="en-AU"/>
              </w:rPr>
              <w:t>x</w:t>
            </w:r>
            <w:r w:rsidR="004C7BA2" w:rsidRPr="008B029F">
              <w:rPr>
                <w:szCs w:val="20"/>
                <w:lang w:val="en-AU"/>
              </w:rPr>
              <w:t xml:space="preserve"> </w:t>
            </w:r>
            <w:r w:rsidRPr="008B029F">
              <w:rPr>
                <w:szCs w:val="20"/>
                <w:lang w:val="en-AU"/>
              </w:rPr>
              <w:t>ULN</w:t>
            </w:r>
          </w:p>
          <w:p w14:paraId="1027C11F" w14:textId="14BAEFF1" w:rsidR="00F74B4F" w:rsidRPr="008B029F" w:rsidRDefault="00F74B4F" w:rsidP="00A3510E">
            <w:pPr>
              <w:pStyle w:val="TableLeft"/>
              <w:rPr>
                <w:szCs w:val="20"/>
                <w:lang w:val="en-AU"/>
              </w:rPr>
            </w:pPr>
            <w:r w:rsidRPr="008B029F">
              <w:rPr>
                <w:szCs w:val="20"/>
                <w:lang w:val="en-AU"/>
              </w:rPr>
              <w:t>Grade 4 with serum creatinine &gt;6</w:t>
            </w:r>
            <w:r w:rsidR="004C7BA2" w:rsidRPr="008B029F">
              <w:rPr>
                <w:szCs w:val="20"/>
                <w:lang w:val="en-AU"/>
              </w:rPr>
              <w:t xml:space="preserve"> </w:t>
            </w:r>
            <w:r w:rsidRPr="008B029F">
              <w:rPr>
                <w:szCs w:val="20"/>
                <w:lang w:val="en-AU"/>
              </w:rPr>
              <w:t>x</w:t>
            </w:r>
            <w:r w:rsidR="004C7BA2" w:rsidRPr="008B029F">
              <w:rPr>
                <w:szCs w:val="20"/>
                <w:lang w:val="en-AU"/>
              </w:rPr>
              <w:t xml:space="preserve"> </w:t>
            </w:r>
            <w:r w:rsidRPr="008B029F">
              <w:rPr>
                <w:szCs w:val="20"/>
                <w:lang w:val="en-AU"/>
              </w:rPr>
              <w:t>ULN</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873DD" w14:textId="503CD178" w:rsidR="00F74B4F" w:rsidRPr="008B029F" w:rsidRDefault="00F74B4F" w:rsidP="00A3510E">
            <w:pPr>
              <w:pStyle w:val="TableLeft"/>
              <w:rPr>
                <w:szCs w:val="20"/>
                <w:lang w:val="en-AU"/>
              </w:rPr>
            </w:pPr>
            <w:r w:rsidRPr="008B029F">
              <w:rPr>
                <w:szCs w:val="20"/>
                <w:lang w:val="en-AU"/>
              </w:rPr>
              <w:t>Permanently discontinue</w:t>
            </w: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0AF1C892" w14:textId="77777777" w:rsidR="00F74B4F" w:rsidRPr="008B029F" w:rsidRDefault="00F74B4F" w:rsidP="00533BFC">
            <w:pPr>
              <w:pStyle w:val="TableLeft"/>
              <w:ind w:left="1"/>
              <w:rPr>
                <w:szCs w:val="20"/>
                <w:lang w:val="en-AU"/>
              </w:rPr>
            </w:pPr>
          </w:p>
        </w:tc>
      </w:tr>
      <w:tr w:rsidR="00AD09B8" w:rsidRPr="008B029F" w14:paraId="0BDB960A" w14:textId="77777777" w:rsidTr="007A6A01">
        <w:trPr>
          <w:cantSplit/>
          <w:trHeight w:val="710"/>
        </w:trPr>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465B38" w14:textId="6DB1B9F5" w:rsidR="00AD09B8" w:rsidRPr="008B029F" w:rsidRDefault="00AD09B8" w:rsidP="00A3510E">
            <w:pPr>
              <w:pStyle w:val="TableLeft"/>
              <w:rPr>
                <w:lang w:val="en-AU"/>
              </w:rPr>
            </w:pPr>
            <w:r w:rsidRPr="008B029F">
              <w:rPr>
                <w:lang w:val="en-AU"/>
              </w:rPr>
              <w:t>Rash or dermatitis (including pemphigoid)</w:t>
            </w:r>
          </w:p>
        </w:tc>
        <w:tc>
          <w:tcPr>
            <w:tcW w:w="1814" w:type="pc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12670DA" w14:textId="4F1496B6" w:rsidR="00AD09B8" w:rsidRPr="008B029F" w:rsidRDefault="00AD09B8" w:rsidP="00A3510E">
            <w:pPr>
              <w:pStyle w:val="TableLeft"/>
              <w:rPr>
                <w:szCs w:val="20"/>
                <w:lang w:val="en-AU"/>
              </w:rPr>
            </w:pPr>
            <w:r w:rsidRPr="008B029F">
              <w:rPr>
                <w:szCs w:val="20"/>
                <w:lang w:val="en-AU"/>
              </w:rPr>
              <w:t>Grade 2 for &gt;1 week or Grade 3</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C41831" w14:textId="483CCA13" w:rsidR="00AD09B8" w:rsidRPr="008B029F" w:rsidRDefault="00AD09B8" w:rsidP="00A3510E">
            <w:pPr>
              <w:pStyle w:val="TableLeft"/>
              <w:rPr>
                <w:szCs w:val="20"/>
                <w:lang w:val="en-AU"/>
              </w:rPr>
            </w:pPr>
            <w:r w:rsidRPr="008B029F">
              <w:rPr>
                <w:szCs w:val="20"/>
                <w:lang w:val="en-AU"/>
              </w:rPr>
              <w:t>Withhold dose</w:t>
            </w:r>
          </w:p>
        </w:tc>
        <w:tc>
          <w:tcPr>
            <w:tcW w:w="123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E0BDBC" w14:textId="77777777" w:rsidR="00AD09B8" w:rsidRPr="008B029F" w:rsidRDefault="00AD09B8" w:rsidP="00533BFC">
            <w:pPr>
              <w:pStyle w:val="TableLeft"/>
              <w:ind w:left="1"/>
              <w:rPr>
                <w:szCs w:val="20"/>
                <w:lang w:val="en-AU"/>
              </w:rPr>
            </w:pPr>
            <w:r w:rsidRPr="008B029F">
              <w:rPr>
                <w:szCs w:val="20"/>
                <w:lang w:val="en-AU"/>
              </w:rPr>
              <w:t>Initiate 1 to 2 mg/kg/day prednisone or equivalent followed by a taper</w:t>
            </w:r>
          </w:p>
        </w:tc>
      </w:tr>
      <w:tr w:rsidR="00700687" w:rsidRPr="008B029F" w14:paraId="10754FB5" w14:textId="77777777" w:rsidTr="007A6A01">
        <w:trPr>
          <w:cantSplit/>
        </w:trPr>
        <w:tc>
          <w:tcPr>
            <w:tcW w:w="1157" w:type="pct"/>
            <w:vMerge/>
            <w:tcBorders>
              <w:top w:val="single" w:sz="4" w:space="0" w:color="auto"/>
              <w:left w:val="single" w:sz="4" w:space="0" w:color="auto"/>
              <w:bottom w:val="single" w:sz="4" w:space="0" w:color="auto"/>
              <w:right w:val="single" w:sz="4" w:space="0" w:color="auto"/>
            </w:tcBorders>
            <w:vAlign w:val="center"/>
            <w:hideMark/>
          </w:tcPr>
          <w:p w14:paraId="620C1B5A" w14:textId="77777777" w:rsidR="00F74B4F" w:rsidRPr="008B029F" w:rsidRDefault="00F74B4F" w:rsidP="00A3510E">
            <w:pPr>
              <w:pStyle w:val="TableLeft"/>
              <w:rPr>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823D4A" w14:textId="77777777" w:rsidR="00F74B4F" w:rsidRPr="008B029F" w:rsidRDefault="00F74B4F" w:rsidP="00A3510E">
            <w:pPr>
              <w:pStyle w:val="TableLeft"/>
              <w:rPr>
                <w:szCs w:val="20"/>
                <w:lang w:val="en-AU"/>
              </w:rPr>
            </w:pPr>
            <w:r w:rsidRPr="008B029F">
              <w:rPr>
                <w:szCs w:val="20"/>
                <w:lang w:val="en-AU"/>
              </w:rPr>
              <w:t>Grade 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760171" w14:textId="77777777" w:rsidR="00F74B4F" w:rsidRPr="008B029F" w:rsidRDefault="00F74B4F" w:rsidP="00A3510E">
            <w:pPr>
              <w:pStyle w:val="TableLeft"/>
              <w:rPr>
                <w:szCs w:val="20"/>
                <w:lang w:val="en-AU"/>
              </w:rPr>
            </w:pPr>
            <w:r w:rsidRPr="008B029F">
              <w:rPr>
                <w:szCs w:val="20"/>
                <w:lang w:val="en-AU"/>
              </w:rPr>
              <w:t>Permanently discontinue</w:t>
            </w: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7A2249C7" w14:textId="77777777" w:rsidR="00F74B4F" w:rsidRPr="008B029F" w:rsidRDefault="00F74B4F" w:rsidP="00533BFC">
            <w:pPr>
              <w:pStyle w:val="TableLeft"/>
              <w:ind w:left="1"/>
              <w:rPr>
                <w:szCs w:val="20"/>
                <w:lang w:val="en-AU"/>
              </w:rPr>
            </w:pPr>
          </w:p>
        </w:tc>
      </w:tr>
      <w:tr w:rsidR="007618C2" w:rsidRPr="008B029F" w14:paraId="128E2B35" w14:textId="77777777" w:rsidTr="007A6A01">
        <w:trPr>
          <w:cantSplit/>
          <w:trHeight w:val="810"/>
        </w:trPr>
        <w:tc>
          <w:tcPr>
            <w:tcW w:w="1157" w:type="pct"/>
            <w:tcBorders>
              <w:top w:val="single" w:sz="4" w:space="0" w:color="auto"/>
              <w:left w:val="single" w:sz="4" w:space="0" w:color="auto"/>
              <w:right w:val="single" w:sz="4" w:space="0" w:color="auto"/>
            </w:tcBorders>
            <w:vAlign w:val="center"/>
          </w:tcPr>
          <w:p w14:paraId="59B7DDD4" w14:textId="07124478" w:rsidR="007618C2" w:rsidRPr="008B029F" w:rsidRDefault="007618C2" w:rsidP="00A3510E">
            <w:pPr>
              <w:pStyle w:val="TableLeft"/>
              <w:rPr>
                <w:lang w:val="en-AU"/>
              </w:rPr>
            </w:pPr>
            <w:r w:rsidRPr="008B029F">
              <w:rPr>
                <w:lang w:val="en-AU"/>
              </w:rPr>
              <w:t>Myocarditis</w:t>
            </w:r>
          </w:p>
        </w:tc>
        <w:tc>
          <w:tcPr>
            <w:tcW w:w="181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DC5FE08" w14:textId="44A03133" w:rsidR="007618C2" w:rsidRPr="008B029F" w:rsidRDefault="007618C2" w:rsidP="00A3510E">
            <w:pPr>
              <w:pStyle w:val="TableLeft"/>
              <w:rPr>
                <w:szCs w:val="20"/>
                <w:lang w:val="en-AU"/>
              </w:rPr>
            </w:pPr>
            <w:r w:rsidRPr="008B029F">
              <w:rPr>
                <w:szCs w:val="20"/>
                <w:lang w:val="en-AU"/>
              </w:rPr>
              <w:t>Grade 2-4</w:t>
            </w:r>
          </w:p>
        </w:tc>
        <w:tc>
          <w:tcPr>
            <w:tcW w:w="79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FAF67F4" w14:textId="1F86CE94" w:rsidR="007618C2" w:rsidRPr="008B029F" w:rsidRDefault="007618C2" w:rsidP="00A3510E">
            <w:pPr>
              <w:pStyle w:val="TableLeft"/>
              <w:rPr>
                <w:szCs w:val="20"/>
                <w:lang w:val="en-AU"/>
              </w:rPr>
            </w:pPr>
            <w:r w:rsidRPr="008B029F">
              <w:rPr>
                <w:szCs w:val="20"/>
                <w:lang w:val="en-AU"/>
              </w:rPr>
              <w:t>Permanently discontinue</w:t>
            </w:r>
          </w:p>
        </w:tc>
        <w:tc>
          <w:tcPr>
            <w:tcW w:w="1232" w:type="pct"/>
            <w:tcBorders>
              <w:top w:val="single" w:sz="4" w:space="0" w:color="auto"/>
              <w:left w:val="single" w:sz="4" w:space="0" w:color="auto"/>
              <w:right w:val="single" w:sz="4" w:space="0" w:color="auto"/>
            </w:tcBorders>
            <w:vAlign w:val="center"/>
          </w:tcPr>
          <w:p w14:paraId="66958EA5" w14:textId="0D04CDDC" w:rsidR="007618C2" w:rsidRPr="008B029F" w:rsidRDefault="007618C2" w:rsidP="00533BFC">
            <w:pPr>
              <w:pStyle w:val="TableLeft"/>
              <w:ind w:left="1"/>
              <w:rPr>
                <w:szCs w:val="20"/>
                <w:lang w:val="en-AU"/>
              </w:rPr>
            </w:pPr>
            <w:r w:rsidRPr="008B029F">
              <w:rPr>
                <w:szCs w:val="20"/>
                <w:lang w:val="en-AU"/>
              </w:rPr>
              <w:t>Initiate 2 to 4</w:t>
            </w:r>
            <w:r w:rsidR="00533BFC" w:rsidRPr="008B029F">
              <w:rPr>
                <w:szCs w:val="20"/>
                <w:lang w:val="en-AU"/>
              </w:rPr>
              <w:t> </w:t>
            </w:r>
            <w:r w:rsidRPr="008B029F">
              <w:rPr>
                <w:szCs w:val="20"/>
                <w:lang w:val="en-AU"/>
              </w:rPr>
              <w:t>mg/kg/day prednisone or equivalent followed by a taper</w:t>
            </w:r>
            <w:r w:rsidRPr="008B029F">
              <w:rPr>
                <w:szCs w:val="20"/>
                <w:vertAlign w:val="superscript"/>
                <w:lang w:val="en-AU"/>
              </w:rPr>
              <w:t>b</w:t>
            </w:r>
          </w:p>
        </w:tc>
      </w:tr>
      <w:tr w:rsidR="00700687" w:rsidRPr="008B029F" w14:paraId="7A05FE48" w14:textId="77777777" w:rsidTr="007A6A01">
        <w:trPr>
          <w:cantSplit/>
        </w:trPr>
        <w:tc>
          <w:tcPr>
            <w:tcW w:w="1157" w:type="pct"/>
            <w:vMerge w:val="restart"/>
            <w:tcBorders>
              <w:left w:val="single" w:sz="4" w:space="0" w:color="auto"/>
              <w:right w:val="single" w:sz="4" w:space="0" w:color="auto"/>
            </w:tcBorders>
            <w:vAlign w:val="center"/>
          </w:tcPr>
          <w:p w14:paraId="3519DFB6" w14:textId="6B3BDFF2" w:rsidR="00F249A3" w:rsidRPr="008B029F" w:rsidRDefault="00DA10A2" w:rsidP="000E0479">
            <w:pPr>
              <w:pStyle w:val="TableLeft"/>
              <w:rPr>
                <w:lang w:val="en-AU"/>
              </w:rPr>
            </w:pPr>
            <w:r w:rsidRPr="008B029F">
              <w:rPr>
                <w:lang w:val="en-AU"/>
              </w:rPr>
              <w:t>M</w:t>
            </w:r>
            <w:r w:rsidR="00F249A3" w:rsidRPr="008B029F">
              <w:rPr>
                <w:lang w:val="en-AU"/>
              </w:rPr>
              <w:t>yositis</w:t>
            </w:r>
            <w:r w:rsidR="000E0479" w:rsidRPr="008B029F">
              <w:rPr>
                <w:lang w:val="en-AU"/>
              </w:rPr>
              <w:t xml:space="preserve"> </w:t>
            </w:r>
            <w:r w:rsidR="00F249A3" w:rsidRPr="008B029F">
              <w:rPr>
                <w:lang w:val="en-AU"/>
              </w:rPr>
              <w:t>/polymyositis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A8285A" w14:textId="77777777" w:rsidR="00F249A3" w:rsidRPr="008B029F" w:rsidRDefault="00F249A3" w:rsidP="00A3510E">
            <w:pPr>
              <w:pStyle w:val="TableLeft"/>
              <w:rPr>
                <w:szCs w:val="20"/>
                <w:lang w:val="en-AU"/>
              </w:rPr>
            </w:pPr>
            <w:r w:rsidRPr="008B029F">
              <w:rPr>
                <w:szCs w:val="20"/>
                <w:lang w:val="en-AU"/>
              </w:rPr>
              <w:t>Grade 2 or 3</w:t>
            </w:r>
          </w:p>
        </w:tc>
        <w:tc>
          <w:tcPr>
            <w:tcW w:w="797" w:type="pct"/>
            <w:tcBorders>
              <w:left w:val="single" w:sz="4" w:space="0" w:color="auto"/>
              <w:right w:val="single" w:sz="4" w:space="0" w:color="auto"/>
            </w:tcBorders>
            <w:tcMar>
              <w:top w:w="0" w:type="dxa"/>
              <w:left w:w="108" w:type="dxa"/>
              <w:bottom w:w="0" w:type="dxa"/>
              <w:right w:w="108" w:type="dxa"/>
            </w:tcMar>
            <w:vAlign w:val="center"/>
          </w:tcPr>
          <w:p w14:paraId="1A20D95E" w14:textId="3B0E7E51" w:rsidR="00F249A3" w:rsidRPr="008B029F" w:rsidRDefault="00F249A3" w:rsidP="00A3510E">
            <w:pPr>
              <w:pStyle w:val="TableLeft"/>
              <w:rPr>
                <w:szCs w:val="20"/>
                <w:lang w:val="en-AU"/>
              </w:rPr>
            </w:pPr>
            <w:r w:rsidRPr="008B029F">
              <w:rPr>
                <w:szCs w:val="20"/>
                <w:lang w:val="en-AU"/>
              </w:rPr>
              <w:t>Withhold dose</w:t>
            </w:r>
            <w:r w:rsidR="005715E5" w:rsidRPr="008B029F">
              <w:rPr>
                <w:szCs w:val="20"/>
                <w:vertAlign w:val="superscript"/>
                <w:lang w:val="en-AU"/>
              </w:rPr>
              <w:t>c</w:t>
            </w:r>
          </w:p>
        </w:tc>
        <w:tc>
          <w:tcPr>
            <w:tcW w:w="1232" w:type="pct"/>
            <w:vMerge w:val="restart"/>
            <w:tcBorders>
              <w:left w:val="single" w:sz="4" w:space="0" w:color="auto"/>
              <w:right w:val="single" w:sz="4" w:space="0" w:color="auto"/>
            </w:tcBorders>
            <w:vAlign w:val="center"/>
          </w:tcPr>
          <w:p w14:paraId="1A2AE0FD" w14:textId="5E25915B" w:rsidR="00F249A3" w:rsidRPr="008B029F" w:rsidRDefault="00F249A3" w:rsidP="00533BFC">
            <w:pPr>
              <w:pStyle w:val="TableLeft"/>
              <w:ind w:left="143"/>
              <w:rPr>
                <w:szCs w:val="20"/>
                <w:lang w:val="en-AU"/>
              </w:rPr>
            </w:pPr>
            <w:r w:rsidRPr="008B029F">
              <w:rPr>
                <w:szCs w:val="20"/>
                <w:lang w:val="en-AU"/>
              </w:rPr>
              <w:t xml:space="preserve">Initiate </w:t>
            </w:r>
            <w:r w:rsidR="00A34E96" w:rsidRPr="008B029F">
              <w:rPr>
                <w:szCs w:val="20"/>
                <w:lang w:val="en-AU"/>
              </w:rPr>
              <w:t>1</w:t>
            </w:r>
            <w:r w:rsidRPr="008B029F">
              <w:rPr>
                <w:szCs w:val="20"/>
                <w:lang w:val="en-AU"/>
              </w:rPr>
              <w:t xml:space="preserve"> to </w:t>
            </w:r>
            <w:r w:rsidR="00927D0E" w:rsidRPr="008B029F">
              <w:rPr>
                <w:szCs w:val="20"/>
                <w:lang w:val="en-AU"/>
              </w:rPr>
              <w:t>2</w:t>
            </w:r>
            <w:r w:rsidR="00954AD1" w:rsidRPr="008B029F">
              <w:rPr>
                <w:szCs w:val="20"/>
                <w:lang w:val="en-AU"/>
              </w:rPr>
              <w:t> </w:t>
            </w:r>
            <w:r w:rsidRPr="008B029F">
              <w:rPr>
                <w:szCs w:val="20"/>
                <w:lang w:val="en-AU"/>
              </w:rPr>
              <w:t>mg/kg/day prednisone or equivalent followed by a taper</w:t>
            </w:r>
          </w:p>
        </w:tc>
      </w:tr>
      <w:tr w:rsidR="00700687" w:rsidRPr="008B029F" w14:paraId="02AA00F2" w14:textId="77777777" w:rsidTr="007A6A01">
        <w:trPr>
          <w:cantSplit/>
        </w:trPr>
        <w:tc>
          <w:tcPr>
            <w:tcW w:w="1157" w:type="pct"/>
            <w:vMerge/>
            <w:tcBorders>
              <w:left w:val="single" w:sz="4" w:space="0" w:color="auto"/>
              <w:bottom w:val="single" w:sz="4" w:space="0" w:color="auto"/>
              <w:right w:val="single" w:sz="4" w:space="0" w:color="auto"/>
            </w:tcBorders>
            <w:vAlign w:val="center"/>
          </w:tcPr>
          <w:p w14:paraId="52F90F15" w14:textId="77777777" w:rsidR="008A3922" w:rsidRPr="008B029F" w:rsidRDefault="008A3922"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8D71" w14:textId="77777777" w:rsidR="008A3922" w:rsidRPr="008B029F" w:rsidRDefault="008A3922" w:rsidP="00A3510E">
            <w:pPr>
              <w:pStyle w:val="TableLeft"/>
              <w:rPr>
                <w:szCs w:val="20"/>
                <w:lang w:val="en-AU"/>
              </w:rPr>
            </w:pPr>
            <w:r w:rsidRPr="008B029F">
              <w:rPr>
                <w:szCs w:val="20"/>
                <w:lang w:val="en-AU"/>
              </w:rPr>
              <w:t>Grade 4</w:t>
            </w:r>
          </w:p>
        </w:tc>
        <w:tc>
          <w:tcPr>
            <w:tcW w:w="797"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A7308B6" w14:textId="19AEA4B7" w:rsidR="008A3922" w:rsidRPr="008B029F" w:rsidRDefault="008A3922" w:rsidP="00A3510E">
            <w:pPr>
              <w:pStyle w:val="TableLeft"/>
              <w:rPr>
                <w:szCs w:val="20"/>
                <w:vertAlign w:val="superscript"/>
                <w:lang w:val="en-AU"/>
              </w:rPr>
            </w:pPr>
            <w:r w:rsidRPr="008B029F">
              <w:rPr>
                <w:szCs w:val="20"/>
                <w:lang w:val="en-AU"/>
              </w:rPr>
              <w:t>Permanently discontinue</w:t>
            </w:r>
          </w:p>
        </w:tc>
        <w:tc>
          <w:tcPr>
            <w:tcW w:w="1232" w:type="pct"/>
            <w:vMerge/>
            <w:tcBorders>
              <w:left w:val="single" w:sz="4" w:space="0" w:color="auto"/>
              <w:bottom w:val="single" w:sz="4" w:space="0" w:color="auto"/>
              <w:right w:val="single" w:sz="4" w:space="0" w:color="auto"/>
            </w:tcBorders>
            <w:vAlign w:val="center"/>
          </w:tcPr>
          <w:p w14:paraId="7A21EDBA" w14:textId="77777777" w:rsidR="008A3922" w:rsidRPr="008B029F" w:rsidRDefault="008A3922" w:rsidP="00A3510E">
            <w:pPr>
              <w:pStyle w:val="TableLeft"/>
              <w:rPr>
                <w:szCs w:val="20"/>
                <w:lang w:val="en-AU"/>
              </w:rPr>
            </w:pPr>
          </w:p>
        </w:tc>
      </w:tr>
      <w:tr w:rsidR="00700687" w:rsidRPr="004F6172" w14:paraId="15F8258C" w14:textId="77777777" w:rsidTr="007A6A01">
        <w:trPr>
          <w:cantSplit/>
          <w:trHeight w:val="1010"/>
        </w:trPr>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F2E781" w14:textId="77777777" w:rsidR="00F74B4F" w:rsidRPr="004F6172" w:rsidRDefault="00F74B4F" w:rsidP="00A3510E">
            <w:pPr>
              <w:pStyle w:val="TableLeft"/>
              <w:rPr>
                <w:lang w:val="en-AU"/>
              </w:rPr>
            </w:pPr>
            <w:r w:rsidRPr="004F6172">
              <w:rPr>
                <w:lang w:val="en-AU"/>
              </w:rPr>
              <w:t>Infusion-related reactions</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A8246B" w14:textId="77777777" w:rsidR="00F74B4F" w:rsidRPr="004F6172" w:rsidRDefault="00F74B4F" w:rsidP="00A3510E">
            <w:pPr>
              <w:pStyle w:val="TableLeft"/>
              <w:rPr>
                <w:szCs w:val="20"/>
                <w:lang w:val="en-AU"/>
              </w:rPr>
            </w:pPr>
            <w:r w:rsidRPr="004F6172">
              <w:rPr>
                <w:szCs w:val="20"/>
                <w:lang w:val="en-AU"/>
              </w:rPr>
              <w:t xml:space="preserve">Grade 1 or 2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8A0492" w14:textId="77777777" w:rsidR="00F74B4F" w:rsidRPr="004F6172" w:rsidRDefault="00F74B4F" w:rsidP="00A3510E">
            <w:pPr>
              <w:pStyle w:val="TableLeft"/>
              <w:rPr>
                <w:szCs w:val="20"/>
                <w:lang w:val="en-AU"/>
              </w:rPr>
            </w:pPr>
            <w:r w:rsidRPr="004F6172">
              <w:rPr>
                <w:szCs w:val="20"/>
                <w:lang w:val="en-AU"/>
              </w:rPr>
              <w:t>Interrupt or slow the rate of infusion</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E3DDE" w14:textId="77777777" w:rsidR="00F74B4F" w:rsidRPr="004F6172" w:rsidRDefault="00F74B4F" w:rsidP="00A3510E">
            <w:pPr>
              <w:pStyle w:val="TableLeft"/>
              <w:rPr>
                <w:szCs w:val="20"/>
                <w:lang w:val="en-AU"/>
              </w:rPr>
            </w:pPr>
            <w:r w:rsidRPr="004F6172">
              <w:rPr>
                <w:szCs w:val="20"/>
                <w:lang w:val="en-AU"/>
              </w:rPr>
              <w:t>May consider pre-medications for prophylaxis of subsequent infusion reactions</w:t>
            </w:r>
          </w:p>
        </w:tc>
      </w:tr>
      <w:tr w:rsidR="00700687" w:rsidRPr="004F6172" w14:paraId="3FB78B1C" w14:textId="77777777" w:rsidTr="007A6A01">
        <w:trPr>
          <w:cantSplit/>
        </w:trPr>
        <w:tc>
          <w:tcPr>
            <w:tcW w:w="1157" w:type="pct"/>
            <w:vMerge/>
            <w:tcBorders>
              <w:top w:val="single" w:sz="4" w:space="0" w:color="auto"/>
              <w:left w:val="single" w:sz="4" w:space="0" w:color="auto"/>
              <w:bottom w:val="single" w:sz="4" w:space="0" w:color="auto"/>
              <w:right w:val="single" w:sz="4" w:space="0" w:color="auto"/>
            </w:tcBorders>
            <w:vAlign w:val="center"/>
            <w:hideMark/>
          </w:tcPr>
          <w:p w14:paraId="6BC532AA" w14:textId="77777777" w:rsidR="00F74B4F" w:rsidRPr="004F6172" w:rsidRDefault="00F74B4F"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5968D" w14:textId="77777777" w:rsidR="00F74B4F" w:rsidRPr="004F6172" w:rsidRDefault="00F74B4F" w:rsidP="00A3510E">
            <w:pPr>
              <w:pStyle w:val="TableLeft"/>
              <w:rPr>
                <w:szCs w:val="20"/>
                <w:lang w:val="en-AU"/>
              </w:rPr>
            </w:pPr>
            <w:r w:rsidRPr="004F6172">
              <w:rPr>
                <w:szCs w:val="20"/>
                <w:lang w:val="en-AU"/>
              </w:rPr>
              <w:t xml:space="preserve">Grade 3 or 4 </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DD5D31" w14:textId="77777777" w:rsidR="00F74B4F" w:rsidRPr="004F6172" w:rsidRDefault="00F74B4F" w:rsidP="00A3510E">
            <w:pPr>
              <w:pStyle w:val="TableLeft"/>
              <w:rPr>
                <w:szCs w:val="20"/>
                <w:lang w:val="en-AU"/>
              </w:rPr>
            </w:pPr>
            <w:r w:rsidRPr="004F6172">
              <w:rPr>
                <w:szCs w:val="20"/>
                <w:lang w:val="en-AU"/>
              </w:rPr>
              <w:t>Permanently discontinue</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4CDC99" w14:textId="3DEDD60C" w:rsidR="00F74B4F" w:rsidRPr="004F6172" w:rsidRDefault="007A6A01" w:rsidP="00A3510E">
            <w:pPr>
              <w:pStyle w:val="TableLeft"/>
              <w:rPr>
                <w:szCs w:val="20"/>
                <w:lang w:val="en-AU"/>
              </w:rPr>
            </w:pPr>
            <w:r w:rsidRPr="004F6172">
              <w:rPr>
                <w:szCs w:val="20"/>
                <w:lang w:val="en-AU"/>
              </w:rPr>
              <w:t>Manage severe infusion-related reactions per institutional standard, appropriate clinical practice guidelines and/or society guidelines</w:t>
            </w:r>
          </w:p>
        </w:tc>
      </w:tr>
      <w:tr w:rsidR="00700687" w:rsidRPr="004F6172" w14:paraId="68F62E36" w14:textId="77777777" w:rsidTr="007A6A01">
        <w:trPr>
          <w:cantSplit/>
        </w:trPr>
        <w:tc>
          <w:tcPr>
            <w:tcW w:w="1157" w:type="pct"/>
            <w:tcBorders>
              <w:top w:val="single" w:sz="4" w:space="0" w:color="auto"/>
              <w:left w:val="single" w:sz="4" w:space="0" w:color="auto"/>
              <w:bottom w:val="single" w:sz="4" w:space="0" w:color="auto"/>
              <w:right w:val="single" w:sz="4" w:space="0" w:color="auto"/>
            </w:tcBorders>
            <w:vAlign w:val="center"/>
          </w:tcPr>
          <w:p w14:paraId="7F608D7B" w14:textId="77777777" w:rsidR="007A0585" w:rsidRPr="004F6172" w:rsidRDefault="00005978" w:rsidP="00A3510E">
            <w:pPr>
              <w:pStyle w:val="TableLeft"/>
              <w:tabs>
                <w:tab w:val="left" w:pos="1271"/>
              </w:tabs>
              <w:ind w:left="142"/>
              <w:rPr>
                <w:szCs w:val="20"/>
                <w:lang w:val="en-AU"/>
              </w:rPr>
            </w:pPr>
            <w:r w:rsidRPr="004F6172">
              <w:rPr>
                <w:szCs w:val="20"/>
                <w:lang w:val="en-AU"/>
              </w:rPr>
              <w:t>Infection</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209F7F" w14:textId="77777777" w:rsidR="007A0585" w:rsidRPr="004F6172" w:rsidRDefault="00005978" w:rsidP="00A3510E">
            <w:pPr>
              <w:pStyle w:val="TableLeft"/>
              <w:rPr>
                <w:szCs w:val="20"/>
                <w:lang w:val="en-AU"/>
              </w:rPr>
            </w:pPr>
            <w:r w:rsidRPr="004F6172">
              <w:rPr>
                <w:szCs w:val="20"/>
                <w:lang w:val="en-AU"/>
              </w:rPr>
              <w:t>Grade 3 or 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938FB3" w14:textId="77777777" w:rsidR="007A0585" w:rsidRPr="004F6172" w:rsidRDefault="000164B1" w:rsidP="00A3510E">
            <w:pPr>
              <w:pStyle w:val="TableLeft"/>
              <w:rPr>
                <w:szCs w:val="20"/>
                <w:lang w:val="en-AU"/>
              </w:rPr>
            </w:pPr>
            <w:r w:rsidRPr="004F6172">
              <w:rPr>
                <w:szCs w:val="20"/>
                <w:lang w:val="en-AU"/>
              </w:rPr>
              <w:t>Withhold dose</w:t>
            </w:r>
            <w:r w:rsidR="004602D6" w:rsidRPr="004F6172">
              <w:rPr>
                <w:szCs w:val="20"/>
                <w:lang w:val="en-AU"/>
              </w:rPr>
              <w:t xml:space="preserve"> until clinically stable</w:t>
            </w:r>
          </w:p>
        </w:tc>
        <w:tc>
          <w:tcPr>
            <w:tcW w:w="1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C8138" w14:textId="77777777" w:rsidR="007A0585" w:rsidRPr="004F6172" w:rsidRDefault="007A0585" w:rsidP="00A3510E">
            <w:pPr>
              <w:pStyle w:val="TableLeft"/>
              <w:rPr>
                <w:szCs w:val="20"/>
                <w:lang w:val="en-AU"/>
              </w:rPr>
            </w:pPr>
          </w:p>
        </w:tc>
      </w:tr>
      <w:tr w:rsidR="000E1507" w:rsidRPr="004F6172" w14:paraId="15E5F922" w14:textId="77777777" w:rsidTr="007A6A01">
        <w:trPr>
          <w:cantSplit/>
          <w:trHeight w:val="710"/>
        </w:trPr>
        <w:tc>
          <w:tcPr>
            <w:tcW w:w="1157" w:type="pct"/>
            <w:tcBorders>
              <w:top w:val="single" w:sz="4" w:space="0" w:color="auto"/>
              <w:left w:val="single" w:sz="4" w:space="0" w:color="auto"/>
              <w:right w:val="single" w:sz="4" w:space="0" w:color="auto"/>
            </w:tcBorders>
            <w:vAlign w:val="center"/>
          </w:tcPr>
          <w:p w14:paraId="66625F34" w14:textId="757A27D2" w:rsidR="000E1507" w:rsidRPr="004F6172" w:rsidRDefault="000E1507" w:rsidP="00A3510E">
            <w:pPr>
              <w:pStyle w:val="TableLeft"/>
              <w:tabs>
                <w:tab w:val="left" w:pos="1271"/>
              </w:tabs>
              <w:ind w:left="142"/>
              <w:rPr>
                <w:szCs w:val="20"/>
                <w:lang w:val="en-AU"/>
              </w:rPr>
            </w:pPr>
            <w:r w:rsidRPr="004F6172">
              <w:rPr>
                <w:szCs w:val="20"/>
                <w:lang w:val="en-AU"/>
              </w:rPr>
              <w:t>Myasthenia Gravis</w:t>
            </w:r>
          </w:p>
        </w:tc>
        <w:tc>
          <w:tcPr>
            <w:tcW w:w="181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6EB44E0" w14:textId="3AE401E4" w:rsidR="000E1507" w:rsidRPr="004F6172" w:rsidRDefault="000E1507" w:rsidP="00A3510E">
            <w:pPr>
              <w:pStyle w:val="TableLeft"/>
              <w:rPr>
                <w:szCs w:val="20"/>
                <w:lang w:val="en-AU"/>
              </w:rPr>
            </w:pPr>
            <w:r w:rsidRPr="004F6172">
              <w:rPr>
                <w:szCs w:val="20"/>
                <w:lang w:val="en-AU"/>
              </w:rPr>
              <w:t>Grade 2-4</w:t>
            </w:r>
          </w:p>
        </w:tc>
        <w:tc>
          <w:tcPr>
            <w:tcW w:w="79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ABE304C" w14:textId="7D0F0D5F" w:rsidR="000E1507" w:rsidRPr="004F6172" w:rsidRDefault="000E1507" w:rsidP="00A3510E">
            <w:pPr>
              <w:pStyle w:val="TableLeft"/>
              <w:rPr>
                <w:szCs w:val="20"/>
                <w:lang w:val="en-AU"/>
              </w:rPr>
            </w:pPr>
            <w:r w:rsidRPr="004F6172">
              <w:rPr>
                <w:szCs w:val="20"/>
                <w:lang w:val="en-AU"/>
              </w:rPr>
              <w:t>Permanently discontinue</w:t>
            </w:r>
            <w:r w:rsidRPr="004F6172" w:rsidDel="00B83155">
              <w:rPr>
                <w:szCs w:val="20"/>
                <w:lang w:val="en-AU"/>
              </w:rPr>
              <w:t xml:space="preserve"> </w:t>
            </w:r>
          </w:p>
        </w:tc>
        <w:tc>
          <w:tcPr>
            <w:tcW w:w="123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D4FB52B" w14:textId="59B120DB" w:rsidR="000E1507" w:rsidRPr="004F6172" w:rsidRDefault="000E1507" w:rsidP="00533BFC">
            <w:pPr>
              <w:pStyle w:val="TableLeft"/>
              <w:rPr>
                <w:szCs w:val="20"/>
                <w:lang w:val="en-AU"/>
              </w:rPr>
            </w:pPr>
            <w:r w:rsidRPr="004F6172">
              <w:rPr>
                <w:szCs w:val="20"/>
                <w:lang w:val="en-AU"/>
              </w:rPr>
              <w:t>Initiate 1 to 2</w:t>
            </w:r>
            <w:r w:rsidR="002D2F3E" w:rsidRPr="004F6172">
              <w:rPr>
                <w:szCs w:val="20"/>
                <w:lang w:val="en-AU"/>
              </w:rPr>
              <w:t> </w:t>
            </w:r>
            <w:r w:rsidRPr="004F6172">
              <w:rPr>
                <w:szCs w:val="20"/>
                <w:lang w:val="en-AU"/>
              </w:rPr>
              <w:t>mg/kg/day</w:t>
            </w:r>
            <w:r w:rsidR="00533BFC" w:rsidRPr="004F6172">
              <w:rPr>
                <w:szCs w:val="20"/>
                <w:lang w:val="en-AU"/>
              </w:rPr>
              <w:t xml:space="preserve"> </w:t>
            </w:r>
            <w:r w:rsidRPr="004F6172">
              <w:rPr>
                <w:szCs w:val="20"/>
                <w:lang w:val="en-AU"/>
              </w:rPr>
              <w:t>prednisone or equivalent followed by a taper</w:t>
            </w:r>
          </w:p>
        </w:tc>
      </w:tr>
      <w:tr w:rsidR="002B68DD" w:rsidRPr="004F6172" w14:paraId="0B146C43" w14:textId="77777777" w:rsidTr="007A6A01">
        <w:trPr>
          <w:cantSplit/>
        </w:trPr>
        <w:tc>
          <w:tcPr>
            <w:tcW w:w="1157" w:type="pct"/>
            <w:tcBorders>
              <w:top w:val="nil"/>
              <w:left w:val="single" w:sz="4" w:space="0" w:color="auto"/>
              <w:bottom w:val="single" w:sz="4" w:space="0" w:color="auto"/>
              <w:right w:val="single" w:sz="4" w:space="0" w:color="auto"/>
            </w:tcBorders>
            <w:vAlign w:val="center"/>
          </w:tcPr>
          <w:p w14:paraId="08AA9A36" w14:textId="1645C7C2" w:rsidR="002B68DD" w:rsidRPr="004F6172" w:rsidRDefault="00B27AA2" w:rsidP="00A3510E">
            <w:pPr>
              <w:pStyle w:val="TableLeft"/>
              <w:tabs>
                <w:tab w:val="left" w:pos="1271"/>
              </w:tabs>
              <w:ind w:left="142"/>
              <w:rPr>
                <w:szCs w:val="20"/>
                <w:lang w:val="en-AU"/>
              </w:rPr>
            </w:pPr>
            <w:r w:rsidRPr="004F6172">
              <w:rPr>
                <w:szCs w:val="20"/>
                <w:lang w:val="en-AU"/>
              </w:rPr>
              <w:lastRenderedPageBreak/>
              <w:t>Encephalitis</w:t>
            </w:r>
          </w:p>
        </w:tc>
        <w:tc>
          <w:tcPr>
            <w:tcW w:w="1814"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3EABCCC" w14:textId="590E6C05" w:rsidR="002B68DD" w:rsidRPr="004F6172" w:rsidDel="00B83155" w:rsidRDefault="00B27AA2" w:rsidP="00A3510E">
            <w:pPr>
              <w:pStyle w:val="TableLeft"/>
              <w:rPr>
                <w:szCs w:val="20"/>
                <w:lang w:val="en-AU"/>
              </w:rPr>
            </w:pPr>
            <w:r w:rsidRPr="004F6172">
              <w:rPr>
                <w:szCs w:val="20"/>
                <w:lang w:val="en-AU"/>
              </w:rPr>
              <w:t>Grade 2-4</w:t>
            </w:r>
          </w:p>
        </w:tc>
        <w:tc>
          <w:tcPr>
            <w:tcW w:w="797"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2F5993E9" w14:textId="7399C9B5" w:rsidR="002B68DD" w:rsidRPr="004F6172" w:rsidDel="00B83155" w:rsidRDefault="00B27AA2" w:rsidP="00A3510E">
            <w:pPr>
              <w:pStyle w:val="TableLeft"/>
              <w:rPr>
                <w:szCs w:val="20"/>
                <w:lang w:val="en-AU"/>
              </w:rPr>
            </w:pPr>
            <w:r w:rsidRPr="004F6172">
              <w:rPr>
                <w:szCs w:val="20"/>
                <w:lang w:val="en-AU"/>
              </w:rPr>
              <w:t>Permanently discontinue</w:t>
            </w:r>
          </w:p>
        </w:tc>
        <w:tc>
          <w:tcPr>
            <w:tcW w:w="1232"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1A8C1528" w14:textId="31CCA5B3" w:rsidR="002B68DD" w:rsidRPr="004F6172" w:rsidRDefault="00B27AA2" w:rsidP="00A3510E">
            <w:pPr>
              <w:pStyle w:val="TableLeft"/>
              <w:rPr>
                <w:szCs w:val="20"/>
                <w:lang w:val="en-AU"/>
              </w:rPr>
            </w:pPr>
            <w:r w:rsidRPr="004F6172">
              <w:rPr>
                <w:szCs w:val="20"/>
                <w:lang w:val="en-AU"/>
              </w:rPr>
              <w:t>Initiate 1 to 2</w:t>
            </w:r>
            <w:r w:rsidR="002D2F3E" w:rsidRPr="004F6172">
              <w:rPr>
                <w:szCs w:val="20"/>
                <w:lang w:val="en-AU"/>
              </w:rPr>
              <w:t> </w:t>
            </w:r>
            <w:r w:rsidRPr="004F6172">
              <w:rPr>
                <w:szCs w:val="20"/>
                <w:lang w:val="en-AU"/>
              </w:rPr>
              <w:t>mg/kg/day prednisone or equivalent followed by a taper</w:t>
            </w:r>
          </w:p>
        </w:tc>
      </w:tr>
      <w:tr w:rsidR="008B029F" w:rsidRPr="008B029F" w14:paraId="2AEE8153" w14:textId="77777777" w:rsidTr="007A6A01">
        <w:trPr>
          <w:cantSplit/>
        </w:trPr>
        <w:tc>
          <w:tcPr>
            <w:tcW w:w="1157" w:type="pct"/>
            <w:tcBorders>
              <w:top w:val="nil"/>
              <w:left w:val="single" w:sz="4" w:space="0" w:color="auto"/>
              <w:bottom w:val="single" w:sz="4" w:space="0" w:color="auto"/>
              <w:right w:val="single" w:sz="4" w:space="0" w:color="auto"/>
            </w:tcBorders>
            <w:vAlign w:val="center"/>
          </w:tcPr>
          <w:p w14:paraId="1B8A64D1" w14:textId="7BB179FB" w:rsidR="008B029F" w:rsidRPr="004F6172" w:rsidRDefault="008B029F" w:rsidP="008B029F">
            <w:pPr>
              <w:pStyle w:val="TableLeft"/>
              <w:tabs>
                <w:tab w:val="left" w:pos="1271"/>
              </w:tabs>
              <w:ind w:left="142"/>
              <w:rPr>
                <w:szCs w:val="20"/>
                <w:lang w:val="en-AU"/>
              </w:rPr>
            </w:pPr>
            <w:r w:rsidRPr="004F6172">
              <w:rPr>
                <w:szCs w:val="20"/>
                <w:lang w:val="en-AU"/>
              </w:rPr>
              <w:t>Guillain-Barré syndrome</w:t>
            </w:r>
          </w:p>
        </w:tc>
        <w:tc>
          <w:tcPr>
            <w:tcW w:w="1814"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274A6AA3" w14:textId="02883C75" w:rsidR="008B029F" w:rsidRPr="004F6172" w:rsidRDefault="008B029F" w:rsidP="008B029F">
            <w:pPr>
              <w:pStyle w:val="TableLeft"/>
              <w:rPr>
                <w:szCs w:val="20"/>
                <w:lang w:val="en-AU"/>
              </w:rPr>
            </w:pPr>
            <w:r w:rsidRPr="004F6172">
              <w:t>Grade 2-4</w:t>
            </w:r>
          </w:p>
        </w:tc>
        <w:tc>
          <w:tcPr>
            <w:tcW w:w="797"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CE9B858" w14:textId="3F841564" w:rsidR="008B029F" w:rsidRPr="004F6172" w:rsidRDefault="008B029F" w:rsidP="008B029F">
            <w:pPr>
              <w:pStyle w:val="TableLeft"/>
              <w:rPr>
                <w:szCs w:val="20"/>
                <w:lang w:val="en-AU"/>
              </w:rPr>
            </w:pPr>
            <w:r w:rsidRPr="004F6172">
              <w:t>Permanently discontinue</w:t>
            </w:r>
          </w:p>
        </w:tc>
        <w:tc>
          <w:tcPr>
            <w:tcW w:w="1232"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EDFCE08" w14:textId="77777777" w:rsidR="008B029F" w:rsidRDefault="008B029F" w:rsidP="008B029F">
            <w:pPr>
              <w:pStyle w:val="TableLeft"/>
            </w:pPr>
            <w:r w:rsidRPr="004F6172">
              <w:t>Initiate 1 to 2 mg/kg/day prednisone or equivalent followed by a taper</w:t>
            </w:r>
          </w:p>
          <w:p w14:paraId="011C7CA7" w14:textId="77777777" w:rsidR="004F6172" w:rsidRDefault="004F6172" w:rsidP="008B029F">
            <w:pPr>
              <w:pStyle w:val="TableLeft"/>
            </w:pPr>
          </w:p>
          <w:p w14:paraId="5D51EC99" w14:textId="1AEFEB24" w:rsidR="004F6172" w:rsidRPr="008B029F" w:rsidRDefault="004F6172" w:rsidP="008B029F">
            <w:pPr>
              <w:pStyle w:val="TableLeft"/>
              <w:rPr>
                <w:szCs w:val="20"/>
                <w:lang w:val="en-AU"/>
              </w:rPr>
            </w:pPr>
          </w:p>
        </w:tc>
      </w:tr>
      <w:tr w:rsidR="00927D0E" w:rsidRPr="008B029F" w14:paraId="4512F818" w14:textId="77777777" w:rsidTr="007A6A01">
        <w:trPr>
          <w:cantSplit/>
        </w:trPr>
        <w:tc>
          <w:tcPr>
            <w:tcW w:w="1157" w:type="pct"/>
            <w:vMerge w:val="restart"/>
            <w:tcBorders>
              <w:top w:val="single" w:sz="4" w:space="0" w:color="auto"/>
              <w:left w:val="single" w:sz="4" w:space="0" w:color="auto"/>
              <w:right w:val="single" w:sz="4" w:space="0" w:color="auto"/>
            </w:tcBorders>
            <w:vAlign w:val="center"/>
          </w:tcPr>
          <w:p w14:paraId="589A1810" w14:textId="4048DA3F" w:rsidR="00927D0E" w:rsidRPr="008B029F" w:rsidRDefault="00927D0E" w:rsidP="00A3510E">
            <w:pPr>
              <w:pStyle w:val="TableLeft"/>
              <w:tabs>
                <w:tab w:val="left" w:pos="1271"/>
              </w:tabs>
              <w:ind w:left="142"/>
              <w:rPr>
                <w:szCs w:val="20"/>
                <w:lang w:val="en-AU"/>
              </w:rPr>
            </w:pPr>
            <w:r w:rsidRPr="008B029F">
              <w:rPr>
                <w:szCs w:val="20"/>
                <w:lang w:val="en-AU"/>
              </w:rPr>
              <w:t>Other immune-mediated adverse reactions</w:t>
            </w:r>
            <w:r w:rsidR="004F6172">
              <w:rPr>
                <w:szCs w:val="20"/>
                <w:lang w:val="en-AU"/>
              </w:rPr>
              <w:t xml:space="preserve"> </w:t>
            </w:r>
            <w:r w:rsidRPr="008B029F">
              <w:rPr>
                <w:szCs w:val="20"/>
                <w:vertAlign w:val="superscript"/>
                <w:lang w:val="en-AU"/>
              </w:rPr>
              <w:t>d</w:t>
            </w: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99F10F" w14:textId="50920068" w:rsidR="00927D0E" w:rsidRPr="008B029F" w:rsidRDefault="00927D0E" w:rsidP="00A3510E">
            <w:pPr>
              <w:pStyle w:val="TableLeft"/>
              <w:rPr>
                <w:szCs w:val="20"/>
                <w:lang w:val="en-AU"/>
              </w:rPr>
            </w:pPr>
            <w:r w:rsidRPr="008B029F">
              <w:rPr>
                <w:szCs w:val="20"/>
                <w:lang w:val="en-AU"/>
              </w:rPr>
              <w:t xml:space="preserve">Grade </w:t>
            </w:r>
            <w:r w:rsidR="005C67D6" w:rsidRPr="008B029F">
              <w:rPr>
                <w:szCs w:val="20"/>
                <w:lang w:val="en-AU"/>
              </w:rPr>
              <w:t>2</w:t>
            </w:r>
            <w:r w:rsidR="00B812CA" w:rsidRPr="008B029F">
              <w:rPr>
                <w:szCs w:val="20"/>
                <w:lang w:val="en-AU"/>
              </w:rPr>
              <w:t xml:space="preserve"> or </w:t>
            </w:r>
            <w:r w:rsidRPr="008B029F">
              <w:rPr>
                <w:szCs w:val="20"/>
                <w:lang w:val="en-AU"/>
              </w:rPr>
              <w:t>3</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C19EB8" w14:textId="3AB49922" w:rsidR="00927D0E" w:rsidRPr="008B029F" w:rsidRDefault="00927D0E" w:rsidP="00A3510E">
            <w:pPr>
              <w:pStyle w:val="TableLeft"/>
              <w:rPr>
                <w:szCs w:val="20"/>
                <w:lang w:val="en-AU"/>
              </w:rPr>
            </w:pPr>
            <w:r w:rsidRPr="008B029F">
              <w:rPr>
                <w:szCs w:val="20"/>
                <w:lang w:val="en-AU"/>
              </w:rPr>
              <w:t>Withhold dose</w:t>
            </w:r>
          </w:p>
        </w:tc>
        <w:tc>
          <w:tcPr>
            <w:tcW w:w="123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4F2E39F" w14:textId="37A9F3D9" w:rsidR="00927D0E" w:rsidRPr="008B029F" w:rsidRDefault="00927D0E" w:rsidP="00A3510E">
            <w:pPr>
              <w:pStyle w:val="TableLeft"/>
              <w:rPr>
                <w:szCs w:val="20"/>
                <w:lang w:val="en-AU"/>
              </w:rPr>
            </w:pPr>
            <w:r w:rsidRPr="008B029F">
              <w:rPr>
                <w:szCs w:val="20"/>
                <w:lang w:val="en-AU"/>
              </w:rPr>
              <w:t>Initiate 1</w:t>
            </w:r>
            <w:r w:rsidR="002D2F3E" w:rsidRPr="008B029F">
              <w:rPr>
                <w:szCs w:val="20"/>
                <w:lang w:val="en-AU"/>
              </w:rPr>
              <w:t> </w:t>
            </w:r>
            <w:r w:rsidRPr="008B029F">
              <w:rPr>
                <w:szCs w:val="20"/>
                <w:lang w:val="en-AU"/>
              </w:rPr>
              <w:t>mg/kg/day to 2</w:t>
            </w:r>
            <w:r w:rsidR="002D2F3E" w:rsidRPr="008B029F">
              <w:rPr>
                <w:szCs w:val="20"/>
                <w:lang w:val="en-AU"/>
              </w:rPr>
              <w:t> </w:t>
            </w:r>
            <w:r w:rsidRPr="008B029F">
              <w:rPr>
                <w:szCs w:val="20"/>
                <w:lang w:val="en-AU"/>
              </w:rPr>
              <w:t>mg/kg/day prednisone or equivalent followed by a taper</w:t>
            </w:r>
          </w:p>
        </w:tc>
      </w:tr>
      <w:tr w:rsidR="00927D0E" w:rsidRPr="008B029F" w14:paraId="0347BD22" w14:textId="77777777" w:rsidTr="007A6A01">
        <w:trPr>
          <w:cantSplit/>
        </w:trPr>
        <w:tc>
          <w:tcPr>
            <w:tcW w:w="1157" w:type="pct"/>
            <w:vMerge/>
            <w:tcBorders>
              <w:left w:val="single" w:sz="4" w:space="0" w:color="auto"/>
              <w:bottom w:val="single" w:sz="4" w:space="0" w:color="auto"/>
              <w:right w:val="single" w:sz="4" w:space="0" w:color="auto"/>
            </w:tcBorders>
            <w:vAlign w:val="center"/>
          </w:tcPr>
          <w:p w14:paraId="34C8F1CE" w14:textId="4A2424A6" w:rsidR="00927D0E" w:rsidRPr="008B029F" w:rsidRDefault="00927D0E" w:rsidP="00A3510E">
            <w:pPr>
              <w:pStyle w:val="TableLeft"/>
              <w:tabs>
                <w:tab w:val="left" w:pos="1271"/>
              </w:tabs>
              <w:ind w:left="142"/>
              <w:rPr>
                <w:szCs w:val="20"/>
                <w:lang w:val="en-AU"/>
              </w:rPr>
            </w:pPr>
          </w:p>
        </w:tc>
        <w:tc>
          <w:tcPr>
            <w:tcW w:w="1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F12FB6" w14:textId="1B5A93C7" w:rsidR="00927D0E" w:rsidRPr="008B029F" w:rsidRDefault="00927D0E" w:rsidP="00A3510E">
            <w:pPr>
              <w:pStyle w:val="TableLeft"/>
              <w:rPr>
                <w:szCs w:val="20"/>
                <w:lang w:val="en-AU"/>
              </w:rPr>
            </w:pPr>
            <w:r w:rsidRPr="008B029F">
              <w:rPr>
                <w:szCs w:val="20"/>
                <w:lang w:val="en-AU"/>
              </w:rPr>
              <w:t>Grade 4</w:t>
            </w:r>
          </w:p>
        </w:tc>
        <w:tc>
          <w:tcPr>
            <w:tcW w:w="7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C016F0" w14:textId="001B23F5" w:rsidR="00927D0E" w:rsidRPr="008B029F" w:rsidRDefault="00927D0E" w:rsidP="00A3510E">
            <w:pPr>
              <w:pStyle w:val="TableLeft"/>
              <w:rPr>
                <w:szCs w:val="20"/>
                <w:lang w:val="en-AU"/>
              </w:rPr>
            </w:pPr>
            <w:r w:rsidRPr="008B029F">
              <w:rPr>
                <w:szCs w:val="20"/>
                <w:lang w:val="en-AU"/>
              </w:rPr>
              <w:t>Permanently discontinue</w:t>
            </w:r>
          </w:p>
        </w:tc>
        <w:tc>
          <w:tcPr>
            <w:tcW w:w="123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A3CA30A" w14:textId="77777777" w:rsidR="00927D0E" w:rsidRPr="008B029F" w:rsidRDefault="00927D0E" w:rsidP="00A3510E">
            <w:pPr>
              <w:pStyle w:val="TableLeft"/>
              <w:rPr>
                <w:szCs w:val="20"/>
                <w:lang w:val="en-AU"/>
              </w:rPr>
            </w:pPr>
          </w:p>
        </w:tc>
      </w:tr>
    </w:tbl>
    <w:p w14:paraId="60ED2E99" w14:textId="2265F4E0" w:rsidR="00141C93" w:rsidRPr="008B029F" w:rsidRDefault="00141C93" w:rsidP="00274A89">
      <w:pPr>
        <w:pStyle w:val="TableFootnoteLetter"/>
        <w:numPr>
          <w:ilvl w:val="0"/>
          <w:numId w:val="30"/>
        </w:numPr>
        <w:rPr>
          <w:lang w:val="en-AU"/>
        </w:rPr>
      </w:pPr>
      <w:r w:rsidRPr="008B029F">
        <w:rPr>
          <w:lang w:val="en-AU"/>
        </w:rPr>
        <w:t>Common Terminology Criteria for Adverse Events, version 4.03. ALT: alanine aminotransferase; AST: aspartate aminotransferase; ULN: upper limit of normal.</w:t>
      </w:r>
    </w:p>
    <w:p w14:paraId="51A0FE31" w14:textId="44101989" w:rsidR="00D05874" w:rsidRPr="008B029F" w:rsidRDefault="00D05874" w:rsidP="00274A89">
      <w:pPr>
        <w:pStyle w:val="TableFootnoteLetter"/>
        <w:numPr>
          <w:ilvl w:val="0"/>
          <w:numId w:val="30"/>
        </w:numPr>
        <w:rPr>
          <w:rFonts w:eastAsiaTheme="minorEastAsia"/>
          <w:lang w:val="en-AU"/>
        </w:rPr>
      </w:pPr>
      <w:r w:rsidRPr="008B029F">
        <w:rPr>
          <w:rFonts w:eastAsiaTheme="minorEastAsia"/>
          <w:lang w:val="en-AU"/>
        </w:rPr>
        <w:t xml:space="preserve">If no improvement within </w:t>
      </w:r>
      <w:r w:rsidR="00927D0E" w:rsidRPr="008B029F">
        <w:rPr>
          <w:rFonts w:eastAsiaTheme="minorEastAsia"/>
          <w:lang w:val="en-AU"/>
        </w:rPr>
        <w:t>2</w:t>
      </w:r>
      <w:r w:rsidRPr="008B029F">
        <w:rPr>
          <w:rFonts w:eastAsiaTheme="minorEastAsia"/>
          <w:lang w:val="en-AU"/>
        </w:rPr>
        <w:t xml:space="preserve"> to </w:t>
      </w:r>
      <w:r w:rsidR="00927D0E" w:rsidRPr="008B029F">
        <w:rPr>
          <w:rFonts w:eastAsiaTheme="minorEastAsia"/>
          <w:lang w:val="en-AU"/>
        </w:rPr>
        <w:t>3</w:t>
      </w:r>
      <w:r w:rsidRPr="008B029F">
        <w:rPr>
          <w:rFonts w:eastAsiaTheme="minorEastAsia"/>
          <w:lang w:val="en-AU"/>
        </w:rPr>
        <w:t xml:space="preserve"> days despite corticosteroids, promptly start additional immunosuppressive therapy. Upon resolution (Grade 0), corticosteroid taper should be initiated and continued over at least 1 month.</w:t>
      </w:r>
    </w:p>
    <w:p w14:paraId="284491B7" w14:textId="2EB1A8EF" w:rsidR="00D05874" w:rsidRPr="008B029F" w:rsidRDefault="00D05874" w:rsidP="00274A89">
      <w:pPr>
        <w:pStyle w:val="TableFootnoteLetter"/>
        <w:numPr>
          <w:ilvl w:val="0"/>
          <w:numId w:val="30"/>
        </w:numPr>
        <w:rPr>
          <w:rFonts w:eastAsiaTheme="minorEastAsia" w:cs="Arial"/>
          <w:lang w:val="en-AU"/>
        </w:rPr>
      </w:pPr>
      <w:r w:rsidRPr="008B029F">
        <w:rPr>
          <w:rFonts w:eastAsiaTheme="minorEastAsia" w:cs="Arial"/>
          <w:lang w:val="en-AU"/>
        </w:rPr>
        <w:t>Permanently discontinue IMFINZI if adverse reaction does not resolve to ≤</w:t>
      </w:r>
      <w:r w:rsidR="004C7BA2" w:rsidRPr="008B029F">
        <w:rPr>
          <w:rFonts w:eastAsiaTheme="minorEastAsia" w:cs="Arial"/>
          <w:lang w:val="en-AU"/>
        </w:rPr>
        <w:t xml:space="preserve"> </w:t>
      </w:r>
      <w:r w:rsidRPr="008B029F">
        <w:rPr>
          <w:rFonts w:eastAsiaTheme="minorEastAsia" w:cs="Arial"/>
          <w:lang w:val="en-AU"/>
        </w:rPr>
        <w:t>Grade 1 within 30 days or if there are signs of respiratory insufficiency.</w:t>
      </w:r>
    </w:p>
    <w:p w14:paraId="1BAEEC56" w14:textId="014E1E0F" w:rsidR="006662B1" w:rsidRPr="008B029F" w:rsidRDefault="006662B1" w:rsidP="006662B1">
      <w:pPr>
        <w:pStyle w:val="TableFootnoteLetter"/>
        <w:numPr>
          <w:ilvl w:val="0"/>
          <w:numId w:val="30"/>
        </w:numPr>
        <w:rPr>
          <w:rFonts w:eastAsiaTheme="minorEastAsia" w:cs="Arial"/>
          <w:lang w:val="en-AU"/>
        </w:rPr>
      </w:pPr>
      <w:r w:rsidRPr="008B029F">
        <w:rPr>
          <w:rFonts w:eastAsiaTheme="minorEastAsia" w:cs="Arial"/>
          <w:lang w:val="en-AU"/>
        </w:rPr>
        <w:t>Includes immune thrombocytopenia</w:t>
      </w:r>
      <w:r w:rsidR="00927D0E" w:rsidRPr="008B029F">
        <w:rPr>
          <w:rFonts w:eastAsiaTheme="minorEastAsia" w:cs="Arial"/>
          <w:lang w:val="en-AU"/>
        </w:rPr>
        <w:t>, pancreatitis</w:t>
      </w:r>
      <w:r w:rsidRPr="008B029F">
        <w:rPr>
          <w:rFonts w:eastAsiaTheme="minorEastAsia" w:cs="Arial"/>
          <w:lang w:val="en-AU"/>
        </w:rPr>
        <w:t>.</w:t>
      </w:r>
    </w:p>
    <w:p w14:paraId="34578E3C" w14:textId="77777777" w:rsidR="007A6A01" w:rsidRPr="008B029F" w:rsidRDefault="007A6A01" w:rsidP="007A6A01">
      <w:pPr>
        <w:pStyle w:val="TableFootnoteLetter"/>
        <w:numPr>
          <w:ilvl w:val="0"/>
          <w:numId w:val="30"/>
        </w:numPr>
        <w:rPr>
          <w:rFonts w:eastAsiaTheme="minorEastAsia" w:cs="Arial"/>
          <w:lang w:val="en-AU"/>
        </w:rPr>
      </w:pPr>
      <w:r w:rsidRPr="008B029F">
        <w:rPr>
          <w:rFonts w:eastAsiaTheme="minorEastAsia" w:cs="Arial"/>
          <w:lang w:val="en-AU"/>
        </w:rPr>
        <w:t>For patients with alternative cause follow the recommendations for AST or ALT increases without concurrent bilirubin elevations.</w:t>
      </w:r>
    </w:p>
    <w:p w14:paraId="1DF86B3E" w14:textId="31633825" w:rsidR="007A6A01" w:rsidRPr="008B029F" w:rsidRDefault="007A6A01" w:rsidP="007A6A01">
      <w:pPr>
        <w:pStyle w:val="TableFootnoteLetter"/>
        <w:numPr>
          <w:ilvl w:val="0"/>
          <w:numId w:val="30"/>
        </w:numPr>
        <w:rPr>
          <w:rFonts w:eastAsiaTheme="minorEastAsia" w:cs="Arial"/>
          <w:lang w:val="en-AU"/>
        </w:rPr>
      </w:pPr>
      <w:bookmarkStart w:id="8" w:name="_Hlk118475827"/>
      <w:r w:rsidRPr="008B029F">
        <w:rPr>
          <w:rFonts w:eastAsiaTheme="minorEastAsia" w:cs="Arial"/>
          <w:lang w:val="en-AU"/>
        </w:rPr>
        <w:t>If AST and ALT are less than or equal to ULN at baseline in patients with liver involvement, withhold or permanently discontinue durvalumab based on recommendations for hepatitis with no liver involvement.</w:t>
      </w:r>
      <w:bookmarkEnd w:id="8"/>
    </w:p>
    <w:p w14:paraId="6996F33E" w14:textId="77777777" w:rsidR="00141C93" w:rsidRPr="008B029F" w:rsidRDefault="00141C93" w:rsidP="00A3510E">
      <w:pPr>
        <w:pStyle w:val="Paragraph"/>
        <w:rPr>
          <w:rFonts w:eastAsiaTheme="minorEastAsia"/>
          <w:lang w:val="en-AU"/>
        </w:rPr>
      </w:pPr>
    </w:p>
    <w:p w14:paraId="040E5D28" w14:textId="2CCEB825" w:rsidR="0008016F" w:rsidRPr="008B029F" w:rsidRDefault="0051481E" w:rsidP="00683488">
      <w:pPr>
        <w:pStyle w:val="Paragraph"/>
        <w:rPr>
          <w:rFonts w:eastAsiaTheme="minorEastAsia" w:cs="Arial"/>
          <w:lang w:val="en-AU"/>
        </w:rPr>
      </w:pPr>
      <w:r w:rsidRPr="008B029F">
        <w:rPr>
          <w:rFonts w:eastAsiaTheme="minorEastAsia" w:cs="Arial"/>
          <w:lang w:val="en-AU"/>
        </w:rPr>
        <w:t xml:space="preserve">For suspected immune-mediated adverse reactions, adequate evaluation should be performed to confirm aetiology or exclude alternate aetiologies. </w:t>
      </w:r>
      <w:r w:rsidR="00F05941" w:rsidRPr="008B029F">
        <w:rPr>
          <w:rFonts w:eastAsiaTheme="minorEastAsia" w:cs="Arial"/>
          <w:lang w:val="en-AU"/>
        </w:rPr>
        <w:t xml:space="preserve">Upon improvement to ≤ Grade 1, corticosteroid taper should be initiated and continued over at least 1 month. </w:t>
      </w:r>
      <w:r w:rsidRPr="008B029F">
        <w:rPr>
          <w:rFonts w:eastAsiaTheme="minorEastAsia" w:cs="Arial"/>
          <w:lang w:val="en-AU"/>
        </w:rPr>
        <w:t>Consider increasing dose of corticosteroids and/or using additional systemic immunosuppressants if there is worsening or no improvement. After withhold, IMFINZI can be resumed within 12 weeks if the adverse reactions improved to ≤ Grade 1 and the corticosteroid dose has been reduced to ≤10</w:t>
      </w:r>
      <w:r w:rsidR="001104D1" w:rsidRPr="008B029F">
        <w:rPr>
          <w:rFonts w:eastAsiaTheme="minorEastAsia" w:cs="Arial"/>
          <w:lang w:val="en-AU"/>
        </w:rPr>
        <w:t> </w:t>
      </w:r>
      <w:r w:rsidRPr="008B029F">
        <w:rPr>
          <w:rFonts w:eastAsiaTheme="minorEastAsia" w:cs="Arial"/>
          <w:lang w:val="en-AU"/>
        </w:rPr>
        <w:t>mg prednisone or equivalent per day. IMFINZI should be permanently discontinued for recurrent Grade 3 adverse reactions</w:t>
      </w:r>
      <w:r w:rsidR="009A49F9" w:rsidRPr="008B029F">
        <w:rPr>
          <w:rFonts w:eastAsiaTheme="minorEastAsia" w:cs="Arial"/>
          <w:lang w:val="en-AU"/>
        </w:rPr>
        <w:t>, as applicable</w:t>
      </w:r>
      <w:r w:rsidRPr="008B029F">
        <w:rPr>
          <w:rFonts w:eastAsiaTheme="minorEastAsia" w:cs="Arial"/>
          <w:lang w:val="en-AU"/>
        </w:rPr>
        <w:t>.</w:t>
      </w:r>
      <w:r w:rsidR="0008016F" w:rsidRPr="008B029F">
        <w:rPr>
          <w:rFonts w:eastAsiaTheme="minorEastAsia" w:cs="Arial"/>
          <w:lang w:val="en-AU"/>
        </w:rPr>
        <w:t xml:space="preserve"> </w:t>
      </w:r>
    </w:p>
    <w:p w14:paraId="64E4B85D" w14:textId="3976224B" w:rsidR="00683488" w:rsidRPr="008B029F" w:rsidRDefault="00683488" w:rsidP="00683488">
      <w:pPr>
        <w:pStyle w:val="Paragraph"/>
        <w:rPr>
          <w:rFonts w:eastAsiaTheme="minorEastAsia" w:cs="Arial"/>
          <w:lang w:val="en-AU"/>
        </w:rPr>
      </w:pPr>
      <w:r w:rsidRPr="008B029F">
        <w:rPr>
          <w:lang w:val="en-AU"/>
        </w:rPr>
        <w:t>For non-immune-mediated adverse reactions, withhold IMFINZI for Grade 2 and 3 adverse reactions until ≤</w:t>
      </w:r>
      <w:r w:rsidRPr="008B029F">
        <w:rPr>
          <w:noProof/>
          <w:szCs w:val="22"/>
          <w:lang w:val="en-AU"/>
        </w:rPr>
        <w:t> </w:t>
      </w:r>
      <w:r w:rsidRPr="008B029F">
        <w:rPr>
          <w:lang w:val="en-AU"/>
        </w:rPr>
        <w:t>Grade 1 or baseline. IMFINZI should be discontinued for Grade 4 adverse reactions (with the exception of Grade 4 laboratory abnormalities, about which the decision to discontinue should be based on accompanying clinic</w:t>
      </w:r>
      <w:r w:rsidR="00660759" w:rsidRPr="008B029F">
        <w:rPr>
          <w:lang w:val="en-AU"/>
        </w:rPr>
        <w:t>al signs/symptoms and clinical j</w:t>
      </w:r>
      <w:r w:rsidRPr="008B029F">
        <w:rPr>
          <w:lang w:val="en-AU"/>
        </w:rPr>
        <w:t>udgment).</w:t>
      </w:r>
    </w:p>
    <w:p w14:paraId="3581BC00" w14:textId="77777777" w:rsidR="00877C4C" w:rsidRPr="008B029F" w:rsidRDefault="00141C93" w:rsidP="006A5B88">
      <w:pPr>
        <w:pStyle w:val="Heading3Unnumbered"/>
        <w:rPr>
          <w:lang w:val="en-AU"/>
        </w:rPr>
      </w:pPr>
      <w:r w:rsidRPr="008B029F">
        <w:rPr>
          <w:lang w:val="en-AU"/>
        </w:rPr>
        <w:t>Special patient populations</w:t>
      </w:r>
    </w:p>
    <w:p w14:paraId="4D161B46" w14:textId="77777777" w:rsidR="00713B87" w:rsidRPr="008B029F" w:rsidRDefault="00713B87" w:rsidP="00713B87">
      <w:pPr>
        <w:pStyle w:val="Heading4Unnumbered"/>
        <w:rPr>
          <w:lang w:val="en-AU"/>
        </w:rPr>
      </w:pPr>
      <w:r w:rsidRPr="008B029F">
        <w:rPr>
          <w:lang w:val="en-AU"/>
        </w:rPr>
        <w:t xml:space="preserve">Renal </w:t>
      </w:r>
      <w:r w:rsidR="00D57A45" w:rsidRPr="008B029F">
        <w:rPr>
          <w:lang w:val="en-AU"/>
        </w:rPr>
        <w:t>i</w:t>
      </w:r>
      <w:r w:rsidRPr="008B029F">
        <w:rPr>
          <w:lang w:val="en-AU"/>
        </w:rPr>
        <w:t>mpairment</w:t>
      </w:r>
    </w:p>
    <w:p w14:paraId="64212D03" w14:textId="1265E94D" w:rsidR="00723702" w:rsidRPr="008B029F" w:rsidRDefault="00D85F31" w:rsidP="00415F7D">
      <w:pPr>
        <w:pStyle w:val="Paragraph"/>
        <w:rPr>
          <w:lang w:val="en-AU"/>
        </w:rPr>
      </w:pPr>
      <w:r w:rsidRPr="008B029F">
        <w:rPr>
          <w:lang w:val="en-AU"/>
        </w:rPr>
        <w:t>N</w:t>
      </w:r>
      <w:r w:rsidR="00713B87" w:rsidRPr="008B029F">
        <w:rPr>
          <w:lang w:val="en-AU"/>
        </w:rPr>
        <w:t xml:space="preserve">o dose adjustment is recommended </w:t>
      </w:r>
      <w:r w:rsidR="00683488" w:rsidRPr="008B029F">
        <w:rPr>
          <w:lang w:val="en-AU"/>
        </w:rPr>
        <w:t>for</w:t>
      </w:r>
      <w:r w:rsidR="00713B87" w:rsidRPr="008B029F">
        <w:rPr>
          <w:lang w:val="en-AU"/>
        </w:rPr>
        <w:t xml:space="preserve"> patients with mild or moderate renal impairment </w:t>
      </w:r>
      <w:r w:rsidR="00713B87" w:rsidRPr="008B029F" w:rsidDel="0023626D">
        <w:rPr>
          <w:lang w:val="en-AU"/>
        </w:rPr>
        <w:t>(</w:t>
      </w:r>
      <w:r w:rsidR="00DD2112" w:rsidRPr="008B029F">
        <w:rPr>
          <w:lang w:val="en-AU"/>
        </w:rPr>
        <w:t xml:space="preserve">see </w:t>
      </w:r>
      <w:r w:rsidR="00A3510E" w:rsidRPr="008B029F">
        <w:rPr>
          <w:lang w:val="en-AU"/>
        </w:rPr>
        <w:t xml:space="preserve">Section </w:t>
      </w:r>
      <w:r w:rsidR="00A3510E" w:rsidRPr="008B029F">
        <w:rPr>
          <w:color w:val="2B579A"/>
          <w:shd w:val="clear" w:color="auto" w:fill="E6E6E6"/>
          <w:lang w:val="en-AU"/>
        </w:rPr>
        <w:fldChar w:fldCharType="begin"/>
      </w:r>
      <w:r w:rsidR="00A3510E" w:rsidRPr="008B029F">
        <w:rPr>
          <w:lang w:val="en-AU"/>
        </w:rPr>
        <w:instrText xml:space="preserve"> REF _Ref121909822 \r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5.2</w:t>
      </w:r>
      <w:r w:rsidR="00A3510E" w:rsidRPr="008B029F">
        <w:rPr>
          <w:color w:val="2B579A"/>
          <w:shd w:val="clear" w:color="auto" w:fill="E6E6E6"/>
          <w:lang w:val="en-AU"/>
        </w:rPr>
        <w:fldChar w:fldCharType="end"/>
      </w:r>
      <w:r w:rsidR="00A3510E" w:rsidRPr="008B029F">
        <w:rPr>
          <w:lang w:val="en-AU"/>
        </w:rPr>
        <w:t xml:space="preserve"> </w:t>
      </w:r>
      <w:r w:rsidR="00A3510E" w:rsidRPr="008B029F">
        <w:rPr>
          <w:color w:val="2B579A"/>
          <w:shd w:val="clear" w:color="auto" w:fill="E6E6E6"/>
          <w:lang w:val="en-AU"/>
        </w:rPr>
        <w:fldChar w:fldCharType="begin"/>
      </w:r>
      <w:r w:rsidR="00A3510E" w:rsidRPr="008B029F">
        <w:rPr>
          <w:lang w:val="en-AU"/>
        </w:rPr>
        <w:instrText xml:space="preserve"> REF _Ref121909822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Pharmacokinetic properties</w:t>
      </w:r>
      <w:r w:rsidR="00A3510E" w:rsidRPr="008B029F">
        <w:rPr>
          <w:color w:val="2B579A"/>
          <w:shd w:val="clear" w:color="auto" w:fill="E6E6E6"/>
          <w:lang w:val="en-AU"/>
        </w:rPr>
        <w:fldChar w:fldCharType="end"/>
      </w:r>
      <w:r w:rsidR="00713B87" w:rsidRPr="008B029F">
        <w:rPr>
          <w:lang w:val="en-AU"/>
        </w:rPr>
        <w:t>). Durvalumab has not been studied in subjects with severe renal impairment.</w:t>
      </w:r>
    </w:p>
    <w:p w14:paraId="67C8AB19" w14:textId="77777777" w:rsidR="00713B87" w:rsidRPr="008B029F" w:rsidRDefault="00713B87" w:rsidP="00713B87">
      <w:pPr>
        <w:pStyle w:val="Heading4Unnumbered"/>
        <w:rPr>
          <w:lang w:val="en-AU"/>
        </w:rPr>
      </w:pPr>
      <w:r w:rsidRPr="008B029F">
        <w:rPr>
          <w:lang w:val="en-AU"/>
        </w:rPr>
        <w:t xml:space="preserve">Hepatic </w:t>
      </w:r>
      <w:r w:rsidR="00D57A45" w:rsidRPr="008B029F">
        <w:rPr>
          <w:lang w:val="en-AU"/>
        </w:rPr>
        <w:t>i</w:t>
      </w:r>
      <w:r w:rsidRPr="008B029F">
        <w:rPr>
          <w:lang w:val="en-AU"/>
        </w:rPr>
        <w:t>mpairment</w:t>
      </w:r>
    </w:p>
    <w:p w14:paraId="1858C436" w14:textId="4D0F4DC2" w:rsidR="00713B87" w:rsidRPr="008B029F" w:rsidRDefault="007A6A01" w:rsidP="003E73DB">
      <w:pPr>
        <w:pStyle w:val="Paragraph"/>
        <w:rPr>
          <w:lang w:val="en-AU"/>
        </w:rPr>
      </w:pPr>
      <w:r w:rsidRPr="008B029F">
        <w:rPr>
          <w:lang w:val="en-AU"/>
        </w:rPr>
        <w:t xml:space="preserve">Based on a population pharmacokinetic analysis, no </w:t>
      </w:r>
      <w:r w:rsidR="00713B87" w:rsidRPr="008B029F">
        <w:rPr>
          <w:lang w:val="en-AU"/>
        </w:rPr>
        <w:t xml:space="preserve">dose adjustment is recommended for patients with </w:t>
      </w:r>
      <w:r w:rsidRPr="008B029F">
        <w:rPr>
          <w:lang w:val="en-AU"/>
        </w:rPr>
        <w:t xml:space="preserve">mild or moderate </w:t>
      </w:r>
      <w:r w:rsidR="00713B87" w:rsidRPr="008B029F">
        <w:rPr>
          <w:lang w:val="en-AU"/>
        </w:rPr>
        <w:t xml:space="preserve">hepatic impairment. </w:t>
      </w:r>
      <w:r w:rsidR="002E44B0" w:rsidRPr="008B029F">
        <w:rPr>
          <w:rFonts w:eastAsia="SimSun"/>
          <w:szCs w:val="22"/>
          <w:lang w:val="en-AU"/>
        </w:rPr>
        <w:t xml:space="preserve">IMFINZI has not been studied in </w:t>
      </w:r>
      <w:r w:rsidR="00050584" w:rsidRPr="008B029F">
        <w:rPr>
          <w:rFonts w:eastAsia="SimSun"/>
          <w:szCs w:val="22"/>
          <w:lang w:val="en-AU"/>
        </w:rPr>
        <w:t>patients with severe hepatic impairment</w:t>
      </w:r>
      <w:r w:rsidR="002E44B0" w:rsidRPr="008B029F">
        <w:rPr>
          <w:rFonts w:eastAsia="SimSun"/>
          <w:szCs w:val="22"/>
          <w:lang w:val="en-AU"/>
        </w:rPr>
        <w:t>. H</w:t>
      </w:r>
      <w:r w:rsidR="00683488" w:rsidRPr="008B029F">
        <w:rPr>
          <w:rFonts w:eastAsia="SimSun"/>
          <w:szCs w:val="22"/>
          <w:lang w:val="en-AU"/>
        </w:rPr>
        <w:t>owever, d</w:t>
      </w:r>
      <w:r w:rsidR="00464F24" w:rsidRPr="008B029F">
        <w:rPr>
          <w:lang w:val="en-AU"/>
        </w:rPr>
        <w:t xml:space="preserve">ue to minor involvement of hepatic processes in the clearance of </w:t>
      </w:r>
      <w:r w:rsidR="00464F24" w:rsidRPr="008B029F">
        <w:rPr>
          <w:lang w:val="en-AU"/>
        </w:rPr>
        <w:lastRenderedPageBreak/>
        <w:t>durvalumab, no difference in exposure is expected</w:t>
      </w:r>
      <w:r w:rsidR="00683488" w:rsidRPr="008B029F">
        <w:rPr>
          <w:lang w:val="en-AU"/>
        </w:rPr>
        <w:t xml:space="preserve"> for these patients</w:t>
      </w:r>
      <w:r w:rsidR="0085459C" w:rsidRPr="008B029F">
        <w:rPr>
          <w:lang w:val="en-AU"/>
        </w:rPr>
        <w:t xml:space="preserve"> </w:t>
      </w:r>
      <w:r w:rsidR="00713B87" w:rsidRPr="008B029F">
        <w:rPr>
          <w:lang w:val="en-AU"/>
        </w:rPr>
        <w:t>(</w:t>
      </w:r>
      <w:r w:rsidR="00DD2112" w:rsidRPr="008B029F">
        <w:rPr>
          <w:lang w:val="en-AU"/>
        </w:rPr>
        <w:t xml:space="preserve">see </w:t>
      </w:r>
      <w:r w:rsidR="00A3510E" w:rsidRPr="008B029F">
        <w:rPr>
          <w:lang w:val="en-AU"/>
        </w:rPr>
        <w:t xml:space="preserve">Section </w:t>
      </w:r>
      <w:r w:rsidR="00A3510E" w:rsidRPr="008B029F">
        <w:rPr>
          <w:color w:val="2B579A"/>
          <w:shd w:val="clear" w:color="auto" w:fill="E6E6E6"/>
          <w:lang w:val="en-AU"/>
        </w:rPr>
        <w:fldChar w:fldCharType="begin"/>
      </w:r>
      <w:r w:rsidR="00A3510E" w:rsidRPr="008B029F">
        <w:rPr>
          <w:lang w:val="en-AU"/>
        </w:rPr>
        <w:instrText xml:space="preserve"> REF _Ref121909822 \r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5.2</w:t>
      </w:r>
      <w:r w:rsidR="00A3510E" w:rsidRPr="008B029F">
        <w:rPr>
          <w:color w:val="2B579A"/>
          <w:shd w:val="clear" w:color="auto" w:fill="E6E6E6"/>
          <w:lang w:val="en-AU"/>
        </w:rPr>
        <w:fldChar w:fldCharType="end"/>
      </w:r>
      <w:r w:rsidR="00A3510E" w:rsidRPr="008B029F">
        <w:rPr>
          <w:lang w:val="en-AU"/>
        </w:rPr>
        <w:t xml:space="preserve"> </w:t>
      </w:r>
      <w:r w:rsidR="00A3510E" w:rsidRPr="008B029F">
        <w:rPr>
          <w:color w:val="2B579A"/>
          <w:shd w:val="clear" w:color="auto" w:fill="E6E6E6"/>
          <w:lang w:val="en-AU"/>
        </w:rPr>
        <w:fldChar w:fldCharType="begin"/>
      </w:r>
      <w:r w:rsidR="00A3510E" w:rsidRPr="008B029F">
        <w:rPr>
          <w:lang w:val="en-AU"/>
        </w:rPr>
        <w:instrText xml:space="preserve"> REF _Ref121909822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Pharmacokinetic properties</w:t>
      </w:r>
      <w:r w:rsidR="00A3510E" w:rsidRPr="008B029F">
        <w:rPr>
          <w:color w:val="2B579A"/>
          <w:shd w:val="clear" w:color="auto" w:fill="E6E6E6"/>
          <w:lang w:val="en-AU"/>
        </w:rPr>
        <w:fldChar w:fldCharType="end"/>
      </w:r>
      <w:r w:rsidR="00713B87" w:rsidRPr="008B029F">
        <w:rPr>
          <w:lang w:val="en-AU"/>
        </w:rPr>
        <w:t>).</w:t>
      </w:r>
    </w:p>
    <w:p w14:paraId="206C1533" w14:textId="77777777" w:rsidR="00141C93" w:rsidRPr="008B029F" w:rsidRDefault="00141C93" w:rsidP="00713B87">
      <w:pPr>
        <w:pStyle w:val="Heading4Unnumbered"/>
        <w:rPr>
          <w:lang w:val="en-AU"/>
        </w:rPr>
      </w:pPr>
      <w:r w:rsidRPr="008B029F">
        <w:rPr>
          <w:lang w:val="en-AU"/>
        </w:rPr>
        <w:t>Use in paediatric patients</w:t>
      </w:r>
    </w:p>
    <w:p w14:paraId="6D76073D" w14:textId="7576E0B8" w:rsidR="00141C93" w:rsidRPr="008B029F" w:rsidRDefault="00141C93" w:rsidP="00141C93">
      <w:pPr>
        <w:pStyle w:val="Paragraph"/>
        <w:rPr>
          <w:lang w:val="en-AU"/>
        </w:rPr>
      </w:pPr>
      <w:r w:rsidRPr="008B029F">
        <w:rPr>
          <w:lang w:val="en-AU"/>
        </w:rPr>
        <w:t xml:space="preserve">The safety and </w:t>
      </w:r>
      <w:r w:rsidR="008971BE" w:rsidRPr="008B029F">
        <w:rPr>
          <w:lang w:val="en-AU"/>
        </w:rPr>
        <w:t xml:space="preserve">efficacy </w:t>
      </w:r>
      <w:r w:rsidRPr="008B029F">
        <w:rPr>
          <w:lang w:val="en-AU"/>
        </w:rPr>
        <w:t xml:space="preserve">of durvalumab have not been established in </w:t>
      </w:r>
      <w:r w:rsidR="008971BE" w:rsidRPr="008B029F">
        <w:rPr>
          <w:lang w:val="en-AU"/>
        </w:rPr>
        <w:t>patients younger</w:t>
      </w:r>
      <w:r w:rsidRPr="008B029F">
        <w:rPr>
          <w:lang w:val="en-AU"/>
        </w:rPr>
        <w:t xml:space="preserve"> than 18 years</w:t>
      </w:r>
      <w:r w:rsidR="008971BE" w:rsidRPr="008B029F">
        <w:rPr>
          <w:lang w:val="en-AU"/>
        </w:rPr>
        <w:t xml:space="preserve"> of age</w:t>
      </w:r>
      <w:r w:rsidRPr="008B029F">
        <w:rPr>
          <w:lang w:val="en-AU"/>
        </w:rPr>
        <w:t>.</w:t>
      </w:r>
    </w:p>
    <w:p w14:paraId="64009476" w14:textId="77777777" w:rsidR="00141C93" w:rsidRPr="008B029F" w:rsidRDefault="00141C93" w:rsidP="00713B87">
      <w:pPr>
        <w:pStyle w:val="Heading4Unnumbered"/>
        <w:rPr>
          <w:lang w:val="en-AU"/>
        </w:rPr>
      </w:pPr>
      <w:r w:rsidRPr="008B029F">
        <w:rPr>
          <w:lang w:val="en-AU"/>
        </w:rPr>
        <w:t>Use in the elderly</w:t>
      </w:r>
    </w:p>
    <w:p w14:paraId="054C62E4" w14:textId="26516C6F" w:rsidR="00141C93" w:rsidRPr="008B029F" w:rsidRDefault="00141C93" w:rsidP="00141C93">
      <w:pPr>
        <w:pStyle w:val="Paragraph"/>
        <w:rPr>
          <w:lang w:val="en-AU"/>
        </w:rPr>
      </w:pPr>
      <w:r w:rsidRPr="008B029F">
        <w:rPr>
          <w:lang w:val="en-AU"/>
        </w:rPr>
        <w:t xml:space="preserve">No dose adjustment is required for elderly patients (≥65 years of age) (see </w:t>
      </w:r>
      <w:r w:rsidR="00DD2112" w:rsidRPr="008B029F">
        <w:rPr>
          <w:lang w:val="en-AU"/>
        </w:rPr>
        <w:t xml:space="preserve">Section </w:t>
      </w:r>
      <w:r w:rsidR="00A3510E" w:rsidRPr="008B029F">
        <w:rPr>
          <w:color w:val="2B579A"/>
          <w:shd w:val="clear" w:color="auto" w:fill="E6E6E6"/>
          <w:lang w:val="en-AU"/>
        </w:rPr>
        <w:fldChar w:fldCharType="begin"/>
      </w:r>
      <w:r w:rsidR="00A3510E" w:rsidRPr="008B029F">
        <w:rPr>
          <w:lang w:val="en-AU"/>
        </w:rPr>
        <w:instrText xml:space="preserve"> REF _Ref121909874 \r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5.1</w:t>
      </w:r>
      <w:r w:rsidR="00A3510E" w:rsidRPr="008B029F">
        <w:rPr>
          <w:color w:val="2B579A"/>
          <w:shd w:val="clear" w:color="auto" w:fill="E6E6E6"/>
          <w:lang w:val="en-AU"/>
        </w:rPr>
        <w:fldChar w:fldCharType="end"/>
      </w:r>
      <w:r w:rsidR="00A3510E" w:rsidRPr="008B029F">
        <w:rPr>
          <w:lang w:val="en-AU"/>
        </w:rPr>
        <w:t xml:space="preserve"> </w:t>
      </w:r>
      <w:r w:rsidR="00A3510E" w:rsidRPr="008B029F">
        <w:rPr>
          <w:color w:val="2B579A"/>
          <w:shd w:val="clear" w:color="auto" w:fill="E6E6E6"/>
          <w:lang w:val="en-AU"/>
        </w:rPr>
        <w:fldChar w:fldCharType="begin"/>
      </w:r>
      <w:r w:rsidR="00A3510E" w:rsidRPr="008B029F">
        <w:rPr>
          <w:lang w:val="en-AU"/>
        </w:rPr>
        <w:instrText xml:space="preserve"> REF _Ref121909874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Pharmacodynamic properties</w:t>
      </w:r>
      <w:r w:rsidR="00A3510E" w:rsidRPr="008B029F">
        <w:rPr>
          <w:color w:val="2B579A"/>
          <w:shd w:val="clear" w:color="auto" w:fill="E6E6E6"/>
          <w:lang w:val="en-AU"/>
        </w:rPr>
        <w:fldChar w:fldCharType="end"/>
      </w:r>
      <w:r w:rsidR="009852C8" w:rsidRPr="008B029F">
        <w:rPr>
          <w:lang w:val="en-AU"/>
        </w:rPr>
        <w:t xml:space="preserve"> - </w:t>
      </w:r>
      <w:r w:rsidR="00DD2112" w:rsidRPr="008B029F">
        <w:rPr>
          <w:lang w:val="en-AU"/>
        </w:rPr>
        <w:t>Clinical trials</w:t>
      </w:r>
      <w:r w:rsidRPr="008B029F">
        <w:rPr>
          <w:lang w:val="en-AU"/>
        </w:rPr>
        <w:t xml:space="preserve"> and </w:t>
      </w:r>
      <w:r w:rsidR="00A3510E" w:rsidRPr="008B029F">
        <w:rPr>
          <w:lang w:val="en-AU"/>
        </w:rPr>
        <w:t xml:space="preserve">Section </w:t>
      </w:r>
      <w:r w:rsidR="00A3510E" w:rsidRPr="008B029F">
        <w:rPr>
          <w:color w:val="2B579A"/>
          <w:shd w:val="clear" w:color="auto" w:fill="E6E6E6"/>
          <w:lang w:val="en-AU"/>
        </w:rPr>
        <w:fldChar w:fldCharType="begin"/>
      </w:r>
      <w:r w:rsidR="00A3510E" w:rsidRPr="008B029F">
        <w:rPr>
          <w:lang w:val="en-AU"/>
        </w:rPr>
        <w:instrText xml:space="preserve"> REF _Ref121909822 \r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5.2</w:t>
      </w:r>
      <w:r w:rsidR="00A3510E" w:rsidRPr="008B029F">
        <w:rPr>
          <w:color w:val="2B579A"/>
          <w:shd w:val="clear" w:color="auto" w:fill="E6E6E6"/>
          <w:lang w:val="en-AU"/>
        </w:rPr>
        <w:fldChar w:fldCharType="end"/>
      </w:r>
      <w:r w:rsidR="00A3510E" w:rsidRPr="008B029F">
        <w:rPr>
          <w:lang w:val="en-AU"/>
        </w:rPr>
        <w:t xml:space="preserve"> </w:t>
      </w:r>
      <w:r w:rsidR="00A3510E" w:rsidRPr="008B029F">
        <w:rPr>
          <w:color w:val="2B579A"/>
          <w:shd w:val="clear" w:color="auto" w:fill="E6E6E6"/>
          <w:lang w:val="en-AU"/>
        </w:rPr>
        <w:fldChar w:fldCharType="begin"/>
      </w:r>
      <w:r w:rsidR="00A3510E" w:rsidRPr="008B029F">
        <w:rPr>
          <w:lang w:val="en-AU"/>
        </w:rPr>
        <w:instrText xml:space="preserve"> REF _Ref121909822 \h </w:instrText>
      </w:r>
      <w:r w:rsidR="009852C8" w:rsidRPr="008B029F">
        <w:rPr>
          <w:lang w:val="en-AU"/>
        </w:rPr>
        <w:instrText xml:space="preserve"> \* MERGEFORMAT </w:instrText>
      </w:r>
      <w:r w:rsidR="00A3510E" w:rsidRPr="008B029F">
        <w:rPr>
          <w:color w:val="2B579A"/>
          <w:shd w:val="clear" w:color="auto" w:fill="E6E6E6"/>
          <w:lang w:val="en-AU"/>
        </w:rPr>
      </w:r>
      <w:r w:rsidR="00A3510E" w:rsidRPr="008B029F">
        <w:rPr>
          <w:color w:val="2B579A"/>
          <w:shd w:val="clear" w:color="auto" w:fill="E6E6E6"/>
          <w:lang w:val="en-AU"/>
        </w:rPr>
        <w:fldChar w:fldCharType="separate"/>
      </w:r>
      <w:r w:rsidR="009773EE" w:rsidRPr="008B029F">
        <w:rPr>
          <w:lang w:val="en-AU"/>
        </w:rPr>
        <w:t>Pharmacokinetic properties</w:t>
      </w:r>
      <w:r w:rsidR="00A3510E" w:rsidRPr="008B029F">
        <w:rPr>
          <w:color w:val="2B579A"/>
          <w:shd w:val="clear" w:color="auto" w:fill="E6E6E6"/>
          <w:lang w:val="en-AU"/>
        </w:rPr>
        <w:fldChar w:fldCharType="end"/>
      </w:r>
      <w:r w:rsidRPr="008B029F">
        <w:rPr>
          <w:lang w:val="en-AU"/>
        </w:rPr>
        <w:t>).</w:t>
      </w:r>
    </w:p>
    <w:p w14:paraId="5E7A6725" w14:textId="77777777" w:rsidR="00141C93" w:rsidRPr="008B029F" w:rsidRDefault="00141C93" w:rsidP="00274A89">
      <w:pPr>
        <w:pStyle w:val="Heading3Unnumbered"/>
        <w:rPr>
          <w:lang w:val="en-AU"/>
        </w:rPr>
      </w:pPr>
      <w:r w:rsidRPr="008B029F">
        <w:rPr>
          <w:lang w:val="en-AU"/>
        </w:rPr>
        <w:t xml:space="preserve">Method of </w:t>
      </w:r>
      <w:r w:rsidR="00D57A45" w:rsidRPr="008B029F">
        <w:rPr>
          <w:lang w:val="en-AU"/>
        </w:rPr>
        <w:t>a</w:t>
      </w:r>
      <w:r w:rsidRPr="008B029F">
        <w:rPr>
          <w:lang w:val="en-AU"/>
        </w:rPr>
        <w:t>dministration</w:t>
      </w:r>
    </w:p>
    <w:p w14:paraId="18D3D7A0" w14:textId="77777777" w:rsidR="00141C93" w:rsidRPr="008B029F" w:rsidRDefault="00141C93" w:rsidP="00713B87">
      <w:pPr>
        <w:pStyle w:val="Heading4Unnumbered"/>
        <w:rPr>
          <w:lang w:val="en-AU"/>
        </w:rPr>
      </w:pPr>
      <w:r w:rsidRPr="008B029F">
        <w:rPr>
          <w:lang w:val="en-AU"/>
        </w:rPr>
        <w:t>Preparation of solution</w:t>
      </w:r>
    </w:p>
    <w:p w14:paraId="1203DF28" w14:textId="77777777" w:rsidR="00141C93" w:rsidRPr="008B029F" w:rsidRDefault="00141C93" w:rsidP="0041446C">
      <w:pPr>
        <w:pStyle w:val="Paragraph"/>
        <w:spacing w:after="120"/>
        <w:rPr>
          <w:lang w:val="en-AU"/>
        </w:rPr>
      </w:pPr>
      <w:r w:rsidRPr="008B029F">
        <w:rPr>
          <w:lang w:val="en-AU"/>
        </w:rPr>
        <w:t>IMFINZI is supplied as single-dose vials and does not contain any preservatives. Aseptic technique must be observed.</w:t>
      </w:r>
    </w:p>
    <w:p w14:paraId="3994C6B1" w14:textId="77777777" w:rsidR="00141C93" w:rsidRPr="008B029F" w:rsidRDefault="00141C93" w:rsidP="00274A89">
      <w:pPr>
        <w:pStyle w:val="ListBullet"/>
        <w:rPr>
          <w:lang w:val="en-AU"/>
        </w:rPr>
      </w:pPr>
      <w:r w:rsidRPr="008B029F">
        <w:rPr>
          <w:lang w:val="en-AU"/>
        </w:rPr>
        <w:t>Visually inspect drug product for particulate matter and discolouration. IMFINZI is a clear to opalescent, colo</w:t>
      </w:r>
      <w:r w:rsidR="00124FCD" w:rsidRPr="008B029F">
        <w:rPr>
          <w:lang w:val="en-AU"/>
        </w:rPr>
        <w:t>u</w:t>
      </w:r>
      <w:r w:rsidRPr="008B029F">
        <w:rPr>
          <w:lang w:val="en-AU"/>
        </w:rPr>
        <w:t>rless to slightly yellow solution. Discard the vial if the solution is cloudy, discoloured or visible particles are observed. Do not shake the vial.</w:t>
      </w:r>
    </w:p>
    <w:p w14:paraId="1B9740E1" w14:textId="77777777" w:rsidR="00141C93" w:rsidRPr="008B029F" w:rsidRDefault="00141C93" w:rsidP="00274A89">
      <w:pPr>
        <w:pStyle w:val="ListBullet"/>
        <w:rPr>
          <w:lang w:val="en-AU"/>
        </w:rPr>
      </w:pPr>
      <w:r w:rsidRPr="008B029F">
        <w:rPr>
          <w:lang w:val="en-AU"/>
        </w:rPr>
        <w:t>Withdraw the required volume from the vial(s) of IMFINZI and transfer into an intravenous (IV) bag containing 0.9% Sodium Chloride Injection, or 5% Dextrose Injection. Mix diluted solution by gentle inversion. The final concentration of the diluted solution should be between 1 mg/mL and 15 mg/mL. Do not freeze or shake the solution.</w:t>
      </w:r>
    </w:p>
    <w:p w14:paraId="14A0C3A5" w14:textId="77777777" w:rsidR="00141C93" w:rsidRPr="008B029F" w:rsidRDefault="00141C93" w:rsidP="00274A89">
      <w:pPr>
        <w:pStyle w:val="ListBullet"/>
        <w:rPr>
          <w:lang w:val="en-AU"/>
        </w:rPr>
      </w:pPr>
      <w:r w:rsidRPr="008B029F">
        <w:rPr>
          <w:lang w:val="en-AU"/>
        </w:rPr>
        <w:t>Care must be taken to ensure the sterility of prepared solutions.</w:t>
      </w:r>
    </w:p>
    <w:p w14:paraId="767E447D" w14:textId="77777777" w:rsidR="00141C93" w:rsidRPr="008B029F" w:rsidRDefault="00141C93" w:rsidP="00274A89">
      <w:pPr>
        <w:pStyle w:val="ListBullet"/>
        <w:rPr>
          <w:lang w:val="en-AU"/>
        </w:rPr>
      </w:pPr>
      <w:r w:rsidRPr="008B029F">
        <w:rPr>
          <w:lang w:val="en-AU"/>
        </w:rPr>
        <w:t>Do not re-enter the vial after withdrawal of drug; only withdraw one dose per vial.</w:t>
      </w:r>
    </w:p>
    <w:p w14:paraId="65166E69" w14:textId="77777777" w:rsidR="00141C93" w:rsidRPr="008B029F" w:rsidRDefault="00141C93" w:rsidP="00274A89">
      <w:pPr>
        <w:pStyle w:val="ListBullet"/>
        <w:rPr>
          <w:lang w:val="en-AU"/>
        </w:rPr>
      </w:pPr>
      <w:r w:rsidRPr="008B029F">
        <w:rPr>
          <w:lang w:val="en-AU"/>
        </w:rPr>
        <w:t>Discard any unused portion left in the vial.</w:t>
      </w:r>
    </w:p>
    <w:p w14:paraId="2896ADDA" w14:textId="379D5BC7" w:rsidR="00141C93" w:rsidRPr="008B029F" w:rsidRDefault="00141C93" w:rsidP="00722028">
      <w:pPr>
        <w:pStyle w:val="ListBullet"/>
        <w:spacing w:after="240"/>
        <w:rPr>
          <w:lang w:val="en-AU"/>
        </w:rPr>
      </w:pPr>
      <w:r w:rsidRPr="008B029F">
        <w:rPr>
          <w:lang w:val="en-AU"/>
        </w:rPr>
        <w:t>No incompatibilities between IMFINZI and 9</w:t>
      </w:r>
      <w:r w:rsidR="00F00BA8">
        <w:rPr>
          <w:lang w:val="en-AU"/>
        </w:rPr>
        <w:t> </w:t>
      </w:r>
      <w:r w:rsidRPr="008B029F">
        <w:rPr>
          <w:lang w:val="en-AU"/>
        </w:rPr>
        <w:t>g/L (0.9%) sodium chloride or 50</w:t>
      </w:r>
      <w:r w:rsidR="00F00BA8">
        <w:rPr>
          <w:lang w:val="en-AU"/>
        </w:rPr>
        <w:t> </w:t>
      </w:r>
      <w:r w:rsidRPr="008B029F">
        <w:rPr>
          <w:lang w:val="en-AU"/>
        </w:rPr>
        <w:t>g/L (5%) dextrose in polyvinylchloride or polyolefin IV bags have been observed.</w:t>
      </w:r>
    </w:p>
    <w:p w14:paraId="379859C4" w14:textId="77777777" w:rsidR="00141C93" w:rsidRPr="008B029F" w:rsidRDefault="00141C93" w:rsidP="00713B87">
      <w:pPr>
        <w:pStyle w:val="Heading4Unnumbered"/>
        <w:rPr>
          <w:lang w:val="en-AU"/>
        </w:rPr>
      </w:pPr>
      <w:r w:rsidRPr="008B029F">
        <w:rPr>
          <w:lang w:val="en-AU"/>
        </w:rPr>
        <w:t>After preparation of infusion solution</w:t>
      </w:r>
    </w:p>
    <w:p w14:paraId="06658AF2" w14:textId="6E1AE1DE" w:rsidR="00E46FAB" w:rsidRPr="008B029F" w:rsidRDefault="00141C93" w:rsidP="0041446C">
      <w:pPr>
        <w:pStyle w:val="Paragraph"/>
        <w:spacing w:after="120"/>
        <w:rPr>
          <w:lang w:val="en-AU"/>
        </w:rPr>
      </w:pPr>
      <w:r w:rsidRPr="008B029F">
        <w:rPr>
          <w:lang w:val="en-AU"/>
        </w:rPr>
        <w:t>IMFINZI do</w:t>
      </w:r>
      <w:r w:rsidR="0009588C" w:rsidRPr="008B029F">
        <w:rPr>
          <w:lang w:val="en-AU"/>
        </w:rPr>
        <w:t xml:space="preserve">es not contain a preservative. </w:t>
      </w:r>
      <w:r w:rsidRPr="008B029F">
        <w:rPr>
          <w:lang w:val="en-AU"/>
        </w:rPr>
        <w:t xml:space="preserve">Administer infusion solution immediately once prepared. If infusion solution is not administered immediately and needs to be stored, the time from </w:t>
      </w:r>
      <w:r w:rsidR="00E46FAB" w:rsidRPr="008B029F">
        <w:rPr>
          <w:lang w:val="en-AU"/>
        </w:rPr>
        <w:t xml:space="preserve">preparation </w:t>
      </w:r>
      <w:r w:rsidRPr="008B029F">
        <w:rPr>
          <w:lang w:val="en-AU"/>
        </w:rPr>
        <w:t>should not exceed:</w:t>
      </w:r>
    </w:p>
    <w:p w14:paraId="41EC732C" w14:textId="22319EF0" w:rsidR="00141C93" w:rsidRPr="008B029F" w:rsidRDefault="00E46FAB" w:rsidP="00A45C3A">
      <w:pPr>
        <w:pStyle w:val="ListBullet"/>
        <w:rPr>
          <w:lang w:val="en-AU"/>
        </w:rPr>
      </w:pPr>
      <w:r w:rsidRPr="008B029F">
        <w:rPr>
          <w:lang w:val="en-AU"/>
        </w:rPr>
        <w:t xml:space="preserve">30 days </w:t>
      </w:r>
      <w:r w:rsidR="00141C93" w:rsidRPr="008B029F">
        <w:rPr>
          <w:lang w:val="en-AU"/>
        </w:rPr>
        <w:t>at 2°C to 8°C</w:t>
      </w:r>
      <w:r w:rsidRPr="008B029F">
        <w:rPr>
          <w:lang w:val="en-AU"/>
        </w:rPr>
        <w:t xml:space="preserve"> and for up to</w:t>
      </w:r>
    </w:p>
    <w:p w14:paraId="20903A51" w14:textId="68569DD7" w:rsidR="006D40FC" w:rsidRPr="008B029F" w:rsidRDefault="002E6C8B" w:rsidP="00722028">
      <w:pPr>
        <w:pStyle w:val="ListBullet"/>
        <w:spacing w:after="240"/>
        <w:rPr>
          <w:lang w:val="en-AU"/>
        </w:rPr>
      </w:pPr>
      <w:r w:rsidRPr="008B029F">
        <w:rPr>
          <w:lang w:val="en-AU"/>
        </w:rPr>
        <w:t>12</w:t>
      </w:r>
      <w:r w:rsidR="00575308" w:rsidRPr="008B029F">
        <w:rPr>
          <w:lang w:val="en-AU"/>
        </w:rPr>
        <w:t xml:space="preserve"> </w:t>
      </w:r>
      <w:r w:rsidR="00141C93" w:rsidRPr="008B029F">
        <w:rPr>
          <w:lang w:val="en-AU"/>
        </w:rPr>
        <w:t>hours at room temperature</w:t>
      </w:r>
      <w:r w:rsidR="00E46FAB" w:rsidRPr="008B029F">
        <w:rPr>
          <w:lang w:val="en-AU"/>
        </w:rPr>
        <w:t xml:space="preserve"> (up to 25</w:t>
      </w:r>
      <w:r w:rsidR="002913ED" w:rsidRPr="008B029F">
        <w:rPr>
          <w:lang w:val="en-AU"/>
        </w:rPr>
        <w:t>°C</w:t>
      </w:r>
      <w:r w:rsidR="00E46FAB" w:rsidRPr="008B029F">
        <w:rPr>
          <w:lang w:val="en-AU"/>
        </w:rPr>
        <w:t>) from the time of preparation</w:t>
      </w:r>
      <w:r w:rsidR="0009588C" w:rsidRPr="008B029F">
        <w:rPr>
          <w:lang w:val="en-AU"/>
        </w:rPr>
        <w:t>.</w:t>
      </w:r>
    </w:p>
    <w:p w14:paraId="755EBF03" w14:textId="181DDD41" w:rsidR="00141C93" w:rsidRPr="008B029F" w:rsidRDefault="00141C93" w:rsidP="00713B87">
      <w:pPr>
        <w:pStyle w:val="Heading4Unnumbered"/>
        <w:rPr>
          <w:lang w:val="en-AU"/>
        </w:rPr>
      </w:pPr>
      <w:r w:rsidRPr="008B029F">
        <w:rPr>
          <w:lang w:val="en-AU"/>
        </w:rPr>
        <w:t>Administration</w:t>
      </w:r>
    </w:p>
    <w:p w14:paraId="4ED2B9AB" w14:textId="3CF20609" w:rsidR="00141C93" w:rsidRPr="008B029F" w:rsidRDefault="00141C93" w:rsidP="00713B87">
      <w:pPr>
        <w:pStyle w:val="Paragraph"/>
        <w:rPr>
          <w:lang w:val="en-AU"/>
        </w:rPr>
      </w:pPr>
      <w:r w:rsidRPr="008B029F">
        <w:rPr>
          <w:lang w:val="en-AU"/>
        </w:rPr>
        <w:t xml:space="preserve">Administer infusion solution intravenously over </w:t>
      </w:r>
      <w:r w:rsidR="00D80A8A" w:rsidRPr="008B029F">
        <w:rPr>
          <w:lang w:val="en-AU"/>
        </w:rPr>
        <w:t>1 hour</w:t>
      </w:r>
      <w:r w:rsidRPr="008B029F">
        <w:rPr>
          <w:lang w:val="en-AU"/>
        </w:rPr>
        <w:t xml:space="preserve"> through an intravenous line containing a sterile, low-protein binding 0.2 or 0.22 micron in-line filter.</w:t>
      </w:r>
    </w:p>
    <w:p w14:paraId="0529BE66" w14:textId="77777777" w:rsidR="00141C93" w:rsidRPr="008B029F" w:rsidRDefault="00141C93" w:rsidP="00713B87">
      <w:pPr>
        <w:pStyle w:val="Paragraph"/>
        <w:rPr>
          <w:lang w:val="en-AU"/>
        </w:rPr>
      </w:pPr>
      <w:r w:rsidRPr="008B029F">
        <w:rPr>
          <w:lang w:val="en-AU"/>
        </w:rPr>
        <w:t>Do not co-administer other drugs through the same infusion line.</w:t>
      </w:r>
    </w:p>
    <w:p w14:paraId="2D7A0A66" w14:textId="77777777" w:rsidR="001A3992" w:rsidRPr="008B029F" w:rsidRDefault="001A3992" w:rsidP="00EE3AC8">
      <w:pPr>
        <w:pStyle w:val="Heading2"/>
        <w:rPr>
          <w:lang w:val="en-AU"/>
        </w:rPr>
      </w:pPr>
      <w:bookmarkStart w:id="9" w:name="_Ref121918643"/>
      <w:r w:rsidRPr="008B029F">
        <w:rPr>
          <w:lang w:val="en-AU"/>
        </w:rPr>
        <w:t>Contraindications</w:t>
      </w:r>
      <w:bookmarkEnd w:id="9"/>
    </w:p>
    <w:p w14:paraId="3DEDBF80" w14:textId="28DE7B66" w:rsidR="00C85696" w:rsidRPr="008B029F" w:rsidRDefault="00306EFA" w:rsidP="00683488">
      <w:pPr>
        <w:pStyle w:val="Paragraph"/>
        <w:rPr>
          <w:lang w:val="en-AU"/>
        </w:rPr>
      </w:pPr>
      <w:r w:rsidRPr="008B029F">
        <w:rPr>
          <w:noProof/>
          <w:szCs w:val="22"/>
          <w:lang w:val="en-AU"/>
        </w:rPr>
        <w:t>Hypersensit</w:t>
      </w:r>
      <w:r w:rsidR="00DB11AD" w:rsidRPr="008B029F">
        <w:rPr>
          <w:noProof/>
          <w:szCs w:val="22"/>
          <w:lang w:val="en-AU"/>
        </w:rPr>
        <w:t>ivity to the active substance</w:t>
      </w:r>
      <w:r w:rsidRPr="008B029F">
        <w:rPr>
          <w:noProof/>
          <w:szCs w:val="22"/>
          <w:lang w:val="en-AU"/>
        </w:rPr>
        <w:t xml:space="preserve"> or to any of the excipients listed in </w:t>
      </w:r>
      <w:r w:rsidR="00A3510E" w:rsidRPr="008B029F">
        <w:rPr>
          <w:noProof/>
          <w:szCs w:val="22"/>
          <w:lang w:val="en-AU"/>
        </w:rPr>
        <w:t>S</w:t>
      </w:r>
      <w:r w:rsidRPr="008B029F">
        <w:rPr>
          <w:noProof/>
          <w:szCs w:val="22"/>
          <w:lang w:val="en-AU"/>
        </w:rPr>
        <w:t xml:space="preserve">ection </w:t>
      </w:r>
      <w:r w:rsidR="00A3510E" w:rsidRPr="008B029F">
        <w:rPr>
          <w:noProof/>
          <w:color w:val="2B579A"/>
          <w:szCs w:val="22"/>
          <w:shd w:val="clear" w:color="auto" w:fill="E6E6E6"/>
          <w:lang w:val="en-AU"/>
        </w:rPr>
        <w:fldChar w:fldCharType="begin"/>
      </w:r>
      <w:r w:rsidR="00A3510E" w:rsidRPr="008B029F">
        <w:rPr>
          <w:noProof/>
          <w:szCs w:val="22"/>
          <w:lang w:val="en-AU"/>
        </w:rPr>
        <w:instrText xml:space="preserve"> REF _Ref505768678 \r \h </w:instrText>
      </w:r>
      <w:r w:rsidR="00E611DC" w:rsidRPr="008B029F">
        <w:rPr>
          <w:noProof/>
          <w:szCs w:val="22"/>
          <w:lang w:val="en-AU"/>
        </w:rPr>
        <w:instrText xml:space="preserve"> \* MERGEFORMAT </w:instrText>
      </w:r>
      <w:r w:rsidR="00A3510E" w:rsidRPr="008B029F">
        <w:rPr>
          <w:noProof/>
          <w:color w:val="2B579A"/>
          <w:szCs w:val="22"/>
          <w:shd w:val="clear" w:color="auto" w:fill="E6E6E6"/>
          <w:lang w:val="en-AU"/>
        </w:rPr>
      </w:r>
      <w:r w:rsidR="00A3510E" w:rsidRPr="008B029F">
        <w:rPr>
          <w:noProof/>
          <w:color w:val="2B579A"/>
          <w:szCs w:val="22"/>
          <w:shd w:val="clear" w:color="auto" w:fill="E6E6E6"/>
          <w:lang w:val="en-AU"/>
        </w:rPr>
        <w:fldChar w:fldCharType="separate"/>
      </w:r>
      <w:r w:rsidR="009773EE" w:rsidRPr="008B029F">
        <w:rPr>
          <w:noProof/>
          <w:szCs w:val="22"/>
          <w:lang w:val="en-AU"/>
        </w:rPr>
        <w:t>6.1</w:t>
      </w:r>
      <w:r w:rsidR="00A3510E" w:rsidRPr="008B029F">
        <w:rPr>
          <w:noProof/>
          <w:color w:val="2B579A"/>
          <w:szCs w:val="22"/>
          <w:shd w:val="clear" w:color="auto" w:fill="E6E6E6"/>
          <w:lang w:val="en-AU"/>
        </w:rPr>
        <w:fldChar w:fldCharType="end"/>
      </w:r>
      <w:r w:rsidR="00A3510E" w:rsidRPr="008B029F">
        <w:rPr>
          <w:noProof/>
          <w:szCs w:val="22"/>
          <w:lang w:val="en-AU"/>
        </w:rPr>
        <w:t xml:space="preserve"> </w:t>
      </w:r>
      <w:r w:rsidR="00A3510E" w:rsidRPr="008B029F">
        <w:rPr>
          <w:noProof/>
          <w:color w:val="2B579A"/>
          <w:szCs w:val="22"/>
          <w:shd w:val="clear" w:color="auto" w:fill="E6E6E6"/>
          <w:lang w:val="en-AU"/>
        </w:rPr>
        <w:fldChar w:fldCharType="begin"/>
      </w:r>
      <w:r w:rsidR="00A3510E" w:rsidRPr="008B029F">
        <w:rPr>
          <w:noProof/>
          <w:szCs w:val="22"/>
          <w:lang w:val="en-AU"/>
        </w:rPr>
        <w:instrText xml:space="preserve"> REF _Ref505768678 \h </w:instrText>
      </w:r>
      <w:r w:rsidR="00E611DC" w:rsidRPr="008B029F">
        <w:rPr>
          <w:noProof/>
          <w:szCs w:val="22"/>
          <w:lang w:val="en-AU"/>
        </w:rPr>
        <w:instrText xml:space="preserve"> \* MERGEFORMAT </w:instrText>
      </w:r>
      <w:r w:rsidR="00A3510E" w:rsidRPr="008B029F">
        <w:rPr>
          <w:noProof/>
          <w:color w:val="2B579A"/>
          <w:szCs w:val="22"/>
          <w:shd w:val="clear" w:color="auto" w:fill="E6E6E6"/>
          <w:lang w:val="en-AU"/>
        </w:rPr>
      </w:r>
      <w:r w:rsidR="00A3510E" w:rsidRPr="008B029F">
        <w:rPr>
          <w:noProof/>
          <w:color w:val="2B579A"/>
          <w:szCs w:val="22"/>
          <w:shd w:val="clear" w:color="auto" w:fill="E6E6E6"/>
          <w:lang w:val="en-AU"/>
        </w:rPr>
        <w:fldChar w:fldCharType="separate"/>
      </w:r>
      <w:r w:rsidR="009773EE" w:rsidRPr="008B029F">
        <w:rPr>
          <w:lang w:val="en-AU"/>
        </w:rPr>
        <w:t>List of excipients</w:t>
      </w:r>
      <w:r w:rsidR="00A3510E" w:rsidRPr="008B029F">
        <w:rPr>
          <w:noProof/>
          <w:color w:val="2B579A"/>
          <w:szCs w:val="22"/>
          <w:shd w:val="clear" w:color="auto" w:fill="E6E6E6"/>
          <w:lang w:val="en-AU"/>
        </w:rPr>
        <w:fldChar w:fldCharType="end"/>
      </w:r>
      <w:r w:rsidRPr="008B029F">
        <w:rPr>
          <w:noProof/>
          <w:szCs w:val="22"/>
          <w:lang w:val="en-AU"/>
        </w:rPr>
        <w:t>.</w:t>
      </w:r>
    </w:p>
    <w:p w14:paraId="64D8602C" w14:textId="77777777" w:rsidR="001A3992" w:rsidRPr="008B029F" w:rsidRDefault="00E74A56" w:rsidP="003B7CFF">
      <w:pPr>
        <w:pStyle w:val="Heading2"/>
        <w:rPr>
          <w:lang w:val="en-AU"/>
        </w:rPr>
      </w:pPr>
      <w:bookmarkStart w:id="10" w:name="_Ref121909116"/>
      <w:r w:rsidRPr="008B029F">
        <w:rPr>
          <w:lang w:val="en-AU"/>
        </w:rPr>
        <w:lastRenderedPageBreak/>
        <w:t>Special warnings and p</w:t>
      </w:r>
      <w:r w:rsidR="001A3992" w:rsidRPr="008B029F">
        <w:rPr>
          <w:lang w:val="en-AU"/>
        </w:rPr>
        <w:t xml:space="preserve">recautions </w:t>
      </w:r>
      <w:r w:rsidRPr="008B029F">
        <w:rPr>
          <w:lang w:val="en-AU"/>
        </w:rPr>
        <w:t>for use</w:t>
      </w:r>
      <w:bookmarkEnd w:id="10"/>
    </w:p>
    <w:p w14:paraId="5BEE6D8C" w14:textId="1B161E7D" w:rsidR="008D3D71" w:rsidRPr="008B029F" w:rsidRDefault="008D3D71" w:rsidP="008D3D71">
      <w:pPr>
        <w:pStyle w:val="Paragraph"/>
        <w:rPr>
          <w:lang w:val="en-AU"/>
        </w:rPr>
      </w:pPr>
      <w:r w:rsidRPr="008B029F">
        <w:rPr>
          <w:lang w:val="en-AU"/>
        </w:rPr>
        <w:t xml:space="preserve">Refer to </w:t>
      </w:r>
      <w:r w:rsidR="00166B5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00E436D3" w:rsidRPr="008B029F">
        <w:rPr>
          <w:lang w:val="en-AU"/>
        </w:rPr>
        <w:t xml:space="preserve">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9852C8"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for recommended treatment modifications and management of adverse reactions.</w:t>
      </w:r>
    </w:p>
    <w:p w14:paraId="64ED6D79" w14:textId="77777777" w:rsidR="00D755FC" w:rsidRPr="008B029F" w:rsidRDefault="00D755FC" w:rsidP="00C95D6A">
      <w:pPr>
        <w:pStyle w:val="Heading3Unnumbered"/>
        <w:rPr>
          <w:lang w:val="en-AU"/>
        </w:rPr>
      </w:pPr>
      <w:r w:rsidRPr="008B029F">
        <w:rPr>
          <w:lang w:val="en-AU"/>
        </w:rPr>
        <w:t>Immune-mediated adverse reactions</w:t>
      </w:r>
    </w:p>
    <w:p w14:paraId="038D9E17" w14:textId="2B9E4A51" w:rsidR="006E5AE8" w:rsidRPr="008B029F" w:rsidRDefault="00DB336D" w:rsidP="00802736">
      <w:pPr>
        <w:pStyle w:val="Paragraph"/>
        <w:rPr>
          <w:lang w:val="en-AU"/>
        </w:rPr>
      </w:pPr>
      <w:r w:rsidRPr="008B029F">
        <w:rPr>
          <w:lang w:val="en-AU"/>
        </w:rPr>
        <w:t xml:space="preserve">Immune checkpoint inhibitors, including durvalumab, can cause severe and fatal immune-mediated adverse reactions, which may involve any organ system. While immune-mediated reactions usually manifest during treatment, they can also manifest after discontinuation.  Early identification of such reactions and timely intervention are an important part of the safe use of durvalumab. In clinical trials, most immune-mediated adverse reactions were reversible and managed with interruptions of durvalumab, administration of corticosteroids and/or supportive care. Patients should be monitored for signs and symptoms and managed as recommended in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9852C8"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Pr="008B029F">
        <w:rPr>
          <w:lang w:val="en-AU"/>
        </w:rPr>
        <w:t>).</w:t>
      </w:r>
    </w:p>
    <w:p w14:paraId="4FCEEB67" w14:textId="2390D911" w:rsidR="0020388D" w:rsidRPr="008B029F" w:rsidRDefault="0020388D" w:rsidP="0020388D">
      <w:pPr>
        <w:pStyle w:val="TableFootnoteInfo"/>
        <w:rPr>
          <w:lang w:val="en-AU"/>
        </w:rPr>
      </w:pPr>
      <w:r w:rsidRPr="008B029F">
        <w:rPr>
          <w:lang w:val="en-AU"/>
        </w:rPr>
        <w:t>Note:  Use of * in the below sections indicates that the relevant term is defined as requiring use of systemic corticosteroids with no clear alternate aetiology.</w:t>
      </w:r>
    </w:p>
    <w:p w14:paraId="149FC1A4" w14:textId="77777777" w:rsidR="0020388D" w:rsidRPr="008B029F" w:rsidRDefault="0020388D" w:rsidP="0020388D">
      <w:pPr>
        <w:pStyle w:val="Paragraph"/>
        <w:rPr>
          <w:lang w:val="en-AU"/>
        </w:rPr>
      </w:pPr>
    </w:p>
    <w:p w14:paraId="6AF697BE" w14:textId="77777777" w:rsidR="008D3D71" w:rsidRPr="008B029F" w:rsidRDefault="008D3D71" w:rsidP="00802736">
      <w:pPr>
        <w:pStyle w:val="Heading4Unnumbered"/>
        <w:rPr>
          <w:lang w:val="en-AU"/>
        </w:rPr>
      </w:pPr>
      <w:r w:rsidRPr="008B029F">
        <w:rPr>
          <w:lang w:val="en-AU"/>
        </w:rPr>
        <w:t>Immune-</w:t>
      </w:r>
      <w:r w:rsidR="00306EFA" w:rsidRPr="008B029F">
        <w:rPr>
          <w:lang w:val="en-AU"/>
        </w:rPr>
        <w:t>m</w:t>
      </w:r>
      <w:r w:rsidRPr="008B029F">
        <w:rPr>
          <w:lang w:val="en-AU"/>
        </w:rPr>
        <w:t xml:space="preserve">ediated </w:t>
      </w:r>
      <w:r w:rsidR="00306EFA" w:rsidRPr="008B029F">
        <w:rPr>
          <w:lang w:val="en-AU"/>
        </w:rPr>
        <w:t>p</w:t>
      </w:r>
      <w:r w:rsidRPr="008B029F">
        <w:rPr>
          <w:lang w:val="en-AU"/>
        </w:rPr>
        <w:t>neumonitis</w:t>
      </w:r>
    </w:p>
    <w:p w14:paraId="559D1EA2" w14:textId="7295DE37" w:rsidR="00ED09AD" w:rsidRPr="008B029F" w:rsidRDefault="008D3D71" w:rsidP="00ED09AD">
      <w:pPr>
        <w:pStyle w:val="Paragraph"/>
        <w:rPr>
          <w:lang w:val="en-AU"/>
        </w:rPr>
      </w:pPr>
      <w:r w:rsidRPr="008B029F">
        <w:rPr>
          <w:lang w:val="en-AU"/>
        </w:rPr>
        <w:t>Immune-mediated pneumonitis</w:t>
      </w:r>
      <w:r w:rsidR="001B5525" w:rsidRPr="008B029F">
        <w:rPr>
          <w:lang w:val="en-AU"/>
        </w:rPr>
        <w:t>/</w:t>
      </w:r>
      <w:r w:rsidRPr="008B029F">
        <w:rPr>
          <w:lang w:val="en-AU"/>
        </w:rPr>
        <w:t>interstitial lung disease</w:t>
      </w:r>
      <w:r w:rsidR="00E436D3" w:rsidRPr="008B029F">
        <w:rPr>
          <w:lang w:val="en-AU"/>
        </w:rPr>
        <w:t>*</w:t>
      </w:r>
      <w:r w:rsidRPr="008B029F">
        <w:rPr>
          <w:lang w:val="en-AU"/>
        </w:rPr>
        <w:t xml:space="preserve">, </w:t>
      </w:r>
      <w:r w:rsidR="00A730AF" w:rsidRPr="008B029F">
        <w:rPr>
          <w:lang w:val="en-AU"/>
        </w:rPr>
        <w:t>including fatal cases</w:t>
      </w:r>
      <w:r w:rsidRPr="008B029F">
        <w:rPr>
          <w:lang w:val="en-AU"/>
        </w:rPr>
        <w:t>, occurred in patients receiving durvalumab</w:t>
      </w:r>
      <w:r w:rsidR="00D01AEC" w:rsidRPr="008B029F">
        <w:rPr>
          <w:lang w:val="en-AU"/>
        </w:rPr>
        <w:t xml:space="preserve"> in clinical trials</w:t>
      </w:r>
      <w:r w:rsidR="00A730AF" w:rsidRPr="008B029F">
        <w:rPr>
          <w:lang w:val="en-AU"/>
        </w:rPr>
        <w:t xml:space="preserve"> (see Section </w:t>
      </w:r>
      <w:r w:rsidR="00167CF9" w:rsidRPr="008B029F">
        <w:rPr>
          <w:color w:val="2B579A"/>
          <w:lang w:val="en-AU"/>
        </w:rPr>
        <w:fldChar w:fldCharType="begin"/>
      </w:r>
      <w:r w:rsidR="00167CF9" w:rsidRPr="008B029F">
        <w:rPr>
          <w:lang w:val="en-AU"/>
        </w:rPr>
        <w:instrText xml:space="preserve"> REF _Ref121910014 \r \h  \* MERGEFORMAT </w:instrText>
      </w:r>
      <w:r w:rsidR="00167CF9" w:rsidRPr="008B029F">
        <w:rPr>
          <w:color w:val="2B579A"/>
          <w:lang w:val="en-AU"/>
        </w:rPr>
      </w:r>
      <w:r w:rsidR="00167CF9" w:rsidRPr="008B029F">
        <w:rPr>
          <w:color w:val="2B579A"/>
          <w:lang w:val="en-AU"/>
        </w:rPr>
        <w:fldChar w:fldCharType="separate"/>
      </w:r>
      <w:r w:rsidR="009773EE" w:rsidRPr="008B029F">
        <w:rPr>
          <w:lang w:val="en-AU"/>
        </w:rPr>
        <w:t>4.8</w:t>
      </w:r>
      <w:r w:rsidR="00167CF9" w:rsidRPr="008B029F">
        <w:rPr>
          <w:color w:val="2B579A"/>
          <w:lang w:val="en-AU"/>
        </w:rPr>
        <w:fldChar w:fldCharType="end"/>
      </w:r>
      <w:r w:rsidR="00167CF9" w:rsidRPr="008B029F">
        <w:rPr>
          <w:lang w:val="en-AU"/>
        </w:rPr>
        <w:t xml:space="preserve"> </w:t>
      </w:r>
      <w:r w:rsidR="00167CF9" w:rsidRPr="008B029F">
        <w:rPr>
          <w:color w:val="2B579A"/>
          <w:lang w:val="en-AU"/>
        </w:rPr>
        <w:fldChar w:fldCharType="begin"/>
      </w:r>
      <w:r w:rsidR="00167CF9" w:rsidRPr="008B029F">
        <w:rPr>
          <w:lang w:val="en-AU"/>
        </w:rPr>
        <w:instrText xml:space="preserve"> REF _Ref121910014 \h  \* MERGEFORMAT </w:instrText>
      </w:r>
      <w:r w:rsidR="00167CF9" w:rsidRPr="008B029F">
        <w:rPr>
          <w:color w:val="2B579A"/>
          <w:lang w:val="en-AU"/>
        </w:rPr>
      </w:r>
      <w:r w:rsidR="00167CF9" w:rsidRPr="008B029F">
        <w:rPr>
          <w:color w:val="2B579A"/>
          <w:lang w:val="en-AU"/>
        </w:rPr>
        <w:fldChar w:fldCharType="separate"/>
      </w:r>
      <w:r w:rsidR="009773EE" w:rsidRPr="008B029F">
        <w:rPr>
          <w:lang w:val="en-AU"/>
        </w:rPr>
        <w:t>Adverse effects (undesirable effects)</w:t>
      </w:r>
      <w:r w:rsidR="00167CF9" w:rsidRPr="008B029F">
        <w:rPr>
          <w:color w:val="2B579A"/>
          <w:lang w:val="en-AU"/>
        </w:rPr>
        <w:fldChar w:fldCharType="end"/>
      </w:r>
      <w:r w:rsidR="00A730AF" w:rsidRPr="008B029F">
        <w:rPr>
          <w:lang w:val="en-AU"/>
        </w:rPr>
        <w:t>)</w:t>
      </w:r>
      <w:r w:rsidRPr="008B029F">
        <w:rPr>
          <w:lang w:val="en-AU"/>
        </w:rPr>
        <w:t>.</w:t>
      </w:r>
      <w:r w:rsidR="00A77DBD" w:rsidRPr="008B029F">
        <w:rPr>
          <w:lang w:val="en-AU"/>
        </w:rPr>
        <w:t xml:space="preserve"> Patients should be monitored for signs and symptoms of pneumonitis. Suspected pneumonitis should be confirmed with radiographic imaging and other infectious and disease-related aetiologies excluded, and managed as recommended in </w:t>
      </w:r>
      <w:r w:rsidR="00A77DBD" w:rsidRPr="008B029F">
        <w:rPr>
          <w:color w:val="2B579A"/>
          <w:shd w:val="clear" w:color="auto" w:fill="E6E6E6"/>
          <w:lang w:val="en-AU"/>
        </w:rPr>
        <w:fldChar w:fldCharType="begin"/>
      </w:r>
      <w:r w:rsidR="00A77DBD" w:rsidRPr="008B029F">
        <w:rPr>
          <w:lang w:val="en-AU"/>
        </w:rPr>
        <w:instrText xml:space="preserve"> REF _Ref57362210 \h </w:instrText>
      </w:r>
      <w:r w:rsidR="00ED09AD" w:rsidRPr="008B029F">
        <w:rPr>
          <w:lang w:val="en-AU"/>
        </w:rPr>
        <w:instrText xml:space="preserve"> \* MERGEFORMAT </w:instrText>
      </w:r>
      <w:r w:rsidR="00A77DBD" w:rsidRPr="008B029F">
        <w:rPr>
          <w:color w:val="2B579A"/>
          <w:shd w:val="clear" w:color="auto" w:fill="E6E6E6"/>
          <w:lang w:val="en-AU"/>
        </w:rPr>
      </w:r>
      <w:r w:rsidR="00A77DBD" w:rsidRPr="008B029F">
        <w:rPr>
          <w:color w:val="2B579A"/>
          <w:shd w:val="clear" w:color="auto" w:fill="E6E6E6"/>
          <w:lang w:val="en-AU"/>
        </w:rPr>
        <w:fldChar w:fldCharType="separate"/>
      </w:r>
      <w:r w:rsidR="009773EE" w:rsidRPr="008B029F">
        <w:rPr>
          <w:lang w:val="en-AU"/>
        </w:rPr>
        <w:t>Table 2</w:t>
      </w:r>
      <w:r w:rsidR="00A77DBD" w:rsidRPr="008B029F">
        <w:rPr>
          <w:color w:val="2B579A"/>
          <w:shd w:val="clear" w:color="auto" w:fill="E6E6E6"/>
          <w:lang w:val="en-AU"/>
        </w:rPr>
        <w:fldChar w:fldCharType="end"/>
      </w:r>
      <w:r w:rsidR="00A77DBD" w:rsidRPr="008B029F">
        <w:rPr>
          <w:lang w:val="en-AU"/>
        </w:rPr>
        <w:t xml:space="preserve"> (see 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00A77DBD" w:rsidRPr="008B029F">
        <w:rPr>
          <w:lang w:val="en-AU"/>
        </w:rPr>
        <w:t>).</w:t>
      </w:r>
    </w:p>
    <w:p w14:paraId="2B444870" w14:textId="5A5A4F32" w:rsidR="00A77DBD" w:rsidRPr="008B029F" w:rsidRDefault="00A77DBD" w:rsidP="00167CF9">
      <w:pPr>
        <w:pStyle w:val="Heading5unnumbered"/>
        <w:rPr>
          <w:lang w:val="en-AU"/>
        </w:rPr>
      </w:pPr>
      <w:r w:rsidRPr="008B029F">
        <w:rPr>
          <w:rStyle w:val="xmchange"/>
          <w:lang w:val="en-AU"/>
        </w:rPr>
        <w:t>Pneumonitis and radiation pneumonitis</w:t>
      </w:r>
    </w:p>
    <w:p w14:paraId="514B5CCD" w14:textId="692BA532" w:rsidR="00F7547F" w:rsidRPr="008B029F" w:rsidRDefault="00A77DBD" w:rsidP="008D3D71">
      <w:pPr>
        <w:pStyle w:val="Paragraph"/>
        <w:rPr>
          <w:lang w:val="en-AU"/>
        </w:rPr>
      </w:pPr>
      <w:r w:rsidRPr="008B029F">
        <w:rPr>
          <w:lang w:val="en-AU"/>
        </w:rPr>
        <w:t>Radiation p</w:t>
      </w:r>
      <w:r w:rsidR="00F7547F" w:rsidRPr="008B029F">
        <w:rPr>
          <w:lang w:val="en-AU"/>
        </w:rPr>
        <w:t>neumonitis is frequently observed in patients receiving radiation therapy to the lung and the clinical presentation of pneumonitis and radiation pneumonitis is very similar</w:t>
      </w:r>
      <w:r w:rsidR="00182D24" w:rsidRPr="008B029F">
        <w:rPr>
          <w:lang w:val="en-AU"/>
        </w:rPr>
        <w:t>.</w:t>
      </w:r>
      <w:r w:rsidR="00F7547F" w:rsidRPr="008B029F">
        <w:rPr>
          <w:lang w:val="en-AU"/>
        </w:rPr>
        <w:t xml:space="preserve"> </w:t>
      </w:r>
      <w:r w:rsidR="00182D24" w:rsidRPr="008B029F">
        <w:rPr>
          <w:lang w:val="en-AU"/>
        </w:rPr>
        <w:t xml:space="preserve">In the PACIFIC Study, in patients who had completed treatment with at least 2 cycles of concurrent chemoradiation within 1 to 42 days prior to initiation of the trial, pneumonitis or radiation pneumonitis occurred in 161 </w:t>
      </w:r>
      <w:r w:rsidR="000A082A" w:rsidRPr="008B029F">
        <w:rPr>
          <w:lang w:val="en-AU"/>
        </w:rPr>
        <w:t>(33.9%) patients in the IMFINZI-</w:t>
      </w:r>
      <w:r w:rsidR="00182D24" w:rsidRPr="008B029F">
        <w:rPr>
          <w:lang w:val="en-AU"/>
        </w:rPr>
        <w:t xml:space="preserve">treated group and 58 (24.8%) in the placebo group, including Grade 3 </w:t>
      </w:r>
      <w:r w:rsidRPr="008B029F">
        <w:rPr>
          <w:lang w:val="en-AU"/>
        </w:rPr>
        <w:t xml:space="preserve">in 16 </w:t>
      </w:r>
      <w:r w:rsidR="00182D24" w:rsidRPr="008B029F">
        <w:rPr>
          <w:lang w:val="en-AU"/>
        </w:rPr>
        <w:t>(3.4%</w:t>
      </w:r>
      <w:r w:rsidRPr="008B029F">
        <w:rPr>
          <w:lang w:val="en-AU"/>
        </w:rPr>
        <w:t>) patients on IMFINZI</w:t>
      </w:r>
      <w:r w:rsidR="00182D24" w:rsidRPr="008B029F">
        <w:rPr>
          <w:lang w:val="en-AU"/>
        </w:rPr>
        <w:t xml:space="preserve"> vs </w:t>
      </w:r>
      <w:r w:rsidRPr="008B029F">
        <w:rPr>
          <w:lang w:val="en-AU"/>
        </w:rPr>
        <w:t>7 (</w:t>
      </w:r>
      <w:r w:rsidR="00182D24" w:rsidRPr="008B029F">
        <w:rPr>
          <w:lang w:val="en-AU"/>
        </w:rPr>
        <w:t xml:space="preserve">3.0%) </w:t>
      </w:r>
      <w:r w:rsidR="00ED6569" w:rsidRPr="008B029F">
        <w:rPr>
          <w:lang w:val="en-AU"/>
        </w:rPr>
        <w:t xml:space="preserve">patients on placebo </w:t>
      </w:r>
      <w:r w:rsidR="00182D24" w:rsidRPr="008B029F">
        <w:rPr>
          <w:lang w:val="en-AU"/>
        </w:rPr>
        <w:t>and Grade 5</w:t>
      </w:r>
      <w:r w:rsidR="00ED6569" w:rsidRPr="008B029F">
        <w:rPr>
          <w:lang w:val="en-AU"/>
        </w:rPr>
        <w:t xml:space="preserve"> in 5</w:t>
      </w:r>
      <w:r w:rsidR="00182D24" w:rsidRPr="008B029F">
        <w:rPr>
          <w:lang w:val="en-AU"/>
        </w:rPr>
        <w:t xml:space="preserve"> (1.1%</w:t>
      </w:r>
      <w:r w:rsidR="00ED6569" w:rsidRPr="008B029F">
        <w:rPr>
          <w:lang w:val="en-AU"/>
        </w:rPr>
        <w:t>) patients on IMFINZI</w:t>
      </w:r>
      <w:r w:rsidR="00182D24" w:rsidRPr="008B029F">
        <w:rPr>
          <w:lang w:val="en-AU"/>
        </w:rPr>
        <w:t xml:space="preserve"> vs </w:t>
      </w:r>
      <w:r w:rsidR="00ED6569" w:rsidRPr="008B029F">
        <w:rPr>
          <w:lang w:val="en-AU"/>
        </w:rPr>
        <w:t>4 (</w:t>
      </w:r>
      <w:r w:rsidR="00182D24" w:rsidRPr="008B029F">
        <w:rPr>
          <w:lang w:val="en-AU"/>
        </w:rPr>
        <w:t>1.7%)</w:t>
      </w:r>
      <w:r w:rsidR="00ED6569" w:rsidRPr="008B029F">
        <w:rPr>
          <w:lang w:val="en-AU"/>
        </w:rPr>
        <w:t xml:space="preserve"> patients on placebo</w:t>
      </w:r>
      <w:r w:rsidR="00182D24" w:rsidRPr="008B029F">
        <w:rPr>
          <w:lang w:val="en-AU"/>
        </w:rPr>
        <w:t xml:space="preserve">. </w:t>
      </w:r>
      <w:r w:rsidR="00ED6569" w:rsidRPr="008B029F">
        <w:rPr>
          <w:lang w:val="en-AU"/>
        </w:rPr>
        <w:t>The median time to onset in the IMFINZI-treated group was 55 days (range: 1-406 days) vs. 55 days (range: 1-255 days) in the placebo group.</w:t>
      </w:r>
      <w:r w:rsidR="00ED6569" w:rsidRPr="008B029F">
        <w:rPr>
          <w:sz w:val="18"/>
          <w:szCs w:val="18"/>
          <w:lang w:val="en-AU"/>
        </w:rPr>
        <w:t xml:space="preserve"> </w:t>
      </w:r>
      <w:r w:rsidR="00182D24" w:rsidRPr="008B029F">
        <w:rPr>
          <w:lang w:val="en-AU"/>
        </w:rPr>
        <w:t>S</w:t>
      </w:r>
      <w:r w:rsidR="00F7547F" w:rsidRPr="008B029F">
        <w:rPr>
          <w:lang w:val="en-AU"/>
        </w:rPr>
        <w:t xml:space="preserve">ee also Section </w:t>
      </w:r>
      <w:r w:rsidR="00E56910" w:rsidRPr="008B029F">
        <w:rPr>
          <w:color w:val="2B579A"/>
          <w:shd w:val="clear" w:color="auto" w:fill="E6E6E6"/>
          <w:lang w:val="en-AU"/>
        </w:rPr>
        <w:fldChar w:fldCharType="begin"/>
      </w:r>
      <w:r w:rsidR="00E56910" w:rsidRPr="008B029F">
        <w:rPr>
          <w:lang w:val="en-AU"/>
        </w:rPr>
        <w:instrText xml:space="preserve"> REF _Ref121910014 \r \h  \* MERGEFORMAT </w:instrText>
      </w:r>
      <w:r w:rsidR="00E56910" w:rsidRPr="008B029F">
        <w:rPr>
          <w:color w:val="2B579A"/>
          <w:shd w:val="clear" w:color="auto" w:fill="E6E6E6"/>
          <w:lang w:val="en-AU"/>
        </w:rPr>
      </w:r>
      <w:r w:rsidR="00E56910" w:rsidRPr="008B029F">
        <w:rPr>
          <w:color w:val="2B579A"/>
          <w:shd w:val="clear" w:color="auto" w:fill="E6E6E6"/>
          <w:lang w:val="en-AU"/>
        </w:rPr>
        <w:fldChar w:fldCharType="separate"/>
      </w:r>
      <w:r w:rsidR="009773EE" w:rsidRPr="008B029F">
        <w:rPr>
          <w:lang w:val="en-AU"/>
        </w:rPr>
        <w:t>4.8</w:t>
      </w:r>
      <w:r w:rsidR="00E56910" w:rsidRPr="008B029F">
        <w:rPr>
          <w:color w:val="2B579A"/>
          <w:shd w:val="clear" w:color="auto" w:fill="E6E6E6"/>
          <w:lang w:val="en-AU"/>
        </w:rPr>
        <w:fldChar w:fldCharType="end"/>
      </w:r>
      <w:r w:rsidR="00E56910" w:rsidRPr="008B029F">
        <w:rPr>
          <w:lang w:val="en-AU"/>
        </w:rPr>
        <w:t xml:space="preserve"> </w:t>
      </w:r>
      <w:r w:rsidR="00E56910" w:rsidRPr="008B029F">
        <w:rPr>
          <w:color w:val="2B579A"/>
          <w:shd w:val="clear" w:color="auto" w:fill="E6E6E6"/>
          <w:lang w:val="en-AU"/>
        </w:rPr>
        <w:fldChar w:fldCharType="begin"/>
      </w:r>
      <w:r w:rsidR="00E56910" w:rsidRPr="008B029F">
        <w:rPr>
          <w:lang w:val="en-AU"/>
        </w:rPr>
        <w:instrText xml:space="preserve"> REF _Ref121910014 \h  \* MERGEFORMAT </w:instrText>
      </w:r>
      <w:r w:rsidR="00E56910" w:rsidRPr="008B029F">
        <w:rPr>
          <w:color w:val="2B579A"/>
          <w:shd w:val="clear" w:color="auto" w:fill="E6E6E6"/>
          <w:lang w:val="en-AU"/>
        </w:rPr>
      </w:r>
      <w:r w:rsidR="00E56910" w:rsidRPr="008B029F">
        <w:rPr>
          <w:color w:val="2B579A"/>
          <w:shd w:val="clear" w:color="auto" w:fill="E6E6E6"/>
          <w:lang w:val="en-AU"/>
        </w:rPr>
        <w:fldChar w:fldCharType="separate"/>
      </w:r>
      <w:r w:rsidR="009773EE" w:rsidRPr="008B029F">
        <w:rPr>
          <w:lang w:val="en-AU"/>
        </w:rPr>
        <w:t>Adverse effects (undesirable effects)</w:t>
      </w:r>
      <w:r w:rsidR="00E56910" w:rsidRPr="008B029F">
        <w:rPr>
          <w:color w:val="2B579A"/>
          <w:shd w:val="clear" w:color="auto" w:fill="E6E6E6"/>
          <w:lang w:val="en-AU"/>
        </w:rPr>
        <w:fldChar w:fldCharType="end"/>
      </w:r>
      <w:r w:rsidR="00F7547F" w:rsidRPr="008B029F">
        <w:rPr>
          <w:lang w:val="en-AU"/>
        </w:rPr>
        <w:t xml:space="preserve">. </w:t>
      </w:r>
    </w:p>
    <w:p w14:paraId="0F2B5828" w14:textId="77777777" w:rsidR="008D3D71" w:rsidRPr="008B029F" w:rsidRDefault="008D3D71" w:rsidP="006271BF">
      <w:pPr>
        <w:pStyle w:val="Heading4Unnumbered"/>
        <w:rPr>
          <w:lang w:val="en-AU"/>
        </w:rPr>
      </w:pPr>
      <w:r w:rsidRPr="008B029F">
        <w:rPr>
          <w:lang w:val="en-AU"/>
        </w:rPr>
        <w:t>Immune-</w:t>
      </w:r>
      <w:r w:rsidR="00306EFA" w:rsidRPr="008B029F">
        <w:rPr>
          <w:lang w:val="en-AU"/>
        </w:rPr>
        <w:t>m</w:t>
      </w:r>
      <w:r w:rsidRPr="008B029F">
        <w:rPr>
          <w:lang w:val="en-AU"/>
        </w:rPr>
        <w:t xml:space="preserve">ediated </w:t>
      </w:r>
      <w:r w:rsidR="00306EFA" w:rsidRPr="008B029F">
        <w:rPr>
          <w:lang w:val="en-AU"/>
        </w:rPr>
        <w:t>h</w:t>
      </w:r>
      <w:r w:rsidRPr="008B029F">
        <w:rPr>
          <w:lang w:val="en-AU"/>
        </w:rPr>
        <w:t>epatitis</w:t>
      </w:r>
    </w:p>
    <w:p w14:paraId="0CE1B387" w14:textId="533842CB" w:rsidR="008D3D71" w:rsidRPr="008B029F" w:rsidRDefault="008D3D71" w:rsidP="008D3D71">
      <w:pPr>
        <w:pStyle w:val="Paragraph"/>
        <w:rPr>
          <w:lang w:val="en-AU"/>
        </w:rPr>
      </w:pPr>
      <w:r w:rsidRPr="008B029F">
        <w:rPr>
          <w:lang w:val="en-AU"/>
        </w:rPr>
        <w:t>Immune-mediated hepatitis</w:t>
      </w:r>
      <w:r w:rsidR="009E338D" w:rsidRPr="008B029F">
        <w:rPr>
          <w:vertAlign w:val="superscript"/>
          <w:lang w:val="en-AU"/>
        </w:rPr>
        <w:t>*</w:t>
      </w:r>
      <w:r w:rsidR="00AB64CD" w:rsidRPr="008B029F">
        <w:rPr>
          <w:lang w:val="en-AU"/>
        </w:rPr>
        <w:t>,</w:t>
      </w:r>
      <w:r w:rsidR="009E338D" w:rsidRPr="008B029F">
        <w:rPr>
          <w:vertAlign w:val="superscript"/>
          <w:lang w:val="en-AU"/>
        </w:rPr>
        <w:t xml:space="preserve"> </w:t>
      </w:r>
      <w:r w:rsidR="00306EFA" w:rsidRPr="008B029F">
        <w:rPr>
          <w:lang w:val="en-AU"/>
        </w:rPr>
        <w:t xml:space="preserve">including </w:t>
      </w:r>
      <w:r w:rsidR="003308FE" w:rsidRPr="008B029F">
        <w:rPr>
          <w:lang w:val="en-AU"/>
        </w:rPr>
        <w:t xml:space="preserve">a </w:t>
      </w:r>
      <w:r w:rsidR="00306EFA" w:rsidRPr="008B029F">
        <w:rPr>
          <w:lang w:val="en-AU"/>
        </w:rPr>
        <w:t>fatal case</w:t>
      </w:r>
      <w:r w:rsidRPr="008B029F">
        <w:rPr>
          <w:lang w:val="en-AU"/>
        </w:rPr>
        <w:t>, occurred in patients receiving durvalumab</w:t>
      </w:r>
      <w:r w:rsidR="008310EE" w:rsidRPr="008B029F">
        <w:rPr>
          <w:lang w:val="en-AU"/>
        </w:rPr>
        <w:t xml:space="preserve"> in clinical trials (see 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008310EE" w:rsidRPr="008B029F">
        <w:rPr>
          <w:lang w:val="en-AU"/>
        </w:rPr>
        <w:t>)</w:t>
      </w:r>
      <w:r w:rsidRPr="008B029F">
        <w:rPr>
          <w:lang w:val="en-AU"/>
        </w:rPr>
        <w:t>. Patients should be monitored for abnormal liver tests prior to</w:t>
      </w:r>
      <w:r w:rsidR="008310EE" w:rsidRPr="008B029F">
        <w:rPr>
          <w:lang w:val="en-AU"/>
        </w:rPr>
        <w:t xml:space="preserve"> each infusion,</w:t>
      </w:r>
      <w:r w:rsidRPr="008B029F">
        <w:rPr>
          <w:lang w:val="en-AU"/>
        </w:rPr>
        <w:t xml:space="preserve"> and </w:t>
      </w:r>
      <w:r w:rsidR="008310EE" w:rsidRPr="008B029F">
        <w:rPr>
          <w:lang w:val="en-AU"/>
        </w:rPr>
        <w:t xml:space="preserve">as indicated based on clinical evaluation </w:t>
      </w:r>
      <w:r w:rsidRPr="008B029F">
        <w:rPr>
          <w:lang w:val="en-AU"/>
        </w:rPr>
        <w:t xml:space="preserve">during </w:t>
      </w:r>
      <w:r w:rsidR="008310EE" w:rsidRPr="008B029F">
        <w:rPr>
          <w:lang w:val="en-AU"/>
        </w:rPr>
        <w:t xml:space="preserve">and after discontinuation of </w:t>
      </w:r>
      <w:r w:rsidRPr="008B029F">
        <w:rPr>
          <w:lang w:val="en-AU"/>
        </w:rPr>
        <w:t>treatment with durvalumab. Immune-mediated hepatitis should be m</w:t>
      </w:r>
      <w:r w:rsidR="00D2664B" w:rsidRPr="008B029F">
        <w:rPr>
          <w:lang w:val="en-AU"/>
        </w:rPr>
        <w:t xml:space="preserve">anaged as recommended in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9852C8"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w:t>
      </w:r>
      <w:r w:rsidR="00DD211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Pr="008B029F">
        <w:rPr>
          <w:lang w:val="en-AU"/>
        </w:rPr>
        <w:t>).</w:t>
      </w:r>
    </w:p>
    <w:p w14:paraId="49B0EFF9" w14:textId="77777777" w:rsidR="008D3D71" w:rsidRPr="008B029F" w:rsidRDefault="008D3D71" w:rsidP="006271BF">
      <w:pPr>
        <w:pStyle w:val="Heading4Unnumbered"/>
        <w:rPr>
          <w:lang w:val="en-AU"/>
        </w:rPr>
      </w:pPr>
      <w:r w:rsidRPr="008B029F">
        <w:rPr>
          <w:lang w:val="en-AU"/>
        </w:rPr>
        <w:t>Immune-</w:t>
      </w:r>
      <w:r w:rsidR="00D304CE" w:rsidRPr="008B029F">
        <w:rPr>
          <w:lang w:val="en-AU"/>
        </w:rPr>
        <w:t>m</w:t>
      </w:r>
      <w:r w:rsidRPr="008B029F">
        <w:rPr>
          <w:lang w:val="en-AU"/>
        </w:rPr>
        <w:t xml:space="preserve">ediated </w:t>
      </w:r>
      <w:r w:rsidR="00D304CE" w:rsidRPr="008B029F">
        <w:rPr>
          <w:lang w:val="en-AU"/>
        </w:rPr>
        <w:t>c</w:t>
      </w:r>
      <w:r w:rsidRPr="008B029F">
        <w:rPr>
          <w:lang w:val="en-AU"/>
        </w:rPr>
        <w:t>olitis</w:t>
      </w:r>
    </w:p>
    <w:p w14:paraId="23F30A8F" w14:textId="40A33FED" w:rsidR="008D3D71" w:rsidRPr="008B029F" w:rsidRDefault="008D3D71" w:rsidP="008D3D71">
      <w:pPr>
        <w:pStyle w:val="Paragraph"/>
        <w:rPr>
          <w:lang w:val="en-AU"/>
        </w:rPr>
      </w:pPr>
      <w:r w:rsidRPr="008B029F">
        <w:rPr>
          <w:lang w:val="en-AU"/>
        </w:rPr>
        <w:t>Immune-mediated colitis</w:t>
      </w:r>
      <w:r w:rsidR="00AB64CD" w:rsidRPr="008B029F">
        <w:rPr>
          <w:vertAlign w:val="superscript"/>
          <w:lang w:val="en-AU"/>
        </w:rPr>
        <w:t>*</w:t>
      </w:r>
      <w:r w:rsidR="00681F32" w:rsidRPr="008B029F">
        <w:rPr>
          <w:lang w:val="en-AU"/>
        </w:rPr>
        <w:t xml:space="preserve"> </w:t>
      </w:r>
      <w:r w:rsidRPr="008B029F">
        <w:rPr>
          <w:lang w:val="en-AU"/>
        </w:rPr>
        <w:t>occurred in patients receiving durvalumab</w:t>
      </w:r>
      <w:r w:rsidR="00D304CE" w:rsidRPr="008B029F">
        <w:rPr>
          <w:lang w:val="en-AU"/>
        </w:rPr>
        <w:t xml:space="preserve"> in clinical trials (see 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00D304CE" w:rsidRPr="008B029F">
        <w:rPr>
          <w:lang w:val="en-AU"/>
        </w:rPr>
        <w:t>)</w:t>
      </w:r>
      <w:r w:rsidRPr="008B029F">
        <w:rPr>
          <w:lang w:val="en-AU"/>
        </w:rPr>
        <w:t xml:space="preserve">. Patients should be monitored for signs and symptoms of colitis </w:t>
      </w:r>
      <w:r w:rsidR="008310EE" w:rsidRPr="008B029F">
        <w:rPr>
          <w:lang w:val="en-AU"/>
        </w:rPr>
        <w:t xml:space="preserve">(including </w:t>
      </w:r>
      <w:r w:rsidRPr="008B029F">
        <w:rPr>
          <w:lang w:val="en-AU"/>
        </w:rPr>
        <w:t>diarrhoea</w:t>
      </w:r>
      <w:r w:rsidR="008310EE" w:rsidRPr="008B029F">
        <w:rPr>
          <w:lang w:val="en-AU"/>
        </w:rPr>
        <w:t>)</w:t>
      </w:r>
      <w:r w:rsidRPr="008B029F">
        <w:rPr>
          <w:lang w:val="en-AU"/>
        </w:rPr>
        <w:t xml:space="preserve"> and m</w:t>
      </w:r>
      <w:r w:rsidR="00D2664B" w:rsidRPr="008B029F">
        <w:rPr>
          <w:lang w:val="en-AU"/>
        </w:rPr>
        <w:t xml:space="preserve">anaged as recommended in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9852C8"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w:t>
      </w:r>
      <w:r w:rsidR="00DD211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9852C8"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Pr="008B029F">
        <w:rPr>
          <w:lang w:val="en-AU"/>
        </w:rPr>
        <w:t>).</w:t>
      </w:r>
    </w:p>
    <w:p w14:paraId="3DE8E764" w14:textId="77777777" w:rsidR="008D3D71" w:rsidRPr="008B029F" w:rsidRDefault="008D3D71" w:rsidP="003831C7">
      <w:pPr>
        <w:pStyle w:val="Heading4Unnumbered"/>
        <w:rPr>
          <w:lang w:val="en-AU"/>
        </w:rPr>
      </w:pPr>
      <w:r w:rsidRPr="008B029F">
        <w:rPr>
          <w:lang w:val="en-AU"/>
        </w:rPr>
        <w:lastRenderedPageBreak/>
        <w:t>Immune-</w:t>
      </w:r>
      <w:r w:rsidR="00D304CE" w:rsidRPr="008B029F">
        <w:rPr>
          <w:lang w:val="en-AU"/>
        </w:rPr>
        <w:t>m</w:t>
      </w:r>
      <w:r w:rsidRPr="008B029F">
        <w:rPr>
          <w:lang w:val="en-AU"/>
        </w:rPr>
        <w:t xml:space="preserve">ediated </w:t>
      </w:r>
      <w:r w:rsidR="00D304CE" w:rsidRPr="008B029F">
        <w:rPr>
          <w:lang w:val="en-AU"/>
        </w:rPr>
        <w:t>e</w:t>
      </w:r>
      <w:r w:rsidRPr="008B029F">
        <w:rPr>
          <w:lang w:val="en-AU"/>
        </w:rPr>
        <w:t>ndocrinopathies</w:t>
      </w:r>
    </w:p>
    <w:p w14:paraId="2B01C032" w14:textId="1B81B75C" w:rsidR="008D3D71" w:rsidRPr="008B029F" w:rsidRDefault="002A371F" w:rsidP="00167CF9">
      <w:pPr>
        <w:pStyle w:val="Heading5unnumbered"/>
        <w:rPr>
          <w:lang w:val="en-AU"/>
        </w:rPr>
      </w:pPr>
      <w:r w:rsidRPr="008B029F">
        <w:rPr>
          <w:lang w:val="en-AU"/>
        </w:rPr>
        <w:t xml:space="preserve">Immune-mediated </w:t>
      </w:r>
      <w:r w:rsidR="00396492" w:rsidRPr="008B029F">
        <w:rPr>
          <w:lang w:val="en-AU"/>
        </w:rPr>
        <w:t>h</w:t>
      </w:r>
      <w:r w:rsidR="008D3D71" w:rsidRPr="008B029F">
        <w:rPr>
          <w:lang w:val="en-AU"/>
        </w:rPr>
        <w:t>ypothyroidism</w:t>
      </w:r>
      <w:r w:rsidR="00EC39A4" w:rsidRPr="008B029F">
        <w:rPr>
          <w:lang w:val="en-AU"/>
        </w:rPr>
        <w:t>/hyperthyroidism/thyroiditis</w:t>
      </w:r>
    </w:p>
    <w:p w14:paraId="7D3701F9" w14:textId="06D5AB52" w:rsidR="008D3D71" w:rsidRPr="008B029F" w:rsidRDefault="008D3D71" w:rsidP="008D3D71">
      <w:pPr>
        <w:pStyle w:val="Paragraph"/>
        <w:rPr>
          <w:lang w:val="en-AU"/>
        </w:rPr>
      </w:pPr>
      <w:r w:rsidRPr="008B029F">
        <w:rPr>
          <w:lang w:val="en-AU"/>
        </w:rPr>
        <w:t>Immune-mediated hypothyroidism</w:t>
      </w:r>
      <w:r w:rsidR="00EC39A4" w:rsidRPr="008B029F">
        <w:rPr>
          <w:lang w:val="en-AU"/>
        </w:rPr>
        <w:t>, hyperthyroidism or thyroiditis</w:t>
      </w:r>
      <w:r w:rsidRPr="008B029F">
        <w:rPr>
          <w:lang w:val="en-AU"/>
        </w:rPr>
        <w:t xml:space="preserve"> </w:t>
      </w:r>
      <w:r w:rsidR="00EC39A4" w:rsidRPr="008B029F">
        <w:rPr>
          <w:lang w:val="en-AU"/>
        </w:rPr>
        <w:t xml:space="preserve">have </w:t>
      </w:r>
      <w:r w:rsidRPr="008B029F">
        <w:rPr>
          <w:lang w:val="en-AU"/>
        </w:rPr>
        <w:t>occurred in patients receiving durvalumab</w:t>
      </w:r>
      <w:r w:rsidR="00D304CE" w:rsidRPr="008B029F">
        <w:rPr>
          <w:lang w:val="en-AU"/>
        </w:rPr>
        <w:t xml:space="preserve"> in clinical trials (see 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00D304CE" w:rsidRPr="008B029F">
        <w:rPr>
          <w:lang w:val="en-AU"/>
        </w:rPr>
        <w:t>)</w:t>
      </w:r>
      <w:r w:rsidRPr="008B029F">
        <w:rPr>
          <w:lang w:val="en-AU"/>
        </w:rPr>
        <w:t>. Patients should be monitored for abnormal thyroid function tests prior to and periodically during treatment and managed as recommended</w:t>
      </w:r>
      <w:r w:rsidRPr="008B029F">
        <w:rPr>
          <w:i/>
          <w:lang w:val="en-AU"/>
        </w:rPr>
        <w:t xml:space="preserve"> </w:t>
      </w:r>
      <w:r w:rsidR="00D2664B" w:rsidRPr="008B029F">
        <w:rPr>
          <w:lang w:val="en-AU"/>
        </w:rPr>
        <w:t xml:space="preserve">in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9852C8"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w:t>
      </w:r>
      <w:r w:rsidR="00DD211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p>
    <w:p w14:paraId="5E306001" w14:textId="654FB1FF" w:rsidR="008D3D71" w:rsidRPr="008B029F" w:rsidRDefault="00666598" w:rsidP="00167CF9">
      <w:pPr>
        <w:pStyle w:val="Heading5unnumbered"/>
        <w:rPr>
          <w:lang w:val="en-AU"/>
        </w:rPr>
      </w:pPr>
      <w:r w:rsidRPr="008B029F">
        <w:rPr>
          <w:lang w:val="en-AU"/>
        </w:rPr>
        <w:t>Immune-mediated a</w:t>
      </w:r>
      <w:r w:rsidR="008D3D71" w:rsidRPr="008B029F">
        <w:rPr>
          <w:lang w:val="en-AU"/>
        </w:rPr>
        <w:t xml:space="preserve">drenal </w:t>
      </w:r>
      <w:r w:rsidR="00C873FC" w:rsidRPr="008B029F">
        <w:rPr>
          <w:lang w:val="en-AU"/>
        </w:rPr>
        <w:t>i</w:t>
      </w:r>
      <w:r w:rsidR="008D3D71" w:rsidRPr="008B029F">
        <w:rPr>
          <w:lang w:val="en-AU"/>
        </w:rPr>
        <w:t>nsufficiency</w:t>
      </w:r>
    </w:p>
    <w:p w14:paraId="00DFF809" w14:textId="5A7071BC" w:rsidR="008D3D71" w:rsidRPr="008B029F" w:rsidRDefault="008D3D71" w:rsidP="008D3D71">
      <w:pPr>
        <w:pStyle w:val="Paragraph"/>
        <w:rPr>
          <w:lang w:val="en-AU"/>
        </w:rPr>
      </w:pPr>
      <w:r w:rsidRPr="008B029F">
        <w:rPr>
          <w:lang w:val="en-AU"/>
        </w:rPr>
        <w:t>Immune-mediated adrenal insufficiency occurred in patients receiving durvalumab</w:t>
      </w:r>
      <w:r w:rsidR="00D304CE" w:rsidRPr="008B029F">
        <w:rPr>
          <w:lang w:val="en-AU"/>
        </w:rPr>
        <w:t xml:space="preserve"> in clinical trials (see 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00D304CE" w:rsidRPr="008B029F">
        <w:rPr>
          <w:lang w:val="en-AU"/>
        </w:rPr>
        <w:t>)</w:t>
      </w:r>
      <w:r w:rsidRPr="008B029F">
        <w:rPr>
          <w:lang w:val="en-AU"/>
        </w:rPr>
        <w:t>. Patients should be monitored for clinical signs and symptoms of adrenal insufficiency. For symptomatic adrenal insufficiency, patients should be manag</w:t>
      </w:r>
      <w:r w:rsidR="00D2664B" w:rsidRPr="008B029F">
        <w:rPr>
          <w:lang w:val="en-AU"/>
        </w:rPr>
        <w:t xml:space="preserve">ed as recommended in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9852C8"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w:t>
      </w:r>
      <w:r w:rsidR="00DD211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Pr="008B029F">
        <w:rPr>
          <w:lang w:val="en-AU"/>
        </w:rPr>
        <w:t>).</w:t>
      </w:r>
    </w:p>
    <w:p w14:paraId="2B3B1370" w14:textId="3D6C77ED" w:rsidR="008D3D71" w:rsidRPr="008B029F" w:rsidRDefault="00EC39A4" w:rsidP="00167CF9">
      <w:pPr>
        <w:pStyle w:val="Heading5unnumbered"/>
        <w:rPr>
          <w:lang w:val="en-AU"/>
        </w:rPr>
      </w:pPr>
      <w:r w:rsidRPr="008B029F">
        <w:rPr>
          <w:lang w:val="en-AU"/>
        </w:rPr>
        <w:t>Immune-mediated t</w:t>
      </w:r>
      <w:r w:rsidR="008D3D71" w:rsidRPr="008B029F">
        <w:rPr>
          <w:lang w:val="en-AU"/>
        </w:rPr>
        <w:t>ype 1 diabetes mellitus</w:t>
      </w:r>
    </w:p>
    <w:p w14:paraId="146582F0" w14:textId="6910C3A7" w:rsidR="008D3D71" w:rsidRPr="008B029F" w:rsidRDefault="008D3D71" w:rsidP="008D3D71">
      <w:pPr>
        <w:pStyle w:val="Paragraph"/>
        <w:rPr>
          <w:lang w:val="en-AU"/>
        </w:rPr>
      </w:pPr>
      <w:r w:rsidRPr="008B029F">
        <w:rPr>
          <w:lang w:val="en-AU"/>
        </w:rPr>
        <w:t>Immune-mediated type 1 diabetes mellitus</w:t>
      </w:r>
      <w:r w:rsidR="00240798" w:rsidRPr="008B029F">
        <w:rPr>
          <w:lang w:val="en-AU"/>
        </w:rPr>
        <w:t>, which can present with diabetic ketoacidosis,</w:t>
      </w:r>
      <w:r w:rsidRPr="008B029F">
        <w:rPr>
          <w:lang w:val="en-AU"/>
        </w:rPr>
        <w:t xml:space="preserve"> occurred in patients receiving </w:t>
      </w:r>
      <w:r w:rsidR="00C873FC" w:rsidRPr="008B029F">
        <w:rPr>
          <w:lang w:val="en-AU"/>
        </w:rPr>
        <w:t xml:space="preserve">durvalumab in clinical trials </w:t>
      </w:r>
      <w:r w:rsidRPr="008B029F">
        <w:rPr>
          <w:lang w:val="en-AU"/>
        </w:rPr>
        <w:t xml:space="preserve">(see </w:t>
      </w:r>
      <w:r w:rsidR="00166B5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Pr="008B029F">
        <w:rPr>
          <w:lang w:val="en-AU"/>
        </w:rPr>
        <w:t>). Patients should be monitored for clinical signs and symptoms of type 1 diabetes mellitus. For symptomatic type 1 diabetes mellitus, patients should be managed as recommended in</w:t>
      </w:r>
      <w:r w:rsidR="00DF3D12" w:rsidRPr="008B029F">
        <w:rPr>
          <w:lang w:val="en-AU"/>
        </w:rPr>
        <w:t xml:space="preserve">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1A5413"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00DF3D12" w:rsidRPr="008B029F">
        <w:rPr>
          <w:lang w:val="en-AU"/>
        </w:rPr>
        <w:t>(</w:t>
      </w:r>
      <w:r w:rsidR="0009588C" w:rsidRPr="008B029F">
        <w:rPr>
          <w:lang w:val="en-AU"/>
        </w:rPr>
        <w:t xml:space="preserve">see </w:t>
      </w:r>
      <w:r w:rsidR="00166B5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00DF3D12" w:rsidRPr="008B029F">
        <w:rPr>
          <w:lang w:val="en-AU"/>
        </w:rPr>
        <w:t>)</w:t>
      </w:r>
      <w:r w:rsidRPr="008B029F">
        <w:rPr>
          <w:lang w:val="en-AU"/>
        </w:rPr>
        <w:t>.</w:t>
      </w:r>
    </w:p>
    <w:p w14:paraId="155CE89A" w14:textId="0907E5AA" w:rsidR="008D3D71" w:rsidRPr="008B029F" w:rsidRDefault="00EC39A4" w:rsidP="00167CF9">
      <w:pPr>
        <w:pStyle w:val="Heading5unnumbered"/>
        <w:rPr>
          <w:lang w:val="en-AU"/>
        </w:rPr>
      </w:pPr>
      <w:r w:rsidRPr="008B029F">
        <w:rPr>
          <w:lang w:val="en-AU"/>
        </w:rPr>
        <w:t>Immune-mediated h</w:t>
      </w:r>
      <w:r w:rsidR="008D3D71" w:rsidRPr="008B029F">
        <w:rPr>
          <w:lang w:val="en-AU"/>
        </w:rPr>
        <w:t>ypophysitis</w:t>
      </w:r>
      <w:r w:rsidR="00D05874" w:rsidRPr="008B029F">
        <w:rPr>
          <w:lang w:val="en-AU"/>
        </w:rPr>
        <w:t>/</w:t>
      </w:r>
      <w:r w:rsidR="00D57A45" w:rsidRPr="008B029F">
        <w:rPr>
          <w:lang w:val="en-AU"/>
        </w:rPr>
        <w:t>h</w:t>
      </w:r>
      <w:r w:rsidR="00D05874" w:rsidRPr="008B029F">
        <w:rPr>
          <w:lang w:val="en-AU"/>
        </w:rPr>
        <w:t>ypopituitarism</w:t>
      </w:r>
    </w:p>
    <w:p w14:paraId="285408A4" w14:textId="29862769" w:rsidR="008D3D71" w:rsidRPr="008B029F" w:rsidRDefault="008D3D71" w:rsidP="008D3D71">
      <w:pPr>
        <w:pStyle w:val="Paragraph"/>
        <w:rPr>
          <w:lang w:val="en-AU"/>
        </w:rPr>
      </w:pPr>
      <w:r w:rsidRPr="008B029F">
        <w:rPr>
          <w:lang w:val="en-AU"/>
        </w:rPr>
        <w:t>Immune-mediated hypophysitis</w:t>
      </w:r>
      <w:r w:rsidR="00AD5FAC" w:rsidRPr="008B029F">
        <w:rPr>
          <w:lang w:val="en-AU"/>
        </w:rPr>
        <w:t>/</w:t>
      </w:r>
      <w:r w:rsidRPr="008B029F">
        <w:rPr>
          <w:lang w:val="en-AU"/>
        </w:rPr>
        <w:t xml:space="preserve">hypopituitarism occurred in patients receiving </w:t>
      </w:r>
      <w:r w:rsidR="00C873FC" w:rsidRPr="008B029F">
        <w:rPr>
          <w:lang w:val="en-AU"/>
        </w:rPr>
        <w:t>durvalumab in clinical trials</w:t>
      </w:r>
      <w:r w:rsidR="00C873FC" w:rsidRPr="008B029F" w:rsidDel="00C873FC">
        <w:rPr>
          <w:lang w:val="en-AU"/>
        </w:rPr>
        <w:t xml:space="preserve"> </w:t>
      </w:r>
      <w:r w:rsidRPr="008B029F">
        <w:rPr>
          <w:lang w:val="en-AU"/>
        </w:rPr>
        <w:t xml:space="preserve">(see </w:t>
      </w:r>
      <w:r w:rsidR="00166B5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Pr="008B029F">
        <w:rPr>
          <w:lang w:val="en-AU"/>
        </w:rPr>
        <w:t>). Patients should be monitored for clinical signs and symptoms of hypophysitis</w:t>
      </w:r>
      <w:r w:rsidR="00DE6D22" w:rsidRPr="008B029F">
        <w:rPr>
          <w:lang w:val="en-AU"/>
        </w:rPr>
        <w:t xml:space="preserve"> or hypopituitarism</w:t>
      </w:r>
      <w:r w:rsidRPr="008B029F">
        <w:rPr>
          <w:lang w:val="en-AU"/>
        </w:rPr>
        <w:t>. For symptomatic hypophysitis or hypopituitarism, patients should be managed as recommended in</w:t>
      </w:r>
      <w:r w:rsidR="00DF3D12" w:rsidRPr="008B029F">
        <w:rPr>
          <w:lang w:val="en-AU"/>
        </w:rPr>
        <w:t xml:space="preserve">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1A5413"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00DF3D12" w:rsidRPr="008B029F">
        <w:rPr>
          <w:lang w:val="en-AU"/>
        </w:rPr>
        <w:t>(</w:t>
      </w:r>
      <w:r w:rsidR="0009588C" w:rsidRPr="008B029F">
        <w:rPr>
          <w:lang w:val="en-AU"/>
        </w:rPr>
        <w:t xml:space="preserve">see </w:t>
      </w:r>
      <w:r w:rsidR="00DD211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00DF3D12" w:rsidRPr="008B029F">
        <w:rPr>
          <w:lang w:val="en-AU"/>
        </w:rPr>
        <w:t>)</w:t>
      </w:r>
      <w:r w:rsidRPr="008B029F">
        <w:rPr>
          <w:lang w:val="en-AU"/>
        </w:rPr>
        <w:t>.</w:t>
      </w:r>
    </w:p>
    <w:p w14:paraId="3ADC4F9C" w14:textId="77777777" w:rsidR="008D3D71" w:rsidRPr="008B029F" w:rsidRDefault="008D3D71" w:rsidP="006271BF">
      <w:pPr>
        <w:pStyle w:val="Heading4Unnumbered"/>
        <w:rPr>
          <w:lang w:val="en-AU"/>
        </w:rPr>
      </w:pPr>
      <w:r w:rsidRPr="008B029F">
        <w:rPr>
          <w:lang w:val="en-AU"/>
        </w:rPr>
        <w:t>Immune-</w:t>
      </w:r>
      <w:r w:rsidR="001B5525" w:rsidRPr="008B029F">
        <w:rPr>
          <w:lang w:val="en-AU"/>
        </w:rPr>
        <w:t>m</w:t>
      </w:r>
      <w:r w:rsidRPr="008B029F">
        <w:rPr>
          <w:lang w:val="en-AU"/>
        </w:rPr>
        <w:t xml:space="preserve">ediated </w:t>
      </w:r>
      <w:r w:rsidR="001B5525" w:rsidRPr="008B029F">
        <w:rPr>
          <w:lang w:val="en-AU"/>
        </w:rPr>
        <w:t>n</w:t>
      </w:r>
      <w:r w:rsidRPr="008B029F">
        <w:rPr>
          <w:lang w:val="en-AU"/>
        </w:rPr>
        <w:t>ephritis</w:t>
      </w:r>
    </w:p>
    <w:p w14:paraId="30E6F591" w14:textId="6EFDCA4C" w:rsidR="008D3D71" w:rsidRPr="008B029F" w:rsidRDefault="008D3D71" w:rsidP="008D3D71">
      <w:pPr>
        <w:pStyle w:val="Paragraph"/>
        <w:rPr>
          <w:lang w:val="en-AU"/>
        </w:rPr>
      </w:pPr>
      <w:r w:rsidRPr="008B029F">
        <w:rPr>
          <w:lang w:val="en-AU"/>
        </w:rPr>
        <w:t>Immune-mediated nephritis</w:t>
      </w:r>
      <w:r w:rsidR="009E338D" w:rsidRPr="008B029F">
        <w:rPr>
          <w:vertAlign w:val="superscript"/>
          <w:lang w:val="en-AU"/>
        </w:rPr>
        <w:t>*</w:t>
      </w:r>
      <w:r w:rsidR="00AB64CD" w:rsidRPr="008B029F">
        <w:rPr>
          <w:lang w:val="en-AU"/>
        </w:rPr>
        <w:t xml:space="preserve"> </w:t>
      </w:r>
      <w:r w:rsidRPr="008B029F">
        <w:rPr>
          <w:lang w:val="en-AU"/>
        </w:rPr>
        <w:t>occurred in patients receiving durvalumab</w:t>
      </w:r>
      <w:r w:rsidR="00D57A45" w:rsidRPr="008B029F">
        <w:rPr>
          <w:lang w:val="en-AU"/>
        </w:rPr>
        <w:t xml:space="preserve"> in clinical trials</w:t>
      </w:r>
      <w:r w:rsidR="00D57A45" w:rsidRPr="008B029F" w:rsidDel="00C873FC">
        <w:rPr>
          <w:lang w:val="en-AU"/>
        </w:rPr>
        <w:t xml:space="preserve"> </w:t>
      </w:r>
      <w:r w:rsidR="00D57A45" w:rsidRPr="008B029F">
        <w:rPr>
          <w:lang w:val="en-AU"/>
        </w:rPr>
        <w:t xml:space="preserve">(see 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00D57A45" w:rsidRPr="008B029F">
        <w:rPr>
          <w:lang w:val="en-AU"/>
        </w:rPr>
        <w:t>)</w:t>
      </w:r>
      <w:r w:rsidRPr="008B029F">
        <w:rPr>
          <w:lang w:val="en-AU"/>
        </w:rPr>
        <w:t>. Patients should be monitored for abnormal renal function tests prior to and periodically during treatment with durvalumab and m</w:t>
      </w:r>
      <w:r w:rsidR="00D2664B" w:rsidRPr="008B029F">
        <w:rPr>
          <w:lang w:val="en-AU"/>
        </w:rPr>
        <w:t xml:space="preserve">anaged as recommended in </w:t>
      </w:r>
      <w:r w:rsidR="00C8623B" w:rsidRPr="008B029F">
        <w:rPr>
          <w:color w:val="2B579A"/>
          <w:shd w:val="clear" w:color="auto" w:fill="E6E6E6"/>
          <w:lang w:val="en-AU"/>
        </w:rPr>
        <w:fldChar w:fldCharType="begin"/>
      </w:r>
      <w:r w:rsidR="00C8623B" w:rsidRPr="008B029F">
        <w:rPr>
          <w:lang w:val="en-AU"/>
        </w:rPr>
        <w:instrText xml:space="preserve"> REF _Ref57362210 \h </w:instrText>
      </w:r>
      <w:r w:rsidR="001A5413"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w:t>
      </w:r>
      <w:r w:rsidR="00166B5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Pr="008B029F">
        <w:rPr>
          <w:lang w:val="en-AU"/>
        </w:rPr>
        <w:t>).</w:t>
      </w:r>
    </w:p>
    <w:p w14:paraId="27678E66" w14:textId="0EBC9152" w:rsidR="008D3D71" w:rsidRPr="008B029F" w:rsidRDefault="008D3D71" w:rsidP="003F2E36">
      <w:pPr>
        <w:pStyle w:val="Heading4Unnumbered"/>
        <w:rPr>
          <w:lang w:val="en-AU"/>
        </w:rPr>
      </w:pPr>
      <w:r w:rsidRPr="008B029F">
        <w:rPr>
          <w:lang w:val="en-AU"/>
        </w:rPr>
        <w:t>Immune-</w:t>
      </w:r>
      <w:r w:rsidR="001B5525" w:rsidRPr="008B029F">
        <w:rPr>
          <w:lang w:val="en-AU"/>
        </w:rPr>
        <w:t>m</w:t>
      </w:r>
      <w:r w:rsidRPr="008B029F">
        <w:rPr>
          <w:lang w:val="en-AU"/>
        </w:rPr>
        <w:t xml:space="preserve">ediated </w:t>
      </w:r>
      <w:r w:rsidR="001B5525" w:rsidRPr="008B029F">
        <w:rPr>
          <w:lang w:val="en-AU"/>
        </w:rPr>
        <w:t xml:space="preserve">dermatological </w:t>
      </w:r>
      <w:r w:rsidR="007A0585" w:rsidRPr="008B029F">
        <w:rPr>
          <w:lang w:val="en-AU"/>
        </w:rPr>
        <w:t xml:space="preserve">adverse </w:t>
      </w:r>
      <w:r w:rsidR="001B5525" w:rsidRPr="008B029F">
        <w:rPr>
          <w:lang w:val="en-AU"/>
        </w:rPr>
        <w:t>reactions</w:t>
      </w:r>
    </w:p>
    <w:p w14:paraId="4ACEA6E9" w14:textId="483CCF9F" w:rsidR="008D3D71" w:rsidRPr="008B029F" w:rsidRDefault="008D3D71" w:rsidP="001B5525">
      <w:pPr>
        <w:pStyle w:val="Paragraph"/>
        <w:rPr>
          <w:lang w:val="en-AU"/>
        </w:rPr>
      </w:pPr>
      <w:r w:rsidRPr="008B029F">
        <w:rPr>
          <w:lang w:val="en-AU"/>
        </w:rPr>
        <w:t>Immune-mediated dermatitis</w:t>
      </w:r>
      <w:r w:rsidR="004F1AE7" w:rsidRPr="008B029F">
        <w:rPr>
          <w:lang w:val="en-AU"/>
        </w:rPr>
        <w:t xml:space="preserve"> (including pemphigoid)</w:t>
      </w:r>
      <w:r w:rsidR="009E338D" w:rsidRPr="008B029F">
        <w:rPr>
          <w:vertAlign w:val="superscript"/>
          <w:lang w:val="en-AU"/>
        </w:rPr>
        <w:t>*</w:t>
      </w:r>
      <w:r w:rsidR="00AB64CD" w:rsidRPr="008B029F">
        <w:rPr>
          <w:lang w:val="en-AU"/>
        </w:rPr>
        <w:t xml:space="preserve"> </w:t>
      </w:r>
      <w:r w:rsidRPr="008B029F">
        <w:rPr>
          <w:lang w:val="en-AU"/>
        </w:rPr>
        <w:t>occurred in patients receiving durvalumab</w:t>
      </w:r>
      <w:r w:rsidR="001B5525" w:rsidRPr="008B029F">
        <w:rPr>
          <w:lang w:val="en-AU"/>
        </w:rPr>
        <w:t xml:space="preserve"> in clinical trials</w:t>
      </w:r>
      <w:r w:rsidR="001B5525" w:rsidRPr="008B029F" w:rsidDel="00C873FC">
        <w:rPr>
          <w:lang w:val="en-AU"/>
        </w:rPr>
        <w:t xml:space="preserve"> </w:t>
      </w:r>
      <w:r w:rsidR="001B5525" w:rsidRPr="008B029F">
        <w:rPr>
          <w:lang w:val="en-AU"/>
        </w:rPr>
        <w:t xml:space="preserve">(see Section </w:t>
      </w:r>
      <w:r w:rsidR="00167CF9" w:rsidRPr="008B029F">
        <w:rPr>
          <w:color w:val="2B579A"/>
          <w:shd w:val="clear" w:color="auto" w:fill="E6E6E6"/>
          <w:lang w:val="en-AU"/>
        </w:rPr>
        <w:fldChar w:fldCharType="begin"/>
      </w:r>
      <w:r w:rsidR="00167CF9" w:rsidRPr="008B029F">
        <w:rPr>
          <w:lang w:val="en-AU"/>
        </w:rPr>
        <w:instrText xml:space="preserve"> REF _Ref121910014 \r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4.8</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_Ref121910014 \h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Adverse effects (undesirable effects)</w:t>
      </w:r>
      <w:r w:rsidR="00167CF9" w:rsidRPr="008B029F">
        <w:rPr>
          <w:color w:val="2B579A"/>
          <w:shd w:val="clear" w:color="auto" w:fill="E6E6E6"/>
          <w:lang w:val="en-AU"/>
        </w:rPr>
        <w:fldChar w:fldCharType="end"/>
      </w:r>
      <w:r w:rsidR="001B5525" w:rsidRPr="008B029F">
        <w:rPr>
          <w:lang w:val="en-AU"/>
        </w:rPr>
        <w:t>)</w:t>
      </w:r>
      <w:r w:rsidRPr="008B029F">
        <w:rPr>
          <w:lang w:val="en-AU"/>
        </w:rPr>
        <w:t>.</w:t>
      </w:r>
      <w:r w:rsidR="001B5525" w:rsidRPr="008B029F">
        <w:rPr>
          <w:lang w:val="en-AU"/>
        </w:rPr>
        <w:t xml:space="preserve"> Bullous dermatitis and Stevens-Johnson Syndrome (SJS)/toxic epidermal necrolysis (TEN) have </w:t>
      </w:r>
      <w:r w:rsidR="00374610" w:rsidRPr="008B029F">
        <w:rPr>
          <w:lang w:val="en-AU"/>
        </w:rPr>
        <w:t>occurred with other products in this class</w:t>
      </w:r>
      <w:r w:rsidR="001B5525" w:rsidRPr="008B029F">
        <w:rPr>
          <w:lang w:val="en-AU"/>
        </w:rPr>
        <w:t>.</w:t>
      </w:r>
      <w:r w:rsidRPr="008B029F">
        <w:rPr>
          <w:lang w:val="en-AU"/>
        </w:rPr>
        <w:t xml:space="preserve"> Patients should be monitored for signs and symptoms dermatitis</w:t>
      </w:r>
      <w:r w:rsidR="00AD5FAC" w:rsidRPr="008B029F">
        <w:rPr>
          <w:lang w:val="en-AU"/>
        </w:rPr>
        <w:t xml:space="preserve"> (including rash)</w:t>
      </w:r>
      <w:r w:rsidRPr="008B029F">
        <w:rPr>
          <w:lang w:val="en-AU"/>
        </w:rPr>
        <w:t xml:space="preserve"> and managed as recommended in</w:t>
      </w:r>
      <w:r w:rsidRPr="008B029F">
        <w:rPr>
          <w:i/>
          <w:lang w:val="en-AU"/>
        </w:rPr>
        <w:t xml:space="preserve"> </w:t>
      </w:r>
      <w:r w:rsidR="00C8623B" w:rsidRPr="008B029F">
        <w:rPr>
          <w:color w:val="2B579A"/>
          <w:shd w:val="clear" w:color="auto" w:fill="E6E6E6"/>
          <w:lang w:val="en-AU"/>
        </w:rPr>
        <w:fldChar w:fldCharType="begin"/>
      </w:r>
      <w:r w:rsidR="00C8623B" w:rsidRPr="008B029F">
        <w:rPr>
          <w:i/>
          <w:lang w:val="en-AU"/>
        </w:rPr>
        <w:instrText xml:space="preserve"> REF _Ref57362210 \h </w:instrText>
      </w:r>
      <w:r w:rsidR="001A5413" w:rsidRPr="008B029F">
        <w:rPr>
          <w:lang w:val="en-AU"/>
        </w:rPr>
        <w:instrText xml:space="preserve"> \* MERGEFORMAT </w:instrText>
      </w:r>
      <w:r w:rsidR="00C8623B" w:rsidRPr="008B029F">
        <w:rPr>
          <w:color w:val="2B579A"/>
          <w:shd w:val="clear" w:color="auto" w:fill="E6E6E6"/>
          <w:lang w:val="en-AU"/>
        </w:rPr>
      </w:r>
      <w:r w:rsidR="00C8623B" w:rsidRPr="008B029F">
        <w:rPr>
          <w:color w:val="2B579A"/>
          <w:shd w:val="clear" w:color="auto" w:fill="E6E6E6"/>
          <w:lang w:val="en-AU"/>
        </w:rPr>
        <w:fldChar w:fldCharType="separate"/>
      </w:r>
      <w:r w:rsidR="009773EE" w:rsidRPr="008B029F">
        <w:rPr>
          <w:lang w:val="en-AU"/>
        </w:rPr>
        <w:t>Table 2</w:t>
      </w:r>
      <w:r w:rsidR="00C8623B" w:rsidRPr="008B029F">
        <w:rPr>
          <w:color w:val="2B579A"/>
          <w:shd w:val="clear" w:color="auto" w:fill="E6E6E6"/>
          <w:lang w:val="en-AU"/>
        </w:rPr>
        <w:fldChar w:fldCharType="end"/>
      </w:r>
      <w:r w:rsidR="00C8623B" w:rsidRPr="008B029F">
        <w:rPr>
          <w:lang w:val="en-AU"/>
        </w:rPr>
        <w:t xml:space="preserve"> </w:t>
      </w:r>
      <w:r w:rsidRPr="008B029F">
        <w:rPr>
          <w:lang w:val="en-AU"/>
        </w:rPr>
        <w:t xml:space="preserve">(see </w:t>
      </w:r>
      <w:r w:rsidR="00166B52" w:rsidRPr="008B029F">
        <w:rPr>
          <w:lang w:val="en-AU"/>
        </w:rPr>
        <w:t xml:space="preserve">Section </w:t>
      </w:r>
      <w:r w:rsidR="00167CF9" w:rsidRPr="008B029F">
        <w:rPr>
          <w:color w:val="2B579A"/>
          <w:shd w:val="clear" w:color="auto" w:fill="E6E6E6"/>
          <w:lang w:val="en-AU"/>
        </w:rPr>
        <w:fldChar w:fldCharType="begin"/>
      </w:r>
      <w:r w:rsidR="00167CF9" w:rsidRPr="008B029F">
        <w:rPr>
          <w:lang w:val="en-AU"/>
        </w:rPr>
        <w:instrText xml:space="preserve"> REF _Hlk508791964 \r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4.2</w:t>
      </w:r>
      <w:r w:rsidR="00167CF9" w:rsidRPr="008B029F">
        <w:rPr>
          <w:color w:val="2B579A"/>
          <w:shd w:val="clear" w:color="auto" w:fill="E6E6E6"/>
          <w:lang w:val="en-AU"/>
        </w:rPr>
        <w:fldChar w:fldCharType="end"/>
      </w:r>
      <w:r w:rsidR="00167CF9" w:rsidRPr="008B029F">
        <w:rPr>
          <w:lang w:val="en-AU"/>
        </w:rPr>
        <w:t xml:space="preserve"> </w:t>
      </w:r>
      <w:r w:rsidR="00167CF9" w:rsidRPr="008B029F">
        <w:rPr>
          <w:color w:val="2B579A"/>
          <w:shd w:val="clear" w:color="auto" w:fill="E6E6E6"/>
          <w:lang w:val="en-AU"/>
        </w:rPr>
        <w:fldChar w:fldCharType="begin"/>
      </w:r>
      <w:r w:rsidR="00167CF9" w:rsidRPr="008B029F">
        <w:rPr>
          <w:lang w:val="en-AU"/>
        </w:rPr>
        <w:instrText xml:space="preserve"> REF _Hlk508791964 \h </w:instrText>
      </w:r>
      <w:r w:rsidR="001A5413" w:rsidRPr="008B029F">
        <w:rPr>
          <w:lang w:val="en-AU"/>
        </w:rPr>
        <w:instrText xml:space="preserve"> \* MERGEFORMAT </w:instrText>
      </w:r>
      <w:r w:rsidR="00167CF9" w:rsidRPr="008B029F">
        <w:rPr>
          <w:color w:val="2B579A"/>
          <w:shd w:val="clear" w:color="auto" w:fill="E6E6E6"/>
          <w:lang w:val="en-AU"/>
        </w:rPr>
      </w:r>
      <w:r w:rsidR="00167CF9" w:rsidRPr="008B029F">
        <w:rPr>
          <w:color w:val="2B579A"/>
          <w:shd w:val="clear" w:color="auto" w:fill="E6E6E6"/>
          <w:lang w:val="en-AU"/>
        </w:rPr>
        <w:fldChar w:fldCharType="separate"/>
      </w:r>
      <w:r w:rsidR="009773EE" w:rsidRPr="008B029F">
        <w:rPr>
          <w:lang w:val="en-AU"/>
        </w:rPr>
        <w:t>Dose and method of administration</w:t>
      </w:r>
      <w:r w:rsidR="00167CF9" w:rsidRPr="008B029F">
        <w:rPr>
          <w:color w:val="2B579A"/>
          <w:shd w:val="clear" w:color="auto" w:fill="E6E6E6"/>
          <w:lang w:val="en-AU"/>
        </w:rPr>
        <w:fldChar w:fldCharType="end"/>
      </w:r>
      <w:r w:rsidRPr="008B029F">
        <w:rPr>
          <w:lang w:val="en-AU"/>
        </w:rPr>
        <w:t>).</w:t>
      </w:r>
    </w:p>
    <w:p w14:paraId="02355C5E" w14:textId="77777777" w:rsidR="002E44B0" w:rsidRPr="004F6172" w:rsidRDefault="002E44B0" w:rsidP="002E44B0">
      <w:pPr>
        <w:pStyle w:val="Heading4Unnumbered"/>
        <w:rPr>
          <w:lang w:val="en-AU"/>
        </w:rPr>
      </w:pPr>
      <w:r w:rsidRPr="004F6172">
        <w:rPr>
          <w:lang w:val="en-AU"/>
        </w:rPr>
        <w:t xml:space="preserve">Immune-mediated myocarditis </w:t>
      </w:r>
    </w:p>
    <w:p w14:paraId="6BB49DD8" w14:textId="37731D1F" w:rsidR="002E44B0" w:rsidRPr="004F6172" w:rsidRDefault="002E44B0" w:rsidP="001B5525">
      <w:pPr>
        <w:pStyle w:val="Paragraph"/>
        <w:rPr>
          <w:lang w:val="en-AU"/>
        </w:rPr>
      </w:pPr>
      <w:r w:rsidRPr="004F6172">
        <w:rPr>
          <w:lang w:val="en-AU"/>
        </w:rPr>
        <w:t xml:space="preserve">Immune-mediated myocarditis, which can be fatal, occurred in patients receiving IMFINZI or IMFINZI in combination with tremelimumab (see Section </w:t>
      </w:r>
      <w:r w:rsidRPr="004F6172">
        <w:rPr>
          <w:color w:val="2B579A"/>
          <w:shd w:val="clear" w:color="auto" w:fill="E6E6E6"/>
          <w:lang w:val="en-AU"/>
        </w:rPr>
        <w:fldChar w:fldCharType="begin"/>
      </w:r>
      <w:r w:rsidRPr="004F6172">
        <w:rPr>
          <w:lang w:val="en-AU"/>
        </w:rPr>
        <w:instrText xml:space="preserve"> REF _Ref121910014 \r \h  \* MERGEFORMAT </w:instrText>
      </w:r>
      <w:r w:rsidRPr="004F6172">
        <w:rPr>
          <w:color w:val="2B579A"/>
          <w:shd w:val="clear" w:color="auto" w:fill="E6E6E6"/>
          <w:lang w:val="en-AU"/>
        </w:rPr>
      </w:r>
      <w:r w:rsidRPr="004F6172">
        <w:rPr>
          <w:color w:val="2B579A"/>
          <w:shd w:val="clear" w:color="auto" w:fill="E6E6E6"/>
          <w:lang w:val="en-AU"/>
        </w:rPr>
        <w:fldChar w:fldCharType="separate"/>
      </w:r>
      <w:r w:rsidR="009773EE" w:rsidRPr="004F6172">
        <w:rPr>
          <w:lang w:val="en-AU"/>
        </w:rPr>
        <w:t>4.8</w:t>
      </w:r>
      <w:r w:rsidRPr="004F6172">
        <w:rPr>
          <w:color w:val="2B579A"/>
          <w:shd w:val="clear" w:color="auto" w:fill="E6E6E6"/>
          <w:lang w:val="en-AU"/>
        </w:rPr>
        <w:fldChar w:fldCharType="end"/>
      </w:r>
      <w:r w:rsidRPr="004F6172">
        <w:rPr>
          <w:lang w:val="en-AU"/>
        </w:rPr>
        <w:t xml:space="preserve"> </w:t>
      </w:r>
      <w:r w:rsidRPr="004F6172">
        <w:rPr>
          <w:color w:val="2B579A"/>
          <w:shd w:val="clear" w:color="auto" w:fill="E6E6E6"/>
          <w:lang w:val="en-AU"/>
        </w:rPr>
        <w:fldChar w:fldCharType="begin"/>
      </w:r>
      <w:r w:rsidRPr="004F6172">
        <w:rPr>
          <w:lang w:val="en-AU"/>
        </w:rPr>
        <w:instrText xml:space="preserve"> REF _Ref121910014 \h  \* MERGEFORMAT </w:instrText>
      </w:r>
      <w:r w:rsidRPr="004F6172">
        <w:rPr>
          <w:color w:val="2B579A"/>
          <w:shd w:val="clear" w:color="auto" w:fill="E6E6E6"/>
          <w:lang w:val="en-AU"/>
        </w:rPr>
      </w:r>
      <w:r w:rsidRPr="004F6172">
        <w:rPr>
          <w:color w:val="2B579A"/>
          <w:shd w:val="clear" w:color="auto" w:fill="E6E6E6"/>
          <w:lang w:val="en-AU"/>
        </w:rPr>
        <w:fldChar w:fldCharType="separate"/>
      </w:r>
      <w:r w:rsidR="009773EE" w:rsidRPr="004F6172">
        <w:rPr>
          <w:lang w:val="en-AU"/>
        </w:rPr>
        <w:t>Adverse effects (undesirable effects)</w:t>
      </w:r>
      <w:r w:rsidRPr="004F6172">
        <w:rPr>
          <w:color w:val="2B579A"/>
          <w:shd w:val="clear" w:color="auto" w:fill="E6E6E6"/>
          <w:lang w:val="en-AU"/>
        </w:rPr>
        <w:fldChar w:fldCharType="end"/>
      </w:r>
      <w:r w:rsidRPr="004F6172">
        <w:rPr>
          <w:lang w:val="en-AU"/>
        </w:rPr>
        <w:t>). Patients should be monitored for signs and symptoms of immune-mediated myocarditis and managed as recommended in section 4.2.</w:t>
      </w:r>
    </w:p>
    <w:p w14:paraId="74E619E6" w14:textId="77777777" w:rsidR="008D3D71" w:rsidRPr="004F6172" w:rsidRDefault="008D3D71" w:rsidP="003831C7">
      <w:pPr>
        <w:pStyle w:val="Heading4Unnumbered"/>
        <w:rPr>
          <w:lang w:val="en-AU"/>
        </w:rPr>
      </w:pPr>
      <w:r w:rsidRPr="004F6172">
        <w:rPr>
          <w:lang w:val="en-AU"/>
        </w:rPr>
        <w:lastRenderedPageBreak/>
        <w:t xml:space="preserve">Other </w:t>
      </w:r>
      <w:r w:rsidR="00934FF7" w:rsidRPr="004F6172">
        <w:rPr>
          <w:lang w:val="en-AU"/>
        </w:rPr>
        <w:t>i</w:t>
      </w:r>
      <w:r w:rsidRPr="004F6172">
        <w:rPr>
          <w:lang w:val="en-AU"/>
        </w:rPr>
        <w:t xml:space="preserve">mmune </w:t>
      </w:r>
      <w:r w:rsidR="00934FF7" w:rsidRPr="004F6172">
        <w:rPr>
          <w:lang w:val="en-AU"/>
        </w:rPr>
        <w:t>m</w:t>
      </w:r>
      <w:r w:rsidRPr="004F6172">
        <w:rPr>
          <w:lang w:val="en-AU"/>
        </w:rPr>
        <w:t xml:space="preserve">ediated </w:t>
      </w:r>
      <w:r w:rsidR="00934FF7" w:rsidRPr="004F6172">
        <w:rPr>
          <w:lang w:val="en-AU"/>
        </w:rPr>
        <w:t>a</w:t>
      </w:r>
      <w:r w:rsidRPr="004F6172">
        <w:rPr>
          <w:lang w:val="en-AU"/>
        </w:rPr>
        <w:t xml:space="preserve">dverse </w:t>
      </w:r>
      <w:r w:rsidR="00934FF7" w:rsidRPr="004F6172">
        <w:rPr>
          <w:lang w:val="en-AU"/>
        </w:rPr>
        <w:t>r</w:t>
      </w:r>
      <w:r w:rsidRPr="004F6172">
        <w:rPr>
          <w:lang w:val="en-AU"/>
        </w:rPr>
        <w:t>eactions</w:t>
      </w:r>
    </w:p>
    <w:p w14:paraId="3A7C83EB" w14:textId="1C0088EF" w:rsidR="009C6F0D" w:rsidRPr="004F6172" w:rsidRDefault="008D3D71" w:rsidP="004919B5">
      <w:pPr>
        <w:pStyle w:val="Paragraph"/>
        <w:rPr>
          <w:lang w:val="en-AU"/>
        </w:rPr>
      </w:pPr>
      <w:r w:rsidRPr="004F6172">
        <w:rPr>
          <w:lang w:val="en-AU"/>
        </w:rPr>
        <w:t>Given the mechanism of action of durvalumab, other immune-mediated adverse reactions may occur.</w:t>
      </w:r>
      <w:r w:rsidR="00420092" w:rsidRPr="004F6172">
        <w:rPr>
          <w:lang w:val="en-AU"/>
        </w:rPr>
        <w:t xml:space="preserve"> Other immune mediated adverse reactions are</w:t>
      </w:r>
      <w:r w:rsidR="00736EA6" w:rsidRPr="004F6172">
        <w:rPr>
          <w:lang w:val="en-AU"/>
        </w:rPr>
        <w:t>: aseptic meningitis, h</w:t>
      </w:r>
      <w:r w:rsidR="009C6F0D" w:rsidRPr="004F6172">
        <w:rPr>
          <w:lang w:val="en-AU"/>
        </w:rPr>
        <w:t>a</w:t>
      </w:r>
      <w:r w:rsidR="00736EA6" w:rsidRPr="004F6172">
        <w:rPr>
          <w:lang w:val="en-AU"/>
        </w:rPr>
        <w:t>emolytic an</w:t>
      </w:r>
      <w:r w:rsidR="009C6F0D" w:rsidRPr="004F6172">
        <w:rPr>
          <w:lang w:val="en-AU"/>
        </w:rPr>
        <w:t>a</w:t>
      </w:r>
      <w:r w:rsidR="00736EA6" w:rsidRPr="004F6172">
        <w:rPr>
          <w:lang w:val="en-AU"/>
        </w:rPr>
        <w:t>emia, immune</w:t>
      </w:r>
      <w:r w:rsidR="00AD77CE" w:rsidRPr="004F6172">
        <w:rPr>
          <w:lang w:val="en-AU"/>
        </w:rPr>
        <w:t xml:space="preserve"> thrombocytopenia</w:t>
      </w:r>
      <w:r w:rsidR="00736EA6" w:rsidRPr="004F6172">
        <w:rPr>
          <w:lang w:val="en-AU"/>
        </w:rPr>
        <w:t>,</w:t>
      </w:r>
      <w:r w:rsidR="007844FA" w:rsidRPr="004F6172">
        <w:rPr>
          <w:lang w:val="en-AU"/>
        </w:rPr>
        <w:t xml:space="preserve"> </w:t>
      </w:r>
      <w:r w:rsidR="00ED6569" w:rsidRPr="004F6172">
        <w:rPr>
          <w:lang w:val="en-AU"/>
        </w:rPr>
        <w:t xml:space="preserve">pancreatitis, encephalitis, </w:t>
      </w:r>
      <w:r w:rsidR="007844FA" w:rsidRPr="004F6172">
        <w:rPr>
          <w:lang w:val="en-AU"/>
        </w:rPr>
        <w:t>myasthenia gravis,</w:t>
      </w:r>
      <w:r w:rsidR="00736EA6" w:rsidRPr="004F6172">
        <w:rPr>
          <w:lang w:val="en-AU"/>
        </w:rPr>
        <w:t xml:space="preserve"> myositis,</w:t>
      </w:r>
      <w:r w:rsidR="00420092" w:rsidRPr="004F6172">
        <w:rPr>
          <w:lang w:val="en-AU"/>
        </w:rPr>
        <w:t xml:space="preserve"> polymyositis</w:t>
      </w:r>
      <w:r w:rsidR="00BB644C" w:rsidRPr="004F6172">
        <w:rPr>
          <w:lang w:val="en-AU"/>
        </w:rPr>
        <w:t>, Guillain-Barré syndrome</w:t>
      </w:r>
      <w:r w:rsidR="00736EA6" w:rsidRPr="004F6172">
        <w:rPr>
          <w:lang w:val="en-AU"/>
        </w:rPr>
        <w:t xml:space="preserve"> and ocular inflammatory toxicity, including uveitis and keratitis</w:t>
      </w:r>
      <w:r w:rsidR="00235FB8" w:rsidRPr="004F6172">
        <w:rPr>
          <w:lang w:val="en-AU"/>
        </w:rPr>
        <w:t xml:space="preserve">. </w:t>
      </w:r>
      <w:r w:rsidR="00776A09" w:rsidRPr="004F6172">
        <w:rPr>
          <w:lang w:val="en-AU"/>
        </w:rPr>
        <w:t xml:space="preserve"> Patients should be monitored for signs and symptoms of immune-mediated adverse reactions and managed as recommended in </w:t>
      </w:r>
      <w:r w:rsidR="00C8623B" w:rsidRPr="004F6172">
        <w:rPr>
          <w:color w:val="2B579A"/>
          <w:shd w:val="clear" w:color="auto" w:fill="E6E6E6"/>
          <w:lang w:val="en-AU"/>
        </w:rPr>
        <w:fldChar w:fldCharType="begin"/>
      </w:r>
      <w:r w:rsidR="00C8623B" w:rsidRPr="004F6172">
        <w:rPr>
          <w:lang w:val="en-AU"/>
        </w:rPr>
        <w:instrText xml:space="preserve"> REF _Ref57362210 \h </w:instrText>
      </w:r>
      <w:r w:rsidR="001A5413" w:rsidRPr="004F6172">
        <w:rPr>
          <w:lang w:val="en-AU"/>
        </w:rPr>
        <w:instrText xml:space="preserve"> \* MERGEFORMAT </w:instrText>
      </w:r>
      <w:r w:rsidR="00C8623B" w:rsidRPr="004F6172">
        <w:rPr>
          <w:color w:val="2B579A"/>
          <w:shd w:val="clear" w:color="auto" w:fill="E6E6E6"/>
          <w:lang w:val="en-AU"/>
        </w:rPr>
      </w:r>
      <w:r w:rsidR="00C8623B" w:rsidRPr="004F6172">
        <w:rPr>
          <w:color w:val="2B579A"/>
          <w:shd w:val="clear" w:color="auto" w:fill="E6E6E6"/>
          <w:lang w:val="en-AU"/>
        </w:rPr>
        <w:fldChar w:fldCharType="separate"/>
      </w:r>
      <w:r w:rsidR="009773EE" w:rsidRPr="004F6172">
        <w:rPr>
          <w:lang w:val="en-AU"/>
        </w:rPr>
        <w:t>Table 2</w:t>
      </w:r>
      <w:r w:rsidR="00C8623B" w:rsidRPr="004F6172">
        <w:rPr>
          <w:color w:val="2B579A"/>
          <w:shd w:val="clear" w:color="auto" w:fill="E6E6E6"/>
          <w:lang w:val="en-AU"/>
        </w:rPr>
        <w:fldChar w:fldCharType="end"/>
      </w:r>
      <w:r w:rsidR="00C352B4" w:rsidRPr="004F6172">
        <w:rPr>
          <w:lang w:val="en-AU"/>
        </w:rPr>
        <w:t xml:space="preserve"> </w:t>
      </w:r>
      <w:r w:rsidR="00776A09" w:rsidRPr="004F6172">
        <w:rPr>
          <w:lang w:val="en-AU"/>
        </w:rPr>
        <w:t xml:space="preserve">(see Section </w:t>
      </w:r>
      <w:r w:rsidR="00167CF9" w:rsidRPr="004F6172">
        <w:rPr>
          <w:color w:val="2B579A"/>
          <w:shd w:val="clear" w:color="auto" w:fill="E6E6E6"/>
          <w:lang w:val="en-AU"/>
        </w:rPr>
        <w:fldChar w:fldCharType="begin"/>
      </w:r>
      <w:r w:rsidR="00167CF9" w:rsidRPr="004F6172">
        <w:rPr>
          <w:lang w:val="en-AU"/>
        </w:rPr>
        <w:instrText xml:space="preserve"> REF _Hlk508791964 \r \h </w:instrText>
      </w:r>
      <w:r w:rsidR="001A5413" w:rsidRPr="004F6172">
        <w:rPr>
          <w:lang w:val="en-AU"/>
        </w:rPr>
        <w:instrText xml:space="preserve"> \* MERGEFORMAT </w:instrText>
      </w:r>
      <w:r w:rsidR="00167CF9" w:rsidRPr="004F6172">
        <w:rPr>
          <w:color w:val="2B579A"/>
          <w:shd w:val="clear" w:color="auto" w:fill="E6E6E6"/>
          <w:lang w:val="en-AU"/>
        </w:rPr>
      </w:r>
      <w:r w:rsidR="00167CF9" w:rsidRPr="004F6172">
        <w:rPr>
          <w:color w:val="2B579A"/>
          <w:shd w:val="clear" w:color="auto" w:fill="E6E6E6"/>
          <w:lang w:val="en-AU"/>
        </w:rPr>
        <w:fldChar w:fldCharType="separate"/>
      </w:r>
      <w:r w:rsidR="009773EE" w:rsidRPr="004F6172">
        <w:rPr>
          <w:lang w:val="en-AU"/>
        </w:rPr>
        <w:t>4.2</w:t>
      </w:r>
      <w:r w:rsidR="00167CF9" w:rsidRPr="004F6172">
        <w:rPr>
          <w:color w:val="2B579A"/>
          <w:shd w:val="clear" w:color="auto" w:fill="E6E6E6"/>
          <w:lang w:val="en-AU"/>
        </w:rPr>
        <w:fldChar w:fldCharType="end"/>
      </w:r>
      <w:r w:rsidR="00167CF9" w:rsidRPr="004F6172">
        <w:rPr>
          <w:lang w:val="en-AU"/>
        </w:rPr>
        <w:t xml:space="preserve"> </w:t>
      </w:r>
      <w:r w:rsidR="00167CF9" w:rsidRPr="004F6172">
        <w:rPr>
          <w:color w:val="2B579A"/>
          <w:shd w:val="clear" w:color="auto" w:fill="E6E6E6"/>
          <w:lang w:val="en-AU"/>
        </w:rPr>
        <w:fldChar w:fldCharType="begin"/>
      </w:r>
      <w:r w:rsidR="00167CF9" w:rsidRPr="004F6172">
        <w:rPr>
          <w:lang w:val="en-AU"/>
        </w:rPr>
        <w:instrText xml:space="preserve"> REF _Hlk508791964 \h </w:instrText>
      </w:r>
      <w:r w:rsidR="001A5413" w:rsidRPr="004F6172">
        <w:rPr>
          <w:lang w:val="en-AU"/>
        </w:rPr>
        <w:instrText xml:space="preserve"> \* MERGEFORMAT </w:instrText>
      </w:r>
      <w:r w:rsidR="00167CF9" w:rsidRPr="004F6172">
        <w:rPr>
          <w:color w:val="2B579A"/>
          <w:shd w:val="clear" w:color="auto" w:fill="E6E6E6"/>
          <w:lang w:val="en-AU"/>
        </w:rPr>
      </w:r>
      <w:r w:rsidR="00167CF9" w:rsidRPr="004F6172">
        <w:rPr>
          <w:color w:val="2B579A"/>
          <w:shd w:val="clear" w:color="auto" w:fill="E6E6E6"/>
          <w:lang w:val="en-AU"/>
        </w:rPr>
        <w:fldChar w:fldCharType="separate"/>
      </w:r>
      <w:r w:rsidR="009773EE" w:rsidRPr="004F6172">
        <w:rPr>
          <w:lang w:val="en-AU"/>
        </w:rPr>
        <w:t>Dose and method of administration</w:t>
      </w:r>
      <w:r w:rsidR="00167CF9" w:rsidRPr="004F6172">
        <w:rPr>
          <w:color w:val="2B579A"/>
          <w:shd w:val="clear" w:color="auto" w:fill="E6E6E6"/>
          <w:lang w:val="en-AU"/>
        </w:rPr>
        <w:fldChar w:fldCharType="end"/>
      </w:r>
      <w:r w:rsidR="00776A09" w:rsidRPr="004F6172">
        <w:rPr>
          <w:lang w:val="en-AU"/>
        </w:rPr>
        <w:t>).</w:t>
      </w:r>
      <w:r w:rsidR="009E7BE3" w:rsidRPr="004F6172">
        <w:rPr>
          <w:lang w:val="en-AU"/>
        </w:rPr>
        <w:t xml:space="preserve"> </w:t>
      </w:r>
    </w:p>
    <w:p w14:paraId="1A38C177" w14:textId="6A6CA0D1" w:rsidR="00D7695C" w:rsidRPr="004F6172" w:rsidRDefault="00D7695C" w:rsidP="00D7695C">
      <w:pPr>
        <w:pStyle w:val="Paragraph"/>
        <w:rPr>
          <w:lang w:val="en-AU"/>
        </w:rPr>
      </w:pPr>
      <w:r w:rsidRPr="004F6172">
        <w:rPr>
          <w:lang w:val="en-AU"/>
        </w:rPr>
        <w:t xml:space="preserve">Also see Section </w:t>
      </w:r>
      <w:r w:rsidR="0006039B" w:rsidRPr="004F6172">
        <w:rPr>
          <w:color w:val="2B579A"/>
          <w:shd w:val="clear" w:color="auto" w:fill="E6E6E6"/>
          <w:lang w:val="en-AU"/>
        </w:rPr>
        <w:fldChar w:fldCharType="begin"/>
      </w:r>
      <w:r w:rsidR="0006039B" w:rsidRPr="004F6172">
        <w:rPr>
          <w:lang w:val="en-AU"/>
        </w:rPr>
        <w:instrText xml:space="preserve"> REF _Ref121910014 \r \h  \* MERGEFORMAT </w:instrText>
      </w:r>
      <w:r w:rsidR="0006039B" w:rsidRPr="004F6172">
        <w:rPr>
          <w:color w:val="2B579A"/>
          <w:shd w:val="clear" w:color="auto" w:fill="E6E6E6"/>
          <w:lang w:val="en-AU"/>
        </w:rPr>
      </w:r>
      <w:r w:rsidR="0006039B" w:rsidRPr="004F6172">
        <w:rPr>
          <w:color w:val="2B579A"/>
          <w:shd w:val="clear" w:color="auto" w:fill="E6E6E6"/>
          <w:lang w:val="en-AU"/>
        </w:rPr>
        <w:fldChar w:fldCharType="separate"/>
      </w:r>
      <w:r w:rsidR="009773EE" w:rsidRPr="004F6172">
        <w:rPr>
          <w:lang w:val="en-AU"/>
        </w:rPr>
        <w:t>4.8</w:t>
      </w:r>
      <w:r w:rsidR="0006039B" w:rsidRPr="004F6172">
        <w:rPr>
          <w:color w:val="2B579A"/>
          <w:shd w:val="clear" w:color="auto" w:fill="E6E6E6"/>
          <w:lang w:val="en-AU"/>
        </w:rPr>
        <w:fldChar w:fldCharType="end"/>
      </w:r>
      <w:r w:rsidR="0006039B" w:rsidRPr="004F6172">
        <w:rPr>
          <w:lang w:val="en-AU"/>
        </w:rPr>
        <w:t xml:space="preserve"> </w:t>
      </w:r>
      <w:r w:rsidR="0006039B" w:rsidRPr="004F6172">
        <w:rPr>
          <w:color w:val="2B579A"/>
          <w:shd w:val="clear" w:color="auto" w:fill="E6E6E6"/>
          <w:lang w:val="en-AU"/>
        </w:rPr>
        <w:fldChar w:fldCharType="begin"/>
      </w:r>
      <w:r w:rsidR="0006039B" w:rsidRPr="004F6172">
        <w:rPr>
          <w:lang w:val="en-AU"/>
        </w:rPr>
        <w:instrText xml:space="preserve"> REF _Ref121910014 \h  \* MERGEFORMAT </w:instrText>
      </w:r>
      <w:r w:rsidR="0006039B" w:rsidRPr="004F6172">
        <w:rPr>
          <w:color w:val="2B579A"/>
          <w:shd w:val="clear" w:color="auto" w:fill="E6E6E6"/>
          <w:lang w:val="en-AU"/>
        </w:rPr>
      </w:r>
      <w:r w:rsidR="0006039B" w:rsidRPr="004F6172">
        <w:rPr>
          <w:color w:val="2B579A"/>
          <w:shd w:val="clear" w:color="auto" w:fill="E6E6E6"/>
          <w:lang w:val="en-AU"/>
        </w:rPr>
        <w:fldChar w:fldCharType="separate"/>
      </w:r>
      <w:r w:rsidR="009773EE" w:rsidRPr="004F6172">
        <w:rPr>
          <w:lang w:val="en-AU"/>
        </w:rPr>
        <w:t>Adverse effects (undesirable effects)</w:t>
      </w:r>
      <w:r w:rsidR="0006039B" w:rsidRPr="004F6172">
        <w:rPr>
          <w:color w:val="2B579A"/>
          <w:shd w:val="clear" w:color="auto" w:fill="E6E6E6"/>
          <w:lang w:val="en-AU"/>
        </w:rPr>
        <w:fldChar w:fldCharType="end"/>
      </w:r>
      <w:r w:rsidRPr="004F6172">
        <w:rPr>
          <w:lang w:val="en-AU"/>
        </w:rPr>
        <w:t>, immune-mediated neurological adverse events in ongoing and completed trials.</w:t>
      </w:r>
    </w:p>
    <w:p w14:paraId="55DD8F7C" w14:textId="77777777" w:rsidR="008D3D71" w:rsidRPr="004F6172" w:rsidRDefault="008D3D71" w:rsidP="008D3D71">
      <w:pPr>
        <w:pStyle w:val="Heading3Unnumbered"/>
        <w:rPr>
          <w:lang w:val="en-AU"/>
        </w:rPr>
      </w:pPr>
      <w:r w:rsidRPr="004F6172">
        <w:rPr>
          <w:lang w:val="en-AU"/>
        </w:rPr>
        <w:t>Infusion</w:t>
      </w:r>
      <w:r w:rsidR="009C6F0D" w:rsidRPr="004F6172">
        <w:rPr>
          <w:lang w:val="en-AU"/>
        </w:rPr>
        <w:t>-r</w:t>
      </w:r>
      <w:r w:rsidRPr="004F6172">
        <w:rPr>
          <w:lang w:val="en-AU"/>
        </w:rPr>
        <w:t xml:space="preserve">elated </w:t>
      </w:r>
      <w:r w:rsidR="009C6F0D" w:rsidRPr="004F6172">
        <w:rPr>
          <w:lang w:val="en-AU"/>
        </w:rPr>
        <w:t>r</w:t>
      </w:r>
      <w:r w:rsidRPr="004F6172">
        <w:rPr>
          <w:lang w:val="en-AU"/>
        </w:rPr>
        <w:t>eactions</w:t>
      </w:r>
    </w:p>
    <w:p w14:paraId="2FD65BF8" w14:textId="671824C7" w:rsidR="009360A6" w:rsidRPr="008B029F" w:rsidRDefault="008D3D71" w:rsidP="00F9380D">
      <w:pPr>
        <w:pStyle w:val="Paragraph"/>
        <w:rPr>
          <w:lang w:val="en-AU"/>
        </w:rPr>
      </w:pPr>
      <w:r w:rsidRPr="004F6172">
        <w:rPr>
          <w:lang w:val="en-AU"/>
        </w:rPr>
        <w:t>Patients should be monitored for signs and symptoms of infusion</w:t>
      </w:r>
      <w:r w:rsidR="009C6F0D" w:rsidRPr="004F6172">
        <w:rPr>
          <w:lang w:val="en-AU"/>
        </w:rPr>
        <w:t>-</w:t>
      </w:r>
      <w:r w:rsidRPr="004F6172">
        <w:rPr>
          <w:lang w:val="en-AU"/>
        </w:rPr>
        <w:t>related reactions</w:t>
      </w:r>
      <w:r w:rsidR="00090056" w:rsidRPr="004F6172">
        <w:rPr>
          <w:lang w:val="en-AU"/>
        </w:rPr>
        <w:t xml:space="preserve"> and managed as recommended in</w:t>
      </w:r>
      <w:r w:rsidR="00090056" w:rsidRPr="004F6172">
        <w:rPr>
          <w:i/>
          <w:lang w:val="en-AU"/>
        </w:rPr>
        <w:t xml:space="preserve"> </w:t>
      </w:r>
      <w:r w:rsidR="00C8623B" w:rsidRPr="004F6172">
        <w:rPr>
          <w:color w:val="2B579A"/>
          <w:shd w:val="clear" w:color="auto" w:fill="E6E6E6"/>
          <w:lang w:val="en-AU"/>
        </w:rPr>
        <w:fldChar w:fldCharType="begin"/>
      </w:r>
      <w:r w:rsidR="00C8623B" w:rsidRPr="004F6172">
        <w:rPr>
          <w:i/>
          <w:lang w:val="en-AU"/>
        </w:rPr>
        <w:instrText xml:space="preserve"> REF _Ref57362210 \h </w:instrText>
      </w:r>
      <w:r w:rsidR="001A5413" w:rsidRPr="004F6172">
        <w:rPr>
          <w:lang w:val="en-AU"/>
        </w:rPr>
        <w:instrText xml:space="preserve"> \* MERGEFORMAT </w:instrText>
      </w:r>
      <w:r w:rsidR="00C8623B" w:rsidRPr="004F6172">
        <w:rPr>
          <w:color w:val="2B579A"/>
          <w:shd w:val="clear" w:color="auto" w:fill="E6E6E6"/>
          <w:lang w:val="en-AU"/>
        </w:rPr>
      </w:r>
      <w:r w:rsidR="00C8623B" w:rsidRPr="004F6172">
        <w:rPr>
          <w:color w:val="2B579A"/>
          <w:shd w:val="clear" w:color="auto" w:fill="E6E6E6"/>
          <w:lang w:val="en-AU"/>
        </w:rPr>
        <w:fldChar w:fldCharType="separate"/>
      </w:r>
      <w:r w:rsidR="009773EE" w:rsidRPr="004F6172">
        <w:rPr>
          <w:lang w:val="en-AU"/>
        </w:rPr>
        <w:t>Table 2</w:t>
      </w:r>
      <w:r w:rsidR="00C8623B" w:rsidRPr="004F6172">
        <w:rPr>
          <w:color w:val="2B579A"/>
          <w:shd w:val="clear" w:color="auto" w:fill="E6E6E6"/>
          <w:lang w:val="en-AU"/>
        </w:rPr>
        <w:fldChar w:fldCharType="end"/>
      </w:r>
      <w:r w:rsidR="00C8623B" w:rsidRPr="004F6172">
        <w:rPr>
          <w:lang w:val="en-AU"/>
        </w:rPr>
        <w:t xml:space="preserve"> </w:t>
      </w:r>
      <w:r w:rsidR="00090056" w:rsidRPr="004F6172">
        <w:rPr>
          <w:lang w:val="en-AU"/>
        </w:rPr>
        <w:t xml:space="preserve">(see Section </w:t>
      </w:r>
      <w:r w:rsidR="0006039B" w:rsidRPr="004F6172">
        <w:rPr>
          <w:color w:val="2B579A"/>
          <w:shd w:val="clear" w:color="auto" w:fill="E6E6E6"/>
          <w:lang w:val="en-AU"/>
        </w:rPr>
        <w:fldChar w:fldCharType="begin"/>
      </w:r>
      <w:r w:rsidR="0006039B" w:rsidRPr="004F6172">
        <w:rPr>
          <w:lang w:val="en-AU"/>
        </w:rPr>
        <w:instrText xml:space="preserve"> REF _Hlk508791964 \r \h </w:instrText>
      </w:r>
      <w:r w:rsidR="001A5413" w:rsidRPr="004F6172">
        <w:rPr>
          <w:lang w:val="en-AU"/>
        </w:rPr>
        <w:instrText xml:space="preserve"> \* MERGEFORMAT </w:instrText>
      </w:r>
      <w:r w:rsidR="0006039B" w:rsidRPr="004F6172">
        <w:rPr>
          <w:color w:val="2B579A"/>
          <w:shd w:val="clear" w:color="auto" w:fill="E6E6E6"/>
          <w:lang w:val="en-AU"/>
        </w:rPr>
      </w:r>
      <w:r w:rsidR="0006039B" w:rsidRPr="004F6172">
        <w:rPr>
          <w:color w:val="2B579A"/>
          <w:shd w:val="clear" w:color="auto" w:fill="E6E6E6"/>
          <w:lang w:val="en-AU"/>
        </w:rPr>
        <w:fldChar w:fldCharType="separate"/>
      </w:r>
      <w:r w:rsidR="009773EE" w:rsidRPr="004F6172">
        <w:rPr>
          <w:lang w:val="en-AU"/>
        </w:rPr>
        <w:t>4.2</w:t>
      </w:r>
      <w:r w:rsidR="0006039B" w:rsidRPr="004F6172">
        <w:rPr>
          <w:color w:val="2B579A"/>
          <w:shd w:val="clear" w:color="auto" w:fill="E6E6E6"/>
          <w:lang w:val="en-AU"/>
        </w:rPr>
        <w:fldChar w:fldCharType="end"/>
      </w:r>
      <w:r w:rsidR="0006039B" w:rsidRPr="004F6172">
        <w:rPr>
          <w:lang w:val="en-AU"/>
        </w:rPr>
        <w:t xml:space="preserve"> </w:t>
      </w:r>
      <w:r w:rsidR="0006039B" w:rsidRPr="004F6172">
        <w:rPr>
          <w:color w:val="2B579A"/>
          <w:shd w:val="clear" w:color="auto" w:fill="E6E6E6"/>
          <w:lang w:val="en-AU"/>
        </w:rPr>
        <w:fldChar w:fldCharType="begin"/>
      </w:r>
      <w:r w:rsidR="0006039B" w:rsidRPr="004F6172">
        <w:rPr>
          <w:lang w:val="en-AU"/>
        </w:rPr>
        <w:instrText xml:space="preserve"> REF _Hlk508791964 \h </w:instrText>
      </w:r>
      <w:r w:rsidR="001A5413" w:rsidRPr="004F6172">
        <w:rPr>
          <w:lang w:val="en-AU"/>
        </w:rPr>
        <w:instrText xml:space="preserve"> \* MERGEFORMAT </w:instrText>
      </w:r>
      <w:r w:rsidR="0006039B" w:rsidRPr="004F6172">
        <w:rPr>
          <w:color w:val="2B579A"/>
          <w:shd w:val="clear" w:color="auto" w:fill="E6E6E6"/>
          <w:lang w:val="en-AU"/>
        </w:rPr>
      </w:r>
      <w:r w:rsidR="0006039B" w:rsidRPr="004F6172">
        <w:rPr>
          <w:color w:val="2B579A"/>
          <w:shd w:val="clear" w:color="auto" w:fill="E6E6E6"/>
          <w:lang w:val="en-AU"/>
        </w:rPr>
        <w:fldChar w:fldCharType="separate"/>
      </w:r>
      <w:r w:rsidR="009773EE" w:rsidRPr="004F6172">
        <w:rPr>
          <w:lang w:val="en-AU"/>
        </w:rPr>
        <w:t>Dose and method of administration</w:t>
      </w:r>
      <w:r w:rsidR="0006039B" w:rsidRPr="004F6172">
        <w:rPr>
          <w:color w:val="2B579A"/>
          <w:shd w:val="clear" w:color="auto" w:fill="E6E6E6"/>
          <w:lang w:val="en-AU"/>
        </w:rPr>
        <w:fldChar w:fldCharType="end"/>
      </w:r>
      <w:r w:rsidR="00090056" w:rsidRPr="004F6172">
        <w:rPr>
          <w:lang w:val="en-AU"/>
        </w:rPr>
        <w:t>)</w:t>
      </w:r>
      <w:r w:rsidRPr="004F6172">
        <w:rPr>
          <w:lang w:val="en-AU"/>
        </w:rPr>
        <w:t>. Severe infusion</w:t>
      </w:r>
      <w:r w:rsidRPr="008B029F">
        <w:rPr>
          <w:lang w:val="en-AU"/>
        </w:rPr>
        <w:t xml:space="preserve"> related reactions have been reported in patients receiving durvalumab (see </w:t>
      </w:r>
      <w:bookmarkStart w:id="11" w:name="_Hlk508792157"/>
      <w:r w:rsidR="00166B52" w:rsidRPr="008B029F">
        <w:rPr>
          <w:lang w:val="en-AU"/>
        </w:rPr>
        <w:t xml:space="preserve">Section </w:t>
      </w:r>
      <w:r w:rsidR="0006039B" w:rsidRPr="008B029F">
        <w:rPr>
          <w:color w:val="2B579A"/>
          <w:shd w:val="clear" w:color="auto" w:fill="E6E6E6"/>
          <w:lang w:val="en-AU"/>
        </w:rPr>
        <w:fldChar w:fldCharType="begin"/>
      </w:r>
      <w:r w:rsidR="0006039B" w:rsidRPr="008B029F">
        <w:rPr>
          <w:lang w:val="en-AU"/>
        </w:rPr>
        <w:instrText xml:space="preserve"> REF _Ref121910014 \r \h  \* MERGEFORMAT </w:instrText>
      </w:r>
      <w:r w:rsidR="0006039B" w:rsidRPr="008B029F">
        <w:rPr>
          <w:color w:val="2B579A"/>
          <w:shd w:val="clear" w:color="auto" w:fill="E6E6E6"/>
          <w:lang w:val="en-AU"/>
        </w:rPr>
      </w:r>
      <w:r w:rsidR="0006039B" w:rsidRPr="008B029F">
        <w:rPr>
          <w:color w:val="2B579A"/>
          <w:shd w:val="clear" w:color="auto" w:fill="E6E6E6"/>
          <w:lang w:val="en-AU"/>
        </w:rPr>
        <w:fldChar w:fldCharType="separate"/>
      </w:r>
      <w:r w:rsidR="009773EE" w:rsidRPr="008B029F">
        <w:rPr>
          <w:lang w:val="en-AU"/>
        </w:rPr>
        <w:t>4.8</w:t>
      </w:r>
      <w:r w:rsidR="0006039B" w:rsidRPr="008B029F">
        <w:rPr>
          <w:color w:val="2B579A"/>
          <w:shd w:val="clear" w:color="auto" w:fill="E6E6E6"/>
          <w:lang w:val="en-AU"/>
        </w:rPr>
        <w:fldChar w:fldCharType="end"/>
      </w:r>
      <w:r w:rsidR="0006039B" w:rsidRPr="008B029F">
        <w:rPr>
          <w:lang w:val="en-AU"/>
        </w:rPr>
        <w:t xml:space="preserve"> </w:t>
      </w:r>
      <w:r w:rsidR="0006039B" w:rsidRPr="008B029F">
        <w:rPr>
          <w:color w:val="2B579A"/>
          <w:shd w:val="clear" w:color="auto" w:fill="E6E6E6"/>
          <w:lang w:val="en-AU"/>
        </w:rPr>
        <w:fldChar w:fldCharType="begin"/>
      </w:r>
      <w:r w:rsidR="0006039B" w:rsidRPr="008B029F">
        <w:rPr>
          <w:lang w:val="en-AU"/>
        </w:rPr>
        <w:instrText xml:space="preserve"> REF _Ref121910014 \h  \* MERGEFORMAT </w:instrText>
      </w:r>
      <w:r w:rsidR="0006039B" w:rsidRPr="008B029F">
        <w:rPr>
          <w:color w:val="2B579A"/>
          <w:shd w:val="clear" w:color="auto" w:fill="E6E6E6"/>
          <w:lang w:val="en-AU"/>
        </w:rPr>
      </w:r>
      <w:r w:rsidR="0006039B" w:rsidRPr="008B029F">
        <w:rPr>
          <w:color w:val="2B579A"/>
          <w:shd w:val="clear" w:color="auto" w:fill="E6E6E6"/>
          <w:lang w:val="en-AU"/>
        </w:rPr>
        <w:fldChar w:fldCharType="separate"/>
      </w:r>
      <w:r w:rsidR="009773EE" w:rsidRPr="008B029F">
        <w:rPr>
          <w:lang w:val="en-AU"/>
        </w:rPr>
        <w:t>Adverse effects (undesirable effects)</w:t>
      </w:r>
      <w:r w:rsidR="0006039B" w:rsidRPr="008B029F">
        <w:rPr>
          <w:color w:val="2B579A"/>
          <w:shd w:val="clear" w:color="auto" w:fill="E6E6E6"/>
          <w:lang w:val="en-AU"/>
        </w:rPr>
        <w:fldChar w:fldCharType="end"/>
      </w:r>
      <w:bookmarkEnd w:id="11"/>
      <w:r w:rsidRPr="008B029F">
        <w:rPr>
          <w:lang w:val="en-AU"/>
        </w:rPr>
        <w:t>).</w:t>
      </w:r>
    </w:p>
    <w:p w14:paraId="4D92FD5A" w14:textId="77777777" w:rsidR="007F31FF" w:rsidRPr="008B029F" w:rsidRDefault="007F31FF" w:rsidP="007F31FF">
      <w:pPr>
        <w:pStyle w:val="Heading3Unnumbered"/>
        <w:rPr>
          <w:lang w:val="en-AU"/>
        </w:rPr>
      </w:pPr>
      <w:r w:rsidRPr="008B029F">
        <w:rPr>
          <w:lang w:val="en-AU"/>
        </w:rPr>
        <w:t>Efficacy in patients with PD-L1 expression &lt;1%</w:t>
      </w:r>
    </w:p>
    <w:p w14:paraId="1B0E51BF" w14:textId="72F2D8B3" w:rsidR="007F31FF" w:rsidRPr="008B029F" w:rsidRDefault="00407E75" w:rsidP="007F31FF">
      <w:pPr>
        <w:pStyle w:val="Paragraph"/>
        <w:rPr>
          <w:lang w:val="en-AU"/>
        </w:rPr>
      </w:pPr>
      <w:r w:rsidRPr="008B029F">
        <w:rPr>
          <w:lang w:val="en-AU"/>
        </w:rPr>
        <w:t>P</w:t>
      </w:r>
      <w:r w:rsidR="007F31FF" w:rsidRPr="008B029F">
        <w:rPr>
          <w:lang w:val="en-AU"/>
        </w:rPr>
        <w:t xml:space="preserve">ost-hoc </w:t>
      </w:r>
      <w:r w:rsidRPr="008B029F">
        <w:rPr>
          <w:lang w:val="en-AU"/>
        </w:rPr>
        <w:t>analyses</w:t>
      </w:r>
      <w:r w:rsidR="00D15D1C" w:rsidRPr="008B029F">
        <w:rPr>
          <w:lang w:val="en-AU"/>
        </w:rPr>
        <w:t xml:space="preserve"> for locally advanced NSCLC</w:t>
      </w:r>
      <w:r w:rsidRPr="008B029F">
        <w:rPr>
          <w:lang w:val="en-AU"/>
        </w:rPr>
        <w:t xml:space="preserve"> suggest </w:t>
      </w:r>
      <w:r w:rsidR="00741B80" w:rsidRPr="008B029F">
        <w:rPr>
          <w:lang w:val="en-AU"/>
        </w:rPr>
        <w:t xml:space="preserve">efficacy </w:t>
      </w:r>
      <w:r w:rsidR="00014E1B" w:rsidRPr="008B029F">
        <w:rPr>
          <w:lang w:val="en-AU"/>
        </w:rPr>
        <w:t>may</w:t>
      </w:r>
      <w:r w:rsidR="00741B80" w:rsidRPr="008B029F">
        <w:rPr>
          <w:lang w:val="en-AU"/>
        </w:rPr>
        <w:t xml:space="preserve"> be </w:t>
      </w:r>
      <w:r w:rsidR="00CA0100" w:rsidRPr="008B029F">
        <w:rPr>
          <w:lang w:val="en-AU"/>
        </w:rPr>
        <w:t xml:space="preserve">different </w:t>
      </w:r>
      <w:r w:rsidR="00CE7BF0" w:rsidRPr="008B029F">
        <w:rPr>
          <w:lang w:val="en-AU"/>
        </w:rPr>
        <w:t xml:space="preserve">for patients with </w:t>
      </w:r>
      <w:r w:rsidRPr="008B029F">
        <w:rPr>
          <w:lang w:val="en-AU"/>
        </w:rPr>
        <w:t>PD-L1</w:t>
      </w:r>
      <w:r w:rsidR="00CE7BF0" w:rsidRPr="008B029F">
        <w:rPr>
          <w:lang w:val="en-AU"/>
        </w:rPr>
        <w:t> &lt;1%</w:t>
      </w:r>
      <w:r w:rsidR="007F31FF" w:rsidRPr="008B029F">
        <w:rPr>
          <w:lang w:val="en-AU"/>
        </w:rPr>
        <w:t xml:space="preserve">. Before initiating treatment, physicians are advised to carefully evaluate the individual patient and tumour characteristics, taking into consideration the observed benefits and the side effects of durvalumab (see </w:t>
      </w:r>
      <w:r w:rsidR="0006039B" w:rsidRPr="008B029F">
        <w:rPr>
          <w:lang w:val="en-AU"/>
        </w:rPr>
        <w:t>S</w:t>
      </w:r>
      <w:r w:rsidR="007F31FF" w:rsidRPr="008B029F">
        <w:rPr>
          <w:lang w:val="en-AU"/>
        </w:rPr>
        <w:t xml:space="preserve">ection </w:t>
      </w:r>
      <w:r w:rsidR="0006039B" w:rsidRPr="008B029F">
        <w:rPr>
          <w:color w:val="2B579A"/>
          <w:shd w:val="clear" w:color="auto" w:fill="E6E6E6"/>
          <w:lang w:val="en-AU"/>
        </w:rPr>
        <w:fldChar w:fldCharType="begin"/>
      </w:r>
      <w:r w:rsidR="0006039B" w:rsidRPr="008B029F">
        <w:rPr>
          <w:lang w:val="en-AU"/>
        </w:rPr>
        <w:instrText xml:space="preserve"> REF _Ref121909874 \r \h </w:instrText>
      </w:r>
      <w:r w:rsidR="001A5413" w:rsidRPr="008B029F">
        <w:rPr>
          <w:lang w:val="en-AU"/>
        </w:rPr>
        <w:instrText xml:space="preserve"> \* MERGEFORMAT </w:instrText>
      </w:r>
      <w:r w:rsidR="0006039B" w:rsidRPr="008B029F">
        <w:rPr>
          <w:color w:val="2B579A"/>
          <w:shd w:val="clear" w:color="auto" w:fill="E6E6E6"/>
          <w:lang w:val="en-AU"/>
        </w:rPr>
      </w:r>
      <w:r w:rsidR="0006039B" w:rsidRPr="008B029F">
        <w:rPr>
          <w:color w:val="2B579A"/>
          <w:shd w:val="clear" w:color="auto" w:fill="E6E6E6"/>
          <w:lang w:val="en-AU"/>
        </w:rPr>
        <w:fldChar w:fldCharType="separate"/>
      </w:r>
      <w:r w:rsidR="009773EE" w:rsidRPr="008B029F">
        <w:rPr>
          <w:lang w:val="en-AU"/>
        </w:rPr>
        <w:t>5.1</w:t>
      </w:r>
      <w:r w:rsidR="0006039B" w:rsidRPr="008B029F">
        <w:rPr>
          <w:color w:val="2B579A"/>
          <w:shd w:val="clear" w:color="auto" w:fill="E6E6E6"/>
          <w:lang w:val="en-AU"/>
        </w:rPr>
        <w:fldChar w:fldCharType="end"/>
      </w:r>
      <w:r w:rsidR="0006039B" w:rsidRPr="008B029F">
        <w:rPr>
          <w:lang w:val="en-AU"/>
        </w:rPr>
        <w:t xml:space="preserve"> </w:t>
      </w:r>
      <w:r w:rsidR="0006039B" w:rsidRPr="008B029F">
        <w:rPr>
          <w:color w:val="2B579A"/>
          <w:shd w:val="clear" w:color="auto" w:fill="E6E6E6"/>
          <w:lang w:val="en-AU"/>
        </w:rPr>
        <w:fldChar w:fldCharType="begin"/>
      </w:r>
      <w:r w:rsidR="0006039B" w:rsidRPr="008B029F">
        <w:rPr>
          <w:lang w:val="en-AU"/>
        </w:rPr>
        <w:instrText xml:space="preserve"> REF _Ref121909874 \h </w:instrText>
      </w:r>
      <w:r w:rsidR="001A5413" w:rsidRPr="008B029F">
        <w:rPr>
          <w:lang w:val="en-AU"/>
        </w:rPr>
        <w:instrText xml:space="preserve"> \* MERGEFORMAT </w:instrText>
      </w:r>
      <w:r w:rsidR="0006039B" w:rsidRPr="008B029F">
        <w:rPr>
          <w:color w:val="2B579A"/>
          <w:shd w:val="clear" w:color="auto" w:fill="E6E6E6"/>
          <w:lang w:val="en-AU"/>
        </w:rPr>
      </w:r>
      <w:r w:rsidR="0006039B" w:rsidRPr="008B029F">
        <w:rPr>
          <w:color w:val="2B579A"/>
          <w:shd w:val="clear" w:color="auto" w:fill="E6E6E6"/>
          <w:lang w:val="en-AU"/>
        </w:rPr>
        <w:fldChar w:fldCharType="separate"/>
      </w:r>
      <w:r w:rsidR="009773EE" w:rsidRPr="008B029F">
        <w:rPr>
          <w:lang w:val="en-AU"/>
        </w:rPr>
        <w:t>Pharmacodynamic properties</w:t>
      </w:r>
      <w:r w:rsidR="0006039B" w:rsidRPr="008B029F">
        <w:rPr>
          <w:color w:val="2B579A"/>
          <w:shd w:val="clear" w:color="auto" w:fill="E6E6E6"/>
          <w:lang w:val="en-AU"/>
        </w:rPr>
        <w:fldChar w:fldCharType="end"/>
      </w:r>
      <w:r w:rsidR="001A5413" w:rsidRPr="008B029F">
        <w:rPr>
          <w:lang w:val="en-AU"/>
        </w:rPr>
        <w:t xml:space="preserve"> - P</w:t>
      </w:r>
      <w:r w:rsidR="00D15D1C" w:rsidRPr="008B029F">
        <w:rPr>
          <w:lang w:val="en-AU"/>
        </w:rPr>
        <w:t>ACIFIC study</w:t>
      </w:r>
      <w:r w:rsidR="007F31FF" w:rsidRPr="008B029F">
        <w:rPr>
          <w:lang w:val="en-AU"/>
        </w:rPr>
        <w:t>).</w:t>
      </w:r>
    </w:p>
    <w:p w14:paraId="0F62BD05" w14:textId="77777777" w:rsidR="001A3992" w:rsidRPr="008B029F" w:rsidRDefault="001A3992" w:rsidP="00D347D7">
      <w:pPr>
        <w:pStyle w:val="Heading3Unnumbered"/>
        <w:rPr>
          <w:lang w:val="en-AU"/>
        </w:rPr>
      </w:pPr>
      <w:r w:rsidRPr="008B029F">
        <w:rPr>
          <w:lang w:val="en-AU"/>
        </w:rPr>
        <w:t>Use in the elderly</w:t>
      </w:r>
    </w:p>
    <w:p w14:paraId="6A72A28C" w14:textId="2917357A" w:rsidR="00F7547F" w:rsidRPr="008B029F" w:rsidRDefault="00F7547F" w:rsidP="0020620A">
      <w:pPr>
        <w:pStyle w:val="Paragraph"/>
        <w:rPr>
          <w:lang w:val="en-AU"/>
        </w:rPr>
      </w:pPr>
      <w:r w:rsidRPr="008B029F">
        <w:rPr>
          <w:lang w:val="en-AU"/>
        </w:rPr>
        <w:t>No overall differences in safety were observed between patients</w:t>
      </w:r>
      <w:r w:rsidR="004B3D59" w:rsidRPr="008B029F">
        <w:rPr>
          <w:lang w:val="en-AU"/>
        </w:rPr>
        <w:t xml:space="preserve"> treated with IMFINZI</w:t>
      </w:r>
      <w:r w:rsidRPr="008B029F">
        <w:rPr>
          <w:lang w:val="en-AU"/>
        </w:rPr>
        <w:t xml:space="preserve"> who were ≥</w:t>
      </w:r>
      <w:r w:rsidR="0006039B" w:rsidRPr="008B029F">
        <w:rPr>
          <w:lang w:val="en-AU"/>
        </w:rPr>
        <w:t> </w:t>
      </w:r>
      <w:r w:rsidRPr="008B029F">
        <w:rPr>
          <w:lang w:val="en-AU"/>
        </w:rPr>
        <w:t xml:space="preserve">65 years of age </w:t>
      </w:r>
      <w:r w:rsidR="00A96125" w:rsidRPr="008B029F">
        <w:rPr>
          <w:lang w:val="en-AU"/>
        </w:rPr>
        <w:t>compared to younger patients</w:t>
      </w:r>
      <w:r w:rsidR="00236244" w:rsidRPr="008B029F">
        <w:rPr>
          <w:lang w:val="en-AU"/>
        </w:rPr>
        <w:t xml:space="preserve"> </w:t>
      </w:r>
      <w:r w:rsidRPr="008B029F">
        <w:rPr>
          <w:lang w:val="en-AU"/>
        </w:rPr>
        <w:t>in</w:t>
      </w:r>
      <w:r w:rsidR="00236244" w:rsidRPr="008B029F">
        <w:rPr>
          <w:lang w:val="en-AU"/>
        </w:rPr>
        <w:t xml:space="preserve"> the PACIFIC</w:t>
      </w:r>
      <w:r w:rsidRPr="008B029F">
        <w:rPr>
          <w:lang w:val="en-AU"/>
        </w:rPr>
        <w:t xml:space="preserve"> </w:t>
      </w:r>
      <w:r w:rsidR="00236244" w:rsidRPr="008B029F">
        <w:rPr>
          <w:lang w:val="en-AU"/>
        </w:rPr>
        <w:t>study (NSCLC</w:t>
      </w:r>
      <w:r w:rsidRPr="008B029F">
        <w:rPr>
          <w:lang w:val="en-AU"/>
        </w:rPr>
        <w:t>).</w:t>
      </w:r>
      <w:r w:rsidR="00A96125" w:rsidRPr="008B029F">
        <w:rPr>
          <w:lang w:val="en-AU"/>
        </w:rPr>
        <w:t xml:space="preserve"> Data from NSCLC patients 75 years of age or older are limited.</w:t>
      </w:r>
    </w:p>
    <w:p w14:paraId="434E53D6" w14:textId="01264DEA" w:rsidR="007F70FB" w:rsidRPr="008B029F" w:rsidRDefault="007F70FB" w:rsidP="0020620A">
      <w:pPr>
        <w:pStyle w:val="Paragraph"/>
        <w:rPr>
          <w:lang w:val="en-AU"/>
        </w:rPr>
      </w:pPr>
      <w:r w:rsidRPr="008B029F">
        <w:rPr>
          <w:lang w:val="en-AU"/>
        </w:rPr>
        <w:t>Of the 265 patients with ES-SCLC treated with IMFINZI in combination with chemotherapy, 101 (38%) patients were 65 years or older. There were no overall clinically meaningful differences in safety or effectiveness between patients ≥ 65 years of age and younger patients.</w:t>
      </w:r>
    </w:p>
    <w:p w14:paraId="3587B218" w14:textId="5134325D" w:rsidR="00D15D1C" w:rsidRPr="008B029F" w:rsidRDefault="00D15D1C" w:rsidP="0020620A">
      <w:pPr>
        <w:pStyle w:val="Paragraph"/>
        <w:rPr>
          <w:lang w:val="en-AU"/>
        </w:rPr>
      </w:pPr>
      <w:r w:rsidRPr="008B029F">
        <w:rPr>
          <w:lang w:val="en-AU"/>
        </w:rPr>
        <w:t>The median age in the intention to treat (ITT) population of PrE0505 and DREAM studies (MPM) was 70 and 68 years, respectively.</w:t>
      </w:r>
    </w:p>
    <w:p w14:paraId="5A7CEE74" w14:textId="113EB4D1" w:rsidR="00B427E7" w:rsidRPr="008B029F" w:rsidRDefault="00B427E7" w:rsidP="0020620A">
      <w:pPr>
        <w:pStyle w:val="Paragraph"/>
        <w:rPr>
          <w:rFonts w:eastAsia="SimSun"/>
          <w:lang w:val="en-AU"/>
        </w:rPr>
      </w:pPr>
      <w:r w:rsidRPr="008B029F">
        <w:rPr>
          <w:rFonts w:eastAsia="SimSun"/>
          <w:lang w:val="en-AU"/>
        </w:rPr>
        <w:t xml:space="preserve">Of the 338 patients with BTC treated with IMFINZI in combination with chemotherapy, 158 (46.7%) patients were 65 years or older. </w:t>
      </w:r>
      <w:r w:rsidR="00FB0832" w:rsidRPr="008B029F">
        <w:rPr>
          <w:rFonts w:eastAsia="SimSun"/>
          <w:lang w:val="en-AU"/>
        </w:rPr>
        <w:t>No overall differences in safety or effectiveness were observed</w:t>
      </w:r>
      <w:r w:rsidRPr="008B029F">
        <w:rPr>
          <w:rFonts w:eastAsia="SimSun"/>
          <w:lang w:val="en-AU"/>
        </w:rPr>
        <w:t xml:space="preserve"> between patients ≥65 years of age and younger patients.</w:t>
      </w:r>
    </w:p>
    <w:p w14:paraId="2DAB644F" w14:textId="3F067044" w:rsidR="00727850" w:rsidRPr="008B029F" w:rsidRDefault="00727850" w:rsidP="0020620A">
      <w:pPr>
        <w:pStyle w:val="Paragraph"/>
        <w:rPr>
          <w:lang w:val="en-AU"/>
        </w:rPr>
      </w:pPr>
      <w:r w:rsidRPr="008B029F">
        <w:rPr>
          <w:lang w:val="en-AU"/>
        </w:rPr>
        <w:t>Of the 462 patients with uHCC treated with STRIDE, 173 (37.4%) patients were 65 years or older and 63 (13.6%) patients were 75 years or older. There were no clinically meaningful differences in safety or efficacy between patients 65 years or older and younger patients.</w:t>
      </w:r>
    </w:p>
    <w:p w14:paraId="4AD2BB36" w14:textId="77777777" w:rsidR="001A3992" w:rsidRPr="008B029F" w:rsidRDefault="001A3992" w:rsidP="00ED29F9">
      <w:pPr>
        <w:pStyle w:val="Heading3Unnumbered"/>
        <w:rPr>
          <w:lang w:val="en-AU"/>
        </w:rPr>
      </w:pPr>
      <w:r w:rsidRPr="008B029F">
        <w:rPr>
          <w:lang w:val="en-AU"/>
        </w:rPr>
        <w:t>Paediatric use</w:t>
      </w:r>
    </w:p>
    <w:p w14:paraId="1164E51B" w14:textId="294C818C" w:rsidR="00EC60F8" w:rsidRPr="008B029F" w:rsidRDefault="00621D38" w:rsidP="00EC60F8">
      <w:pPr>
        <w:pStyle w:val="Paragraph"/>
        <w:rPr>
          <w:lang w:val="en-AU"/>
        </w:rPr>
      </w:pPr>
      <w:r w:rsidRPr="008B029F">
        <w:rPr>
          <w:lang w:val="en-AU"/>
        </w:rPr>
        <w:t xml:space="preserve">The safety and </w:t>
      </w:r>
      <w:r w:rsidR="00FD3F29" w:rsidRPr="008B029F">
        <w:rPr>
          <w:lang w:val="en-AU"/>
        </w:rPr>
        <w:t xml:space="preserve">efficacy </w:t>
      </w:r>
      <w:r w:rsidRPr="008B029F">
        <w:rPr>
          <w:lang w:val="en-AU"/>
        </w:rPr>
        <w:t xml:space="preserve">of durvalumab have not been established in </w:t>
      </w:r>
      <w:r w:rsidR="00FD3F29" w:rsidRPr="008B029F">
        <w:rPr>
          <w:lang w:val="en-AU"/>
        </w:rPr>
        <w:t>patients younger</w:t>
      </w:r>
      <w:r w:rsidRPr="008B029F">
        <w:rPr>
          <w:lang w:val="en-AU"/>
        </w:rPr>
        <w:t xml:space="preserve"> than 18 years</w:t>
      </w:r>
      <w:r w:rsidR="00FD3F29" w:rsidRPr="008B029F">
        <w:rPr>
          <w:lang w:val="en-AU"/>
        </w:rPr>
        <w:t xml:space="preserve"> of age</w:t>
      </w:r>
      <w:r w:rsidRPr="008B029F">
        <w:rPr>
          <w:lang w:val="en-AU"/>
        </w:rPr>
        <w:t>.</w:t>
      </w:r>
    </w:p>
    <w:p w14:paraId="66B5F228" w14:textId="77777777" w:rsidR="001A3992" w:rsidRPr="008B029F" w:rsidRDefault="001A3992" w:rsidP="00EE3AC8">
      <w:pPr>
        <w:pStyle w:val="Heading2"/>
        <w:rPr>
          <w:lang w:val="en-AU"/>
        </w:rPr>
      </w:pPr>
      <w:bookmarkStart w:id="12" w:name="_Ref505770425"/>
      <w:r w:rsidRPr="008B029F">
        <w:rPr>
          <w:lang w:val="en-AU"/>
        </w:rPr>
        <w:lastRenderedPageBreak/>
        <w:t>Interactions with other medicines and other forms of interactions</w:t>
      </w:r>
      <w:bookmarkEnd w:id="12"/>
    </w:p>
    <w:p w14:paraId="6D17CEF5" w14:textId="6FF3FBB5" w:rsidR="00E45826" w:rsidRPr="008B029F" w:rsidRDefault="006936A7" w:rsidP="005C3060">
      <w:pPr>
        <w:pStyle w:val="Paragraph"/>
        <w:rPr>
          <w:lang w:val="en-AU"/>
        </w:rPr>
      </w:pPr>
      <w:r w:rsidRPr="008B029F">
        <w:rPr>
          <w:lang w:val="en-AU"/>
        </w:rPr>
        <w:t>Durvalumab is an immunoglobulin</w:t>
      </w:r>
      <w:r w:rsidR="007F3261" w:rsidRPr="008B029F">
        <w:rPr>
          <w:lang w:val="en-AU"/>
        </w:rPr>
        <w:t>. T</w:t>
      </w:r>
      <w:r w:rsidR="005C3060" w:rsidRPr="008B029F">
        <w:rPr>
          <w:lang w:val="en-AU"/>
        </w:rPr>
        <w:t>he primary elimination pathways of durvalumab are protein catabolism via reticuloendothelial system or target mediated disposition</w:t>
      </w:r>
      <w:r w:rsidRPr="008B029F">
        <w:rPr>
          <w:lang w:val="en-AU"/>
        </w:rPr>
        <w:t>, therefore no formal pharmacokinetic</w:t>
      </w:r>
      <w:r w:rsidR="005C3060" w:rsidRPr="008B029F">
        <w:rPr>
          <w:lang w:val="en-AU"/>
        </w:rPr>
        <w:t xml:space="preserve"> (PK)</w:t>
      </w:r>
      <w:r w:rsidRPr="008B029F">
        <w:rPr>
          <w:lang w:val="en-AU"/>
        </w:rPr>
        <w:t xml:space="preserve"> drug-drug interaction studies have been conducted</w:t>
      </w:r>
      <w:r w:rsidR="005C3060" w:rsidRPr="008B029F">
        <w:rPr>
          <w:lang w:val="en-AU"/>
        </w:rPr>
        <w:t xml:space="preserve"> since no metabolic drug-drug interactions are expected. PK drug-drug interaction between durvalumab and </w:t>
      </w:r>
      <w:r w:rsidR="00F9110A" w:rsidRPr="008B029F">
        <w:rPr>
          <w:lang w:val="en-AU"/>
        </w:rPr>
        <w:t xml:space="preserve">etoposide, </w:t>
      </w:r>
      <w:r w:rsidR="007009A6" w:rsidRPr="008B029F">
        <w:rPr>
          <w:lang w:val="en-AU"/>
        </w:rPr>
        <w:t xml:space="preserve">and </w:t>
      </w:r>
      <w:r w:rsidR="00F9110A" w:rsidRPr="008B029F">
        <w:rPr>
          <w:lang w:val="en-AU"/>
        </w:rPr>
        <w:t xml:space="preserve">carboplatin or cisplatin </w:t>
      </w:r>
      <w:r w:rsidR="005C3060" w:rsidRPr="008B029F">
        <w:rPr>
          <w:lang w:val="en-AU"/>
        </w:rPr>
        <w:t xml:space="preserve">was assessed in the CASPIAN study and no clinically meaningful PK drug-drug interaction </w:t>
      </w:r>
      <w:r w:rsidR="00E46175" w:rsidRPr="008B029F">
        <w:rPr>
          <w:lang w:val="en-AU"/>
        </w:rPr>
        <w:t xml:space="preserve">between durvalumab and the chemotherapy </w:t>
      </w:r>
      <w:r w:rsidR="005C3060" w:rsidRPr="008B029F">
        <w:rPr>
          <w:lang w:val="en-AU"/>
        </w:rPr>
        <w:t>was identified.</w:t>
      </w:r>
    </w:p>
    <w:p w14:paraId="456B7275" w14:textId="77777777" w:rsidR="001A3992" w:rsidRPr="008B029F" w:rsidRDefault="001A3992" w:rsidP="00EE3AC8">
      <w:pPr>
        <w:pStyle w:val="Heading2"/>
        <w:rPr>
          <w:lang w:val="en-AU"/>
        </w:rPr>
      </w:pPr>
      <w:r w:rsidRPr="008B029F">
        <w:rPr>
          <w:lang w:val="en-AU"/>
        </w:rPr>
        <w:t>Fer</w:t>
      </w:r>
      <w:r w:rsidR="00EC60F8" w:rsidRPr="008B029F">
        <w:rPr>
          <w:lang w:val="en-AU"/>
        </w:rPr>
        <w:t>tility, pregnancy and lactation</w:t>
      </w:r>
    </w:p>
    <w:p w14:paraId="4612CA3F" w14:textId="77777777" w:rsidR="001A3992" w:rsidRPr="008B029F" w:rsidRDefault="001A3992" w:rsidP="0026491B">
      <w:pPr>
        <w:pStyle w:val="Heading3Unnumbered"/>
        <w:rPr>
          <w:lang w:val="en-AU"/>
        </w:rPr>
      </w:pPr>
      <w:r w:rsidRPr="008B029F">
        <w:rPr>
          <w:lang w:val="en-AU"/>
        </w:rPr>
        <w:t>Effects on fertility</w:t>
      </w:r>
    </w:p>
    <w:p w14:paraId="59E5A143" w14:textId="04EA6C05" w:rsidR="00446EDD" w:rsidRPr="008B029F" w:rsidRDefault="006936A7" w:rsidP="00150852">
      <w:pPr>
        <w:pStyle w:val="Paragraph"/>
        <w:rPr>
          <w:lang w:val="en-AU"/>
        </w:rPr>
      </w:pPr>
      <w:r w:rsidRPr="008B029F">
        <w:rPr>
          <w:lang w:val="en-AU"/>
        </w:rPr>
        <w:t xml:space="preserve">There are no data on the effects of durvalumab on fertility in humans. In repeat-dose toxicology studies of </w:t>
      </w:r>
      <w:r w:rsidR="009C3C51" w:rsidRPr="008B029F">
        <w:rPr>
          <w:lang w:val="en-AU"/>
        </w:rPr>
        <w:t xml:space="preserve">durvalumab </w:t>
      </w:r>
      <w:r w:rsidRPr="008B029F">
        <w:rPr>
          <w:lang w:val="en-AU"/>
        </w:rPr>
        <w:t>up to 3 months duration in sexually mature cynomolgus monkeys, there were no notable effects on the male and female reproductive organs.</w:t>
      </w:r>
      <w:r w:rsidRPr="008B029F">
        <w:rPr>
          <w:vertAlign w:val="superscript"/>
          <w:lang w:val="en-AU"/>
        </w:rPr>
        <w:t xml:space="preserve"> </w:t>
      </w:r>
      <w:r w:rsidRPr="008B029F">
        <w:rPr>
          <w:lang w:val="en-AU"/>
        </w:rPr>
        <w:t>These animals received weekly doses of durvalumab yielding</w:t>
      </w:r>
      <w:r w:rsidR="00CF5AD8" w:rsidRPr="008B029F">
        <w:rPr>
          <w:lang w:val="en-AU"/>
        </w:rPr>
        <w:t xml:space="preserve"> 11 times the clinical exposure (based on AUC) at the clinical dose of 1500</w:t>
      </w:r>
      <w:r w:rsidR="0006039B" w:rsidRPr="008B029F">
        <w:rPr>
          <w:lang w:val="en-AU"/>
        </w:rPr>
        <w:t> </w:t>
      </w:r>
      <w:r w:rsidR="00CF5AD8" w:rsidRPr="008B029F">
        <w:rPr>
          <w:lang w:val="en-AU"/>
        </w:rPr>
        <w:t xml:space="preserve">mg every 3 weeks and 23 times </w:t>
      </w:r>
      <w:r w:rsidR="00FA635B" w:rsidRPr="008B029F">
        <w:rPr>
          <w:lang w:val="en-AU"/>
        </w:rPr>
        <w:t xml:space="preserve">at </w:t>
      </w:r>
      <w:r w:rsidR="00CF5AD8" w:rsidRPr="008B029F">
        <w:rPr>
          <w:lang w:val="en-AU"/>
        </w:rPr>
        <w:t>the clinical dose of 10</w:t>
      </w:r>
      <w:r w:rsidR="003A4541" w:rsidRPr="008B029F">
        <w:rPr>
          <w:lang w:val="en-AU"/>
        </w:rPr>
        <w:t> </w:t>
      </w:r>
      <w:r w:rsidR="00CF5AD8" w:rsidRPr="008B029F">
        <w:rPr>
          <w:lang w:val="en-AU"/>
        </w:rPr>
        <w:t>mg/kg ever</w:t>
      </w:r>
      <w:r w:rsidR="000A5E7D" w:rsidRPr="008B029F">
        <w:rPr>
          <w:lang w:val="en-AU"/>
        </w:rPr>
        <w:t>y 2 weeks.</w:t>
      </w:r>
    </w:p>
    <w:p w14:paraId="59686107" w14:textId="77777777" w:rsidR="001A3992" w:rsidRPr="008B029F" w:rsidRDefault="00446EDD" w:rsidP="0026491B">
      <w:pPr>
        <w:pStyle w:val="Heading3Unnumbered"/>
        <w:rPr>
          <w:lang w:val="en-AU"/>
        </w:rPr>
      </w:pPr>
      <w:r w:rsidRPr="008B029F">
        <w:rPr>
          <w:lang w:val="en-AU"/>
        </w:rPr>
        <w:t xml:space="preserve">Use in pregnancy </w:t>
      </w:r>
      <w:r w:rsidR="00E45826" w:rsidRPr="008B029F">
        <w:rPr>
          <w:lang w:val="en-AU"/>
        </w:rPr>
        <w:t>– Category</w:t>
      </w:r>
      <w:r w:rsidR="006936A7" w:rsidRPr="008B029F">
        <w:rPr>
          <w:lang w:val="en-AU"/>
        </w:rPr>
        <w:t xml:space="preserve"> D</w:t>
      </w:r>
    </w:p>
    <w:p w14:paraId="145F33A5" w14:textId="77777777" w:rsidR="00446EDD" w:rsidRPr="008B029F" w:rsidRDefault="006936A7" w:rsidP="00446EDD">
      <w:pPr>
        <w:pStyle w:val="Paragraph"/>
        <w:rPr>
          <w:lang w:val="en-AU"/>
        </w:rPr>
      </w:pPr>
      <w:r w:rsidRPr="008B029F">
        <w:rPr>
          <w:lang w:val="en-AU"/>
        </w:rPr>
        <w:t>There are no data on the use of durvalumab in pregnant women. Based on its mechanism of action, durvalumab has the potential to impact maintenance of pregnancy and may cause foetal harm when administered to a pregnant woman. Human IgG1 is known to cross the placental barrier</w:t>
      </w:r>
      <w:r w:rsidR="00BA5006" w:rsidRPr="008B029F">
        <w:rPr>
          <w:lang w:val="en-AU"/>
        </w:rPr>
        <w:t>;</w:t>
      </w:r>
      <w:r w:rsidR="00BA5006" w:rsidRPr="008B029F">
        <w:rPr>
          <w:rFonts w:ascii="TimesNewRoman" w:eastAsiaTheme="minorHAnsi" w:hAnsi="TimesNewRoman" w:cs="TimesNewRoman"/>
          <w:sz w:val="22"/>
          <w:szCs w:val="22"/>
          <w:lang w:val="en-AU"/>
        </w:rPr>
        <w:t xml:space="preserve"> </w:t>
      </w:r>
      <w:bookmarkStart w:id="13" w:name="_Hlk522098887"/>
      <w:r w:rsidR="00BA5006" w:rsidRPr="008B029F">
        <w:rPr>
          <w:lang w:val="en-AU"/>
        </w:rPr>
        <w:t>therefore, durvalumab has the potential to be transmitted from the mother to the developing foetus</w:t>
      </w:r>
      <w:bookmarkEnd w:id="13"/>
      <w:r w:rsidRPr="008B029F">
        <w:rPr>
          <w:lang w:val="en-AU"/>
        </w:rPr>
        <w:t xml:space="preserve">. Durvalumab </w:t>
      </w:r>
      <w:r w:rsidR="009C3C51" w:rsidRPr="008B029F">
        <w:rPr>
          <w:lang w:val="en-AU"/>
        </w:rPr>
        <w:t xml:space="preserve">use </w:t>
      </w:r>
      <w:r w:rsidRPr="008B029F">
        <w:rPr>
          <w:lang w:val="en-AU"/>
        </w:rPr>
        <w:t>is not recommended during pregnancy</w:t>
      </w:r>
      <w:r w:rsidR="00F14F62" w:rsidRPr="008B029F">
        <w:rPr>
          <w:lang w:val="en-AU"/>
        </w:rPr>
        <w:t xml:space="preserve">. Women </w:t>
      </w:r>
      <w:r w:rsidRPr="008B029F">
        <w:rPr>
          <w:lang w:val="en-AU"/>
        </w:rPr>
        <w:t xml:space="preserve">of childbearing potential </w:t>
      </w:r>
      <w:r w:rsidR="00F14F62" w:rsidRPr="008B029F">
        <w:rPr>
          <w:lang w:val="en-AU"/>
        </w:rPr>
        <w:t>should use</w:t>
      </w:r>
      <w:r w:rsidRPr="008B029F">
        <w:rPr>
          <w:lang w:val="en-AU"/>
        </w:rPr>
        <w:t xml:space="preserve"> effective contraception during treatment and for at least 3 months after the last dose.</w:t>
      </w:r>
    </w:p>
    <w:p w14:paraId="234CFC36" w14:textId="3E2BDF90" w:rsidR="005241C4" w:rsidRPr="008B029F" w:rsidRDefault="005241C4" w:rsidP="00E436D3">
      <w:pPr>
        <w:pStyle w:val="Heading4Unnumbered"/>
        <w:rPr>
          <w:lang w:val="en-AU"/>
        </w:rPr>
      </w:pPr>
      <w:r w:rsidRPr="008B029F">
        <w:rPr>
          <w:lang w:val="en-AU"/>
        </w:rPr>
        <w:t xml:space="preserve">Animal </w:t>
      </w:r>
      <w:r w:rsidR="00B93DCD" w:rsidRPr="008B029F">
        <w:rPr>
          <w:lang w:val="en-AU"/>
        </w:rPr>
        <w:t>d</w:t>
      </w:r>
      <w:r w:rsidRPr="008B029F">
        <w:rPr>
          <w:lang w:val="en-AU"/>
        </w:rPr>
        <w:t>ata</w:t>
      </w:r>
    </w:p>
    <w:p w14:paraId="5B747117" w14:textId="71B78864" w:rsidR="00D6386C" w:rsidRPr="008B029F" w:rsidRDefault="005241C4" w:rsidP="005241C4">
      <w:pPr>
        <w:pStyle w:val="Paragraph"/>
        <w:rPr>
          <w:lang w:val="en-AU"/>
        </w:rPr>
      </w:pPr>
      <w:r w:rsidRPr="008B029F">
        <w:rPr>
          <w:lang w:val="en-AU"/>
        </w:rPr>
        <w:t>As reported in the literature, the PD-1/PD-L1 pathway plays a central role in preserving pregnancy by maintaining maternal immune tolerance to the f</w:t>
      </w:r>
      <w:r w:rsidR="0042150D" w:rsidRPr="008B029F">
        <w:rPr>
          <w:lang w:val="en-AU"/>
        </w:rPr>
        <w:t>o</w:t>
      </w:r>
      <w:r w:rsidRPr="008B029F">
        <w:rPr>
          <w:lang w:val="en-AU"/>
        </w:rPr>
        <w:t>etus. In mouse allogeneic pregnancy models, disruption of PD-L1 signal</w:t>
      </w:r>
      <w:r w:rsidR="00CE3507" w:rsidRPr="008B029F">
        <w:rPr>
          <w:lang w:val="en-AU"/>
        </w:rPr>
        <w:t>l</w:t>
      </w:r>
      <w:r w:rsidRPr="008B029F">
        <w:rPr>
          <w:lang w:val="en-AU"/>
        </w:rPr>
        <w:t>ing was shown to result in an increase in f</w:t>
      </w:r>
      <w:r w:rsidR="0042150D" w:rsidRPr="008B029F">
        <w:rPr>
          <w:lang w:val="en-AU"/>
        </w:rPr>
        <w:t>o</w:t>
      </w:r>
      <w:r w:rsidRPr="008B029F">
        <w:rPr>
          <w:lang w:val="en-AU"/>
        </w:rPr>
        <w:t>etal loss. The effects of durvalumab on prenatal and postnatal development were evaluated in reproduction studies in cynomolgus monkeys. Durvalumab was administered from the confirmation of pregnancy through delivery at exposure levels approximately</w:t>
      </w:r>
      <w:r w:rsidR="007D2E93" w:rsidRPr="008B029F">
        <w:rPr>
          <w:lang w:val="en-AU"/>
        </w:rPr>
        <w:t xml:space="preserve"> 3 to 11 times the clinical exposure (based on AUC) at the clinical dose of 1500 mg every 3 weeks and </w:t>
      </w:r>
      <w:r w:rsidR="00227B36" w:rsidRPr="008B029F">
        <w:rPr>
          <w:lang w:val="en-AU"/>
        </w:rPr>
        <w:t xml:space="preserve">6 </w:t>
      </w:r>
      <w:r w:rsidR="007D2E93" w:rsidRPr="008B029F">
        <w:rPr>
          <w:lang w:val="en-AU"/>
        </w:rPr>
        <w:t>to 2</w:t>
      </w:r>
      <w:r w:rsidR="00227B36" w:rsidRPr="008B029F">
        <w:rPr>
          <w:lang w:val="en-AU"/>
        </w:rPr>
        <w:t>0</w:t>
      </w:r>
      <w:r w:rsidR="007D2E93" w:rsidRPr="008B029F">
        <w:rPr>
          <w:lang w:val="en-AU"/>
        </w:rPr>
        <w:t xml:space="preserve"> times at the clinical dose of 10 mg/kg every 2 weeks.</w:t>
      </w:r>
      <w:r w:rsidRPr="008B029F">
        <w:rPr>
          <w:lang w:val="en-AU"/>
        </w:rPr>
        <w:t xml:space="preserve"> Administration of durvalumab resulted in premature delivery, f</w:t>
      </w:r>
      <w:r w:rsidR="0042150D" w:rsidRPr="008B029F">
        <w:rPr>
          <w:lang w:val="en-AU"/>
        </w:rPr>
        <w:t>o</w:t>
      </w:r>
      <w:r w:rsidRPr="008B029F">
        <w:rPr>
          <w:lang w:val="en-AU"/>
        </w:rPr>
        <w:t>etal loss (abortion and stillbirth) and increase in neonatal deaths</w:t>
      </w:r>
      <w:r w:rsidR="00CE3507" w:rsidRPr="008B029F">
        <w:rPr>
          <w:lang w:val="en-AU"/>
        </w:rPr>
        <w:t xml:space="preserve"> compared to concurrent controls</w:t>
      </w:r>
      <w:r w:rsidRPr="008B029F">
        <w:rPr>
          <w:lang w:val="en-AU"/>
        </w:rPr>
        <w:t>. Durvalumab was detected in infant serum on postpartum Day 1, indicating the presence of placental transfer of durvalumab. Based on its mechanism of action, f</w:t>
      </w:r>
      <w:r w:rsidR="0042150D" w:rsidRPr="008B029F">
        <w:rPr>
          <w:lang w:val="en-AU"/>
        </w:rPr>
        <w:t>o</w:t>
      </w:r>
      <w:r w:rsidRPr="008B029F">
        <w:rPr>
          <w:lang w:val="en-AU"/>
        </w:rPr>
        <w:t>etal exposure to durvalumab may increase the risk of developing immune-mediated disorders or altering the normal immune response and immune-mediated disorders have been reported in PD-1 knockout mice.</w:t>
      </w:r>
    </w:p>
    <w:p w14:paraId="1D237884" w14:textId="5FC06324" w:rsidR="001A3992" w:rsidRPr="008B029F" w:rsidRDefault="00446EDD" w:rsidP="0026491B">
      <w:pPr>
        <w:pStyle w:val="Heading3Unnumbered"/>
        <w:rPr>
          <w:lang w:val="en-AU"/>
        </w:rPr>
      </w:pPr>
      <w:r w:rsidRPr="008B029F">
        <w:rPr>
          <w:lang w:val="en-AU"/>
        </w:rPr>
        <w:t>Use in lactation</w:t>
      </w:r>
    </w:p>
    <w:p w14:paraId="74D32EC6" w14:textId="77777777" w:rsidR="00446EDD" w:rsidRPr="008B029F" w:rsidRDefault="006936A7" w:rsidP="00446EDD">
      <w:pPr>
        <w:pStyle w:val="Paragraph"/>
        <w:rPr>
          <w:lang w:val="en-AU"/>
        </w:rPr>
      </w:pPr>
      <w:r w:rsidRPr="008B029F">
        <w:rPr>
          <w:lang w:val="en-AU"/>
        </w:rPr>
        <w:t>There is no information regarding the presence of durvalumab in human milk, the absorption and effects on the breast</w:t>
      </w:r>
      <w:r w:rsidR="002B3844" w:rsidRPr="008B029F">
        <w:rPr>
          <w:lang w:val="en-AU"/>
        </w:rPr>
        <w:t>-</w:t>
      </w:r>
      <w:r w:rsidRPr="008B029F">
        <w:rPr>
          <w:lang w:val="en-AU"/>
        </w:rPr>
        <w:t>fed infant, or the effects on milk production.  Human IgG is excreted in human milk. In animal reproduction studies, administration of durvalumab</w:t>
      </w:r>
      <w:r w:rsidRPr="008B029F" w:rsidDel="00FA386A">
        <w:rPr>
          <w:lang w:val="en-AU"/>
        </w:rPr>
        <w:t xml:space="preserve"> </w:t>
      </w:r>
      <w:r w:rsidRPr="008B029F">
        <w:rPr>
          <w:lang w:val="en-AU"/>
        </w:rPr>
        <w:t>to pregnant cynomolgus monkeys was associated with dose-related low</w:t>
      </w:r>
      <w:r w:rsidR="00026F98" w:rsidRPr="008B029F">
        <w:rPr>
          <w:lang w:val="en-AU"/>
        </w:rPr>
        <w:t>-</w:t>
      </w:r>
      <w:r w:rsidRPr="008B029F">
        <w:rPr>
          <w:lang w:val="en-AU"/>
        </w:rPr>
        <w:t>level excretion of durvalumab</w:t>
      </w:r>
      <w:r w:rsidRPr="008B029F" w:rsidDel="00FA386A">
        <w:rPr>
          <w:lang w:val="en-AU"/>
        </w:rPr>
        <w:t xml:space="preserve"> </w:t>
      </w:r>
      <w:r w:rsidRPr="008B029F">
        <w:rPr>
          <w:lang w:val="en-AU"/>
        </w:rPr>
        <w:t>in breast milk</w:t>
      </w:r>
      <w:r w:rsidR="00D614B8" w:rsidRPr="008B029F">
        <w:rPr>
          <w:lang w:val="en-AU"/>
        </w:rPr>
        <w:t xml:space="preserve"> and was associated with premature neonatal death compared to concurrent controls</w:t>
      </w:r>
      <w:r w:rsidRPr="008B029F">
        <w:rPr>
          <w:lang w:val="en-AU"/>
        </w:rPr>
        <w:t>. Because of the potential for adverse reactions in breastfed infants from durvalumab, lactating women should be advised not to breast</w:t>
      </w:r>
      <w:r w:rsidR="002B3844" w:rsidRPr="008B029F">
        <w:rPr>
          <w:lang w:val="en-AU"/>
        </w:rPr>
        <w:t>-</w:t>
      </w:r>
      <w:r w:rsidRPr="008B029F">
        <w:rPr>
          <w:lang w:val="en-AU"/>
        </w:rPr>
        <w:t>feed during treatment and for at least 3 months after the last dose.</w:t>
      </w:r>
    </w:p>
    <w:p w14:paraId="64B6656D" w14:textId="77777777" w:rsidR="001A3992" w:rsidRPr="008B029F" w:rsidRDefault="001A3992" w:rsidP="003B7CFF">
      <w:pPr>
        <w:pStyle w:val="Heading2"/>
        <w:rPr>
          <w:lang w:val="en-AU"/>
        </w:rPr>
      </w:pPr>
      <w:r w:rsidRPr="008B029F">
        <w:rPr>
          <w:lang w:val="en-AU"/>
        </w:rPr>
        <w:lastRenderedPageBreak/>
        <w:t>Effects on ability to drive and use machines</w:t>
      </w:r>
    </w:p>
    <w:p w14:paraId="445DFE68" w14:textId="77777777" w:rsidR="00446EDD" w:rsidRPr="008B029F" w:rsidRDefault="007B2A0D" w:rsidP="007B2A0D">
      <w:pPr>
        <w:pStyle w:val="Paragraph"/>
        <w:rPr>
          <w:lang w:val="en-AU"/>
        </w:rPr>
      </w:pPr>
      <w:r w:rsidRPr="008B029F">
        <w:rPr>
          <w:lang w:val="en-AU"/>
        </w:rPr>
        <w:t>Based on its pharmacodynamic properties, durvalumab is unlikely to affect the ability to drive and use machines. However, if patients experience adverse reactions affecting their ability to concentrate and react, they should be advised to use caution when driving or operating machinery.</w:t>
      </w:r>
    </w:p>
    <w:p w14:paraId="64F5C6A1" w14:textId="77777777" w:rsidR="001A3992" w:rsidRPr="008B029F" w:rsidRDefault="001A3992" w:rsidP="00EE3AC8">
      <w:pPr>
        <w:pStyle w:val="Heading2"/>
        <w:rPr>
          <w:lang w:val="en-AU"/>
        </w:rPr>
      </w:pPr>
      <w:bookmarkStart w:id="14" w:name="_Ref121910014"/>
      <w:r w:rsidRPr="008B029F">
        <w:rPr>
          <w:lang w:val="en-AU"/>
        </w:rPr>
        <w:t>Adverse effects (</w:t>
      </w:r>
      <w:r w:rsidR="00D57A45" w:rsidRPr="008B029F">
        <w:rPr>
          <w:lang w:val="en-AU"/>
        </w:rPr>
        <w:t>u</w:t>
      </w:r>
      <w:r w:rsidRPr="008B029F">
        <w:rPr>
          <w:lang w:val="en-AU"/>
        </w:rPr>
        <w:t>ndesirable effects)</w:t>
      </w:r>
      <w:bookmarkEnd w:id="14"/>
    </w:p>
    <w:p w14:paraId="6D9581A5" w14:textId="77777777" w:rsidR="0041703F" w:rsidRPr="008B029F" w:rsidRDefault="0041703F" w:rsidP="0041703F">
      <w:pPr>
        <w:pStyle w:val="Heading3Unnumbered"/>
        <w:rPr>
          <w:lang w:val="en-AU"/>
        </w:rPr>
      </w:pPr>
      <w:r w:rsidRPr="008B029F">
        <w:rPr>
          <w:lang w:val="en-AU"/>
        </w:rPr>
        <w:t>Overall summary of adverse drug reactions</w:t>
      </w:r>
    </w:p>
    <w:p w14:paraId="1B9B7DAC" w14:textId="28C5872C" w:rsidR="0041703F" w:rsidRPr="008B029F" w:rsidRDefault="0041703F" w:rsidP="0041703F">
      <w:pPr>
        <w:pStyle w:val="Paragraph"/>
        <w:rPr>
          <w:lang w:val="en-AU"/>
        </w:rPr>
      </w:pPr>
      <w:r w:rsidRPr="008B029F">
        <w:rPr>
          <w:lang w:val="en-AU"/>
        </w:rPr>
        <w:t>The safety of IMFINZI as monotherapy is based on pooled data in 3006 patients from 9 studies across multiple tumour types. IMFINZI was administered at a dose of 10 mg/kg every 2 weeks or 20 mg/kg every 4 weeks. The most frequent (&gt;10%) adverse reactions were cough/productive cough (21.5%), diarrhoea (16.3%), rash (16.0%), pyrexia (13.8%), upper respiratory tract infections (13.5%), abdominal pain (12.7%), pruritus (10.8%) and hypothyroidism (10.1%).</w:t>
      </w:r>
    </w:p>
    <w:p w14:paraId="6CF5165C" w14:textId="2CD35676" w:rsidR="004C4A47" w:rsidRPr="004F6172" w:rsidRDefault="0041703F" w:rsidP="004C4A47">
      <w:pPr>
        <w:pStyle w:val="Heading3Unnumbered"/>
        <w:rPr>
          <w:lang w:val="en-AU"/>
        </w:rPr>
      </w:pPr>
      <w:r w:rsidRPr="004F6172">
        <w:rPr>
          <w:lang w:val="en-AU"/>
        </w:rPr>
        <w:t xml:space="preserve">Tabulated list of adverse </w:t>
      </w:r>
      <w:r w:rsidR="0093461B" w:rsidRPr="004F6172">
        <w:rPr>
          <w:lang w:val="en-AU"/>
        </w:rPr>
        <w:t xml:space="preserve">drug </w:t>
      </w:r>
      <w:r w:rsidRPr="004F6172">
        <w:rPr>
          <w:lang w:val="en-AU"/>
        </w:rPr>
        <w:t>reactions</w:t>
      </w:r>
    </w:p>
    <w:p w14:paraId="4AB6FC46" w14:textId="2CCB2060" w:rsidR="0041703F" w:rsidRPr="008B029F" w:rsidRDefault="00042D61" w:rsidP="00451CD4">
      <w:pPr>
        <w:pStyle w:val="Paragraph"/>
        <w:rPr>
          <w:lang w:val="en-AU"/>
        </w:rPr>
      </w:pPr>
      <w:r w:rsidRPr="004F6172">
        <w:rPr>
          <w:color w:val="2B579A"/>
          <w:shd w:val="clear" w:color="auto" w:fill="E6E6E6"/>
          <w:lang w:val="en-AU"/>
        </w:rPr>
        <w:fldChar w:fldCharType="begin"/>
      </w:r>
      <w:r w:rsidRPr="004F6172">
        <w:rPr>
          <w:lang w:val="en-AU"/>
        </w:rPr>
        <w:instrText xml:space="preserve"> REF _Ref57372040 \h </w:instrText>
      </w:r>
      <w:r w:rsidR="004C4A47" w:rsidRPr="004F6172">
        <w:rPr>
          <w:lang w:val="en-AU"/>
        </w:rPr>
        <w:instrText xml:space="preserve"> \* MERGEFORMAT </w:instrText>
      </w:r>
      <w:r w:rsidRPr="004F6172">
        <w:rPr>
          <w:color w:val="2B579A"/>
          <w:shd w:val="clear" w:color="auto" w:fill="E6E6E6"/>
          <w:lang w:val="en-AU"/>
        </w:rPr>
      </w:r>
      <w:r w:rsidRPr="004F6172">
        <w:rPr>
          <w:color w:val="2B579A"/>
          <w:shd w:val="clear" w:color="auto" w:fill="E6E6E6"/>
          <w:lang w:val="en-AU"/>
        </w:rPr>
        <w:fldChar w:fldCharType="separate"/>
      </w:r>
      <w:r w:rsidR="009773EE" w:rsidRPr="004F6172">
        <w:rPr>
          <w:lang w:val="en-AU"/>
        </w:rPr>
        <w:t>Table 3</w:t>
      </w:r>
      <w:r w:rsidRPr="004F6172">
        <w:rPr>
          <w:color w:val="2B579A"/>
          <w:shd w:val="clear" w:color="auto" w:fill="E6E6E6"/>
          <w:lang w:val="en-AU"/>
        </w:rPr>
        <w:fldChar w:fldCharType="end"/>
      </w:r>
      <w:r w:rsidRPr="004F6172">
        <w:rPr>
          <w:lang w:val="en-AU"/>
        </w:rPr>
        <w:t xml:space="preserve"> </w:t>
      </w:r>
      <w:r w:rsidR="0041703F" w:rsidRPr="004F6172">
        <w:rPr>
          <w:lang w:val="en-AU"/>
        </w:rPr>
        <w:t>lists the incidence of adverse reactions in the monotherapy safety dataset. Adverse drug reactions</w:t>
      </w:r>
      <w:r w:rsidR="0093461B" w:rsidRPr="004F6172">
        <w:rPr>
          <w:lang w:val="en-AU"/>
        </w:rPr>
        <w:t xml:space="preserve"> (ADR)</w:t>
      </w:r>
      <w:r w:rsidR="0041703F" w:rsidRPr="004F6172">
        <w:rPr>
          <w:lang w:val="en-AU"/>
        </w:rPr>
        <w:t xml:space="preserve"> are listed according to system organ class in MedDRA. Within each system organ class, the </w:t>
      </w:r>
      <w:r w:rsidR="0093461B" w:rsidRPr="004F6172">
        <w:rPr>
          <w:lang w:val="en-AU"/>
        </w:rPr>
        <w:t>ADR</w:t>
      </w:r>
      <w:r w:rsidR="0041703F" w:rsidRPr="004F6172">
        <w:rPr>
          <w:lang w:val="en-AU"/>
        </w:rPr>
        <w:t xml:space="preserve"> are presented in decreasing frequency. Within each frequency grouping, </w:t>
      </w:r>
      <w:r w:rsidR="0093461B" w:rsidRPr="004F6172">
        <w:rPr>
          <w:lang w:val="en-AU"/>
        </w:rPr>
        <w:t>ADR</w:t>
      </w:r>
      <w:r w:rsidR="0041703F" w:rsidRPr="004F6172">
        <w:rPr>
          <w:lang w:val="en-AU"/>
        </w:rPr>
        <w:t xml:space="preserve"> are presented in order of decreasing seriousness. In addition, the corresponding frequency category for each ADR is based on the CIOMS III convention and is defined as: very common (≥ 1/10); common (≥ 1/100 to &lt; 1/10); uncommon (≥ 1/1,000 to &lt; 1/100); rare (≥ 1/10,000 to &lt; 1/1000); very rare (&lt; 1/10,000); not determined (cannot be estimated from available data).</w:t>
      </w:r>
      <w:r w:rsidR="0041703F" w:rsidRPr="008B029F">
        <w:rPr>
          <w:lang w:val="en-AU"/>
        </w:rPr>
        <w:t xml:space="preserve"> </w:t>
      </w:r>
    </w:p>
    <w:p w14:paraId="238B7B1D" w14:textId="06505942" w:rsidR="000C6693" w:rsidRPr="004F6172" w:rsidRDefault="000C6693" w:rsidP="00126976">
      <w:pPr>
        <w:pStyle w:val="TableTitle"/>
        <w:rPr>
          <w:lang w:val="en-AU"/>
        </w:rPr>
      </w:pPr>
      <w:bookmarkStart w:id="15" w:name="_Ref57372040"/>
      <w:r w:rsidRPr="004F6172">
        <w:rPr>
          <w:lang w:val="en-AU"/>
        </w:rPr>
        <w:t>Table </w:t>
      </w:r>
      <w:r w:rsidRPr="004F6172">
        <w:rPr>
          <w:color w:val="2B579A"/>
          <w:shd w:val="clear" w:color="auto" w:fill="E6E6E6"/>
          <w:lang w:val="en-AU"/>
        </w:rPr>
        <w:fldChar w:fldCharType="begin"/>
      </w:r>
      <w:r w:rsidRPr="004F6172">
        <w:rPr>
          <w:lang w:val="en-AU"/>
        </w:rPr>
        <w:instrText xml:space="preserve"> SEQ Table \* ARABIC </w:instrText>
      </w:r>
      <w:r w:rsidRPr="004F6172">
        <w:rPr>
          <w:color w:val="2B579A"/>
          <w:shd w:val="clear" w:color="auto" w:fill="E6E6E6"/>
          <w:lang w:val="en-AU"/>
        </w:rPr>
        <w:fldChar w:fldCharType="separate"/>
      </w:r>
      <w:r w:rsidR="009773EE" w:rsidRPr="004F6172">
        <w:rPr>
          <w:noProof/>
          <w:lang w:val="en-AU"/>
        </w:rPr>
        <w:t>3</w:t>
      </w:r>
      <w:r w:rsidRPr="004F6172">
        <w:rPr>
          <w:color w:val="2B579A"/>
          <w:shd w:val="clear" w:color="auto" w:fill="E6E6E6"/>
          <w:lang w:val="en-AU"/>
        </w:rPr>
        <w:fldChar w:fldCharType="end"/>
      </w:r>
      <w:bookmarkEnd w:id="15"/>
      <w:r w:rsidRPr="004F6172">
        <w:rPr>
          <w:lang w:val="en-AU"/>
        </w:rPr>
        <w:tab/>
        <w:t>Adverse drug reactions in patients treated with IMFINZI monotherapy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1985"/>
        <w:gridCol w:w="1132"/>
        <w:gridCol w:w="1702"/>
        <w:gridCol w:w="1125"/>
      </w:tblGrid>
      <w:tr w:rsidR="00423AF8" w:rsidRPr="004F6172" w14:paraId="60F508D0" w14:textId="0FE19EDA" w:rsidTr="002606CD">
        <w:trPr>
          <w:tblHeader/>
        </w:trPr>
        <w:tc>
          <w:tcPr>
            <w:tcW w:w="1913" w:type="pct"/>
            <w:vMerge w:val="restart"/>
            <w:shd w:val="clear" w:color="auto" w:fill="auto"/>
          </w:tcPr>
          <w:p w14:paraId="56CAF7F9" w14:textId="77777777" w:rsidR="00423AF8" w:rsidRPr="004F6172" w:rsidRDefault="00423AF8" w:rsidP="003A4541">
            <w:pPr>
              <w:pStyle w:val="TableHead"/>
              <w:rPr>
                <w:lang w:val="en-AU"/>
              </w:rPr>
            </w:pPr>
          </w:p>
        </w:tc>
        <w:tc>
          <w:tcPr>
            <w:tcW w:w="3087" w:type="pct"/>
            <w:gridSpan w:val="4"/>
            <w:shd w:val="clear" w:color="auto" w:fill="auto"/>
          </w:tcPr>
          <w:p w14:paraId="5D97C9D7" w14:textId="07A5BF0C" w:rsidR="00423AF8" w:rsidRPr="004F6172" w:rsidRDefault="00423AF8" w:rsidP="003A4541">
            <w:pPr>
              <w:pStyle w:val="TableHead"/>
              <w:rPr>
                <w:lang w:val="en-AU"/>
              </w:rPr>
            </w:pPr>
            <w:r w:rsidRPr="004F6172">
              <w:rPr>
                <w:lang w:val="en-AU"/>
              </w:rPr>
              <w:t xml:space="preserve">IMFINZI </w:t>
            </w:r>
            <w:r w:rsidR="00BC4010" w:rsidRPr="004F6172">
              <w:rPr>
                <w:lang w:val="en-AU"/>
              </w:rPr>
              <w:t>m</w:t>
            </w:r>
            <w:r w:rsidRPr="004F6172">
              <w:rPr>
                <w:lang w:val="en-AU"/>
              </w:rPr>
              <w:t>onotherapy</w:t>
            </w:r>
          </w:p>
        </w:tc>
      </w:tr>
      <w:tr w:rsidR="00423AF8" w:rsidRPr="004F6172" w14:paraId="69FB0276" w14:textId="2327233C" w:rsidTr="002606CD">
        <w:trPr>
          <w:tblHeader/>
        </w:trPr>
        <w:tc>
          <w:tcPr>
            <w:tcW w:w="1913" w:type="pct"/>
            <w:vMerge/>
            <w:shd w:val="clear" w:color="auto" w:fill="auto"/>
          </w:tcPr>
          <w:p w14:paraId="335FEB28" w14:textId="77777777" w:rsidR="00423AF8" w:rsidRPr="004F6172" w:rsidRDefault="00423AF8" w:rsidP="003A4541">
            <w:pPr>
              <w:pStyle w:val="TableHead"/>
              <w:rPr>
                <w:lang w:val="en-AU"/>
              </w:rPr>
            </w:pPr>
          </w:p>
        </w:tc>
        <w:tc>
          <w:tcPr>
            <w:tcW w:w="1619" w:type="pct"/>
            <w:gridSpan w:val="2"/>
            <w:shd w:val="clear" w:color="auto" w:fill="auto"/>
          </w:tcPr>
          <w:p w14:paraId="01CD1DF9" w14:textId="77777777" w:rsidR="00423AF8" w:rsidRPr="004F6172" w:rsidRDefault="00423AF8" w:rsidP="003A4541">
            <w:pPr>
              <w:pStyle w:val="TableHead"/>
              <w:rPr>
                <w:lang w:val="en-AU"/>
              </w:rPr>
            </w:pPr>
            <w:r w:rsidRPr="004F6172">
              <w:rPr>
                <w:lang w:val="en-AU"/>
              </w:rPr>
              <w:t>Any Grade (%)</w:t>
            </w:r>
          </w:p>
        </w:tc>
        <w:tc>
          <w:tcPr>
            <w:tcW w:w="1469" w:type="pct"/>
            <w:gridSpan w:val="2"/>
            <w:shd w:val="clear" w:color="auto" w:fill="auto"/>
          </w:tcPr>
          <w:p w14:paraId="2F7F7E61" w14:textId="421A3066" w:rsidR="00423AF8" w:rsidRPr="004F6172" w:rsidRDefault="00423AF8" w:rsidP="003A4541">
            <w:pPr>
              <w:pStyle w:val="TableHead"/>
              <w:rPr>
                <w:lang w:val="en-AU"/>
              </w:rPr>
            </w:pPr>
            <w:r w:rsidRPr="004F6172">
              <w:rPr>
                <w:lang w:val="en-AU"/>
              </w:rPr>
              <w:t>Grade 3</w:t>
            </w:r>
            <w:r w:rsidRPr="004F6172">
              <w:rPr>
                <w:lang w:val="en-AU"/>
              </w:rPr>
              <w:noBreakHyphen/>
              <w:t>4 (%)</w:t>
            </w:r>
          </w:p>
        </w:tc>
      </w:tr>
      <w:tr w:rsidR="00423AF8" w:rsidRPr="004F6172" w14:paraId="06423A49" w14:textId="492010F3" w:rsidTr="003A4541">
        <w:tc>
          <w:tcPr>
            <w:tcW w:w="5000" w:type="pct"/>
            <w:gridSpan w:val="5"/>
          </w:tcPr>
          <w:p w14:paraId="6E371F94" w14:textId="42DF9D22" w:rsidR="00423AF8" w:rsidRPr="004F6172" w:rsidRDefault="00423AF8" w:rsidP="003A4541">
            <w:pPr>
              <w:pStyle w:val="TableLeft"/>
              <w:rPr>
                <w:b/>
                <w:bCs w:val="0"/>
                <w:szCs w:val="20"/>
                <w:lang w:val="en-AU"/>
              </w:rPr>
            </w:pPr>
            <w:r w:rsidRPr="004F6172">
              <w:rPr>
                <w:b/>
                <w:bCs w:val="0"/>
                <w:szCs w:val="20"/>
                <w:lang w:val="en-AU"/>
              </w:rPr>
              <w:t>Infections and infestations</w:t>
            </w:r>
          </w:p>
        </w:tc>
      </w:tr>
      <w:tr w:rsidR="00423AF8" w:rsidRPr="004F6172" w14:paraId="66D6E3B5" w14:textId="53C360C8" w:rsidTr="002606CD">
        <w:tc>
          <w:tcPr>
            <w:tcW w:w="1913" w:type="pct"/>
            <w:shd w:val="clear" w:color="auto" w:fill="auto"/>
          </w:tcPr>
          <w:p w14:paraId="35C2BC71" w14:textId="77777777" w:rsidR="00423AF8" w:rsidRPr="004F6172" w:rsidRDefault="00423AF8" w:rsidP="003A4541">
            <w:pPr>
              <w:pStyle w:val="TableLeft"/>
              <w:rPr>
                <w:szCs w:val="20"/>
                <w:vertAlign w:val="superscript"/>
                <w:lang w:val="en-AU"/>
              </w:rPr>
            </w:pPr>
            <w:r w:rsidRPr="004F6172">
              <w:rPr>
                <w:szCs w:val="20"/>
                <w:lang w:val="en-AU"/>
              </w:rPr>
              <w:t>Upper respiratory tract infections</w:t>
            </w:r>
            <w:r w:rsidRPr="004F6172">
              <w:rPr>
                <w:szCs w:val="20"/>
                <w:vertAlign w:val="superscript"/>
                <w:lang w:val="en-AU"/>
              </w:rPr>
              <w:t>a</w:t>
            </w:r>
          </w:p>
        </w:tc>
        <w:tc>
          <w:tcPr>
            <w:tcW w:w="1031" w:type="pct"/>
            <w:shd w:val="clear" w:color="auto" w:fill="auto"/>
          </w:tcPr>
          <w:p w14:paraId="0AC3FE31" w14:textId="77777777" w:rsidR="00423AF8" w:rsidRPr="004F6172" w:rsidRDefault="00423AF8" w:rsidP="003A4541">
            <w:pPr>
              <w:pStyle w:val="TableCenter"/>
              <w:rPr>
                <w:szCs w:val="20"/>
                <w:lang w:val="en-AU"/>
              </w:rPr>
            </w:pPr>
            <w:r w:rsidRPr="004F6172">
              <w:rPr>
                <w:szCs w:val="20"/>
                <w:lang w:val="en-AU"/>
              </w:rPr>
              <w:t>Very common</w:t>
            </w:r>
          </w:p>
        </w:tc>
        <w:tc>
          <w:tcPr>
            <w:tcW w:w="588" w:type="pct"/>
            <w:shd w:val="clear" w:color="auto" w:fill="auto"/>
          </w:tcPr>
          <w:p w14:paraId="1BFB47B0" w14:textId="77777777" w:rsidR="00423AF8" w:rsidRPr="004F6172" w:rsidRDefault="00423AF8" w:rsidP="003A4541">
            <w:pPr>
              <w:pStyle w:val="TableCenter"/>
              <w:rPr>
                <w:szCs w:val="20"/>
                <w:lang w:val="en-AU"/>
              </w:rPr>
            </w:pPr>
            <w:r w:rsidRPr="004F6172">
              <w:rPr>
                <w:szCs w:val="20"/>
                <w:lang w:val="en-AU"/>
              </w:rPr>
              <w:t>13.5</w:t>
            </w:r>
          </w:p>
        </w:tc>
        <w:tc>
          <w:tcPr>
            <w:tcW w:w="884" w:type="pct"/>
            <w:shd w:val="clear" w:color="auto" w:fill="auto"/>
          </w:tcPr>
          <w:p w14:paraId="11F9F306" w14:textId="5CEBA528" w:rsidR="00423AF8" w:rsidRPr="004F6172" w:rsidRDefault="00C40F7C" w:rsidP="003A4541">
            <w:pPr>
              <w:pStyle w:val="TableCenter"/>
              <w:rPr>
                <w:szCs w:val="20"/>
                <w:lang w:val="en-AU"/>
              </w:rPr>
            </w:pPr>
            <w:r w:rsidRPr="004F6172">
              <w:rPr>
                <w:szCs w:val="20"/>
                <w:lang w:val="en-AU"/>
              </w:rPr>
              <w:t>Uncommon</w:t>
            </w:r>
          </w:p>
        </w:tc>
        <w:tc>
          <w:tcPr>
            <w:tcW w:w="585" w:type="pct"/>
          </w:tcPr>
          <w:p w14:paraId="0964C7C7" w14:textId="650A9FA6" w:rsidR="00423AF8" w:rsidRPr="004F6172" w:rsidRDefault="00423AF8" w:rsidP="003A4541">
            <w:pPr>
              <w:pStyle w:val="TableCenter"/>
              <w:rPr>
                <w:szCs w:val="20"/>
                <w:lang w:val="en-AU"/>
              </w:rPr>
            </w:pPr>
            <w:r w:rsidRPr="004F6172">
              <w:rPr>
                <w:szCs w:val="20"/>
                <w:lang w:val="en-AU"/>
              </w:rPr>
              <w:t xml:space="preserve"> 0.2</w:t>
            </w:r>
          </w:p>
        </w:tc>
      </w:tr>
      <w:tr w:rsidR="00423AF8" w:rsidRPr="004F6172" w14:paraId="1D2F331F" w14:textId="7A50DF14" w:rsidTr="002606CD">
        <w:tc>
          <w:tcPr>
            <w:tcW w:w="1913" w:type="pct"/>
            <w:shd w:val="clear" w:color="auto" w:fill="auto"/>
          </w:tcPr>
          <w:p w14:paraId="5CEA9468" w14:textId="3AE9A2FE" w:rsidR="00423AF8" w:rsidRPr="004F6172" w:rsidRDefault="00423AF8" w:rsidP="003A4541">
            <w:pPr>
              <w:pStyle w:val="TableLeft"/>
              <w:rPr>
                <w:szCs w:val="20"/>
                <w:vertAlign w:val="superscript"/>
                <w:lang w:val="en-AU"/>
              </w:rPr>
            </w:pPr>
            <w:r w:rsidRPr="004F6172">
              <w:rPr>
                <w:szCs w:val="20"/>
                <w:lang w:val="en-AU"/>
              </w:rPr>
              <w:t>Pneumonia</w:t>
            </w:r>
            <w:r w:rsidR="004F6172">
              <w:rPr>
                <w:szCs w:val="20"/>
                <w:lang w:val="en-AU"/>
              </w:rPr>
              <w:t xml:space="preserve"> </w:t>
            </w:r>
            <w:r w:rsidRPr="004F6172">
              <w:rPr>
                <w:szCs w:val="20"/>
                <w:vertAlign w:val="superscript"/>
                <w:lang w:val="en-AU"/>
              </w:rPr>
              <w:t>b,c</w:t>
            </w:r>
          </w:p>
        </w:tc>
        <w:tc>
          <w:tcPr>
            <w:tcW w:w="1031" w:type="pct"/>
            <w:shd w:val="clear" w:color="auto" w:fill="auto"/>
          </w:tcPr>
          <w:p w14:paraId="2E4C4B13" w14:textId="77777777" w:rsidR="00423AF8" w:rsidRPr="004F6172" w:rsidRDefault="00423AF8" w:rsidP="003A4541">
            <w:pPr>
              <w:pStyle w:val="TableCenter"/>
              <w:rPr>
                <w:szCs w:val="20"/>
                <w:lang w:val="en-AU"/>
              </w:rPr>
            </w:pPr>
            <w:r w:rsidRPr="004F6172">
              <w:rPr>
                <w:szCs w:val="20"/>
                <w:lang w:val="en-AU"/>
              </w:rPr>
              <w:t>Common</w:t>
            </w:r>
          </w:p>
        </w:tc>
        <w:tc>
          <w:tcPr>
            <w:tcW w:w="588" w:type="pct"/>
            <w:shd w:val="clear" w:color="auto" w:fill="auto"/>
          </w:tcPr>
          <w:p w14:paraId="3FE8E3F4" w14:textId="77777777" w:rsidR="00423AF8" w:rsidRPr="004F6172" w:rsidRDefault="00423AF8" w:rsidP="003A4541">
            <w:pPr>
              <w:pStyle w:val="TableCenter"/>
              <w:rPr>
                <w:szCs w:val="20"/>
                <w:lang w:val="en-AU"/>
              </w:rPr>
            </w:pPr>
            <w:r w:rsidRPr="004F6172">
              <w:rPr>
                <w:szCs w:val="20"/>
                <w:lang w:val="en-AU"/>
              </w:rPr>
              <w:t>8.9</w:t>
            </w:r>
          </w:p>
        </w:tc>
        <w:tc>
          <w:tcPr>
            <w:tcW w:w="884" w:type="pct"/>
            <w:shd w:val="clear" w:color="auto" w:fill="auto"/>
          </w:tcPr>
          <w:p w14:paraId="647DEF7D" w14:textId="2BA9C6C8" w:rsidR="00423AF8" w:rsidRPr="004F6172" w:rsidRDefault="00C40F7C" w:rsidP="003A4541">
            <w:pPr>
              <w:pStyle w:val="TableCenter"/>
              <w:rPr>
                <w:szCs w:val="20"/>
                <w:lang w:val="en-AU"/>
              </w:rPr>
            </w:pPr>
            <w:r w:rsidRPr="004F6172">
              <w:rPr>
                <w:szCs w:val="20"/>
                <w:lang w:val="en-AU"/>
              </w:rPr>
              <w:t>Common</w:t>
            </w:r>
          </w:p>
        </w:tc>
        <w:tc>
          <w:tcPr>
            <w:tcW w:w="585" w:type="pct"/>
          </w:tcPr>
          <w:p w14:paraId="0B8AEE8A" w14:textId="639BA275" w:rsidR="00423AF8" w:rsidRPr="004F6172" w:rsidRDefault="00423AF8" w:rsidP="003A4541">
            <w:pPr>
              <w:pStyle w:val="TableCenter"/>
              <w:rPr>
                <w:szCs w:val="20"/>
                <w:lang w:val="en-AU"/>
              </w:rPr>
            </w:pPr>
            <w:r w:rsidRPr="004F6172">
              <w:rPr>
                <w:szCs w:val="20"/>
                <w:lang w:val="en-AU"/>
              </w:rPr>
              <w:t>3.5</w:t>
            </w:r>
          </w:p>
        </w:tc>
      </w:tr>
      <w:tr w:rsidR="00423AF8" w:rsidRPr="004F6172" w14:paraId="4F7B2AF5" w14:textId="6BEDE9BD" w:rsidTr="002606CD">
        <w:tc>
          <w:tcPr>
            <w:tcW w:w="1913" w:type="pct"/>
            <w:shd w:val="clear" w:color="auto" w:fill="auto"/>
          </w:tcPr>
          <w:p w14:paraId="36C8E762" w14:textId="77777777" w:rsidR="00423AF8" w:rsidRPr="004F6172" w:rsidRDefault="00423AF8" w:rsidP="003A4541">
            <w:pPr>
              <w:pStyle w:val="TableLeft"/>
              <w:rPr>
                <w:szCs w:val="20"/>
                <w:lang w:val="en-AU"/>
              </w:rPr>
            </w:pPr>
            <w:r w:rsidRPr="004F6172">
              <w:rPr>
                <w:szCs w:val="20"/>
                <w:lang w:val="en-AU"/>
              </w:rPr>
              <w:t>Oral candidiasis</w:t>
            </w:r>
          </w:p>
        </w:tc>
        <w:tc>
          <w:tcPr>
            <w:tcW w:w="1031" w:type="pct"/>
            <w:shd w:val="clear" w:color="auto" w:fill="auto"/>
          </w:tcPr>
          <w:p w14:paraId="54615A24" w14:textId="77777777" w:rsidR="00423AF8" w:rsidRPr="004F6172" w:rsidRDefault="00423AF8" w:rsidP="003A4541">
            <w:pPr>
              <w:pStyle w:val="TableCenter"/>
              <w:rPr>
                <w:szCs w:val="20"/>
                <w:lang w:val="en-AU"/>
              </w:rPr>
            </w:pPr>
            <w:r w:rsidRPr="004F6172">
              <w:rPr>
                <w:szCs w:val="20"/>
                <w:lang w:val="en-AU"/>
              </w:rPr>
              <w:t>Common</w:t>
            </w:r>
          </w:p>
        </w:tc>
        <w:tc>
          <w:tcPr>
            <w:tcW w:w="588" w:type="pct"/>
            <w:shd w:val="clear" w:color="auto" w:fill="auto"/>
          </w:tcPr>
          <w:p w14:paraId="35CBF21E" w14:textId="77777777" w:rsidR="00423AF8" w:rsidRPr="004F6172" w:rsidRDefault="00423AF8" w:rsidP="003A4541">
            <w:pPr>
              <w:pStyle w:val="TableCenter"/>
              <w:rPr>
                <w:szCs w:val="20"/>
                <w:lang w:val="en-AU"/>
              </w:rPr>
            </w:pPr>
            <w:r w:rsidRPr="004F6172">
              <w:rPr>
                <w:szCs w:val="20"/>
                <w:lang w:val="en-AU"/>
              </w:rPr>
              <w:t>2.1</w:t>
            </w:r>
          </w:p>
        </w:tc>
        <w:tc>
          <w:tcPr>
            <w:tcW w:w="884" w:type="pct"/>
            <w:shd w:val="clear" w:color="auto" w:fill="auto"/>
          </w:tcPr>
          <w:p w14:paraId="6C1436F9" w14:textId="156315C6" w:rsidR="00423AF8" w:rsidRPr="004F6172" w:rsidRDefault="00423AF8" w:rsidP="003A4541">
            <w:pPr>
              <w:pStyle w:val="TableCenter"/>
              <w:rPr>
                <w:szCs w:val="20"/>
                <w:lang w:val="en-AU"/>
              </w:rPr>
            </w:pPr>
          </w:p>
        </w:tc>
        <w:tc>
          <w:tcPr>
            <w:tcW w:w="585" w:type="pct"/>
          </w:tcPr>
          <w:p w14:paraId="212CEE0D" w14:textId="64B445B5" w:rsidR="00423AF8" w:rsidRPr="004F6172" w:rsidRDefault="00423AF8" w:rsidP="003A4541">
            <w:pPr>
              <w:pStyle w:val="TableCenter"/>
              <w:rPr>
                <w:szCs w:val="20"/>
                <w:lang w:val="en-AU"/>
              </w:rPr>
            </w:pPr>
            <w:r w:rsidRPr="004F6172">
              <w:rPr>
                <w:szCs w:val="20"/>
                <w:lang w:val="en-AU"/>
              </w:rPr>
              <w:t>0</w:t>
            </w:r>
          </w:p>
        </w:tc>
      </w:tr>
      <w:tr w:rsidR="00423AF8" w:rsidRPr="004F6172" w14:paraId="1A99B885" w14:textId="53B51BE6" w:rsidTr="002606CD">
        <w:tc>
          <w:tcPr>
            <w:tcW w:w="1913" w:type="pct"/>
            <w:shd w:val="clear" w:color="auto" w:fill="auto"/>
          </w:tcPr>
          <w:p w14:paraId="432BE8DF" w14:textId="77777777" w:rsidR="00423AF8" w:rsidRPr="004F6172" w:rsidRDefault="00423AF8" w:rsidP="003A4541">
            <w:pPr>
              <w:pStyle w:val="TableLeft"/>
              <w:rPr>
                <w:szCs w:val="20"/>
                <w:lang w:val="en-AU"/>
              </w:rPr>
            </w:pPr>
            <w:r w:rsidRPr="004F6172">
              <w:rPr>
                <w:szCs w:val="20"/>
                <w:lang w:val="en-AU"/>
              </w:rPr>
              <w:t>Dental and oral soft tissue infections</w:t>
            </w:r>
            <w:r w:rsidRPr="004F6172">
              <w:rPr>
                <w:szCs w:val="20"/>
                <w:vertAlign w:val="superscript"/>
                <w:lang w:val="en-AU"/>
              </w:rPr>
              <w:t>d</w:t>
            </w:r>
          </w:p>
        </w:tc>
        <w:tc>
          <w:tcPr>
            <w:tcW w:w="1031" w:type="pct"/>
            <w:shd w:val="clear" w:color="auto" w:fill="auto"/>
          </w:tcPr>
          <w:p w14:paraId="0691941F" w14:textId="77777777" w:rsidR="00423AF8" w:rsidRPr="004F6172" w:rsidRDefault="00423AF8" w:rsidP="003A4541">
            <w:pPr>
              <w:pStyle w:val="TableCenter"/>
              <w:rPr>
                <w:szCs w:val="20"/>
                <w:lang w:val="en-AU"/>
              </w:rPr>
            </w:pPr>
            <w:r w:rsidRPr="004F6172">
              <w:rPr>
                <w:szCs w:val="20"/>
                <w:lang w:val="en-AU"/>
              </w:rPr>
              <w:t>Common</w:t>
            </w:r>
          </w:p>
        </w:tc>
        <w:tc>
          <w:tcPr>
            <w:tcW w:w="588" w:type="pct"/>
            <w:shd w:val="clear" w:color="auto" w:fill="auto"/>
          </w:tcPr>
          <w:p w14:paraId="19EC2C53" w14:textId="77777777" w:rsidR="00423AF8" w:rsidRPr="004F6172" w:rsidRDefault="00423AF8" w:rsidP="003A4541">
            <w:pPr>
              <w:pStyle w:val="TableCenter"/>
              <w:rPr>
                <w:szCs w:val="20"/>
                <w:lang w:val="en-AU"/>
              </w:rPr>
            </w:pPr>
            <w:r w:rsidRPr="004F6172">
              <w:rPr>
                <w:szCs w:val="20"/>
                <w:lang w:val="en-AU"/>
              </w:rPr>
              <w:t>1.7</w:t>
            </w:r>
          </w:p>
        </w:tc>
        <w:tc>
          <w:tcPr>
            <w:tcW w:w="884" w:type="pct"/>
            <w:shd w:val="clear" w:color="auto" w:fill="auto"/>
          </w:tcPr>
          <w:p w14:paraId="146D356F" w14:textId="04AF771B" w:rsidR="00423AF8" w:rsidRPr="004F6172" w:rsidRDefault="00C40F7C" w:rsidP="003A4541">
            <w:pPr>
              <w:pStyle w:val="TableCenter"/>
              <w:rPr>
                <w:szCs w:val="20"/>
                <w:lang w:val="en-AU"/>
              </w:rPr>
            </w:pPr>
            <w:r w:rsidRPr="004F6172">
              <w:rPr>
                <w:szCs w:val="20"/>
                <w:lang w:val="en-AU"/>
              </w:rPr>
              <w:t>Rare</w:t>
            </w:r>
          </w:p>
        </w:tc>
        <w:tc>
          <w:tcPr>
            <w:tcW w:w="585" w:type="pct"/>
          </w:tcPr>
          <w:p w14:paraId="65FC22B7" w14:textId="72E31D79" w:rsidR="00423AF8" w:rsidRPr="004F6172" w:rsidRDefault="00423AF8" w:rsidP="003A4541">
            <w:pPr>
              <w:pStyle w:val="TableCenter"/>
              <w:rPr>
                <w:szCs w:val="20"/>
                <w:lang w:val="en-AU"/>
              </w:rPr>
            </w:pPr>
            <w:r w:rsidRPr="004F6172">
              <w:rPr>
                <w:szCs w:val="20"/>
                <w:lang w:val="en-AU"/>
              </w:rPr>
              <w:t>&lt;0.1</w:t>
            </w:r>
          </w:p>
        </w:tc>
      </w:tr>
      <w:tr w:rsidR="00423AF8" w:rsidRPr="004F6172" w14:paraId="7F40300B" w14:textId="14CCB05B" w:rsidTr="002606CD">
        <w:tc>
          <w:tcPr>
            <w:tcW w:w="1913" w:type="pct"/>
            <w:shd w:val="clear" w:color="auto" w:fill="auto"/>
          </w:tcPr>
          <w:p w14:paraId="164886D5" w14:textId="77777777" w:rsidR="00423AF8" w:rsidRPr="004F6172" w:rsidRDefault="00423AF8" w:rsidP="003A4541">
            <w:pPr>
              <w:pStyle w:val="TableLeft"/>
              <w:rPr>
                <w:szCs w:val="20"/>
                <w:lang w:val="en-AU"/>
              </w:rPr>
            </w:pPr>
            <w:r w:rsidRPr="004F6172">
              <w:rPr>
                <w:szCs w:val="20"/>
                <w:lang w:val="en-AU"/>
              </w:rPr>
              <w:t>Influenza</w:t>
            </w:r>
          </w:p>
        </w:tc>
        <w:tc>
          <w:tcPr>
            <w:tcW w:w="1031" w:type="pct"/>
            <w:shd w:val="clear" w:color="auto" w:fill="auto"/>
          </w:tcPr>
          <w:p w14:paraId="77695BEA" w14:textId="77777777" w:rsidR="00423AF8" w:rsidRPr="004F6172" w:rsidRDefault="00423AF8" w:rsidP="003A4541">
            <w:pPr>
              <w:pStyle w:val="TableCenter"/>
              <w:rPr>
                <w:szCs w:val="20"/>
                <w:lang w:val="en-AU"/>
              </w:rPr>
            </w:pPr>
            <w:r w:rsidRPr="004F6172">
              <w:rPr>
                <w:szCs w:val="20"/>
                <w:lang w:val="en-AU"/>
              </w:rPr>
              <w:t>Common</w:t>
            </w:r>
          </w:p>
        </w:tc>
        <w:tc>
          <w:tcPr>
            <w:tcW w:w="588" w:type="pct"/>
            <w:shd w:val="clear" w:color="auto" w:fill="auto"/>
          </w:tcPr>
          <w:p w14:paraId="1FF8053D" w14:textId="77777777" w:rsidR="00423AF8" w:rsidRPr="004F6172" w:rsidRDefault="00423AF8" w:rsidP="003A4541">
            <w:pPr>
              <w:pStyle w:val="TableCenter"/>
              <w:rPr>
                <w:szCs w:val="20"/>
                <w:lang w:val="en-AU"/>
              </w:rPr>
            </w:pPr>
            <w:r w:rsidRPr="004F6172">
              <w:rPr>
                <w:szCs w:val="20"/>
                <w:lang w:val="en-AU"/>
              </w:rPr>
              <w:t>1.6</w:t>
            </w:r>
          </w:p>
        </w:tc>
        <w:tc>
          <w:tcPr>
            <w:tcW w:w="884" w:type="pct"/>
            <w:shd w:val="clear" w:color="auto" w:fill="auto"/>
          </w:tcPr>
          <w:p w14:paraId="08EDB7ED" w14:textId="5A78F470" w:rsidR="00423AF8" w:rsidRPr="004F6172" w:rsidRDefault="00C40F7C" w:rsidP="003A4541">
            <w:pPr>
              <w:pStyle w:val="TableCenter"/>
              <w:rPr>
                <w:szCs w:val="20"/>
                <w:lang w:val="en-AU"/>
              </w:rPr>
            </w:pPr>
            <w:r w:rsidRPr="004F6172">
              <w:rPr>
                <w:szCs w:val="20"/>
                <w:lang w:val="en-AU"/>
              </w:rPr>
              <w:t>Rare</w:t>
            </w:r>
          </w:p>
        </w:tc>
        <w:tc>
          <w:tcPr>
            <w:tcW w:w="585" w:type="pct"/>
          </w:tcPr>
          <w:p w14:paraId="0B965FCA" w14:textId="0DEE9A4E" w:rsidR="00423AF8" w:rsidRPr="004F6172" w:rsidRDefault="00423AF8" w:rsidP="003A4541">
            <w:pPr>
              <w:pStyle w:val="TableCenter"/>
              <w:rPr>
                <w:szCs w:val="20"/>
                <w:lang w:val="en-AU"/>
              </w:rPr>
            </w:pPr>
            <w:r w:rsidRPr="004F6172">
              <w:rPr>
                <w:szCs w:val="20"/>
                <w:lang w:val="en-AU"/>
              </w:rPr>
              <w:t>&lt;0.1</w:t>
            </w:r>
          </w:p>
        </w:tc>
      </w:tr>
      <w:tr w:rsidR="00F9458F" w:rsidRPr="004F6172" w14:paraId="3947EF9E" w14:textId="22E57BDC" w:rsidTr="003A4541">
        <w:tc>
          <w:tcPr>
            <w:tcW w:w="5000" w:type="pct"/>
            <w:gridSpan w:val="5"/>
          </w:tcPr>
          <w:p w14:paraId="58CD7898" w14:textId="6C7924A3" w:rsidR="00F9458F" w:rsidRPr="004F6172" w:rsidRDefault="00F9458F" w:rsidP="003A4541">
            <w:pPr>
              <w:pStyle w:val="TableLeft"/>
              <w:rPr>
                <w:b/>
                <w:bCs w:val="0"/>
                <w:szCs w:val="20"/>
                <w:lang w:val="en-AU"/>
              </w:rPr>
            </w:pPr>
            <w:r w:rsidRPr="004F6172">
              <w:rPr>
                <w:b/>
                <w:bCs w:val="0"/>
                <w:szCs w:val="20"/>
                <w:lang w:val="en-AU"/>
              </w:rPr>
              <w:t>Blood and lymphatic system disorders</w:t>
            </w:r>
          </w:p>
        </w:tc>
      </w:tr>
      <w:tr w:rsidR="00423AF8" w:rsidRPr="004F6172" w14:paraId="420154D0" w14:textId="43B058B4" w:rsidTr="002606CD">
        <w:tc>
          <w:tcPr>
            <w:tcW w:w="1913" w:type="pct"/>
            <w:shd w:val="clear" w:color="auto" w:fill="auto"/>
          </w:tcPr>
          <w:p w14:paraId="7D031AE9" w14:textId="77777777" w:rsidR="00423AF8" w:rsidRPr="004F6172" w:rsidRDefault="00423AF8" w:rsidP="003A4541">
            <w:pPr>
              <w:pStyle w:val="TableLeft"/>
              <w:rPr>
                <w:szCs w:val="20"/>
                <w:lang w:val="en-AU"/>
              </w:rPr>
            </w:pPr>
            <w:r w:rsidRPr="004F6172">
              <w:rPr>
                <w:szCs w:val="20"/>
                <w:lang w:val="en-AU"/>
              </w:rPr>
              <w:t>Immune thrombocytopenia</w:t>
            </w:r>
          </w:p>
        </w:tc>
        <w:tc>
          <w:tcPr>
            <w:tcW w:w="1031" w:type="pct"/>
            <w:shd w:val="clear" w:color="auto" w:fill="auto"/>
          </w:tcPr>
          <w:p w14:paraId="7B2C5BDF" w14:textId="77777777" w:rsidR="00423AF8" w:rsidRPr="004F6172" w:rsidRDefault="00423AF8" w:rsidP="003A4541">
            <w:pPr>
              <w:pStyle w:val="TableCenter"/>
              <w:rPr>
                <w:szCs w:val="20"/>
                <w:lang w:val="en-AU"/>
              </w:rPr>
            </w:pPr>
            <w:r w:rsidRPr="004F6172">
              <w:rPr>
                <w:szCs w:val="20"/>
                <w:lang w:val="en-AU"/>
              </w:rPr>
              <w:t>Rare</w:t>
            </w:r>
          </w:p>
        </w:tc>
        <w:tc>
          <w:tcPr>
            <w:tcW w:w="588" w:type="pct"/>
            <w:shd w:val="clear" w:color="auto" w:fill="auto"/>
          </w:tcPr>
          <w:p w14:paraId="6FCD6455" w14:textId="48253CE6" w:rsidR="00423AF8" w:rsidRPr="004F6172" w:rsidRDefault="00423AF8" w:rsidP="003A4541">
            <w:pPr>
              <w:pStyle w:val="TableCenter"/>
              <w:rPr>
                <w:szCs w:val="20"/>
                <w:lang w:val="en-AU"/>
              </w:rPr>
            </w:pPr>
            <w:r w:rsidRPr="004F6172">
              <w:rPr>
                <w:szCs w:val="20"/>
                <w:lang w:val="en-AU"/>
              </w:rPr>
              <w:t>&lt;0.1</w:t>
            </w:r>
          </w:p>
        </w:tc>
        <w:tc>
          <w:tcPr>
            <w:tcW w:w="884" w:type="pct"/>
            <w:shd w:val="clear" w:color="auto" w:fill="auto"/>
          </w:tcPr>
          <w:p w14:paraId="358F077E" w14:textId="6BF65AA0" w:rsidR="00423AF8" w:rsidRPr="004F6172" w:rsidRDefault="00C40F7C" w:rsidP="003A4541">
            <w:pPr>
              <w:pStyle w:val="TableCenter"/>
              <w:rPr>
                <w:szCs w:val="20"/>
                <w:lang w:val="en-AU"/>
              </w:rPr>
            </w:pPr>
            <w:r w:rsidRPr="004F6172">
              <w:rPr>
                <w:szCs w:val="20"/>
                <w:lang w:val="en-AU"/>
              </w:rPr>
              <w:t>Rare</w:t>
            </w:r>
          </w:p>
        </w:tc>
        <w:tc>
          <w:tcPr>
            <w:tcW w:w="585" w:type="pct"/>
          </w:tcPr>
          <w:p w14:paraId="5F47CD40" w14:textId="3DC9D558" w:rsidR="00423AF8" w:rsidRPr="004F6172" w:rsidRDefault="00C40F7C" w:rsidP="003A4541">
            <w:pPr>
              <w:pStyle w:val="TableCenter"/>
              <w:rPr>
                <w:szCs w:val="20"/>
                <w:lang w:val="en-AU"/>
              </w:rPr>
            </w:pPr>
            <w:r w:rsidRPr="004F6172">
              <w:rPr>
                <w:szCs w:val="20"/>
                <w:lang w:val="en-AU"/>
              </w:rPr>
              <w:t>&lt;0.1</w:t>
            </w:r>
          </w:p>
        </w:tc>
      </w:tr>
      <w:tr w:rsidR="00F9458F" w:rsidRPr="004F6172" w14:paraId="7E9BF26E" w14:textId="609A049D" w:rsidTr="003A4541">
        <w:tc>
          <w:tcPr>
            <w:tcW w:w="5000" w:type="pct"/>
            <w:gridSpan w:val="5"/>
          </w:tcPr>
          <w:p w14:paraId="0FAFD840" w14:textId="22BAFC88" w:rsidR="00F9458F" w:rsidRPr="004F6172" w:rsidRDefault="00F9458F" w:rsidP="003A4541">
            <w:pPr>
              <w:pStyle w:val="TableLeft"/>
              <w:rPr>
                <w:b/>
                <w:bCs w:val="0"/>
                <w:szCs w:val="20"/>
                <w:lang w:val="en-AU"/>
              </w:rPr>
            </w:pPr>
            <w:r w:rsidRPr="004F6172">
              <w:rPr>
                <w:b/>
                <w:bCs w:val="0"/>
                <w:szCs w:val="20"/>
                <w:lang w:val="en-AU"/>
              </w:rPr>
              <w:t>Endocrine disorders</w:t>
            </w:r>
          </w:p>
        </w:tc>
      </w:tr>
      <w:tr w:rsidR="00C40F7C" w:rsidRPr="004F6172" w14:paraId="485CBC63" w14:textId="6807C13A" w:rsidTr="002606CD">
        <w:tc>
          <w:tcPr>
            <w:tcW w:w="1913" w:type="pct"/>
            <w:shd w:val="clear" w:color="auto" w:fill="auto"/>
          </w:tcPr>
          <w:p w14:paraId="3FB05920" w14:textId="7E0C4F67" w:rsidR="00C40F7C" w:rsidRPr="004F6172" w:rsidRDefault="00C40F7C" w:rsidP="003A4541">
            <w:pPr>
              <w:pStyle w:val="TableLeft"/>
              <w:rPr>
                <w:szCs w:val="20"/>
                <w:vertAlign w:val="superscript"/>
                <w:lang w:val="en-AU"/>
              </w:rPr>
            </w:pPr>
            <w:r w:rsidRPr="004F6172">
              <w:rPr>
                <w:szCs w:val="20"/>
                <w:lang w:val="en-AU"/>
              </w:rPr>
              <w:t>Hypothyroidism</w:t>
            </w:r>
            <w:r w:rsidRPr="004F6172">
              <w:rPr>
                <w:szCs w:val="20"/>
                <w:vertAlign w:val="superscript"/>
                <w:lang w:val="en-AU"/>
              </w:rPr>
              <w:t>e</w:t>
            </w:r>
          </w:p>
        </w:tc>
        <w:tc>
          <w:tcPr>
            <w:tcW w:w="1031" w:type="pct"/>
            <w:shd w:val="clear" w:color="auto" w:fill="auto"/>
          </w:tcPr>
          <w:p w14:paraId="6B580181" w14:textId="77777777" w:rsidR="00C40F7C" w:rsidRPr="004F6172" w:rsidRDefault="00C40F7C" w:rsidP="003A4541">
            <w:pPr>
              <w:pStyle w:val="TableCenter"/>
              <w:rPr>
                <w:szCs w:val="20"/>
                <w:lang w:val="en-AU"/>
              </w:rPr>
            </w:pPr>
            <w:r w:rsidRPr="004F6172">
              <w:rPr>
                <w:szCs w:val="20"/>
                <w:lang w:val="en-AU"/>
              </w:rPr>
              <w:t>Very common</w:t>
            </w:r>
          </w:p>
        </w:tc>
        <w:tc>
          <w:tcPr>
            <w:tcW w:w="588" w:type="pct"/>
            <w:shd w:val="clear" w:color="auto" w:fill="auto"/>
          </w:tcPr>
          <w:p w14:paraId="2A3EACBF" w14:textId="77777777" w:rsidR="00C40F7C" w:rsidRPr="004F6172" w:rsidRDefault="00C40F7C" w:rsidP="003A4541">
            <w:pPr>
              <w:pStyle w:val="TableCenter"/>
              <w:rPr>
                <w:szCs w:val="20"/>
                <w:lang w:val="en-AU"/>
              </w:rPr>
            </w:pPr>
            <w:r w:rsidRPr="004F6172">
              <w:rPr>
                <w:szCs w:val="20"/>
                <w:lang w:val="en-AU"/>
              </w:rPr>
              <w:t>10.1</w:t>
            </w:r>
          </w:p>
        </w:tc>
        <w:tc>
          <w:tcPr>
            <w:tcW w:w="884" w:type="pct"/>
            <w:shd w:val="clear" w:color="auto" w:fill="auto"/>
          </w:tcPr>
          <w:p w14:paraId="4175F108" w14:textId="7B9E609E" w:rsidR="00C40F7C" w:rsidRPr="004F6172" w:rsidRDefault="00C40F7C" w:rsidP="003A4541">
            <w:pPr>
              <w:pStyle w:val="TableCenter"/>
              <w:rPr>
                <w:szCs w:val="20"/>
                <w:lang w:val="en-AU"/>
              </w:rPr>
            </w:pPr>
            <w:r w:rsidRPr="004F6172">
              <w:rPr>
                <w:szCs w:val="20"/>
                <w:lang w:val="en-AU"/>
              </w:rPr>
              <w:t>Uncommon</w:t>
            </w:r>
          </w:p>
        </w:tc>
        <w:tc>
          <w:tcPr>
            <w:tcW w:w="585" w:type="pct"/>
          </w:tcPr>
          <w:p w14:paraId="0C8CADD5" w14:textId="16A58DAF" w:rsidR="00C40F7C" w:rsidRPr="004F6172" w:rsidRDefault="00C40F7C" w:rsidP="003A4541">
            <w:pPr>
              <w:pStyle w:val="TableCenter"/>
              <w:rPr>
                <w:szCs w:val="20"/>
                <w:lang w:val="en-AU"/>
              </w:rPr>
            </w:pPr>
            <w:r w:rsidRPr="004F6172">
              <w:rPr>
                <w:szCs w:val="20"/>
                <w:lang w:val="en-AU"/>
              </w:rPr>
              <w:t>0.2</w:t>
            </w:r>
          </w:p>
        </w:tc>
      </w:tr>
      <w:tr w:rsidR="00C40F7C" w:rsidRPr="004F6172" w14:paraId="1C877575" w14:textId="0BF57D1A" w:rsidTr="002606CD">
        <w:tc>
          <w:tcPr>
            <w:tcW w:w="1913" w:type="pct"/>
            <w:shd w:val="clear" w:color="auto" w:fill="auto"/>
          </w:tcPr>
          <w:p w14:paraId="28B3F0F1" w14:textId="394F1DFA" w:rsidR="00C40F7C" w:rsidRPr="004F6172" w:rsidRDefault="00C40F7C" w:rsidP="003A4541">
            <w:pPr>
              <w:pStyle w:val="TableLeft"/>
              <w:rPr>
                <w:szCs w:val="20"/>
                <w:vertAlign w:val="superscript"/>
                <w:lang w:val="en-AU"/>
              </w:rPr>
            </w:pPr>
            <w:r w:rsidRPr="004F6172">
              <w:rPr>
                <w:szCs w:val="20"/>
                <w:lang w:val="en-AU"/>
              </w:rPr>
              <w:t>Hyperthyroidism</w:t>
            </w:r>
            <w:r w:rsidRPr="004F6172">
              <w:rPr>
                <w:szCs w:val="20"/>
                <w:vertAlign w:val="superscript"/>
                <w:lang w:val="en-AU"/>
              </w:rPr>
              <w:t>f</w:t>
            </w:r>
          </w:p>
        </w:tc>
        <w:tc>
          <w:tcPr>
            <w:tcW w:w="1031" w:type="pct"/>
            <w:shd w:val="clear" w:color="auto" w:fill="auto"/>
          </w:tcPr>
          <w:p w14:paraId="1A2F1243" w14:textId="77777777" w:rsidR="00C40F7C" w:rsidRPr="004F6172" w:rsidRDefault="00C40F7C" w:rsidP="003A4541">
            <w:pPr>
              <w:pStyle w:val="TableCenter"/>
              <w:rPr>
                <w:szCs w:val="20"/>
                <w:lang w:val="en-AU"/>
              </w:rPr>
            </w:pPr>
            <w:r w:rsidRPr="004F6172">
              <w:rPr>
                <w:szCs w:val="20"/>
                <w:lang w:val="en-AU"/>
              </w:rPr>
              <w:t>Common</w:t>
            </w:r>
          </w:p>
        </w:tc>
        <w:tc>
          <w:tcPr>
            <w:tcW w:w="588" w:type="pct"/>
            <w:shd w:val="clear" w:color="auto" w:fill="auto"/>
          </w:tcPr>
          <w:p w14:paraId="1ADC5D79" w14:textId="77777777" w:rsidR="00C40F7C" w:rsidRPr="004F6172" w:rsidRDefault="00C40F7C" w:rsidP="003A4541">
            <w:pPr>
              <w:pStyle w:val="TableCenter"/>
              <w:rPr>
                <w:szCs w:val="20"/>
                <w:lang w:val="en-AU"/>
              </w:rPr>
            </w:pPr>
            <w:r w:rsidRPr="004F6172">
              <w:rPr>
                <w:szCs w:val="20"/>
                <w:lang w:val="en-AU"/>
              </w:rPr>
              <w:t>4.6</w:t>
            </w:r>
          </w:p>
        </w:tc>
        <w:tc>
          <w:tcPr>
            <w:tcW w:w="884" w:type="pct"/>
            <w:shd w:val="clear" w:color="auto" w:fill="auto"/>
          </w:tcPr>
          <w:p w14:paraId="12FAA93A" w14:textId="403E8DD9" w:rsidR="00C40F7C" w:rsidRPr="004F6172" w:rsidRDefault="00C40F7C" w:rsidP="003A4541">
            <w:pPr>
              <w:pStyle w:val="TableCenter"/>
              <w:rPr>
                <w:szCs w:val="20"/>
                <w:lang w:val="en-AU"/>
              </w:rPr>
            </w:pPr>
          </w:p>
        </w:tc>
        <w:tc>
          <w:tcPr>
            <w:tcW w:w="585" w:type="pct"/>
          </w:tcPr>
          <w:p w14:paraId="63CD152D" w14:textId="683930D6" w:rsidR="00C40F7C" w:rsidRPr="004F6172" w:rsidRDefault="00C40F7C" w:rsidP="003A4541">
            <w:pPr>
              <w:pStyle w:val="TableCenter"/>
              <w:rPr>
                <w:szCs w:val="20"/>
                <w:lang w:val="en-AU"/>
              </w:rPr>
            </w:pPr>
            <w:r w:rsidRPr="004F6172">
              <w:rPr>
                <w:szCs w:val="20"/>
                <w:lang w:val="en-AU"/>
              </w:rPr>
              <w:t>0</w:t>
            </w:r>
          </w:p>
        </w:tc>
      </w:tr>
      <w:tr w:rsidR="00C40F7C" w:rsidRPr="004F6172" w14:paraId="4AE17296" w14:textId="4DB24B2B" w:rsidTr="002606CD">
        <w:tc>
          <w:tcPr>
            <w:tcW w:w="1913" w:type="pct"/>
            <w:shd w:val="clear" w:color="auto" w:fill="auto"/>
          </w:tcPr>
          <w:p w14:paraId="13B1C84C" w14:textId="2B3DC787" w:rsidR="00C40F7C" w:rsidRPr="004F6172" w:rsidRDefault="00C40F7C" w:rsidP="003A4541">
            <w:pPr>
              <w:pStyle w:val="TableLeft"/>
              <w:rPr>
                <w:szCs w:val="20"/>
                <w:lang w:val="en-AU"/>
              </w:rPr>
            </w:pPr>
            <w:r w:rsidRPr="004F6172">
              <w:rPr>
                <w:szCs w:val="20"/>
                <w:lang w:val="en-AU"/>
              </w:rPr>
              <w:t>Thyroiditis</w:t>
            </w:r>
            <w:r w:rsidRPr="004F6172">
              <w:rPr>
                <w:szCs w:val="20"/>
                <w:vertAlign w:val="superscript"/>
                <w:lang w:val="en-AU"/>
              </w:rPr>
              <w:t>g</w:t>
            </w:r>
          </w:p>
        </w:tc>
        <w:tc>
          <w:tcPr>
            <w:tcW w:w="1031" w:type="pct"/>
            <w:shd w:val="clear" w:color="auto" w:fill="auto"/>
          </w:tcPr>
          <w:p w14:paraId="265DC754" w14:textId="77777777" w:rsidR="00C40F7C" w:rsidRPr="004F6172" w:rsidRDefault="00C40F7C" w:rsidP="003A4541">
            <w:pPr>
              <w:pStyle w:val="TableCenter"/>
              <w:rPr>
                <w:szCs w:val="20"/>
                <w:lang w:val="en-AU"/>
              </w:rPr>
            </w:pPr>
            <w:r w:rsidRPr="004F6172">
              <w:rPr>
                <w:szCs w:val="20"/>
                <w:lang w:val="en-AU"/>
              </w:rPr>
              <w:t>Uncommon</w:t>
            </w:r>
          </w:p>
        </w:tc>
        <w:tc>
          <w:tcPr>
            <w:tcW w:w="588" w:type="pct"/>
            <w:shd w:val="clear" w:color="auto" w:fill="auto"/>
          </w:tcPr>
          <w:p w14:paraId="76B4B26F" w14:textId="77777777" w:rsidR="00C40F7C" w:rsidRPr="004F6172" w:rsidRDefault="00C40F7C" w:rsidP="003A4541">
            <w:pPr>
              <w:pStyle w:val="TableCenter"/>
              <w:rPr>
                <w:szCs w:val="20"/>
                <w:lang w:val="en-AU"/>
              </w:rPr>
            </w:pPr>
            <w:r w:rsidRPr="004F6172">
              <w:rPr>
                <w:szCs w:val="20"/>
                <w:lang w:val="en-AU"/>
              </w:rPr>
              <w:t>0.8</w:t>
            </w:r>
          </w:p>
        </w:tc>
        <w:tc>
          <w:tcPr>
            <w:tcW w:w="884" w:type="pct"/>
            <w:shd w:val="clear" w:color="auto" w:fill="auto"/>
          </w:tcPr>
          <w:p w14:paraId="0D2E5320" w14:textId="6A899A48" w:rsidR="00C40F7C" w:rsidRPr="004F6172" w:rsidRDefault="00C40F7C" w:rsidP="003A4541">
            <w:pPr>
              <w:pStyle w:val="TableCenter"/>
              <w:rPr>
                <w:szCs w:val="20"/>
                <w:lang w:val="en-AU"/>
              </w:rPr>
            </w:pPr>
            <w:r w:rsidRPr="004F6172">
              <w:rPr>
                <w:szCs w:val="20"/>
                <w:lang w:val="en-AU"/>
              </w:rPr>
              <w:t>Rare</w:t>
            </w:r>
          </w:p>
        </w:tc>
        <w:tc>
          <w:tcPr>
            <w:tcW w:w="585" w:type="pct"/>
          </w:tcPr>
          <w:p w14:paraId="4BFA9912" w14:textId="75137FC5" w:rsidR="00C40F7C" w:rsidRPr="004F6172" w:rsidRDefault="00C40F7C" w:rsidP="003A4541">
            <w:pPr>
              <w:pStyle w:val="TableCenter"/>
              <w:rPr>
                <w:szCs w:val="20"/>
                <w:lang w:val="en-AU"/>
              </w:rPr>
            </w:pPr>
            <w:r w:rsidRPr="004F6172">
              <w:rPr>
                <w:szCs w:val="20"/>
                <w:lang w:val="en-AU"/>
              </w:rPr>
              <w:t>&lt;0.1</w:t>
            </w:r>
          </w:p>
        </w:tc>
      </w:tr>
      <w:tr w:rsidR="00C40F7C" w:rsidRPr="004F6172" w14:paraId="3E08D1CA" w14:textId="67CF2952" w:rsidTr="002606CD">
        <w:tc>
          <w:tcPr>
            <w:tcW w:w="1913" w:type="pct"/>
            <w:shd w:val="clear" w:color="auto" w:fill="auto"/>
          </w:tcPr>
          <w:p w14:paraId="45F5D496" w14:textId="77777777" w:rsidR="00C40F7C" w:rsidRPr="004F6172" w:rsidRDefault="00C40F7C" w:rsidP="003A4541">
            <w:pPr>
              <w:pStyle w:val="TableLeft"/>
              <w:rPr>
                <w:szCs w:val="20"/>
                <w:lang w:val="en-AU"/>
              </w:rPr>
            </w:pPr>
            <w:r w:rsidRPr="004F6172">
              <w:rPr>
                <w:szCs w:val="20"/>
                <w:lang w:val="en-AU"/>
              </w:rPr>
              <w:t>Adrenal insufficiency</w:t>
            </w:r>
          </w:p>
        </w:tc>
        <w:tc>
          <w:tcPr>
            <w:tcW w:w="1031" w:type="pct"/>
            <w:shd w:val="clear" w:color="auto" w:fill="auto"/>
          </w:tcPr>
          <w:p w14:paraId="02E94E25" w14:textId="77777777" w:rsidR="00C40F7C" w:rsidRPr="004F6172" w:rsidRDefault="00C40F7C" w:rsidP="003A4541">
            <w:pPr>
              <w:pStyle w:val="TableCenter"/>
              <w:rPr>
                <w:szCs w:val="20"/>
                <w:lang w:val="en-AU"/>
              </w:rPr>
            </w:pPr>
            <w:r w:rsidRPr="004F6172">
              <w:rPr>
                <w:szCs w:val="20"/>
                <w:lang w:val="en-AU"/>
              </w:rPr>
              <w:t>Uncommon</w:t>
            </w:r>
          </w:p>
        </w:tc>
        <w:tc>
          <w:tcPr>
            <w:tcW w:w="588" w:type="pct"/>
            <w:shd w:val="clear" w:color="auto" w:fill="auto"/>
          </w:tcPr>
          <w:p w14:paraId="4B679824" w14:textId="77777777" w:rsidR="00C40F7C" w:rsidRPr="004F6172" w:rsidRDefault="00C40F7C" w:rsidP="003A4541">
            <w:pPr>
              <w:pStyle w:val="TableCenter"/>
              <w:rPr>
                <w:szCs w:val="20"/>
                <w:lang w:val="en-AU"/>
              </w:rPr>
            </w:pPr>
            <w:r w:rsidRPr="004F6172">
              <w:rPr>
                <w:szCs w:val="20"/>
                <w:lang w:val="en-AU"/>
              </w:rPr>
              <w:t>0.6</w:t>
            </w:r>
          </w:p>
        </w:tc>
        <w:tc>
          <w:tcPr>
            <w:tcW w:w="884" w:type="pct"/>
            <w:shd w:val="clear" w:color="auto" w:fill="auto"/>
          </w:tcPr>
          <w:p w14:paraId="6044677C" w14:textId="64534BA3" w:rsidR="00C40F7C" w:rsidRPr="004F6172" w:rsidRDefault="00C40F7C" w:rsidP="003A4541">
            <w:pPr>
              <w:pStyle w:val="TableCenter"/>
              <w:rPr>
                <w:szCs w:val="20"/>
                <w:lang w:val="en-AU"/>
              </w:rPr>
            </w:pPr>
            <w:r w:rsidRPr="004F6172">
              <w:rPr>
                <w:szCs w:val="20"/>
                <w:lang w:val="en-AU"/>
              </w:rPr>
              <w:t>Rare</w:t>
            </w:r>
          </w:p>
        </w:tc>
        <w:tc>
          <w:tcPr>
            <w:tcW w:w="585" w:type="pct"/>
          </w:tcPr>
          <w:p w14:paraId="11710A34" w14:textId="08199657" w:rsidR="00C40F7C" w:rsidRPr="004F6172" w:rsidRDefault="00C40F7C" w:rsidP="003A4541">
            <w:pPr>
              <w:pStyle w:val="TableCenter"/>
              <w:rPr>
                <w:szCs w:val="20"/>
                <w:lang w:val="en-AU"/>
              </w:rPr>
            </w:pPr>
            <w:r w:rsidRPr="004F6172">
              <w:rPr>
                <w:szCs w:val="20"/>
                <w:lang w:val="en-AU"/>
              </w:rPr>
              <w:t>&lt;0.1</w:t>
            </w:r>
          </w:p>
        </w:tc>
      </w:tr>
      <w:tr w:rsidR="00C40F7C" w:rsidRPr="004F6172" w14:paraId="7BC1D4C9" w14:textId="38A13772" w:rsidTr="002606CD">
        <w:tc>
          <w:tcPr>
            <w:tcW w:w="1913" w:type="pct"/>
            <w:shd w:val="clear" w:color="auto" w:fill="auto"/>
          </w:tcPr>
          <w:p w14:paraId="7365101E" w14:textId="77777777" w:rsidR="00C40F7C" w:rsidRPr="004F6172" w:rsidRDefault="00C40F7C" w:rsidP="003A4541">
            <w:pPr>
              <w:pStyle w:val="TableLeft"/>
              <w:rPr>
                <w:szCs w:val="20"/>
                <w:lang w:val="en-AU"/>
              </w:rPr>
            </w:pPr>
            <w:r w:rsidRPr="004F6172">
              <w:rPr>
                <w:szCs w:val="20"/>
                <w:lang w:val="en-AU"/>
              </w:rPr>
              <w:t xml:space="preserve">Type 1 diabetes mellitus </w:t>
            </w:r>
          </w:p>
        </w:tc>
        <w:tc>
          <w:tcPr>
            <w:tcW w:w="1031" w:type="pct"/>
            <w:shd w:val="clear" w:color="auto" w:fill="auto"/>
          </w:tcPr>
          <w:p w14:paraId="072831A8" w14:textId="77777777" w:rsidR="00C40F7C" w:rsidRPr="004F6172" w:rsidRDefault="00C40F7C" w:rsidP="003A4541">
            <w:pPr>
              <w:pStyle w:val="TableCenter"/>
              <w:rPr>
                <w:szCs w:val="20"/>
                <w:lang w:val="en-AU"/>
              </w:rPr>
            </w:pPr>
            <w:r w:rsidRPr="004F6172">
              <w:rPr>
                <w:szCs w:val="20"/>
                <w:lang w:val="en-AU"/>
              </w:rPr>
              <w:t>Rare</w:t>
            </w:r>
          </w:p>
        </w:tc>
        <w:tc>
          <w:tcPr>
            <w:tcW w:w="588" w:type="pct"/>
            <w:shd w:val="clear" w:color="auto" w:fill="auto"/>
          </w:tcPr>
          <w:p w14:paraId="2C05BD18" w14:textId="77777777" w:rsidR="00C40F7C" w:rsidRPr="004F6172" w:rsidRDefault="00C40F7C" w:rsidP="003A4541">
            <w:pPr>
              <w:pStyle w:val="TableCenter"/>
              <w:rPr>
                <w:szCs w:val="20"/>
                <w:lang w:val="en-AU"/>
              </w:rPr>
            </w:pPr>
            <w:r w:rsidRPr="004F6172">
              <w:rPr>
                <w:szCs w:val="20"/>
                <w:lang w:val="en-AU"/>
              </w:rPr>
              <w:t>&lt;0.1</w:t>
            </w:r>
          </w:p>
        </w:tc>
        <w:tc>
          <w:tcPr>
            <w:tcW w:w="884" w:type="pct"/>
            <w:shd w:val="clear" w:color="auto" w:fill="auto"/>
          </w:tcPr>
          <w:p w14:paraId="73340AFF" w14:textId="280BB609" w:rsidR="00C40F7C" w:rsidRPr="004F6172" w:rsidRDefault="00C40F7C" w:rsidP="003A4541">
            <w:pPr>
              <w:pStyle w:val="TableCenter"/>
              <w:rPr>
                <w:szCs w:val="20"/>
                <w:lang w:val="en-AU"/>
              </w:rPr>
            </w:pPr>
            <w:r w:rsidRPr="004F6172">
              <w:rPr>
                <w:szCs w:val="20"/>
                <w:lang w:val="en-AU"/>
              </w:rPr>
              <w:t>Rare</w:t>
            </w:r>
          </w:p>
        </w:tc>
        <w:tc>
          <w:tcPr>
            <w:tcW w:w="585" w:type="pct"/>
          </w:tcPr>
          <w:p w14:paraId="1BD8DFFE" w14:textId="58A93F20" w:rsidR="00C40F7C" w:rsidRPr="004F6172" w:rsidRDefault="00C40F7C" w:rsidP="003A4541">
            <w:pPr>
              <w:pStyle w:val="TableCenter"/>
              <w:rPr>
                <w:szCs w:val="20"/>
                <w:lang w:val="en-AU"/>
              </w:rPr>
            </w:pPr>
            <w:r w:rsidRPr="004F6172">
              <w:rPr>
                <w:szCs w:val="20"/>
                <w:lang w:val="en-AU"/>
              </w:rPr>
              <w:t>&lt;0.1</w:t>
            </w:r>
          </w:p>
        </w:tc>
      </w:tr>
      <w:tr w:rsidR="00C40F7C" w:rsidRPr="004F6172" w14:paraId="1B68BC48" w14:textId="6F0FB24F" w:rsidTr="002606CD">
        <w:tc>
          <w:tcPr>
            <w:tcW w:w="1913" w:type="pct"/>
            <w:shd w:val="clear" w:color="auto" w:fill="auto"/>
          </w:tcPr>
          <w:p w14:paraId="4D4FDE98" w14:textId="7C9EDD5D" w:rsidR="00C40F7C" w:rsidRPr="004F6172" w:rsidRDefault="00C40F7C" w:rsidP="00BC4010">
            <w:pPr>
              <w:pStyle w:val="TableLeft"/>
              <w:rPr>
                <w:szCs w:val="20"/>
                <w:lang w:val="en-AU"/>
              </w:rPr>
            </w:pPr>
            <w:r w:rsidRPr="004F6172">
              <w:rPr>
                <w:szCs w:val="20"/>
                <w:lang w:val="en-AU"/>
              </w:rPr>
              <w:t>Hypophysitis/</w:t>
            </w:r>
            <w:r w:rsidR="00BC4010" w:rsidRPr="004F6172">
              <w:rPr>
                <w:szCs w:val="20"/>
                <w:lang w:val="en-AU"/>
              </w:rPr>
              <w:t>h</w:t>
            </w:r>
            <w:r w:rsidRPr="004F6172">
              <w:rPr>
                <w:szCs w:val="20"/>
                <w:lang w:val="en-AU"/>
              </w:rPr>
              <w:t>ypopituitarism</w:t>
            </w:r>
          </w:p>
        </w:tc>
        <w:tc>
          <w:tcPr>
            <w:tcW w:w="1031" w:type="pct"/>
            <w:shd w:val="clear" w:color="auto" w:fill="auto"/>
          </w:tcPr>
          <w:p w14:paraId="0C1B4BC8" w14:textId="77777777" w:rsidR="00C40F7C" w:rsidRPr="004F6172" w:rsidRDefault="00C40F7C" w:rsidP="003A4541">
            <w:pPr>
              <w:pStyle w:val="TableCenter"/>
              <w:rPr>
                <w:szCs w:val="20"/>
                <w:lang w:val="en-AU"/>
              </w:rPr>
            </w:pPr>
            <w:r w:rsidRPr="004F6172">
              <w:rPr>
                <w:szCs w:val="20"/>
                <w:lang w:val="en-AU"/>
              </w:rPr>
              <w:t>Rare</w:t>
            </w:r>
          </w:p>
        </w:tc>
        <w:tc>
          <w:tcPr>
            <w:tcW w:w="588" w:type="pct"/>
            <w:shd w:val="clear" w:color="auto" w:fill="auto"/>
          </w:tcPr>
          <w:p w14:paraId="0E36F3FA" w14:textId="77777777" w:rsidR="00C40F7C" w:rsidRPr="004F6172" w:rsidRDefault="00C40F7C" w:rsidP="003A4541">
            <w:pPr>
              <w:pStyle w:val="TableCenter"/>
              <w:rPr>
                <w:szCs w:val="20"/>
                <w:lang w:val="en-AU"/>
              </w:rPr>
            </w:pPr>
            <w:r w:rsidRPr="004F6172">
              <w:rPr>
                <w:szCs w:val="20"/>
                <w:lang w:val="en-AU"/>
              </w:rPr>
              <w:t>&lt;0.1</w:t>
            </w:r>
          </w:p>
        </w:tc>
        <w:tc>
          <w:tcPr>
            <w:tcW w:w="884" w:type="pct"/>
            <w:shd w:val="clear" w:color="auto" w:fill="auto"/>
          </w:tcPr>
          <w:p w14:paraId="6D3A79C3" w14:textId="26B6A144" w:rsidR="00C40F7C" w:rsidRPr="004F6172" w:rsidRDefault="00C40F7C" w:rsidP="003A4541">
            <w:pPr>
              <w:pStyle w:val="TableCenter"/>
              <w:rPr>
                <w:szCs w:val="20"/>
                <w:lang w:val="en-AU"/>
              </w:rPr>
            </w:pPr>
            <w:r w:rsidRPr="004F6172">
              <w:rPr>
                <w:szCs w:val="20"/>
                <w:lang w:val="en-AU"/>
              </w:rPr>
              <w:t>Rare</w:t>
            </w:r>
          </w:p>
        </w:tc>
        <w:tc>
          <w:tcPr>
            <w:tcW w:w="585" w:type="pct"/>
          </w:tcPr>
          <w:p w14:paraId="48386361" w14:textId="0912ACEA" w:rsidR="00C40F7C" w:rsidRPr="004F6172" w:rsidRDefault="00C40F7C" w:rsidP="003A4541">
            <w:pPr>
              <w:pStyle w:val="TableCenter"/>
              <w:rPr>
                <w:szCs w:val="20"/>
                <w:lang w:val="en-AU"/>
              </w:rPr>
            </w:pPr>
            <w:r w:rsidRPr="004F6172">
              <w:rPr>
                <w:szCs w:val="20"/>
                <w:lang w:val="en-AU"/>
              </w:rPr>
              <w:t>&lt;0.1</w:t>
            </w:r>
          </w:p>
        </w:tc>
      </w:tr>
      <w:tr w:rsidR="00C40F7C" w:rsidRPr="004F6172" w14:paraId="730BD78A" w14:textId="3649629F" w:rsidTr="002606CD">
        <w:tc>
          <w:tcPr>
            <w:tcW w:w="1913" w:type="pct"/>
            <w:shd w:val="clear" w:color="auto" w:fill="auto"/>
          </w:tcPr>
          <w:p w14:paraId="1C0BCAC2" w14:textId="77777777" w:rsidR="00C40F7C" w:rsidRPr="004F6172" w:rsidRDefault="00C40F7C" w:rsidP="003A4541">
            <w:pPr>
              <w:pStyle w:val="TableLeft"/>
              <w:rPr>
                <w:szCs w:val="20"/>
                <w:lang w:val="en-AU"/>
              </w:rPr>
            </w:pPr>
            <w:r w:rsidRPr="004F6172">
              <w:rPr>
                <w:szCs w:val="20"/>
                <w:lang w:val="en-AU"/>
              </w:rPr>
              <w:t>Diabetes insipidus</w:t>
            </w:r>
          </w:p>
        </w:tc>
        <w:tc>
          <w:tcPr>
            <w:tcW w:w="1031" w:type="pct"/>
            <w:shd w:val="clear" w:color="auto" w:fill="auto"/>
          </w:tcPr>
          <w:p w14:paraId="0B6E3B96" w14:textId="77777777" w:rsidR="00C40F7C" w:rsidRPr="004F6172" w:rsidRDefault="00C40F7C" w:rsidP="003A4541">
            <w:pPr>
              <w:pStyle w:val="TableCenter"/>
              <w:rPr>
                <w:szCs w:val="20"/>
                <w:lang w:val="en-AU"/>
              </w:rPr>
            </w:pPr>
            <w:r w:rsidRPr="004F6172">
              <w:rPr>
                <w:szCs w:val="20"/>
                <w:lang w:val="en-AU"/>
              </w:rPr>
              <w:t>Rare</w:t>
            </w:r>
          </w:p>
        </w:tc>
        <w:tc>
          <w:tcPr>
            <w:tcW w:w="588" w:type="pct"/>
            <w:shd w:val="clear" w:color="auto" w:fill="auto"/>
          </w:tcPr>
          <w:p w14:paraId="1EF0AB6E" w14:textId="77777777" w:rsidR="00C40F7C" w:rsidRPr="004F6172" w:rsidRDefault="00C40F7C" w:rsidP="003A4541">
            <w:pPr>
              <w:pStyle w:val="TableCenter"/>
              <w:rPr>
                <w:szCs w:val="20"/>
                <w:lang w:val="en-AU"/>
              </w:rPr>
            </w:pPr>
            <w:r w:rsidRPr="004F6172">
              <w:rPr>
                <w:szCs w:val="20"/>
                <w:lang w:val="en-AU"/>
              </w:rPr>
              <w:t>&lt;0.1</w:t>
            </w:r>
          </w:p>
        </w:tc>
        <w:tc>
          <w:tcPr>
            <w:tcW w:w="884" w:type="pct"/>
            <w:shd w:val="clear" w:color="auto" w:fill="auto"/>
          </w:tcPr>
          <w:p w14:paraId="11ED6ECF" w14:textId="47557B41" w:rsidR="00C40F7C" w:rsidRPr="004F6172" w:rsidRDefault="00C40F7C" w:rsidP="003A4541">
            <w:pPr>
              <w:pStyle w:val="TableCenter"/>
              <w:rPr>
                <w:szCs w:val="20"/>
                <w:lang w:val="en-AU"/>
              </w:rPr>
            </w:pPr>
            <w:r w:rsidRPr="004F6172">
              <w:rPr>
                <w:szCs w:val="20"/>
                <w:lang w:val="en-AU"/>
              </w:rPr>
              <w:t>Rare</w:t>
            </w:r>
          </w:p>
        </w:tc>
        <w:tc>
          <w:tcPr>
            <w:tcW w:w="585" w:type="pct"/>
          </w:tcPr>
          <w:p w14:paraId="38593432" w14:textId="2C803027" w:rsidR="00C40F7C" w:rsidRPr="004F6172" w:rsidRDefault="00C40F7C" w:rsidP="003A4541">
            <w:pPr>
              <w:pStyle w:val="TableCenter"/>
              <w:rPr>
                <w:szCs w:val="20"/>
                <w:lang w:val="en-AU"/>
              </w:rPr>
            </w:pPr>
            <w:r w:rsidRPr="004F6172">
              <w:rPr>
                <w:szCs w:val="20"/>
                <w:lang w:val="en-AU"/>
              </w:rPr>
              <w:t>&lt;0.1</w:t>
            </w:r>
          </w:p>
        </w:tc>
      </w:tr>
      <w:tr w:rsidR="00F9458F" w:rsidRPr="004F6172" w14:paraId="288399E7" w14:textId="1DCEA5CF" w:rsidTr="003A4541">
        <w:tc>
          <w:tcPr>
            <w:tcW w:w="5000" w:type="pct"/>
            <w:gridSpan w:val="5"/>
            <w:shd w:val="clear" w:color="auto" w:fill="auto"/>
          </w:tcPr>
          <w:p w14:paraId="1BBBBE48" w14:textId="75A272F3" w:rsidR="00F9458F" w:rsidRPr="004F6172" w:rsidRDefault="00F9458F" w:rsidP="003A4541">
            <w:pPr>
              <w:pStyle w:val="TableLeft"/>
              <w:rPr>
                <w:b/>
                <w:bCs w:val="0"/>
                <w:szCs w:val="20"/>
                <w:lang w:val="en-AU"/>
              </w:rPr>
            </w:pPr>
            <w:r w:rsidRPr="004F6172">
              <w:rPr>
                <w:b/>
                <w:bCs w:val="0"/>
                <w:szCs w:val="20"/>
                <w:lang w:val="en-AU"/>
              </w:rPr>
              <w:t xml:space="preserve">Nervous </w:t>
            </w:r>
            <w:r w:rsidR="00F00BA8" w:rsidRPr="004F6172">
              <w:rPr>
                <w:b/>
                <w:bCs w:val="0"/>
                <w:szCs w:val="20"/>
                <w:lang w:val="en-AU"/>
              </w:rPr>
              <w:t>s</w:t>
            </w:r>
            <w:r w:rsidRPr="004F6172">
              <w:rPr>
                <w:b/>
                <w:bCs w:val="0"/>
                <w:szCs w:val="20"/>
                <w:lang w:val="en-AU"/>
              </w:rPr>
              <w:t xml:space="preserve">ystem </w:t>
            </w:r>
            <w:r w:rsidR="00F00BA8" w:rsidRPr="004F6172">
              <w:rPr>
                <w:b/>
                <w:bCs w:val="0"/>
                <w:szCs w:val="20"/>
                <w:lang w:val="en-AU"/>
              </w:rPr>
              <w:t>d</w:t>
            </w:r>
            <w:r w:rsidRPr="004F6172">
              <w:rPr>
                <w:b/>
                <w:bCs w:val="0"/>
                <w:szCs w:val="20"/>
                <w:lang w:val="en-AU"/>
              </w:rPr>
              <w:t>isorders</w:t>
            </w:r>
          </w:p>
        </w:tc>
      </w:tr>
      <w:tr w:rsidR="00C40F7C" w:rsidRPr="004F6172" w14:paraId="2211EEB2" w14:textId="0C7F9FF5" w:rsidTr="002606CD">
        <w:tc>
          <w:tcPr>
            <w:tcW w:w="1913" w:type="pct"/>
            <w:shd w:val="clear" w:color="auto" w:fill="auto"/>
          </w:tcPr>
          <w:p w14:paraId="5BB3EC3D" w14:textId="77777777" w:rsidR="00C40F7C" w:rsidRPr="004F6172" w:rsidRDefault="00C40F7C" w:rsidP="003A4541">
            <w:pPr>
              <w:pStyle w:val="TableLeft"/>
              <w:rPr>
                <w:szCs w:val="20"/>
                <w:lang w:val="en-AU"/>
              </w:rPr>
            </w:pPr>
            <w:r w:rsidRPr="004F6172">
              <w:rPr>
                <w:szCs w:val="20"/>
                <w:lang w:val="en-AU"/>
              </w:rPr>
              <w:t>Myasthenia gravis</w:t>
            </w:r>
          </w:p>
        </w:tc>
        <w:tc>
          <w:tcPr>
            <w:tcW w:w="1031" w:type="pct"/>
            <w:shd w:val="clear" w:color="auto" w:fill="auto"/>
          </w:tcPr>
          <w:p w14:paraId="207AB847" w14:textId="3495B2E8" w:rsidR="00C40F7C" w:rsidRPr="004F6172" w:rsidRDefault="00C40F7C" w:rsidP="003A4541">
            <w:pPr>
              <w:pStyle w:val="TableCenter"/>
              <w:rPr>
                <w:szCs w:val="20"/>
                <w:lang w:val="en-AU"/>
              </w:rPr>
            </w:pPr>
            <w:r w:rsidRPr="004F6172">
              <w:rPr>
                <w:szCs w:val="20"/>
                <w:lang w:val="en-AU"/>
              </w:rPr>
              <w:t>Not determined</w:t>
            </w:r>
            <w:r w:rsidRPr="004F6172">
              <w:rPr>
                <w:szCs w:val="20"/>
                <w:vertAlign w:val="superscript"/>
                <w:lang w:val="en-AU"/>
              </w:rPr>
              <w:t xml:space="preserve">h </w:t>
            </w:r>
          </w:p>
        </w:tc>
        <w:tc>
          <w:tcPr>
            <w:tcW w:w="588" w:type="pct"/>
            <w:shd w:val="clear" w:color="auto" w:fill="auto"/>
          </w:tcPr>
          <w:p w14:paraId="1EFC46A6" w14:textId="6DFD493E" w:rsidR="00C40F7C" w:rsidRPr="004F6172" w:rsidRDefault="00C40F7C" w:rsidP="003A4541">
            <w:pPr>
              <w:pStyle w:val="TableCenter"/>
              <w:rPr>
                <w:szCs w:val="20"/>
                <w:lang w:val="en-AU"/>
              </w:rPr>
            </w:pPr>
          </w:p>
        </w:tc>
        <w:tc>
          <w:tcPr>
            <w:tcW w:w="884" w:type="pct"/>
            <w:shd w:val="clear" w:color="auto" w:fill="auto"/>
          </w:tcPr>
          <w:p w14:paraId="4F2F1363" w14:textId="28EFBCFF" w:rsidR="00C40F7C" w:rsidRPr="004F6172" w:rsidRDefault="00C40F7C" w:rsidP="003A4541">
            <w:pPr>
              <w:pStyle w:val="TableCenter"/>
              <w:rPr>
                <w:szCs w:val="20"/>
                <w:lang w:val="en-AU"/>
              </w:rPr>
            </w:pPr>
            <w:r w:rsidRPr="004F6172">
              <w:rPr>
                <w:szCs w:val="20"/>
                <w:lang w:val="en-AU"/>
              </w:rPr>
              <w:t>Not determined</w:t>
            </w:r>
            <w:r w:rsidRPr="004F6172">
              <w:rPr>
                <w:szCs w:val="20"/>
                <w:vertAlign w:val="superscript"/>
                <w:lang w:val="en-AU"/>
              </w:rPr>
              <w:t>h</w:t>
            </w:r>
          </w:p>
        </w:tc>
        <w:tc>
          <w:tcPr>
            <w:tcW w:w="585" w:type="pct"/>
          </w:tcPr>
          <w:p w14:paraId="17283EA4" w14:textId="103244A7" w:rsidR="00C40F7C" w:rsidRPr="004F6172" w:rsidDel="000E08F1" w:rsidRDefault="00C40F7C" w:rsidP="003A4541">
            <w:pPr>
              <w:pStyle w:val="TableCenter"/>
              <w:rPr>
                <w:szCs w:val="20"/>
                <w:lang w:val="en-AU"/>
              </w:rPr>
            </w:pPr>
          </w:p>
        </w:tc>
      </w:tr>
      <w:tr w:rsidR="00ED6569" w:rsidRPr="004F6172" w14:paraId="0AE202CA" w14:textId="77777777" w:rsidTr="002606CD">
        <w:tc>
          <w:tcPr>
            <w:tcW w:w="1913" w:type="pct"/>
            <w:shd w:val="clear" w:color="auto" w:fill="auto"/>
          </w:tcPr>
          <w:p w14:paraId="6A068F46" w14:textId="1D84CE39" w:rsidR="00ED6569" w:rsidRPr="004F6172" w:rsidRDefault="00ED6569" w:rsidP="003A4541">
            <w:pPr>
              <w:pStyle w:val="TableLeft"/>
              <w:rPr>
                <w:szCs w:val="20"/>
                <w:lang w:val="en-AU"/>
              </w:rPr>
            </w:pPr>
            <w:r w:rsidRPr="004F6172">
              <w:rPr>
                <w:szCs w:val="20"/>
                <w:lang w:val="en-AU"/>
              </w:rPr>
              <w:t>Encephalitis</w:t>
            </w:r>
          </w:p>
        </w:tc>
        <w:tc>
          <w:tcPr>
            <w:tcW w:w="1031" w:type="pct"/>
            <w:shd w:val="clear" w:color="auto" w:fill="auto"/>
          </w:tcPr>
          <w:p w14:paraId="18B367DE" w14:textId="1C6AEDAF" w:rsidR="00ED6569" w:rsidRPr="004F6172" w:rsidRDefault="00ED6569" w:rsidP="003A4541">
            <w:pPr>
              <w:pStyle w:val="TableCenter"/>
              <w:rPr>
                <w:szCs w:val="20"/>
                <w:lang w:val="en-AU"/>
              </w:rPr>
            </w:pPr>
            <w:r w:rsidRPr="004F6172">
              <w:rPr>
                <w:szCs w:val="20"/>
                <w:lang w:val="en-AU"/>
              </w:rPr>
              <w:t>Not determined</w:t>
            </w:r>
            <w:r w:rsidRPr="004F6172">
              <w:rPr>
                <w:szCs w:val="20"/>
                <w:vertAlign w:val="superscript"/>
                <w:lang w:val="en-AU"/>
              </w:rPr>
              <w:t>u</w:t>
            </w:r>
          </w:p>
        </w:tc>
        <w:tc>
          <w:tcPr>
            <w:tcW w:w="588" w:type="pct"/>
            <w:shd w:val="clear" w:color="auto" w:fill="auto"/>
          </w:tcPr>
          <w:p w14:paraId="35A477A8" w14:textId="77777777" w:rsidR="00ED6569" w:rsidRPr="004F6172" w:rsidRDefault="00ED6569" w:rsidP="003A4541">
            <w:pPr>
              <w:pStyle w:val="TableCenter"/>
              <w:rPr>
                <w:szCs w:val="20"/>
                <w:lang w:val="en-AU"/>
              </w:rPr>
            </w:pPr>
          </w:p>
        </w:tc>
        <w:tc>
          <w:tcPr>
            <w:tcW w:w="884" w:type="pct"/>
            <w:shd w:val="clear" w:color="auto" w:fill="auto"/>
          </w:tcPr>
          <w:p w14:paraId="018F30DE" w14:textId="4D2D090C" w:rsidR="00ED6569" w:rsidRPr="004F6172" w:rsidRDefault="00ED6569" w:rsidP="003A4541">
            <w:pPr>
              <w:pStyle w:val="TableCenter"/>
              <w:rPr>
                <w:szCs w:val="20"/>
                <w:lang w:val="en-AU"/>
              </w:rPr>
            </w:pPr>
            <w:r w:rsidRPr="004F6172">
              <w:rPr>
                <w:szCs w:val="20"/>
                <w:lang w:val="en-AU"/>
              </w:rPr>
              <w:t>Not determined</w:t>
            </w:r>
            <w:r w:rsidRPr="004F6172">
              <w:rPr>
                <w:szCs w:val="20"/>
                <w:vertAlign w:val="superscript"/>
                <w:lang w:val="en-AU"/>
              </w:rPr>
              <w:t>u</w:t>
            </w:r>
          </w:p>
        </w:tc>
        <w:tc>
          <w:tcPr>
            <w:tcW w:w="585" w:type="pct"/>
          </w:tcPr>
          <w:p w14:paraId="6D52570A" w14:textId="77777777" w:rsidR="00ED6569" w:rsidRPr="004F6172" w:rsidDel="000E08F1" w:rsidRDefault="00ED6569" w:rsidP="003A4541">
            <w:pPr>
              <w:pStyle w:val="TableCenter"/>
              <w:rPr>
                <w:szCs w:val="20"/>
                <w:lang w:val="en-AU"/>
              </w:rPr>
            </w:pPr>
          </w:p>
        </w:tc>
      </w:tr>
      <w:tr w:rsidR="002606CD" w:rsidRPr="004F6172" w14:paraId="294AD895" w14:textId="77777777" w:rsidTr="002606CD">
        <w:tc>
          <w:tcPr>
            <w:tcW w:w="1913" w:type="pct"/>
            <w:shd w:val="clear" w:color="auto" w:fill="auto"/>
          </w:tcPr>
          <w:p w14:paraId="79691A17" w14:textId="7420DAEC" w:rsidR="002606CD" w:rsidRPr="004F6172" w:rsidRDefault="002606CD" w:rsidP="002606CD">
            <w:pPr>
              <w:pStyle w:val="TableLeft"/>
              <w:rPr>
                <w:szCs w:val="20"/>
                <w:lang w:val="en-AU"/>
              </w:rPr>
            </w:pPr>
            <w:r w:rsidRPr="004F6172">
              <w:lastRenderedPageBreak/>
              <w:t>Guillain-Barré syndrome</w:t>
            </w:r>
            <w:r w:rsidR="00A86902" w:rsidRPr="004F6172">
              <w:t xml:space="preserve"> </w:t>
            </w:r>
            <w:r w:rsidR="004A1EB2" w:rsidRPr="004F6172">
              <w:rPr>
                <w:vertAlign w:val="superscript"/>
              </w:rPr>
              <w:t>c</w:t>
            </w:r>
          </w:p>
        </w:tc>
        <w:tc>
          <w:tcPr>
            <w:tcW w:w="1031" w:type="pct"/>
            <w:shd w:val="clear" w:color="auto" w:fill="auto"/>
          </w:tcPr>
          <w:p w14:paraId="501ADC04" w14:textId="130E8E01" w:rsidR="002606CD" w:rsidRPr="004F6172" w:rsidRDefault="002606CD" w:rsidP="002606CD">
            <w:pPr>
              <w:pStyle w:val="TableCenter"/>
              <w:rPr>
                <w:szCs w:val="20"/>
                <w:lang w:val="en-AU"/>
              </w:rPr>
            </w:pPr>
            <w:r w:rsidRPr="004F6172">
              <w:t>Not determined</w:t>
            </w:r>
            <w:r w:rsidR="00A86902" w:rsidRPr="004F6172">
              <w:t xml:space="preserve"> </w:t>
            </w:r>
            <w:r w:rsidR="004A1EB2" w:rsidRPr="004F6172">
              <w:rPr>
                <w:vertAlign w:val="superscript"/>
              </w:rPr>
              <w:t>h</w:t>
            </w:r>
          </w:p>
        </w:tc>
        <w:tc>
          <w:tcPr>
            <w:tcW w:w="588" w:type="pct"/>
            <w:shd w:val="clear" w:color="auto" w:fill="auto"/>
          </w:tcPr>
          <w:p w14:paraId="31776271" w14:textId="77777777" w:rsidR="002606CD" w:rsidRPr="004F6172" w:rsidRDefault="002606CD" w:rsidP="002606CD">
            <w:pPr>
              <w:pStyle w:val="TableCenter"/>
              <w:rPr>
                <w:szCs w:val="20"/>
                <w:lang w:val="en-AU"/>
              </w:rPr>
            </w:pPr>
          </w:p>
        </w:tc>
        <w:tc>
          <w:tcPr>
            <w:tcW w:w="884" w:type="pct"/>
            <w:shd w:val="clear" w:color="auto" w:fill="auto"/>
          </w:tcPr>
          <w:p w14:paraId="4C084C7C" w14:textId="1AE84F99" w:rsidR="002606CD" w:rsidRPr="004F6172" w:rsidRDefault="002606CD" w:rsidP="002606CD">
            <w:pPr>
              <w:pStyle w:val="TableCenter"/>
              <w:rPr>
                <w:szCs w:val="20"/>
                <w:lang w:val="en-AU"/>
              </w:rPr>
            </w:pPr>
            <w:r w:rsidRPr="004F6172">
              <w:t>Not determined</w:t>
            </w:r>
            <w:r w:rsidR="00A86902" w:rsidRPr="004F6172">
              <w:t xml:space="preserve"> </w:t>
            </w:r>
            <w:r w:rsidR="004A1EB2" w:rsidRPr="004F6172">
              <w:rPr>
                <w:vertAlign w:val="superscript"/>
              </w:rPr>
              <w:t>h</w:t>
            </w:r>
          </w:p>
        </w:tc>
        <w:tc>
          <w:tcPr>
            <w:tcW w:w="585" w:type="pct"/>
          </w:tcPr>
          <w:p w14:paraId="756B1D2A" w14:textId="77777777" w:rsidR="002606CD" w:rsidRPr="004F6172" w:rsidDel="000E08F1" w:rsidRDefault="002606CD" w:rsidP="002606CD">
            <w:pPr>
              <w:pStyle w:val="TableCenter"/>
              <w:rPr>
                <w:szCs w:val="20"/>
                <w:lang w:val="en-AU"/>
              </w:rPr>
            </w:pPr>
          </w:p>
        </w:tc>
      </w:tr>
      <w:tr w:rsidR="00ED6569" w:rsidRPr="004F6172" w14:paraId="2ABF55CB" w14:textId="7DF7DBBD" w:rsidTr="003A4541">
        <w:tc>
          <w:tcPr>
            <w:tcW w:w="5000" w:type="pct"/>
            <w:gridSpan w:val="5"/>
            <w:shd w:val="clear" w:color="auto" w:fill="auto"/>
          </w:tcPr>
          <w:p w14:paraId="28B5CA69" w14:textId="5AEA9E32" w:rsidR="00ED6569" w:rsidRPr="004F6172" w:rsidRDefault="00ED6569" w:rsidP="003A4541">
            <w:pPr>
              <w:pStyle w:val="TableLeft"/>
              <w:rPr>
                <w:b/>
                <w:bCs w:val="0"/>
                <w:szCs w:val="20"/>
                <w:lang w:val="en-AU"/>
              </w:rPr>
            </w:pPr>
            <w:r w:rsidRPr="004F6172">
              <w:rPr>
                <w:b/>
                <w:bCs w:val="0"/>
                <w:szCs w:val="20"/>
                <w:lang w:val="en-AU"/>
              </w:rPr>
              <w:t>Cardiac disorders</w:t>
            </w:r>
          </w:p>
        </w:tc>
      </w:tr>
      <w:tr w:rsidR="00ED6569" w:rsidRPr="004F6172" w14:paraId="0831438E" w14:textId="6122F596" w:rsidTr="002606CD">
        <w:tc>
          <w:tcPr>
            <w:tcW w:w="1913" w:type="pct"/>
            <w:shd w:val="clear" w:color="auto" w:fill="auto"/>
          </w:tcPr>
          <w:p w14:paraId="094B1821" w14:textId="77777777" w:rsidR="00ED6569" w:rsidRPr="004F6172" w:rsidRDefault="00ED6569" w:rsidP="003A4541">
            <w:pPr>
              <w:pStyle w:val="TableLeft"/>
              <w:rPr>
                <w:szCs w:val="20"/>
                <w:lang w:val="en-AU"/>
              </w:rPr>
            </w:pPr>
            <w:r w:rsidRPr="004F6172">
              <w:rPr>
                <w:szCs w:val="20"/>
                <w:lang w:val="en-AU"/>
              </w:rPr>
              <w:t>Myocarditis</w:t>
            </w:r>
          </w:p>
        </w:tc>
        <w:tc>
          <w:tcPr>
            <w:tcW w:w="1031" w:type="pct"/>
            <w:shd w:val="clear" w:color="auto" w:fill="auto"/>
          </w:tcPr>
          <w:p w14:paraId="20E95320" w14:textId="77777777" w:rsidR="00ED6569" w:rsidRPr="004F6172" w:rsidRDefault="00ED6569" w:rsidP="003A4541">
            <w:pPr>
              <w:pStyle w:val="TableCenter"/>
              <w:rPr>
                <w:szCs w:val="20"/>
                <w:lang w:val="en-AU"/>
              </w:rPr>
            </w:pPr>
            <w:r w:rsidRPr="004F6172">
              <w:rPr>
                <w:szCs w:val="20"/>
                <w:lang w:val="en-AU"/>
              </w:rPr>
              <w:t>Rare</w:t>
            </w:r>
          </w:p>
        </w:tc>
        <w:tc>
          <w:tcPr>
            <w:tcW w:w="588" w:type="pct"/>
            <w:shd w:val="clear" w:color="auto" w:fill="auto"/>
          </w:tcPr>
          <w:p w14:paraId="3226C1C0" w14:textId="77777777" w:rsidR="00ED6569" w:rsidRPr="004F6172" w:rsidRDefault="00ED6569" w:rsidP="003A4541">
            <w:pPr>
              <w:pStyle w:val="TableCenter"/>
              <w:rPr>
                <w:szCs w:val="20"/>
                <w:lang w:val="en-AU"/>
              </w:rPr>
            </w:pPr>
            <w:r w:rsidRPr="004F6172">
              <w:rPr>
                <w:szCs w:val="20"/>
                <w:lang w:val="en-AU"/>
              </w:rPr>
              <w:t>&lt;0.1</w:t>
            </w:r>
          </w:p>
        </w:tc>
        <w:tc>
          <w:tcPr>
            <w:tcW w:w="884" w:type="pct"/>
            <w:shd w:val="clear" w:color="auto" w:fill="auto"/>
          </w:tcPr>
          <w:p w14:paraId="13E3B566" w14:textId="17172275" w:rsidR="00ED6569" w:rsidRPr="004F6172" w:rsidRDefault="00ED6569" w:rsidP="003A4541">
            <w:pPr>
              <w:pStyle w:val="TableCenter"/>
              <w:rPr>
                <w:szCs w:val="20"/>
                <w:lang w:val="en-AU"/>
              </w:rPr>
            </w:pPr>
            <w:r w:rsidRPr="004F6172">
              <w:rPr>
                <w:szCs w:val="20"/>
                <w:lang w:val="en-AU"/>
              </w:rPr>
              <w:t>Rare</w:t>
            </w:r>
          </w:p>
        </w:tc>
        <w:tc>
          <w:tcPr>
            <w:tcW w:w="585" w:type="pct"/>
          </w:tcPr>
          <w:p w14:paraId="1534545C" w14:textId="77AAE16B" w:rsidR="00ED6569" w:rsidRPr="004F6172" w:rsidRDefault="00ED6569" w:rsidP="003A4541">
            <w:pPr>
              <w:pStyle w:val="TableCenter"/>
              <w:rPr>
                <w:szCs w:val="20"/>
                <w:lang w:val="en-AU"/>
              </w:rPr>
            </w:pPr>
            <w:r w:rsidRPr="004F6172">
              <w:rPr>
                <w:szCs w:val="20"/>
                <w:lang w:val="en-AU"/>
              </w:rPr>
              <w:t>&lt;0.1</w:t>
            </w:r>
          </w:p>
        </w:tc>
      </w:tr>
      <w:tr w:rsidR="00ED6569" w:rsidRPr="004F6172" w14:paraId="4CF8F409" w14:textId="1395113C" w:rsidTr="003A4541">
        <w:tc>
          <w:tcPr>
            <w:tcW w:w="5000" w:type="pct"/>
            <w:gridSpan w:val="5"/>
            <w:shd w:val="clear" w:color="auto" w:fill="auto"/>
          </w:tcPr>
          <w:p w14:paraId="58C2ED08" w14:textId="79DB5206" w:rsidR="00ED6569" w:rsidRPr="004F6172" w:rsidRDefault="00ED6569" w:rsidP="003A4541">
            <w:pPr>
              <w:pStyle w:val="TableLeft"/>
              <w:rPr>
                <w:b/>
                <w:bCs w:val="0"/>
                <w:szCs w:val="20"/>
                <w:lang w:val="en-AU"/>
              </w:rPr>
            </w:pPr>
            <w:r w:rsidRPr="004F6172">
              <w:rPr>
                <w:b/>
                <w:bCs w:val="0"/>
                <w:szCs w:val="20"/>
                <w:lang w:val="en-AU"/>
              </w:rPr>
              <w:t>Respiratory, thoracic and mediastinal disorders</w:t>
            </w:r>
          </w:p>
        </w:tc>
      </w:tr>
      <w:tr w:rsidR="00ED6569" w:rsidRPr="004F6172" w14:paraId="388FF7EF" w14:textId="490C3BA0" w:rsidTr="002606CD">
        <w:tc>
          <w:tcPr>
            <w:tcW w:w="1913" w:type="pct"/>
            <w:shd w:val="clear" w:color="auto" w:fill="auto"/>
          </w:tcPr>
          <w:p w14:paraId="05B6D012" w14:textId="2B7B794F" w:rsidR="00ED6569" w:rsidRPr="004F6172" w:rsidRDefault="00ED6569" w:rsidP="003A4541">
            <w:pPr>
              <w:pStyle w:val="TableLeft"/>
              <w:rPr>
                <w:szCs w:val="20"/>
                <w:lang w:val="en-AU"/>
              </w:rPr>
            </w:pPr>
            <w:r w:rsidRPr="004F6172">
              <w:rPr>
                <w:szCs w:val="20"/>
                <w:lang w:val="en-AU"/>
              </w:rPr>
              <w:t>Cough/</w:t>
            </w:r>
            <w:r w:rsidR="00AE6EF5" w:rsidRPr="004F6172">
              <w:rPr>
                <w:szCs w:val="20"/>
                <w:lang w:val="en-AU"/>
              </w:rPr>
              <w:t>p</w:t>
            </w:r>
            <w:r w:rsidRPr="004F6172">
              <w:rPr>
                <w:szCs w:val="20"/>
                <w:lang w:val="en-AU"/>
              </w:rPr>
              <w:t>roductive Cough</w:t>
            </w:r>
          </w:p>
        </w:tc>
        <w:tc>
          <w:tcPr>
            <w:tcW w:w="1031" w:type="pct"/>
            <w:shd w:val="clear" w:color="auto" w:fill="auto"/>
          </w:tcPr>
          <w:p w14:paraId="5158EB00" w14:textId="77777777" w:rsidR="00ED6569" w:rsidRPr="004F6172" w:rsidRDefault="00ED6569" w:rsidP="003A4541">
            <w:pPr>
              <w:pStyle w:val="TableCenter"/>
              <w:rPr>
                <w:szCs w:val="20"/>
                <w:lang w:val="en-AU"/>
              </w:rPr>
            </w:pPr>
            <w:r w:rsidRPr="004F6172">
              <w:rPr>
                <w:szCs w:val="20"/>
                <w:lang w:val="en-AU"/>
              </w:rPr>
              <w:t>Very common</w:t>
            </w:r>
          </w:p>
        </w:tc>
        <w:tc>
          <w:tcPr>
            <w:tcW w:w="588" w:type="pct"/>
            <w:shd w:val="clear" w:color="auto" w:fill="auto"/>
          </w:tcPr>
          <w:p w14:paraId="5B3C3C22" w14:textId="77777777" w:rsidR="00ED6569" w:rsidRPr="004F6172" w:rsidRDefault="00ED6569" w:rsidP="003A4541">
            <w:pPr>
              <w:pStyle w:val="TableCenter"/>
              <w:rPr>
                <w:szCs w:val="20"/>
                <w:lang w:val="en-AU"/>
              </w:rPr>
            </w:pPr>
            <w:r w:rsidRPr="004F6172">
              <w:rPr>
                <w:szCs w:val="20"/>
                <w:lang w:val="en-AU"/>
              </w:rPr>
              <w:t>21.5</w:t>
            </w:r>
          </w:p>
        </w:tc>
        <w:tc>
          <w:tcPr>
            <w:tcW w:w="884" w:type="pct"/>
            <w:shd w:val="clear" w:color="auto" w:fill="auto"/>
          </w:tcPr>
          <w:p w14:paraId="30DBDC17" w14:textId="64DBA39D" w:rsidR="00ED6569" w:rsidRPr="004F6172" w:rsidRDefault="00ED6569" w:rsidP="003A4541">
            <w:pPr>
              <w:pStyle w:val="TableCenter"/>
              <w:rPr>
                <w:szCs w:val="20"/>
                <w:lang w:val="en-AU"/>
              </w:rPr>
            </w:pPr>
            <w:r w:rsidRPr="004F6172">
              <w:rPr>
                <w:szCs w:val="20"/>
                <w:lang w:val="en-AU"/>
              </w:rPr>
              <w:t>Uncommon</w:t>
            </w:r>
          </w:p>
        </w:tc>
        <w:tc>
          <w:tcPr>
            <w:tcW w:w="585" w:type="pct"/>
          </w:tcPr>
          <w:p w14:paraId="75583C4B" w14:textId="07C25712" w:rsidR="00ED6569" w:rsidRPr="004F6172" w:rsidRDefault="00ED6569" w:rsidP="003A4541">
            <w:pPr>
              <w:pStyle w:val="TableCenter"/>
              <w:rPr>
                <w:szCs w:val="20"/>
                <w:lang w:val="en-AU"/>
              </w:rPr>
            </w:pPr>
            <w:r w:rsidRPr="004F6172">
              <w:rPr>
                <w:szCs w:val="20"/>
                <w:lang w:val="en-AU"/>
              </w:rPr>
              <w:t>0.4</w:t>
            </w:r>
          </w:p>
        </w:tc>
      </w:tr>
      <w:tr w:rsidR="00ED6569" w:rsidRPr="004F6172" w14:paraId="4B99F6A6" w14:textId="550DFAE9" w:rsidTr="002606CD">
        <w:tc>
          <w:tcPr>
            <w:tcW w:w="1913" w:type="pct"/>
            <w:shd w:val="clear" w:color="auto" w:fill="auto"/>
          </w:tcPr>
          <w:p w14:paraId="06274C0B" w14:textId="73806F1D" w:rsidR="00ED6569" w:rsidRPr="004F6172" w:rsidRDefault="00ED6569" w:rsidP="003A4541">
            <w:pPr>
              <w:pStyle w:val="TableLeft"/>
              <w:rPr>
                <w:szCs w:val="20"/>
                <w:lang w:val="en-AU"/>
              </w:rPr>
            </w:pPr>
            <w:r w:rsidRPr="004F6172">
              <w:rPr>
                <w:szCs w:val="20"/>
                <w:lang w:val="en-AU"/>
              </w:rPr>
              <w:t>Pneumonitis</w:t>
            </w:r>
            <w:r w:rsidRPr="004F6172">
              <w:rPr>
                <w:szCs w:val="20"/>
                <w:vertAlign w:val="superscript"/>
                <w:lang w:val="en-AU"/>
              </w:rPr>
              <w:t>c</w:t>
            </w:r>
            <w:r w:rsidRPr="004F6172">
              <w:rPr>
                <w:szCs w:val="20"/>
                <w:lang w:val="en-AU"/>
              </w:rPr>
              <w:t xml:space="preserve"> </w:t>
            </w:r>
          </w:p>
        </w:tc>
        <w:tc>
          <w:tcPr>
            <w:tcW w:w="1031" w:type="pct"/>
            <w:shd w:val="clear" w:color="auto" w:fill="auto"/>
          </w:tcPr>
          <w:p w14:paraId="2C9CE8A9" w14:textId="77777777" w:rsidR="00ED6569" w:rsidRPr="004F6172" w:rsidRDefault="00ED6569" w:rsidP="003A4541">
            <w:pPr>
              <w:pStyle w:val="TableCenter"/>
              <w:rPr>
                <w:szCs w:val="20"/>
                <w:lang w:val="en-AU"/>
              </w:rPr>
            </w:pPr>
            <w:r w:rsidRPr="004F6172">
              <w:rPr>
                <w:szCs w:val="20"/>
                <w:lang w:val="en-AU"/>
              </w:rPr>
              <w:t>Common</w:t>
            </w:r>
          </w:p>
        </w:tc>
        <w:tc>
          <w:tcPr>
            <w:tcW w:w="588" w:type="pct"/>
            <w:shd w:val="clear" w:color="auto" w:fill="auto"/>
          </w:tcPr>
          <w:p w14:paraId="1A966ABF" w14:textId="77777777" w:rsidR="00ED6569" w:rsidRPr="004F6172" w:rsidRDefault="00ED6569" w:rsidP="003A4541">
            <w:pPr>
              <w:pStyle w:val="TableCenter"/>
              <w:rPr>
                <w:szCs w:val="20"/>
                <w:lang w:val="en-AU"/>
              </w:rPr>
            </w:pPr>
            <w:r w:rsidRPr="004F6172">
              <w:rPr>
                <w:szCs w:val="20"/>
                <w:lang w:val="en-AU"/>
              </w:rPr>
              <w:t xml:space="preserve">3.8 </w:t>
            </w:r>
          </w:p>
        </w:tc>
        <w:tc>
          <w:tcPr>
            <w:tcW w:w="884" w:type="pct"/>
            <w:shd w:val="clear" w:color="auto" w:fill="auto"/>
          </w:tcPr>
          <w:p w14:paraId="1789E294" w14:textId="5920BA7D" w:rsidR="00ED6569" w:rsidRPr="004F6172" w:rsidRDefault="00ED6569" w:rsidP="003A4541">
            <w:pPr>
              <w:pStyle w:val="TableCenter"/>
              <w:rPr>
                <w:szCs w:val="20"/>
                <w:lang w:val="en-AU"/>
              </w:rPr>
            </w:pPr>
            <w:r w:rsidRPr="004F6172">
              <w:rPr>
                <w:szCs w:val="20"/>
                <w:lang w:val="en-AU"/>
              </w:rPr>
              <w:t>Uncommon</w:t>
            </w:r>
          </w:p>
        </w:tc>
        <w:tc>
          <w:tcPr>
            <w:tcW w:w="585" w:type="pct"/>
          </w:tcPr>
          <w:p w14:paraId="145FAB9E" w14:textId="4592F361" w:rsidR="00ED6569" w:rsidRPr="004F6172" w:rsidRDefault="00ED6569" w:rsidP="003A4541">
            <w:pPr>
              <w:pStyle w:val="TableCenter"/>
              <w:rPr>
                <w:szCs w:val="20"/>
                <w:lang w:val="en-AU"/>
              </w:rPr>
            </w:pPr>
            <w:r w:rsidRPr="004F6172">
              <w:rPr>
                <w:szCs w:val="20"/>
                <w:lang w:val="en-AU"/>
              </w:rPr>
              <w:t>0.9</w:t>
            </w:r>
          </w:p>
        </w:tc>
      </w:tr>
      <w:tr w:rsidR="00ED6569" w:rsidRPr="004F6172" w14:paraId="6243CFC0" w14:textId="35478040" w:rsidTr="002606CD">
        <w:tc>
          <w:tcPr>
            <w:tcW w:w="1913" w:type="pct"/>
            <w:shd w:val="clear" w:color="auto" w:fill="auto"/>
          </w:tcPr>
          <w:p w14:paraId="6C98257B" w14:textId="77777777" w:rsidR="00ED6569" w:rsidRPr="004F6172" w:rsidRDefault="00ED6569" w:rsidP="003A4541">
            <w:pPr>
              <w:pStyle w:val="TableLeft"/>
              <w:rPr>
                <w:szCs w:val="20"/>
                <w:lang w:val="en-AU"/>
              </w:rPr>
            </w:pPr>
            <w:r w:rsidRPr="004F6172">
              <w:rPr>
                <w:szCs w:val="20"/>
                <w:lang w:val="en-AU"/>
              </w:rPr>
              <w:t>Dysphonia</w:t>
            </w:r>
          </w:p>
        </w:tc>
        <w:tc>
          <w:tcPr>
            <w:tcW w:w="1031" w:type="pct"/>
            <w:shd w:val="clear" w:color="auto" w:fill="auto"/>
          </w:tcPr>
          <w:p w14:paraId="23E2BE18" w14:textId="77777777" w:rsidR="00ED6569" w:rsidRPr="004F6172" w:rsidRDefault="00ED6569" w:rsidP="003A4541">
            <w:pPr>
              <w:pStyle w:val="TableCenter"/>
              <w:rPr>
                <w:szCs w:val="20"/>
                <w:lang w:val="en-AU"/>
              </w:rPr>
            </w:pPr>
            <w:r w:rsidRPr="004F6172">
              <w:rPr>
                <w:szCs w:val="20"/>
                <w:lang w:val="en-AU"/>
              </w:rPr>
              <w:t>Common</w:t>
            </w:r>
          </w:p>
        </w:tc>
        <w:tc>
          <w:tcPr>
            <w:tcW w:w="588" w:type="pct"/>
            <w:shd w:val="clear" w:color="auto" w:fill="auto"/>
          </w:tcPr>
          <w:p w14:paraId="4CA37376" w14:textId="77777777" w:rsidR="00ED6569" w:rsidRPr="004F6172" w:rsidRDefault="00ED6569" w:rsidP="003A4541">
            <w:pPr>
              <w:pStyle w:val="TableCenter"/>
              <w:rPr>
                <w:szCs w:val="20"/>
                <w:lang w:val="en-AU"/>
              </w:rPr>
            </w:pPr>
            <w:r w:rsidRPr="004F6172">
              <w:rPr>
                <w:szCs w:val="20"/>
                <w:lang w:val="en-AU"/>
              </w:rPr>
              <w:t>3.1</w:t>
            </w:r>
          </w:p>
        </w:tc>
        <w:tc>
          <w:tcPr>
            <w:tcW w:w="884" w:type="pct"/>
            <w:shd w:val="clear" w:color="auto" w:fill="auto"/>
          </w:tcPr>
          <w:p w14:paraId="3591606B" w14:textId="2BCFF0A8" w:rsidR="00ED6569" w:rsidRPr="004F6172" w:rsidRDefault="00ED6569" w:rsidP="003A4541">
            <w:pPr>
              <w:pStyle w:val="TableCenter"/>
              <w:rPr>
                <w:szCs w:val="20"/>
                <w:lang w:val="en-AU"/>
              </w:rPr>
            </w:pPr>
            <w:r w:rsidRPr="004F6172">
              <w:rPr>
                <w:szCs w:val="20"/>
                <w:lang w:val="en-AU"/>
              </w:rPr>
              <w:t>Rare</w:t>
            </w:r>
          </w:p>
        </w:tc>
        <w:tc>
          <w:tcPr>
            <w:tcW w:w="585" w:type="pct"/>
          </w:tcPr>
          <w:p w14:paraId="130FE567" w14:textId="318F9FAA" w:rsidR="00ED6569" w:rsidRPr="004F6172" w:rsidRDefault="00ED6569" w:rsidP="003A4541">
            <w:pPr>
              <w:pStyle w:val="TableCenter"/>
              <w:rPr>
                <w:szCs w:val="20"/>
                <w:lang w:val="en-AU"/>
              </w:rPr>
            </w:pPr>
            <w:r w:rsidRPr="004F6172">
              <w:rPr>
                <w:szCs w:val="20"/>
                <w:lang w:val="en-AU"/>
              </w:rPr>
              <w:t>&lt;0.1</w:t>
            </w:r>
          </w:p>
        </w:tc>
      </w:tr>
      <w:tr w:rsidR="00ED6569" w:rsidRPr="004F6172" w14:paraId="1096F6A7" w14:textId="63E06533" w:rsidTr="002606CD">
        <w:tc>
          <w:tcPr>
            <w:tcW w:w="1913" w:type="pct"/>
            <w:shd w:val="clear" w:color="auto" w:fill="auto"/>
          </w:tcPr>
          <w:p w14:paraId="5E85F3DB" w14:textId="77777777" w:rsidR="00ED6569" w:rsidRPr="004F6172" w:rsidRDefault="00ED6569" w:rsidP="003A4541">
            <w:pPr>
              <w:pStyle w:val="TableLeft"/>
              <w:rPr>
                <w:szCs w:val="20"/>
                <w:lang w:val="en-AU"/>
              </w:rPr>
            </w:pPr>
            <w:r w:rsidRPr="004F6172">
              <w:rPr>
                <w:szCs w:val="20"/>
                <w:lang w:val="en-AU"/>
              </w:rPr>
              <w:t xml:space="preserve">Interstitial lung disease </w:t>
            </w:r>
          </w:p>
        </w:tc>
        <w:tc>
          <w:tcPr>
            <w:tcW w:w="1031" w:type="pct"/>
            <w:shd w:val="clear" w:color="auto" w:fill="auto"/>
          </w:tcPr>
          <w:p w14:paraId="53E9031B" w14:textId="77777777" w:rsidR="00ED6569" w:rsidRPr="004F6172" w:rsidRDefault="00ED6569" w:rsidP="003A4541">
            <w:pPr>
              <w:pStyle w:val="TableCenter"/>
              <w:rPr>
                <w:szCs w:val="20"/>
                <w:lang w:val="en-AU"/>
              </w:rPr>
            </w:pPr>
            <w:r w:rsidRPr="004F6172">
              <w:rPr>
                <w:szCs w:val="20"/>
                <w:lang w:val="en-AU"/>
              </w:rPr>
              <w:t>Uncommon</w:t>
            </w:r>
          </w:p>
        </w:tc>
        <w:tc>
          <w:tcPr>
            <w:tcW w:w="588" w:type="pct"/>
            <w:shd w:val="clear" w:color="auto" w:fill="auto"/>
          </w:tcPr>
          <w:p w14:paraId="2D2907E3" w14:textId="77777777" w:rsidR="00ED6569" w:rsidRPr="004F6172" w:rsidRDefault="00ED6569" w:rsidP="003A4541">
            <w:pPr>
              <w:pStyle w:val="TableCenter"/>
              <w:rPr>
                <w:szCs w:val="20"/>
                <w:lang w:val="en-AU"/>
              </w:rPr>
            </w:pPr>
            <w:r w:rsidRPr="004F6172">
              <w:rPr>
                <w:szCs w:val="20"/>
                <w:lang w:val="en-AU"/>
              </w:rPr>
              <w:t>0.6</w:t>
            </w:r>
          </w:p>
        </w:tc>
        <w:tc>
          <w:tcPr>
            <w:tcW w:w="884" w:type="pct"/>
            <w:shd w:val="clear" w:color="auto" w:fill="auto"/>
          </w:tcPr>
          <w:p w14:paraId="1A206A95" w14:textId="623AA47A" w:rsidR="00ED6569" w:rsidRPr="004F6172" w:rsidRDefault="00ED6569" w:rsidP="003A4541">
            <w:pPr>
              <w:pStyle w:val="TableCenter"/>
              <w:rPr>
                <w:szCs w:val="20"/>
                <w:lang w:val="en-AU"/>
              </w:rPr>
            </w:pPr>
            <w:r w:rsidRPr="004F6172">
              <w:rPr>
                <w:szCs w:val="20"/>
                <w:lang w:val="en-AU"/>
              </w:rPr>
              <w:t>Uncommon</w:t>
            </w:r>
          </w:p>
        </w:tc>
        <w:tc>
          <w:tcPr>
            <w:tcW w:w="585" w:type="pct"/>
          </w:tcPr>
          <w:p w14:paraId="32974BFD" w14:textId="6DED04E9" w:rsidR="00ED6569" w:rsidRPr="004F6172" w:rsidRDefault="00ED6569" w:rsidP="003A4541">
            <w:pPr>
              <w:pStyle w:val="TableCenter"/>
              <w:rPr>
                <w:szCs w:val="20"/>
                <w:lang w:val="en-AU"/>
              </w:rPr>
            </w:pPr>
            <w:r w:rsidRPr="004F6172">
              <w:rPr>
                <w:szCs w:val="20"/>
                <w:lang w:val="en-AU"/>
              </w:rPr>
              <w:t>0.1</w:t>
            </w:r>
          </w:p>
        </w:tc>
      </w:tr>
      <w:tr w:rsidR="00ED6569" w:rsidRPr="004F6172" w14:paraId="1873737E" w14:textId="714B096A" w:rsidTr="003A4541">
        <w:tc>
          <w:tcPr>
            <w:tcW w:w="5000" w:type="pct"/>
            <w:gridSpan w:val="5"/>
            <w:shd w:val="clear" w:color="auto" w:fill="auto"/>
          </w:tcPr>
          <w:p w14:paraId="66B525E9" w14:textId="0E981AC9" w:rsidR="00ED6569" w:rsidRPr="004F6172" w:rsidRDefault="00ED6569" w:rsidP="003A4541">
            <w:pPr>
              <w:pStyle w:val="TableLeft"/>
              <w:rPr>
                <w:b/>
                <w:bCs w:val="0"/>
                <w:szCs w:val="20"/>
                <w:lang w:val="en-AU"/>
              </w:rPr>
            </w:pPr>
            <w:r w:rsidRPr="004F6172">
              <w:rPr>
                <w:b/>
                <w:bCs w:val="0"/>
                <w:szCs w:val="20"/>
                <w:lang w:val="en-AU"/>
              </w:rPr>
              <w:t>Gastrointestinal disorders</w:t>
            </w:r>
          </w:p>
        </w:tc>
      </w:tr>
      <w:tr w:rsidR="00ED6569" w:rsidRPr="008B029F" w14:paraId="49A862C1" w14:textId="4E7C45F8" w:rsidTr="002606CD">
        <w:tc>
          <w:tcPr>
            <w:tcW w:w="1913" w:type="pct"/>
            <w:shd w:val="clear" w:color="auto" w:fill="auto"/>
          </w:tcPr>
          <w:p w14:paraId="20225E80" w14:textId="77777777" w:rsidR="00ED6569" w:rsidRPr="004F6172" w:rsidRDefault="00ED6569" w:rsidP="003A4541">
            <w:pPr>
              <w:pStyle w:val="TableLeft"/>
              <w:rPr>
                <w:szCs w:val="20"/>
                <w:lang w:val="en-AU"/>
              </w:rPr>
            </w:pPr>
            <w:r w:rsidRPr="004F6172">
              <w:rPr>
                <w:szCs w:val="20"/>
                <w:lang w:val="en-AU"/>
              </w:rPr>
              <w:t>Diarrhoea</w:t>
            </w:r>
          </w:p>
        </w:tc>
        <w:tc>
          <w:tcPr>
            <w:tcW w:w="1031" w:type="pct"/>
            <w:shd w:val="clear" w:color="auto" w:fill="auto"/>
          </w:tcPr>
          <w:p w14:paraId="6190110A" w14:textId="77777777" w:rsidR="00ED6569" w:rsidRPr="004F6172" w:rsidRDefault="00ED6569" w:rsidP="003A4541">
            <w:pPr>
              <w:pStyle w:val="TableCenter"/>
              <w:rPr>
                <w:szCs w:val="20"/>
                <w:lang w:val="en-AU"/>
              </w:rPr>
            </w:pPr>
            <w:r w:rsidRPr="004F6172">
              <w:rPr>
                <w:szCs w:val="20"/>
                <w:lang w:val="en-AU"/>
              </w:rPr>
              <w:t>Very common</w:t>
            </w:r>
          </w:p>
        </w:tc>
        <w:tc>
          <w:tcPr>
            <w:tcW w:w="588" w:type="pct"/>
            <w:shd w:val="clear" w:color="auto" w:fill="auto"/>
          </w:tcPr>
          <w:p w14:paraId="6EEAA3D7" w14:textId="77777777" w:rsidR="00ED6569" w:rsidRPr="004F6172" w:rsidRDefault="00ED6569" w:rsidP="003A4541">
            <w:pPr>
              <w:pStyle w:val="TableCenter"/>
              <w:rPr>
                <w:szCs w:val="20"/>
                <w:lang w:val="en-AU"/>
              </w:rPr>
            </w:pPr>
            <w:r w:rsidRPr="004F6172">
              <w:rPr>
                <w:szCs w:val="20"/>
                <w:lang w:val="en-AU"/>
              </w:rPr>
              <w:t>16.3</w:t>
            </w:r>
          </w:p>
        </w:tc>
        <w:tc>
          <w:tcPr>
            <w:tcW w:w="884" w:type="pct"/>
            <w:shd w:val="clear" w:color="auto" w:fill="auto"/>
          </w:tcPr>
          <w:p w14:paraId="3A9C6EEF" w14:textId="128080C5" w:rsidR="00ED6569" w:rsidRPr="004F6172" w:rsidRDefault="00ED6569" w:rsidP="003A4541">
            <w:pPr>
              <w:pStyle w:val="TableCenter"/>
              <w:rPr>
                <w:szCs w:val="20"/>
                <w:lang w:val="en-AU"/>
              </w:rPr>
            </w:pPr>
            <w:r w:rsidRPr="004F6172">
              <w:rPr>
                <w:szCs w:val="20"/>
                <w:lang w:val="en-AU"/>
              </w:rPr>
              <w:t>Uncommon</w:t>
            </w:r>
          </w:p>
        </w:tc>
        <w:tc>
          <w:tcPr>
            <w:tcW w:w="585" w:type="pct"/>
          </w:tcPr>
          <w:p w14:paraId="10950B45" w14:textId="6CF768AA" w:rsidR="00ED6569" w:rsidRPr="008B029F" w:rsidRDefault="00ED6569" w:rsidP="003A4541">
            <w:pPr>
              <w:pStyle w:val="TableCenter"/>
              <w:rPr>
                <w:szCs w:val="20"/>
                <w:lang w:val="en-AU"/>
              </w:rPr>
            </w:pPr>
            <w:r w:rsidRPr="004F6172">
              <w:rPr>
                <w:szCs w:val="20"/>
                <w:lang w:val="en-AU"/>
              </w:rPr>
              <w:t>0.6</w:t>
            </w:r>
          </w:p>
        </w:tc>
      </w:tr>
      <w:tr w:rsidR="00ED6569" w:rsidRPr="008B029F" w14:paraId="2112D242" w14:textId="40DE172E" w:rsidTr="002606CD">
        <w:tc>
          <w:tcPr>
            <w:tcW w:w="1913" w:type="pct"/>
            <w:shd w:val="clear" w:color="auto" w:fill="auto"/>
          </w:tcPr>
          <w:p w14:paraId="5BE16559" w14:textId="2133B16F" w:rsidR="00ED6569" w:rsidRPr="008B029F" w:rsidRDefault="00ED6569" w:rsidP="003A4541">
            <w:pPr>
              <w:pStyle w:val="TableLeft"/>
              <w:rPr>
                <w:szCs w:val="20"/>
                <w:vertAlign w:val="superscript"/>
                <w:lang w:val="en-AU"/>
              </w:rPr>
            </w:pPr>
            <w:r w:rsidRPr="008B029F">
              <w:rPr>
                <w:szCs w:val="20"/>
                <w:lang w:val="en-AU"/>
              </w:rPr>
              <w:t>Abdominal pain</w:t>
            </w:r>
            <w:r w:rsidRPr="008B029F">
              <w:rPr>
                <w:szCs w:val="20"/>
                <w:vertAlign w:val="superscript"/>
                <w:lang w:val="en-AU"/>
              </w:rPr>
              <w:t>i</w:t>
            </w:r>
          </w:p>
        </w:tc>
        <w:tc>
          <w:tcPr>
            <w:tcW w:w="1031" w:type="pct"/>
            <w:shd w:val="clear" w:color="auto" w:fill="auto"/>
          </w:tcPr>
          <w:p w14:paraId="70F9DC00" w14:textId="77777777" w:rsidR="00ED6569" w:rsidRPr="008B029F" w:rsidRDefault="00ED6569" w:rsidP="003A4541">
            <w:pPr>
              <w:pStyle w:val="TableCenter"/>
              <w:rPr>
                <w:szCs w:val="20"/>
                <w:lang w:val="en-AU"/>
              </w:rPr>
            </w:pPr>
            <w:r w:rsidRPr="008B029F">
              <w:rPr>
                <w:szCs w:val="20"/>
                <w:lang w:val="en-AU"/>
              </w:rPr>
              <w:t>Very common</w:t>
            </w:r>
          </w:p>
        </w:tc>
        <w:tc>
          <w:tcPr>
            <w:tcW w:w="588" w:type="pct"/>
            <w:shd w:val="clear" w:color="auto" w:fill="auto"/>
          </w:tcPr>
          <w:p w14:paraId="3C79CF95" w14:textId="77777777" w:rsidR="00ED6569" w:rsidRPr="008B029F" w:rsidRDefault="00ED6569" w:rsidP="003A4541">
            <w:pPr>
              <w:pStyle w:val="TableCenter"/>
              <w:rPr>
                <w:szCs w:val="20"/>
                <w:lang w:val="en-AU"/>
              </w:rPr>
            </w:pPr>
            <w:r w:rsidRPr="008B029F">
              <w:rPr>
                <w:szCs w:val="20"/>
                <w:lang w:val="en-AU"/>
              </w:rPr>
              <w:t>12.7</w:t>
            </w:r>
          </w:p>
        </w:tc>
        <w:tc>
          <w:tcPr>
            <w:tcW w:w="884" w:type="pct"/>
            <w:shd w:val="clear" w:color="auto" w:fill="auto"/>
          </w:tcPr>
          <w:p w14:paraId="281D4A0B" w14:textId="492F7B56" w:rsidR="00ED6569" w:rsidRPr="008B029F" w:rsidRDefault="00ED6569" w:rsidP="003A4541">
            <w:pPr>
              <w:pStyle w:val="TableCenter"/>
              <w:rPr>
                <w:szCs w:val="20"/>
                <w:lang w:val="en-AU"/>
              </w:rPr>
            </w:pPr>
            <w:r w:rsidRPr="008B029F">
              <w:rPr>
                <w:szCs w:val="20"/>
                <w:lang w:val="en-AU"/>
              </w:rPr>
              <w:t>Common</w:t>
            </w:r>
          </w:p>
        </w:tc>
        <w:tc>
          <w:tcPr>
            <w:tcW w:w="585" w:type="pct"/>
          </w:tcPr>
          <w:p w14:paraId="232C13A2" w14:textId="6A772F87" w:rsidR="00ED6569" w:rsidRPr="008B029F" w:rsidRDefault="00ED6569" w:rsidP="003A4541">
            <w:pPr>
              <w:pStyle w:val="TableCenter"/>
              <w:rPr>
                <w:szCs w:val="20"/>
                <w:lang w:val="en-AU"/>
              </w:rPr>
            </w:pPr>
            <w:r w:rsidRPr="008B029F">
              <w:rPr>
                <w:szCs w:val="20"/>
                <w:lang w:val="en-AU"/>
              </w:rPr>
              <w:t>1.8</w:t>
            </w:r>
          </w:p>
        </w:tc>
      </w:tr>
      <w:tr w:rsidR="00ED6569" w:rsidRPr="008B029F" w14:paraId="28615106" w14:textId="6CF9F21C" w:rsidTr="002606CD">
        <w:tc>
          <w:tcPr>
            <w:tcW w:w="1913" w:type="pct"/>
            <w:shd w:val="clear" w:color="auto" w:fill="auto"/>
          </w:tcPr>
          <w:p w14:paraId="6A18E13A" w14:textId="572AB994" w:rsidR="00ED6569" w:rsidRPr="008B029F" w:rsidRDefault="00ED6569" w:rsidP="003A4541">
            <w:pPr>
              <w:pStyle w:val="TableLeft"/>
              <w:rPr>
                <w:szCs w:val="20"/>
                <w:lang w:val="en-AU"/>
              </w:rPr>
            </w:pPr>
            <w:r w:rsidRPr="008B029F">
              <w:rPr>
                <w:szCs w:val="20"/>
                <w:lang w:val="en-AU"/>
              </w:rPr>
              <w:t>Colitis</w:t>
            </w:r>
            <w:r w:rsidRPr="008B029F">
              <w:rPr>
                <w:szCs w:val="20"/>
                <w:vertAlign w:val="superscript"/>
                <w:lang w:val="en-AU"/>
              </w:rPr>
              <w:t>j</w:t>
            </w:r>
          </w:p>
        </w:tc>
        <w:tc>
          <w:tcPr>
            <w:tcW w:w="1031" w:type="pct"/>
            <w:shd w:val="clear" w:color="auto" w:fill="auto"/>
          </w:tcPr>
          <w:p w14:paraId="57855133" w14:textId="77777777" w:rsidR="00ED6569" w:rsidRPr="008B029F" w:rsidRDefault="00ED6569" w:rsidP="003A4541">
            <w:pPr>
              <w:pStyle w:val="TableCenter"/>
              <w:rPr>
                <w:szCs w:val="20"/>
                <w:lang w:val="en-AU"/>
              </w:rPr>
            </w:pPr>
            <w:r w:rsidRPr="008B029F">
              <w:rPr>
                <w:szCs w:val="20"/>
                <w:lang w:val="en-AU"/>
              </w:rPr>
              <w:t>Uncommon</w:t>
            </w:r>
          </w:p>
        </w:tc>
        <w:tc>
          <w:tcPr>
            <w:tcW w:w="588" w:type="pct"/>
            <w:shd w:val="clear" w:color="auto" w:fill="auto"/>
          </w:tcPr>
          <w:p w14:paraId="3088F748" w14:textId="77777777" w:rsidR="00ED6569" w:rsidRPr="008B029F" w:rsidRDefault="00ED6569" w:rsidP="003A4541">
            <w:pPr>
              <w:pStyle w:val="TableCenter"/>
              <w:rPr>
                <w:szCs w:val="20"/>
                <w:lang w:val="en-AU"/>
              </w:rPr>
            </w:pPr>
            <w:r w:rsidRPr="008B029F">
              <w:rPr>
                <w:szCs w:val="20"/>
                <w:lang w:val="en-AU"/>
              </w:rPr>
              <w:t>0.9</w:t>
            </w:r>
          </w:p>
        </w:tc>
        <w:tc>
          <w:tcPr>
            <w:tcW w:w="884" w:type="pct"/>
            <w:shd w:val="clear" w:color="auto" w:fill="auto"/>
          </w:tcPr>
          <w:p w14:paraId="11835243" w14:textId="6B18F174" w:rsidR="00ED6569" w:rsidRPr="008B029F" w:rsidRDefault="00ED6569" w:rsidP="003A4541">
            <w:pPr>
              <w:pStyle w:val="TableCenter"/>
              <w:rPr>
                <w:szCs w:val="20"/>
                <w:lang w:val="en-AU"/>
              </w:rPr>
            </w:pPr>
            <w:r w:rsidRPr="008B029F">
              <w:rPr>
                <w:szCs w:val="20"/>
                <w:lang w:val="en-AU"/>
              </w:rPr>
              <w:t>Uncommon</w:t>
            </w:r>
          </w:p>
        </w:tc>
        <w:tc>
          <w:tcPr>
            <w:tcW w:w="585" w:type="pct"/>
          </w:tcPr>
          <w:p w14:paraId="4BCA0838" w14:textId="79672BED" w:rsidR="00ED6569" w:rsidRPr="008B029F" w:rsidRDefault="00ED6569" w:rsidP="003A4541">
            <w:pPr>
              <w:pStyle w:val="TableCenter"/>
              <w:rPr>
                <w:szCs w:val="20"/>
                <w:lang w:val="en-AU"/>
              </w:rPr>
            </w:pPr>
            <w:r w:rsidRPr="008B029F">
              <w:rPr>
                <w:szCs w:val="20"/>
                <w:lang w:val="en-AU"/>
              </w:rPr>
              <w:t>0.3</w:t>
            </w:r>
          </w:p>
        </w:tc>
      </w:tr>
      <w:tr w:rsidR="00ED6569" w:rsidRPr="008B029F" w14:paraId="2AE12F1B" w14:textId="77777777" w:rsidTr="002606CD">
        <w:tc>
          <w:tcPr>
            <w:tcW w:w="1913" w:type="pct"/>
            <w:shd w:val="clear" w:color="auto" w:fill="auto"/>
          </w:tcPr>
          <w:p w14:paraId="7C2229BD" w14:textId="729CB65D" w:rsidR="00ED6569" w:rsidRPr="008B029F" w:rsidRDefault="00ED6569" w:rsidP="003A4541">
            <w:pPr>
              <w:pStyle w:val="TableLeft"/>
              <w:rPr>
                <w:szCs w:val="20"/>
                <w:lang w:val="en-AU"/>
              </w:rPr>
            </w:pPr>
            <w:r w:rsidRPr="008B029F">
              <w:rPr>
                <w:szCs w:val="20"/>
                <w:lang w:val="en-AU"/>
              </w:rPr>
              <w:t>Pancreatitis</w:t>
            </w:r>
            <w:r w:rsidRPr="008B029F">
              <w:rPr>
                <w:szCs w:val="20"/>
                <w:vertAlign w:val="superscript"/>
                <w:lang w:val="en-AU"/>
              </w:rPr>
              <w:t>t</w:t>
            </w:r>
          </w:p>
        </w:tc>
        <w:tc>
          <w:tcPr>
            <w:tcW w:w="1031" w:type="pct"/>
            <w:shd w:val="clear" w:color="auto" w:fill="auto"/>
          </w:tcPr>
          <w:p w14:paraId="45A84307" w14:textId="010D1329" w:rsidR="00ED6569" w:rsidRPr="008B029F" w:rsidRDefault="00ED6569" w:rsidP="003A4541">
            <w:pPr>
              <w:pStyle w:val="TableCenter"/>
              <w:rPr>
                <w:szCs w:val="20"/>
                <w:lang w:val="en-AU"/>
              </w:rPr>
            </w:pPr>
            <w:r w:rsidRPr="008B029F">
              <w:rPr>
                <w:szCs w:val="20"/>
                <w:lang w:val="en-AU"/>
              </w:rPr>
              <w:t>Uncommon</w:t>
            </w:r>
          </w:p>
        </w:tc>
        <w:tc>
          <w:tcPr>
            <w:tcW w:w="588" w:type="pct"/>
            <w:shd w:val="clear" w:color="auto" w:fill="auto"/>
          </w:tcPr>
          <w:p w14:paraId="632037B0" w14:textId="1DC87B3D" w:rsidR="00ED6569" w:rsidRPr="008B029F" w:rsidRDefault="0028153F" w:rsidP="003A4541">
            <w:pPr>
              <w:pStyle w:val="TableCenter"/>
              <w:rPr>
                <w:szCs w:val="20"/>
                <w:lang w:val="en-AU"/>
              </w:rPr>
            </w:pPr>
            <w:r w:rsidRPr="008B029F">
              <w:rPr>
                <w:szCs w:val="20"/>
                <w:lang w:val="en-AU"/>
              </w:rPr>
              <w:t>0.2</w:t>
            </w:r>
            <w:r w:rsidR="00EC4C3D" w:rsidRPr="008B029F">
              <w:rPr>
                <w:szCs w:val="20"/>
                <w:lang w:val="en-AU"/>
              </w:rPr>
              <w:t>3</w:t>
            </w:r>
          </w:p>
        </w:tc>
        <w:tc>
          <w:tcPr>
            <w:tcW w:w="884" w:type="pct"/>
            <w:shd w:val="clear" w:color="auto" w:fill="auto"/>
          </w:tcPr>
          <w:p w14:paraId="6605341A" w14:textId="6625DBF9" w:rsidR="00ED6569" w:rsidRPr="008B029F" w:rsidRDefault="00ED6569" w:rsidP="003A4541">
            <w:pPr>
              <w:pStyle w:val="TableCenter"/>
              <w:rPr>
                <w:szCs w:val="20"/>
                <w:lang w:val="en-AU"/>
              </w:rPr>
            </w:pPr>
            <w:r w:rsidRPr="008B029F">
              <w:rPr>
                <w:szCs w:val="20"/>
                <w:lang w:val="en-AU"/>
              </w:rPr>
              <w:t>Uncommon</w:t>
            </w:r>
          </w:p>
        </w:tc>
        <w:tc>
          <w:tcPr>
            <w:tcW w:w="585" w:type="pct"/>
          </w:tcPr>
          <w:p w14:paraId="70ACA920" w14:textId="3212EBEE" w:rsidR="00ED6569" w:rsidRPr="008B029F" w:rsidRDefault="00EC4C3D" w:rsidP="003A4541">
            <w:pPr>
              <w:pStyle w:val="TableCenter"/>
              <w:rPr>
                <w:szCs w:val="20"/>
                <w:lang w:val="en-AU"/>
              </w:rPr>
            </w:pPr>
            <w:r w:rsidRPr="008B029F">
              <w:rPr>
                <w:szCs w:val="20"/>
                <w:lang w:val="en-AU"/>
              </w:rPr>
              <w:t>0.17</w:t>
            </w:r>
          </w:p>
        </w:tc>
      </w:tr>
      <w:tr w:rsidR="00ED6569" w:rsidRPr="008B029F" w14:paraId="136B6173" w14:textId="138B1F44" w:rsidTr="003A4541">
        <w:tc>
          <w:tcPr>
            <w:tcW w:w="5000" w:type="pct"/>
            <w:gridSpan w:val="5"/>
            <w:shd w:val="clear" w:color="auto" w:fill="auto"/>
          </w:tcPr>
          <w:p w14:paraId="5B3B2082" w14:textId="60F3D10C" w:rsidR="00ED6569" w:rsidRPr="008B029F" w:rsidRDefault="00ED6569" w:rsidP="003A4541">
            <w:pPr>
              <w:pStyle w:val="TableLeft"/>
              <w:rPr>
                <w:b/>
                <w:bCs w:val="0"/>
                <w:szCs w:val="20"/>
                <w:lang w:val="en-AU"/>
              </w:rPr>
            </w:pPr>
            <w:r w:rsidRPr="008B029F">
              <w:rPr>
                <w:b/>
                <w:bCs w:val="0"/>
                <w:szCs w:val="20"/>
                <w:lang w:val="en-AU"/>
              </w:rPr>
              <w:t>Hepatobiliary disorders</w:t>
            </w:r>
          </w:p>
        </w:tc>
      </w:tr>
      <w:tr w:rsidR="00ED6569" w:rsidRPr="008B029F" w14:paraId="6447F97E" w14:textId="065B0CE6" w:rsidTr="002606CD">
        <w:tc>
          <w:tcPr>
            <w:tcW w:w="1913" w:type="pct"/>
            <w:shd w:val="clear" w:color="auto" w:fill="auto"/>
          </w:tcPr>
          <w:p w14:paraId="19862EA7" w14:textId="5BC5E61F" w:rsidR="00ED6569" w:rsidRPr="008B029F" w:rsidRDefault="00ED6569" w:rsidP="003A4541">
            <w:pPr>
              <w:pStyle w:val="TableLeft"/>
              <w:rPr>
                <w:szCs w:val="20"/>
                <w:lang w:val="en-AU"/>
              </w:rPr>
            </w:pPr>
            <w:r w:rsidRPr="008B029F">
              <w:rPr>
                <w:szCs w:val="20"/>
                <w:lang w:val="en-AU"/>
              </w:rPr>
              <w:t xml:space="preserve">Aspartate aminotransferase increased or </w:t>
            </w:r>
            <w:r w:rsidR="00AE6EF5" w:rsidRPr="008B029F">
              <w:rPr>
                <w:szCs w:val="20"/>
                <w:lang w:val="en-AU"/>
              </w:rPr>
              <w:t>a</w:t>
            </w:r>
            <w:r w:rsidRPr="008B029F">
              <w:rPr>
                <w:szCs w:val="20"/>
                <w:lang w:val="en-AU"/>
              </w:rPr>
              <w:t>lanine aminotransferase increased</w:t>
            </w:r>
            <w:r w:rsidR="004F6172">
              <w:rPr>
                <w:szCs w:val="20"/>
                <w:lang w:val="en-AU"/>
              </w:rPr>
              <w:t xml:space="preserve"> </w:t>
            </w:r>
            <w:r w:rsidRPr="008B029F">
              <w:rPr>
                <w:szCs w:val="20"/>
                <w:vertAlign w:val="superscript"/>
                <w:lang w:val="en-AU"/>
              </w:rPr>
              <w:t>c,k</w:t>
            </w:r>
            <w:r w:rsidRPr="008B029F">
              <w:rPr>
                <w:szCs w:val="20"/>
                <w:lang w:val="en-AU"/>
              </w:rPr>
              <w:t xml:space="preserve"> </w:t>
            </w:r>
          </w:p>
        </w:tc>
        <w:tc>
          <w:tcPr>
            <w:tcW w:w="1031" w:type="pct"/>
            <w:shd w:val="clear" w:color="auto" w:fill="auto"/>
          </w:tcPr>
          <w:p w14:paraId="4BB88725" w14:textId="77777777" w:rsidR="00ED6569" w:rsidRPr="008B029F" w:rsidRDefault="00ED6569" w:rsidP="003A4541">
            <w:pPr>
              <w:pStyle w:val="TableCenter"/>
              <w:rPr>
                <w:szCs w:val="20"/>
                <w:lang w:val="en-AU"/>
              </w:rPr>
            </w:pPr>
            <w:r w:rsidRPr="008B029F">
              <w:rPr>
                <w:szCs w:val="20"/>
                <w:lang w:val="en-AU"/>
              </w:rPr>
              <w:t>Common</w:t>
            </w:r>
          </w:p>
        </w:tc>
        <w:tc>
          <w:tcPr>
            <w:tcW w:w="588" w:type="pct"/>
            <w:shd w:val="clear" w:color="auto" w:fill="auto"/>
          </w:tcPr>
          <w:p w14:paraId="0125856A" w14:textId="3EEB39F0" w:rsidR="00ED6569" w:rsidRPr="008B029F" w:rsidRDefault="00ED6569" w:rsidP="003A4541">
            <w:pPr>
              <w:pStyle w:val="TableCenter"/>
              <w:rPr>
                <w:szCs w:val="20"/>
                <w:lang w:val="en-AU"/>
              </w:rPr>
            </w:pPr>
            <w:r w:rsidRPr="008B029F">
              <w:rPr>
                <w:szCs w:val="20"/>
                <w:lang w:val="en-AU"/>
              </w:rPr>
              <w:t>8.1</w:t>
            </w:r>
          </w:p>
        </w:tc>
        <w:tc>
          <w:tcPr>
            <w:tcW w:w="884" w:type="pct"/>
            <w:shd w:val="clear" w:color="auto" w:fill="auto"/>
          </w:tcPr>
          <w:p w14:paraId="177BE75C" w14:textId="04D35A3C" w:rsidR="00ED6569" w:rsidRPr="008B029F" w:rsidRDefault="00ED6569" w:rsidP="003A4541">
            <w:pPr>
              <w:pStyle w:val="TableCenter"/>
              <w:rPr>
                <w:szCs w:val="20"/>
                <w:lang w:val="en-AU"/>
              </w:rPr>
            </w:pPr>
            <w:r w:rsidRPr="008B029F">
              <w:rPr>
                <w:szCs w:val="20"/>
                <w:lang w:val="en-AU"/>
              </w:rPr>
              <w:t>Common</w:t>
            </w:r>
          </w:p>
        </w:tc>
        <w:tc>
          <w:tcPr>
            <w:tcW w:w="585" w:type="pct"/>
          </w:tcPr>
          <w:p w14:paraId="6E0A75B8" w14:textId="17E65957" w:rsidR="00ED6569" w:rsidRPr="008B029F" w:rsidRDefault="00ED6569" w:rsidP="003A4541">
            <w:pPr>
              <w:pStyle w:val="TableCenter"/>
              <w:rPr>
                <w:szCs w:val="20"/>
                <w:lang w:val="en-AU"/>
              </w:rPr>
            </w:pPr>
            <w:r w:rsidRPr="008B029F">
              <w:rPr>
                <w:szCs w:val="20"/>
                <w:lang w:val="en-AU"/>
              </w:rPr>
              <w:t>2.3</w:t>
            </w:r>
          </w:p>
        </w:tc>
      </w:tr>
      <w:tr w:rsidR="00ED6569" w:rsidRPr="008B029F" w14:paraId="69738664" w14:textId="22530D74" w:rsidTr="002606CD">
        <w:tc>
          <w:tcPr>
            <w:tcW w:w="1913" w:type="pct"/>
            <w:shd w:val="clear" w:color="auto" w:fill="auto"/>
          </w:tcPr>
          <w:p w14:paraId="383B41EC" w14:textId="251A57F2" w:rsidR="00ED6569" w:rsidRPr="008B029F" w:rsidRDefault="00ED6569" w:rsidP="003A4541">
            <w:pPr>
              <w:pStyle w:val="TableLeft"/>
              <w:rPr>
                <w:szCs w:val="20"/>
                <w:lang w:val="en-AU"/>
              </w:rPr>
            </w:pPr>
            <w:r w:rsidRPr="008B029F">
              <w:rPr>
                <w:szCs w:val="20"/>
                <w:lang w:val="en-AU"/>
              </w:rPr>
              <w:t>Hepatitis</w:t>
            </w:r>
            <w:r w:rsidR="004F6172">
              <w:rPr>
                <w:szCs w:val="20"/>
                <w:lang w:val="en-AU"/>
              </w:rPr>
              <w:t xml:space="preserve"> </w:t>
            </w:r>
            <w:r w:rsidRPr="008B029F">
              <w:rPr>
                <w:szCs w:val="20"/>
                <w:vertAlign w:val="superscript"/>
                <w:lang w:val="en-AU"/>
              </w:rPr>
              <w:t>c,l</w:t>
            </w:r>
          </w:p>
        </w:tc>
        <w:tc>
          <w:tcPr>
            <w:tcW w:w="1031" w:type="pct"/>
            <w:shd w:val="clear" w:color="auto" w:fill="auto"/>
          </w:tcPr>
          <w:p w14:paraId="545CCAD5" w14:textId="77777777" w:rsidR="00ED6569" w:rsidRPr="008B029F" w:rsidRDefault="00ED6569" w:rsidP="003A4541">
            <w:pPr>
              <w:pStyle w:val="TableCenter"/>
              <w:rPr>
                <w:szCs w:val="20"/>
                <w:lang w:val="en-AU"/>
              </w:rPr>
            </w:pPr>
            <w:r w:rsidRPr="008B029F">
              <w:rPr>
                <w:szCs w:val="20"/>
                <w:lang w:val="en-AU"/>
              </w:rPr>
              <w:t>Uncommon</w:t>
            </w:r>
          </w:p>
        </w:tc>
        <w:tc>
          <w:tcPr>
            <w:tcW w:w="588" w:type="pct"/>
            <w:shd w:val="clear" w:color="auto" w:fill="auto"/>
          </w:tcPr>
          <w:p w14:paraId="06DE2DE4" w14:textId="77777777" w:rsidR="00ED6569" w:rsidRPr="008B029F" w:rsidRDefault="00ED6569" w:rsidP="003A4541">
            <w:pPr>
              <w:pStyle w:val="TableCenter"/>
              <w:rPr>
                <w:szCs w:val="20"/>
                <w:lang w:val="en-AU"/>
              </w:rPr>
            </w:pPr>
            <w:r w:rsidRPr="008B029F">
              <w:rPr>
                <w:szCs w:val="20"/>
                <w:lang w:val="en-AU"/>
              </w:rPr>
              <w:t>0.8</w:t>
            </w:r>
          </w:p>
        </w:tc>
        <w:tc>
          <w:tcPr>
            <w:tcW w:w="884" w:type="pct"/>
            <w:shd w:val="clear" w:color="auto" w:fill="auto"/>
          </w:tcPr>
          <w:p w14:paraId="14933582" w14:textId="6DFD304A" w:rsidR="00ED6569" w:rsidRPr="008B029F" w:rsidRDefault="00ED6569" w:rsidP="003A4541">
            <w:pPr>
              <w:pStyle w:val="TableCenter"/>
              <w:rPr>
                <w:szCs w:val="20"/>
                <w:lang w:val="en-AU"/>
              </w:rPr>
            </w:pPr>
            <w:r w:rsidRPr="008B029F">
              <w:rPr>
                <w:szCs w:val="20"/>
                <w:lang w:val="en-AU"/>
              </w:rPr>
              <w:t>Uncommon</w:t>
            </w:r>
          </w:p>
        </w:tc>
        <w:tc>
          <w:tcPr>
            <w:tcW w:w="585" w:type="pct"/>
          </w:tcPr>
          <w:p w14:paraId="6737ED7C" w14:textId="7AFE21F6" w:rsidR="00ED6569" w:rsidRPr="008B029F" w:rsidRDefault="00ED6569" w:rsidP="003A4541">
            <w:pPr>
              <w:pStyle w:val="TableCenter"/>
              <w:rPr>
                <w:szCs w:val="20"/>
                <w:lang w:val="en-AU"/>
              </w:rPr>
            </w:pPr>
            <w:r w:rsidRPr="008B029F">
              <w:rPr>
                <w:szCs w:val="20"/>
                <w:lang w:val="en-AU"/>
              </w:rPr>
              <w:t>0.4</w:t>
            </w:r>
          </w:p>
        </w:tc>
      </w:tr>
      <w:tr w:rsidR="00ED6569" w:rsidRPr="008B029F" w14:paraId="28031B5C" w14:textId="679E9FC9" w:rsidTr="003A4541">
        <w:tc>
          <w:tcPr>
            <w:tcW w:w="5000" w:type="pct"/>
            <w:gridSpan w:val="5"/>
            <w:shd w:val="clear" w:color="auto" w:fill="auto"/>
          </w:tcPr>
          <w:p w14:paraId="4B64D7E2" w14:textId="609C4637" w:rsidR="00ED6569" w:rsidRPr="008B029F" w:rsidRDefault="00ED6569" w:rsidP="003A4541">
            <w:pPr>
              <w:pStyle w:val="TableLeft"/>
              <w:rPr>
                <w:b/>
                <w:bCs w:val="0"/>
                <w:szCs w:val="20"/>
                <w:lang w:val="en-AU"/>
              </w:rPr>
            </w:pPr>
            <w:r w:rsidRPr="008B029F">
              <w:rPr>
                <w:b/>
                <w:bCs w:val="0"/>
                <w:szCs w:val="20"/>
                <w:lang w:val="en-AU"/>
              </w:rPr>
              <w:t>Skin and subcutaneous tissue disorders</w:t>
            </w:r>
          </w:p>
        </w:tc>
      </w:tr>
      <w:tr w:rsidR="00ED6569" w:rsidRPr="008B029F" w14:paraId="19998CC5" w14:textId="76BAC839" w:rsidTr="002606CD">
        <w:tc>
          <w:tcPr>
            <w:tcW w:w="1913" w:type="pct"/>
            <w:shd w:val="clear" w:color="auto" w:fill="auto"/>
          </w:tcPr>
          <w:p w14:paraId="1A3D6A05" w14:textId="612B5B4C" w:rsidR="00ED6569" w:rsidRPr="008B029F" w:rsidRDefault="00ED6569" w:rsidP="003A4541">
            <w:pPr>
              <w:pStyle w:val="TableLeft"/>
              <w:rPr>
                <w:szCs w:val="20"/>
                <w:vertAlign w:val="superscript"/>
                <w:lang w:val="en-AU"/>
              </w:rPr>
            </w:pPr>
            <w:r w:rsidRPr="008B029F">
              <w:rPr>
                <w:szCs w:val="20"/>
                <w:lang w:val="en-AU"/>
              </w:rPr>
              <w:t>Rash</w:t>
            </w:r>
            <w:r w:rsidRPr="008B029F">
              <w:rPr>
                <w:szCs w:val="20"/>
                <w:vertAlign w:val="superscript"/>
                <w:lang w:val="en-AU"/>
              </w:rPr>
              <w:t>m</w:t>
            </w:r>
          </w:p>
        </w:tc>
        <w:tc>
          <w:tcPr>
            <w:tcW w:w="1031" w:type="pct"/>
            <w:shd w:val="clear" w:color="auto" w:fill="auto"/>
          </w:tcPr>
          <w:p w14:paraId="4119143D" w14:textId="77777777" w:rsidR="00ED6569" w:rsidRPr="008B029F" w:rsidRDefault="00ED6569" w:rsidP="003A4541">
            <w:pPr>
              <w:pStyle w:val="TableCenter"/>
              <w:rPr>
                <w:szCs w:val="20"/>
                <w:lang w:val="en-AU"/>
              </w:rPr>
            </w:pPr>
            <w:r w:rsidRPr="008B029F">
              <w:rPr>
                <w:szCs w:val="20"/>
                <w:lang w:val="en-AU"/>
              </w:rPr>
              <w:t>Very common</w:t>
            </w:r>
          </w:p>
        </w:tc>
        <w:tc>
          <w:tcPr>
            <w:tcW w:w="588" w:type="pct"/>
            <w:shd w:val="clear" w:color="auto" w:fill="auto"/>
          </w:tcPr>
          <w:p w14:paraId="7A2A3A81" w14:textId="77777777" w:rsidR="00ED6569" w:rsidRPr="008B029F" w:rsidRDefault="00ED6569" w:rsidP="003A4541">
            <w:pPr>
              <w:pStyle w:val="TableCenter"/>
              <w:rPr>
                <w:szCs w:val="20"/>
                <w:lang w:val="en-AU"/>
              </w:rPr>
            </w:pPr>
            <w:r w:rsidRPr="008B029F">
              <w:rPr>
                <w:szCs w:val="20"/>
                <w:lang w:val="en-AU"/>
              </w:rPr>
              <w:t>16.0</w:t>
            </w:r>
          </w:p>
        </w:tc>
        <w:tc>
          <w:tcPr>
            <w:tcW w:w="884" w:type="pct"/>
            <w:shd w:val="clear" w:color="auto" w:fill="auto"/>
          </w:tcPr>
          <w:p w14:paraId="4113589B" w14:textId="2FC82A97" w:rsidR="00ED6569" w:rsidRPr="008B029F" w:rsidRDefault="00ED6569" w:rsidP="003A4541">
            <w:pPr>
              <w:pStyle w:val="TableCenter"/>
              <w:rPr>
                <w:szCs w:val="20"/>
                <w:lang w:val="en-AU"/>
              </w:rPr>
            </w:pPr>
            <w:r w:rsidRPr="008B029F">
              <w:rPr>
                <w:szCs w:val="20"/>
                <w:lang w:val="en-AU"/>
              </w:rPr>
              <w:t>Uncommon</w:t>
            </w:r>
          </w:p>
        </w:tc>
        <w:tc>
          <w:tcPr>
            <w:tcW w:w="585" w:type="pct"/>
          </w:tcPr>
          <w:p w14:paraId="76A02BB7" w14:textId="385B0FEE" w:rsidR="00ED6569" w:rsidRPr="008B029F" w:rsidRDefault="00ED6569" w:rsidP="003A4541">
            <w:pPr>
              <w:pStyle w:val="TableCenter"/>
              <w:rPr>
                <w:szCs w:val="20"/>
                <w:lang w:val="en-AU"/>
              </w:rPr>
            </w:pPr>
            <w:r w:rsidRPr="008B029F">
              <w:rPr>
                <w:szCs w:val="20"/>
                <w:lang w:val="en-AU"/>
              </w:rPr>
              <w:t>0.6</w:t>
            </w:r>
          </w:p>
        </w:tc>
      </w:tr>
      <w:tr w:rsidR="00ED6569" w:rsidRPr="008B029F" w14:paraId="4FDED3B2" w14:textId="79B9F2CE" w:rsidTr="002606CD">
        <w:tc>
          <w:tcPr>
            <w:tcW w:w="1913" w:type="pct"/>
            <w:shd w:val="clear" w:color="auto" w:fill="auto"/>
          </w:tcPr>
          <w:p w14:paraId="32BA198A" w14:textId="575A59C9" w:rsidR="00ED6569" w:rsidRPr="008B029F" w:rsidRDefault="00ED6569" w:rsidP="003A4541">
            <w:pPr>
              <w:pStyle w:val="TableLeft"/>
              <w:rPr>
                <w:szCs w:val="20"/>
                <w:vertAlign w:val="superscript"/>
                <w:lang w:val="en-AU"/>
              </w:rPr>
            </w:pPr>
            <w:r w:rsidRPr="008B029F">
              <w:rPr>
                <w:szCs w:val="20"/>
                <w:lang w:val="en-AU"/>
              </w:rPr>
              <w:t>Pruritus</w:t>
            </w:r>
            <w:r w:rsidRPr="008B029F">
              <w:rPr>
                <w:szCs w:val="20"/>
                <w:vertAlign w:val="superscript"/>
                <w:lang w:val="en-AU"/>
              </w:rPr>
              <w:t>n</w:t>
            </w:r>
          </w:p>
        </w:tc>
        <w:tc>
          <w:tcPr>
            <w:tcW w:w="1031" w:type="pct"/>
            <w:shd w:val="clear" w:color="auto" w:fill="auto"/>
          </w:tcPr>
          <w:p w14:paraId="287290E9" w14:textId="77777777" w:rsidR="00ED6569" w:rsidRPr="008B029F" w:rsidRDefault="00ED6569" w:rsidP="003A4541">
            <w:pPr>
              <w:pStyle w:val="TableCenter"/>
              <w:rPr>
                <w:szCs w:val="20"/>
                <w:lang w:val="en-AU"/>
              </w:rPr>
            </w:pPr>
            <w:r w:rsidRPr="008B029F">
              <w:rPr>
                <w:szCs w:val="20"/>
                <w:lang w:val="en-AU"/>
              </w:rPr>
              <w:t>Very common</w:t>
            </w:r>
          </w:p>
        </w:tc>
        <w:tc>
          <w:tcPr>
            <w:tcW w:w="588" w:type="pct"/>
            <w:shd w:val="clear" w:color="auto" w:fill="auto"/>
          </w:tcPr>
          <w:p w14:paraId="4E2E02F3" w14:textId="77777777" w:rsidR="00ED6569" w:rsidRPr="008B029F" w:rsidRDefault="00ED6569" w:rsidP="003A4541">
            <w:pPr>
              <w:pStyle w:val="TableCenter"/>
              <w:rPr>
                <w:szCs w:val="20"/>
                <w:lang w:val="en-AU"/>
              </w:rPr>
            </w:pPr>
            <w:r w:rsidRPr="008B029F">
              <w:rPr>
                <w:szCs w:val="20"/>
                <w:lang w:val="en-AU"/>
              </w:rPr>
              <w:t>10.8</w:t>
            </w:r>
          </w:p>
        </w:tc>
        <w:tc>
          <w:tcPr>
            <w:tcW w:w="884" w:type="pct"/>
            <w:shd w:val="clear" w:color="auto" w:fill="auto"/>
          </w:tcPr>
          <w:p w14:paraId="563408FB" w14:textId="72AEA5AE" w:rsidR="00ED6569" w:rsidRPr="008B029F" w:rsidRDefault="00ED6569" w:rsidP="003A4541">
            <w:pPr>
              <w:pStyle w:val="TableCenter"/>
              <w:rPr>
                <w:szCs w:val="20"/>
                <w:lang w:val="en-AU"/>
              </w:rPr>
            </w:pPr>
            <w:r w:rsidRPr="008B029F">
              <w:rPr>
                <w:szCs w:val="20"/>
                <w:lang w:val="en-AU"/>
              </w:rPr>
              <w:t>Rare</w:t>
            </w:r>
          </w:p>
        </w:tc>
        <w:tc>
          <w:tcPr>
            <w:tcW w:w="585" w:type="pct"/>
          </w:tcPr>
          <w:p w14:paraId="6DA4B541" w14:textId="187EF282" w:rsidR="00ED6569" w:rsidRPr="008B029F" w:rsidRDefault="00ED6569" w:rsidP="003A4541">
            <w:pPr>
              <w:pStyle w:val="TableCenter"/>
              <w:rPr>
                <w:szCs w:val="20"/>
                <w:lang w:val="en-AU"/>
              </w:rPr>
            </w:pPr>
            <w:r w:rsidRPr="008B029F">
              <w:rPr>
                <w:szCs w:val="20"/>
                <w:lang w:val="en-AU"/>
              </w:rPr>
              <w:t>&lt;0.1</w:t>
            </w:r>
          </w:p>
        </w:tc>
      </w:tr>
      <w:tr w:rsidR="00ED6569" w:rsidRPr="008B029F" w14:paraId="7363CCE4" w14:textId="62CA7885" w:rsidTr="002606CD">
        <w:tc>
          <w:tcPr>
            <w:tcW w:w="1913" w:type="pct"/>
            <w:shd w:val="clear" w:color="auto" w:fill="auto"/>
          </w:tcPr>
          <w:p w14:paraId="326C2437" w14:textId="77777777" w:rsidR="00ED6569" w:rsidRPr="008B029F" w:rsidRDefault="00ED6569" w:rsidP="003A4541">
            <w:pPr>
              <w:pStyle w:val="TableLeft"/>
              <w:rPr>
                <w:szCs w:val="20"/>
                <w:lang w:val="en-AU"/>
              </w:rPr>
            </w:pPr>
            <w:r w:rsidRPr="008B029F">
              <w:rPr>
                <w:szCs w:val="20"/>
                <w:lang w:val="en-AU"/>
              </w:rPr>
              <w:t>Night sweats</w:t>
            </w:r>
          </w:p>
        </w:tc>
        <w:tc>
          <w:tcPr>
            <w:tcW w:w="1031" w:type="pct"/>
            <w:shd w:val="clear" w:color="auto" w:fill="auto"/>
          </w:tcPr>
          <w:p w14:paraId="79B60F91" w14:textId="77777777" w:rsidR="00ED6569" w:rsidRPr="008B029F" w:rsidRDefault="00ED6569" w:rsidP="003A4541">
            <w:pPr>
              <w:pStyle w:val="TableCenter"/>
              <w:rPr>
                <w:szCs w:val="20"/>
                <w:lang w:val="en-AU"/>
              </w:rPr>
            </w:pPr>
            <w:r w:rsidRPr="008B029F">
              <w:rPr>
                <w:szCs w:val="20"/>
                <w:lang w:val="en-AU"/>
              </w:rPr>
              <w:t xml:space="preserve">Common </w:t>
            </w:r>
          </w:p>
        </w:tc>
        <w:tc>
          <w:tcPr>
            <w:tcW w:w="588" w:type="pct"/>
            <w:shd w:val="clear" w:color="auto" w:fill="auto"/>
          </w:tcPr>
          <w:p w14:paraId="588039B7" w14:textId="77777777" w:rsidR="00ED6569" w:rsidRPr="008B029F" w:rsidRDefault="00ED6569" w:rsidP="003A4541">
            <w:pPr>
              <w:pStyle w:val="TableCenter"/>
              <w:rPr>
                <w:szCs w:val="20"/>
                <w:lang w:val="en-AU"/>
              </w:rPr>
            </w:pPr>
            <w:r w:rsidRPr="008B029F">
              <w:rPr>
                <w:szCs w:val="20"/>
                <w:lang w:val="en-AU"/>
              </w:rPr>
              <w:t>1.6</w:t>
            </w:r>
          </w:p>
        </w:tc>
        <w:tc>
          <w:tcPr>
            <w:tcW w:w="884" w:type="pct"/>
            <w:shd w:val="clear" w:color="auto" w:fill="auto"/>
          </w:tcPr>
          <w:p w14:paraId="4A330E0D" w14:textId="3117017E" w:rsidR="00ED6569" w:rsidRPr="008B029F" w:rsidRDefault="00ED6569" w:rsidP="003A4541">
            <w:pPr>
              <w:pStyle w:val="TableCenter"/>
              <w:rPr>
                <w:szCs w:val="20"/>
                <w:lang w:val="en-AU"/>
              </w:rPr>
            </w:pPr>
            <w:r w:rsidRPr="008B029F">
              <w:rPr>
                <w:szCs w:val="20"/>
                <w:lang w:val="en-AU"/>
              </w:rPr>
              <w:t>Rare</w:t>
            </w:r>
          </w:p>
        </w:tc>
        <w:tc>
          <w:tcPr>
            <w:tcW w:w="585" w:type="pct"/>
          </w:tcPr>
          <w:p w14:paraId="0C7E748A" w14:textId="592A1EEC" w:rsidR="00ED6569" w:rsidRPr="008B029F" w:rsidRDefault="00ED6569" w:rsidP="003A4541">
            <w:pPr>
              <w:pStyle w:val="TableCenter"/>
              <w:rPr>
                <w:szCs w:val="20"/>
                <w:lang w:val="en-AU"/>
              </w:rPr>
            </w:pPr>
            <w:r w:rsidRPr="008B029F">
              <w:rPr>
                <w:szCs w:val="20"/>
                <w:lang w:val="en-AU"/>
              </w:rPr>
              <w:t>&lt;0.1</w:t>
            </w:r>
          </w:p>
        </w:tc>
      </w:tr>
      <w:tr w:rsidR="00ED6569" w:rsidRPr="008B029F" w14:paraId="4D3545F2" w14:textId="6A498D06" w:rsidTr="002606CD">
        <w:tc>
          <w:tcPr>
            <w:tcW w:w="1913" w:type="pct"/>
            <w:shd w:val="clear" w:color="auto" w:fill="auto"/>
          </w:tcPr>
          <w:p w14:paraId="56B82E87" w14:textId="77777777" w:rsidR="00ED6569" w:rsidRPr="008B029F" w:rsidRDefault="00ED6569" w:rsidP="003A4541">
            <w:pPr>
              <w:pStyle w:val="TableLeft"/>
              <w:rPr>
                <w:szCs w:val="20"/>
                <w:lang w:val="en-AU"/>
              </w:rPr>
            </w:pPr>
            <w:r w:rsidRPr="008B029F">
              <w:rPr>
                <w:szCs w:val="20"/>
                <w:lang w:val="en-AU"/>
              </w:rPr>
              <w:t>Dermatitis</w:t>
            </w:r>
          </w:p>
        </w:tc>
        <w:tc>
          <w:tcPr>
            <w:tcW w:w="1031" w:type="pct"/>
            <w:shd w:val="clear" w:color="auto" w:fill="auto"/>
          </w:tcPr>
          <w:p w14:paraId="72DDD9DD" w14:textId="77777777" w:rsidR="00ED6569" w:rsidRPr="008B029F" w:rsidRDefault="00ED6569" w:rsidP="003A4541">
            <w:pPr>
              <w:pStyle w:val="TableCenter"/>
              <w:rPr>
                <w:szCs w:val="20"/>
                <w:lang w:val="en-AU"/>
              </w:rPr>
            </w:pPr>
            <w:r w:rsidRPr="008B029F">
              <w:rPr>
                <w:szCs w:val="20"/>
                <w:lang w:val="en-AU"/>
              </w:rPr>
              <w:t xml:space="preserve">Uncommon </w:t>
            </w:r>
          </w:p>
        </w:tc>
        <w:tc>
          <w:tcPr>
            <w:tcW w:w="588" w:type="pct"/>
            <w:shd w:val="clear" w:color="auto" w:fill="auto"/>
          </w:tcPr>
          <w:p w14:paraId="43FBF7E9" w14:textId="77777777" w:rsidR="00ED6569" w:rsidRPr="008B029F" w:rsidRDefault="00ED6569" w:rsidP="003A4541">
            <w:pPr>
              <w:pStyle w:val="TableCenter"/>
              <w:rPr>
                <w:szCs w:val="20"/>
                <w:lang w:val="en-AU"/>
              </w:rPr>
            </w:pPr>
            <w:r w:rsidRPr="008B029F">
              <w:rPr>
                <w:szCs w:val="20"/>
                <w:lang w:val="en-AU"/>
              </w:rPr>
              <w:t>0.7</w:t>
            </w:r>
          </w:p>
        </w:tc>
        <w:tc>
          <w:tcPr>
            <w:tcW w:w="884" w:type="pct"/>
            <w:shd w:val="clear" w:color="auto" w:fill="auto"/>
          </w:tcPr>
          <w:p w14:paraId="34626C9A" w14:textId="5AA10D39" w:rsidR="00ED6569" w:rsidRPr="008B029F" w:rsidRDefault="00ED6569" w:rsidP="003A4541">
            <w:pPr>
              <w:pStyle w:val="TableCenter"/>
              <w:rPr>
                <w:szCs w:val="20"/>
                <w:lang w:val="en-AU"/>
              </w:rPr>
            </w:pPr>
            <w:r w:rsidRPr="008B029F">
              <w:rPr>
                <w:szCs w:val="20"/>
                <w:lang w:val="en-AU"/>
              </w:rPr>
              <w:t>Rare</w:t>
            </w:r>
          </w:p>
        </w:tc>
        <w:tc>
          <w:tcPr>
            <w:tcW w:w="585" w:type="pct"/>
          </w:tcPr>
          <w:p w14:paraId="22B4168B" w14:textId="3FF11854" w:rsidR="00ED6569" w:rsidRPr="008B029F" w:rsidRDefault="00ED6569" w:rsidP="003A4541">
            <w:pPr>
              <w:pStyle w:val="TableCenter"/>
              <w:rPr>
                <w:szCs w:val="20"/>
                <w:lang w:val="en-AU"/>
              </w:rPr>
            </w:pPr>
            <w:r w:rsidRPr="008B029F">
              <w:rPr>
                <w:szCs w:val="20"/>
                <w:lang w:val="en-AU"/>
              </w:rPr>
              <w:t>&lt;0.1</w:t>
            </w:r>
          </w:p>
        </w:tc>
      </w:tr>
      <w:tr w:rsidR="00ED6569" w:rsidRPr="008B029F" w14:paraId="66B17D8C" w14:textId="2CCF70AA" w:rsidTr="002606CD">
        <w:tc>
          <w:tcPr>
            <w:tcW w:w="1913" w:type="pct"/>
            <w:shd w:val="clear" w:color="auto" w:fill="auto"/>
          </w:tcPr>
          <w:p w14:paraId="59A96C9C" w14:textId="4033526E" w:rsidR="00ED6569" w:rsidRPr="008B029F" w:rsidRDefault="00ED6569" w:rsidP="003A4541">
            <w:pPr>
              <w:pStyle w:val="TableLeft"/>
              <w:rPr>
                <w:szCs w:val="20"/>
                <w:lang w:val="en-AU"/>
              </w:rPr>
            </w:pPr>
            <w:r w:rsidRPr="008B029F">
              <w:rPr>
                <w:szCs w:val="20"/>
                <w:lang w:val="en-AU"/>
              </w:rPr>
              <w:t>Pemphigoid</w:t>
            </w:r>
            <w:r w:rsidRPr="008B029F">
              <w:rPr>
                <w:szCs w:val="20"/>
                <w:vertAlign w:val="superscript"/>
                <w:lang w:val="en-AU"/>
              </w:rPr>
              <w:t>o</w:t>
            </w:r>
          </w:p>
        </w:tc>
        <w:tc>
          <w:tcPr>
            <w:tcW w:w="1031" w:type="pct"/>
            <w:shd w:val="clear" w:color="auto" w:fill="auto"/>
          </w:tcPr>
          <w:p w14:paraId="53B88F03" w14:textId="77777777" w:rsidR="00ED6569" w:rsidRPr="008B029F" w:rsidRDefault="00ED6569" w:rsidP="003A4541">
            <w:pPr>
              <w:pStyle w:val="TableCenter"/>
              <w:rPr>
                <w:szCs w:val="20"/>
                <w:lang w:val="en-AU"/>
              </w:rPr>
            </w:pPr>
            <w:r w:rsidRPr="008B029F">
              <w:rPr>
                <w:szCs w:val="20"/>
                <w:lang w:val="en-AU"/>
              </w:rPr>
              <w:t xml:space="preserve">Rare </w:t>
            </w:r>
          </w:p>
        </w:tc>
        <w:tc>
          <w:tcPr>
            <w:tcW w:w="588" w:type="pct"/>
            <w:shd w:val="clear" w:color="auto" w:fill="auto"/>
          </w:tcPr>
          <w:p w14:paraId="6A5346F8" w14:textId="77777777" w:rsidR="00ED6569" w:rsidRPr="008B029F" w:rsidRDefault="00ED6569" w:rsidP="003A4541">
            <w:pPr>
              <w:pStyle w:val="TableCenter"/>
              <w:rPr>
                <w:szCs w:val="20"/>
                <w:lang w:val="en-AU"/>
              </w:rPr>
            </w:pPr>
            <w:r w:rsidRPr="008B029F">
              <w:rPr>
                <w:szCs w:val="20"/>
                <w:lang w:val="en-AU"/>
              </w:rPr>
              <w:t>&lt;0.1</w:t>
            </w:r>
          </w:p>
        </w:tc>
        <w:tc>
          <w:tcPr>
            <w:tcW w:w="884" w:type="pct"/>
            <w:shd w:val="clear" w:color="auto" w:fill="auto"/>
          </w:tcPr>
          <w:p w14:paraId="17D692FB" w14:textId="61D0E9C3" w:rsidR="00ED6569" w:rsidRPr="008B029F" w:rsidRDefault="00ED6569" w:rsidP="003A4541">
            <w:pPr>
              <w:pStyle w:val="TableCenter"/>
              <w:rPr>
                <w:szCs w:val="20"/>
                <w:lang w:val="en-AU"/>
              </w:rPr>
            </w:pPr>
          </w:p>
        </w:tc>
        <w:tc>
          <w:tcPr>
            <w:tcW w:w="585" w:type="pct"/>
          </w:tcPr>
          <w:p w14:paraId="2D21F609" w14:textId="001E4633" w:rsidR="00ED6569" w:rsidRPr="008B029F" w:rsidRDefault="00ED6569" w:rsidP="003A4541">
            <w:pPr>
              <w:pStyle w:val="TableCenter"/>
              <w:rPr>
                <w:szCs w:val="20"/>
                <w:lang w:val="en-AU"/>
              </w:rPr>
            </w:pPr>
            <w:r w:rsidRPr="008B029F">
              <w:rPr>
                <w:szCs w:val="20"/>
                <w:lang w:val="en-AU"/>
              </w:rPr>
              <w:t>0</w:t>
            </w:r>
          </w:p>
        </w:tc>
      </w:tr>
      <w:tr w:rsidR="00ED6569" w:rsidRPr="008B029F" w14:paraId="3B48EB46" w14:textId="0AE88DAA" w:rsidTr="002606CD">
        <w:tc>
          <w:tcPr>
            <w:tcW w:w="4415" w:type="pct"/>
            <w:gridSpan w:val="4"/>
            <w:shd w:val="clear" w:color="auto" w:fill="auto"/>
          </w:tcPr>
          <w:p w14:paraId="162C4467" w14:textId="0B203C0B" w:rsidR="00ED6569" w:rsidRPr="008B029F" w:rsidRDefault="00ED6569" w:rsidP="003A4541">
            <w:pPr>
              <w:pStyle w:val="TableLeft"/>
              <w:rPr>
                <w:b/>
                <w:bCs w:val="0"/>
                <w:szCs w:val="20"/>
                <w:lang w:val="en-AU"/>
              </w:rPr>
            </w:pPr>
            <w:r w:rsidRPr="008B029F">
              <w:rPr>
                <w:b/>
                <w:bCs w:val="0"/>
                <w:szCs w:val="20"/>
                <w:lang w:val="en-AU"/>
              </w:rPr>
              <w:t>Musculoskeletal and connective tissue disorders</w:t>
            </w:r>
          </w:p>
        </w:tc>
        <w:tc>
          <w:tcPr>
            <w:tcW w:w="585" w:type="pct"/>
          </w:tcPr>
          <w:p w14:paraId="168F76CC" w14:textId="77777777" w:rsidR="00ED6569" w:rsidRPr="008B029F" w:rsidRDefault="00ED6569" w:rsidP="003A4541">
            <w:pPr>
              <w:pStyle w:val="TableCenter"/>
              <w:rPr>
                <w:b/>
                <w:szCs w:val="20"/>
                <w:lang w:val="en-AU"/>
              </w:rPr>
            </w:pPr>
          </w:p>
        </w:tc>
      </w:tr>
      <w:tr w:rsidR="00ED6569" w:rsidRPr="008B029F" w14:paraId="75D56CDF" w14:textId="18CD20E4" w:rsidTr="002606CD">
        <w:tc>
          <w:tcPr>
            <w:tcW w:w="1913" w:type="pct"/>
            <w:shd w:val="clear" w:color="auto" w:fill="auto"/>
          </w:tcPr>
          <w:p w14:paraId="43394CE1" w14:textId="290F25C4" w:rsidR="00ED6569" w:rsidRPr="008B029F" w:rsidDel="002B6980" w:rsidRDefault="00ED6569" w:rsidP="003A4541">
            <w:pPr>
              <w:pStyle w:val="TableLeft"/>
              <w:rPr>
                <w:szCs w:val="20"/>
                <w:lang w:val="en-AU"/>
              </w:rPr>
            </w:pPr>
            <w:r w:rsidRPr="008B029F">
              <w:rPr>
                <w:szCs w:val="20"/>
                <w:lang w:val="en-AU"/>
              </w:rPr>
              <w:t>Myalgia</w:t>
            </w:r>
          </w:p>
        </w:tc>
        <w:tc>
          <w:tcPr>
            <w:tcW w:w="1031" w:type="pct"/>
            <w:shd w:val="clear" w:color="auto" w:fill="auto"/>
          </w:tcPr>
          <w:p w14:paraId="08473287" w14:textId="38B070E9" w:rsidR="00ED6569" w:rsidRPr="008B029F" w:rsidDel="002B6980" w:rsidRDefault="00ED6569" w:rsidP="003A4541">
            <w:pPr>
              <w:pStyle w:val="TableCenter"/>
              <w:rPr>
                <w:szCs w:val="20"/>
                <w:lang w:val="en-AU"/>
              </w:rPr>
            </w:pPr>
            <w:r w:rsidRPr="008B029F">
              <w:rPr>
                <w:szCs w:val="20"/>
                <w:lang w:val="en-AU"/>
              </w:rPr>
              <w:t>Common</w:t>
            </w:r>
          </w:p>
        </w:tc>
        <w:tc>
          <w:tcPr>
            <w:tcW w:w="588" w:type="pct"/>
            <w:shd w:val="clear" w:color="auto" w:fill="auto"/>
          </w:tcPr>
          <w:p w14:paraId="2E6A0FE7" w14:textId="269C9138" w:rsidR="00ED6569" w:rsidRPr="008B029F" w:rsidDel="002B6980" w:rsidRDefault="00ED6569" w:rsidP="003A4541">
            <w:pPr>
              <w:pStyle w:val="TableCenter"/>
              <w:rPr>
                <w:szCs w:val="20"/>
                <w:lang w:val="en-AU"/>
              </w:rPr>
            </w:pPr>
            <w:r w:rsidRPr="008B029F">
              <w:rPr>
                <w:szCs w:val="20"/>
                <w:lang w:val="en-AU"/>
              </w:rPr>
              <w:t>5.9</w:t>
            </w:r>
          </w:p>
        </w:tc>
        <w:tc>
          <w:tcPr>
            <w:tcW w:w="884" w:type="pct"/>
            <w:shd w:val="clear" w:color="auto" w:fill="auto"/>
          </w:tcPr>
          <w:p w14:paraId="35F0E6DD" w14:textId="26A4BFEC" w:rsidR="00ED6569" w:rsidRPr="008B029F" w:rsidDel="002B6980" w:rsidRDefault="00ED6569" w:rsidP="003A4541">
            <w:pPr>
              <w:pStyle w:val="TableCenter"/>
              <w:rPr>
                <w:szCs w:val="20"/>
                <w:lang w:val="en-AU"/>
              </w:rPr>
            </w:pPr>
            <w:r w:rsidRPr="008B029F">
              <w:rPr>
                <w:szCs w:val="20"/>
                <w:lang w:val="en-AU"/>
              </w:rPr>
              <w:t>Rare</w:t>
            </w:r>
          </w:p>
        </w:tc>
        <w:tc>
          <w:tcPr>
            <w:tcW w:w="585" w:type="pct"/>
          </w:tcPr>
          <w:p w14:paraId="107387D3" w14:textId="78D4DB4D" w:rsidR="00ED6569" w:rsidRPr="008B029F" w:rsidRDefault="00ED6569" w:rsidP="003A4541">
            <w:pPr>
              <w:pStyle w:val="TableCenter"/>
              <w:rPr>
                <w:szCs w:val="20"/>
                <w:lang w:val="en-AU"/>
              </w:rPr>
            </w:pPr>
            <w:r w:rsidRPr="008B029F">
              <w:rPr>
                <w:szCs w:val="20"/>
                <w:lang w:val="en-AU"/>
              </w:rPr>
              <w:t>&lt;0.1</w:t>
            </w:r>
          </w:p>
        </w:tc>
      </w:tr>
      <w:tr w:rsidR="00ED6569" w:rsidRPr="008B029F" w14:paraId="2AF186AE" w14:textId="3B2E5796" w:rsidTr="002606CD">
        <w:tc>
          <w:tcPr>
            <w:tcW w:w="1913" w:type="pct"/>
            <w:shd w:val="clear" w:color="auto" w:fill="auto"/>
          </w:tcPr>
          <w:p w14:paraId="3DA35FD6" w14:textId="0E10A673" w:rsidR="00ED6569" w:rsidRPr="008B029F" w:rsidRDefault="00ED6569" w:rsidP="003A4541">
            <w:pPr>
              <w:pStyle w:val="TableLeft"/>
              <w:rPr>
                <w:szCs w:val="20"/>
                <w:lang w:val="en-AU"/>
              </w:rPr>
            </w:pPr>
            <w:r w:rsidRPr="008B029F">
              <w:rPr>
                <w:szCs w:val="20"/>
                <w:lang w:val="en-AU"/>
              </w:rPr>
              <w:t>Myositis</w:t>
            </w:r>
          </w:p>
        </w:tc>
        <w:tc>
          <w:tcPr>
            <w:tcW w:w="1031" w:type="pct"/>
            <w:shd w:val="clear" w:color="auto" w:fill="auto"/>
          </w:tcPr>
          <w:p w14:paraId="3FA05FF8" w14:textId="2FCE378F" w:rsidR="00ED6569" w:rsidRPr="008B029F" w:rsidRDefault="00ED6569" w:rsidP="003A4541">
            <w:pPr>
              <w:pStyle w:val="TableCenter"/>
              <w:rPr>
                <w:szCs w:val="20"/>
                <w:lang w:val="en-AU"/>
              </w:rPr>
            </w:pPr>
            <w:r w:rsidRPr="008B029F">
              <w:rPr>
                <w:szCs w:val="20"/>
                <w:lang w:val="en-AU"/>
              </w:rPr>
              <w:t>Uncommon</w:t>
            </w:r>
          </w:p>
        </w:tc>
        <w:tc>
          <w:tcPr>
            <w:tcW w:w="588" w:type="pct"/>
            <w:shd w:val="clear" w:color="auto" w:fill="auto"/>
          </w:tcPr>
          <w:p w14:paraId="068E9506" w14:textId="1536421E" w:rsidR="00ED6569" w:rsidRPr="008B029F" w:rsidRDefault="00ED6569" w:rsidP="003A4541">
            <w:pPr>
              <w:pStyle w:val="TableCenter"/>
              <w:rPr>
                <w:szCs w:val="20"/>
                <w:lang w:val="en-AU"/>
              </w:rPr>
            </w:pPr>
            <w:r w:rsidRPr="008B029F">
              <w:rPr>
                <w:szCs w:val="20"/>
                <w:lang w:val="en-AU"/>
              </w:rPr>
              <w:t>0.2</w:t>
            </w:r>
          </w:p>
        </w:tc>
        <w:tc>
          <w:tcPr>
            <w:tcW w:w="884" w:type="pct"/>
            <w:shd w:val="clear" w:color="auto" w:fill="auto"/>
          </w:tcPr>
          <w:p w14:paraId="26F7B82F" w14:textId="3E19384E" w:rsidR="00ED6569" w:rsidRPr="008B029F" w:rsidRDefault="00ED6569" w:rsidP="003A4541">
            <w:pPr>
              <w:pStyle w:val="TableCenter"/>
              <w:rPr>
                <w:bCs/>
                <w:szCs w:val="20"/>
                <w:lang w:val="en-AU"/>
              </w:rPr>
            </w:pPr>
            <w:r w:rsidRPr="008B029F">
              <w:rPr>
                <w:szCs w:val="20"/>
                <w:lang w:val="en-AU"/>
              </w:rPr>
              <w:t>Rare</w:t>
            </w:r>
          </w:p>
        </w:tc>
        <w:tc>
          <w:tcPr>
            <w:tcW w:w="585" w:type="pct"/>
          </w:tcPr>
          <w:p w14:paraId="7BE2D63A" w14:textId="18EE0326" w:rsidR="00ED6569" w:rsidRPr="008B029F" w:rsidRDefault="00ED6569" w:rsidP="003A4541">
            <w:pPr>
              <w:pStyle w:val="TableCenter"/>
              <w:rPr>
                <w:szCs w:val="20"/>
                <w:lang w:val="en-AU"/>
              </w:rPr>
            </w:pPr>
            <w:r w:rsidRPr="008B029F">
              <w:rPr>
                <w:szCs w:val="20"/>
                <w:lang w:val="en-AU"/>
              </w:rPr>
              <w:t>&lt;0.1</w:t>
            </w:r>
          </w:p>
        </w:tc>
      </w:tr>
      <w:tr w:rsidR="00ED6569" w:rsidRPr="008B029F" w14:paraId="4A37F538" w14:textId="48416CE0" w:rsidTr="002606CD">
        <w:tc>
          <w:tcPr>
            <w:tcW w:w="1913" w:type="pct"/>
            <w:shd w:val="clear" w:color="auto" w:fill="auto"/>
          </w:tcPr>
          <w:p w14:paraId="47E28E5C" w14:textId="0BEE1AB5" w:rsidR="00ED6569" w:rsidRPr="008B029F" w:rsidRDefault="00ED6569" w:rsidP="003A4541">
            <w:pPr>
              <w:pStyle w:val="TableLeft"/>
              <w:rPr>
                <w:szCs w:val="20"/>
                <w:lang w:val="en-AU"/>
              </w:rPr>
            </w:pPr>
            <w:r w:rsidRPr="008B029F">
              <w:rPr>
                <w:szCs w:val="20"/>
                <w:lang w:val="en-AU"/>
              </w:rPr>
              <w:t>Polymyositis</w:t>
            </w:r>
          </w:p>
        </w:tc>
        <w:tc>
          <w:tcPr>
            <w:tcW w:w="1031" w:type="pct"/>
            <w:shd w:val="clear" w:color="auto" w:fill="auto"/>
          </w:tcPr>
          <w:p w14:paraId="597C3BF5" w14:textId="42315E22" w:rsidR="00ED6569" w:rsidRPr="008B029F" w:rsidRDefault="00ED6569" w:rsidP="003A4541">
            <w:pPr>
              <w:pStyle w:val="TableCenter"/>
              <w:rPr>
                <w:szCs w:val="20"/>
                <w:vertAlign w:val="superscript"/>
                <w:lang w:val="en-AU"/>
              </w:rPr>
            </w:pPr>
            <w:r w:rsidRPr="008B029F">
              <w:rPr>
                <w:szCs w:val="20"/>
                <w:lang w:val="en-AU"/>
              </w:rPr>
              <w:t>Not determined</w:t>
            </w:r>
            <w:r w:rsidRPr="008B029F">
              <w:rPr>
                <w:szCs w:val="20"/>
                <w:vertAlign w:val="superscript"/>
                <w:lang w:val="en-AU"/>
              </w:rPr>
              <w:t>p</w:t>
            </w:r>
            <w:r w:rsidRPr="008B029F">
              <w:rPr>
                <w:szCs w:val="20"/>
                <w:lang w:val="en-AU"/>
              </w:rPr>
              <w:t xml:space="preserve"> </w:t>
            </w:r>
          </w:p>
        </w:tc>
        <w:tc>
          <w:tcPr>
            <w:tcW w:w="588" w:type="pct"/>
            <w:shd w:val="clear" w:color="auto" w:fill="auto"/>
          </w:tcPr>
          <w:p w14:paraId="0E150C5C" w14:textId="01EE8AF9" w:rsidR="00ED6569" w:rsidRPr="008B029F" w:rsidRDefault="00ED6569" w:rsidP="003A4541">
            <w:pPr>
              <w:pStyle w:val="TableCenter"/>
              <w:rPr>
                <w:szCs w:val="20"/>
                <w:lang w:val="en-AU"/>
              </w:rPr>
            </w:pPr>
          </w:p>
        </w:tc>
        <w:tc>
          <w:tcPr>
            <w:tcW w:w="884" w:type="pct"/>
            <w:shd w:val="clear" w:color="auto" w:fill="auto"/>
          </w:tcPr>
          <w:p w14:paraId="5887DD8B" w14:textId="37562C27" w:rsidR="00ED6569" w:rsidRPr="008B029F" w:rsidRDefault="00ED6569" w:rsidP="003A4541">
            <w:pPr>
              <w:pStyle w:val="TableCenter"/>
              <w:rPr>
                <w:szCs w:val="20"/>
                <w:lang w:val="en-AU"/>
              </w:rPr>
            </w:pPr>
            <w:r w:rsidRPr="008B029F">
              <w:rPr>
                <w:szCs w:val="20"/>
                <w:lang w:val="en-AU"/>
              </w:rPr>
              <w:t>Not determined</w:t>
            </w:r>
            <w:r w:rsidRPr="008B029F">
              <w:rPr>
                <w:szCs w:val="20"/>
                <w:vertAlign w:val="superscript"/>
                <w:lang w:val="en-AU"/>
              </w:rPr>
              <w:t>p</w:t>
            </w:r>
          </w:p>
        </w:tc>
        <w:tc>
          <w:tcPr>
            <w:tcW w:w="585" w:type="pct"/>
          </w:tcPr>
          <w:p w14:paraId="10FAA651" w14:textId="7FE8A8C3" w:rsidR="00ED6569" w:rsidRPr="008B029F" w:rsidDel="00A373AE" w:rsidRDefault="00ED6569" w:rsidP="003A4541">
            <w:pPr>
              <w:pStyle w:val="TableCenter"/>
              <w:rPr>
                <w:szCs w:val="20"/>
                <w:lang w:val="en-AU"/>
              </w:rPr>
            </w:pPr>
          </w:p>
        </w:tc>
      </w:tr>
      <w:tr w:rsidR="00ED6569" w:rsidRPr="008B029F" w14:paraId="6764D68C" w14:textId="7ACB3C33" w:rsidTr="003A4541">
        <w:tc>
          <w:tcPr>
            <w:tcW w:w="5000" w:type="pct"/>
            <w:gridSpan w:val="5"/>
            <w:shd w:val="clear" w:color="auto" w:fill="auto"/>
          </w:tcPr>
          <w:p w14:paraId="61D17B5E" w14:textId="7C107D90" w:rsidR="00ED6569" w:rsidRPr="008B029F" w:rsidRDefault="00ED6569" w:rsidP="003A4541">
            <w:pPr>
              <w:pStyle w:val="TableLeft"/>
              <w:rPr>
                <w:b/>
                <w:bCs w:val="0"/>
                <w:szCs w:val="20"/>
                <w:lang w:val="en-AU"/>
              </w:rPr>
            </w:pPr>
            <w:r w:rsidRPr="008B029F">
              <w:rPr>
                <w:b/>
                <w:bCs w:val="0"/>
                <w:szCs w:val="20"/>
                <w:lang w:val="en-AU"/>
              </w:rPr>
              <w:t>Renal and urinary disorders</w:t>
            </w:r>
          </w:p>
        </w:tc>
      </w:tr>
      <w:tr w:rsidR="00ED6569" w:rsidRPr="008B029F" w14:paraId="507F9B7A" w14:textId="3C76B551" w:rsidTr="002606CD">
        <w:tc>
          <w:tcPr>
            <w:tcW w:w="1913" w:type="pct"/>
            <w:shd w:val="clear" w:color="auto" w:fill="auto"/>
          </w:tcPr>
          <w:p w14:paraId="031B7982" w14:textId="71E34685" w:rsidR="00ED6569" w:rsidRPr="008B029F" w:rsidDel="00A373AE" w:rsidRDefault="00ED6569" w:rsidP="003A4541">
            <w:pPr>
              <w:pStyle w:val="TableLeft"/>
              <w:rPr>
                <w:szCs w:val="20"/>
                <w:lang w:val="en-AU"/>
              </w:rPr>
            </w:pPr>
            <w:r w:rsidRPr="008B029F">
              <w:rPr>
                <w:szCs w:val="20"/>
                <w:lang w:val="en-AU"/>
              </w:rPr>
              <w:t>Blood creatinine increased</w:t>
            </w:r>
          </w:p>
        </w:tc>
        <w:tc>
          <w:tcPr>
            <w:tcW w:w="1031" w:type="pct"/>
            <w:shd w:val="clear" w:color="auto" w:fill="auto"/>
          </w:tcPr>
          <w:p w14:paraId="50112BA5" w14:textId="37155D1E" w:rsidR="00ED6569" w:rsidRPr="008B029F" w:rsidDel="00A373AE" w:rsidRDefault="00ED6569" w:rsidP="003A4541">
            <w:pPr>
              <w:pStyle w:val="TableCenter"/>
              <w:rPr>
                <w:szCs w:val="20"/>
                <w:lang w:val="en-AU"/>
              </w:rPr>
            </w:pPr>
            <w:r w:rsidRPr="008B029F">
              <w:rPr>
                <w:szCs w:val="20"/>
                <w:lang w:val="en-AU"/>
              </w:rPr>
              <w:t>Common</w:t>
            </w:r>
          </w:p>
        </w:tc>
        <w:tc>
          <w:tcPr>
            <w:tcW w:w="588" w:type="pct"/>
            <w:shd w:val="clear" w:color="auto" w:fill="auto"/>
          </w:tcPr>
          <w:p w14:paraId="3DC4345B" w14:textId="49A22B07" w:rsidR="00ED6569" w:rsidRPr="008B029F" w:rsidDel="00A373AE" w:rsidRDefault="00ED6569" w:rsidP="003A4541">
            <w:pPr>
              <w:pStyle w:val="TableCenter"/>
              <w:rPr>
                <w:szCs w:val="20"/>
                <w:lang w:val="en-AU"/>
              </w:rPr>
            </w:pPr>
            <w:r w:rsidRPr="008B029F">
              <w:rPr>
                <w:szCs w:val="20"/>
                <w:lang w:val="en-AU"/>
              </w:rPr>
              <w:t>3.5</w:t>
            </w:r>
          </w:p>
        </w:tc>
        <w:tc>
          <w:tcPr>
            <w:tcW w:w="884" w:type="pct"/>
            <w:shd w:val="clear" w:color="auto" w:fill="auto"/>
          </w:tcPr>
          <w:p w14:paraId="2B19689E" w14:textId="2364A162" w:rsidR="00ED6569" w:rsidRPr="008B029F" w:rsidDel="00A373AE" w:rsidRDefault="00ED6569" w:rsidP="003A4541">
            <w:pPr>
              <w:pStyle w:val="TableCenter"/>
              <w:rPr>
                <w:szCs w:val="20"/>
                <w:lang w:val="en-AU"/>
              </w:rPr>
            </w:pPr>
            <w:r w:rsidRPr="008B029F">
              <w:rPr>
                <w:szCs w:val="20"/>
                <w:lang w:val="en-AU"/>
              </w:rPr>
              <w:t>Rare</w:t>
            </w:r>
          </w:p>
        </w:tc>
        <w:tc>
          <w:tcPr>
            <w:tcW w:w="585" w:type="pct"/>
          </w:tcPr>
          <w:p w14:paraId="3116BB0B" w14:textId="47C69CB4" w:rsidR="00ED6569" w:rsidRPr="008B029F" w:rsidRDefault="00ED6569" w:rsidP="003A4541">
            <w:pPr>
              <w:pStyle w:val="TableCenter"/>
              <w:rPr>
                <w:szCs w:val="20"/>
                <w:lang w:val="en-AU"/>
              </w:rPr>
            </w:pPr>
            <w:r w:rsidRPr="008B029F">
              <w:rPr>
                <w:szCs w:val="20"/>
                <w:lang w:val="en-AU"/>
              </w:rPr>
              <w:t>&lt;0.1</w:t>
            </w:r>
          </w:p>
        </w:tc>
      </w:tr>
      <w:tr w:rsidR="00ED6569" w:rsidRPr="008B029F" w14:paraId="47587438" w14:textId="50126DEF" w:rsidTr="002606CD">
        <w:tc>
          <w:tcPr>
            <w:tcW w:w="1913" w:type="pct"/>
            <w:shd w:val="clear" w:color="auto" w:fill="auto"/>
          </w:tcPr>
          <w:p w14:paraId="48921E9E" w14:textId="2027DDB6" w:rsidR="00ED6569" w:rsidRPr="008B029F" w:rsidDel="00A373AE" w:rsidRDefault="00ED6569" w:rsidP="003A4541">
            <w:pPr>
              <w:pStyle w:val="TableLeft"/>
              <w:rPr>
                <w:szCs w:val="20"/>
                <w:lang w:val="en-AU"/>
              </w:rPr>
            </w:pPr>
            <w:r w:rsidRPr="008B029F">
              <w:rPr>
                <w:szCs w:val="20"/>
                <w:lang w:val="en-AU"/>
              </w:rPr>
              <w:t>Dysuria</w:t>
            </w:r>
          </w:p>
        </w:tc>
        <w:tc>
          <w:tcPr>
            <w:tcW w:w="1031" w:type="pct"/>
            <w:shd w:val="clear" w:color="auto" w:fill="auto"/>
          </w:tcPr>
          <w:p w14:paraId="28AD65F9" w14:textId="34716583" w:rsidR="00ED6569" w:rsidRPr="008B029F" w:rsidDel="00A373AE" w:rsidRDefault="00ED6569" w:rsidP="003A4541">
            <w:pPr>
              <w:pStyle w:val="TableCenter"/>
              <w:rPr>
                <w:szCs w:val="20"/>
                <w:lang w:val="en-AU"/>
              </w:rPr>
            </w:pPr>
            <w:r w:rsidRPr="008B029F">
              <w:rPr>
                <w:szCs w:val="20"/>
                <w:lang w:val="en-AU"/>
              </w:rPr>
              <w:t>Common</w:t>
            </w:r>
          </w:p>
        </w:tc>
        <w:tc>
          <w:tcPr>
            <w:tcW w:w="588" w:type="pct"/>
            <w:shd w:val="clear" w:color="auto" w:fill="auto"/>
          </w:tcPr>
          <w:p w14:paraId="1F2DBB61" w14:textId="7D50169F" w:rsidR="00ED6569" w:rsidRPr="008B029F" w:rsidDel="00A373AE" w:rsidRDefault="00ED6569" w:rsidP="003A4541">
            <w:pPr>
              <w:pStyle w:val="TableCenter"/>
              <w:rPr>
                <w:szCs w:val="20"/>
                <w:lang w:val="en-AU"/>
              </w:rPr>
            </w:pPr>
            <w:r w:rsidRPr="008B029F">
              <w:rPr>
                <w:szCs w:val="20"/>
                <w:lang w:val="en-AU"/>
              </w:rPr>
              <w:t>1.3</w:t>
            </w:r>
          </w:p>
        </w:tc>
        <w:tc>
          <w:tcPr>
            <w:tcW w:w="884" w:type="pct"/>
            <w:shd w:val="clear" w:color="auto" w:fill="auto"/>
          </w:tcPr>
          <w:p w14:paraId="387A3B60" w14:textId="3D3D8F74" w:rsidR="00ED6569" w:rsidRPr="008B029F" w:rsidDel="00A373AE" w:rsidRDefault="00ED6569" w:rsidP="003A4541">
            <w:pPr>
              <w:pStyle w:val="TableCenter"/>
              <w:rPr>
                <w:szCs w:val="20"/>
                <w:lang w:val="en-AU"/>
              </w:rPr>
            </w:pPr>
          </w:p>
        </w:tc>
        <w:tc>
          <w:tcPr>
            <w:tcW w:w="585" w:type="pct"/>
          </w:tcPr>
          <w:p w14:paraId="6E105AF7" w14:textId="29768B98" w:rsidR="00ED6569" w:rsidRPr="008B029F" w:rsidRDefault="00ED6569" w:rsidP="003A4541">
            <w:pPr>
              <w:pStyle w:val="TableCenter"/>
              <w:rPr>
                <w:szCs w:val="20"/>
                <w:lang w:val="en-AU"/>
              </w:rPr>
            </w:pPr>
            <w:r w:rsidRPr="008B029F">
              <w:rPr>
                <w:szCs w:val="20"/>
                <w:lang w:val="en-AU"/>
              </w:rPr>
              <w:t>0</w:t>
            </w:r>
          </w:p>
        </w:tc>
      </w:tr>
      <w:tr w:rsidR="00ED6569" w:rsidRPr="008B029F" w14:paraId="498035CA" w14:textId="047E9A37" w:rsidTr="002606CD">
        <w:tc>
          <w:tcPr>
            <w:tcW w:w="1913" w:type="pct"/>
            <w:shd w:val="clear" w:color="auto" w:fill="auto"/>
          </w:tcPr>
          <w:p w14:paraId="237E08CD" w14:textId="1B9F3475" w:rsidR="00ED6569" w:rsidRPr="008B029F" w:rsidDel="00A373AE" w:rsidRDefault="00ED6569" w:rsidP="003A4541">
            <w:pPr>
              <w:pStyle w:val="TableLeft"/>
              <w:rPr>
                <w:szCs w:val="20"/>
                <w:lang w:val="en-AU"/>
              </w:rPr>
            </w:pPr>
            <w:r w:rsidRPr="008B029F">
              <w:rPr>
                <w:szCs w:val="20"/>
                <w:lang w:val="en-AU"/>
              </w:rPr>
              <w:t>Nephritis</w:t>
            </w:r>
            <w:r w:rsidRPr="008B029F">
              <w:rPr>
                <w:szCs w:val="20"/>
                <w:vertAlign w:val="superscript"/>
                <w:lang w:val="en-AU"/>
              </w:rPr>
              <w:t>q</w:t>
            </w:r>
          </w:p>
        </w:tc>
        <w:tc>
          <w:tcPr>
            <w:tcW w:w="1031" w:type="pct"/>
            <w:shd w:val="clear" w:color="auto" w:fill="auto"/>
          </w:tcPr>
          <w:p w14:paraId="35245932" w14:textId="14381D3C" w:rsidR="00ED6569" w:rsidRPr="008B029F" w:rsidDel="00A373AE" w:rsidRDefault="00ED6569" w:rsidP="003A4541">
            <w:pPr>
              <w:pStyle w:val="TableCenter"/>
              <w:rPr>
                <w:szCs w:val="20"/>
                <w:lang w:val="en-AU"/>
              </w:rPr>
            </w:pPr>
            <w:r w:rsidRPr="008B029F">
              <w:rPr>
                <w:szCs w:val="20"/>
                <w:lang w:val="en-AU"/>
              </w:rPr>
              <w:t>Uncommon</w:t>
            </w:r>
          </w:p>
        </w:tc>
        <w:tc>
          <w:tcPr>
            <w:tcW w:w="588" w:type="pct"/>
            <w:shd w:val="clear" w:color="auto" w:fill="auto"/>
          </w:tcPr>
          <w:p w14:paraId="4E7E99E5" w14:textId="47C646A3" w:rsidR="00ED6569" w:rsidRPr="008B029F" w:rsidDel="00A373AE" w:rsidRDefault="00ED6569" w:rsidP="003A4541">
            <w:pPr>
              <w:pStyle w:val="TableCenter"/>
              <w:rPr>
                <w:szCs w:val="20"/>
                <w:lang w:val="en-AU"/>
              </w:rPr>
            </w:pPr>
            <w:r w:rsidRPr="008B029F">
              <w:rPr>
                <w:szCs w:val="20"/>
                <w:lang w:val="en-AU"/>
              </w:rPr>
              <w:t>0.3</w:t>
            </w:r>
          </w:p>
        </w:tc>
        <w:tc>
          <w:tcPr>
            <w:tcW w:w="884" w:type="pct"/>
            <w:shd w:val="clear" w:color="auto" w:fill="auto"/>
          </w:tcPr>
          <w:p w14:paraId="69E2D203" w14:textId="668FE28C" w:rsidR="00ED6569" w:rsidRPr="008B029F" w:rsidDel="00A373AE" w:rsidRDefault="00ED6569" w:rsidP="003A4541">
            <w:pPr>
              <w:pStyle w:val="TableCenter"/>
              <w:rPr>
                <w:szCs w:val="20"/>
                <w:lang w:val="en-AU"/>
              </w:rPr>
            </w:pPr>
            <w:r w:rsidRPr="008B029F">
              <w:rPr>
                <w:szCs w:val="20"/>
                <w:lang w:val="en-AU"/>
              </w:rPr>
              <w:t>Rare</w:t>
            </w:r>
          </w:p>
        </w:tc>
        <w:tc>
          <w:tcPr>
            <w:tcW w:w="585" w:type="pct"/>
          </w:tcPr>
          <w:p w14:paraId="07EED36D" w14:textId="43D616C4" w:rsidR="00ED6569" w:rsidRPr="008B029F" w:rsidRDefault="00ED6569" w:rsidP="003A4541">
            <w:pPr>
              <w:pStyle w:val="TableCenter"/>
              <w:rPr>
                <w:szCs w:val="20"/>
                <w:lang w:val="en-AU"/>
              </w:rPr>
            </w:pPr>
            <w:r w:rsidRPr="008B029F">
              <w:rPr>
                <w:szCs w:val="20"/>
                <w:lang w:val="en-AU"/>
              </w:rPr>
              <w:t>&lt;0.1</w:t>
            </w:r>
          </w:p>
        </w:tc>
      </w:tr>
      <w:tr w:rsidR="00ED6569" w:rsidRPr="008B029F" w14:paraId="3F6ED888" w14:textId="7031ACD9" w:rsidTr="003A4541">
        <w:tc>
          <w:tcPr>
            <w:tcW w:w="5000" w:type="pct"/>
            <w:gridSpan w:val="5"/>
            <w:shd w:val="clear" w:color="auto" w:fill="auto"/>
          </w:tcPr>
          <w:p w14:paraId="3CC10023" w14:textId="2359FB64" w:rsidR="00ED6569" w:rsidRPr="008B029F" w:rsidRDefault="00ED6569" w:rsidP="003A4541">
            <w:pPr>
              <w:pStyle w:val="TableLeft"/>
              <w:rPr>
                <w:b/>
                <w:bCs w:val="0"/>
                <w:szCs w:val="20"/>
                <w:lang w:val="en-AU"/>
              </w:rPr>
            </w:pPr>
            <w:r w:rsidRPr="008B029F">
              <w:rPr>
                <w:b/>
                <w:bCs w:val="0"/>
                <w:szCs w:val="20"/>
                <w:lang w:val="en-AU"/>
              </w:rPr>
              <w:t>General disorders and administration site conditions</w:t>
            </w:r>
          </w:p>
        </w:tc>
      </w:tr>
      <w:tr w:rsidR="00ED6569" w:rsidRPr="008B029F" w14:paraId="22EA0EAC" w14:textId="532F0991" w:rsidTr="002606CD">
        <w:tc>
          <w:tcPr>
            <w:tcW w:w="1913" w:type="pct"/>
            <w:shd w:val="clear" w:color="auto" w:fill="auto"/>
          </w:tcPr>
          <w:p w14:paraId="2A80ADFF" w14:textId="2D5858CA" w:rsidR="00ED6569" w:rsidRPr="008B029F" w:rsidRDefault="00ED6569" w:rsidP="003A4541">
            <w:pPr>
              <w:pStyle w:val="TableLeft"/>
              <w:rPr>
                <w:szCs w:val="20"/>
                <w:lang w:val="en-AU"/>
              </w:rPr>
            </w:pPr>
            <w:r w:rsidRPr="008B029F">
              <w:rPr>
                <w:szCs w:val="20"/>
                <w:lang w:val="en-AU"/>
              </w:rPr>
              <w:t>Pyrexia</w:t>
            </w:r>
          </w:p>
        </w:tc>
        <w:tc>
          <w:tcPr>
            <w:tcW w:w="1031" w:type="pct"/>
            <w:shd w:val="clear" w:color="auto" w:fill="auto"/>
          </w:tcPr>
          <w:p w14:paraId="259FC716" w14:textId="31531653" w:rsidR="00ED6569" w:rsidRPr="008B029F" w:rsidRDefault="00ED6569" w:rsidP="003A4541">
            <w:pPr>
              <w:pStyle w:val="TableCenter"/>
              <w:rPr>
                <w:szCs w:val="20"/>
                <w:lang w:val="en-AU"/>
              </w:rPr>
            </w:pPr>
            <w:r w:rsidRPr="008B029F">
              <w:rPr>
                <w:szCs w:val="20"/>
                <w:lang w:val="en-AU"/>
              </w:rPr>
              <w:t>Very common</w:t>
            </w:r>
          </w:p>
        </w:tc>
        <w:tc>
          <w:tcPr>
            <w:tcW w:w="588" w:type="pct"/>
            <w:shd w:val="clear" w:color="auto" w:fill="auto"/>
          </w:tcPr>
          <w:p w14:paraId="7DA55A59" w14:textId="5B8C38EE" w:rsidR="00ED6569" w:rsidRPr="008B029F" w:rsidRDefault="00ED6569" w:rsidP="003A4541">
            <w:pPr>
              <w:pStyle w:val="TableCenter"/>
              <w:rPr>
                <w:szCs w:val="20"/>
                <w:lang w:val="en-AU"/>
              </w:rPr>
            </w:pPr>
            <w:r w:rsidRPr="008B029F">
              <w:rPr>
                <w:szCs w:val="20"/>
                <w:lang w:val="en-AU"/>
              </w:rPr>
              <w:t>13.8</w:t>
            </w:r>
          </w:p>
        </w:tc>
        <w:tc>
          <w:tcPr>
            <w:tcW w:w="884" w:type="pct"/>
            <w:shd w:val="clear" w:color="auto" w:fill="auto"/>
          </w:tcPr>
          <w:p w14:paraId="4B8813D9" w14:textId="4B5E92AF" w:rsidR="00ED6569" w:rsidRPr="008B029F" w:rsidRDefault="00ED6569" w:rsidP="003A4541">
            <w:pPr>
              <w:pStyle w:val="TableCenter"/>
              <w:rPr>
                <w:szCs w:val="20"/>
                <w:lang w:val="en-AU"/>
              </w:rPr>
            </w:pPr>
            <w:r w:rsidRPr="008B029F">
              <w:rPr>
                <w:szCs w:val="20"/>
                <w:lang w:val="en-AU"/>
              </w:rPr>
              <w:t>Uncommon</w:t>
            </w:r>
          </w:p>
        </w:tc>
        <w:tc>
          <w:tcPr>
            <w:tcW w:w="585" w:type="pct"/>
          </w:tcPr>
          <w:p w14:paraId="4E8EEB1F" w14:textId="49E31A15" w:rsidR="00ED6569" w:rsidRPr="008B029F" w:rsidRDefault="00ED6569" w:rsidP="003A4541">
            <w:pPr>
              <w:pStyle w:val="TableCenter"/>
              <w:rPr>
                <w:szCs w:val="20"/>
                <w:lang w:val="en-AU"/>
              </w:rPr>
            </w:pPr>
            <w:r w:rsidRPr="008B029F">
              <w:rPr>
                <w:szCs w:val="20"/>
                <w:lang w:val="en-AU"/>
              </w:rPr>
              <w:t>0.3</w:t>
            </w:r>
          </w:p>
        </w:tc>
      </w:tr>
      <w:tr w:rsidR="00ED6569" w:rsidRPr="008B029F" w14:paraId="68A02094" w14:textId="5BDEF03B" w:rsidTr="002606CD">
        <w:tc>
          <w:tcPr>
            <w:tcW w:w="1913" w:type="pct"/>
            <w:shd w:val="clear" w:color="auto" w:fill="auto"/>
          </w:tcPr>
          <w:p w14:paraId="5B2E51F3" w14:textId="45AC2A78" w:rsidR="00ED6569" w:rsidRPr="008B029F" w:rsidRDefault="00ED6569" w:rsidP="003A4541">
            <w:pPr>
              <w:pStyle w:val="TableLeft"/>
              <w:rPr>
                <w:szCs w:val="20"/>
                <w:lang w:val="en-AU"/>
              </w:rPr>
            </w:pPr>
            <w:r w:rsidRPr="008B029F">
              <w:rPr>
                <w:szCs w:val="20"/>
                <w:lang w:val="en-AU"/>
              </w:rPr>
              <w:t>Peripheral oedema</w:t>
            </w:r>
            <w:r w:rsidRPr="008B029F">
              <w:rPr>
                <w:szCs w:val="20"/>
                <w:vertAlign w:val="superscript"/>
                <w:lang w:val="en-AU"/>
              </w:rPr>
              <w:t>r</w:t>
            </w:r>
            <w:r w:rsidRPr="008B029F">
              <w:rPr>
                <w:szCs w:val="20"/>
                <w:lang w:val="en-AU"/>
              </w:rPr>
              <w:t xml:space="preserve"> </w:t>
            </w:r>
          </w:p>
        </w:tc>
        <w:tc>
          <w:tcPr>
            <w:tcW w:w="1031" w:type="pct"/>
            <w:shd w:val="clear" w:color="auto" w:fill="auto"/>
          </w:tcPr>
          <w:p w14:paraId="1B0AC6A0" w14:textId="5F981ACE" w:rsidR="00ED6569" w:rsidRPr="008B029F" w:rsidRDefault="00ED6569" w:rsidP="003A4541">
            <w:pPr>
              <w:pStyle w:val="TableCenter"/>
              <w:rPr>
                <w:szCs w:val="20"/>
                <w:lang w:val="en-AU"/>
              </w:rPr>
            </w:pPr>
            <w:r w:rsidRPr="008B029F">
              <w:rPr>
                <w:szCs w:val="20"/>
                <w:lang w:val="en-AU"/>
              </w:rPr>
              <w:t>Common</w:t>
            </w:r>
          </w:p>
        </w:tc>
        <w:tc>
          <w:tcPr>
            <w:tcW w:w="588" w:type="pct"/>
            <w:shd w:val="clear" w:color="auto" w:fill="auto"/>
          </w:tcPr>
          <w:p w14:paraId="07729875" w14:textId="69492DE5" w:rsidR="00ED6569" w:rsidRPr="008B029F" w:rsidRDefault="00ED6569" w:rsidP="003A4541">
            <w:pPr>
              <w:pStyle w:val="TableCenter"/>
              <w:rPr>
                <w:szCs w:val="20"/>
                <w:lang w:val="en-AU"/>
              </w:rPr>
            </w:pPr>
            <w:r w:rsidRPr="008B029F">
              <w:rPr>
                <w:szCs w:val="20"/>
                <w:lang w:val="en-AU"/>
              </w:rPr>
              <w:t>9.7</w:t>
            </w:r>
          </w:p>
        </w:tc>
        <w:tc>
          <w:tcPr>
            <w:tcW w:w="884" w:type="pct"/>
            <w:shd w:val="clear" w:color="auto" w:fill="auto"/>
          </w:tcPr>
          <w:p w14:paraId="524F7A0C" w14:textId="062E0E35" w:rsidR="00ED6569" w:rsidRPr="008B029F" w:rsidRDefault="00ED6569" w:rsidP="003A4541">
            <w:pPr>
              <w:pStyle w:val="TableCenter"/>
              <w:rPr>
                <w:szCs w:val="20"/>
                <w:lang w:val="en-AU"/>
              </w:rPr>
            </w:pPr>
            <w:r w:rsidRPr="008B029F">
              <w:rPr>
                <w:szCs w:val="20"/>
                <w:lang w:val="en-AU"/>
              </w:rPr>
              <w:t>Uncommon</w:t>
            </w:r>
          </w:p>
        </w:tc>
        <w:tc>
          <w:tcPr>
            <w:tcW w:w="585" w:type="pct"/>
          </w:tcPr>
          <w:p w14:paraId="12B2FDD3" w14:textId="286C7571" w:rsidR="00ED6569" w:rsidRPr="008B029F" w:rsidRDefault="00ED6569" w:rsidP="003A4541">
            <w:pPr>
              <w:pStyle w:val="TableCenter"/>
              <w:rPr>
                <w:szCs w:val="20"/>
                <w:lang w:val="en-AU"/>
              </w:rPr>
            </w:pPr>
            <w:r w:rsidRPr="008B029F">
              <w:rPr>
                <w:szCs w:val="20"/>
                <w:lang w:val="en-AU"/>
              </w:rPr>
              <w:t>0.3</w:t>
            </w:r>
          </w:p>
        </w:tc>
      </w:tr>
      <w:tr w:rsidR="00716290" w:rsidRPr="008B029F" w14:paraId="5F6240D2" w14:textId="77777777" w:rsidTr="003A4541">
        <w:tc>
          <w:tcPr>
            <w:tcW w:w="5000" w:type="pct"/>
            <w:gridSpan w:val="5"/>
            <w:shd w:val="clear" w:color="auto" w:fill="auto"/>
          </w:tcPr>
          <w:p w14:paraId="7620B23A" w14:textId="4D797DBF" w:rsidR="00716290" w:rsidRPr="008B029F" w:rsidRDefault="00716290" w:rsidP="003A4541">
            <w:pPr>
              <w:pStyle w:val="TableLeft"/>
              <w:rPr>
                <w:b/>
                <w:bCs w:val="0"/>
                <w:szCs w:val="20"/>
                <w:lang w:val="en-AU"/>
              </w:rPr>
            </w:pPr>
            <w:r w:rsidRPr="008B029F">
              <w:rPr>
                <w:b/>
                <w:bCs w:val="0"/>
                <w:szCs w:val="20"/>
                <w:lang w:val="en-AU"/>
              </w:rPr>
              <w:t>Injury, poisoning and procedural complications</w:t>
            </w:r>
          </w:p>
        </w:tc>
      </w:tr>
      <w:tr w:rsidR="00716290" w:rsidRPr="008B029F" w14:paraId="1BDF266D" w14:textId="77777777" w:rsidTr="002606CD">
        <w:tc>
          <w:tcPr>
            <w:tcW w:w="1913" w:type="pct"/>
            <w:shd w:val="clear" w:color="auto" w:fill="auto"/>
          </w:tcPr>
          <w:p w14:paraId="7324615E" w14:textId="794B0B4B" w:rsidR="00716290" w:rsidRPr="008B029F" w:rsidRDefault="00716290" w:rsidP="003A4541">
            <w:pPr>
              <w:pStyle w:val="TableLeft"/>
              <w:rPr>
                <w:szCs w:val="20"/>
                <w:lang w:val="en-AU"/>
              </w:rPr>
            </w:pPr>
            <w:r w:rsidRPr="008B029F">
              <w:rPr>
                <w:szCs w:val="20"/>
                <w:lang w:val="en-AU"/>
              </w:rPr>
              <w:t>Infusion related reaction</w:t>
            </w:r>
            <w:r w:rsidRPr="008B029F">
              <w:rPr>
                <w:szCs w:val="20"/>
                <w:vertAlign w:val="superscript"/>
                <w:lang w:val="en-AU"/>
              </w:rPr>
              <w:t>s</w:t>
            </w:r>
          </w:p>
        </w:tc>
        <w:tc>
          <w:tcPr>
            <w:tcW w:w="1031" w:type="pct"/>
            <w:shd w:val="clear" w:color="auto" w:fill="auto"/>
          </w:tcPr>
          <w:p w14:paraId="55B852C0" w14:textId="4EFD4165" w:rsidR="00716290" w:rsidRPr="008B029F" w:rsidRDefault="00716290" w:rsidP="003A4541">
            <w:pPr>
              <w:pStyle w:val="TableCenter"/>
              <w:rPr>
                <w:szCs w:val="20"/>
                <w:lang w:val="en-AU"/>
              </w:rPr>
            </w:pPr>
            <w:r w:rsidRPr="008B029F">
              <w:rPr>
                <w:szCs w:val="20"/>
                <w:lang w:val="en-AU"/>
              </w:rPr>
              <w:t>Common</w:t>
            </w:r>
          </w:p>
        </w:tc>
        <w:tc>
          <w:tcPr>
            <w:tcW w:w="588" w:type="pct"/>
            <w:shd w:val="clear" w:color="auto" w:fill="auto"/>
          </w:tcPr>
          <w:p w14:paraId="1B4B767B" w14:textId="64C290FD" w:rsidR="00716290" w:rsidRPr="008B029F" w:rsidRDefault="00716290" w:rsidP="003A4541">
            <w:pPr>
              <w:pStyle w:val="TableCenter"/>
              <w:rPr>
                <w:szCs w:val="20"/>
                <w:lang w:val="en-AU"/>
              </w:rPr>
            </w:pPr>
            <w:r w:rsidRPr="008B029F">
              <w:rPr>
                <w:szCs w:val="20"/>
                <w:lang w:val="en-AU"/>
              </w:rPr>
              <w:t>1.6</w:t>
            </w:r>
          </w:p>
        </w:tc>
        <w:tc>
          <w:tcPr>
            <w:tcW w:w="884" w:type="pct"/>
            <w:shd w:val="clear" w:color="auto" w:fill="auto"/>
          </w:tcPr>
          <w:p w14:paraId="390D0149" w14:textId="174116D3" w:rsidR="00716290" w:rsidRPr="008B029F" w:rsidRDefault="00716290" w:rsidP="003A4541">
            <w:pPr>
              <w:pStyle w:val="TableCenter"/>
              <w:rPr>
                <w:szCs w:val="20"/>
                <w:lang w:val="en-AU"/>
              </w:rPr>
            </w:pPr>
            <w:r w:rsidRPr="008B029F">
              <w:rPr>
                <w:szCs w:val="20"/>
                <w:lang w:val="en-AU"/>
              </w:rPr>
              <w:t>Uncommon</w:t>
            </w:r>
          </w:p>
        </w:tc>
        <w:tc>
          <w:tcPr>
            <w:tcW w:w="585" w:type="pct"/>
          </w:tcPr>
          <w:p w14:paraId="42F714A0" w14:textId="3715591F" w:rsidR="00716290" w:rsidRPr="008B029F" w:rsidRDefault="00716290" w:rsidP="003A4541">
            <w:pPr>
              <w:pStyle w:val="TableCenter"/>
              <w:rPr>
                <w:szCs w:val="20"/>
                <w:lang w:val="en-AU"/>
              </w:rPr>
            </w:pPr>
            <w:r w:rsidRPr="008B029F">
              <w:rPr>
                <w:szCs w:val="20"/>
                <w:lang w:val="en-AU"/>
              </w:rPr>
              <w:t>0.2</w:t>
            </w:r>
          </w:p>
        </w:tc>
      </w:tr>
    </w:tbl>
    <w:p w14:paraId="44671F31" w14:textId="77777777" w:rsidR="00716290" w:rsidRPr="008B029F" w:rsidRDefault="00716290" w:rsidP="00716290">
      <w:pPr>
        <w:pStyle w:val="TableFootnoteLetter"/>
        <w:numPr>
          <w:ilvl w:val="0"/>
          <w:numId w:val="22"/>
        </w:numPr>
        <w:rPr>
          <w:lang w:val="en-AU"/>
        </w:rPr>
      </w:pPr>
      <w:r w:rsidRPr="008B029F">
        <w:rPr>
          <w:lang w:val="en-AU"/>
        </w:rPr>
        <w:t>includes laryngitis, nasopharyngitis, peritonsillar abscess, pharyngitis, rhinitis, sinusitis, tonsillitis, tracheobronchitis and upper respiratory tract infection.</w:t>
      </w:r>
    </w:p>
    <w:p w14:paraId="43247397" w14:textId="77777777" w:rsidR="00716290" w:rsidRPr="008B029F" w:rsidRDefault="00716290" w:rsidP="00716290">
      <w:pPr>
        <w:pStyle w:val="TableFootnoteLetter"/>
        <w:numPr>
          <w:ilvl w:val="0"/>
          <w:numId w:val="22"/>
        </w:numPr>
        <w:rPr>
          <w:lang w:val="en-AU"/>
        </w:rPr>
      </w:pPr>
      <w:r w:rsidRPr="008B029F">
        <w:rPr>
          <w:lang w:val="en-AU"/>
        </w:rPr>
        <w:t>includes lung infection, pneumocystis jirovecii pneumonia, pneumonia, pneumonia adenoviral, pneumonia bacterial, pneumonia cytomegaloviral, pneumonia haemophilus, pneumonia pneumococcal, pneumonia streptococcal, candida pneumonia and pneumonia legionella.</w:t>
      </w:r>
    </w:p>
    <w:p w14:paraId="68734B0F" w14:textId="77777777" w:rsidR="00716290" w:rsidRPr="008B029F" w:rsidRDefault="00716290" w:rsidP="00716290">
      <w:pPr>
        <w:pStyle w:val="TableFootnoteLetter"/>
        <w:numPr>
          <w:ilvl w:val="0"/>
          <w:numId w:val="22"/>
        </w:numPr>
        <w:rPr>
          <w:lang w:val="en-AU"/>
        </w:rPr>
      </w:pPr>
      <w:r w:rsidRPr="008B029F">
        <w:rPr>
          <w:lang w:val="en-AU"/>
        </w:rPr>
        <w:t xml:space="preserve">including fatal outcome. </w:t>
      </w:r>
    </w:p>
    <w:p w14:paraId="2A136B2C" w14:textId="77777777" w:rsidR="00716290" w:rsidRPr="008B029F" w:rsidRDefault="00716290" w:rsidP="00716290">
      <w:pPr>
        <w:pStyle w:val="TableFootnoteLetter"/>
        <w:numPr>
          <w:ilvl w:val="0"/>
          <w:numId w:val="22"/>
        </w:numPr>
        <w:rPr>
          <w:lang w:val="en-AU"/>
        </w:rPr>
      </w:pPr>
      <w:r w:rsidRPr="008B029F">
        <w:rPr>
          <w:lang w:val="en-AU"/>
        </w:rPr>
        <w:t xml:space="preserve">includes gingivitis, oral infection, periodontitis, pulpitis dental, tooth abscess and tooth infection. </w:t>
      </w:r>
    </w:p>
    <w:p w14:paraId="46033FF7" w14:textId="77777777" w:rsidR="00716290" w:rsidRPr="008B029F" w:rsidRDefault="00716290" w:rsidP="00716290">
      <w:pPr>
        <w:pStyle w:val="TableFootnoteLetter"/>
        <w:numPr>
          <w:ilvl w:val="0"/>
          <w:numId w:val="22"/>
        </w:numPr>
        <w:rPr>
          <w:lang w:val="en-AU"/>
        </w:rPr>
      </w:pPr>
      <w:r w:rsidRPr="008B029F">
        <w:rPr>
          <w:lang w:val="en-AU"/>
        </w:rPr>
        <w:lastRenderedPageBreak/>
        <w:t>includes autoimmune hypothyroidism, hypothyroidism.</w:t>
      </w:r>
    </w:p>
    <w:p w14:paraId="05B9BD6D" w14:textId="77777777" w:rsidR="00716290" w:rsidRPr="008B029F" w:rsidRDefault="00716290" w:rsidP="00716290">
      <w:pPr>
        <w:pStyle w:val="TableFootnoteLetter"/>
        <w:numPr>
          <w:ilvl w:val="0"/>
          <w:numId w:val="22"/>
        </w:numPr>
        <w:rPr>
          <w:lang w:val="en-AU"/>
        </w:rPr>
      </w:pPr>
      <w:r w:rsidRPr="008B029F">
        <w:rPr>
          <w:lang w:val="en-AU"/>
        </w:rPr>
        <w:t>includes hyperthyroidism and Basedow's disease.</w:t>
      </w:r>
    </w:p>
    <w:p w14:paraId="41A4B825" w14:textId="77777777" w:rsidR="00716290" w:rsidRPr="008B029F" w:rsidRDefault="00716290" w:rsidP="00716290">
      <w:pPr>
        <w:pStyle w:val="TableFootnoteLetter"/>
        <w:numPr>
          <w:ilvl w:val="0"/>
          <w:numId w:val="22"/>
        </w:numPr>
        <w:rPr>
          <w:lang w:val="en-AU"/>
        </w:rPr>
      </w:pPr>
      <w:r w:rsidRPr="008B029F">
        <w:rPr>
          <w:lang w:val="en-AU"/>
        </w:rPr>
        <w:t>includes autoimmune thyroiditis, thyroiditis, and thyroiditis subacute.</w:t>
      </w:r>
    </w:p>
    <w:p w14:paraId="67392A19" w14:textId="4FFDB0F7" w:rsidR="00716290" w:rsidRPr="008B029F" w:rsidRDefault="00716290" w:rsidP="00716290">
      <w:pPr>
        <w:pStyle w:val="TableFootnoteLetter"/>
        <w:numPr>
          <w:ilvl w:val="0"/>
          <w:numId w:val="22"/>
        </w:numPr>
        <w:rPr>
          <w:lang w:val="en-AU"/>
        </w:rPr>
      </w:pPr>
      <w:r w:rsidRPr="008B029F">
        <w:rPr>
          <w:lang w:val="en-AU"/>
        </w:rPr>
        <w:t>Reported frequency from AstraZeneca-sponsored clinical studies outside of the pooled dataset is rare.</w:t>
      </w:r>
    </w:p>
    <w:p w14:paraId="1710E5F0" w14:textId="77777777" w:rsidR="00716290" w:rsidRPr="008B029F" w:rsidRDefault="00716290" w:rsidP="00716290">
      <w:pPr>
        <w:pStyle w:val="TableFootnoteLetter"/>
        <w:numPr>
          <w:ilvl w:val="0"/>
          <w:numId w:val="22"/>
        </w:numPr>
        <w:rPr>
          <w:lang w:val="en-AU"/>
        </w:rPr>
      </w:pPr>
      <w:r w:rsidRPr="008B029F">
        <w:rPr>
          <w:lang w:val="en-AU"/>
        </w:rPr>
        <w:t>includes abdominal pain, abdominal pain lower, abdominal pain upper and flank pain.</w:t>
      </w:r>
    </w:p>
    <w:p w14:paraId="7E51EE64" w14:textId="77777777" w:rsidR="00716290" w:rsidRPr="008B029F" w:rsidRDefault="00716290" w:rsidP="00716290">
      <w:pPr>
        <w:pStyle w:val="TableFootnoteLetter"/>
        <w:numPr>
          <w:ilvl w:val="0"/>
          <w:numId w:val="22"/>
        </w:numPr>
        <w:rPr>
          <w:lang w:val="en-AU"/>
        </w:rPr>
      </w:pPr>
      <w:r w:rsidRPr="008B029F">
        <w:rPr>
          <w:lang w:val="en-AU"/>
        </w:rPr>
        <w:t>includes colitis, enteritis, enterocolitis, and proctitis.</w:t>
      </w:r>
    </w:p>
    <w:p w14:paraId="28337A1A" w14:textId="77777777" w:rsidR="00716290" w:rsidRPr="008B029F" w:rsidRDefault="00716290" w:rsidP="00716290">
      <w:pPr>
        <w:pStyle w:val="TableFootnoteLetter"/>
        <w:numPr>
          <w:ilvl w:val="0"/>
          <w:numId w:val="22"/>
        </w:numPr>
        <w:rPr>
          <w:lang w:val="en-AU"/>
        </w:rPr>
      </w:pPr>
      <w:r w:rsidRPr="008B029F">
        <w:rPr>
          <w:lang w:val="en-AU"/>
        </w:rPr>
        <w:t>includes alanine aminotransferase increased, aspartate aminotransferase increased, hepatic enzyme increased and transaminases increased.</w:t>
      </w:r>
    </w:p>
    <w:p w14:paraId="59DFF004" w14:textId="77777777" w:rsidR="00716290" w:rsidRPr="008B029F" w:rsidRDefault="00716290" w:rsidP="00716290">
      <w:pPr>
        <w:pStyle w:val="TableFootnoteLetter"/>
        <w:numPr>
          <w:ilvl w:val="0"/>
          <w:numId w:val="22"/>
        </w:numPr>
        <w:rPr>
          <w:lang w:val="en-AU"/>
        </w:rPr>
      </w:pPr>
      <w:r w:rsidRPr="008B029F">
        <w:rPr>
          <w:lang w:val="en-AU"/>
        </w:rPr>
        <w:t>includes hepatitis, autoimmune hepatitis, hepatitis toxic, hepatocellular injury, hepatitis acute, hepatotoxicity and immune-mediated hepatitis.</w:t>
      </w:r>
    </w:p>
    <w:p w14:paraId="7F07A89C" w14:textId="77777777" w:rsidR="00716290" w:rsidRPr="008B029F" w:rsidRDefault="00716290" w:rsidP="00716290">
      <w:pPr>
        <w:pStyle w:val="TableFootnoteLetter"/>
        <w:numPr>
          <w:ilvl w:val="0"/>
          <w:numId w:val="22"/>
        </w:numPr>
        <w:rPr>
          <w:lang w:val="en-AU"/>
        </w:rPr>
      </w:pPr>
      <w:r w:rsidRPr="008B029F">
        <w:rPr>
          <w:lang w:val="en-AU"/>
        </w:rPr>
        <w:t xml:space="preserve">includes rash erythematous, rash generalised, rash macular, rash maculopapular, rash papular, rash pruritic, rash pustular, erythema, eczema and rash. </w:t>
      </w:r>
    </w:p>
    <w:p w14:paraId="63DC5CBC" w14:textId="77777777" w:rsidR="00716290" w:rsidRPr="008B029F" w:rsidRDefault="00716290" w:rsidP="00716290">
      <w:pPr>
        <w:pStyle w:val="TableFootnoteLetter"/>
        <w:numPr>
          <w:ilvl w:val="0"/>
          <w:numId w:val="22"/>
        </w:numPr>
        <w:rPr>
          <w:lang w:val="en-AU"/>
        </w:rPr>
      </w:pPr>
      <w:r w:rsidRPr="008B029F">
        <w:rPr>
          <w:lang w:val="en-AU"/>
        </w:rPr>
        <w:t>includes pruritus generalised and pruritus.</w:t>
      </w:r>
    </w:p>
    <w:p w14:paraId="17DE8013" w14:textId="77777777" w:rsidR="00716290" w:rsidRPr="008B029F" w:rsidRDefault="00716290" w:rsidP="00716290">
      <w:pPr>
        <w:pStyle w:val="TableFootnoteLetter"/>
        <w:numPr>
          <w:ilvl w:val="0"/>
          <w:numId w:val="22"/>
        </w:numPr>
        <w:rPr>
          <w:lang w:val="en-AU"/>
        </w:rPr>
      </w:pPr>
      <w:r w:rsidRPr="008B029F">
        <w:rPr>
          <w:lang w:val="en-AU"/>
        </w:rPr>
        <w:t>includes pemphigoid, dermatitis bullous and pemphigus. Reported frequency from completed and ongoing trials is uncommon.</w:t>
      </w:r>
    </w:p>
    <w:p w14:paraId="4DE42255" w14:textId="77777777" w:rsidR="00716290" w:rsidRPr="008B029F" w:rsidRDefault="00716290" w:rsidP="00716290">
      <w:pPr>
        <w:pStyle w:val="TableFootnoteLetter"/>
        <w:numPr>
          <w:ilvl w:val="0"/>
          <w:numId w:val="22"/>
        </w:numPr>
        <w:rPr>
          <w:lang w:val="en-AU"/>
        </w:rPr>
      </w:pPr>
      <w:r w:rsidRPr="008B029F">
        <w:rPr>
          <w:lang w:val="en-AU"/>
        </w:rPr>
        <w:t>Polymyositis (fatal) was observed in a patient treated with IMFINZI from an ongoing sponsored clinical study outside of the pooled dataset: rare in any grade, rare in Grade 3 or 4 or 5.</w:t>
      </w:r>
      <w:r w:rsidRPr="008B029F" w:rsidDel="00807019">
        <w:rPr>
          <w:lang w:val="en-AU"/>
        </w:rPr>
        <w:t xml:space="preserve"> </w:t>
      </w:r>
    </w:p>
    <w:p w14:paraId="4405F105" w14:textId="77777777" w:rsidR="00716290" w:rsidRPr="008B029F" w:rsidRDefault="00716290" w:rsidP="00716290">
      <w:pPr>
        <w:pStyle w:val="TableFootnoteLetter"/>
        <w:numPr>
          <w:ilvl w:val="0"/>
          <w:numId w:val="22"/>
        </w:numPr>
        <w:rPr>
          <w:lang w:val="en-AU"/>
        </w:rPr>
      </w:pPr>
      <w:r w:rsidRPr="008B029F">
        <w:rPr>
          <w:lang w:val="en-AU"/>
        </w:rPr>
        <w:t>includes autoimmune nephritis, tubulointerstitial nephritis, nephritis, glomerulonephritis and glomerulonephritis membranous.</w:t>
      </w:r>
    </w:p>
    <w:p w14:paraId="32FC1400" w14:textId="77777777" w:rsidR="00716290" w:rsidRPr="008B029F" w:rsidRDefault="00716290" w:rsidP="00716290">
      <w:pPr>
        <w:pStyle w:val="TableFootnoteLetter"/>
        <w:numPr>
          <w:ilvl w:val="0"/>
          <w:numId w:val="22"/>
        </w:numPr>
        <w:rPr>
          <w:lang w:val="en-AU"/>
        </w:rPr>
      </w:pPr>
      <w:r w:rsidRPr="008B029F">
        <w:rPr>
          <w:lang w:val="en-AU"/>
        </w:rPr>
        <w:t>includes oedema peripheral and peripheral swelling.</w:t>
      </w:r>
    </w:p>
    <w:p w14:paraId="0B980CE9" w14:textId="77777777" w:rsidR="00716290" w:rsidRPr="008B029F" w:rsidRDefault="00716290" w:rsidP="00716290">
      <w:pPr>
        <w:pStyle w:val="TableFootnoteLetter"/>
        <w:numPr>
          <w:ilvl w:val="0"/>
          <w:numId w:val="22"/>
        </w:numPr>
        <w:rPr>
          <w:lang w:val="en-AU"/>
        </w:rPr>
      </w:pPr>
      <w:r w:rsidRPr="008B029F">
        <w:rPr>
          <w:lang w:val="en-AU"/>
        </w:rPr>
        <w:t>includes infusion related reaction and urticaria with onset on the day of dosing or 1 day after dosing.</w:t>
      </w:r>
    </w:p>
    <w:p w14:paraId="6333F001" w14:textId="77777777" w:rsidR="00716290" w:rsidRPr="008B029F" w:rsidRDefault="00716290" w:rsidP="00716290">
      <w:pPr>
        <w:pStyle w:val="TableFootnoteLetter"/>
        <w:numPr>
          <w:ilvl w:val="0"/>
          <w:numId w:val="22"/>
        </w:numPr>
        <w:rPr>
          <w:lang w:val="en-AU"/>
        </w:rPr>
      </w:pPr>
      <w:bookmarkStart w:id="16" w:name="_Hlk95415946"/>
      <w:r w:rsidRPr="008B029F">
        <w:rPr>
          <w:lang w:val="en-AU"/>
        </w:rPr>
        <w:t>includes pancreatitis and pancreatitis acute.</w:t>
      </w:r>
    </w:p>
    <w:p w14:paraId="06C625F6" w14:textId="41C40579" w:rsidR="00163F98" w:rsidRPr="008B029F" w:rsidRDefault="00716290" w:rsidP="00D15D1C">
      <w:pPr>
        <w:pStyle w:val="TableFootnoteLetter"/>
        <w:numPr>
          <w:ilvl w:val="0"/>
          <w:numId w:val="22"/>
        </w:numPr>
        <w:rPr>
          <w:lang w:val="en-AU"/>
        </w:rPr>
      </w:pPr>
      <w:r w:rsidRPr="008B029F">
        <w:rPr>
          <w:lang w:val="en-AU"/>
        </w:rPr>
        <w:t>Reported frequency from ongoing AstraZeneca-sponsored clinical studies outside of the pooled dataset is rare and includes two events of encephalitis, one was Grade 5 (fatal) and one was Grade 2</w:t>
      </w:r>
      <w:bookmarkEnd w:id="16"/>
      <w:r w:rsidRPr="008B029F">
        <w:rPr>
          <w:lang w:val="en-AU"/>
        </w:rPr>
        <w:t>.</w:t>
      </w:r>
    </w:p>
    <w:p w14:paraId="1812B978" w14:textId="77777777" w:rsidR="00024A01" w:rsidRPr="008B029F" w:rsidRDefault="00024A01" w:rsidP="007D23F7">
      <w:pPr>
        <w:pStyle w:val="Paragraph"/>
        <w:rPr>
          <w:lang w:val="en-AU"/>
        </w:rPr>
      </w:pPr>
    </w:p>
    <w:p w14:paraId="7D054394" w14:textId="5F52CE6D" w:rsidR="00D15D1C" w:rsidRPr="008B029F" w:rsidRDefault="00D15D1C" w:rsidP="00D15D1C">
      <w:pPr>
        <w:pStyle w:val="Heading3Unnumbered"/>
        <w:rPr>
          <w:lang w:val="en-AU"/>
        </w:rPr>
      </w:pPr>
      <w:r w:rsidRPr="008B029F">
        <w:rPr>
          <w:lang w:val="en-AU"/>
        </w:rPr>
        <w:t>Laboratory abnormalities</w:t>
      </w:r>
    </w:p>
    <w:p w14:paraId="1F78EC12" w14:textId="4B182EAD" w:rsidR="00D15D1C" w:rsidRPr="008B029F" w:rsidRDefault="00D15D1C" w:rsidP="00D15D1C">
      <w:pPr>
        <w:pStyle w:val="Paragraph"/>
        <w:rPr>
          <w:lang w:val="en-AU"/>
        </w:rPr>
      </w:pPr>
      <w:r w:rsidRPr="008B029F">
        <w:rPr>
          <w:lang w:val="en-AU"/>
        </w:rPr>
        <w:t>In patients treated with durvalumab monotherapy, the proportion of patients who experienced a shift from baseline to a Grade 3 or 4 laboratory abnormality was as follows: 2.4% for alanine aminotransferase increased, 3.6% for aspartate aminotransferase increased and 0.5% for blood creatinine increased. The proportion of patients who experienced a TSH shift from baseline that was ≤ ULN to any grade &gt; ULN was 18.8% and a TSH shift from baseline that was ≥ LLN to any grade &lt; LLN was 18.1%.</w:t>
      </w:r>
    </w:p>
    <w:p w14:paraId="66E76EE4" w14:textId="4F2F37D6" w:rsidR="007B2A0D" w:rsidRPr="008B029F" w:rsidRDefault="007B2A0D" w:rsidP="003A4541">
      <w:pPr>
        <w:pStyle w:val="Heading3Unnumbered"/>
        <w:rPr>
          <w:lang w:val="en-AU"/>
        </w:rPr>
      </w:pPr>
      <w:r w:rsidRPr="008B029F">
        <w:rPr>
          <w:lang w:val="en-AU"/>
        </w:rPr>
        <w:t xml:space="preserve">Tabulated list of adverse </w:t>
      </w:r>
      <w:r w:rsidR="00AD16B1" w:rsidRPr="008B029F">
        <w:rPr>
          <w:lang w:val="en-AU"/>
        </w:rPr>
        <w:t>events</w:t>
      </w:r>
      <w:r w:rsidR="00D15D1C" w:rsidRPr="008B029F">
        <w:rPr>
          <w:lang w:val="en-AU"/>
        </w:rPr>
        <w:t xml:space="preserve"> in individual studies</w:t>
      </w:r>
    </w:p>
    <w:p w14:paraId="617DED06" w14:textId="2253CDE8" w:rsidR="00D15D1C" w:rsidRPr="008B029F" w:rsidRDefault="00D15D1C" w:rsidP="00D15D1C">
      <w:pPr>
        <w:pStyle w:val="Paragraph"/>
        <w:rPr>
          <w:lang w:val="en-AU"/>
        </w:rPr>
      </w:pPr>
      <w:r w:rsidRPr="008B029F">
        <w:rPr>
          <w:lang w:val="en-AU"/>
        </w:rPr>
        <w:t>The data described below reflect exposure to IMFINZI as a single agent, in patients with locally advanced, unresectable NSCLC in the PACIFIC study, in combination with chemotherapy in patients with ES-SCLC in the CASPIAN study</w:t>
      </w:r>
      <w:r w:rsidR="00FC3F0D" w:rsidRPr="008B029F">
        <w:rPr>
          <w:lang w:val="en-AU"/>
        </w:rPr>
        <w:t>,</w:t>
      </w:r>
      <w:r w:rsidRPr="008B029F">
        <w:rPr>
          <w:lang w:val="en-AU"/>
        </w:rPr>
        <w:t xml:space="preserve"> in combination with chemotherapy in patients with unresectable MPM in the PrE0505 and DREAM studies</w:t>
      </w:r>
      <w:r w:rsidR="00FC3F0D" w:rsidRPr="008B029F">
        <w:rPr>
          <w:lang w:val="en-AU"/>
        </w:rPr>
        <w:t xml:space="preserve"> and in combination with tremelimumab (STRIDE) in patients with uHCC in the HIMALAYA study and Study 22</w:t>
      </w:r>
      <w:r w:rsidRPr="008B029F">
        <w:rPr>
          <w:lang w:val="en-AU"/>
        </w:rPr>
        <w:t>.</w:t>
      </w:r>
    </w:p>
    <w:p w14:paraId="57961DBC" w14:textId="6C8CBA8C" w:rsidR="007B2A0D" w:rsidRPr="008B029F" w:rsidRDefault="007B2A0D" w:rsidP="007B2A0D">
      <w:pPr>
        <w:pStyle w:val="Paragraph"/>
        <w:rPr>
          <w:lang w:val="en-AU"/>
        </w:rPr>
      </w:pPr>
      <w:r w:rsidRPr="008B029F">
        <w:rPr>
          <w:lang w:val="en-AU"/>
        </w:rPr>
        <w:t xml:space="preserve">Adverse </w:t>
      </w:r>
      <w:r w:rsidR="00AD16B1" w:rsidRPr="008B029F">
        <w:rPr>
          <w:lang w:val="en-AU"/>
        </w:rPr>
        <w:t>events</w:t>
      </w:r>
      <w:r w:rsidRPr="008B029F">
        <w:rPr>
          <w:lang w:val="en-AU"/>
        </w:rPr>
        <w:t xml:space="preserve"> are listed according to </w:t>
      </w:r>
      <w:r w:rsidR="00340066" w:rsidRPr="008B029F">
        <w:rPr>
          <w:lang w:val="en-AU"/>
        </w:rPr>
        <w:t xml:space="preserve">MedDRA </w:t>
      </w:r>
      <w:r w:rsidRPr="008B029F">
        <w:rPr>
          <w:lang w:val="en-AU"/>
        </w:rPr>
        <w:t xml:space="preserve">system organ class. Within each system organ class, the adverse </w:t>
      </w:r>
      <w:r w:rsidR="00AD16B1" w:rsidRPr="008B029F">
        <w:rPr>
          <w:lang w:val="en-AU"/>
        </w:rPr>
        <w:t>events</w:t>
      </w:r>
      <w:r w:rsidRPr="008B029F">
        <w:rPr>
          <w:lang w:val="en-AU"/>
        </w:rPr>
        <w:t xml:space="preserve"> are presented in decreasing frequency. </w:t>
      </w:r>
    </w:p>
    <w:p w14:paraId="285FD88E" w14:textId="040EFE8C" w:rsidR="00FC3F0D" w:rsidRPr="008B029F" w:rsidRDefault="00FC3F0D" w:rsidP="003A4541">
      <w:pPr>
        <w:pStyle w:val="Heading4Unnumbered"/>
        <w:rPr>
          <w:lang w:val="en-AU"/>
        </w:rPr>
      </w:pPr>
      <w:bookmarkStart w:id="17" w:name="_Hlk522449902"/>
      <w:bookmarkStart w:id="18" w:name="_Hlk518815141"/>
      <w:r w:rsidRPr="008B029F">
        <w:rPr>
          <w:lang w:val="en-AU"/>
        </w:rPr>
        <w:t>Non-small cell lung cancer (</w:t>
      </w:r>
      <w:r w:rsidR="00DA7F92" w:rsidRPr="008B029F">
        <w:rPr>
          <w:lang w:val="en-AU"/>
        </w:rPr>
        <w:t>NSCLC</w:t>
      </w:r>
      <w:r w:rsidRPr="008B029F">
        <w:rPr>
          <w:lang w:val="en-AU"/>
        </w:rPr>
        <w:t>)</w:t>
      </w:r>
    </w:p>
    <w:p w14:paraId="02C889CB" w14:textId="4E47FC5A" w:rsidR="00236244" w:rsidRPr="008B029F" w:rsidRDefault="00DA7F92" w:rsidP="00FC3F0D">
      <w:pPr>
        <w:pStyle w:val="Heading5unnumbered"/>
        <w:rPr>
          <w:lang w:val="en-AU"/>
        </w:rPr>
      </w:pPr>
      <w:r w:rsidRPr="008B029F">
        <w:rPr>
          <w:lang w:val="en-AU"/>
        </w:rPr>
        <w:t>PACIFIC study</w:t>
      </w:r>
    </w:p>
    <w:p w14:paraId="625AF262" w14:textId="451F8DD3" w:rsidR="00736F91" w:rsidRPr="008B029F" w:rsidRDefault="00736F91" w:rsidP="00471755">
      <w:pPr>
        <w:pStyle w:val="Paragraph"/>
        <w:rPr>
          <w:lang w:val="en-AU"/>
        </w:rPr>
      </w:pPr>
      <w:r w:rsidRPr="008B029F">
        <w:rPr>
          <w:lang w:val="en-AU"/>
        </w:rPr>
        <w:t xml:space="preserve">The safety of IMFINZI </w:t>
      </w:r>
      <w:r w:rsidR="00A47045" w:rsidRPr="008B029F">
        <w:rPr>
          <w:lang w:val="en-AU"/>
        </w:rPr>
        <w:t xml:space="preserve">in patients with </w:t>
      </w:r>
      <w:r w:rsidR="002227A5" w:rsidRPr="008B029F">
        <w:rPr>
          <w:lang w:val="en-AU"/>
        </w:rPr>
        <w:t>locally advanced</w:t>
      </w:r>
      <w:r w:rsidR="008B270A" w:rsidRPr="008B029F">
        <w:rPr>
          <w:lang w:val="en-AU"/>
        </w:rPr>
        <w:t xml:space="preserve"> </w:t>
      </w:r>
      <w:r w:rsidRPr="008B029F">
        <w:rPr>
          <w:lang w:val="en-AU"/>
        </w:rPr>
        <w:t>NSCLC who completed concurrent platinum-based chemoradiotherapy within 42 days prior to initiation of study drug was evaluated in the PACIFIC study, a multicent</w:t>
      </w:r>
      <w:r w:rsidR="009B4E0D" w:rsidRPr="008B029F">
        <w:rPr>
          <w:lang w:val="en-AU"/>
        </w:rPr>
        <w:t>re</w:t>
      </w:r>
      <w:r w:rsidRPr="008B029F">
        <w:rPr>
          <w:lang w:val="en-AU"/>
        </w:rPr>
        <w:t>, randomi</w:t>
      </w:r>
      <w:r w:rsidR="009B4E0D" w:rsidRPr="008B029F">
        <w:rPr>
          <w:lang w:val="en-AU"/>
        </w:rPr>
        <w:t>s</w:t>
      </w:r>
      <w:r w:rsidRPr="008B029F">
        <w:rPr>
          <w:lang w:val="en-AU"/>
        </w:rPr>
        <w:t>ed, double-blind, placebo-controlled study. A total of 475 patients received IMFINZI 10 mg/kg intravenously every 2 weeks. The study excluded patients who had disease progression following chemoradiation, with active or prior autoimmune disease within 2 years of initiation of the study or with medical conditions that required systemic immunosuppression</w:t>
      </w:r>
      <w:r w:rsidR="00A47045" w:rsidRPr="008B029F">
        <w:rPr>
          <w:lang w:val="en-AU"/>
        </w:rPr>
        <w:t xml:space="preserve"> (see </w:t>
      </w:r>
      <w:r w:rsidR="00126976" w:rsidRPr="008B029F">
        <w:rPr>
          <w:lang w:val="en-AU"/>
        </w:rPr>
        <w:t>Section</w:t>
      </w:r>
      <w:r w:rsidR="009773EE" w:rsidRPr="008B029F">
        <w:rPr>
          <w:lang w:val="en-AU"/>
        </w:rPr>
        <w:t xml:space="preserve"> </w:t>
      </w:r>
      <w:r w:rsidR="009773EE" w:rsidRPr="008B029F">
        <w:rPr>
          <w:lang w:val="en-AU"/>
        </w:rPr>
        <w:fldChar w:fldCharType="begin"/>
      </w:r>
      <w:r w:rsidR="009773EE" w:rsidRPr="008B029F">
        <w:rPr>
          <w:lang w:val="en-AU"/>
        </w:rPr>
        <w:instrText xml:space="preserve"> REF _Ref121909874 \r \h </w:instrText>
      </w:r>
      <w:r w:rsidR="008B029F">
        <w:rPr>
          <w:lang w:val="en-AU"/>
        </w:rPr>
        <w:instrText xml:space="preserve"> \* MERGEFORMAT </w:instrText>
      </w:r>
      <w:r w:rsidR="009773EE" w:rsidRPr="008B029F">
        <w:rPr>
          <w:lang w:val="en-AU"/>
        </w:rPr>
      </w:r>
      <w:r w:rsidR="009773EE" w:rsidRPr="008B029F">
        <w:rPr>
          <w:lang w:val="en-AU"/>
        </w:rPr>
        <w:fldChar w:fldCharType="separate"/>
      </w:r>
      <w:r w:rsidR="009773EE" w:rsidRPr="008B029F">
        <w:rPr>
          <w:lang w:val="en-AU"/>
        </w:rPr>
        <w:t>5.1</w:t>
      </w:r>
      <w:r w:rsidR="009773EE" w:rsidRPr="008B029F">
        <w:rPr>
          <w:lang w:val="en-AU"/>
        </w:rPr>
        <w:fldChar w:fldCharType="end"/>
      </w:r>
      <w:r w:rsidR="009773EE" w:rsidRPr="008B029F">
        <w:rPr>
          <w:lang w:val="en-AU"/>
        </w:rPr>
        <w:t xml:space="preserve"> </w:t>
      </w:r>
      <w:r w:rsidR="009773EE" w:rsidRPr="008B029F">
        <w:rPr>
          <w:lang w:val="en-AU"/>
        </w:rPr>
        <w:fldChar w:fldCharType="begin"/>
      </w:r>
      <w:r w:rsidR="009773EE" w:rsidRPr="008B029F">
        <w:rPr>
          <w:lang w:val="en-AU"/>
        </w:rPr>
        <w:instrText xml:space="preserve"> REF _Ref121909874 \h </w:instrText>
      </w:r>
      <w:r w:rsidR="008B029F">
        <w:rPr>
          <w:lang w:val="en-AU"/>
        </w:rPr>
        <w:instrText xml:space="preserve"> \* MERGEFORMAT </w:instrText>
      </w:r>
      <w:r w:rsidR="009773EE" w:rsidRPr="008B029F">
        <w:rPr>
          <w:lang w:val="en-AU"/>
        </w:rPr>
      </w:r>
      <w:r w:rsidR="009773EE" w:rsidRPr="008B029F">
        <w:rPr>
          <w:lang w:val="en-AU"/>
        </w:rPr>
        <w:fldChar w:fldCharType="separate"/>
      </w:r>
      <w:r w:rsidR="009773EE" w:rsidRPr="008B029F">
        <w:rPr>
          <w:lang w:val="en-AU"/>
        </w:rPr>
        <w:t>Pharmacodynamic properties</w:t>
      </w:r>
      <w:r w:rsidR="009773EE" w:rsidRPr="008B029F">
        <w:rPr>
          <w:lang w:val="en-AU"/>
        </w:rPr>
        <w:fldChar w:fldCharType="end"/>
      </w:r>
      <w:r w:rsidR="00126976" w:rsidRPr="008B029F">
        <w:rPr>
          <w:lang w:val="en-AU"/>
        </w:rPr>
        <w:t xml:space="preserve"> </w:t>
      </w:r>
      <w:r w:rsidR="00A47045" w:rsidRPr="008B029F">
        <w:rPr>
          <w:lang w:val="en-AU"/>
        </w:rPr>
        <w:t>– Clinical trials)</w:t>
      </w:r>
      <w:r w:rsidRPr="008B029F">
        <w:rPr>
          <w:color w:val="2B579A"/>
          <w:shd w:val="clear" w:color="auto" w:fill="E6E6E6"/>
          <w:lang w:val="en-AU"/>
        </w:rPr>
        <w:fldChar w:fldCharType="begin"/>
      </w:r>
      <w:r w:rsidRPr="008B029F">
        <w:rPr>
          <w:lang w:val="en-AU"/>
        </w:rPr>
        <w:instrText xml:space="preserve"> HYPERLINK  \l "_14.2_Non-Small_Cell" </w:instrText>
      </w:r>
      <w:r w:rsidRPr="008B029F">
        <w:rPr>
          <w:color w:val="2B579A"/>
          <w:shd w:val="clear" w:color="auto" w:fill="E6E6E6"/>
          <w:lang w:val="en-AU"/>
        </w:rPr>
      </w:r>
      <w:r w:rsidRPr="008B029F">
        <w:rPr>
          <w:color w:val="2B579A"/>
          <w:shd w:val="clear" w:color="auto" w:fill="E6E6E6"/>
          <w:lang w:val="en-AU"/>
        </w:rPr>
        <w:fldChar w:fldCharType="separate"/>
      </w:r>
      <w:r w:rsidR="00A47045" w:rsidRPr="008B029F">
        <w:rPr>
          <w:lang w:val="en-AU"/>
        </w:rPr>
        <w:t>.</w:t>
      </w:r>
    </w:p>
    <w:p w14:paraId="561177F0" w14:textId="5CA2FE98" w:rsidR="00736F91" w:rsidRPr="008B029F" w:rsidRDefault="00736F91" w:rsidP="00471755">
      <w:pPr>
        <w:pStyle w:val="Paragraph"/>
        <w:rPr>
          <w:lang w:val="en-AU"/>
        </w:rPr>
      </w:pPr>
      <w:r w:rsidRPr="008B029F">
        <w:rPr>
          <w:color w:val="2B579A"/>
          <w:shd w:val="clear" w:color="auto" w:fill="E6E6E6"/>
          <w:lang w:val="en-AU"/>
        </w:rPr>
        <w:lastRenderedPageBreak/>
        <w:fldChar w:fldCharType="end"/>
      </w:r>
      <w:bookmarkStart w:id="19" w:name="_Hlk506270476"/>
      <w:r w:rsidRPr="008B029F">
        <w:rPr>
          <w:lang w:val="en-AU"/>
        </w:rPr>
        <w:t>The study population characteristics were: median age of 64 years (range: 23 to 90), 45% age 65 years or older, 70% male, 69% White, 27% Asian, 75% former smoker, 16% current smoker, and 51% had WHO performance status of 1. All patients received definitive radiotherapy as per protocol, of which 92% received a total radiation dose of 54 Gy to 66 Gy. The median duration of exposure to IMFINZI was 10 months (range: 0.2 to 12.6).</w:t>
      </w:r>
    </w:p>
    <w:bookmarkEnd w:id="19"/>
    <w:p w14:paraId="773316F7" w14:textId="6B469CC1" w:rsidR="00736F91" w:rsidRPr="008B029F" w:rsidRDefault="00736F91" w:rsidP="00471755">
      <w:pPr>
        <w:pStyle w:val="Paragraph"/>
        <w:rPr>
          <w:lang w:val="en-AU"/>
        </w:rPr>
      </w:pPr>
      <w:r w:rsidRPr="008B029F">
        <w:rPr>
          <w:lang w:val="en-AU"/>
        </w:rPr>
        <w:t xml:space="preserve">IMFINZI was discontinued due to adverse </w:t>
      </w:r>
      <w:r w:rsidR="00A47045" w:rsidRPr="008B029F">
        <w:rPr>
          <w:lang w:val="en-AU"/>
        </w:rPr>
        <w:t>events</w:t>
      </w:r>
      <w:r w:rsidRPr="008B029F">
        <w:rPr>
          <w:lang w:val="en-AU"/>
        </w:rPr>
        <w:t xml:space="preserve"> in 15% of patients. </w:t>
      </w:r>
      <w:r w:rsidR="00A47045" w:rsidRPr="008B029F">
        <w:rPr>
          <w:lang w:val="en-AU"/>
        </w:rPr>
        <w:t>The most common adverse event</w:t>
      </w:r>
      <w:r w:rsidRPr="008B029F">
        <w:rPr>
          <w:lang w:val="en-AU"/>
        </w:rPr>
        <w:t xml:space="preserve">s leading to IMFINZI discontinuation were pneumonitis or radiation pneumonitis in 6% of patients. Serious adverse </w:t>
      </w:r>
      <w:r w:rsidR="00A47045" w:rsidRPr="008B029F">
        <w:rPr>
          <w:lang w:val="en-AU"/>
        </w:rPr>
        <w:t>events</w:t>
      </w:r>
      <w:r w:rsidRPr="008B029F">
        <w:rPr>
          <w:lang w:val="en-AU"/>
        </w:rPr>
        <w:t xml:space="preserve"> occurred in 29% of patients receiving IMFINZI. The most frequent serious adverse </w:t>
      </w:r>
      <w:r w:rsidR="00A47045" w:rsidRPr="008B029F">
        <w:rPr>
          <w:lang w:val="en-AU"/>
        </w:rPr>
        <w:t>events</w:t>
      </w:r>
      <w:r w:rsidRPr="008B029F">
        <w:rPr>
          <w:lang w:val="en-AU"/>
        </w:rPr>
        <w:t xml:space="preserve"> reported in at least 2% of patients were pneumonitis or radiation pneumonitis (7%) and pneumonia (6%). Fatal pneumonitis or radiation pneumonitis and fatal pneumonia occurred in &lt; 2% of patients and were similar across arms. The most common adverse </w:t>
      </w:r>
      <w:r w:rsidR="00A47045" w:rsidRPr="008B029F">
        <w:rPr>
          <w:lang w:val="en-AU"/>
        </w:rPr>
        <w:t>event</w:t>
      </w:r>
      <w:r w:rsidRPr="008B029F">
        <w:rPr>
          <w:lang w:val="en-AU"/>
        </w:rPr>
        <w:t>s (occurring in ≥ 20% of patients) were cough, fatigue, pneumonitis or radiation pneumonitis, upper respiratory tract infections, dyspn</w:t>
      </w:r>
      <w:r w:rsidR="009B4E0D" w:rsidRPr="008B029F">
        <w:rPr>
          <w:lang w:val="en-AU"/>
        </w:rPr>
        <w:t>o</w:t>
      </w:r>
      <w:r w:rsidRPr="008B029F">
        <w:rPr>
          <w:lang w:val="en-AU"/>
        </w:rPr>
        <w:t>ea and rash.</w:t>
      </w:r>
    </w:p>
    <w:p w14:paraId="7E04E754" w14:textId="4BA7CD4C" w:rsidR="00736F91" w:rsidRPr="008B029F" w:rsidRDefault="00F95FC0" w:rsidP="00471755">
      <w:pPr>
        <w:pStyle w:val="Paragraph"/>
        <w:rPr>
          <w:lang w:val="en-AU"/>
        </w:rPr>
      </w:pPr>
      <w:r w:rsidRPr="008B029F">
        <w:rPr>
          <w:color w:val="2B579A"/>
          <w:shd w:val="clear" w:color="auto" w:fill="E6E6E6"/>
          <w:lang w:val="en-AU"/>
        </w:rPr>
        <w:fldChar w:fldCharType="begin"/>
      </w:r>
      <w:r w:rsidRPr="008B029F">
        <w:rPr>
          <w:lang w:val="en-AU"/>
        </w:rPr>
        <w:instrText xml:space="preserve"> REF _Ref120539736 \h </w:instrText>
      </w:r>
      <w:r w:rsidR="001A5413" w:rsidRPr="008B029F">
        <w:rPr>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4</w:t>
      </w:r>
      <w:r w:rsidRPr="008B029F">
        <w:rPr>
          <w:color w:val="2B579A"/>
          <w:shd w:val="clear" w:color="auto" w:fill="E6E6E6"/>
          <w:lang w:val="en-AU"/>
        </w:rPr>
        <w:fldChar w:fldCharType="end"/>
      </w:r>
      <w:r w:rsidRPr="008B029F">
        <w:rPr>
          <w:lang w:val="en-AU"/>
        </w:rPr>
        <w:t xml:space="preserve"> </w:t>
      </w:r>
      <w:r w:rsidR="00736F91" w:rsidRPr="008B029F">
        <w:rPr>
          <w:lang w:val="en-AU"/>
        </w:rPr>
        <w:t>summari</w:t>
      </w:r>
      <w:r w:rsidR="009B4E0D" w:rsidRPr="008B029F">
        <w:rPr>
          <w:lang w:val="en-AU"/>
        </w:rPr>
        <w:t>s</w:t>
      </w:r>
      <w:r w:rsidR="00736F91" w:rsidRPr="008B029F">
        <w:rPr>
          <w:lang w:val="en-AU"/>
        </w:rPr>
        <w:t xml:space="preserve">es the adverse </w:t>
      </w:r>
      <w:r w:rsidR="00A47045" w:rsidRPr="008B029F">
        <w:rPr>
          <w:lang w:val="en-AU"/>
        </w:rPr>
        <w:t>event</w:t>
      </w:r>
      <w:r w:rsidR="00736F91" w:rsidRPr="008B029F">
        <w:rPr>
          <w:lang w:val="en-AU"/>
        </w:rPr>
        <w:t>s that occurred in at least 10% of patients treated with IMFINZI.</w:t>
      </w:r>
    </w:p>
    <w:p w14:paraId="66FE6952" w14:textId="3AA8EB14" w:rsidR="00D20056" w:rsidRPr="008B029F" w:rsidRDefault="00F95FC0" w:rsidP="00126976">
      <w:pPr>
        <w:pStyle w:val="TableTitle"/>
        <w:rPr>
          <w:lang w:val="en-AU"/>
        </w:rPr>
      </w:pPr>
      <w:bookmarkStart w:id="20" w:name="_Ref120539736"/>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4</w:t>
      </w:r>
      <w:r w:rsidRPr="008B029F">
        <w:rPr>
          <w:color w:val="2B579A"/>
          <w:shd w:val="clear" w:color="auto" w:fill="E6E6E6"/>
          <w:lang w:val="en-AU"/>
        </w:rPr>
        <w:fldChar w:fldCharType="end"/>
      </w:r>
      <w:bookmarkEnd w:id="20"/>
      <w:r w:rsidR="00D20056" w:rsidRPr="008B029F">
        <w:rPr>
          <w:lang w:val="en-AU"/>
        </w:rPr>
        <w:tab/>
        <w:t xml:space="preserve">Treatment-emergent adverse events occurring in at least 10% of patients in the PACIFIC </w:t>
      </w:r>
      <w:r w:rsidR="00FC3F0D" w:rsidRPr="008B029F">
        <w:rPr>
          <w:lang w:val="en-AU"/>
        </w:rPr>
        <w:t>s</w:t>
      </w:r>
      <w:r w:rsidR="00D20056" w:rsidRPr="008B029F">
        <w:rPr>
          <w:lang w:val="en-AU"/>
        </w:rPr>
        <w:t>tudy</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1695"/>
        <w:gridCol w:w="1548"/>
        <w:gridCol w:w="1550"/>
        <w:gridCol w:w="1568"/>
      </w:tblGrid>
      <w:tr w:rsidR="00126976" w:rsidRPr="008B029F" w14:paraId="1A61F81C" w14:textId="52D08AC5" w:rsidTr="00D83CBF">
        <w:trPr>
          <w:tblHeader/>
        </w:trPr>
        <w:tc>
          <w:tcPr>
            <w:tcW w:w="1693" w:type="pct"/>
            <w:vMerge w:val="restart"/>
            <w:tcBorders>
              <w:top w:val="single" w:sz="4" w:space="0" w:color="auto"/>
              <w:left w:val="single" w:sz="4" w:space="0" w:color="auto"/>
              <w:right w:val="single" w:sz="4" w:space="0" w:color="auto"/>
            </w:tcBorders>
            <w:shd w:val="clear" w:color="auto" w:fill="auto"/>
          </w:tcPr>
          <w:p w14:paraId="2ADCAD6B" w14:textId="28D66457" w:rsidR="00126976" w:rsidRPr="008B029F" w:rsidRDefault="00126976" w:rsidP="00126976">
            <w:pPr>
              <w:pStyle w:val="TableHead"/>
              <w:jc w:val="left"/>
              <w:rPr>
                <w:lang w:val="en-AU"/>
              </w:rPr>
            </w:pPr>
            <w:r w:rsidRPr="008B029F">
              <w:rPr>
                <w:lang w:val="en-AU"/>
              </w:rPr>
              <w:t>Adverse reaction</w:t>
            </w:r>
          </w:p>
        </w:tc>
        <w:tc>
          <w:tcPr>
            <w:tcW w:w="1686" w:type="pct"/>
            <w:gridSpan w:val="2"/>
            <w:tcBorders>
              <w:top w:val="single" w:sz="4" w:space="0" w:color="auto"/>
              <w:left w:val="single" w:sz="4" w:space="0" w:color="auto"/>
              <w:bottom w:val="single" w:sz="4" w:space="0" w:color="auto"/>
              <w:right w:val="single" w:sz="4" w:space="0" w:color="auto"/>
            </w:tcBorders>
            <w:shd w:val="clear" w:color="auto" w:fill="auto"/>
          </w:tcPr>
          <w:p w14:paraId="6EF5A527" w14:textId="3C6BE419" w:rsidR="00126976" w:rsidRPr="008B029F" w:rsidRDefault="00126976" w:rsidP="00126976">
            <w:pPr>
              <w:pStyle w:val="TableHead"/>
              <w:rPr>
                <w:lang w:val="en-AU"/>
              </w:rPr>
            </w:pPr>
            <w:r w:rsidRPr="008B029F">
              <w:rPr>
                <w:lang w:val="en-AU"/>
              </w:rPr>
              <w:t>IMFINZI</w:t>
            </w:r>
          </w:p>
          <w:p w14:paraId="60CDCDB7" w14:textId="1A7C8192" w:rsidR="00126976" w:rsidRPr="008B029F" w:rsidRDefault="00126976" w:rsidP="00126976">
            <w:pPr>
              <w:pStyle w:val="TableHead"/>
              <w:rPr>
                <w:lang w:val="en-AU"/>
              </w:rPr>
            </w:pPr>
            <w:r w:rsidRPr="008B029F">
              <w:rPr>
                <w:lang w:val="en-AU"/>
              </w:rPr>
              <w:t>N=475</w:t>
            </w:r>
          </w:p>
        </w:tc>
        <w:tc>
          <w:tcPr>
            <w:tcW w:w="1621" w:type="pct"/>
            <w:gridSpan w:val="2"/>
            <w:tcBorders>
              <w:top w:val="single" w:sz="4" w:space="0" w:color="auto"/>
              <w:left w:val="single" w:sz="4" w:space="0" w:color="auto"/>
              <w:bottom w:val="single" w:sz="4" w:space="0" w:color="auto"/>
              <w:right w:val="single" w:sz="4" w:space="0" w:color="auto"/>
            </w:tcBorders>
            <w:shd w:val="clear" w:color="auto" w:fill="auto"/>
          </w:tcPr>
          <w:p w14:paraId="5259CBC2" w14:textId="398A4207" w:rsidR="00126976" w:rsidRPr="008B029F" w:rsidRDefault="00126976" w:rsidP="00126976">
            <w:pPr>
              <w:pStyle w:val="TableHead"/>
              <w:rPr>
                <w:bCs/>
                <w:lang w:val="en-AU"/>
              </w:rPr>
            </w:pPr>
            <w:r w:rsidRPr="008B029F">
              <w:rPr>
                <w:bCs/>
                <w:lang w:val="en-AU"/>
              </w:rPr>
              <w:t>Placebo</w:t>
            </w:r>
            <w:r w:rsidRPr="008B029F">
              <w:rPr>
                <w:bCs/>
                <w:vertAlign w:val="superscript"/>
                <w:lang w:val="en-AU"/>
              </w:rPr>
              <w:t>a</w:t>
            </w:r>
          </w:p>
          <w:p w14:paraId="59EAA8FE" w14:textId="0E2C4144" w:rsidR="00126976" w:rsidRPr="008B029F" w:rsidRDefault="00126976" w:rsidP="00126976">
            <w:pPr>
              <w:pStyle w:val="TableHead"/>
              <w:rPr>
                <w:lang w:val="en-AU"/>
              </w:rPr>
            </w:pPr>
            <w:r w:rsidRPr="008B029F">
              <w:rPr>
                <w:bCs/>
                <w:lang w:val="en-AU"/>
              </w:rPr>
              <w:t>N=234</w:t>
            </w:r>
          </w:p>
        </w:tc>
      </w:tr>
      <w:tr w:rsidR="00126976" w:rsidRPr="008B029F" w14:paraId="7609507C" w14:textId="1B1DF79C" w:rsidTr="00D83CBF">
        <w:trPr>
          <w:tblHeader/>
        </w:trPr>
        <w:tc>
          <w:tcPr>
            <w:tcW w:w="1693" w:type="pct"/>
            <w:vMerge/>
            <w:tcBorders>
              <w:left w:val="single" w:sz="4" w:space="0" w:color="auto"/>
              <w:right w:val="single" w:sz="4" w:space="0" w:color="auto"/>
            </w:tcBorders>
            <w:shd w:val="clear" w:color="auto" w:fill="auto"/>
            <w:vAlign w:val="center"/>
          </w:tcPr>
          <w:p w14:paraId="3B7809DD" w14:textId="41B71CBD" w:rsidR="00126976" w:rsidRPr="008B029F" w:rsidRDefault="00126976" w:rsidP="00126976">
            <w:pPr>
              <w:pStyle w:val="TableHead"/>
              <w:jc w:val="left"/>
              <w:rPr>
                <w:lang w:val="en-AU"/>
              </w:rPr>
            </w:pPr>
          </w:p>
        </w:tc>
        <w:tc>
          <w:tcPr>
            <w:tcW w:w="881" w:type="pct"/>
            <w:tcBorders>
              <w:left w:val="single" w:sz="4" w:space="0" w:color="auto"/>
            </w:tcBorders>
            <w:shd w:val="clear" w:color="auto" w:fill="auto"/>
            <w:vAlign w:val="center"/>
          </w:tcPr>
          <w:p w14:paraId="50FDAE63" w14:textId="1C32FB80" w:rsidR="00126976" w:rsidRPr="008B029F" w:rsidRDefault="00126976" w:rsidP="00126976">
            <w:pPr>
              <w:pStyle w:val="TableHead"/>
              <w:rPr>
                <w:lang w:val="en-AU"/>
              </w:rPr>
            </w:pPr>
            <w:r w:rsidRPr="008B029F">
              <w:rPr>
                <w:lang w:val="en-AU"/>
              </w:rPr>
              <w:t>All grades (%)</w:t>
            </w:r>
          </w:p>
        </w:tc>
        <w:tc>
          <w:tcPr>
            <w:tcW w:w="805" w:type="pct"/>
            <w:shd w:val="clear" w:color="auto" w:fill="auto"/>
            <w:vAlign w:val="center"/>
          </w:tcPr>
          <w:p w14:paraId="2F17F0E5" w14:textId="64D9718C" w:rsidR="00126976" w:rsidRPr="008B029F" w:rsidRDefault="00126976" w:rsidP="00126976">
            <w:pPr>
              <w:pStyle w:val="TableHead"/>
              <w:rPr>
                <w:lang w:val="en-AU"/>
              </w:rPr>
            </w:pPr>
            <w:r w:rsidRPr="008B029F">
              <w:rPr>
                <w:lang w:val="en-AU"/>
              </w:rPr>
              <w:t>Grades 3-4 (%)</w:t>
            </w:r>
          </w:p>
        </w:tc>
        <w:tc>
          <w:tcPr>
            <w:tcW w:w="806" w:type="pct"/>
            <w:shd w:val="clear" w:color="auto" w:fill="auto"/>
            <w:vAlign w:val="center"/>
          </w:tcPr>
          <w:p w14:paraId="2FA8496F" w14:textId="41F84526" w:rsidR="00126976" w:rsidRPr="008B029F" w:rsidRDefault="00126976" w:rsidP="00126976">
            <w:pPr>
              <w:pStyle w:val="TableHead"/>
              <w:rPr>
                <w:lang w:val="en-AU"/>
              </w:rPr>
            </w:pPr>
            <w:r w:rsidRPr="008B029F">
              <w:rPr>
                <w:lang w:val="en-AU"/>
              </w:rPr>
              <w:t>All grades (%)</w:t>
            </w:r>
          </w:p>
        </w:tc>
        <w:tc>
          <w:tcPr>
            <w:tcW w:w="815" w:type="pct"/>
            <w:shd w:val="clear" w:color="auto" w:fill="auto"/>
            <w:vAlign w:val="center"/>
          </w:tcPr>
          <w:p w14:paraId="661606A2" w14:textId="34ED9FF3" w:rsidR="00126976" w:rsidRPr="008B029F" w:rsidRDefault="00126976" w:rsidP="00126976">
            <w:pPr>
              <w:pStyle w:val="TableHead"/>
              <w:rPr>
                <w:lang w:val="en-AU"/>
              </w:rPr>
            </w:pPr>
            <w:r w:rsidRPr="008B029F">
              <w:rPr>
                <w:lang w:val="en-AU"/>
              </w:rPr>
              <w:t>Grades 3-4 (%)</w:t>
            </w:r>
          </w:p>
        </w:tc>
      </w:tr>
      <w:tr w:rsidR="00736F91" w:rsidRPr="008B029F" w14:paraId="63E4F05F" w14:textId="709E1BB2" w:rsidTr="00FB0582">
        <w:tc>
          <w:tcPr>
            <w:tcW w:w="5000" w:type="pct"/>
            <w:gridSpan w:val="5"/>
            <w:shd w:val="clear" w:color="auto" w:fill="auto"/>
          </w:tcPr>
          <w:p w14:paraId="5E61AADE" w14:textId="3A447DE2" w:rsidR="00736F91" w:rsidRPr="008B029F" w:rsidRDefault="00736F91" w:rsidP="00126976">
            <w:pPr>
              <w:pStyle w:val="TableCenter"/>
              <w:jc w:val="left"/>
              <w:rPr>
                <w:b/>
                <w:lang w:val="en-AU"/>
              </w:rPr>
            </w:pPr>
            <w:r w:rsidRPr="008B029F">
              <w:rPr>
                <w:b/>
                <w:lang w:val="en-AU"/>
              </w:rPr>
              <w:t xml:space="preserve">Respiratory, </w:t>
            </w:r>
            <w:r w:rsidR="00FC363F" w:rsidRPr="008B029F">
              <w:rPr>
                <w:b/>
                <w:lang w:val="en-AU"/>
              </w:rPr>
              <w:t>t</w:t>
            </w:r>
            <w:r w:rsidRPr="008B029F">
              <w:rPr>
                <w:b/>
                <w:lang w:val="en-AU"/>
              </w:rPr>
              <w:t xml:space="preserve">horacic and </w:t>
            </w:r>
            <w:r w:rsidR="00FC363F" w:rsidRPr="008B029F">
              <w:rPr>
                <w:b/>
                <w:lang w:val="en-AU"/>
              </w:rPr>
              <w:t>m</w:t>
            </w:r>
            <w:r w:rsidRPr="008B029F">
              <w:rPr>
                <w:b/>
                <w:lang w:val="en-AU"/>
              </w:rPr>
              <w:t xml:space="preserve">ediastinal </w:t>
            </w:r>
            <w:r w:rsidR="00FC363F" w:rsidRPr="008B029F">
              <w:rPr>
                <w:b/>
                <w:lang w:val="en-AU"/>
              </w:rPr>
              <w:t>d</w:t>
            </w:r>
            <w:r w:rsidRPr="008B029F">
              <w:rPr>
                <w:b/>
                <w:lang w:val="en-AU"/>
              </w:rPr>
              <w:t>isorders</w:t>
            </w:r>
          </w:p>
        </w:tc>
      </w:tr>
      <w:tr w:rsidR="00736F91" w:rsidRPr="008B029F" w14:paraId="0DB2A533" w14:textId="1506C72F" w:rsidTr="00036E78">
        <w:tc>
          <w:tcPr>
            <w:tcW w:w="1693" w:type="pct"/>
            <w:shd w:val="clear" w:color="auto" w:fill="auto"/>
          </w:tcPr>
          <w:p w14:paraId="60E651AA" w14:textId="041FE8E6" w:rsidR="00736F91" w:rsidRPr="008B029F" w:rsidRDefault="00736F91" w:rsidP="00126976">
            <w:pPr>
              <w:pStyle w:val="TableCenter"/>
              <w:jc w:val="left"/>
              <w:rPr>
                <w:lang w:val="en-AU"/>
              </w:rPr>
            </w:pPr>
            <w:r w:rsidRPr="008B029F">
              <w:rPr>
                <w:lang w:val="en-AU"/>
              </w:rPr>
              <w:t>Cough/</w:t>
            </w:r>
            <w:r w:rsidR="00FC363F" w:rsidRPr="008B029F">
              <w:rPr>
                <w:lang w:val="en-AU"/>
              </w:rPr>
              <w:t>p</w:t>
            </w:r>
            <w:r w:rsidRPr="008B029F">
              <w:rPr>
                <w:lang w:val="en-AU"/>
              </w:rPr>
              <w:t xml:space="preserve">roductive </w:t>
            </w:r>
            <w:r w:rsidR="00FC363F" w:rsidRPr="008B029F">
              <w:rPr>
                <w:lang w:val="en-AU"/>
              </w:rPr>
              <w:t>c</w:t>
            </w:r>
            <w:r w:rsidRPr="008B029F">
              <w:rPr>
                <w:lang w:val="en-AU"/>
              </w:rPr>
              <w:t>ough</w:t>
            </w:r>
          </w:p>
        </w:tc>
        <w:tc>
          <w:tcPr>
            <w:tcW w:w="881" w:type="pct"/>
            <w:shd w:val="clear" w:color="auto" w:fill="auto"/>
          </w:tcPr>
          <w:p w14:paraId="7ED7C8D6" w14:textId="5C3BAA5B" w:rsidR="00736F91" w:rsidRPr="008B029F" w:rsidRDefault="00736F91" w:rsidP="00126976">
            <w:pPr>
              <w:pStyle w:val="TableCenter"/>
              <w:rPr>
                <w:lang w:val="en-AU"/>
              </w:rPr>
            </w:pPr>
            <w:r w:rsidRPr="008B029F">
              <w:rPr>
                <w:lang w:val="en-AU"/>
              </w:rPr>
              <w:t>40</w:t>
            </w:r>
          </w:p>
        </w:tc>
        <w:tc>
          <w:tcPr>
            <w:tcW w:w="805" w:type="pct"/>
            <w:shd w:val="clear" w:color="auto" w:fill="auto"/>
          </w:tcPr>
          <w:p w14:paraId="3740B107" w14:textId="32C12A80" w:rsidR="00736F91" w:rsidRPr="008B029F" w:rsidRDefault="00736F91" w:rsidP="00126976">
            <w:pPr>
              <w:pStyle w:val="TableCenter"/>
              <w:rPr>
                <w:lang w:val="en-AU"/>
              </w:rPr>
            </w:pPr>
            <w:r w:rsidRPr="008B029F">
              <w:rPr>
                <w:lang w:val="en-AU"/>
              </w:rPr>
              <w:t>0.6</w:t>
            </w:r>
          </w:p>
        </w:tc>
        <w:tc>
          <w:tcPr>
            <w:tcW w:w="806" w:type="pct"/>
            <w:shd w:val="clear" w:color="auto" w:fill="auto"/>
          </w:tcPr>
          <w:p w14:paraId="47D439FA" w14:textId="7FA1DF6A" w:rsidR="00736F91" w:rsidRPr="008B029F" w:rsidRDefault="00736F91" w:rsidP="00126976">
            <w:pPr>
              <w:pStyle w:val="TableCenter"/>
              <w:rPr>
                <w:lang w:val="en-AU"/>
              </w:rPr>
            </w:pPr>
            <w:r w:rsidRPr="008B029F">
              <w:rPr>
                <w:lang w:val="en-AU"/>
              </w:rPr>
              <w:t>30</w:t>
            </w:r>
          </w:p>
        </w:tc>
        <w:tc>
          <w:tcPr>
            <w:tcW w:w="815" w:type="pct"/>
            <w:shd w:val="clear" w:color="auto" w:fill="auto"/>
          </w:tcPr>
          <w:p w14:paraId="33C0FCE5" w14:textId="58ECF1D8" w:rsidR="00736F91" w:rsidRPr="008B029F" w:rsidRDefault="00736F91" w:rsidP="00126976">
            <w:pPr>
              <w:pStyle w:val="TableCenter"/>
              <w:rPr>
                <w:lang w:val="en-AU"/>
              </w:rPr>
            </w:pPr>
            <w:r w:rsidRPr="008B029F">
              <w:rPr>
                <w:lang w:val="en-AU"/>
              </w:rPr>
              <w:t>0.4</w:t>
            </w:r>
          </w:p>
        </w:tc>
      </w:tr>
      <w:tr w:rsidR="00736F91" w:rsidRPr="008B029F" w14:paraId="40DAC344" w14:textId="4B6BF976" w:rsidTr="00036E78">
        <w:tc>
          <w:tcPr>
            <w:tcW w:w="1693" w:type="pct"/>
            <w:shd w:val="clear" w:color="auto" w:fill="auto"/>
          </w:tcPr>
          <w:p w14:paraId="19785E5C" w14:textId="1FD19CBC" w:rsidR="00736F91" w:rsidRPr="008B029F" w:rsidRDefault="00736F91" w:rsidP="00126976">
            <w:pPr>
              <w:pStyle w:val="TableCenter"/>
              <w:jc w:val="left"/>
              <w:rPr>
                <w:lang w:val="en-AU"/>
              </w:rPr>
            </w:pPr>
            <w:r w:rsidRPr="008B029F">
              <w:rPr>
                <w:lang w:val="en-AU"/>
              </w:rPr>
              <w:t>Pneumonitis</w:t>
            </w:r>
            <w:r w:rsidRPr="008B029F">
              <w:rPr>
                <w:vertAlign w:val="superscript"/>
                <w:lang w:val="en-AU"/>
              </w:rPr>
              <w:t>b</w:t>
            </w:r>
            <w:r w:rsidRPr="008B029F">
              <w:rPr>
                <w:lang w:val="en-AU"/>
              </w:rPr>
              <w:t>/</w:t>
            </w:r>
            <w:r w:rsidR="00FC363F" w:rsidRPr="008B029F">
              <w:rPr>
                <w:lang w:val="en-AU"/>
              </w:rPr>
              <w:t>r</w:t>
            </w:r>
            <w:r w:rsidRPr="008B029F">
              <w:rPr>
                <w:lang w:val="en-AU"/>
              </w:rPr>
              <w:t xml:space="preserve">adiation </w:t>
            </w:r>
            <w:r w:rsidR="00FC363F" w:rsidRPr="008B029F">
              <w:rPr>
                <w:lang w:val="en-AU"/>
              </w:rPr>
              <w:t>p</w:t>
            </w:r>
            <w:r w:rsidRPr="008B029F">
              <w:rPr>
                <w:lang w:val="en-AU"/>
              </w:rPr>
              <w:t>neumonitis</w:t>
            </w:r>
            <w:r w:rsidRPr="008B029F">
              <w:rPr>
                <w:vertAlign w:val="superscript"/>
                <w:lang w:val="en-AU"/>
              </w:rPr>
              <w:t xml:space="preserve"> </w:t>
            </w:r>
          </w:p>
        </w:tc>
        <w:tc>
          <w:tcPr>
            <w:tcW w:w="881" w:type="pct"/>
            <w:shd w:val="clear" w:color="auto" w:fill="auto"/>
          </w:tcPr>
          <w:p w14:paraId="39C8B82E" w14:textId="2E71C7D7" w:rsidR="00736F91" w:rsidRPr="008B029F" w:rsidRDefault="00736F91" w:rsidP="00126976">
            <w:pPr>
              <w:pStyle w:val="TableCenter"/>
              <w:rPr>
                <w:lang w:val="en-AU"/>
              </w:rPr>
            </w:pPr>
            <w:r w:rsidRPr="008B029F">
              <w:rPr>
                <w:lang w:val="en-AU"/>
              </w:rPr>
              <w:t>34</w:t>
            </w:r>
          </w:p>
        </w:tc>
        <w:tc>
          <w:tcPr>
            <w:tcW w:w="805" w:type="pct"/>
            <w:shd w:val="clear" w:color="auto" w:fill="auto"/>
          </w:tcPr>
          <w:p w14:paraId="644E7E7F" w14:textId="16827933" w:rsidR="00736F91" w:rsidRPr="008B029F" w:rsidRDefault="00736F91" w:rsidP="00126976">
            <w:pPr>
              <w:pStyle w:val="TableCenter"/>
              <w:rPr>
                <w:lang w:val="en-AU"/>
              </w:rPr>
            </w:pPr>
            <w:r w:rsidRPr="008B029F">
              <w:rPr>
                <w:lang w:val="en-AU"/>
              </w:rPr>
              <w:t>3.4</w:t>
            </w:r>
          </w:p>
        </w:tc>
        <w:tc>
          <w:tcPr>
            <w:tcW w:w="806" w:type="pct"/>
            <w:shd w:val="clear" w:color="auto" w:fill="auto"/>
          </w:tcPr>
          <w:p w14:paraId="3257BA69" w14:textId="3E4F6523" w:rsidR="00736F91" w:rsidRPr="008B029F" w:rsidRDefault="00736F91" w:rsidP="00126976">
            <w:pPr>
              <w:pStyle w:val="TableCenter"/>
              <w:rPr>
                <w:lang w:val="en-AU"/>
              </w:rPr>
            </w:pPr>
            <w:r w:rsidRPr="008B029F">
              <w:rPr>
                <w:lang w:val="en-AU"/>
              </w:rPr>
              <w:t>25</w:t>
            </w:r>
          </w:p>
        </w:tc>
        <w:tc>
          <w:tcPr>
            <w:tcW w:w="815" w:type="pct"/>
            <w:shd w:val="clear" w:color="auto" w:fill="auto"/>
          </w:tcPr>
          <w:p w14:paraId="6A9713AD" w14:textId="05C75747" w:rsidR="00736F91" w:rsidRPr="008B029F" w:rsidRDefault="00736F91" w:rsidP="00126976">
            <w:pPr>
              <w:pStyle w:val="TableCenter"/>
              <w:rPr>
                <w:lang w:val="en-AU"/>
              </w:rPr>
            </w:pPr>
            <w:r w:rsidRPr="008B029F">
              <w:rPr>
                <w:lang w:val="en-AU"/>
              </w:rPr>
              <w:t>3.0</w:t>
            </w:r>
          </w:p>
        </w:tc>
      </w:tr>
      <w:tr w:rsidR="00736F91" w:rsidRPr="008B029F" w14:paraId="22152AEB" w14:textId="681FFD6A" w:rsidTr="00036E78">
        <w:tc>
          <w:tcPr>
            <w:tcW w:w="1693" w:type="pct"/>
            <w:shd w:val="clear" w:color="auto" w:fill="auto"/>
          </w:tcPr>
          <w:p w14:paraId="2381E55E" w14:textId="4C7501E7" w:rsidR="00736F91" w:rsidRPr="008B029F" w:rsidRDefault="00736F91" w:rsidP="00126976">
            <w:pPr>
              <w:pStyle w:val="TableCenter"/>
              <w:jc w:val="left"/>
              <w:rPr>
                <w:lang w:val="en-AU"/>
              </w:rPr>
            </w:pPr>
            <w:r w:rsidRPr="008B029F">
              <w:rPr>
                <w:lang w:val="en-AU"/>
              </w:rPr>
              <w:t>Dyspn</w:t>
            </w:r>
            <w:r w:rsidR="00DD385A" w:rsidRPr="008B029F">
              <w:rPr>
                <w:lang w:val="en-AU"/>
              </w:rPr>
              <w:t>o</w:t>
            </w:r>
            <w:r w:rsidRPr="008B029F">
              <w:rPr>
                <w:lang w:val="en-AU"/>
              </w:rPr>
              <w:t>ea</w:t>
            </w:r>
            <w:r w:rsidRPr="008B029F">
              <w:rPr>
                <w:vertAlign w:val="superscript"/>
                <w:lang w:val="en-AU"/>
              </w:rPr>
              <w:t>c</w:t>
            </w:r>
          </w:p>
        </w:tc>
        <w:tc>
          <w:tcPr>
            <w:tcW w:w="881" w:type="pct"/>
            <w:shd w:val="clear" w:color="auto" w:fill="auto"/>
          </w:tcPr>
          <w:p w14:paraId="4948FC92" w14:textId="2EEF3C26" w:rsidR="00736F91" w:rsidRPr="008B029F" w:rsidRDefault="00736F91" w:rsidP="00126976">
            <w:pPr>
              <w:pStyle w:val="TableCenter"/>
              <w:rPr>
                <w:lang w:val="en-AU"/>
              </w:rPr>
            </w:pPr>
            <w:r w:rsidRPr="008B029F">
              <w:rPr>
                <w:lang w:val="en-AU"/>
              </w:rPr>
              <w:t>25</w:t>
            </w:r>
          </w:p>
        </w:tc>
        <w:tc>
          <w:tcPr>
            <w:tcW w:w="805" w:type="pct"/>
            <w:shd w:val="clear" w:color="auto" w:fill="auto"/>
          </w:tcPr>
          <w:p w14:paraId="100E5A70" w14:textId="6DE58F47" w:rsidR="00736F91" w:rsidRPr="008B029F" w:rsidRDefault="00736F91" w:rsidP="00126976">
            <w:pPr>
              <w:pStyle w:val="TableCenter"/>
              <w:rPr>
                <w:lang w:val="en-AU"/>
              </w:rPr>
            </w:pPr>
            <w:r w:rsidRPr="008B029F">
              <w:rPr>
                <w:lang w:val="en-AU"/>
              </w:rPr>
              <w:t>1.5</w:t>
            </w:r>
          </w:p>
        </w:tc>
        <w:tc>
          <w:tcPr>
            <w:tcW w:w="806" w:type="pct"/>
            <w:shd w:val="clear" w:color="auto" w:fill="auto"/>
          </w:tcPr>
          <w:p w14:paraId="11B035A9" w14:textId="651CDC63" w:rsidR="00736F91" w:rsidRPr="008B029F" w:rsidRDefault="00736F91" w:rsidP="00126976">
            <w:pPr>
              <w:pStyle w:val="TableCenter"/>
              <w:rPr>
                <w:lang w:val="en-AU"/>
              </w:rPr>
            </w:pPr>
            <w:r w:rsidRPr="008B029F">
              <w:rPr>
                <w:lang w:val="en-AU"/>
              </w:rPr>
              <w:t>25</w:t>
            </w:r>
          </w:p>
        </w:tc>
        <w:tc>
          <w:tcPr>
            <w:tcW w:w="815" w:type="pct"/>
            <w:shd w:val="clear" w:color="auto" w:fill="auto"/>
          </w:tcPr>
          <w:p w14:paraId="30074600" w14:textId="672095CE" w:rsidR="00736F91" w:rsidRPr="008B029F" w:rsidRDefault="00736F91" w:rsidP="00126976">
            <w:pPr>
              <w:pStyle w:val="TableCenter"/>
              <w:rPr>
                <w:lang w:val="en-AU"/>
              </w:rPr>
            </w:pPr>
            <w:r w:rsidRPr="008B029F">
              <w:rPr>
                <w:lang w:val="en-AU"/>
              </w:rPr>
              <w:t>2.6</w:t>
            </w:r>
          </w:p>
        </w:tc>
      </w:tr>
      <w:tr w:rsidR="00736F91" w:rsidRPr="008B029F" w14:paraId="54D105E3" w14:textId="6DD43089" w:rsidTr="00FB0582">
        <w:tc>
          <w:tcPr>
            <w:tcW w:w="5000" w:type="pct"/>
            <w:gridSpan w:val="5"/>
            <w:shd w:val="clear" w:color="auto" w:fill="auto"/>
          </w:tcPr>
          <w:p w14:paraId="211C46B3" w14:textId="10BAEAF3" w:rsidR="00736F91" w:rsidRPr="008B029F" w:rsidRDefault="00736F91" w:rsidP="00126976">
            <w:pPr>
              <w:pStyle w:val="TableCenter"/>
              <w:jc w:val="left"/>
              <w:rPr>
                <w:b/>
                <w:lang w:val="en-AU"/>
              </w:rPr>
            </w:pPr>
            <w:r w:rsidRPr="008B029F">
              <w:rPr>
                <w:b/>
                <w:lang w:val="en-AU"/>
              </w:rPr>
              <w:t xml:space="preserve">Gastrointestinal </w:t>
            </w:r>
            <w:r w:rsidR="00FC363F" w:rsidRPr="008B029F">
              <w:rPr>
                <w:b/>
                <w:lang w:val="en-AU"/>
              </w:rPr>
              <w:t>d</w:t>
            </w:r>
            <w:r w:rsidRPr="008B029F">
              <w:rPr>
                <w:b/>
                <w:lang w:val="en-AU"/>
              </w:rPr>
              <w:t>isorders</w:t>
            </w:r>
          </w:p>
        </w:tc>
      </w:tr>
      <w:tr w:rsidR="00736F91" w:rsidRPr="008B029F" w14:paraId="1C032CE2" w14:textId="2626175A" w:rsidTr="008D7258">
        <w:tc>
          <w:tcPr>
            <w:tcW w:w="1693" w:type="pct"/>
            <w:shd w:val="clear" w:color="auto" w:fill="auto"/>
          </w:tcPr>
          <w:p w14:paraId="71DBAC87" w14:textId="3D323716" w:rsidR="00736F91" w:rsidRPr="008B029F" w:rsidRDefault="00736F91" w:rsidP="00126976">
            <w:pPr>
              <w:pStyle w:val="TableCenter"/>
              <w:jc w:val="left"/>
              <w:rPr>
                <w:lang w:val="en-AU"/>
              </w:rPr>
            </w:pPr>
            <w:r w:rsidRPr="008B029F">
              <w:rPr>
                <w:lang w:val="en-AU"/>
              </w:rPr>
              <w:t>Diarrh</w:t>
            </w:r>
            <w:r w:rsidR="00FC363F" w:rsidRPr="008B029F">
              <w:rPr>
                <w:lang w:val="en-AU"/>
              </w:rPr>
              <w:t>o</w:t>
            </w:r>
            <w:r w:rsidRPr="008B029F">
              <w:rPr>
                <w:lang w:val="en-AU"/>
              </w:rPr>
              <w:t>ea</w:t>
            </w:r>
          </w:p>
        </w:tc>
        <w:tc>
          <w:tcPr>
            <w:tcW w:w="881" w:type="pct"/>
            <w:shd w:val="clear" w:color="auto" w:fill="auto"/>
          </w:tcPr>
          <w:p w14:paraId="1376B9CC" w14:textId="7ED52E6F" w:rsidR="00736F91" w:rsidRPr="008B029F" w:rsidRDefault="00736F91" w:rsidP="00126976">
            <w:pPr>
              <w:pStyle w:val="TableCenter"/>
              <w:rPr>
                <w:lang w:val="en-AU"/>
              </w:rPr>
            </w:pPr>
            <w:r w:rsidRPr="008B029F">
              <w:rPr>
                <w:lang w:val="en-AU"/>
              </w:rPr>
              <w:t>18</w:t>
            </w:r>
          </w:p>
        </w:tc>
        <w:tc>
          <w:tcPr>
            <w:tcW w:w="805" w:type="pct"/>
            <w:shd w:val="clear" w:color="auto" w:fill="auto"/>
          </w:tcPr>
          <w:p w14:paraId="4CC2793C" w14:textId="246AAED3" w:rsidR="00736F91" w:rsidRPr="008B029F" w:rsidRDefault="00736F91" w:rsidP="00126976">
            <w:pPr>
              <w:pStyle w:val="TableCenter"/>
              <w:rPr>
                <w:lang w:val="en-AU"/>
              </w:rPr>
            </w:pPr>
            <w:r w:rsidRPr="008B029F">
              <w:rPr>
                <w:lang w:val="en-AU"/>
              </w:rPr>
              <w:t>0.6</w:t>
            </w:r>
          </w:p>
        </w:tc>
        <w:tc>
          <w:tcPr>
            <w:tcW w:w="806" w:type="pct"/>
            <w:shd w:val="clear" w:color="auto" w:fill="auto"/>
          </w:tcPr>
          <w:p w14:paraId="5BB1E07E" w14:textId="3E252268" w:rsidR="00736F91" w:rsidRPr="008B029F" w:rsidRDefault="00736F91" w:rsidP="00126976">
            <w:pPr>
              <w:pStyle w:val="TableCenter"/>
              <w:rPr>
                <w:lang w:val="en-AU"/>
              </w:rPr>
            </w:pPr>
            <w:r w:rsidRPr="008B029F">
              <w:rPr>
                <w:lang w:val="en-AU"/>
              </w:rPr>
              <w:t>19</w:t>
            </w:r>
          </w:p>
        </w:tc>
        <w:tc>
          <w:tcPr>
            <w:tcW w:w="815" w:type="pct"/>
            <w:shd w:val="clear" w:color="auto" w:fill="auto"/>
          </w:tcPr>
          <w:p w14:paraId="51FE189D" w14:textId="3E999CED" w:rsidR="00736F91" w:rsidRPr="008B029F" w:rsidRDefault="00736F91" w:rsidP="00126976">
            <w:pPr>
              <w:pStyle w:val="TableCenter"/>
              <w:rPr>
                <w:lang w:val="en-AU"/>
              </w:rPr>
            </w:pPr>
            <w:r w:rsidRPr="008B029F">
              <w:rPr>
                <w:lang w:val="en-AU"/>
              </w:rPr>
              <w:t>1.3</w:t>
            </w:r>
          </w:p>
        </w:tc>
      </w:tr>
      <w:tr w:rsidR="00736F91" w:rsidRPr="008B029F" w14:paraId="375ADF5D" w14:textId="619A0B17" w:rsidTr="008D7258">
        <w:tc>
          <w:tcPr>
            <w:tcW w:w="1693" w:type="pct"/>
            <w:shd w:val="clear" w:color="auto" w:fill="auto"/>
          </w:tcPr>
          <w:p w14:paraId="603FB6F9" w14:textId="20007F10" w:rsidR="00736F91" w:rsidRDefault="00736F91" w:rsidP="00126976">
            <w:pPr>
              <w:pStyle w:val="TableCenter"/>
              <w:jc w:val="left"/>
              <w:rPr>
                <w:vertAlign w:val="superscript"/>
                <w:lang w:val="en-AU"/>
              </w:rPr>
            </w:pPr>
            <w:r w:rsidRPr="008B029F">
              <w:rPr>
                <w:lang w:val="en-AU"/>
              </w:rPr>
              <w:t>Abdominal pain</w:t>
            </w:r>
            <w:r w:rsidR="00DA15C8">
              <w:rPr>
                <w:lang w:val="en-AU"/>
              </w:rPr>
              <w:t xml:space="preserve"> </w:t>
            </w:r>
            <w:r w:rsidRPr="008B029F">
              <w:rPr>
                <w:vertAlign w:val="superscript"/>
                <w:lang w:val="en-AU"/>
              </w:rPr>
              <w:t>d</w:t>
            </w:r>
          </w:p>
          <w:p w14:paraId="40DD9884" w14:textId="7D4F24B2" w:rsidR="00DA15C8" w:rsidRPr="008B029F" w:rsidRDefault="00DA15C8" w:rsidP="00126976">
            <w:pPr>
              <w:pStyle w:val="TableCenter"/>
              <w:jc w:val="left"/>
              <w:rPr>
                <w:vertAlign w:val="superscript"/>
                <w:lang w:val="en-AU"/>
              </w:rPr>
            </w:pPr>
          </w:p>
        </w:tc>
        <w:tc>
          <w:tcPr>
            <w:tcW w:w="881" w:type="pct"/>
            <w:shd w:val="clear" w:color="auto" w:fill="auto"/>
          </w:tcPr>
          <w:p w14:paraId="1030E58F" w14:textId="6E803071" w:rsidR="00736F91" w:rsidRPr="008B029F" w:rsidRDefault="00736F91" w:rsidP="00126976">
            <w:pPr>
              <w:pStyle w:val="TableCenter"/>
              <w:rPr>
                <w:lang w:val="en-AU"/>
              </w:rPr>
            </w:pPr>
            <w:r w:rsidRPr="008B029F">
              <w:rPr>
                <w:lang w:val="en-AU"/>
              </w:rPr>
              <w:t>10</w:t>
            </w:r>
          </w:p>
        </w:tc>
        <w:tc>
          <w:tcPr>
            <w:tcW w:w="805" w:type="pct"/>
            <w:shd w:val="clear" w:color="auto" w:fill="auto"/>
          </w:tcPr>
          <w:p w14:paraId="3EE35E1D" w14:textId="1C18D747" w:rsidR="00736F91" w:rsidRPr="008B029F" w:rsidRDefault="00736F91" w:rsidP="00126976">
            <w:pPr>
              <w:pStyle w:val="TableCenter"/>
              <w:rPr>
                <w:lang w:val="en-AU"/>
              </w:rPr>
            </w:pPr>
            <w:r w:rsidRPr="008B029F">
              <w:rPr>
                <w:lang w:val="en-AU"/>
              </w:rPr>
              <w:t>0.4</w:t>
            </w:r>
          </w:p>
        </w:tc>
        <w:tc>
          <w:tcPr>
            <w:tcW w:w="806" w:type="pct"/>
            <w:shd w:val="clear" w:color="auto" w:fill="auto"/>
          </w:tcPr>
          <w:p w14:paraId="339E5D19" w14:textId="3A2A620E" w:rsidR="00736F91" w:rsidRPr="008B029F" w:rsidRDefault="00736F91" w:rsidP="00126976">
            <w:pPr>
              <w:pStyle w:val="TableCenter"/>
              <w:rPr>
                <w:lang w:val="en-AU"/>
              </w:rPr>
            </w:pPr>
            <w:r w:rsidRPr="008B029F">
              <w:rPr>
                <w:lang w:val="en-AU"/>
              </w:rPr>
              <w:t>6</w:t>
            </w:r>
          </w:p>
        </w:tc>
        <w:tc>
          <w:tcPr>
            <w:tcW w:w="815" w:type="pct"/>
            <w:shd w:val="clear" w:color="auto" w:fill="auto"/>
          </w:tcPr>
          <w:p w14:paraId="5D664466" w14:textId="3BEBD6BE" w:rsidR="00736F91" w:rsidRPr="008B029F" w:rsidRDefault="00736F91" w:rsidP="00126976">
            <w:pPr>
              <w:pStyle w:val="TableCenter"/>
              <w:rPr>
                <w:lang w:val="en-AU"/>
              </w:rPr>
            </w:pPr>
            <w:r w:rsidRPr="008B029F">
              <w:rPr>
                <w:lang w:val="en-AU"/>
              </w:rPr>
              <w:t>0.4</w:t>
            </w:r>
          </w:p>
        </w:tc>
      </w:tr>
      <w:tr w:rsidR="00736F91" w:rsidRPr="008B029F" w14:paraId="57BE1552" w14:textId="29D69DAE" w:rsidTr="00FB0582">
        <w:tc>
          <w:tcPr>
            <w:tcW w:w="5000" w:type="pct"/>
            <w:gridSpan w:val="5"/>
            <w:shd w:val="clear" w:color="auto" w:fill="auto"/>
          </w:tcPr>
          <w:p w14:paraId="3437B240" w14:textId="0FA436CA" w:rsidR="00736F91" w:rsidRPr="008B029F" w:rsidRDefault="00736F91" w:rsidP="00126976">
            <w:pPr>
              <w:pStyle w:val="TableCenter"/>
              <w:jc w:val="left"/>
              <w:rPr>
                <w:b/>
                <w:lang w:val="en-AU"/>
              </w:rPr>
            </w:pPr>
            <w:r w:rsidRPr="008B029F">
              <w:rPr>
                <w:b/>
                <w:lang w:val="en-AU"/>
              </w:rPr>
              <w:t xml:space="preserve">Endocrine </w:t>
            </w:r>
            <w:r w:rsidR="00FC363F" w:rsidRPr="008B029F">
              <w:rPr>
                <w:b/>
                <w:lang w:val="en-AU"/>
              </w:rPr>
              <w:t>d</w:t>
            </w:r>
            <w:r w:rsidRPr="008B029F">
              <w:rPr>
                <w:b/>
                <w:lang w:val="en-AU"/>
              </w:rPr>
              <w:t>isorders</w:t>
            </w:r>
          </w:p>
        </w:tc>
      </w:tr>
      <w:tr w:rsidR="00736F91" w:rsidRPr="008B029F" w14:paraId="15215158" w14:textId="0C14DD44" w:rsidTr="008D7258">
        <w:tc>
          <w:tcPr>
            <w:tcW w:w="1693" w:type="pct"/>
            <w:shd w:val="clear" w:color="auto" w:fill="auto"/>
          </w:tcPr>
          <w:p w14:paraId="3244BCFD" w14:textId="4E17596F" w:rsidR="00736F91" w:rsidRPr="008B029F" w:rsidRDefault="00736F91" w:rsidP="00126976">
            <w:pPr>
              <w:pStyle w:val="TableCenter"/>
              <w:jc w:val="left"/>
              <w:rPr>
                <w:vertAlign w:val="superscript"/>
                <w:lang w:val="en-AU"/>
              </w:rPr>
            </w:pPr>
            <w:r w:rsidRPr="008B029F">
              <w:rPr>
                <w:lang w:val="en-AU"/>
              </w:rPr>
              <w:t>Hypothyroidism</w:t>
            </w:r>
            <w:r w:rsidR="00DA15C8">
              <w:rPr>
                <w:lang w:val="en-AU"/>
              </w:rPr>
              <w:t xml:space="preserve"> </w:t>
            </w:r>
            <w:r w:rsidRPr="008B029F">
              <w:rPr>
                <w:vertAlign w:val="superscript"/>
                <w:lang w:val="en-AU"/>
              </w:rPr>
              <w:t>e</w:t>
            </w:r>
          </w:p>
        </w:tc>
        <w:tc>
          <w:tcPr>
            <w:tcW w:w="881" w:type="pct"/>
            <w:shd w:val="clear" w:color="auto" w:fill="auto"/>
          </w:tcPr>
          <w:p w14:paraId="1212F35B" w14:textId="51B0F729" w:rsidR="00736F91" w:rsidRPr="008B029F" w:rsidRDefault="00736F91" w:rsidP="00126976">
            <w:pPr>
              <w:pStyle w:val="TableCenter"/>
              <w:rPr>
                <w:lang w:val="en-AU"/>
              </w:rPr>
            </w:pPr>
            <w:r w:rsidRPr="008B029F">
              <w:rPr>
                <w:lang w:val="en-AU"/>
              </w:rPr>
              <w:t>12</w:t>
            </w:r>
          </w:p>
        </w:tc>
        <w:tc>
          <w:tcPr>
            <w:tcW w:w="805" w:type="pct"/>
            <w:shd w:val="clear" w:color="auto" w:fill="auto"/>
          </w:tcPr>
          <w:p w14:paraId="7C0E9B6F" w14:textId="59AAE974" w:rsidR="00736F91" w:rsidRPr="008B029F" w:rsidRDefault="00736F91" w:rsidP="00126976">
            <w:pPr>
              <w:pStyle w:val="TableCenter"/>
              <w:rPr>
                <w:lang w:val="en-AU"/>
              </w:rPr>
            </w:pPr>
            <w:r w:rsidRPr="008B029F">
              <w:rPr>
                <w:lang w:val="en-AU"/>
              </w:rPr>
              <w:t>0.2</w:t>
            </w:r>
          </w:p>
        </w:tc>
        <w:tc>
          <w:tcPr>
            <w:tcW w:w="806" w:type="pct"/>
            <w:shd w:val="clear" w:color="auto" w:fill="auto"/>
          </w:tcPr>
          <w:p w14:paraId="576DE610" w14:textId="610E4D5C" w:rsidR="00736F91" w:rsidRPr="008B029F" w:rsidRDefault="00736F91" w:rsidP="00126976">
            <w:pPr>
              <w:pStyle w:val="TableCenter"/>
              <w:rPr>
                <w:lang w:val="en-AU"/>
              </w:rPr>
            </w:pPr>
            <w:r w:rsidRPr="008B029F">
              <w:rPr>
                <w:lang w:val="en-AU"/>
              </w:rPr>
              <w:t>1.7</w:t>
            </w:r>
          </w:p>
        </w:tc>
        <w:tc>
          <w:tcPr>
            <w:tcW w:w="815" w:type="pct"/>
            <w:shd w:val="clear" w:color="auto" w:fill="auto"/>
          </w:tcPr>
          <w:p w14:paraId="2E1FCDA7" w14:textId="1EFDDD05" w:rsidR="00736F91" w:rsidRPr="008B029F" w:rsidRDefault="00736F91" w:rsidP="00126976">
            <w:pPr>
              <w:pStyle w:val="TableCenter"/>
              <w:rPr>
                <w:lang w:val="en-AU"/>
              </w:rPr>
            </w:pPr>
            <w:r w:rsidRPr="008B029F">
              <w:rPr>
                <w:lang w:val="en-AU"/>
              </w:rPr>
              <w:t>0</w:t>
            </w:r>
          </w:p>
        </w:tc>
      </w:tr>
      <w:tr w:rsidR="00736F91" w:rsidRPr="008B029F" w14:paraId="6A1BB7DC" w14:textId="0EE3DEE3" w:rsidTr="00FB0582">
        <w:tc>
          <w:tcPr>
            <w:tcW w:w="5000" w:type="pct"/>
            <w:gridSpan w:val="5"/>
            <w:shd w:val="clear" w:color="auto" w:fill="auto"/>
          </w:tcPr>
          <w:p w14:paraId="3A3A4FFF" w14:textId="072A3A3B" w:rsidR="00736F91" w:rsidRPr="008B029F" w:rsidRDefault="00736F91" w:rsidP="00126976">
            <w:pPr>
              <w:pStyle w:val="TableCenter"/>
              <w:jc w:val="left"/>
              <w:rPr>
                <w:b/>
                <w:lang w:val="en-AU"/>
              </w:rPr>
            </w:pPr>
            <w:r w:rsidRPr="008B029F">
              <w:rPr>
                <w:b/>
                <w:lang w:val="en-AU"/>
              </w:rPr>
              <w:t xml:space="preserve">Skin and </w:t>
            </w:r>
            <w:r w:rsidR="00FC363F" w:rsidRPr="008B029F">
              <w:rPr>
                <w:b/>
                <w:lang w:val="en-AU"/>
              </w:rPr>
              <w:t>s</w:t>
            </w:r>
            <w:r w:rsidRPr="008B029F">
              <w:rPr>
                <w:b/>
                <w:lang w:val="en-AU"/>
              </w:rPr>
              <w:t xml:space="preserve">ubcutaneous </w:t>
            </w:r>
            <w:r w:rsidR="00FC363F" w:rsidRPr="008B029F">
              <w:rPr>
                <w:b/>
                <w:lang w:val="en-AU"/>
              </w:rPr>
              <w:t>t</w:t>
            </w:r>
            <w:r w:rsidRPr="008B029F">
              <w:rPr>
                <w:b/>
                <w:lang w:val="en-AU"/>
              </w:rPr>
              <w:t xml:space="preserve">issue </w:t>
            </w:r>
            <w:r w:rsidR="00FC363F" w:rsidRPr="008B029F">
              <w:rPr>
                <w:b/>
                <w:lang w:val="en-AU"/>
              </w:rPr>
              <w:t>d</w:t>
            </w:r>
            <w:r w:rsidRPr="008B029F">
              <w:rPr>
                <w:b/>
                <w:lang w:val="en-AU"/>
              </w:rPr>
              <w:t>isorders</w:t>
            </w:r>
          </w:p>
        </w:tc>
      </w:tr>
      <w:tr w:rsidR="00736F91" w:rsidRPr="008B029F" w14:paraId="582DE738" w14:textId="31AEB1CA" w:rsidTr="008D7258">
        <w:tc>
          <w:tcPr>
            <w:tcW w:w="1693" w:type="pct"/>
            <w:shd w:val="clear" w:color="auto" w:fill="auto"/>
          </w:tcPr>
          <w:p w14:paraId="4469650A" w14:textId="76B5D108" w:rsidR="00736F91" w:rsidRPr="008B029F" w:rsidRDefault="00736F91" w:rsidP="00126976">
            <w:pPr>
              <w:pStyle w:val="TableCenter"/>
              <w:jc w:val="left"/>
              <w:rPr>
                <w:vertAlign w:val="superscript"/>
                <w:lang w:val="en-AU"/>
              </w:rPr>
            </w:pPr>
            <w:r w:rsidRPr="008B029F">
              <w:rPr>
                <w:lang w:val="en-AU"/>
              </w:rPr>
              <w:t>Rash</w:t>
            </w:r>
            <w:r w:rsidRPr="008B029F">
              <w:rPr>
                <w:vertAlign w:val="superscript"/>
                <w:lang w:val="en-AU"/>
              </w:rPr>
              <w:t>f</w:t>
            </w:r>
          </w:p>
        </w:tc>
        <w:tc>
          <w:tcPr>
            <w:tcW w:w="881" w:type="pct"/>
            <w:shd w:val="clear" w:color="auto" w:fill="auto"/>
          </w:tcPr>
          <w:p w14:paraId="1A55FC9D" w14:textId="69B165BA" w:rsidR="00736F91" w:rsidRPr="008B029F" w:rsidRDefault="00736F91" w:rsidP="00126976">
            <w:pPr>
              <w:pStyle w:val="TableCenter"/>
              <w:rPr>
                <w:lang w:val="en-AU"/>
              </w:rPr>
            </w:pPr>
            <w:r w:rsidRPr="008B029F">
              <w:rPr>
                <w:lang w:val="en-AU"/>
              </w:rPr>
              <w:t>23</w:t>
            </w:r>
          </w:p>
        </w:tc>
        <w:tc>
          <w:tcPr>
            <w:tcW w:w="805" w:type="pct"/>
            <w:shd w:val="clear" w:color="auto" w:fill="auto"/>
          </w:tcPr>
          <w:p w14:paraId="6FC8CD8D" w14:textId="5716C333" w:rsidR="00736F91" w:rsidRPr="008B029F" w:rsidRDefault="00736F91" w:rsidP="00126976">
            <w:pPr>
              <w:pStyle w:val="TableCenter"/>
              <w:rPr>
                <w:lang w:val="en-AU"/>
              </w:rPr>
            </w:pPr>
            <w:r w:rsidRPr="008B029F">
              <w:rPr>
                <w:lang w:val="en-AU"/>
              </w:rPr>
              <w:t>0.6</w:t>
            </w:r>
          </w:p>
        </w:tc>
        <w:tc>
          <w:tcPr>
            <w:tcW w:w="806" w:type="pct"/>
            <w:shd w:val="clear" w:color="auto" w:fill="auto"/>
          </w:tcPr>
          <w:p w14:paraId="0582951C" w14:textId="27AC6D9B" w:rsidR="00736F91" w:rsidRPr="008B029F" w:rsidRDefault="00736F91" w:rsidP="00126976">
            <w:pPr>
              <w:pStyle w:val="TableCenter"/>
              <w:rPr>
                <w:lang w:val="en-AU"/>
              </w:rPr>
            </w:pPr>
            <w:r w:rsidRPr="008B029F">
              <w:rPr>
                <w:lang w:val="en-AU"/>
              </w:rPr>
              <w:t>12</w:t>
            </w:r>
          </w:p>
        </w:tc>
        <w:tc>
          <w:tcPr>
            <w:tcW w:w="815" w:type="pct"/>
            <w:shd w:val="clear" w:color="auto" w:fill="auto"/>
          </w:tcPr>
          <w:p w14:paraId="7D9F0273" w14:textId="17C9BEF0" w:rsidR="00736F91" w:rsidRPr="008B029F" w:rsidRDefault="00736F91" w:rsidP="00126976">
            <w:pPr>
              <w:pStyle w:val="TableCenter"/>
              <w:rPr>
                <w:lang w:val="en-AU"/>
              </w:rPr>
            </w:pPr>
            <w:r w:rsidRPr="008B029F">
              <w:rPr>
                <w:lang w:val="en-AU"/>
              </w:rPr>
              <w:t>0</w:t>
            </w:r>
          </w:p>
        </w:tc>
      </w:tr>
      <w:tr w:rsidR="00736F91" w:rsidRPr="008B029F" w14:paraId="5000458C" w14:textId="2DCE4CCA" w:rsidTr="008D7258">
        <w:tc>
          <w:tcPr>
            <w:tcW w:w="1693" w:type="pct"/>
            <w:shd w:val="clear" w:color="auto" w:fill="auto"/>
          </w:tcPr>
          <w:p w14:paraId="740C297B" w14:textId="0E3231F7" w:rsidR="00736F91" w:rsidRPr="008B029F" w:rsidRDefault="00736F91" w:rsidP="00126976">
            <w:pPr>
              <w:pStyle w:val="TableCenter"/>
              <w:jc w:val="left"/>
              <w:rPr>
                <w:vertAlign w:val="superscript"/>
                <w:lang w:val="en-AU"/>
              </w:rPr>
            </w:pPr>
            <w:r w:rsidRPr="008B029F">
              <w:rPr>
                <w:lang w:val="en-AU"/>
              </w:rPr>
              <w:t>Pruritus</w:t>
            </w:r>
            <w:r w:rsidRPr="008B029F">
              <w:rPr>
                <w:vertAlign w:val="superscript"/>
                <w:lang w:val="en-AU"/>
              </w:rPr>
              <w:t>g</w:t>
            </w:r>
          </w:p>
        </w:tc>
        <w:tc>
          <w:tcPr>
            <w:tcW w:w="881" w:type="pct"/>
            <w:shd w:val="clear" w:color="auto" w:fill="auto"/>
          </w:tcPr>
          <w:p w14:paraId="11A0413B" w14:textId="215C45FC" w:rsidR="00736F91" w:rsidRPr="008B029F" w:rsidRDefault="00736F91" w:rsidP="00126976">
            <w:pPr>
              <w:pStyle w:val="TableCenter"/>
              <w:rPr>
                <w:lang w:val="en-AU"/>
              </w:rPr>
            </w:pPr>
            <w:r w:rsidRPr="008B029F">
              <w:rPr>
                <w:lang w:val="en-AU"/>
              </w:rPr>
              <w:t>12</w:t>
            </w:r>
          </w:p>
        </w:tc>
        <w:tc>
          <w:tcPr>
            <w:tcW w:w="805" w:type="pct"/>
            <w:shd w:val="clear" w:color="auto" w:fill="auto"/>
          </w:tcPr>
          <w:p w14:paraId="4BF33D7D" w14:textId="4AB44333" w:rsidR="00736F91" w:rsidRPr="008B029F" w:rsidRDefault="00736F91" w:rsidP="00126976">
            <w:pPr>
              <w:pStyle w:val="TableCenter"/>
              <w:rPr>
                <w:lang w:val="en-AU"/>
              </w:rPr>
            </w:pPr>
            <w:r w:rsidRPr="008B029F">
              <w:rPr>
                <w:lang w:val="en-AU"/>
              </w:rPr>
              <w:t>0</w:t>
            </w:r>
          </w:p>
        </w:tc>
        <w:tc>
          <w:tcPr>
            <w:tcW w:w="806" w:type="pct"/>
            <w:shd w:val="clear" w:color="auto" w:fill="auto"/>
          </w:tcPr>
          <w:p w14:paraId="4D8AC212" w14:textId="340162B0" w:rsidR="00736F91" w:rsidRPr="008B029F" w:rsidRDefault="00736F91" w:rsidP="00126976">
            <w:pPr>
              <w:pStyle w:val="TableCenter"/>
              <w:rPr>
                <w:lang w:val="en-AU"/>
              </w:rPr>
            </w:pPr>
            <w:r w:rsidRPr="008B029F">
              <w:rPr>
                <w:lang w:val="en-AU"/>
              </w:rPr>
              <w:t>6</w:t>
            </w:r>
          </w:p>
        </w:tc>
        <w:tc>
          <w:tcPr>
            <w:tcW w:w="815" w:type="pct"/>
            <w:shd w:val="clear" w:color="auto" w:fill="auto"/>
          </w:tcPr>
          <w:p w14:paraId="5F440853" w14:textId="40483962" w:rsidR="00736F91" w:rsidRPr="008B029F" w:rsidRDefault="00736F91" w:rsidP="00126976">
            <w:pPr>
              <w:pStyle w:val="TableCenter"/>
              <w:rPr>
                <w:lang w:val="en-AU"/>
              </w:rPr>
            </w:pPr>
            <w:r w:rsidRPr="008B029F">
              <w:rPr>
                <w:lang w:val="en-AU"/>
              </w:rPr>
              <w:t>0</w:t>
            </w:r>
          </w:p>
        </w:tc>
      </w:tr>
      <w:tr w:rsidR="00736F91" w:rsidRPr="008B029F" w14:paraId="7B3048C3" w14:textId="6AA0D04F" w:rsidTr="00FB0582">
        <w:tc>
          <w:tcPr>
            <w:tcW w:w="5000" w:type="pct"/>
            <w:gridSpan w:val="5"/>
            <w:shd w:val="clear" w:color="auto" w:fill="auto"/>
          </w:tcPr>
          <w:p w14:paraId="3578ED31" w14:textId="08C437E4" w:rsidR="00736F91" w:rsidRPr="008B029F" w:rsidRDefault="00736F91" w:rsidP="00126976">
            <w:pPr>
              <w:pStyle w:val="TableCenter"/>
              <w:jc w:val="left"/>
              <w:rPr>
                <w:b/>
                <w:lang w:val="en-AU"/>
              </w:rPr>
            </w:pPr>
            <w:r w:rsidRPr="008B029F">
              <w:rPr>
                <w:b/>
                <w:lang w:val="en-AU"/>
              </w:rPr>
              <w:t xml:space="preserve">General </w:t>
            </w:r>
            <w:r w:rsidR="00FC363F" w:rsidRPr="008B029F">
              <w:rPr>
                <w:b/>
                <w:lang w:val="en-AU"/>
              </w:rPr>
              <w:t>d</w:t>
            </w:r>
            <w:r w:rsidRPr="008B029F">
              <w:rPr>
                <w:b/>
                <w:lang w:val="en-AU"/>
              </w:rPr>
              <w:t xml:space="preserve">isorders </w:t>
            </w:r>
            <w:r w:rsidR="00FC363F" w:rsidRPr="008B029F">
              <w:rPr>
                <w:b/>
                <w:lang w:val="en-AU"/>
              </w:rPr>
              <w:t>and administration site conditions</w:t>
            </w:r>
          </w:p>
        </w:tc>
      </w:tr>
      <w:tr w:rsidR="00736F91" w:rsidRPr="008B029F" w14:paraId="68FDA5EB" w14:textId="4F7C9127" w:rsidTr="00036E78">
        <w:tc>
          <w:tcPr>
            <w:tcW w:w="1693" w:type="pct"/>
            <w:shd w:val="clear" w:color="auto" w:fill="auto"/>
          </w:tcPr>
          <w:p w14:paraId="06646A7D" w14:textId="4C9AD1CB" w:rsidR="00736F91" w:rsidRPr="008B029F" w:rsidRDefault="00736F91" w:rsidP="00126976">
            <w:pPr>
              <w:pStyle w:val="TableCenter"/>
              <w:jc w:val="left"/>
              <w:rPr>
                <w:lang w:val="en-AU"/>
              </w:rPr>
            </w:pPr>
            <w:r w:rsidRPr="008B029F">
              <w:rPr>
                <w:lang w:val="en-AU"/>
              </w:rPr>
              <w:t>Fatigue</w:t>
            </w:r>
            <w:r w:rsidRPr="008B029F">
              <w:rPr>
                <w:rStyle w:val="CommentReference"/>
                <w:sz w:val="20"/>
                <w:szCs w:val="20"/>
                <w:vertAlign w:val="superscript"/>
                <w:lang w:val="en-AU" w:eastAsia="x-none"/>
              </w:rPr>
              <w:t>h</w:t>
            </w:r>
          </w:p>
        </w:tc>
        <w:tc>
          <w:tcPr>
            <w:tcW w:w="881" w:type="pct"/>
            <w:shd w:val="clear" w:color="auto" w:fill="auto"/>
          </w:tcPr>
          <w:p w14:paraId="5555E472" w14:textId="44EF0D71" w:rsidR="00736F91" w:rsidRPr="008B029F" w:rsidRDefault="00736F91" w:rsidP="00126976">
            <w:pPr>
              <w:pStyle w:val="TableCenter"/>
              <w:rPr>
                <w:lang w:val="en-AU"/>
              </w:rPr>
            </w:pPr>
            <w:r w:rsidRPr="008B029F">
              <w:rPr>
                <w:lang w:val="en-AU"/>
              </w:rPr>
              <w:t>34</w:t>
            </w:r>
          </w:p>
        </w:tc>
        <w:tc>
          <w:tcPr>
            <w:tcW w:w="805" w:type="pct"/>
            <w:shd w:val="clear" w:color="auto" w:fill="auto"/>
          </w:tcPr>
          <w:p w14:paraId="5B29DB9A" w14:textId="31D80408" w:rsidR="00736F91" w:rsidRPr="008B029F" w:rsidRDefault="00736F91" w:rsidP="00126976">
            <w:pPr>
              <w:pStyle w:val="TableCenter"/>
              <w:rPr>
                <w:lang w:val="en-AU"/>
              </w:rPr>
            </w:pPr>
            <w:r w:rsidRPr="008B029F">
              <w:rPr>
                <w:lang w:val="en-AU"/>
              </w:rPr>
              <w:t>0.8</w:t>
            </w:r>
          </w:p>
        </w:tc>
        <w:tc>
          <w:tcPr>
            <w:tcW w:w="806" w:type="pct"/>
            <w:shd w:val="clear" w:color="auto" w:fill="auto"/>
          </w:tcPr>
          <w:p w14:paraId="6FDA9C40" w14:textId="1F80E6B7" w:rsidR="00736F91" w:rsidRPr="008B029F" w:rsidRDefault="00736F91" w:rsidP="00126976">
            <w:pPr>
              <w:pStyle w:val="TableCenter"/>
              <w:rPr>
                <w:lang w:val="en-AU"/>
              </w:rPr>
            </w:pPr>
            <w:r w:rsidRPr="008B029F">
              <w:rPr>
                <w:lang w:val="en-AU"/>
              </w:rPr>
              <w:t>32</w:t>
            </w:r>
          </w:p>
        </w:tc>
        <w:tc>
          <w:tcPr>
            <w:tcW w:w="815" w:type="pct"/>
            <w:shd w:val="clear" w:color="auto" w:fill="auto"/>
          </w:tcPr>
          <w:p w14:paraId="30A94660" w14:textId="6FA6078D" w:rsidR="00736F91" w:rsidRPr="008B029F" w:rsidRDefault="00736F91" w:rsidP="00126976">
            <w:pPr>
              <w:pStyle w:val="TableCenter"/>
              <w:rPr>
                <w:lang w:val="en-AU"/>
              </w:rPr>
            </w:pPr>
            <w:r w:rsidRPr="008B029F">
              <w:rPr>
                <w:lang w:val="en-AU"/>
              </w:rPr>
              <w:t>1.3</w:t>
            </w:r>
          </w:p>
        </w:tc>
      </w:tr>
      <w:tr w:rsidR="00736F91" w:rsidRPr="008B029F" w14:paraId="47305A3B" w14:textId="14839B2B" w:rsidTr="00036E78">
        <w:tc>
          <w:tcPr>
            <w:tcW w:w="1693" w:type="pct"/>
            <w:shd w:val="clear" w:color="auto" w:fill="auto"/>
          </w:tcPr>
          <w:p w14:paraId="65D3086D" w14:textId="443BB720" w:rsidR="00736F91" w:rsidRPr="008B029F" w:rsidRDefault="00736F91" w:rsidP="00126976">
            <w:pPr>
              <w:pStyle w:val="TableCenter"/>
              <w:jc w:val="left"/>
              <w:rPr>
                <w:lang w:val="en-AU"/>
              </w:rPr>
            </w:pPr>
            <w:r w:rsidRPr="008B029F">
              <w:rPr>
                <w:lang w:val="en-AU"/>
              </w:rPr>
              <w:t>Pyrexia</w:t>
            </w:r>
          </w:p>
        </w:tc>
        <w:tc>
          <w:tcPr>
            <w:tcW w:w="881" w:type="pct"/>
            <w:shd w:val="clear" w:color="auto" w:fill="auto"/>
          </w:tcPr>
          <w:p w14:paraId="6BF7388D" w14:textId="413CC451" w:rsidR="00736F91" w:rsidRPr="008B029F" w:rsidRDefault="00736F91" w:rsidP="00126976">
            <w:pPr>
              <w:pStyle w:val="TableCenter"/>
              <w:rPr>
                <w:lang w:val="en-AU"/>
              </w:rPr>
            </w:pPr>
            <w:r w:rsidRPr="008B029F">
              <w:rPr>
                <w:lang w:val="en-AU"/>
              </w:rPr>
              <w:t>15</w:t>
            </w:r>
          </w:p>
        </w:tc>
        <w:tc>
          <w:tcPr>
            <w:tcW w:w="805" w:type="pct"/>
            <w:shd w:val="clear" w:color="auto" w:fill="auto"/>
          </w:tcPr>
          <w:p w14:paraId="06417C33" w14:textId="793719FA" w:rsidR="00736F91" w:rsidRPr="008B029F" w:rsidRDefault="00736F91" w:rsidP="00126976">
            <w:pPr>
              <w:pStyle w:val="TableCenter"/>
              <w:rPr>
                <w:lang w:val="en-AU"/>
              </w:rPr>
            </w:pPr>
            <w:r w:rsidRPr="008B029F">
              <w:rPr>
                <w:lang w:val="en-AU"/>
              </w:rPr>
              <w:t>0.2</w:t>
            </w:r>
          </w:p>
        </w:tc>
        <w:tc>
          <w:tcPr>
            <w:tcW w:w="806" w:type="pct"/>
            <w:shd w:val="clear" w:color="auto" w:fill="auto"/>
          </w:tcPr>
          <w:p w14:paraId="1946777D" w14:textId="7999A160" w:rsidR="00736F91" w:rsidRPr="008B029F" w:rsidRDefault="00736F91" w:rsidP="00126976">
            <w:pPr>
              <w:pStyle w:val="TableCenter"/>
              <w:rPr>
                <w:lang w:val="en-AU"/>
              </w:rPr>
            </w:pPr>
            <w:r w:rsidRPr="008B029F">
              <w:rPr>
                <w:lang w:val="en-AU"/>
              </w:rPr>
              <w:t>9</w:t>
            </w:r>
          </w:p>
        </w:tc>
        <w:tc>
          <w:tcPr>
            <w:tcW w:w="815" w:type="pct"/>
            <w:shd w:val="clear" w:color="auto" w:fill="auto"/>
          </w:tcPr>
          <w:p w14:paraId="3F62AA69" w14:textId="05687CAD" w:rsidR="00736F91" w:rsidRPr="008B029F" w:rsidRDefault="00736F91" w:rsidP="00126976">
            <w:pPr>
              <w:pStyle w:val="TableCenter"/>
              <w:rPr>
                <w:lang w:val="en-AU"/>
              </w:rPr>
            </w:pPr>
            <w:r w:rsidRPr="008B029F">
              <w:rPr>
                <w:lang w:val="en-AU"/>
              </w:rPr>
              <w:t>0</w:t>
            </w:r>
          </w:p>
        </w:tc>
      </w:tr>
      <w:tr w:rsidR="00736F91" w:rsidRPr="008B029F" w14:paraId="69031673" w14:textId="1485B2CA" w:rsidTr="00FB0582">
        <w:tc>
          <w:tcPr>
            <w:tcW w:w="5000" w:type="pct"/>
            <w:gridSpan w:val="5"/>
            <w:shd w:val="clear" w:color="auto" w:fill="auto"/>
          </w:tcPr>
          <w:p w14:paraId="25026C57" w14:textId="33606815" w:rsidR="00736F91" w:rsidRPr="008B029F" w:rsidRDefault="00736F91" w:rsidP="00126976">
            <w:pPr>
              <w:pStyle w:val="TableCenter"/>
              <w:jc w:val="left"/>
              <w:rPr>
                <w:b/>
                <w:lang w:val="en-AU"/>
              </w:rPr>
            </w:pPr>
            <w:r w:rsidRPr="008B029F">
              <w:rPr>
                <w:b/>
                <w:lang w:val="en-AU"/>
              </w:rPr>
              <w:t xml:space="preserve">Infections </w:t>
            </w:r>
          </w:p>
        </w:tc>
      </w:tr>
      <w:tr w:rsidR="00736F91" w:rsidRPr="008B029F" w14:paraId="732DA7D7" w14:textId="7597497A" w:rsidTr="00036E78">
        <w:tc>
          <w:tcPr>
            <w:tcW w:w="1693" w:type="pct"/>
            <w:shd w:val="clear" w:color="auto" w:fill="auto"/>
          </w:tcPr>
          <w:p w14:paraId="3681399B" w14:textId="3A4168FB" w:rsidR="00736F91" w:rsidRPr="008B029F" w:rsidRDefault="00736F91" w:rsidP="00126976">
            <w:pPr>
              <w:pStyle w:val="TableCenter"/>
              <w:jc w:val="left"/>
              <w:rPr>
                <w:lang w:val="en-AU"/>
              </w:rPr>
            </w:pPr>
            <w:r w:rsidRPr="008B029F">
              <w:rPr>
                <w:lang w:val="en-AU"/>
              </w:rPr>
              <w:t>Upper respiratory tract infections</w:t>
            </w:r>
            <w:r w:rsidRPr="008B029F">
              <w:rPr>
                <w:vertAlign w:val="superscript"/>
                <w:lang w:val="en-AU"/>
              </w:rPr>
              <w:t>i</w:t>
            </w:r>
          </w:p>
        </w:tc>
        <w:tc>
          <w:tcPr>
            <w:tcW w:w="881" w:type="pct"/>
            <w:shd w:val="clear" w:color="auto" w:fill="auto"/>
          </w:tcPr>
          <w:p w14:paraId="168BC481" w14:textId="19019CEC" w:rsidR="00736F91" w:rsidRPr="008B029F" w:rsidRDefault="00736F91" w:rsidP="00126976">
            <w:pPr>
              <w:pStyle w:val="TableCenter"/>
              <w:rPr>
                <w:lang w:val="en-AU"/>
              </w:rPr>
            </w:pPr>
            <w:r w:rsidRPr="008B029F">
              <w:rPr>
                <w:lang w:val="en-AU"/>
              </w:rPr>
              <w:t>26</w:t>
            </w:r>
          </w:p>
        </w:tc>
        <w:tc>
          <w:tcPr>
            <w:tcW w:w="805" w:type="pct"/>
            <w:shd w:val="clear" w:color="auto" w:fill="auto"/>
          </w:tcPr>
          <w:p w14:paraId="0AFE5080" w14:textId="5896E337" w:rsidR="00736F91" w:rsidRPr="008B029F" w:rsidRDefault="00736F91" w:rsidP="00126976">
            <w:pPr>
              <w:pStyle w:val="TableCenter"/>
              <w:rPr>
                <w:lang w:val="en-AU"/>
              </w:rPr>
            </w:pPr>
            <w:r w:rsidRPr="008B029F">
              <w:rPr>
                <w:lang w:val="en-AU"/>
              </w:rPr>
              <w:t>0.4</w:t>
            </w:r>
          </w:p>
        </w:tc>
        <w:tc>
          <w:tcPr>
            <w:tcW w:w="806" w:type="pct"/>
            <w:shd w:val="clear" w:color="auto" w:fill="auto"/>
          </w:tcPr>
          <w:p w14:paraId="5962E47D" w14:textId="63ADE734" w:rsidR="00736F91" w:rsidRPr="008B029F" w:rsidRDefault="00736F91" w:rsidP="00126976">
            <w:pPr>
              <w:pStyle w:val="TableCenter"/>
              <w:rPr>
                <w:lang w:val="en-AU"/>
              </w:rPr>
            </w:pPr>
            <w:r w:rsidRPr="008B029F">
              <w:rPr>
                <w:lang w:val="en-AU"/>
              </w:rPr>
              <w:t>19</w:t>
            </w:r>
          </w:p>
        </w:tc>
        <w:tc>
          <w:tcPr>
            <w:tcW w:w="815" w:type="pct"/>
            <w:shd w:val="clear" w:color="auto" w:fill="auto"/>
          </w:tcPr>
          <w:p w14:paraId="41E46CC5" w14:textId="021B8A5A" w:rsidR="00736F91" w:rsidRPr="008B029F" w:rsidRDefault="00736F91" w:rsidP="00126976">
            <w:pPr>
              <w:pStyle w:val="TableCenter"/>
              <w:rPr>
                <w:lang w:val="en-AU"/>
              </w:rPr>
            </w:pPr>
            <w:r w:rsidRPr="008B029F">
              <w:rPr>
                <w:lang w:val="en-AU"/>
              </w:rPr>
              <w:t>0</w:t>
            </w:r>
          </w:p>
        </w:tc>
      </w:tr>
      <w:tr w:rsidR="00736F91" w:rsidRPr="008B029F" w14:paraId="429522D3" w14:textId="71DC7A91" w:rsidTr="00036E78">
        <w:tc>
          <w:tcPr>
            <w:tcW w:w="1693" w:type="pct"/>
            <w:shd w:val="clear" w:color="auto" w:fill="auto"/>
          </w:tcPr>
          <w:p w14:paraId="398CE0FC" w14:textId="2979371C" w:rsidR="00736F91" w:rsidRPr="008B029F" w:rsidRDefault="00736F91" w:rsidP="00126976">
            <w:pPr>
              <w:pStyle w:val="TableCenter"/>
              <w:jc w:val="left"/>
              <w:rPr>
                <w:vertAlign w:val="superscript"/>
                <w:lang w:val="en-AU"/>
              </w:rPr>
            </w:pPr>
            <w:r w:rsidRPr="008B029F">
              <w:rPr>
                <w:lang w:val="en-AU"/>
              </w:rPr>
              <w:t>Pneumonia</w:t>
            </w:r>
            <w:r w:rsidRPr="008B029F">
              <w:rPr>
                <w:vertAlign w:val="superscript"/>
                <w:lang w:val="en-AU"/>
              </w:rPr>
              <w:t>j</w:t>
            </w:r>
          </w:p>
        </w:tc>
        <w:tc>
          <w:tcPr>
            <w:tcW w:w="881" w:type="pct"/>
            <w:shd w:val="clear" w:color="auto" w:fill="auto"/>
          </w:tcPr>
          <w:p w14:paraId="6CA00361" w14:textId="0A2D850C" w:rsidR="00736F91" w:rsidRPr="008B029F" w:rsidRDefault="00736F91" w:rsidP="00126976">
            <w:pPr>
              <w:pStyle w:val="TableCenter"/>
              <w:rPr>
                <w:lang w:val="en-AU"/>
              </w:rPr>
            </w:pPr>
            <w:r w:rsidRPr="008B029F">
              <w:rPr>
                <w:lang w:val="en-AU"/>
              </w:rPr>
              <w:t>17</w:t>
            </w:r>
          </w:p>
        </w:tc>
        <w:tc>
          <w:tcPr>
            <w:tcW w:w="805" w:type="pct"/>
            <w:shd w:val="clear" w:color="auto" w:fill="auto"/>
          </w:tcPr>
          <w:p w14:paraId="51AE864A" w14:textId="6BA3A31E" w:rsidR="00736F91" w:rsidRPr="008B029F" w:rsidRDefault="00736F91" w:rsidP="00126976">
            <w:pPr>
              <w:pStyle w:val="TableCenter"/>
              <w:rPr>
                <w:lang w:val="en-AU"/>
              </w:rPr>
            </w:pPr>
            <w:r w:rsidRPr="008B029F">
              <w:rPr>
                <w:lang w:val="en-AU"/>
              </w:rPr>
              <w:t>7</w:t>
            </w:r>
          </w:p>
        </w:tc>
        <w:tc>
          <w:tcPr>
            <w:tcW w:w="806" w:type="pct"/>
            <w:shd w:val="clear" w:color="auto" w:fill="auto"/>
          </w:tcPr>
          <w:p w14:paraId="2F62AE02" w14:textId="75F2F966" w:rsidR="00736F91" w:rsidRPr="008B029F" w:rsidRDefault="00736F91" w:rsidP="00126976">
            <w:pPr>
              <w:pStyle w:val="TableCenter"/>
              <w:rPr>
                <w:lang w:val="en-AU"/>
              </w:rPr>
            </w:pPr>
            <w:r w:rsidRPr="008B029F">
              <w:rPr>
                <w:lang w:val="en-AU"/>
              </w:rPr>
              <w:t>12</w:t>
            </w:r>
          </w:p>
        </w:tc>
        <w:tc>
          <w:tcPr>
            <w:tcW w:w="815" w:type="pct"/>
            <w:shd w:val="clear" w:color="auto" w:fill="auto"/>
          </w:tcPr>
          <w:p w14:paraId="77BA567E" w14:textId="6D3DAB2B" w:rsidR="00736F91" w:rsidRPr="008B029F" w:rsidRDefault="00736F91" w:rsidP="00126976">
            <w:pPr>
              <w:pStyle w:val="TableCenter"/>
              <w:rPr>
                <w:lang w:val="en-AU"/>
              </w:rPr>
            </w:pPr>
            <w:r w:rsidRPr="008B029F">
              <w:rPr>
                <w:lang w:val="en-AU"/>
              </w:rPr>
              <w:t>6</w:t>
            </w:r>
          </w:p>
        </w:tc>
      </w:tr>
    </w:tbl>
    <w:p w14:paraId="6E65C6A6" w14:textId="66909E88" w:rsidR="00736F91" w:rsidRPr="008B029F" w:rsidRDefault="00736F91" w:rsidP="00F9458F">
      <w:pPr>
        <w:pStyle w:val="TableFootnoteLetter"/>
        <w:numPr>
          <w:ilvl w:val="0"/>
          <w:numId w:val="31"/>
        </w:numPr>
        <w:rPr>
          <w:lang w:val="en-AU"/>
        </w:rPr>
      </w:pPr>
      <w:r w:rsidRPr="008B029F">
        <w:rPr>
          <w:lang w:val="en-AU"/>
        </w:rPr>
        <w:t xml:space="preserve">The PACIFIC study was not designed to demonstrate statistically significant difference in adverse </w:t>
      </w:r>
      <w:r w:rsidR="002227A5" w:rsidRPr="008B029F">
        <w:rPr>
          <w:lang w:val="en-AU"/>
        </w:rPr>
        <w:t>event</w:t>
      </w:r>
      <w:r w:rsidRPr="008B029F">
        <w:rPr>
          <w:lang w:val="en-AU"/>
        </w:rPr>
        <w:t xml:space="preserve"> rates for IMFINZI, as compared to placebo, for any specific adverse </w:t>
      </w:r>
      <w:r w:rsidR="002227A5" w:rsidRPr="008B029F">
        <w:rPr>
          <w:lang w:val="en-AU"/>
        </w:rPr>
        <w:t>event</w:t>
      </w:r>
      <w:r w:rsidRPr="008B029F">
        <w:rPr>
          <w:lang w:val="en-AU"/>
        </w:rPr>
        <w:t xml:space="preserve"> listed in </w:t>
      </w:r>
      <w:r w:rsidR="00F95FC0" w:rsidRPr="008B029F">
        <w:rPr>
          <w:color w:val="2B579A"/>
          <w:shd w:val="clear" w:color="auto" w:fill="E6E6E6"/>
          <w:lang w:val="en-AU"/>
        </w:rPr>
        <w:fldChar w:fldCharType="begin"/>
      </w:r>
      <w:r w:rsidR="00F95FC0" w:rsidRPr="008B029F">
        <w:rPr>
          <w:lang w:val="en-AU"/>
        </w:rPr>
        <w:instrText xml:space="preserve"> REF _Ref120539736 \h </w:instrText>
      </w:r>
      <w:r w:rsidR="008B029F">
        <w:rPr>
          <w:color w:val="2B579A"/>
          <w:shd w:val="clear" w:color="auto" w:fill="E6E6E6"/>
          <w:lang w:val="en-AU"/>
        </w:rPr>
        <w:instrText xml:space="preserve"> \* MERGEFORMAT </w:instrText>
      </w:r>
      <w:r w:rsidR="00F95FC0" w:rsidRPr="008B029F">
        <w:rPr>
          <w:color w:val="2B579A"/>
          <w:shd w:val="clear" w:color="auto" w:fill="E6E6E6"/>
          <w:lang w:val="en-AU"/>
        </w:rPr>
      </w:r>
      <w:r w:rsidR="00F95FC0"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4</w:t>
      </w:r>
      <w:r w:rsidR="00F95FC0" w:rsidRPr="008B029F">
        <w:rPr>
          <w:color w:val="2B579A"/>
          <w:shd w:val="clear" w:color="auto" w:fill="E6E6E6"/>
          <w:lang w:val="en-AU"/>
        </w:rPr>
        <w:fldChar w:fldCharType="end"/>
      </w:r>
    </w:p>
    <w:p w14:paraId="5182D1E1" w14:textId="1754D656" w:rsidR="00736F91" w:rsidRPr="008B029F" w:rsidRDefault="00736F91" w:rsidP="00F9458F">
      <w:pPr>
        <w:pStyle w:val="TableFootnoteLetter"/>
        <w:rPr>
          <w:lang w:val="en-AU"/>
        </w:rPr>
      </w:pPr>
      <w:r w:rsidRPr="008B029F">
        <w:rPr>
          <w:lang w:val="en-AU"/>
        </w:rPr>
        <w:t>includes acute interstitial pneumonitis, interstitial lung disease, pneumonitis, pulmonary fibrosis</w:t>
      </w:r>
    </w:p>
    <w:p w14:paraId="22BA7D15" w14:textId="2CAF6A99" w:rsidR="00736F91" w:rsidRPr="008B029F" w:rsidRDefault="00736F91" w:rsidP="00F9458F">
      <w:pPr>
        <w:pStyle w:val="TableFootnoteLetter"/>
        <w:rPr>
          <w:rFonts w:eastAsia="SimSun"/>
          <w:lang w:val="en-AU"/>
        </w:rPr>
      </w:pPr>
      <w:r w:rsidRPr="008B029F">
        <w:rPr>
          <w:lang w:val="en-AU"/>
        </w:rPr>
        <w:t xml:space="preserve">includes </w:t>
      </w:r>
      <w:r w:rsidRPr="008B029F">
        <w:rPr>
          <w:rFonts w:eastAsia="SimSun"/>
          <w:lang w:val="en-AU"/>
        </w:rPr>
        <w:t>dyspn</w:t>
      </w:r>
      <w:r w:rsidR="00DD385A" w:rsidRPr="008B029F">
        <w:rPr>
          <w:rFonts w:eastAsia="SimSun"/>
          <w:lang w:val="en-AU"/>
        </w:rPr>
        <w:t>o</w:t>
      </w:r>
      <w:r w:rsidRPr="008B029F">
        <w:rPr>
          <w:rFonts w:eastAsia="SimSun"/>
          <w:lang w:val="en-AU"/>
        </w:rPr>
        <w:t>ea and exertional dyspn</w:t>
      </w:r>
      <w:r w:rsidR="00DD385A" w:rsidRPr="008B029F">
        <w:rPr>
          <w:rFonts w:eastAsia="SimSun"/>
          <w:lang w:val="en-AU"/>
        </w:rPr>
        <w:t>o</w:t>
      </w:r>
      <w:r w:rsidRPr="008B029F">
        <w:rPr>
          <w:rFonts w:eastAsia="SimSun"/>
          <w:lang w:val="en-AU"/>
        </w:rPr>
        <w:t>ea</w:t>
      </w:r>
    </w:p>
    <w:p w14:paraId="675D4806" w14:textId="609942C0" w:rsidR="00736F91" w:rsidRPr="008B029F" w:rsidRDefault="00736F91" w:rsidP="00F9458F">
      <w:pPr>
        <w:pStyle w:val="TableFootnoteLetter"/>
        <w:rPr>
          <w:lang w:val="en-AU"/>
        </w:rPr>
      </w:pPr>
      <w:r w:rsidRPr="008B029F">
        <w:rPr>
          <w:lang w:val="en-AU"/>
        </w:rPr>
        <w:t>includes abdominal pain, abdominal pain lower, abdominal pain upper, and flank pain</w:t>
      </w:r>
    </w:p>
    <w:p w14:paraId="00A0ED45" w14:textId="72A2B16A" w:rsidR="00736F91" w:rsidRPr="008B029F" w:rsidRDefault="00736F91" w:rsidP="00F9458F">
      <w:pPr>
        <w:pStyle w:val="TableFootnoteLetter"/>
        <w:rPr>
          <w:lang w:val="en-AU"/>
        </w:rPr>
      </w:pPr>
      <w:r w:rsidRPr="008B029F">
        <w:rPr>
          <w:lang w:val="en-AU"/>
        </w:rPr>
        <w:lastRenderedPageBreak/>
        <w:t xml:space="preserve">includes autoimmune hypothyroidism and hypothyroidism </w:t>
      </w:r>
    </w:p>
    <w:p w14:paraId="38BB1070" w14:textId="667D1E66" w:rsidR="00736F91" w:rsidRPr="008B029F" w:rsidRDefault="00736F91" w:rsidP="00F9458F">
      <w:pPr>
        <w:pStyle w:val="TableFootnoteLetter"/>
        <w:rPr>
          <w:lang w:val="en-AU"/>
        </w:rPr>
      </w:pPr>
      <w:r w:rsidRPr="008B029F">
        <w:rPr>
          <w:lang w:val="en-AU"/>
        </w:rPr>
        <w:t>includes rash erythematous, rash generalized, rash macular, rash maculopapular, rash papular, rash pruritic, rash pustular, erythema,</w:t>
      </w:r>
      <w:r w:rsidR="0054483D" w:rsidRPr="008B029F">
        <w:rPr>
          <w:lang w:val="en-AU"/>
        </w:rPr>
        <w:t xml:space="preserve"> </w:t>
      </w:r>
      <w:r w:rsidRPr="008B029F">
        <w:rPr>
          <w:lang w:val="en-AU"/>
        </w:rPr>
        <w:t>eczema, rash and dermatitis</w:t>
      </w:r>
    </w:p>
    <w:p w14:paraId="7B725E25" w14:textId="381095C1" w:rsidR="00736F91" w:rsidRPr="008B029F" w:rsidRDefault="00736F91" w:rsidP="00F9458F">
      <w:pPr>
        <w:pStyle w:val="TableFootnoteLetter"/>
        <w:rPr>
          <w:lang w:val="en-AU"/>
        </w:rPr>
      </w:pPr>
      <w:r w:rsidRPr="008B029F">
        <w:rPr>
          <w:lang w:val="en-AU"/>
        </w:rPr>
        <w:t>includes pruritus generalized and pruritus</w:t>
      </w:r>
    </w:p>
    <w:p w14:paraId="6D92A55A" w14:textId="690428A9" w:rsidR="00736F91" w:rsidRPr="008B029F" w:rsidRDefault="00736F91" w:rsidP="00F9458F">
      <w:pPr>
        <w:pStyle w:val="TableFootnoteLetter"/>
        <w:rPr>
          <w:lang w:val="en-AU"/>
        </w:rPr>
      </w:pPr>
      <w:r w:rsidRPr="008B029F">
        <w:rPr>
          <w:rFonts w:eastAsia="SimSun"/>
          <w:lang w:val="en-AU"/>
        </w:rPr>
        <w:t>includes asthenia and fatigue</w:t>
      </w:r>
    </w:p>
    <w:p w14:paraId="2DDE6DE6" w14:textId="5F98D407" w:rsidR="00736F91" w:rsidRPr="008B029F" w:rsidRDefault="00736F91" w:rsidP="00F9458F">
      <w:pPr>
        <w:pStyle w:val="TableFootnoteLetter"/>
        <w:rPr>
          <w:lang w:val="en-AU"/>
        </w:rPr>
      </w:pPr>
      <w:r w:rsidRPr="008B029F">
        <w:rPr>
          <w:lang w:val="en-AU"/>
        </w:rPr>
        <w:t>includes laryngitis, nasopharyngitis, peritonsillar abscess, pharyngitis, rhinitis, sinusitis, tonsillitis, tracheobronchitis, and upper respiratory tract infection</w:t>
      </w:r>
    </w:p>
    <w:p w14:paraId="60A4E101" w14:textId="050AFB52" w:rsidR="003A5699" w:rsidRPr="008B029F" w:rsidRDefault="00736F91" w:rsidP="00F9458F">
      <w:pPr>
        <w:pStyle w:val="TableFootnoteLetter"/>
        <w:rPr>
          <w:lang w:val="en-AU"/>
        </w:rPr>
      </w:pPr>
      <w:r w:rsidRPr="008B029F">
        <w:rPr>
          <w:lang w:val="en-AU"/>
        </w:rPr>
        <w:t xml:space="preserve">includes lung infection, pneumocystis jirovecii pneumonia, pneumonia, pneumonia adenoviral, pneumonia bacterial, pneumonia cytomegaloviral, </w:t>
      </w:r>
      <w:r w:rsidRPr="008B029F">
        <w:rPr>
          <w:i/>
          <w:lang w:val="en-AU"/>
        </w:rPr>
        <w:t>pneumonia haemophilus</w:t>
      </w:r>
      <w:r w:rsidRPr="008B029F">
        <w:rPr>
          <w:lang w:val="en-AU"/>
        </w:rPr>
        <w:t xml:space="preserve">, </w:t>
      </w:r>
      <w:r w:rsidRPr="008B029F">
        <w:rPr>
          <w:i/>
          <w:lang w:val="en-AU"/>
        </w:rPr>
        <w:t>pneumonia klebsiella</w:t>
      </w:r>
      <w:r w:rsidRPr="008B029F">
        <w:rPr>
          <w:lang w:val="en-AU"/>
        </w:rPr>
        <w:t>, pneumonia necrotising, pneumonia pneumococcal, and pneumonia streptococcal</w:t>
      </w:r>
    </w:p>
    <w:p w14:paraId="2382C469" w14:textId="77777777" w:rsidR="003A5699" w:rsidRPr="008B029F" w:rsidRDefault="003A5699" w:rsidP="007D23F7">
      <w:pPr>
        <w:pStyle w:val="Paragraph"/>
        <w:rPr>
          <w:lang w:val="en-AU"/>
        </w:rPr>
      </w:pPr>
    </w:p>
    <w:p w14:paraId="7A15E1F5" w14:textId="6AD0A05C" w:rsidR="00174137" w:rsidRPr="008B029F" w:rsidRDefault="00736F91" w:rsidP="00174137">
      <w:pPr>
        <w:pStyle w:val="Paragraph"/>
        <w:rPr>
          <w:lang w:val="en-AU"/>
        </w:rPr>
      </w:pPr>
      <w:r w:rsidRPr="008B029F">
        <w:rPr>
          <w:lang w:val="en-AU"/>
        </w:rPr>
        <w:t xml:space="preserve">Other adverse </w:t>
      </w:r>
      <w:r w:rsidR="002227A5" w:rsidRPr="008B029F">
        <w:rPr>
          <w:lang w:val="en-AU"/>
        </w:rPr>
        <w:t>events</w:t>
      </w:r>
      <w:r w:rsidRPr="008B029F">
        <w:rPr>
          <w:lang w:val="en-AU"/>
        </w:rPr>
        <w:t xml:space="preserve"> occurring in less than 10% of patients treated with IMFINZI were dysphonia, dysuria, night sweats, peripheral </w:t>
      </w:r>
      <w:r w:rsidR="00812425" w:rsidRPr="008B029F">
        <w:rPr>
          <w:lang w:val="en-AU"/>
        </w:rPr>
        <w:t>o</w:t>
      </w:r>
      <w:r w:rsidRPr="008B029F">
        <w:rPr>
          <w:lang w:val="en-AU"/>
        </w:rPr>
        <w:t>edema, and increased susceptibility to infections.</w:t>
      </w:r>
    </w:p>
    <w:p w14:paraId="0F356875" w14:textId="6B3B4F64" w:rsidR="00FC3F0D" w:rsidRPr="008B029F" w:rsidRDefault="006E6B84" w:rsidP="00126976">
      <w:pPr>
        <w:pStyle w:val="Heading4Unnumbered"/>
        <w:rPr>
          <w:lang w:val="en-AU"/>
        </w:rPr>
      </w:pPr>
      <w:r w:rsidRPr="008B029F">
        <w:rPr>
          <w:lang w:val="en-AU"/>
        </w:rPr>
        <w:t xml:space="preserve">Small </w:t>
      </w:r>
      <w:r w:rsidR="00FC3F0D" w:rsidRPr="008B029F">
        <w:rPr>
          <w:lang w:val="en-AU"/>
        </w:rPr>
        <w:t>c</w:t>
      </w:r>
      <w:r w:rsidRPr="008B029F">
        <w:rPr>
          <w:lang w:val="en-AU"/>
        </w:rPr>
        <w:t xml:space="preserve">ell </w:t>
      </w:r>
      <w:r w:rsidR="00FC3F0D" w:rsidRPr="008B029F">
        <w:rPr>
          <w:lang w:val="en-AU"/>
        </w:rPr>
        <w:t>l</w:t>
      </w:r>
      <w:r w:rsidRPr="008B029F">
        <w:rPr>
          <w:lang w:val="en-AU"/>
        </w:rPr>
        <w:t xml:space="preserve">ung </w:t>
      </w:r>
      <w:r w:rsidR="00FC3F0D" w:rsidRPr="008B029F">
        <w:rPr>
          <w:lang w:val="en-AU"/>
        </w:rPr>
        <w:t>c</w:t>
      </w:r>
      <w:r w:rsidRPr="008B029F">
        <w:rPr>
          <w:lang w:val="en-AU"/>
        </w:rPr>
        <w:t>ancer</w:t>
      </w:r>
      <w:r w:rsidR="003C27E7" w:rsidRPr="008B029F">
        <w:rPr>
          <w:lang w:val="en-AU"/>
        </w:rPr>
        <w:t xml:space="preserve"> (SCLC)</w:t>
      </w:r>
    </w:p>
    <w:p w14:paraId="7CA1F55E" w14:textId="04A6A80A" w:rsidR="006E6B84" w:rsidRPr="008B029F" w:rsidRDefault="003C27E7" w:rsidP="00FC3F0D">
      <w:pPr>
        <w:pStyle w:val="Heading5unnumbered"/>
        <w:rPr>
          <w:lang w:val="en-AU"/>
        </w:rPr>
      </w:pPr>
      <w:r w:rsidRPr="008B029F">
        <w:rPr>
          <w:lang w:val="en-AU"/>
        </w:rPr>
        <w:t xml:space="preserve">CASPIAN </w:t>
      </w:r>
      <w:r w:rsidR="00FC3F0D" w:rsidRPr="008B029F">
        <w:rPr>
          <w:lang w:val="en-AU"/>
        </w:rPr>
        <w:t>s</w:t>
      </w:r>
      <w:r w:rsidRPr="008B029F">
        <w:rPr>
          <w:lang w:val="en-AU"/>
        </w:rPr>
        <w:t>tudy</w:t>
      </w:r>
    </w:p>
    <w:p w14:paraId="6F536919" w14:textId="4EEBC2FF" w:rsidR="003C27E7" w:rsidRPr="008B029F" w:rsidRDefault="003C27E7" w:rsidP="003C27E7">
      <w:pPr>
        <w:pStyle w:val="Paragraph"/>
        <w:rPr>
          <w:lang w:val="en-AU"/>
        </w:rPr>
      </w:pPr>
      <w:r w:rsidRPr="008B029F">
        <w:rPr>
          <w:lang w:val="en-AU"/>
        </w:rPr>
        <w:t xml:space="preserve">The safety of IMFINZI in combination with etoposide and either carboplatin or cisplatin in previously untreated ES-SCLC was evaluated in CASPIAN, a </w:t>
      </w:r>
      <w:r w:rsidR="00D4323C" w:rsidRPr="008B029F">
        <w:rPr>
          <w:lang w:val="en-AU"/>
        </w:rPr>
        <w:t>randomised</w:t>
      </w:r>
      <w:r w:rsidRPr="008B029F">
        <w:rPr>
          <w:lang w:val="en-AU"/>
        </w:rPr>
        <w:t xml:space="preserve">, open-label, </w:t>
      </w:r>
      <w:r w:rsidR="00E46175" w:rsidRPr="008B029F">
        <w:rPr>
          <w:lang w:val="en-AU"/>
        </w:rPr>
        <w:t>multicentre</w:t>
      </w:r>
      <w:r w:rsidRPr="008B029F">
        <w:rPr>
          <w:lang w:val="en-AU"/>
        </w:rPr>
        <w:t xml:space="preserve">, active-controlled trial. A total of 265 patients received IMFINZI 1500 mg in combination with chemotherapy every 3 weeks for 4 cycles followed by IMFINZI 1500 mg every 4 weeks until disease progression or unacceptable toxicity. The trial excluded patients with active or prior autoimmune disease or with medical conditions that required systemic corticosteroids or immunosuppressants </w:t>
      </w:r>
      <w:r w:rsidR="00126976" w:rsidRPr="008B029F">
        <w:rPr>
          <w:lang w:val="en-AU"/>
        </w:rPr>
        <w:t>(</w:t>
      </w:r>
      <w:r w:rsidRPr="008B029F">
        <w:rPr>
          <w:lang w:val="en-AU"/>
        </w:rPr>
        <w:t xml:space="preserve">see </w:t>
      </w:r>
      <w:r w:rsidR="00126976" w:rsidRPr="008B029F">
        <w:rPr>
          <w:lang w:val="en-AU"/>
        </w:rPr>
        <w:t xml:space="preserve">Section </w:t>
      </w:r>
      <w:r w:rsidR="00126976" w:rsidRPr="008B029F">
        <w:rPr>
          <w:color w:val="2B579A"/>
          <w:shd w:val="clear" w:color="auto" w:fill="E6E6E6"/>
          <w:lang w:val="en-AU"/>
        </w:rPr>
        <w:fldChar w:fldCharType="begin"/>
      </w:r>
      <w:r w:rsidR="00126976" w:rsidRPr="008B029F">
        <w:rPr>
          <w:lang w:val="en-AU"/>
        </w:rPr>
        <w:instrText xml:space="preserve"> REF _Ref121909874 \r \h  \* MERGEFORMAT </w:instrText>
      </w:r>
      <w:r w:rsidR="00126976" w:rsidRPr="008B029F">
        <w:rPr>
          <w:color w:val="2B579A"/>
          <w:shd w:val="clear" w:color="auto" w:fill="E6E6E6"/>
          <w:lang w:val="en-AU"/>
        </w:rPr>
      </w:r>
      <w:r w:rsidR="00126976" w:rsidRPr="008B029F">
        <w:rPr>
          <w:color w:val="2B579A"/>
          <w:shd w:val="clear" w:color="auto" w:fill="E6E6E6"/>
          <w:lang w:val="en-AU"/>
        </w:rPr>
        <w:fldChar w:fldCharType="separate"/>
      </w:r>
      <w:r w:rsidR="009773EE" w:rsidRPr="008B029F">
        <w:rPr>
          <w:lang w:val="en-AU"/>
        </w:rPr>
        <w:t>5.1</w:t>
      </w:r>
      <w:r w:rsidR="00126976" w:rsidRPr="008B029F">
        <w:rPr>
          <w:color w:val="2B579A"/>
          <w:shd w:val="clear" w:color="auto" w:fill="E6E6E6"/>
          <w:lang w:val="en-AU"/>
        </w:rPr>
        <w:fldChar w:fldCharType="end"/>
      </w:r>
      <w:r w:rsidR="00126976" w:rsidRPr="008B029F">
        <w:rPr>
          <w:lang w:val="en-AU"/>
        </w:rPr>
        <w:t xml:space="preserve"> </w:t>
      </w:r>
      <w:r w:rsidR="00126976" w:rsidRPr="008B029F">
        <w:rPr>
          <w:color w:val="2B579A"/>
          <w:shd w:val="clear" w:color="auto" w:fill="E6E6E6"/>
          <w:lang w:val="en-AU"/>
        </w:rPr>
        <w:fldChar w:fldCharType="begin"/>
      </w:r>
      <w:r w:rsidR="00126976" w:rsidRPr="008B029F">
        <w:rPr>
          <w:lang w:val="en-AU"/>
        </w:rPr>
        <w:instrText xml:space="preserve"> REF _Ref121909874 \h  \* MERGEFORMAT </w:instrText>
      </w:r>
      <w:r w:rsidR="00126976" w:rsidRPr="008B029F">
        <w:rPr>
          <w:color w:val="2B579A"/>
          <w:shd w:val="clear" w:color="auto" w:fill="E6E6E6"/>
          <w:lang w:val="en-AU"/>
        </w:rPr>
      </w:r>
      <w:r w:rsidR="00126976" w:rsidRPr="008B029F">
        <w:rPr>
          <w:color w:val="2B579A"/>
          <w:shd w:val="clear" w:color="auto" w:fill="E6E6E6"/>
          <w:lang w:val="en-AU"/>
        </w:rPr>
        <w:fldChar w:fldCharType="separate"/>
      </w:r>
      <w:r w:rsidR="009773EE" w:rsidRPr="008B029F">
        <w:rPr>
          <w:lang w:val="en-AU"/>
        </w:rPr>
        <w:t>Pharmacodynamic properties</w:t>
      </w:r>
      <w:r w:rsidR="00126976" w:rsidRPr="008B029F">
        <w:rPr>
          <w:color w:val="2B579A"/>
          <w:shd w:val="clear" w:color="auto" w:fill="E6E6E6"/>
          <w:lang w:val="en-AU"/>
        </w:rPr>
        <w:fldChar w:fldCharType="end"/>
      </w:r>
      <w:r w:rsidR="00427FA6" w:rsidRPr="008B029F">
        <w:rPr>
          <w:lang w:val="en-AU"/>
        </w:rPr>
        <w:t xml:space="preserve"> </w:t>
      </w:r>
      <w:r w:rsidRPr="008B029F">
        <w:rPr>
          <w:lang w:val="en-AU"/>
        </w:rPr>
        <w:t>– Clinical trials).</w:t>
      </w:r>
    </w:p>
    <w:p w14:paraId="5CCF24A3" w14:textId="43C9C2FA" w:rsidR="003C27E7" w:rsidRPr="008B029F" w:rsidRDefault="003C27E7" w:rsidP="003C27E7">
      <w:pPr>
        <w:pStyle w:val="Paragraph"/>
        <w:rPr>
          <w:lang w:val="en-AU"/>
        </w:rPr>
      </w:pPr>
      <w:r w:rsidRPr="008B029F">
        <w:rPr>
          <w:lang w:val="en-AU"/>
        </w:rPr>
        <w:t>Among 266 patients receiving chemotherapy alone, 57% of the patients received 6 cycles of chemotherapy and 8% of the patients received PCI after chemotherapy.</w:t>
      </w:r>
    </w:p>
    <w:p w14:paraId="138CCD34" w14:textId="2AFC5A39" w:rsidR="005A64DE" w:rsidRPr="008B029F" w:rsidRDefault="003C27E7" w:rsidP="005A64DE">
      <w:pPr>
        <w:pStyle w:val="Paragraph"/>
        <w:rPr>
          <w:lang w:val="en-AU"/>
        </w:rPr>
      </w:pPr>
      <w:r w:rsidRPr="008B029F">
        <w:rPr>
          <w:lang w:val="en-AU"/>
        </w:rPr>
        <w:t>IMFINZI was discontinued due to adverse reactions in 7% of the patients receiving IMFINZI plus chemotherapy. These include pneumonitis, hepatotoxicity, neurotoxicity, sepsis, diabetic ketoacidosis and pancytopenia (1 patient each). Serious adverse reactions occurred in 31% of patients receiving IMFINZI plus chemotherapy. The most frequent serious adverse reactions reported in at least 1% of patients were febrile neutropenia (4.5%), pneumonia (2.3%), anaemia (1.9%), pancytopenia (1.5%), pneumonitis (1.1%) and COPD (1.1%). Fatal adverse reactions occurred in 4.9% of patients receiving IMFINZI plus chemotherapy. These include pancytopenia, sepsis, septic shock, pulmonary artery thrombosis,</w:t>
      </w:r>
      <w:r w:rsidR="005A64DE" w:rsidRPr="008B029F">
        <w:rPr>
          <w:lang w:val="en-AU"/>
        </w:rPr>
        <w:t xml:space="preserve"> pulmonary embolism, and hepatitis (1 patient each) and sudden death (2 patients). The most common adverse reactions (occurring in ≥ 20% of patients) were nausea, fatigue/asthenia and alopecia.</w:t>
      </w:r>
    </w:p>
    <w:p w14:paraId="48D79C82" w14:textId="5033A56E" w:rsidR="005A64DE" w:rsidRPr="008B029F" w:rsidRDefault="00F95FC0" w:rsidP="00571C59">
      <w:pPr>
        <w:pStyle w:val="Paragraph"/>
        <w:rPr>
          <w:lang w:val="en-AU"/>
        </w:rPr>
      </w:pPr>
      <w:r w:rsidRPr="008B029F">
        <w:rPr>
          <w:color w:val="2B579A"/>
          <w:shd w:val="clear" w:color="auto" w:fill="E6E6E6"/>
          <w:lang w:val="en-AU"/>
        </w:rPr>
        <w:fldChar w:fldCharType="begin"/>
      </w:r>
      <w:r w:rsidRPr="008B029F">
        <w:rPr>
          <w:lang w:val="en-AU"/>
        </w:rPr>
        <w:instrText xml:space="preserve"> REF _Ref120539767 \h </w:instrText>
      </w:r>
      <w:r w:rsidR="001A5413" w:rsidRPr="008B029F">
        <w:rPr>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5</w:t>
      </w:r>
      <w:r w:rsidRPr="008B029F">
        <w:rPr>
          <w:color w:val="2B579A"/>
          <w:shd w:val="clear" w:color="auto" w:fill="E6E6E6"/>
          <w:lang w:val="en-AU"/>
        </w:rPr>
        <w:fldChar w:fldCharType="end"/>
      </w:r>
      <w:r w:rsidRPr="008B029F">
        <w:rPr>
          <w:lang w:val="en-AU"/>
        </w:rPr>
        <w:t xml:space="preserve"> </w:t>
      </w:r>
      <w:r w:rsidR="00E46175" w:rsidRPr="008B029F">
        <w:rPr>
          <w:lang w:val="en-AU"/>
        </w:rPr>
        <w:t xml:space="preserve">summarises </w:t>
      </w:r>
      <w:r w:rsidR="005A64DE" w:rsidRPr="008B029F">
        <w:rPr>
          <w:lang w:val="en-AU"/>
        </w:rPr>
        <w:t>the adverse reactions that occurred in patients treated with IMFINZI plus</w:t>
      </w:r>
      <w:r w:rsidR="00571C59" w:rsidRPr="008B029F">
        <w:rPr>
          <w:lang w:val="en-AU"/>
        </w:rPr>
        <w:t xml:space="preserve"> </w:t>
      </w:r>
      <w:r w:rsidR="005A64DE" w:rsidRPr="008B029F">
        <w:rPr>
          <w:lang w:val="en-AU"/>
        </w:rPr>
        <w:t>chemotherapy.</w:t>
      </w:r>
      <w:r w:rsidR="005A64DE" w:rsidRPr="008B029F">
        <w:rPr>
          <w:b/>
          <w:bCs/>
          <w:lang w:val="en-AU"/>
        </w:rPr>
        <w:t xml:space="preserve"> </w:t>
      </w:r>
    </w:p>
    <w:p w14:paraId="4C49817E" w14:textId="0F3C4F61" w:rsidR="00571C59" w:rsidRPr="008B029F" w:rsidRDefault="00F95FC0" w:rsidP="00126976">
      <w:pPr>
        <w:pStyle w:val="TableTitle"/>
        <w:rPr>
          <w:lang w:val="en-AU"/>
        </w:rPr>
      </w:pPr>
      <w:bookmarkStart w:id="21" w:name="_Ref120539767"/>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5</w:t>
      </w:r>
      <w:r w:rsidRPr="008B029F">
        <w:rPr>
          <w:color w:val="2B579A"/>
          <w:shd w:val="clear" w:color="auto" w:fill="E6E6E6"/>
          <w:lang w:val="en-AU"/>
        </w:rPr>
        <w:fldChar w:fldCharType="end"/>
      </w:r>
      <w:bookmarkEnd w:id="21"/>
      <w:r w:rsidR="00571C59" w:rsidRPr="008B029F">
        <w:rPr>
          <w:lang w:val="en-AU"/>
        </w:rPr>
        <w:tab/>
        <w:t xml:space="preserve">Adverse </w:t>
      </w:r>
      <w:r w:rsidR="00B427E7" w:rsidRPr="008B029F">
        <w:rPr>
          <w:lang w:val="en-AU"/>
        </w:rPr>
        <w:t>r</w:t>
      </w:r>
      <w:r w:rsidR="00571C59" w:rsidRPr="008B029F">
        <w:rPr>
          <w:lang w:val="en-AU"/>
        </w:rPr>
        <w:t xml:space="preserve">eactions </w:t>
      </w:r>
      <w:r w:rsidR="00B427E7" w:rsidRPr="008B029F">
        <w:rPr>
          <w:lang w:val="en-AU"/>
        </w:rPr>
        <w:t>o</w:t>
      </w:r>
      <w:r w:rsidR="00571C59" w:rsidRPr="008B029F">
        <w:rPr>
          <w:lang w:val="en-AU"/>
        </w:rPr>
        <w:t xml:space="preserve">ccurring in ≥10% </w:t>
      </w:r>
      <w:r w:rsidR="00B427E7" w:rsidRPr="008B029F">
        <w:rPr>
          <w:lang w:val="en-AU"/>
        </w:rPr>
        <w:t>of p</w:t>
      </w:r>
      <w:r w:rsidR="00571C59" w:rsidRPr="008B029F">
        <w:rPr>
          <w:lang w:val="en-AU"/>
        </w:rPr>
        <w:t xml:space="preserve">atients in the CASPIAN study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66"/>
        <w:gridCol w:w="1768"/>
        <w:gridCol w:w="1755"/>
        <w:gridCol w:w="1668"/>
        <w:gridCol w:w="1975"/>
      </w:tblGrid>
      <w:tr w:rsidR="00681ADE" w:rsidRPr="008B029F" w14:paraId="0A93DD76" w14:textId="77777777" w:rsidTr="00681ADE">
        <w:trPr>
          <w:tblHeader/>
        </w:trPr>
        <w:tc>
          <w:tcPr>
            <w:tcW w:w="1280" w:type="pct"/>
            <w:vMerge w:val="restart"/>
            <w:shd w:val="clear" w:color="auto" w:fill="auto"/>
            <w:vAlign w:val="center"/>
          </w:tcPr>
          <w:p w14:paraId="5800EDC9" w14:textId="1543E2D7" w:rsidR="00681ADE" w:rsidRPr="008B029F" w:rsidRDefault="00681ADE" w:rsidP="00681ADE">
            <w:pPr>
              <w:pStyle w:val="TableHead"/>
              <w:jc w:val="left"/>
              <w:rPr>
                <w:lang w:val="en-AU"/>
              </w:rPr>
            </w:pPr>
            <w:r w:rsidRPr="008B029F">
              <w:rPr>
                <w:lang w:val="en-AU"/>
              </w:rPr>
              <w:t>Adverse Reaction</w:t>
            </w:r>
          </w:p>
        </w:tc>
        <w:tc>
          <w:tcPr>
            <w:tcW w:w="1829" w:type="pct"/>
            <w:gridSpan w:val="2"/>
            <w:shd w:val="clear" w:color="auto" w:fill="auto"/>
            <w:vAlign w:val="center"/>
          </w:tcPr>
          <w:p w14:paraId="36AF17C7" w14:textId="77777777" w:rsidR="00681ADE" w:rsidRPr="008B029F" w:rsidRDefault="00681ADE" w:rsidP="00126976">
            <w:pPr>
              <w:pStyle w:val="TableHead"/>
              <w:rPr>
                <w:lang w:val="en-AU"/>
              </w:rPr>
            </w:pPr>
            <w:r w:rsidRPr="008B029F">
              <w:rPr>
                <w:lang w:val="en-AU"/>
              </w:rPr>
              <w:t xml:space="preserve">IMFINZI with etoposide and either carboplatin or cisplatin </w:t>
            </w:r>
          </w:p>
          <w:p w14:paraId="76300C60" w14:textId="77777777" w:rsidR="00681ADE" w:rsidRPr="008B029F" w:rsidRDefault="00681ADE" w:rsidP="00126976">
            <w:pPr>
              <w:pStyle w:val="TableHead"/>
              <w:rPr>
                <w:lang w:val="en-AU"/>
              </w:rPr>
            </w:pPr>
            <w:r w:rsidRPr="008B029F">
              <w:rPr>
                <w:lang w:val="en-AU"/>
              </w:rPr>
              <w:t>N = 265</w:t>
            </w:r>
          </w:p>
        </w:tc>
        <w:tc>
          <w:tcPr>
            <w:tcW w:w="1891" w:type="pct"/>
            <w:gridSpan w:val="2"/>
            <w:shd w:val="clear" w:color="auto" w:fill="auto"/>
            <w:vAlign w:val="center"/>
          </w:tcPr>
          <w:p w14:paraId="2C57ABF9" w14:textId="37EF1AA4" w:rsidR="00681ADE" w:rsidRPr="008B029F" w:rsidRDefault="00681ADE" w:rsidP="00126976">
            <w:pPr>
              <w:pStyle w:val="TableHead"/>
              <w:rPr>
                <w:lang w:val="en-AU"/>
              </w:rPr>
            </w:pPr>
            <w:r w:rsidRPr="008B029F">
              <w:rPr>
                <w:lang w:val="en-AU"/>
              </w:rPr>
              <w:t xml:space="preserve">Etoposide and either carboplatin </w:t>
            </w:r>
            <w:r w:rsidRPr="008B029F">
              <w:rPr>
                <w:lang w:val="en-AU"/>
              </w:rPr>
              <w:br/>
              <w:t xml:space="preserve">or cisplatin </w:t>
            </w:r>
          </w:p>
          <w:p w14:paraId="3A6D34EB" w14:textId="77777777" w:rsidR="00681ADE" w:rsidRPr="008B029F" w:rsidRDefault="00681ADE" w:rsidP="00126976">
            <w:pPr>
              <w:pStyle w:val="TableHead"/>
              <w:rPr>
                <w:lang w:val="en-AU"/>
              </w:rPr>
            </w:pPr>
            <w:r w:rsidRPr="008B029F">
              <w:rPr>
                <w:lang w:val="en-AU"/>
              </w:rPr>
              <w:t>N = 266</w:t>
            </w:r>
          </w:p>
        </w:tc>
      </w:tr>
      <w:tr w:rsidR="00681ADE" w:rsidRPr="008B029F" w14:paraId="6FDDE98E" w14:textId="77777777" w:rsidTr="00D15D1C">
        <w:trPr>
          <w:tblHeader/>
        </w:trPr>
        <w:tc>
          <w:tcPr>
            <w:tcW w:w="1280" w:type="pct"/>
            <w:vMerge/>
            <w:shd w:val="clear" w:color="auto" w:fill="auto"/>
          </w:tcPr>
          <w:p w14:paraId="65A3B349" w14:textId="34860A3F" w:rsidR="00681ADE" w:rsidRPr="008B029F" w:rsidRDefault="00681ADE" w:rsidP="00126976">
            <w:pPr>
              <w:pStyle w:val="TableHead"/>
              <w:rPr>
                <w:bCs/>
                <w:lang w:val="en-AU"/>
              </w:rPr>
            </w:pPr>
          </w:p>
        </w:tc>
        <w:tc>
          <w:tcPr>
            <w:tcW w:w="918" w:type="pct"/>
            <w:shd w:val="clear" w:color="auto" w:fill="auto"/>
          </w:tcPr>
          <w:p w14:paraId="5421D2EE" w14:textId="77777777" w:rsidR="00681ADE" w:rsidRPr="008B029F" w:rsidRDefault="00681ADE" w:rsidP="00126976">
            <w:pPr>
              <w:pStyle w:val="TableHead"/>
              <w:rPr>
                <w:lang w:val="en-AU"/>
              </w:rPr>
            </w:pPr>
            <w:r w:rsidRPr="008B029F">
              <w:rPr>
                <w:lang w:val="en-AU"/>
              </w:rPr>
              <w:t>All Grades (%)</w:t>
            </w:r>
          </w:p>
        </w:tc>
        <w:tc>
          <w:tcPr>
            <w:tcW w:w="911" w:type="pct"/>
            <w:shd w:val="clear" w:color="auto" w:fill="auto"/>
          </w:tcPr>
          <w:p w14:paraId="30A5E561" w14:textId="77777777" w:rsidR="00681ADE" w:rsidRPr="008B029F" w:rsidRDefault="00681ADE" w:rsidP="00126976">
            <w:pPr>
              <w:pStyle w:val="TableHead"/>
              <w:rPr>
                <w:lang w:val="en-AU"/>
              </w:rPr>
            </w:pPr>
            <w:r w:rsidRPr="008B029F">
              <w:rPr>
                <w:lang w:val="en-AU"/>
              </w:rPr>
              <w:t>Grade 3-4 (%)</w:t>
            </w:r>
          </w:p>
        </w:tc>
        <w:tc>
          <w:tcPr>
            <w:tcW w:w="866" w:type="pct"/>
            <w:shd w:val="clear" w:color="auto" w:fill="auto"/>
          </w:tcPr>
          <w:p w14:paraId="675D89CF" w14:textId="77777777" w:rsidR="00681ADE" w:rsidRPr="008B029F" w:rsidRDefault="00681ADE" w:rsidP="00126976">
            <w:pPr>
              <w:pStyle w:val="TableHead"/>
              <w:rPr>
                <w:lang w:val="en-AU"/>
              </w:rPr>
            </w:pPr>
            <w:r w:rsidRPr="008B029F">
              <w:rPr>
                <w:lang w:val="en-AU"/>
              </w:rPr>
              <w:t>All Grades (%)</w:t>
            </w:r>
          </w:p>
        </w:tc>
        <w:tc>
          <w:tcPr>
            <w:tcW w:w="1025" w:type="pct"/>
            <w:shd w:val="clear" w:color="auto" w:fill="auto"/>
          </w:tcPr>
          <w:p w14:paraId="0A7CC6A9" w14:textId="77777777" w:rsidR="00681ADE" w:rsidRPr="008B029F" w:rsidRDefault="00681ADE" w:rsidP="00126976">
            <w:pPr>
              <w:pStyle w:val="TableHead"/>
              <w:rPr>
                <w:lang w:val="en-AU"/>
              </w:rPr>
            </w:pPr>
            <w:r w:rsidRPr="008B029F">
              <w:rPr>
                <w:lang w:val="en-AU"/>
              </w:rPr>
              <w:t>Grade 3-4 (%)</w:t>
            </w:r>
          </w:p>
        </w:tc>
      </w:tr>
      <w:tr w:rsidR="0033618F" w:rsidRPr="008B029F" w14:paraId="0ABAFD8D" w14:textId="77777777" w:rsidTr="00D15D1C">
        <w:tc>
          <w:tcPr>
            <w:tcW w:w="5000" w:type="pct"/>
            <w:gridSpan w:val="5"/>
            <w:shd w:val="clear" w:color="auto" w:fill="auto"/>
          </w:tcPr>
          <w:p w14:paraId="2F55D437" w14:textId="77777777" w:rsidR="0033618F" w:rsidRPr="008B029F" w:rsidRDefault="0033618F" w:rsidP="00571C59">
            <w:pPr>
              <w:pStyle w:val="TableLeft"/>
              <w:rPr>
                <w:b/>
                <w:bCs w:val="0"/>
                <w:lang w:val="en-AU"/>
              </w:rPr>
            </w:pPr>
            <w:r w:rsidRPr="008B029F">
              <w:rPr>
                <w:b/>
                <w:bCs w:val="0"/>
                <w:lang w:val="en-AU"/>
              </w:rPr>
              <w:t>Respiratory, thoracic and mediastinal disorders</w:t>
            </w:r>
          </w:p>
        </w:tc>
      </w:tr>
      <w:tr w:rsidR="0033618F" w:rsidRPr="008B029F" w14:paraId="4E0E215A" w14:textId="77777777" w:rsidTr="00D15D1C">
        <w:tc>
          <w:tcPr>
            <w:tcW w:w="1280" w:type="pct"/>
            <w:shd w:val="clear" w:color="auto" w:fill="auto"/>
          </w:tcPr>
          <w:p w14:paraId="429DCD35" w14:textId="157C3E06" w:rsidR="0033618F" w:rsidRPr="008B029F" w:rsidRDefault="0033618F" w:rsidP="00571C59">
            <w:pPr>
              <w:pStyle w:val="TableLeft"/>
              <w:rPr>
                <w:lang w:val="en-AU"/>
              </w:rPr>
            </w:pPr>
            <w:r w:rsidRPr="008B029F">
              <w:rPr>
                <w:lang w:val="en-AU"/>
              </w:rPr>
              <w:t>Cough/</w:t>
            </w:r>
            <w:r w:rsidR="00FC3F0D" w:rsidRPr="008B029F">
              <w:rPr>
                <w:lang w:val="en-AU"/>
              </w:rPr>
              <w:t>p</w:t>
            </w:r>
            <w:r w:rsidRPr="008B029F">
              <w:rPr>
                <w:lang w:val="en-AU"/>
              </w:rPr>
              <w:t xml:space="preserve">roductive </w:t>
            </w:r>
            <w:r w:rsidR="00FC3F0D" w:rsidRPr="008B029F">
              <w:rPr>
                <w:lang w:val="en-AU"/>
              </w:rPr>
              <w:t>c</w:t>
            </w:r>
            <w:r w:rsidRPr="008B029F">
              <w:rPr>
                <w:lang w:val="en-AU"/>
              </w:rPr>
              <w:t>ough</w:t>
            </w:r>
          </w:p>
        </w:tc>
        <w:tc>
          <w:tcPr>
            <w:tcW w:w="918" w:type="pct"/>
            <w:shd w:val="clear" w:color="auto" w:fill="auto"/>
          </w:tcPr>
          <w:p w14:paraId="3AD652EE" w14:textId="77777777" w:rsidR="0033618F" w:rsidRPr="008B029F" w:rsidRDefault="0033618F" w:rsidP="00571C59">
            <w:pPr>
              <w:pStyle w:val="TableCenter"/>
              <w:rPr>
                <w:lang w:val="en-AU"/>
              </w:rPr>
            </w:pPr>
            <w:r w:rsidRPr="008B029F">
              <w:rPr>
                <w:lang w:val="en-AU"/>
              </w:rPr>
              <w:t>15</w:t>
            </w:r>
          </w:p>
        </w:tc>
        <w:tc>
          <w:tcPr>
            <w:tcW w:w="911" w:type="pct"/>
            <w:shd w:val="clear" w:color="auto" w:fill="auto"/>
          </w:tcPr>
          <w:p w14:paraId="4B3844C9" w14:textId="77777777" w:rsidR="0033618F" w:rsidRPr="008B029F" w:rsidRDefault="0033618F" w:rsidP="00571C59">
            <w:pPr>
              <w:pStyle w:val="TableCenter"/>
              <w:rPr>
                <w:lang w:val="en-AU"/>
              </w:rPr>
            </w:pPr>
            <w:r w:rsidRPr="008B029F">
              <w:rPr>
                <w:lang w:val="en-AU"/>
              </w:rPr>
              <w:t>0.8</w:t>
            </w:r>
          </w:p>
        </w:tc>
        <w:tc>
          <w:tcPr>
            <w:tcW w:w="866" w:type="pct"/>
            <w:shd w:val="clear" w:color="auto" w:fill="auto"/>
          </w:tcPr>
          <w:p w14:paraId="48B3A212" w14:textId="77777777" w:rsidR="0033618F" w:rsidRPr="008B029F" w:rsidRDefault="0033618F" w:rsidP="00571C59">
            <w:pPr>
              <w:pStyle w:val="TableCenter"/>
              <w:rPr>
                <w:lang w:val="en-AU"/>
              </w:rPr>
            </w:pPr>
            <w:r w:rsidRPr="008B029F">
              <w:rPr>
                <w:lang w:val="en-AU"/>
              </w:rPr>
              <w:t>9</w:t>
            </w:r>
          </w:p>
        </w:tc>
        <w:tc>
          <w:tcPr>
            <w:tcW w:w="1025" w:type="pct"/>
            <w:shd w:val="clear" w:color="auto" w:fill="auto"/>
          </w:tcPr>
          <w:p w14:paraId="2E5D5838" w14:textId="77777777" w:rsidR="0033618F" w:rsidRPr="008B029F" w:rsidRDefault="0033618F" w:rsidP="00571C59">
            <w:pPr>
              <w:pStyle w:val="TableCenter"/>
              <w:rPr>
                <w:lang w:val="en-AU"/>
              </w:rPr>
            </w:pPr>
            <w:r w:rsidRPr="008B029F">
              <w:rPr>
                <w:lang w:val="en-AU"/>
              </w:rPr>
              <w:t>0</w:t>
            </w:r>
          </w:p>
        </w:tc>
      </w:tr>
      <w:tr w:rsidR="0033618F" w:rsidRPr="008B029F" w14:paraId="3497CD2C" w14:textId="77777777" w:rsidTr="00D15D1C">
        <w:tc>
          <w:tcPr>
            <w:tcW w:w="5000" w:type="pct"/>
            <w:gridSpan w:val="5"/>
            <w:shd w:val="clear" w:color="auto" w:fill="auto"/>
          </w:tcPr>
          <w:p w14:paraId="0F225EB4" w14:textId="77777777" w:rsidR="0033618F" w:rsidRPr="008B029F" w:rsidRDefault="0033618F" w:rsidP="00571C59">
            <w:pPr>
              <w:pStyle w:val="TableLeft"/>
              <w:rPr>
                <w:b/>
                <w:bCs w:val="0"/>
                <w:lang w:val="en-AU"/>
              </w:rPr>
            </w:pPr>
            <w:r w:rsidRPr="008B029F">
              <w:rPr>
                <w:b/>
                <w:bCs w:val="0"/>
                <w:lang w:val="en-AU"/>
              </w:rPr>
              <w:t>Gastrointestinal disorders</w:t>
            </w:r>
          </w:p>
        </w:tc>
      </w:tr>
      <w:tr w:rsidR="0033618F" w:rsidRPr="008B029F" w14:paraId="1527F430" w14:textId="77777777" w:rsidTr="00D15D1C">
        <w:tc>
          <w:tcPr>
            <w:tcW w:w="1280" w:type="pct"/>
            <w:shd w:val="clear" w:color="auto" w:fill="auto"/>
          </w:tcPr>
          <w:p w14:paraId="3EA6EA26" w14:textId="77777777" w:rsidR="0033618F" w:rsidRPr="008B029F" w:rsidRDefault="0033618F" w:rsidP="00571C59">
            <w:pPr>
              <w:pStyle w:val="TableLeft"/>
              <w:rPr>
                <w:lang w:val="en-AU"/>
              </w:rPr>
            </w:pPr>
            <w:r w:rsidRPr="008B029F">
              <w:rPr>
                <w:lang w:val="en-AU"/>
              </w:rPr>
              <w:lastRenderedPageBreak/>
              <w:t>Nausea</w:t>
            </w:r>
          </w:p>
        </w:tc>
        <w:tc>
          <w:tcPr>
            <w:tcW w:w="918" w:type="pct"/>
            <w:shd w:val="clear" w:color="auto" w:fill="auto"/>
          </w:tcPr>
          <w:p w14:paraId="2471937D" w14:textId="77777777" w:rsidR="0033618F" w:rsidRPr="008B029F" w:rsidRDefault="0033618F" w:rsidP="00571C59">
            <w:pPr>
              <w:pStyle w:val="TableCenter"/>
              <w:rPr>
                <w:lang w:val="en-AU"/>
              </w:rPr>
            </w:pPr>
            <w:r w:rsidRPr="008B029F">
              <w:rPr>
                <w:lang w:val="en-AU"/>
              </w:rPr>
              <w:t>34</w:t>
            </w:r>
          </w:p>
        </w:tc>
        <w:tc>
          <w:tcPr>
            <w:tcW w:w="911" w:type="pct"/>
            <w:shd w:val="clear" w:color="auto" w:fill="auto"/>
          </w:tcPr>
          <w:p w14:paraId="3433FA87" w14:textId="77777777" w:rsidR="0033618F" w:rsidRPr="008B029F" w:rsidRDefault="0033618F" w:rsidP="00571C59">
            <w:pPr>
              <w:pStyle w:val="TableCenter"/>
              <w:rPr>
                <w:lang w:val="en-AU"/>
              </w:rPr>
            </w:pPr>
            <w:r w:rsidRPr="008B029F">
              <w:rPr>
                <w:lang w:val="en-AU"/>
              </w:rPr>
              <w:t>0.4</w:t>
            </w:r>
          </w:p>
        </w:tc>
        <w:tc>
          <w:tcPr>
            <w:tcW w:w="866" w:type="pct"/>
            <w:shd w:val="clear" w:color="auto" w:fill="auto"/>
          </w:tcPr>
          <w:p w14:paraId="491ED7E5" w14:textId="77777777" w:rsidR="0033618F" w:rsidRPr="008B029F" w:rsidRDefault="0033618F" w:rsidP="00571C59">
            <w:pPr>
              <w:pStyle w:val="TableCenter"/>
              <w:rPr>
                <w:lang w:val="en-AU"/>
              </w:rPr>
            </w:pPr>
            <w:r w:rsidRPr="008B029F">
              <w:rPr>
                <w:lang w:val="en-AU"/>
              </w:rPr>
              <w:t>34</w:t>
            </w:r>
          </w:p>
        </w:tc>
        <w:tc>
          <w:tcPr>
            <w:tcW w:w="1025" w:type="pct"/>
            <w:shd w:val="clear" w:color="auto" w:fill="auto"/>
          </w:tcPr>
          <w:p w14:paraId="3F4D57A4" w14:textId="77777777" w:rsidR="0033618F" w:rsidRPr="008B029F" w:rsidRDefault="0033618F" w:rsidP="00571C59">
            <w:pPr>
              <w:pStyle w:val="TableCenter"/>
              <w:rPr>
                <w:lang w:val="en-AU"/>
              </w:rPr>
            </w:pPr>
            <w:r w:rsidRPr="008B029F">
              <w:rPr>
                <w:lang w:val="en-AU"/>
              </w:rPr>
              <w:t>1.9</w:t>
            </w:r>
          </w:p>
        </w:tc>
      </w:tr>
      <w:tr w:rsidR="0033618F" w:rsidRPr="008B029F" w14:paraId="17472F61" w14:textId="77777777" w:rsidTr="00D15D1C">
        <w:tc>
          <w:tcPr>
            <w:tcW w:w="1280" w:type="pct"/>
            <w:shd w:val="clear" w:color="auto" w:fill="auto"/>
          </w:tcPr>
          <w:p w14:paraId="38CFA576" w14:textId="77777777" w:rsidR="0033618F" w:rsidRPr="008B029F" w:rsidRDefault="0033618F" w:rsidP="00571C59">
            <w:pPr>
              <w:pStyle w:val="TableLeft"/>
              <w:rPr>
                <w:lang w:val="en-AU"/>
              </w:rPr>
            </w:pPr>
            <w:r w:rsidRPr="008B029F">
              <w:rPr>
                <w:lang w:val="en-AU"/>
              </w:rPr>
              <w:t>Constipation</w:t>
            </w:r>
          </w:p>
        </w:tc>
        <w:tc>
          <w:tcPr>
            <w:tcW w:w="918" w:type="pct"/>
            <w:shd w:val="clear" w:color="auto" w:fill="auto"/>
          </w:tcPr>
          <w:p w14:paraId="110B7969" w14:textId="77777777" w:rsidR="0033618F" w:rsidRPr="008B029F" w:rsidRDefault="0033618F" w:rsidP="00571C59">
            <w:pPr>
              <w:pStyle w:val="TableCenter"/>
              <w:rPr>
                <w:lang w:val="en-AU"/>
              </w:rPr>
            </w:pPr>
            <w:r w:rsidRPr="008B029F">
              <w:rPr>
                <w:lang w:val="en-AU"/>
              </w:rPr>
              <w:t>17</w:t>
            </w:r>
          </w:p>
        </w:tc>
        <w:tc>
          <w:tcPr>
            <w:tcW w:w="911" w:type="pct"/>
            <w:shd w:val="clear" w:color="auto" w:fill="auto"/>
          </w:tcPr>
          <w:p w14:paraId="003D66F3" w14:textId="77777777" w:rsidR="0033618F" w:rsidRPr="008B029F" w:rsidRDefault="0033618F" w:rsidP="00571C59">
            <w:pPr>
              <w:pStyle w:val="TableCenter"/>
              <w:rPr>
                <w:lang w:val="en-AU"/>
              </w:rPr>
            </w:pPr>
            <w:r w:rsidRPr="008B029F">
              <w:rPr>
                <w:lang w:val="en-AU"/>
              </w:rPr>
              <w:t>0.8</w:t>
            </w:r>
          </w:p>
        </w:tc>
        <w:tc>
          <w:tcPr>
            <w:tcW w:w="866" w:type="pct"/>
            <w:shd w:val="clear" w:color="auto" w:fill="auto"/>
          </w:tcPr>
          <w:p w14:paraId="4EA3156D" w14:textId="77777777" w:rsidR="0033618F" w:rsidRPr="008B029F" w:rsidRDefault="0033618F" w:rsidP="00571C59">
            <w:pPr>
              <w:pStyle w:val="TableCenter"/>
              <w:rPr>
                <w:lang w:val="en-AU"/>
              </w:rPr>
            </w:pPr>
            <w:r w:rsidRPr="008B029F">
              <w:rPr>
                <w:lang w:val="en-AU"/>
              </w:rPr>
              <w:t>19</w:t>
            </w:r>
          </w:p>
        </w:tc>
        <w:tc>
          <w:tcPr>
            <w:tcW w:w="1025" w:type="pct"/>
            <w:shd w:val="clear" w:color="auto" w:fill="auto"/>
          </w:tcPr>
          <w:p w14:paraId="6179C353" w14:textId="77777777" w:rsidR="0033618F" w:rsidRPr="008B029F" w:rsidRDefault="0033618F" w:rsidP="00571C59">
            <w:pPr>
              <w:pStyle w:val="TableCenter"/>
              <w:rPr>
                <w:lang w:val="en-AU"/>
              </w:rPr>
            </w:pPr>
            <w:r w:rsidRPr="008B029F">
              <w:rPr>
                <w:lang w:val="en-AU"/>
              </w:rPr>
              <w:t>0</w:t>
            </w:r>
          </w:p>
        </w:tc>
      </w:tr>
      <w:tr w:rsidR="0033618F" w:rsidRPr="008B029F" w14:paraId="181C9E94" w14:textId="77777777" w:rsidTr="00D15D1C">
        <w:tc>
          <w:tcPr>
            <w:tcW w:w="1280" w:type="pct"/>
            <w:shd w:val="clear" w:color="auto" w:fill="auto"/>
          </w:tcPr>
          <w:p w14:paraId="20F1691E" w14:textId="77777777" w:rsidR="0033618F" w:rsidRPr="008B029F" w:rsidRDefault="0033618F" w:rsidP="00571C59">
            <w:pPr>
              <w:pStyle w:val="TableLeft"/>
              <w:rPr>
                <w:lang w:val="en-AU"/>
              </w:rPr>
            </w:pPr>
            <w:r w:rsidRPr="008B029F">
              <w:rPr>
                <w:lang w:val="en-AU"/>
              </w:rPr>
              <w:t>Vomiting</w:t>
            </w:r>
          </w:p>
        </w:tc>
        <w:tc>
          <w:tcPr>
            <w:tcW w:w="918" w:type="pct"/>
            <w:shd w:val="clear" w:color="auto" w:fill="auto"/>
          </w:tcPr>
          <w:p w14:paraId="685A654F" w14:textId="77777777" w:rsidR="0033618F" w:rsidRPr="008B029F" w:rsidRDefault="0033618F" w:rsidP="00571C59">
            <w:pPr>
              <w:pStyle w:val="TableCenter"/>
              <w:rPr>
                <w:lang w:val="en-AU"/>
              </w:rPr>
            </w:pPr>
            <w:r w:rsidRPr="008B029F">
              <w:rPr>
                <w:lang w:val="en-AU"/>
              </w:rPr>
              <w:t>15</w:t>
            </w:r>
          </w:p>
        </w:tc>
        <w:tc>
          <w:tcPr>
            <w:tcW w:w="911" w:type="pct"/>
            <w:shd w:val="clear" w:color="auto" w:fill="auto"/>
          </w:tcPr>
          <w:p w14:paraId="6EED777D" w14:textId="77777777" w:rsidR="0033618F" w:rsidRPr="008B029F" w:rsidRDefault="0033618F" w:rsidP="00571C59">
            <w:pPr>
              <w:pStyle w:val="TableCenter"/>
              <w:rPr>
                <w:lang w:val="en-AU"/>
              </w:rPr>
            </w:pPr>
            <w:r w:rsidRPr="008B029F">
              <w:rPr>
                <w:lang w:val="en-AU"/>
              </w:rPr>
              <w:t>0</w:t>
            </w:r>
          </w:p>
        </w:tc>
        <w:tc>
          <w:tcPr>
            <w:tcW w:w="866" w:type="pct"/>
            <w:shd w:val="clear" w:color="auto" w:fill="auto"/>
          </w:tcPr>
          <w:p w14:paraId="270DF6EA" w14:textId="77777777" w:rsidR="0033618F" w:rsidRPr="008B029F" w:rsidRDefault="0033618F" w:rsidP="00571C59">
            <w:pPr>
              <w:pStyle w:val="TableCenter"/>
              <w:rPr>
                <w:lang w:val="en-AU"/>
              </w:rPr>
            </w:pPr>
            <w:r w:rsidRPr="008B029F">
              <w:rPr>
                <w:lang w:val="en-AU"/>
              </w:rPr>
              <w:t>17</w:t>
            </w:r>
          </w:p>
        </w:tc>
        <w:tc>
          <w:tcPr>
            <w:tcW w:w="1025" w:type="pct"/>
            <w:shd w:val="clear" w:color="auto" w:fill="auto"/>
          </w:tcPr>
          <w:p w14:paraId="5DC63643" w14:textId="77777777" w:rsidR="0033618F" w:rsidRPr="008B029F" w:rsidRDefault="0033618F" w:rsidP="00571C59">
            <w:pPr>
              <w:pStyle w:val="TableCenter"/>
              <w:rPr>
                <w:lang w:val="en-AU"/>
              </w:rPr>
            </w:pPr>
            <w:r w:rsidRPr="008B029F">
              <w:rPr>
                <w:lang w:val="en-AU"/>
              </w:rPr>
              <w:t>1.1</w:t>
            </w:r>
          </w:p>
        </w:tc>
      </w:tr>
      <w:tr w:rsidR="0033618F" w:rsidRPr="008B029F" w14:paraId="31FF9947" w14:textId="77777777" w:rsidTr="00D15D1C">
        <w:tc>
          <w:tcPr>
            <w:tcW w:w="1280" w:type="pct"/>
            <w:shd w:val="clear" w:color="auto" w:fill="auto"/>
          </w:tcPr>
          <w:p w14:paraId="1CFC5F5F" w14:textId="00780163" w:rsidR="0033618F" w:rsidRPr="008B029F" w:rsidRDefault="0033618F" w:rsidP="00571C59">
            <w:pPr>
              <w:pStyle w:val="TableLeft"/>
              <w:rPr>
                <w:lang w:val="en-AU"/>
              </w:rPr>
            </w:pPr>
            <w:r w:rsidRPr="008B029F">
              <w:rPr>
                <w:lang w:val="en-AU"/>
              </w:rPr>
              <w:t>Diarrhoea</w:t>
            </w:r>
          </w:p>
        </w:tc>
        <w:tc>
          <w:tcPr>
            <w:tcW w:w="918" w:type="pct"/>
            <w:shd w:val="clear" w:color="auto" w:fill="auto"/>
          </w:tcPr>
          <w:p w14:paraId="18E37D8E" w14:textId="77777777" w:rsidR="0033618F" w:rsidRPr="008B029F" w:rsidRDefault="0033618F" w:rsidP="00571C59">
            <w:pPr>
              <w:pStyle w:val="TableCenter"/>
              <w:rPr>
                <w:lang w:val="en-AU"/>
              </w:rPr>
            </w:pPr>
            <w:r w:rsidRPr="008B029F">
              <w:rPr>
                <w:lang w:val="en-AU"/>
              </w:rPr>
              <w:t>10</w:t>
            </w:r>
          </w:p>
        </w:tc>
        <w:tc>
          <w:tcPr>
            <w:tcW w:w="911" w:type="pct"/>
            <w:shd w:val="clear" w:color="auto" w:fill="auto"/>
          </w:tcPr>
          <w:p w14:paraId="6A547358" w14:textId="77777777" w:rsidR="0033618F" w:rsidRPr="008B029F" w:rsidRDefault="0033618F" w:rsidP="00571C59">
            <w:pPr>
              <w:pStyle w:val="TableCenter"/>
              <w:rPr>
                <w:lang w:val="en-AU"/>
              </w:rPr>
            </w:pPr>
            <w:r w:rsidRPr="008B029F">
              <w:rPr>
                <w:lang w:val="en-AU"/>
              </w:rPr>
              <w:t>1.1</w:t>
            </w:r>
          </w:p>
        </w:tc>
        <w:tc>
          <w:tcPr>
            <w:tcW w:w="866" w:type="pct"/>
            <w:shd w:val="clear" w:color="auto" w:fill="auto"/>
          </w:tcPr>
          <w:p w14:paraId="44D9F11A" w14:textId="77777777" w:rsidR="0033618F" w:rsidRPr="008B029F" w:rsidRDefault="0033618F" w:rsidP="00571C59">
            <w:pPr>
              <w:pStyle w:val="TableCenter"/>
              <w:rPr>
                <w:lang w:val="en-AU"/>
              </w:rPr>
            </w:pPr>
            <w:r w:rsidRPr="008B029F">
              <w:rPr>
                <w:lang w:val="en-AU"/>
              </w:rPr>
              <w:t>11</w:t>
            </w:r>
          </w:p>
        </w:tc>
        <w:tc>
          <w:tcPr>
            <w:tcW w:w="1025" w:type="pct"/>
            <w:shd w:val="clear" w:color="auto" w:fill="auto"/>
          </w:tcPr>
          <w:p w14:paraId="78034F21" w14:textId="77777777" w:rsidR="0033618F" w:rsidRPr="008B029F" w:rsidRDefault="0033618F" w:rsidP="00571C59">
            <w:pPr>
              <w:pStyle w:val="TableCenter"/>
              <w:rPr>
                <w:lang w:val="en-AU"/>
              </w:rPr>
            </w:pPr>
            <w:r w:rsidRPr="008B029F">
              <w:rPr>
                <w:lang w:val="en-AU"/>
              </w:rPr>
              <w:t>1.1</w:t>
            </w:r>
          </w:p>
        </w:tc>
      </w:tr>
      <w:tr w:rsidR="0033618F" w:rsidRPr="008B029F" w14:paraId="0B55A8BC" w14:textId="77777777" w:rsidTr="00D15D1C">
        <w:tc>
          <w:tcPr>
            <w:tcW w:w="5000" w:type="pct"/>
            <w:gridSpan w:val="5"/>
            <w:shd w:val="clear" w:color="auto" w:fill="auto"/>
          </w:tcPr>
          <w:p w14:paraId="35A80F09" w14:textId="77777777" w:rsidR="0033618F" w:rsidRPr="008B029F" w:rsidRDefault="0033618F" w:rsidP="00571C59">
            <w:pPr>
              <w:pStyle w:val="TableLeft"/>
              <w:rPr>
                <w:b/>
                <w:bCs w:val="0"/>
                <w:lang w:val="en-AU"/>
              </w:rPr>
            </w:pPr>
            <w:r w:rsidRPr="008B029F">
              <w:rPr>
                <w:b/>
                <w:bCs w:val="0"/>
                <w:lang w:val="en-AU"/>
              </w:rPr>
              <w:t>Endocrine disorders</w:t>
            </w:r>
          </w:p>
        </w:tc>
      </w:tr>
      <w:tr w:rsidR="0033618F" w:rsidRPr="008B029F" w14:paraId="4E894663" w14:textId="77777777" w:rsidTr="00D15D1C">
        <w:tc>
          <w:tcPr>
            <w:tcW w:w="1280" w:type="pct"/>
            <w:shd w:val="clear" w:color="auto" w:fill="auto"/>
          </w:tcPr>
          <w:p w14:paraId="7036ED51" w14:textId="77777777" w:rsidR="0033618F" w:rsidRPr="008B029F" w:rsidDel="001F6E71" w:rsidRDefault="0033618F" w:rsidP="00571C59">
            <w:pPr>
              <w:pStyle w:val="TableLeft"/>
              <w:rPr>
                <w:lang w:val="en-AU"/>
              </w:rPr>
            </w:pPr>
            <w:r w:rsidRPr="008B029F">
              <w:rPr>
                <w:lang w:val="en-AU"/>
              </w:rPr>
              <w:t>Hyperthyroidism</w:t>
            </w:r>
            <w:r w:rsidRPr="008B029F">
              <w:rPr>
                <w:vertAlign w:val="superscript"/>
                <w:lang w:val="en-AU"/>
              </w:rPr>
              <w:t>a</w:t>
            </w:r>
          </w:p>
        </w:tc>
        <w:tc>
          <w:tcPr>
            <w:tcW w:w="918" w:type="pct"/>
            <w:shd w:val="clear" w:color="auto" w:fill="auto"/>
          </w:tcPr>
          <w:p w14:paraId="063B1F09" w14:textId="77777777" w:rsidR="0033618F" w:rsidRPr="008B029F" w:rsidDel="001C3AB7" w:rsidRDefault="0033618F" w:rsidP="00571C59">
            <w:pPr>
              <w:pStyle w:val="TableCenter"/>
              <w:rPr>
                <w:lang w:val="en-AU"/>
              </w:rPr>
            </w:pPr>
            <w:r w:rsidRPr="008B029F">
              <w:rPr>
                <w:lang w:val="en-AU"/>
              </w:rPr>
              <w:t>10</w:t>
            </w:r>
          </w:p>
        </w:tc>
        <w:tc>
          <w:tcPr>
            <w:tcW w:w="911" w:type="pct"/>
            <w:shd w:val="clear" w:color="auto" w:fill="auto"/>
          </w:tcPr>
          <w:p w14:paraId="2522513F" w14:textId="77777777" w:rsidR="0033618F" w:rsidRPr="008B029F" w:rsidRDefault="0033618F" w:rsidP="00571C59">
            <w:pPr>
              <w:pStyle w:val="TableCenter"/>
              <w:rPr>
                <w:lang w:val="en-AU"/>
              </w:rPr>
            </w:pPr>
            <w:r w:rsidRPr="008B029F">
              <w:rPr>
                <w:lang w:val="en-AU"/>
              </w:rPr>
              <w:t>0</w:t>
            </w:r>
          </w:p>
        </w:tc>
        <w:tc>
          <w:tcPr>
            <w:tcW w:w="866" w:type="pct"/>
            <w:shd w:val="clear" w:color="auto" w:fill="auto"/>
          </w:tcPr>
          <w:p w14:paraId="3093A179" w14:textId="77777777" w:rsidR="0033618F" w:rsidRPr="008B029F" w:rsidRDefault="0033618F" w:rsidP="00571C59">
            <w:pPr>
              <w:pStyle w:val="TableCenter"/>
              <w:rPr>
                <w:lang w:val="en-AU"/>
              </w:rPr>
            </w:pPr>
            <w:r w:rsidRPr="008B029F">
              <w:rPr>
                <w:lang w:val="en-AU"/>
              </w:rPr>
              <w:t>0.4</w:t>
            </w:r>
          </w:p>
        </w:tc>
        <w:tc>
          <w:tcPr>
            <w:tcW w:w="1025" w:type="pct"/>
            <w:shd w:val="clear" w:color="auto" w:fill="auto"/>
          </w:tcPr>
          <w:p w14:paraId="2AA672A7" w14:textId="77777777" w:rsidR="0033618F" w:rsidRPr="008B029F" w:rsidRDefault="0033618F" w:rsidP="00571C59">
            <w:pPr>
              <w:pStyle w:val="TableCenter"/>
              <w:rPr>
                <w:lang w:val="en-AU"/>
              </w:rPr>
            </w:pPr>
            <w:r w:rsidRPr="008B029F">
              <w:rPr>
                <w:lang w:val="en-AU"/>
              </w:rPr>
              <w:t>0</w:t>
            </w:r>
          </w:p>
        </w:tc>
      </w:tr>
      <w:tr w:rsidR="0033618F" w:rsidRPr="008B029F" w14:paraId="4B7F46F5" w14:textId="77777777" w:rsidTr="00D15D1C">
        <w:tc>
          <w:tcPr>
            <w:tcW w:w="5000" w:type="pct"/>
            <w:gridSpan w:val="5"/>
            <w:shd w:val="clear" w:color="auto" w:fill="auto"/>
          </w:tcPr>
          <w:p w14:paraId="035E1604" w14:textId="1158260D" w:rsidR="0033618F" w:rsidRPr="008B029F" w:rsidRDefault="0033618F" w:rsidP="00681ADE">
            <w:pPr>
              <w:pStyle w:val="TableLeft"/>
              <w:rPr>
                <w:b/>
                <w:bCs w:val="0"/>
                <w:lang w:val="en-AU"/>
              </w:rPr>
            </w:pPr>
            <w:r w:rsidRPr="008B029F">
              <w:rPr>
                <w:b/>
                <w:bCs w:val="0"/>
                <w:lang w:val="en-AU"/>
              </w:rPr>
              <w:t>Skin and subcutaneous tissue disorders</w:t>
            </w:r>
          </w:p>
        </w:tc>
      </w:tr>
      <w:tr w:rsidR="0033618F" w:rsidRPr="008B029F" w14:paraId="1282B10C" w14:textId="77777777" w:rsidTr="00D15D1C">
        <w:tc>
          <w:tcPr>
            <w:tcW w:w="1280" w:type="pct"/>
            <w:shd w:val="clear" w:color="auto" w:fill="auto"/>
          </w:tcPr>
          <w:p w14:paraId="6CD204FC" w14:textId="77777777" w:rsidR="0033618F" w:rsidRPr="008B029F" w:rsidDel="001F6E71" w:rsidRDefault="0033618F" w:rsidP="00571C59">
            <w:pPr>
              <w:pStyle w:val="TableLeft"/>
              <w:rPr>
                <w:lang w:val="en-AU"/>
              </w:rPr>
            </w:pPr>
            <w:r w:rsidRPr="008B029F">
              <w:rPr>
                <w:lang w:val="en-AU"/>
              </w:rPr>
              <w:t>Alopecia</w:t>
            </w:r>
          </w:p>
        </w:tc>
        <w:tc>
          <w:tcPr>
            <w:tcW w:w="918" w:type="pct"/>
            <w:shd w:val="clear" w:color="auto" w:fill="auto"/>
          </w:tcPr>
          <w:p w14:paraId="50162B89" w14:textId="77777777" w:rsidR="0033618F" w:rsidRPr="008B029F" w:rsidRDefault="0033618F" w:rsidP="00571C59">
            <w:pPr>
              <w:pStyle w:val="TableCenter"/>
              <w:rPr>
                <w:lang w:val="en-AU"/>
              </w:rPr>
            </w:pPr>
            <w:r w:rsidRPr="008B029F">
              <w:rPr>
                <w:lang w:val="en-AU"/>
              </w:rPr>
              <w:t>31</w:t>
            </w:r>
          </w:p>
        </w:tc>
        <w:tc>
          <w:tcPr>
            <w:tcW w:w="911" w:type="pct"/>
            <w:shd w:val="clear" w:color="auto" w:fill="auto"/>
          </w:tcPr>
          <w:p w14:paraId="7D910780" w14:textId="77777777" w:rsidR="0033618F" w:rsidRPr="008B029F" w:rsidRDefault="0033618F" w:rsidP="00571C59">
            <w:pPr>
              <w:pStyle w:val="TableCenter"/>
              <w:rPr>
                <w:lang w:val="en-AU"/>
              </w:rPr>
            </w:pPr>
            <w:r w:rsidRPr="008B029F">
              <w:rPr>
                <w:lang w:val="en-AU"/>
              </w:rPr>
              <w:t>1.1</w:t>
            </w:r>
          </w:p>
        </w:tc>
        <w:tc>
          <w:tcPr>
            <w:tcW w:w="866" w:type="pct"/>
            <w:shd w:val="clear" w:color="auto" w:fill="auto"/>
          </w:tcPr>
          <w:p w14:paraId="3FD9A672" w14:textId="77777777" w:rsidR="0033618F" w:rsidRPr="008B029F" w:rsidRDefault="0033618F" w:rsidP="00571C59">
            <w:pPr>
              <w:pStyle w:val="TableCenter"/>
              <w:rPr>
                <w:lang w:val="en-AU"/>
              </w:rPr>
            </w:pPr>
            <w:r w:rsidRPr="008B029F">
              <w:rPr>
                <w:lang w:val="en-AU"/>
              </w:rPr>
              <w:t>34</w:t>
            </w:r>
          </w:p>
        </w:tc>
        <w:tc>
          <w:tcPr>
            <w:tcW w:w="1025" w:type="pct"/>
            <w:shd w:val="clear" w:color="auto" w:fill="auto"/>
          </w:tcPr>
          <w:p w14:paraId="1BD34174" w14:textId="77777777" w:rsidR="0033618F" w:rsidRPr="008B029F" w:rsidRDefault="0033618F" w:rsidP="00571C59">
            <w:pPr>
              <w:pStyle w:val="TableCenter"/>
              <w:rPr>
                <w:lang w:val="en-AU"/>
              </w:rPr>
            </w:pPr>
            <w:r w:rsidRPr="008B029F">
              <w:rPr>
                <w:lang w:val="en-AU"/>
              </w:rPr>
              <w:t>0.8</w:t>
            </w:r>
          </w:p>
        </w:tc>
      </w:tr>
      <w:tr w:rsidR="0033618F" w:rsidRPr="008B029F" w14:paraId="4719166E" w14:textId="77777777" w:rsidTr="00D15D1C">
        <w:tc>
          <w:tcPr>
            <w:tcW w:w="1280" w:type="pct"/>
            <w:shd w:val="clear" w:color="auto" w:fill="auto"/>
          </w:tcPr>
          <w:p w14:paraId="3ACECBC9" w14:textId="77777777" w:rsidR="0033618F" w:rsidRPr="008B029F" w:rsidRDefault="0033618F" w:rsidP="00F9458F">
            <w:pPr>
              <w:pStyle w:val="TableLeft"/>
              <w:rPr>
                <w:vertAlign w:val="superscript"/>
                <w:lang w:val="en-AU"/>
              </w:rPr>
            </w:pPr>
            <w:r w:rsidRPr="008B029F">
              <w:rPr>
                <w:lang w:val="en-AU"/>
              </w:rPr>
              <w:t>Rash</w:t>
            </w:r>
            <w:r w:rsidRPr="008B029F">
              <w:rPr>
                <w:vertAlign w:val="superscript"/>
                <w:lang w:val="en-AU"/>
              </w:rPr>
              <w:t>b</w:t>
            </w:r>
          </w:p>
        </w:tc>
        <w:tc>
          <w:tcPr>
            <w:tcW w:w="918" w:type="pct"/>
            <w:shd w:val="clear" w:color="auto" w:fill="auto"/>
          </w:tcPr>
          <w:p w14:paraId="2A6CC13A" w14:textId="77777777" w:rsidR="0033618F" w:rsidRPr="008B029F" w:rsidRDefault="0033618F" w:rsidP="00F9458F">
            <w:pPr>
              <w:pStyle w:val="TableCenter"/>
              <w:rPr>
                <w:lang w:val="en-AU"/>
              </w:rPr>
            </w:pPr>
            <w:r w:rsidRPr="008B029F">
              <w:rPr>
                <w:lang w:val="en-AU"/>
              </w:rPr>
              <w:t>11</w:t>
            </w:r>
          </w:p>
        </w:tc>
        <w:tc>
          <w:tcPr>
            <w:tcW w:w="911" w:type="pct"/>
            <w:shd w:val="clear" w:color="auto" w:fill="auto"/>
          </w:tcPr>
          <w:p w14:paraId="293D946E" w14:textId="77777777" w:rsidR="0033618F" w:rsidRPr="008B029F" w:rsidRDefault="0033618F" w:rsidP="00F9458F">
            <w:pPr>
              <w:pStyle w:val="TableCenter"/>
              <w:rPr>
                <w:lang w:val="en-AU"/>
              </w:rPr>
            </w:pPr>
            <w:r w:rsidRPr="008B029F">
              <w:rPr>
                <w:lang w:val="en-AU"/>
              </w:rPr>
              <w:t>0</w:t>
            </w:r>
          </w:p>
        </w:tc>
        <w:tc>
          <w:tcPr>
            <w:tcW w:w="866" w:type="pct"/>
            <w:shd w:val="clear" w:color="auto" w:fill="auto"/>
          </w:tcPr>
          <w:p w14:paraId="3A7408F1" w14:textId="77777777" w:rsidR="0033618F" w:rsidRPr="008B029F" w:rsidRDefault="0033618F" w:rsidP="00F9458F">
            <w:pPr>
              <w:pStyle w:val="TableCenter"/>
              <w:rPr>
                <w:lang w:val="en-AU"/>
              </w:rPr>
            </w:pPr>
            <w:r w:rsidRPr="008B029F">
              <w:rPr>
                <w:lang w:val="en-AU"/>
              </w:rPr>
              <w:t>6</w:t>
            </w:r>
          </w:p>
        </w:tc>
        <w:tc>
          <w:tcPr>
            <w:tcW w:w="1025" w:type="pct"/>
            <w:shd w:val="clear" w:color="auto" w:fill="auto"/>
          </w:tcPr>
          <w:p w14:paraId="1087DC3F" w14:textId="77777777" w:rsidR="0033618F" w:rsidRPr="008B029F" w:rsidRDefault="0033618F" w:rsidP="00F9458F">
            <w:pPr>
              <w:pStyle w:val="TableCenter"/>
              <w:rPr>
                <w:lang w:val="en-AU"/>
              </w:rPr>
            </w:pPr>
            <w:r w:rsidRPr="008B029F">
              <w:rPr>
                <w:lang w:val="en-AU"/>
              </w:rPr>
              <w:t>0</w:t>
            </w:r>
          </w:p>
        </w:tc>
      </w:tr>
      <w:tr w:rsidR="00163F98" w:rsidRPr="008B029F" w14:paraId="012F91A8" w14:textId="77777777" w:rsidTr="00163F98">
        <w:tc>
          <w:tcPr>
            <w:tcW w:w="5000" w:type="pct"/>
            <w:gridSpan w:val="5"/>
            <w:shd w:val="clear" w:color="auto" w:fill="auto"/>
          </w:tcPr>
          <w:p w14:paraId="199B9854" w14:textId="6C9BC556" w:rsidR="00163F98" w:rsidRPr="008B029F" w:rsidRDefault="00163F98" w:rsidP="00163F98">
            <w:pPr>
              <w:pStyle w:val="TableCenter"/>
              <w:jc w:val="left"/>
              <w:rPr>
                <w:lang w:val="en-AU"/>
              </w:rPr>
            </w:pPr>
            <w:r w:rsidRPr="008B029F">
              <w:rPr>
                <w:b/>
                <w:bCs/>
                <w:lang w:val="en-AU"/>
              </w:rPr>
              <w:t>General disorders and administration site conditions</w:t>
            </w:r>
          </w:p>
        </w:tc>
      </w:tr>
      <w:tr w:rsidR="00163F98" w:rsidRPr="008B029F" w14:paraId="2FDB898A" w14:textId="77777777" w:rsidTr="00D15D1C">
        <w:tc>
          <w:tcPr>
            <w:tcW w:w="1280" w:type="pct"/>
            <w:shd w:val="clear" w:color="auto" w:fill="auto"/>
          </w:tcPr>
          <w:p w14:paraId="41614667" w14:textId="5A643A41" w:rsidR="00163F98" w:rsidRPr="008B029F" w:rsidRDefault="00163F98" w:rsidP="00163F98">
            <w:pPr>
              <w:pStyle w:val="TableLeft"/>
              <w:rPr>
                <w:lang w:val="en-AU"/>
              </w:rPr>
            </w:pPr>
            <w:r w:rsidRPr="008B029F">
              <w:rPr>
                <w:lang w:val="en-AU"/>
              </w:rPr>
              <w:t>Fatigue/</w:t>
            </w:r>
            <w:r w:rsidR="00916648" w:rsidRPr="008B029F">
              <w:rPr>
                <w:lang w:val="en-AU"/>
              </w:rPr>
              <w:t>a</w:t>
            </w:r>
            <w:r w:rsidRPr="008B029F">
              <w:rPr>
                <w:lang w:val="en-AU"/>
              </w:rPr>
              <w:t xml:space="preserve">sthenia </w:t>
            </w:r>
          </w:p>
        </w:tc>
        <w:tc>
          <w:tcPr>
            <w:tcW w:w="918" w:type="pct"/>
            <w:shd w:val="clear" w:color="auto" w:fill="auto"/>
          </w:tcPr>
          <w:p w14:paraId="4BD6B190" w14:textId="3E3B8507" w:rsidR="00163F98" w:rsidRPr="008B029F" w:rsidRDefault="00163F98" w:rsidP="00163F98">
            <w:pPr>
              <w:pStyle w:val="TableCenter"/>
              <w:rPr>
                <w:lang w:val="en-AU"/>
              </w:rPr>
            </w:pPr>
            <w:r w:rsidRPr="008B029F">
              <w:rPr>
                <w:lang w:val="en-AU"/>
              </w:rPr>
              <w:t>32</w:t>
            </w:r>
          </w:p>
        </w:tc>
        <w:tc>
          <w:tcPr>
            <w:tcW w:w="911" w:type="pct"/>
            <w:shd w:val="clear" w:color="auto" w:fill="auto"/>
          </w:tcPr>
          <w:p w14:paraId="0666BA7B" w14:textId="0C6B38E2" w:rsidR="00163F98" w:rsidRPr="008B029F" w:rsidRDefault="00163F98" w:rsidP="00163F98">
            <w:pPr>
              <w:pStyle w:val="TableCenter"/>
              <w:rPr>
                <w:lang w:val="en-AU"/>
              </w:rPr>
            </w:pPr>
            <w:r w:rsidRPr="008B029F">
              <w:rPr>
                <w:lang w:val="en-AU"/>
              </w:rPr>
              <w:t>3.4</w:t>
            </w:r>
          </w:p>
        </w:tc>
        <w:tc>
          <w:tcPr>
            <w:tcW w:w="866" w:type="pct"/>
            <w:shd w:val="clear" w:color="auto" w:fill="auto"/>
          </w:tcPr>
          <w:p w14:paraId="2E0CBA01" w14:textId="0871F9B1" w:rsidR="00163F98" w:rsidRPr="008B029F" w:rsidRDefault="00163F98" w:rsidP="00163F98">
            <w:pPr>
              <w:pStyle w:val="TableCenter"/>
              <w:rPr>
                <w:lang w:val="en-AU"/>
              </w:rPr>
            </w:pPr>
            <w:r w:rsidRPr="008B029F">
              <w:rPr>
                <w:lang w:val="en-AU"/>
              </w:rPr>
              <w:t>32</w:t>
            </w:r>
          </w:p>
        </w:tc>
        <w:tc>
          <w:tcPr>
            <w:tcW w:w="1025" w:type="pct"/>
            <w:shd w:val="clear" w:color="auto" w:fill="auto"/>
          </w:tcPr>
          <w:p w14:paraId="3948907B" w14:textId="1784A8A3" w:rsidR="00163F98" w:rsidRPr="008B029F" w:rsidRDefault="00163F98" w:rsidP="00163F98">
            <w:pPr>
              <w:pStyle w:val="TableCenter"/>
              <w:rPr>
                <w:lang w:val="en-AU"/>
              </w:rPr>
            </w:pPr>
            <w:r w:rsidRPr="008B029F">
              <w:rPr>
                <w:lang w:val="en-AU"/>
              </w:rPr>
              <w:t>2.3</w:t>
            </w:r>
          </w:p>
        </w:tc>
      </w:tr>
      <w:tr w:rsidR="00163F98" w:rsidRPr="008B029F" w14:paraId="6113E943" w14:textId="77777777" w:rsidTr="00163F98">
        <w:tc>
          <w:tcPr>
            <w:tcW w:w="5000" w:type="pct"/>
            <w:gridSpan w:val="5"/>
            <w:shd w:val="clear" w:color="auto" w:fill="auto"/>
          </w:tcPr>
          <w:p w14:paraId="28EE8292" w14:textId="47E36CDC" w:rsidR="00163F98" w:rsidRPr="008B029F" w:rsidRDefault="00163F98" w:rsidP="00163F98">
            <w:pPr>
              <w:pStyle w:val="TableCenter"/>
              <w:jc w:val="left"/>
              <w:rPr>
                <w:lang w:val="en-AU"/>
              </w:rPr>
            </w:pPr>
            <w:r w:rsidRPr="008B029F">
              <w:rPr>
                <w:b/>
                <w:bCs/>
                <w:lang w:val="en-AU"/>
              </w:rPr>
              <w:t>Metabolism and nutrition disorders</w:t>
            </w:r>
          </w:p>
        </w:tc>
      </w:tr>
      <w:tr w:rsidR="00163F98" w:rsidRPr="008B029F" w14:paraId="75B1A5CE" w14:textId="77777777" w:rsidTr="00D15D1C">
        <w:tc>
          <w:tcPr>
            <w:tcW w:w="1280" w:type="pct"/>
            <w:shd w:val="clear" w:color="auto" w:fill="auto"/>
          </w:tcPr>
          <w:p w14:paraId="5D116A47" w14:textId="3C80DB5C" w:rsidR="00163F98" w:rsidRPr="008B029F" w:rsidRDefault="00163F98" w:rsidP="00163F98">
            <w:pPr>
              <w:pStyle w:val="TableLeft"/>
              <w:rPr>
                <w:lang w:val="en-AU"/>
              </w:rPr>
            </w:pPr>
            <w:r w:rsidRPr="008B029F">
              <w:rPr>
                <w:lang w:val="en-AU"/>
              </w:rPr>
              <w:t>Decreased appetite</w:t>
            </w:r>
          </w:p>
        </w:tc>
        <w:tc>
          <w:tcPr>
            <w:tcW w:w="918" w:type="pct"/>
            <w:shd w:val="clear" w:color="auto" w:fill="auto"/>
          </w:tcPr>
          <w:p w14:paraId="0026FFC9" w14:textId="366C3F73" w:rsidR="00163F98" w:rsidRPr="008B029F" w:rsidRDefault="00163F98" w:rsidP="00163F98">
            <w:pPr>
              <w:pStyle w:val="TableCenter"/>
              <w:rPr>
                <w:lang w:val="en-AU"/>
              </w:rPr>
            </w:pPr>
            <w:r w:rsidRPr="008B029F">
              <w:rPr>
                <w:lang w:val="en-AU"/>
              </w:rPr>
              <w:t>18</w:t>
            </w:r>
          </w:p>
        </w:tc>
        <w:tc>
          <w:tcPr>
            <w:tcW w:w="911" w:type="pct"/>
            <w:shd w:val="clear" w:color="auto" w:fill="auto"/>
          </w:tcPr>
          <w:p w14:paraId="732F7B43" w14:textId="71CAEF3F" w:rsidR="00163F98" w:rsidRPr="008B029F" w:rsidRDefault="00163F98" w:rsidP="00163F98">
            <w:pPr>
              <w:pStyle w:val="TableCenter"/>
              <w:rPr>
                <w:lang w:val="en-AU"/>
              </w:rPr>
            </w:pPr>
            <w:r w:rsidRPr="008B029F">
              <w:rPr>
                <w:lang w:val="en-AU"/>
              </w:rPr>
              <w:t>0.8</w:t>
            </w:r>
          </w:p>
        </w:tc>
        <w:tc>
          <w:tcPr>
            <w:tcW w:w="866" w:type="pct"/>
            <w:shd w:val="clear" w:color="auto" w:fill="auto"/>
          </w:tcPr>
          <w:p w14:paraId="7F98B0D9" w14:textId="1149473D" w:rsidR="00163F98" w:rsidRPr="008B029F" w:rsidRDefault="00163F98" w:rsidP="00163F98">
            <w:pPr>
              <w:pStyle w:val="TableCenter"/>
              <w:rPr>
                <w:lang w:val="en-AU"/>
              </w:rPr>
            </w:pPr>
            <w:r w:rsidRPr="008B029F">
              <w:rPr>
                <w:lang w:val="en-AU"/>
              </w:rPr>
              <w:t>17</w:t>
            </w:r>
          </w:p>
        </w:tc>
        <w:tc>
          <w:tcPr>
            <w:tcW w:w="1025" w:type="pct"/>
            <w:shd w:val="clear" w:color="auto" w:fill="auto"/>
          </w:tcPr>
          <w:p w14:paraId="1FC578A2" w14:textId="433EB2AC" w:rsidR="00163F98" w:rsidRPr="008B029F" w:rsidRDefault="00163F98" w:rsidP="00163F98">
            <w:pPr>
              <w:pStyle w:val="TableCenter"/>
              <w:rPr>
                <w:lang w:val="en-AU"/>
              </w:rPr>
            </w:pPr>
            <w:r w:rsidRPr="008B029F">
              <w:rPr>
                <w:lang w:val="en-AU"/>
              </w:rPr>
              <w:t>0.8</w:t>
            </w:r>
          </w:p>
        </w:tc>
      </w:tr>
    </w:tbl>
    <w:p w14:paraId="0799CC2E" w14:textId="77777777" w:rsidR="00163F98" w:rsidRPr="008B029F" w:rsidRDefault="00163F98" w:rsidP="00163F98">
      <w:pPr>
        <w:pStyle w:val="TableFootnoteLetter"/>
        <w:numPr>
          <w:ilvl w:val="0"/>
          <w:numId w:val="24"/>
        </w:numPr>
        <w:rPr>
          <w:lang w:val="en-AU"/>
        </w:rPr>
      </w:pPr>
      <w:r w:rsidRPr="008B029F">
        <w:rPr>
          <w:rFonts w:eastAsia="SimSun"/>
          <w:lang w:val="en-AU"/>
        </w:rPr>
        <w:t xml:space="preserve">Includes hyperthyroidism and Basedow's disease </w:t>
      </w:r>
    </w:p>
    <w:p w14:paraId="36FBADAC" w14:textId="6CA87578" w:rsidR="00163F98" w:rsidRPr="008B029F" w:rsidRDefault="00163F98" w:rsidP="00163F98">
      <w:pPr>
        <w:pStyle w:val="TableFootnoteLetter"/>
        <w:numPr>
          <w:ilvl w:val="0"/>
          <w:numId w:val="24"/>
        </w:numPr>
        <w:rPr>
          <w:rFonts w:eastAsia="SimSun"/>
          <w:lang w:val="en-AU"/>
        </w:rPr>
      </w:pPr>
      <w:r w:rsidRPr="008B029F">
        <w:rPr>
          <w:rFonts w:eastAsia="SimSun"/>
          <w:lang w:val="en-AU"/>
        </w:rPr>
        <w:t xml:space="preserve">Includes rash erythematous, rash generalised, rash macular, rash maculopapular, rash papular, rash pruritic, rash pustular, erythema, eczema, rash and dermatitis </w:t>
      </w:r>
    </w:p>
    <w:p w14:paraId="15AF6E56" w14:textId="77777777" w:rsidR="00163F98" w:rsidRPr="008B029F" w:rsidRDefault="00163F98" w:rsidP="00681ADE">
      <w:pPr>
        <w:pStyle w:val="Paragraph"/>
        <w:rPr>
          <w:rFonts w:eastAsia="SimSun"/>
          <w:lang w:val="en-AU"/>
        </w:rPr>
      </w:pPr>
    </w:p>
    <w:p w14:paraId="032249AC" w14:textId="061F1D82" w:rsidR="0033618F" w:rsidRPr="008B029F" w:rsidRDefault="00F95FC0" w:rsidP="00681ADE">
      <w:pPr>
        <w:pStyle w:val="Paragraph"/>
        <w:rPr>
          <w:lang w:val="en-AU"/>
        </w:rPr>
      </w:pPr>
      <w:r w:rsidRPr="008B029F">
        <w:rPr>
          <w:color w:val="2B579A"/>
          <w:shd w:val="clear" w:color="auto" w:fill="E6E6E6"/>
          <w:lang w:val="en-AU"/>
        </w:rPr>
        <w:fldChar w:fldCharType="begin"/>
      </w:r>
      <w:r w:rsidRPr="008B029F">
        <w:rPr>
          <w:lang w:val="en-AU"/>
        </w:rPr>
        <w:instrText xml:space="preserve"> REF _Ref120539782 \h </w:instrText>
      </w:r>
      <w:r w:rsidR="00681ADE" w:rsidRPr="008B029F">
        <w:rPr>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6</w:t>
      </w:r>
      <w:r w:rsidRPr="008B029F">
        <w:rPr>
          <w:color w:val="2B579A"/>
          <w:shd w:val="clear" w:color="auto" w:fill="E6E6E6"/>
          <w:lang w:val="en-AU"/>
        </w:rPr>
        <w:fldChar w:fldCharType="end"/>
      </w:r>
      <w:r w:rsidRPr="008B029F">
        <w:rPr>
          <w:lang w:val="en-AU"/>
        </w:rPr>
        <w:t xml:space="preserve"> </w:t>
      </w:r>
      <w:r w:rsidR="00E46175" w:rsidRPr="008B029F">
        <w:rPr>
          <w:lang w:val="en-AU"/>
        </w:rPr>
        <w:t xml:space="preserve">summarises </w:t>
      </w:r>
      <w:r w:rsidR="0033618F" w:rsidRPr="008B029F">
        <w:rPr>
          <w:lang w:val="en-AU"/>
        </w:rPr>
        <w:t>the laboratory abnormalities that occurred in at least 20% of patients treated with IMFINZI plus chemotherapy.</w:t>
      </w:r>
    </w:p>
    <w:p w14:paraId="01B9738F" w14:textId="5961168F" w:rsidR="002251EE" w:rsidRPr="008B029F" w:rsidRDefault="00F95FC0" w:rsidP="00B055A4">
      <w:pPr>
        <w:pStyle w:val="TableTitle"/>
        <w:rPr>
          <w:lang w:val="en-AU"/>
        </w:rPr>
      </w:pPr>
      <w:bookmarkStart w:id="22" w:name="_Ref120539782"/>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6</w:t>
      </w:r>
      <w:r w:rsidRPr="008B029F">
        <w:rPr>
          <w:color w:val="2B579A"/>
          <w:shd w:val="clear" w:color="auto" w:fill="E6E6E6"/>
          <w:lang w:val="en-AU"/>
        </w:rPr>
        <w:fldChar w:fldCharType="end"/>
      </w:r>
      <w:bookmarkEnd w:id="22"/>
      <w:r w:rsidR="002251EE" w:rsidRPr="008B029F">
        <w:rPr>
          <w:lang w:val="en-AU"/>
        </w:rPr>
        <w:tab/>
        <w:t xml:space="preserve">Laboratory </w:t>
      </w:r>
      <w:r w:rsidR="00916648" w:rsidRPr="008B029F">
        <w:rPr>
          <w:lang w:val="en-AU"/>
        </w:rPr>
        <w:t>a</w:t>
      </w:r>
      <w:r w:rsidR="002251EE" w:rsidRPr="008B029F">
        <w:rPr>
          <w:lang w:val="en-AU"/>
        </w:rPr>
        <w:t xml:space="preserve">bnormalities </w:t>
      </w:r>
      <w:r w:rsidR="00916648" w:rsidRPr="008B029F">
        <w:rPr>
          <w:lang w:val="en-AU"/>
        </w:rPr>
        <w:t>w</w:t>
      </w:r>
      <w:r w:rsidR="002251EE" w:rsidRPr="008B029F">
        <w:rPr>
          <w:lang w:val="en-AU"/>
        </w:rPr>
        <w:t xml:space="preserve">orsening from </w:t>
      </w:r>
      <w:r w:rsidR="00916648" w:rsidRPr="008B029F">
        <w:rPr>
          <w:lang w:val="en-AU"/>
        </w:rPr>
        <w:t>b</w:t>
      </w:r>
      <w:r w:rsidR="002251EE" w:rsidRPr="008B029F">
        <w:rPr>
          <w:lang w:val="en-AU"/>
        </w:rPr>
        <w:t xml:space="preserve">aseline </w:t>
      </w:r>
      <w:r w:rsidR="00916648" w:rsidRPr="008B029F">
        <w:rPr>
          <w:lang w:val="en-AU"/>
        </w:rPr>
        <w:t>o</w:t>
      </w:r>
      <w:r w:rsidR="002251EE" w:rsidRPr="008B029F">
        <w:rPr>
          <w:lang w:val="en-AU"/>
        </w:rPr>
        <w:t>ccurring in ≥20%</w:t>
      </w:r>
      <w:r w:rsidR="00681ADE" w:rsidRPr="008B029F">
        <w:rPr>
          <w:vertAlign w:val="superscript"/>
          <w:lang w:val="en-AU"/>
        </w:rPr>
        <w:t>a</w:t>
      </w:r>
      <w:r w:rsidR="002251EE" w:rsidRPr="008B029F">
        <w:rPr>
          <w:lang w:val="en-AU"/>
        </w:rPr>
        <w:t xml:space="preserve"> of </w:t>
      </w:r>
      <w:r w:rsidR="00916648" w:rsidRPr="008B029F">
        <w:rPr>
          <w:lang w:val="en-AU"/>
        </w:rPr>
        <w:t>p</w:t>
      </w:r>
      <w:r w:rsidR="002251EE" w:rsidRPr="008B029F">
        <w:rPr>
          <w:lang w:val="en-AU"/>
        </w:rPr>
        <w:t xml:space="preserve">atients in the CASPIAN study </w:t>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08"/>
        <w:gridCol w:w="3119"/>
        <w:gridCol w:w="2388"/>
      </w:tblGrid>
      <w:tr w:rsidR="00681ADE" w:rsidRPr="008B029F" w14:paraId="04718C42" w14:textId="77777777" w:rsidTr="00681ADE">
        <w:trPr>
          <w:cantSplit/>
          <w:tblHeader/>
        </w:trPr>
        <w:tc>
          <w:tcPr>
            <w:tcW w:w="2136" w:type="pct"/>
            <w:vMerge w:val="restart"/>
            <w:shd w:val="clear" w:color="auto" w:fill="auto"/>
            <w:vAlign w:val="center"/>
          </w:tcPr>
          <w:p w14:paraId="6DC6AFBE" w14:textId="638F684A" w:rsidR="00681ADE" w:rsidRPr="008B029F" w:rsidRDefault="00681ADE" w:rsidP="00B055A4">
            <w:pPr>
              <w:pStyle w:val="TableHead"/>
              <w:jc w:val="left"/>
              <w:rPr>
                <w:lang w:val="en-AU"/>
              </w:rPr>
            </w:pPr>
            <w:r w:rsidRPr="008B029F">
              <w:rPr>
                <w:lang w:val="en-AU"/>
              </w:rPr>
              <w:t>Laboratory Abnormality</w:t>
            </w:r>
          </w:p>
        </w:tc>
        <w:tc>
          <w:tcPr>
            <w:tcW w:w="1622" w:type="pct"/>
            <w:shd w:val="clear" w:color="auto" w:fill="auto"/>
          </w:tcPr>
          <w:p w14:paraId="7A51107E" w14:textId="77777777" w:rsidR="00681ADE" w:rsidRPr="008B029F" w:rsidRDefault="00681ADE" w:rsidP="00B055A4">
            <w:pPr>
              <w:pStyle w:val="TableHead"/>
              <w:rPr>
                <w:lang w:val="en-AU"/>
              </w:rPr>
            </w:pPr>
            <w:r w:rsidRPr="008B029F">
              <w:rPr>
                <w:lang w:val="en-AU"/>
              </w:rPr>
              <w:t xml:space="preserve">IMFINZI with Etoposide and either Carboplatin or Cisplatin </w:t>
            </w:r>
          </w:p>
        </w:tc>
        <w:tc>
          <w:tcPr>
            <w:tcW w:w="1242" w:type="pct"/>
            <w:shd w:val="clear" w:color="auto" w:fill="auto"/>
          </w:tcPr>
          <w:p w14:paraId="12F2B760" w14:textId="77777777" w:rsidR="00681ADE" w:rsidRPr="008B029F" w:rsidRDefault="00681ADE" w:rsidP="00B055A4">
            <w:pPr>
              <w:pStyle w:val="TableHead"/>
              <w:rPr>
                <w:lang w:val="en-AU"/>
              </w:rPr>
            </w:pPr>
            <w:r w:rsidRPr="008B029F">
              <w:rPr>
                <w:lang w:val="en-AU"/>
              </w:rPr>
              <w:t xml:space="preserve">Etoposide and either Carboplatin or Cisplatin </w:t>
            </w:r>
          </w:p>
        </w:tc>
      </w:tr>
      <w:tr w:rsidR="00681ADE" w:rsidRPr="008B029F" w14:paraId="780DFA14" w14:textId="77777777" w:rsidTr="00681ADE">
        <w:trPr>
          <w:cantSplit/>
        </w:trPr>
        <w:tc>
          <w:tcPr>
            <w:tcW w:w="2136" w:type="pct"/>
            <w:vMerge/>
            <w:shd w:val="clear" w:color="auto" w:fill="auto"/>
          </w:tcPr>
          <w:p w14:paraId="131E842A" w14:textId="6FC13EB4" w:rsidR="00681ADE" w:rsidRPr="008B029F" w:rsidRDefault="00681ADE" w:rsidP="00B055A4">
            <w:pPr>
              <w:pStyle w:val="TableHead"/>
              <w:rPr>
                <w:bCs/>
                <w:lang w:val="en-AU"/>
              </w:rPr>
            </w:pPr>
          </w:p>
        </w:tc>
        <w:tc>
          <w:tcPr>
            <w:tcW w:w="1622" w:type="pct"/>
            <w:shd w:val="clear" w:color="auto" w:fill="auto"/>
          </w:tcPr>
          <w:p w14:paraId="14C0FDFA" w14:textId="050E01DF" w:rsidR="00681ADE" w:rsidRPr="008B029F" w:rsidRDefault="00681ADE" w:rsidP="00B055A4">
            <w:pPr>
              <w:pStyle w:val="TableHead"/>
              <w:rPr>
                <w:lang w:val="en-AU"/>
              </w:rPr>
            </w:pPr>
            <w:r w:rsidRPr="008B029F">
              <w:rPr>
                <w:lang w:val="en-AU"/>
              </w:rPr>
              <w:t>Grade</w:t>
            </w:r>
            <w:r w:rsidRPr="008B029F">
              <w:rPr>
                <w:vertAlign w:val="superscript"/>
                <w:lang w:val="en-AU"/>
              </w:rPr>
              <w:t>b</w:t>
            </w:r>
            <w:r w:rsidRPr="008B029F">
              <w:rPr>
                <w:lang w:val="en-AU"/>
              </w:rPr>
              <w:t xml:space="preserve"> 3 or 4 (%)</w:t>
            </w:r>
            <w:r w:rsidRPr="008B029F">
              <w:rPr>
                <w:vertAlign w:val="superscript"/>
                <w:lang w:val="en-AU"/>
              </w:rPr>
              <w:t>c</w:t>
            </w:r>
          </w:p>
        </w:tc>
        <w:tc>
          <w:tcPr>
            <w:tcW w:w="1242" w:type="pct"/>
            <w:shd w:val="clear" w:color="auto" w:fill="auto"/>
          </w:tcPr>
          <w:p w14:paraId="4ADC1492" w14:textId="63E49B7D" w:rsidR="00681ADE" w:rsidRPr="008B029F" w:rsidRDefault="00681ADE" w:rsidP="00B055A4">
            <w:pPr>
              <w:pStyle w:val="TableHead"/>
              <w:rPr>
                <w:lang w:val="en-AU"/>
              </w:rPr>
            </w:pPr>
            <w:r w:rsidRPr="008B029F">
              <w:rPr>
                <w:lang w:val="en-AU"/>
              </w:rPr>
              <w:t>Grade</w:t>
            </w:r>
            <w:r w:rsidRPr="008B029F">
              <w:rPr>
                <w:vertAlign w:val="superscript"/>
                <w:lang w:val="en-AU"/>
              </w:rPr>
              <w:t>b</w:t>
            </w:r>
            <w:r w:rsidRPr="008B029F">
              <w:rPr>
                <w:lang w:val="en-AU"/>
              </w:rPr>
              <w:t xml:space="preserve"> 3 or 4 (%)</w:t>
            </w:r>
            <w:r w:rsidRPr="008B029F">
              <w:rPr>
                <w:vertAlign w:val="superscript"/>
                <w:lang w:val="en-AU"/>
              </w:rPr>
              <w:t>c</w:t>
            </w:r>
          </w:p>
        </w:tc>
      </w:tr>
      <w:tr w:rsidR="0041703F" w:rsidRPr="008B029F" w14:paraId="6B424FAE" w14:textId="77777777" w:rsidTr="002251EE">
        <w:trPr>
          <w:cantSplit/>
        </w:trPr>
        <w:tc>
          <w:tcPr>
            <w:tcW w:w="5000" w:type="pct"/>
            <w:gridSpan w:val="3"/>
            <w:shd w:val="clear" w:color="auto" w:fill="auto"/>
          </w:tcPr>
          <w:p w14:paraId="4B3FD7B0" w14:textId="77777777" w:rsidR="0041703F" w:rsidRPr="008B029F" w:rsidRDefault="0041703F" w:rsidP="00B055A4">
            <w:pPr>
              <w:pStyle w:val="TableLeft"/>
              <w:rPr>
                <w:b/>
                <w:bCs w:val="0"/>
                <w:lang w:val="en-AU"/>
              </w:rPr>
            </w:pPr>
            <w:r w:rsidRPr="008B029F">
              <w:rPr>
                <w:b/>
                <w:bCs w:val="0"/>
                <w:lang w:val="en-AU"/>
              </w:rPr>
              <w:t>Chemistry</w:t>
            </w:r>
          </w:p>
        </w:tc>
      </w:tr>
      <w:tr w:rsidR="0041703F" w:rsidRPr="008B029F" w14:paraId="1FCB34DB" w14:textId="77777777" w:rsidTr="00681ADE">
        <w:trPr>
          <w:cantSplit/>
        </w:trPr>
        <w:tc>
          <w:tcPr>
            <w:tcW w:w="2136" w:type="pct"/>
            <w:shd w:val="clear" w:color="auto" w:fill="auto"/>
          </w:tcPr>
          <w:p w14:paraId="69F7B0C2" w14:textId="326CFB36" w:rsidR="0041703F" w:rsidRPr="008B029F" w:rsidRDefault="0041703F" w:rsidP="00B055A4">
            <w:pPr>
              <w:pStyle w:val="TableLeft"/>
              <w:rPr>
                <w:lang w:val="en-AU"/>
              </w:rPr>
            </w:pPr>
            <w:r w:rsidRPr="008B029F">
              <w:rPr>
                <w:lang w:val="en-AU"/>
              </w:rPr>
              <w:t>Hyponatr</w:t>
            </w:r>
            <w:r w:rsidR="003259E5" w:rsidRPr="008B029F">
              <w:rPr>
                <w:lang w:val="en-AU"/>
              </w:rPr>
              <w:t>a</w:t>
            </w:r>
            <w:r w:rsidRPr="008B029F">
              <w:rPr>
                <w:lang w:val="en-AU"/>
              </w:rPr>
              <w:t>emia</w:t>
            </w:r>
          </w:p>
        </w:tc>
        <w:tc>
          <w:tcPr>
            <w:tcW w:w="1622" w:type="pct"/>
            <w:shd w:val="clear" w:color="auto" w:fill="auto"/>
          </w:tcPr>
          <w:p w14:paraId="5E44E7B4" w14:textId="77777777" w:rsidR="0041703F" w:rsidRPr="008B029F" w:rsidRDefault="0041703F" w:rsidP="00B055A4">
            <w:pPr>
              <w:pStyle w:val="TableCenter"/>
              <w:rPr>
                <w:lang w:val="en-AU"/>
              </w:rPr>
            </w:pPr>
            <w:r w:rsidRPr="008B029F">
              <w:rPr>
                <w:lang w:val="en-AU"/>
              </w:rPr>
              <w:t>11</w:t>
            </w:r>
          </w:p>
        </w:tc>
        <w:tc>
          <w:tcPr>
            <w:tcW w:w="1242" w:type="pct"/>
            <w:shd w:val="clear" w:color="auto" w:fill="auto"/>
          </w:tcPr>
          <w:p w14:paraId="1479CD71" w14:textId="77777777" w:rsidR="0041703F" w:rsidRPr="008B029F" w:rsidRDefault="0041703F" w:rsidP="00B055A4">
            <w:pPr>
              <w:pStyle w:val="TableCenter"/>
              <w:rPr>
                <w:lang w:val="en-AU"/>
              </w:rPr>
            </w:pPr>
            <w:r w:rsidRPr="008B029F">
              <w:rPr>
                <w:lang w:val="en-AU"/>
              </w:rPr>
              <w:t>13</w:t>
            </w:r>
          </w:p>
        </w:tc>
      </w:tr>
      <w:tr w:rsidR="0041703F" w:rsidRPr="008B029F" w14:paraId="69F573A2" w14:textId="77777777" w:rsidTr="00681ADE">
        <w:trPr>
          <w:cantSplit/>
        </w:trPr>
        <w:tc>
          <w:tcPr>
            <w:tcW w:w="2136" w:type="pct"/>
            <w:shd w:val="clear" w:color="auto" w:fill="auto"/>
          </w:tcPr>
          <w:p w14:paraId="51B77000" w14:textId="77777777" w:rsidR="0041703F" w:rsidRPr="008B029F" w:rsidRDefault="0041703F" w:rsidP="00B055A4">
            <w:pPr>
              <w:pStyle w:val="TableLeft"/>
              <w:rPr>
                <w:lang w:val="en-AU"/>
              </w:rPr>
            </w:pPr>
            <w:r w:rsidRPr="008B029F">
              <w:rPr>
                <w:lang w:val="en-AU"/>
              </w:rPr>
              <w:t>Hypomagnesemia</w:t>
            </w:r>
          </w:p>
        </w:tc>
        <w:tc>
          <w:tcPr>
            <w:tcW w:w="1622" w:type="pct"/>
            <w:shd w:val="clear" w:color="auto" w:fill="auto"/>
          </w:tcPr>
          <w:p w14:paraId="0550A3EB" w14:textId="77777777" w:rsidR="0041703F" w:rsidRPr="008B029F" w:rsidRDefault="0041703F" w:rsidP="00B055A4">
            <w:pPr>
              <w:pStyle w:val="TableCenter"/>
              <w:rPr>
                <w:lang w:val="en-AU"/>
              </w:rPr>
            </w:pPr>
            <w:r w:rsidRPr="008B029F">
              <w:rPr>
                <w:lang w:val="en-AU"/>
              </w:rPr>
              <w:t>11</w:t>
            </w:r>
          </w:p>
        </w:tc>
        <w:tc>
          <w:tcPr>
            <w:tcW w:w="1242" w:type="pct"/>
            <w:shd w:val="clear" w:color="auto" w:fill="auto"/>
          </w:tcPr>
          <w:p w14:paraId="01AD21C7" w14:textId="77777777" w:rsidR="0041703F" w:rsidRPr="008B029F" w:rsidRDefault="0041703F" w:rsidP="00B055A4">
            <w:pPr>
              <w:pStyle w:val="TableCenter"/>
              <w:rPr>
                <w:lang w:val="en-AU"/>
              </w:rPr>
            </w:pPr>
            <w:r w:rsidRPr="008B029F">
              <w:rPr>
                <w:lang w:val="en-AU"/>
              </w:rPr>
              <w:t>6</w:t>
            </w:r>
          </w:p>
        </w:tc>
      </w:tr>
      <w:tr w:rsidR="0041703F" w:rsidRPr="008B029F" w14:paraId="2008606E" w14:textId="77777777" w:rsidTr="00681ADE">
        <w:trPr>
          <w:cantSplit/>
        </w:trPr>
        <w:tc>
          <w:tcPr>
            <w:tcW w:w="2136" w:type="pct"/>
            <w:shd w:val="clear" w:color="auto" w:fill="auto"/>
          </w:tcPr>
          <w:p w14:paraId="0861EB5E" w14:textId="0CF1C706" w:rsidR="0041703F" w:rsidRPr="008B029F" w:rsidRDefault="0041703F" w:rsidP="00B055A4">
            <w:pPr>
              <w:pStyle w:val="TableLeft"/>
              <w:rPr>
                <w:lang w:val="en-AU"/>
              </w:rPr>
            </w:pPr>
            <w:r w:rsidRPr="008B029F">
              <w:rPr>
                <w:lang w:val="en-AU"/>
              </w:rPr>
              <w:t>Hyperglyc</w:t>
            </w:r>
            <w:r w:rsidR="003259E5" w:rsidRPr="008B029F">
              <w:rPr>
                <w:lang w:val="en-AU"/>
              </w:rPr>
              <w:t>a</w:t>
            </w:r>
            <w:r w:rsidRPr="008B029F">
              <w:rPr>
                <w:lang w:val="en-AU"/>
              </w:rPr>
              <w:t>emia</w:t>
            </w:r>
          </w:p>
        </w:tc>
        <w:tc>
          <w:tcPr>
            <w:tcW w:w="1622" w:type="pct"/>
            <w:shd w:val="clear" w:color="auto" w:fill="auto"/>
          </w:tcPr>
          <w:p w14:paraId="2F8F33A4" w14:textId="77777777" w:rsidR="0041703F" w:rsidRPr="008B029F" w:rsidRDefault="0041703F" w:rsidP="00B055A4">
            <w:pPr>
              <w:pStyle w:val="TableCenter"/>
              <w:rPr>
                <w:lang w:val="en-AU"/>
              </w:rPr>
            </w:pPr>
            <w:r w:rsidRPr="008B029F">
              <w:rPr>
                <w:lang w:val="en-AU"/>
              </w:rPr>
              <w:t>5</w:t>
            </w:r>
          </w:p>
        </w:tc>
        <w:tc>
          <w:tcPr>
            <w:tcW w:w="1242" w:type="pct"/>
            <w:shd w:val="clear" w:color="auto" w:fill="auto"/>
          </w:tcPr>
          <w:p w14:paraId="23BCE0CA" w14:textId="77777777" w:rsidR="0041703F" w:rsidRPr="008B029F" w:rsidRDefault="0041703F" w:rsidP="00B055A4">
            <w:pPr>
              <w:pStyle w:val="TableCenter"/>
              <w:rPr>
                <w:lang w:val="en-AU"/>
              </w:rPr>
            </w:pPr>
            <w:r w:rsidRPr="008B029F">
              <w:rPr>
                <w:lang w:val="en-AU"/>
              </w:rPr>
              <w:t>5</w:t>
            </w:r>
          </w:p>
        </w:tc>
      </w:tr>
      <w:tr w:rsidR="0041703F" w:rsidRPr="008B029F" w14:paraId="69E01651" w14:textId="77777777" w:rsidTr="00681ADE">
        <w:trPr>
          <w:cantSplit/>
        </w:trPr>
        <w:tc>
          <w:tcPr>
            <w:tcW w:w="2136" w:type="pct"/>
            <w:shd w:val="clear" w:color="auto" w:fill="auto"/>
          </w:tcPr>
          <w:p w14:paraId="7C681487" w14:textId="52398133" w:rsidR="0041703F" w:rsidRPr="008B029F" w:rsidRDefault="0041703F" w:rsidP="00B055A4">
            <w:pPr>
              <w:pStyle w:val="TableLeft"/>
              <w:rPr>
                <w:lang w:val="en-AU"/>
              </w:rPr>
            </w:pPr>
            <w:r w:rsidRPr="008B029F">
              <w:rPr>
                <w:lang w:val="en-AU"/>
              </w:rPr>
              <w:t xml:space="preserve">Increased </w:t>
            </w:r>
            <w:r w:rsidR="00916648" w:rsidRPr="008B029F">
              <w:rPr>
                <w:lang w:val="en-AU"/>
              </w:rPr>
              <w:t>a</w:t>
            </w:r>
            <w:r w:rsidRPr="008B029F">
              <w:rPr>
                <w:lang w:val="en-AU"/>
              </w:rPr>
              <w:t xml:space="preserve">lkaline </w:t>
            </w:r>
            <w:r w:rsidR="00916648" w:rsidRPr="008B029F">
              <w:rPr>
                <w:lang w:val="en-AU"/>
              </w:rPr>
              <w:t>p</w:t>
            </w:r>
            <w:r w:rsidRPr="008B029F">
              <w:rPr>
                <w:lang w:val="en-AU"/>
              </w:rPr>
              <w:t>hosphatase</w:t>
            </w:r>
          </w:p>
        </w:tc>
        <w:tc>
          <w:tcPr>
            <w:tcW w:w="1622" w:type="pct"/>
            <w:shd w:val="clear" w:color="auto" w:fill="auto"/>
          </w:tcPr>
          <w:p w14:paraId="3FE88491" w14:textId="77777777" w:rsidR="0041703F" w:rsidRPr="008B029F" w:rsidRDefault="0041703F" w:rsidP="00B055A4">
            <w:pPr>
              <w:pStyle w:val="TableCenter"/>
              <w:rPr>
                <w:lang w:val="en-AU"/>
              </w:rPr>
            </w:pPr>
            <w:r w:rsidRPr="008B029F">
              <w:rPr>
                <w:lang w:val="en-AU"/>
              </w:rPr>
              <w:t>4.9</w:t>
            </w:r>
          </w:p>
        </w:tc>
        <w:tc>
          <w:tcPr>
            <w:tcW w:w="1242" w:type="pct"/>
            <w:shd w:val="clear" w:color="auto" w:fill="auto"/>
          </w:tcPr>
          <w:p w14:paraId="56327C86" w14:textId="77777777" w:rsidR="0041703F" w:rsidRPr="008B029F" w:rsidRDefault="0041703F" w:rsidP="00B055A4">
            <w:pPr>
              <w:pStyle w:val="TableCenter"/>
              <w:rPr>
                <w:lang w:val="en-AU"/>
              </w:rPr>
            </w:pPr>
            <w:r w:rsidRPr="008B029F">
              <w:rPr>
                <w:lang w:val="en-AU"/>
              </w:rPr>
              <w:t>3.5</w:t>
            </w:r>
          </w:p>
        </w:tc>
      </w:tr>
      <w:tr w:rsidR="0041703F" w:rsidRPr="008B029F" w14:paraId="5433762D" w14:textId="77777777" w:rsidTr="00681ADE">
        <w:trPr>
          <w:cantSplit/>
        </w:trPr>
        <w:tc>
          <w:tcPr>
            <w:tcW w:w="2136" w:type="pct"/>
            <w:shd w:val="clear" w:color="auto" w:fill="auto"/>
          </w:tcPr>
          <w:p w14:paraId="54C50202" w14:textId="77777777" w:rsidR="0041703F" w:rsidRPr="008B029F" w:rsidRDefault="0041703F" w:rsidP="00B055A4">
            <w:pPr>
              <w:pStyle w:val="TableLeft"/>
              <w:rPr>
                <w:lang w:val="en-AU"/>
              </w:rPr>
            </w:pPr>
            <w:r w:rsidRPr="008B029F">
              <w:rPr>
                <w:lang w:val="en-AU"/>
              </w:rPr>
              <w:t>Increased ALT</w:t>
            </w:r>
          </w:p>
        </w:tc>
        <w:tc>
          <w:tcPr>
            <w:tcW w:w="1622" w:type="pct"/>
            <w:shd w:val="clear" w:color="auto" w:fill="auto"/>
          </w:tcPr>
          <w:p w14:paraId="24EAE5BD" w14:textId="77777777" w:rsidR="0041703F" w:rsidRPr="008B029F" w:rsidRDefault="0041703F" w:rsidP="00B055A4">
            <w:pPr>
              <w:pStyle w:val="TableCenter"/>
              <w:rPr>
                <w:lang w:val="en-AU"/>
              </w:rPr>
            </w:pPr>
            <w:r w:rsidRPr="008B029F">
              <w:rPr>
                <w:lang w:val="en-AU"/>
              </w:rPr>
              <w:t>4.9</w:t>
            </w:r>
          </w:p>
        </w:tc>
        <w:tc>
          <w:tcPr>
            <w:tcW w:w="1242" w:type="pct"/>
            <w:shd w:val="clear" w:color="auto" w:fill="auto"/>
          </w:tcPr>
          <w:p w14:paraId="627C436C" w14:textId="77777777" w:rsidR="0041703F" w:rsidRPr="008B029F" w:rsidRDefault="0041703F" w:rsidP="00B055A4">
            <w:pPr>
              <w:pStyle w:val="TableCenter"/>
              <w:rPr>
                <w:lang w:val="en-AU"/>
              </w:rPr>
            </w:pPr>
            <w:r w:rsidRPr="008B029F">
              <w:rPr>
                <w:lang w:val="en-AU"/>
              </w:rPr>
              <w:t>2.7</w:t>
            </w:r>
          </w:p>
        </w:tc>
      </w:tr>
      <w:tr w:rsidR="0041703F" w:rsidRPr="008B029F" w14:paraId="01259112" w14:textId="77777777" w:rsidTr="00681ADE">
        <w:trPr>
          <w:cantSplit/>
        </w:trPr>
        <w:tc>
          <w:tcPr>
            <w:tcW w:w="2136" w:type="pct"/>
            <w:shd w:val="clear" w:color="auto" w:fill="auto"/>
          </w:tcPr>
          <w:p w14:paraId="5549846C" w14:textId="77777777" w:rsidR="0041703F" w:rsidRPr="008B029F" w:rsidRDefault="0041703F" w:rsidP="00B055A4">
            <w:pPr>
              <w:pStyle w:val="TableLeft"/>
              <w:rPr>
                <w:lang w:val="en-AU"/>
              </w:rPr>
            </w:pPr>
            <w:r w:rsidRPr="008B029F">
              <w:rPr>
                <w:lang w:val="en-AU"/>
              </w:rPr>
              <w:t>Increased AST</w:t>
            </w:r>
          </w:p>
        </w:tc>
        <w:tc>
          <w:tcPr>
            <w:tcW w:w="1622" w:type="pct"/>
            <w:shd w:val="clear" w:color="auto" w:fill="auto"/>
          </w:tcPr>
          <w:p w14:paraId="006A088B" w14:textId="77777777" w:rsidR="0041703F" w:rsidRPr="008B029F" w:rsidRDefault="0041703F" w:rsidP="00B055A4">
            <w:pPr>
              <w:pStyle w:val="TableCenter"/>
              <w:rPr>
                <w:lang w:val="en-AU"/>
              </w:rPr>
            </w:pPr>
            <w:r w:rsidRPr="008B029F">
              <w:rPr>
                <w:lang w:val="en-AU"/>
              </w:rPr>
              <w:t>4.6</w:t>
            </w:r>
          </w:p>
        </w:tc>
        <w:tc>
          <w:tcPr>
            <w:tcW w:w="1242" w:type="pct"/>
            <w:shd w:val="clear" w:color="auto" w:fill="auto"/>
          </w:tcPr>
          <w:p w14:paraId="7ED65FC9" w14:textId="77777777" w:rsidR="0041703F" w:rsidRPr="008B029F" w:rsidRDefault="0041703F" w:rsidP="00B055A4">
            <w:pPr>
              <w:pStyle w:val="TableCenter"/>
              <w:rPr>
                <w:lang w:val="en-AU"/>
              </w:rPr>
            </w:pPr>
            <w:r w:rsidRPr="008B029F">
              <w:rPr>
                <w:lang w:val="en-AU"/>
              </w:rPr>
              <w:t>1.2</w:t>
            </w:r>
          </w:p>
        </w:tc>
      </w:tr>
      <w:tr w:rsidR="0041703F" w:rsidRPr="008B029F" w14:paraId="7D0769CF" w14:textId="77777777" w:rsidTr="00681ADE">
        <w:trPr>
          <w:cantSplit/>
        </w:trPr>
        <w:tc>
          <w:tcPr>
            <w:tcW w:w="2136" w:type="pct"/>
            <w:shd w:val="clear" w:color="auto" w:fill="auto"/>
          </w:tcPr>
          <w:p w14:paraId="193B0262" w14:textId="7D0C70E9" w:rsidR="0041703F" w:rsidRPr="008B029F" w:rsidRDefault="0041703F" w:rsidP="00B055A4">
            <w:pPr>
              <w:pStyle w:val="TableLeft"/>
              <w:rPr>
                <w:lang w:val="en-AU"/>
              </w:rPr>
            </w:pPr>
            <w:r w:rsidRPr="008B029F">
              <w:rPr>
                <w:lang w:val="en-AU"/>
              </w:rPr>
              <w:t>Hypocalc</w:t>
            </w:r>
            <w:r w:rsidR="00FB0582" w:rsidRPr="008B029F">
              <w:rPr>
                <w:lang w:val="en-AU"/>
              </w:rPr>
              <w:t>a</w:t>
            </w:r>
            <w:r w:rsidRPr="008B029F">
              <w:rPr>
                <w:lang w:val="en-AU"/>
              </w:rPr>
              <w:t>emia</w:t>
            </w:r>
          </w:p>
        </w:tc>
        <w:tc>
          <w:tcPr>
            <w:tcW w:w="1622" w:type="pct"/>
            <w:shd w:val="clear" w:color="auto" w:fill="auto"/>
          </w:tcPr>
          <w:p w14:paraId="07D72ED7" w14:textId="77777777" w:rsidR="0041703F" w:rsidRPr="008B029F" w:rsidRDefault="0041703F" w:rsidP="00B055A4">
            <w:pPr>
              <w:pStyle w:val="TableCenter"/>
              <w:rPr>
                <w:lang w:val="en-AU"/>
              </w:rPr>
            </w:pPr>
            <w:r w:rsidRPr="008B029F">
              <w:rPr>
                <w:lang w:val="en-AU"/>
              </w:rPr>
              <w:t>3.5</w:t>
            </w:r>
          </w:p>
        </w:tc>
        <w:tc>
          <w:tcPr>
            <w:tcW w:w="1242" w:type="pct"/>
            <w:shd w:val="clear" w:color="auto" w:fill="auto"/>
          </w:tcPr>
          <w:p w14:paraId="652CA6C9" w14:textId="77777777" w:rsidR="0041703F" w:rsidRPr="008B029F" w:rsidRDefault="0041703F" w:rsidP="00B055A4">
            <w:pPr>
              <w:pStyle w:val="TableCenter"/>
              <w:rPr>
                <w:lang w:val="en-AU"/>
              </w:rPr>
            </w:pPr>
            <w:r w:rsidRPr="008B029F">
              <w:rPr>
                <w:lang w:val="en-AU"/>
              </w:rPr>
              <w:t>2.4</w:t>
            </w:r>
          </w:p>
        </w:tc>
      </w:tr>
      <w:tr w:rsidR="0041703F" w:rsidRPr="008B029F" w14:paraId="3946CDC6" w14:textId="77777777" w:rsidTr="00681ADE">
        <w:trPr>
          <w:cantSplit/>
        </w:trPr>
        <w:tc>
          <w:tcPr>
            <w:tcW w:w="2136" w:type="pct"/>
            <w:shd w:val="clear" w:color="auto" w:fill="auto"/>
          </w:tcPr>
          <w:p w14:paraId="20732B3A" w14:textId="77777777" w:rsidR="0041703F" w:rsidRPr="008B029F" w:rsidRDefault="0041703F" w:rsidP="00B055A4">
            <w:pPr>
              <w:pStyle w:val="TableLeft"/>
              <w:rPr>
                <w:lang w:val="en-AU"/>
              </w:rPr>
            </w:pPr>
            <w:r w:rsidRPr="008B029F">
              <w:rPr>
                <w:lang w:val="en-AU"/>
              </w:rPr>
              <w:t>Blood creatinine increased</w:t>
            </w:r>
          </w:p>
        </w:tc>
        <w:tc>
          <w:tcPr>
            <w:tcW w:w="1622" w:type="pct"/>
            <w:shd w:val="clear" w:color="auto" w:fill="auto"/>
          </w:tcPr>
          <w:p w14:paraId="7D4E21D0" w14:textId="77777777" w:rsidR="0041703F" w:rsidRPr="008B029F" w:rsidRDefault="0041703F" w:rsidP="00B055A4">
            <w:pPr>
              <w:pStyle w:val="TableCenter"/>
              <w:rPr>
                <w:lang w:val="en-AU"/>
              </w:rPr>
            </w:pPr>
            <w:r w:rsidRPr="008B029F">
              <w:rPr>
                <w:lang w:val="en-AU"/>
              </w:rPr>
              <w:t>3.4</w:t>
            </w:r>
          </w:p>
        </w:tc>
        <w:tc>
          <w:tcPr>
            <w:tcW w:w="1242" w:type="pct"/>
            <w:shd w:val="clear" w:color="auto" w:fill="auto"/>
          </w:tcPr>
          <w:p w14:paraId="39742F49" w14:textId="77777777" w:rsidR="0041703F" w:rsidRPr="008B029F" w:rsidRDefault="0041703F" w:rsidP="00B055A4">
            <w:pPr>
              <w:pStyle w:val="TableCenter"/>
              <w:rPr>
                <w:lang w:val="en-AU"/>
              </w:rPr>
            </w:pPr>
            <w:r w:rsidRPr="008B029F">
              <w:rPr>
                <w:lang w:val="en-AU"/>
              </w:rPr>
              <w:t>1.1</w:t>
            </w:r>
          </w:p>
        </w:tc>
      </w:tr>
      <w:tr w:rsidR="0041703F" w:rsidRPr="008B029F" w14:paraId="7D12EE00" w14:textId="77777777" w:rsidTr="00681ADE">
        <w:trPr>
          <w:cantSplit/>
        </w:trPr>
        <w:tc>
          <w:tcPr>
            <w:tcW w:w="2136" w:type="pct"/>
            <w:shd w:val="clear" w:color="auto" w:fill="auto"/>
          </w:tcPr>
          <w:p w14:paraId="6C50FEFE" w14:textId="4DCAF2D3" w:rsidR="0041703F" w:rsidRPr="008B029F" w:rsidRDefault="0041703F" w:rsidP="00B055A4">
            <w:pPr>
              <w:pStyle w:val="TableLeft"/>
              <w:rPr>
                <w:lang w:val="en-AU"/>
              </w:rPr>
            </w:pPr>
            <w:r w:rsidRPr="008B029F">
              <w:rPr>
                <w:lang w:val="en-AU"/>
              </w:rPr>
              <w:t>Hyperkal</w:t>
            </w:r>
            <w:r w:rsidR="003259E5" w:rsidRPr="008B029F">
              <w:rPr>
                <w:lang w:val="en-AU"/>
              </w:rPr>
              <w:t>a</w:t>
            </w:r>
            <w:r w:rsidRPr="008B029F">
              <w:rPr>
                <w:lang w:val="en-AU"/>
              </w:rPr>
              <w:t>emia</w:t>
            </w:r>
          </w:p>
        </w:tc>
        <w:tc>
          <w:tcPr>
            <w:tcW w:w="1622" w:type="pct"/>
            <w:shd w:val="clear" w:color="auto" w:fill="auto"/>
          </w:tcPr>
          <w:p w14:paraId="7A533CD9" w14:textId="77777777" w:rsidR="0041703F" w:rsidRPr="008B029F" w:rsidRDefault="0041703F" w:rsidP="00B055A4">
            <w:pPr>
              <w:pStyle w:val="TableCenter"/>
              <w:rPr>
                <w:lang w:val="en-AU"/>
              </w:rPr>
            </w:pPr>
            <w:r w:rsidRPr="008B029F">
              <w:rPr>
                <w:lang w:val="en-AU"/>
              </w:rPr>
              <w:t>1.5</w:t>
            </w:r>
          </w:p>
        </w:tc>
        <w:tc>
          <w:tcPr>
            <w:tcW w:w="1242" w:type="pct"/>
            <w:shd w:val="clear" w:color="auto" w:fill="auto"/>
          </w:tcPr>
          <w:p w14:paraId="6652444B" w14:textId="77777777" w:rsidR="0041703F" w:rsidRPr="008B029F" w:rsidRDefault="0041703F" w:rsidP="00B055A4">
            <w:pPr>
              <w:pStyle w:val="TableCenter"/>
              <w:rPr>
                <w:lang w:val="en-AU"/>
              </w:rPr>
            </w:pPr>
            <w:r w:rsidRPr="008B029F">
              <w:rPr>
                <w:lang w:val="en-AU"/>
              </w:rPr>
              <w:t>3.1</w:t>
            </w:r>
          </w:p>
        </w:tc>
      </w:tr>
      <w:tr w:rsidR="0041703F" w:rsidRPr="008B029F" w14:paraId="5AE9FF9C" w14:textId="77777777" w:rsidTr="00B055A4">
        <w:trPr>
          <w:cantSplit/>
        </w:trPr>
        <w:tc>
          <w:tcPr>
            <w:tcW w:w="2136" w:type="pct"/>
            <w:shd w:val="clear" w:color="auto" w:fill="auto"/>
          </w:tcPr>
          <w:p w14:paraId="5A416066" w14:textId="542E0777" w:rsidR="0041703F" w:rsidRPr="008B029F" w:rsidRDefault="0041703F" w:rsidP="00B055A4">
            <w:pPr>
              <w:pStyle w:val="TableLeft"/>
              <w:rPr>
                <w:lang w:val="en-AU"/>
              </w:rPr>
            </w:pPr>
            <w:r w:rsidRPr="008B029F">
              <w:rPr>
                <w:lang w:val="en-AU"/>
              </w:rPr>
              <w:t>TSH decreased &lt; LLN</w:t>
            </w:r>
            <w:r w:rsidR="00681ADE" w:rsidRPr="008B029F">
              <w:rPr>
                <w:vertAlign w:val="superscript"/>
                <w:lang w:val="en-AU"/>
              </w:rPr>
              <w:t>d</w:t>
            </w:r>
            <w:r w:rsidRPr="008B029F">
              <w:rPr>
                <w:lang w:val="en-AU"/>
              </w:rPr>
              <w:t xml:space="preserve"> and ≥ LLN at baseline</w:t>
            </w:r>
          </w:p>
        </w:tc>
        <w:tc>
          <w:tcPr>
            <w:tcW w:w="1622" w:type="pct"/>
            <w:shd w:val="clear" w:color="auto" w:fill="auto"/>
          </w:tcPr>
          <w:p w14:paraId="191C0033" w14:textId="77777777" w:rsidR="0041703F" w:rsidRPr="008B029F" w:rsidRDefault="0041703F" w:rsidP="00B055A4">
            <w:pPr>
              <w:pStyle w:val="TableCenter"/>
              <w:rPr>
                <w:lang w:val="en-AU"/>
              </w:rPr>
            </w:pPr>
            <w:r w:rsidRPr="008B029F">
              <w:rPr>
                <w:lang w:val="en-AU"/>
              </w:rPr>
              <w:t>NA</w:t>
            </w:r>
          </w:p>
        </w:tc>
        <w:tc>
          <w:tcPr>
            <w:tcW w:w="1242" w:type="pct"/>
            <w:shd w:val="clear" w:color="auto" w:fill="auto"/>
          </w:tcPr>
          <w:p w14:paraId="62406184" w14:textId="77777777" w:rsidR="0041703F" w:rsidRPr="008B029F" w:rsidRDefault="0041703F" w:rsidP="00B055A4">
            <w:pPr>
              <w:pStyle w:val="TableCenter"/>
              <w:rPr>
                <w:lang w:val="en-AU"/>
              </w:rPr>
            </w:pPr>
            <w:r w:rsidRPr="008B029F">
              <w:rPr>
                <w:lang w:val="en-AU"/>
              </w:rPr>
              <w:t>NA</w:t>
            </w:r>
          </w:p>
        </w:tc>
      </w:tr>
      <w:tr w:rsidR="0041703F" w:rsidRPr="008B029F" w14:paraId="3DDE855F" w14:textId="77777777" w:rsidTr="002251EE">
        <w:trPr>
          <w:cantSplit/>
        </w:trPr>
        <w:tc>
          <w:tcPr>
            <w:tcW w:w="5000" w:type="pct"/>
            <w:gridSpan w:val="3"/>
            <w:shd w:val="clear" w:color="auto" w:fill="auto"/>
          </w:tcPr>
          <w:p w14:paraId="5DFFEAC6" w14:textId="4C665F44" w:rsidR="0041703F" w:rsidRPr="008B029F" w:rsidRDefault="0041703F" w:rsidP="00B055A4">
            <w:pPr>
              <w:pStyle w:val="TableLeft"/>
              <w:rPr>
                <w:b/>
                <w:bCs w:val="0"/>
                <w:lang w:val="en-AU"/>
              </w:rPr>
            </w:pPr>
            <w:r w:rsidRPr="008B029F">
              <w:rPr>
                <w:b/>
                <w:bCs w:val="0"/>
                <w:lang w:val="en-AU"/>
              </w:rPr>
              <w:t>H</w:t>
            </w:r>
            <w:r w:rsidR="003259E5" w:rsidRPr="008B029F">
              <w:rPr>
                <w:b/>
                <w:bCs w:val="0"/>
                <w:lang w:val="en-AU"/>
              </w:rPr>
              <w:t>a</w:t>
            </w:r>
            <w:r w:rsidRPr="008B029F">
              <w:rPr>
                <w:b/>
                <w:bCs w:val="0"/>
                <w:lang w:val="en-AU"/>
              </w:rPr>
              <w:t>ematology</w:t>
            </w:r>
          </w:p>
        </w:tc>
      </w:tr>
      <w:tr w:rsidR="0041703F" w:rsidRPr="008B029F" w14:paraId="2AA67DB9" w14:textId="77777777" w:rsidTr="00681ADE">
        <w:trPr>
          <w:cantSplit/>
        </w:trPr>
        <w:tc>
          <w:tcPr>
            <w:tcW w:w="2136" w:type="pct"/>
            <w:shd w:val="clear" w:color="auto" w:fill="auto"/>
          </w:tcPr>
          <w:p w14:paraId="1CAF6661" w14:textId="77777777" w:rsidR="0041703F" w:rsidRPr="008B029F" w:rsidRDefault="0041703F" w:rsidP="00B055A4">
            <w:pPr>
              <w:pStyle w:val="TableLeft"/>
              <w:rPr>
                <w:lang w:val="en-AU"/>
              </w:rPr>
            </w:pPr>
            <w:r w:rsidRPr="008B029F">
              <w:rPr>
                <w:lang w:val="en-AU"/>
              </w:rPr>
              <w:t xml:space="preserve">Neutropenia </w:t>
            </w:r>
          </w:p>
        </w:tc>
        <w:tc>
          <w:tcPr>
            <w:tcW w:w="1622" w:type="pct"/>
            <w:shd w:val="clear" w:color="auto" w:fill="auto"/>
          </w:tcPr>
          <w:p w14:paraId="0FF75B0D" w14:textId="77777777" w:rsidR="0041703F" w:rsidRPr="008B029F" w:rsidRDefault="0041703F" w:rsidP="00B055A4">
            <w:pPr>
              <w:pStyle w:val="TableCenter"/>
              <w:rPr>
                <w:lang w:val="en-AU"/>
              </w:rPr>
            </w:pPr>
            <w:r w:rsidRPr="008B029F">
              <w:rPr>
                <w:lang w:val="en-AU"/>
              </w:rPr>
              <w:t>41</w:t>
            </w:r>
          </w:p>
        </w:tc>
        <w:tc>
          <w:tcPr>
            <w:tcW w:w="1242" w:type="pct"/>
            <w:shd w:val="clear" w:color="auto" w:fill="auto"/>
          </w:tcPr>
          <w:p w14:paraId="1F6CC3F6" w14:textId="77777777" w:rsidR="0041703F" w:rsidRPr="008B029F" w:rsidRDefault="0041703F" w:rsidP="00B055A4">
            <w:pPr>
              <w:pStyle w:val="TableCenter"/>
              <w:rPr>
                <w:lang w:val="en-AU"/>
              </w:rPr>
            </w:pPr>
            <w:r w:rsidRPr="008B029F">
              <w:rPr>
                <w:lang w:val="en-AU"/>
              </w:rPr>
              <w:t>48</w:t>
            </w:r>
          </w:p>
        </w:tc>
      </w:tr>
      <w:tr w:rsidR="0041703F" w:rsidRPr="008B029F" w14:paraId="1C6CA5CA" w14:textId="77777777" w:rsidTr="00681ADE">
        <w:trPr>
          <w:cantSplit/>
        </w:trPr>
        <w:tc>
          <w:tcPr>
            <w:tcW w:w="2136" w:type="pct"/>
            <w:shd w:val="clear" w:color="auto" w:fill="auto"/>
          </w:tcPr>
          <w:p w14:paraId="5031F560" w14:textId="77777777" w:rsidR="0041703F" w:rsidRPr="008B029F" w:rsidRDefault="0041703F" w:rsidP="00B055A4">
            <w:pPr>
              <w:pStyle w:val="TableLeft"/>
              <w:rPr>
                <w:lang w:val="en-AU"/>
              </w:rPr>
            </w:pPr>
            <w:r w:rsidRPr="008B029F">
              <w:rPr>
                <w:lang w:val="en-AU"/>
              </w:rPr>
              <w:t>Lymphopenia</w:t>
            </w:r>
          </w:p>
        </w:tc>
        <w:tc>
          <w:tcPr>
            <w:tcW w:w="1622" w:type="pct"/>
            <w:shd w:val="clear" w:color="auto" w:fill="auto"/>
          </w:tcPr>
          <w:p w14:paraId="279F558B" w14:textId="77777777" w:rsidR="0041703F" w:rsidRPr="008B029F" w:rsidRDefault="0041703F" w:rsidP="00B055A4">
            <w:pPr>
              <w:pStyle w:val="TableCenter"/>
              <w:rPr>
                <w:lang w:val="en-AU"/>
              </w:rPr>
            </w:pPr>
            <w:r w:rsidRPr="008B029F">
              <w:rPr>
                <w:lang w:val="en-AU"/>
              </w:rPr>
              <w:t>14</w:t>
            </w:r>
          </w:p>
        </w:tc>
        <w:tc>
          <w:tcPr>
            <w:tcW w:w="1242" w:type="pct"/>
            <w:shd w:val="clear" w:color="auto" w:fill="auto"/>
          </w:tcPr>
          <w:p w14:paraId="26A17E07" w14:textId="77777777" w:rsidR="0041703F" w:rsidRPr="008B029F" w:rsidRDefault="0041703F" w:rsidP="00B055A4">
            <w:pPr>
              <w:pStyle w:val="TableCenter"/>
              <w:rPr>
                <w:lang w:val="en-AU"/>
              </w:rPr>
            </w:pPr>
            <w:r w:rsidRPr="008B029F">
              <w:rPr>
                <w:lang w:val="en-AU"/>
              </w:rPr>
              <w:t>13</w:t>
            </w:r>
          </w:p>
        </w:tc>
      </w:tr>
      <w:tr w:rsidR="0041703F" w:rsidRPr="008B029F" w14:paraId="345E703C" w14:textId="77777777" w:rsidTr="00681ADE">
        <w:trPr>
          <w:cantSplit/>
        </w:trPr>
        <w:tc>
          <w:tcPr>
            <w:tcW w:w="2136" w:type="pct"/>
            <w:shd w:val="clear" w:color="auto" w:fill="auto"/>
          </w:tcPr>
          <w:p w14:paraId="0F2108A8" w14:textId="0E618228" w:rsidR="0041703F" w:rsidRPr="008B029F" w:rsidRDefault="0041703F" w:rsidP="00B055A4">
            <w:pPr>
              <w:pStyle w:val="TableLeft"/>
              <w:rPr>
                <w:lang w:val="en-AU"/>
              </w:rPr>
            </w:pPr>
            <w:r w:rsidRPr="008B029F">
              <w:rPr>
                <w:lang w:val="en-AU"/>
              </w:rPr>
              <w:t>An</w:t>
            </w:r>
            <w:r w:rsidR="003259E5" w:rsidRPr="008B029F">
              <w:rPr>
                <w:lang w:val="en-AU"/>
              </w:rPr>
              <w:t>a</w:t>
            </w:r>
            <w:r w:rsidRPr="008B029F">
              <w:rPr>
                <w:lang w:val="en-AU"/>
              </w:rPr>
              <w:t>emia</w:t>
            </w:r>
          </w:p>
        </w:tc>
        <w:tc>
          <w:tcPr>
            <w:tcW w:w="1622" w:type="pct"/>
            <w:shd w:val="clear" w:color="auto" w:fill="auto"/>
          </w:tcPr>
          <w:p w14:paraId="0155D972" w14:textId="77777777" w:rsidR="0041703F" w:rsidRPr="008B029F" w:rsidRDefault="0041703F" w:rsidP="00B055A4">
            <w:pPr>
              <w:pStyle w:val="TableCenter"/>
              <w:rPr>
                <w:lang w:val="en-AU"/>
              </w:rPr>
            </w:pPr>
            <w:r w:rsidRPr="008B029F">
              <w:rPr>
                <w:lang w:val="en-AU"/>
              </w:rPr>
              <w:t>13</w:t>
            </w:r>
          </w:p>
        </w:tc>
        <w:tc>
          <w:tcPr>
            <w:tcW w:w="1242" w:type="pct"/>
            <w:shd w:val="clear" w:color="auto" w:fill="auto"/>
          </w:tcPr>
          <w:p w14:paraId="558397AB" w14:textId="77777777" w:rsidR="0041703F" w:rsidRPr="008B029F" w:rsidRDefault="0041703F" w:rsidP="00B055A4">
            <w:pPr>
              <w:pStyle w:val="TableCenter"/>
              <w:rPr>
                <w:lang w:val="en-AU"/>
              </w:rPr>
            </w:pPr>
            <w:r w:rsidRPr="008B029F">
              <w:rPr>
                <w:lang w:val="en-AU"/>
              </w:rPr>
              <w:t>22</w:t>
            </w:r>
          </w:p>
        </w:tc>
      </w:tr>
      <w:tr w:rsidR="0041703F" w:rsidRPr="008B029F" w14:paraId="6494CEDF" w14:textId="77777777" w:rsidTr="00681ADE">
        <w:trPr>
          <w:cantSplit/>
        </w:trPr>
        <w:tc>
          <w:tcPr>
            <w:tcW w:w="2136" w:type="pct"/>
            <w:shd w:val="clear" w:color="auto" w:fill="auto"/>
          </w:tcPr>
          <w:p w14:paraId="26048F6E" w14:textId="77777777" w:rsidR="0041703F" w:rsidRPr="008B029F" w:rsidRDefault="0041703F" w:rsidP="00B055A4">
            <w:pPr>
              <w:pStyle w:val="TableLeft"/>
              <w:rPr>
                <w:lang w:val="en-AU"/>
              </w:rPr>
            </w:pPr>
            <w:r w:rsidRPr="008B029F">
              <w:rPr>
                <w:lang w:val="en-AU"/>
              </w:rPr>
              <w:lastRenderedPageBreak/>
              <w:t>Thrombocytopenia</w:t>
            </w:r>
          </w:p>
        </w:tc>
        <w:tc>
          <w:tcPr>
            <w:tcW w:w="1622" w:type="pct"/>
            <w:shd w:val="clear" w:color="auto" w:fill="auto"/>
          </w:tcPr>
          <w:p w14:paraId="17FF3C71" w14:textId="77777777" w:rsidR="0041703F" w:rsidRPr="008B029F" w:rsidRDefault="0041703F" w:rsidP="00B055A4">
            <w:pPr>
              <w:pStyle w:val="TableCenter"/>
              <w:rPr>
                <w:lang w:val="en-AU"/>
              </w:rPr>
            </w:pPr>
            <w:r w:rsidRPr="008B029F">
              <w:rPr>
                <w:lang w:val="en-AU"/>
              </w:rPr>
              <w:t>12</w:t>
            </w:r>
          </w:p>
        </w:tc>
        <w:tc>
          <w:tcPr>
            <w:tcW w:w="1242" w:type="pct"/>
            <w:shd w:val="clear" w:color="auto" w:fill="auto"/>
          </w:tcPr>
          <w:p w14:paraId="35BE677C" w14:textId="77777777" w:rsidR="0041703F" w:rsidRPr="008B029F" w:rsidRDefault="0041703F" w:rsidP="00B055A4">
            <w:pPr>
              <w:pStyle w:val="TableCenter"/>
              <w:rPr>
                <w:lang w:val="en-AU"/>
              </w:rPr>
            </w:pPr>
            <w:r w:rsidRPr="008B029F">
              <w:rPr>
                <w:lang w:val="en-AU"/>
              </w:rPr>
              <w:t>15</w:t>
            </w:r>
          </w:p>
        </w:tc>
      </w:tr>
    </w:tbl>
    <w:p w14:paraId="3BD11E26" w14:textId="04E14025" w:rsidR="0041703F" w:rsidRPr="008B029F" w:rsidRDefault="0041703F" w:rsidP="00B055A4">
      <w:pPr>
        <w:pStyle w:val="TableFootnoteLetter"/>
        <w:numPr>
          <w:ilvl w:val="0"/>
          <w:numId w:val="34"/>
        </w:numPr>
        <w:rPr>
          <w:lang w:val="en-AU"/>
        </w:rPr>
      </w:pPr>
      <w:r w:rsidRPr="008B029F">
        <w:rPr>
          <w:lang w:val="en-AU"/>
        </w:rPr>
        <w:t>The frequency cut off is based on any grade change from baseline</w:t>
      </w:r>
    </w:p>
    <w:p w14:paraId="607E692D" w14:textId="043FF028" w:rsidR="0041703F" w:rsidRPr="008B029F" w:rsidRDefault="0041703F" w:rsidP="00B055A4">
      <w:pPr>
        <w:pStyle w:val="TableFootnoteLetter"/>
        <w:rPr>
          <w:lang w:val="en-AU"/>
        </w:rPr>
      </w:pPr>
      <w:r w:rsidRPr="008B029F">
        <w:rPr>
          <w:lang w:val="en-AU"/>
        </w:rPr>
        <w:t>Graded according to NCI CTCAE version 4.03</w:t>
      </w:r>
    </w:p>
    <w:p w14:paraId="6C95C73A" w14:textId="23ECCE61" w:rsidR="0041703F" w:rsidRPr="008B029F" w:rsidRDefault="0041703F" w:rsidP="00B055A4">
      <w:pPr>
        <w:pStyle w:val="TableFootnoteLetter"/>
        <w:rPr>
          <w:lang w:val="en-AU"/>
        </w:rPr>
      </w:pPr>
      <w:r w:rsidRPr="008B029F">
        <w:rPr>
          <w:lang w:val="en-AU"/>
        </w:rPr>
        <w:t xml:space="preserve"> Each test incidence is based on the number of patients who had both baseline and at least one on-study laboratory measurement available: IMFINZI (range: 258 to 263) and chemotherapy (range: 253 to 262) except magnesium IMFINZI + chemotherapy (18) and chemotherapy (16) </w:t>
      </w:r>
    </w:p>
    <w:p w14:paraId="0B61229F" w14:textId="4EB61A48" w:rsidR="00FB0582" w:rsidRPr="008B029F" w:rsidRDefault="0041703F" w:rsidP="00B055A4">
      <w:pPr>
        <w:pStyle w:val="TableFootnoteLetter"/>
        <w:rPr>
          <w:lang w:val="en-AU"/>
        </w:rPr>
      </w:pPr>
      <w:r w:rsidRPr="008B029F">
        <w:rPr>
          <w:vertAlign w:val="superscript"/>
          <w:lang w:val="en-AU"/>
        </w:rPr>
        <w:t xml:space="preserve"> </w:t>
      </w:r>
      <w:r w:rsidRPr="008B029F">
        <w:rPr>
          <w:lang w:val="en-AU"/>
        </w:rPr>
        <w:t>LLN = lower limit of normal</w:t>
      </w:r>
    </w:p>
    <w:p w14:paraId="354D8963" w14:textId="77777777" w:rsidR="00D15D1C" w:rsidRPr="008B029F" w:rsidRDefault="00D15D1C" w:rsidP="00B055A4">
      <w:pPr>
        <w:pStyle w:val="Paragraph"/>
        <w:rPr>
          <w:lang w:val="en-AU"/>
        </w:rPr>
      </w:pPr>
    </w:p>
    <w:p w14:paraId="74E710C0" w14:textId="589CF4E0" w:rsidR="00D15D1C" w:rsidRPr="008B029F" w:rsidRDefault="00D15D1C" w:rsidP="00D15D1C">
      <w:pPr>
        <w:pStyle w:val="Paragraph"/>
        <w:rPr>
          <w:lang w:val="en-AU"/>
        </w:rPr>
      </w:pPr>
      <w:r w:rsidRPr="008B029F">
        <w:rPr>
          <w:lang w:val="en-AU"/>
        </w:rPr>
        <w:t>The proportion of patients who experienced a TSH shift from baseline that was ≤ ULN to any grade &gt; ULN was 17.7% and a TSH shift from baseline that was ≥ LLN to any grade &lt; LLN was 31.3%.</w:t>
      </w:r>
    </w:p>
    <w:p w14:paraId="619D5B56" w14:textId="2D0F8F10" w:rsidR="00D15D1C" w:rsidRPr="008B029F" w:rsidRDefault="00D15D1C" w:rsidP="00681ADE">
      <w:pPr>
        <w:pStyle w:val="Heading4Unnumbered"/>
        <w:rPr>
          <w:lang w:val="en-AU"/>
        </w:rPr>
      </w:pPr>
      <w:r w:rsidRPr="008B029F">
        <w:rPr>
          <w:lang w:val="en-AU"/>
        </w:rPr>
        <w:t xml:space="preserve">Malignant </w:t>
      </w:r>
      <w:r w:rsidR="00F2351D" w:rsidRPr="008B029F">
        <w:rPr>
          <w:lang w:val="en-AU"/>
        </w:rPr>
        <w:t>p</w:t>
      </w:r>
      <w:r w:rsidRPr="008B029F">
        <w:rPr>
          <w:lang w:val="en-AU"/>
        </w:rPr>
        <w:t xml:space="preserve">leural </w:t>
      </w:r>
      <w:r w:rsidR="00F2351D" w:rsidRPr="008B029F">
        <w:rPr>
          <w:lang w:val="en-AU"/>
        </w:rPr>
        <w:t>m</w:t>
      </w:r>
      <w:r w:rsidRPr="008B029F">
        <w:rPr>
          <w:lang w:val="en-AU"/>
        </w:rPr>
        <w:t>esothelioma (MPM)</w:t>
      </w:r>
    </w:p>
    <w:p w14:paraId="6CC5D8D1" w14:textId="51037664" w:rsidR="00D15D1C" w:rsidRPr="008B029F" w:rsidRDefault="00D15D1C" w:rsidP="00681ADE">
      <w:pPr>
        <w:pStyle w:val="Heading5unnumbered"/>
        <w:rPr>
          <w:lang w:val="en-AU"/>
        </w:rPr>
      </w:pPr>
      <w:r w:rsidRPr="008B029F">
        <w:rPr>
          <w:lang w:val="en-AU"/>
        </w:rPr>
        <w:t>PrE0505 study</w:t>
      </w:r>
    </w:p>
    <w:p w14:paraId="7D1BBD50" w14:textId="78733155" w:rsidR="00D15D1C" w:rsidRPr="008B029F" w:rsidRDefault="00D15D1C" w:rsidP="00D15D1C">
      <w:pPr>
        <w:pStyle w:val="Paragraph"/>
        <w:rPr>
          <w:rFonts w:ascii="Times New Roman,Times New Roman" w:eastAsia="Times New Roman,Times New Roman" w:hAnsi="Times New Roman,Times New Roman" w:cs="Times New Roman,Times New Roman"/>
          <w:lang w:val="en-AU"/>
        </w:rPr>
      </w:pPr>
      <w:r w:rsidRPr="008B029F">
        <w:rPr>
          <w:rFonts w:ascii="Times New Roman,Times New Roman" w:eastAsia="Times New Roman,Times New Roman" w:hAnsi="Times New Roman,Times New Roman" w:cs="Times New Roman,Times New Roman"/>
          <w:lang w:val="en-AU"/>
        </w:rPr>
        <w:t xml:space="preserve">The safety of IMFINZI in combination with pemetrexed and cisplatin or carboplatin in unresectable MPM was evaluated in PrE0505, an open-label, single arm, multicentre phase II study. A total of 55 patients received IMFINZI 1120 mg in combination with chemotherapy every 3 weeks for 6 cycles followed by IMFINZI 1120 mg every 3 weeks until disease progression, unacceptable toxicity or up to 12 months total therapy (see </w:t>
      </w:r>
      <w:r w:rsidR="00681ADE" w:rsidRPr="008B029F">
        <w:rPr>
          <w:lang w:val="en-AU"/>
        </w:rPr>
        <w:t xml:space="preserve">Section </w:t>
      </w:r>
      <w:r w:rsidR="00681ADE" w:rsidRPr="008B029F">
        <w:rPr>
          <w:color w:val="2B579A"/>
          <w:shd w:val="clear" w:color="auto" w:fill="E6E6E6"/>
          <w:lang w:val="en-AU"/>
        </w:rPr>
        <w:fldChar w:fldCharType="begin"/>
      </w:r>
      <w:r w:rsidR="00681ADE" w:rsidRPr="008B029F">
        <w:rPr>
          <w:lang w:val="en-AU"/>
        </w:rPr>
        <w:instrText xml:space="preserve"> REF _Ref121909874 \r \h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5.1</w:t>
      </w:r>
      <w:r w:rsidR="00681ADE" w:rsidRPr="008B029F">
        <w:rPr>
          <w:color w:val="2B579A"/>
          <w:shd w:val="clear" w:color="auto" w:fill="E6E6E6"/>
          <w:lang w:val="en-AU"/>
        </w:rPr>
        <w:fldChar w:fldCharType="end"/>
      </w:r>
      <w:r w:rsidR="00681ADE" w:rsidRPr="008B029F">
        <w:rPr>
          <w:lang w:val="en-AU"/>
        </w:rPr>
        <w:t xml:space="preserve"> </w:t>
      </w:r>
      <w:r w:rsidR="00681ADE" w:rsidRPr="008B029F">
        <w:rPr>
          <w:color w:val="2B579A"/>
          <w:shd w:val="clear" w:color="auto" w:fill="E6E6E6"/>
          <w:lang w:val="en-AU"/>
        </w:rPr>
        <w:fldChar w:fldCharType="begin"/>
      </w:r>
      <w:r w:rsidR="00681ADE" w:rsidRPr="008B029F">
        <w:rPr>
          <w:lang w:val="en-AU"/>
        </w:rPr>
        <w:instrText xml:space="preserve"> REF _Ref121909874 \h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Pharmacodynamic properties</w:t>
      </w:r>
      <w:r w:rsidR="00681ADE" w:rsidRPr="008B029F">
        <w:rPr>
          <w:color w:val="2B579A"/>
          <w:shd w:val="clear" w:color="auto" w:fill="E6E6E6"/>
          <w:lang w:val="en-AU"/>
        </w:rPr>
        <w:fldChar w:fldCharType="end"/>
      </w:r>
      <w:r w:rsidR="00427FA6" w:rsidRPr="008B029F">
        <w:rPr>
          <w:lang w:val="en-AU"/>
        </w:rPr>
        <w:t xml:space="preserve"> </w:t>
      </w:r>
      <w:r w:rsidRPr="008B029F">
        <w:rPr>
          <w:rFonts w:ascii="Times New Roman,Times New Roman" w:eastAsia="Times New Roman,Times New Roman" w:hAnsi="Times New Roman,Times New Roman" w:cs="Times New Roman,Times New Roman"/>
          <w:lang w:val="en-AU"/>
        </w:rPr>
        <w:t xml:space="preserve">– Clinical trials). The median number of treatment cycles of durvalumab and chemotherapy was 9 cycles and 6 cycles, respectively. </w:t>
      </w:r>
      <w:bookmarkStart w:id="23" w:name="_Hlk76723811"/>
    </w:p>
    <w:p w14:paraId="2C3A9BC7" w14:textId="77777777" w:rsidR="00D15D1C" w:rsidRPr="008B029F" w:rsidRDefault="00D15D1C" w:rsidP="00D15D1C">
      <w:pPr>
        <w:pStyle w:val="Paragraph"/>
        <w:rPr>
          <w:lang w:val="en-AU"/>
        </w:rPr>
      </w:pPr>
      <w:r w:rsidRPr="008B029F">
        <w:rPr>
          <w:lang w:val="en-AU"/>
        </w:rPr>
        <w:t xml:space="preserve">Serious adverse events regardless of causality were reported in 15 (27.3%) patients. There was one serious adverse event reported for more than 1 patient: atrial fibrillation (2 [3.6%] patients). </w:t>
      </w:r>
    </w:p>
    <w:p w14:paraId="5F76E28E" w14:textId="77777777" w:rsidR="00D15D1C" w:rsidRPr="008B029F" w:rsidRDefault="00D15D1C" w:rsidP="00D15D1C">
      <w:pPr>
        <w:pStyle w:val="Paragraph"/>
        <w:rPr>
          <w:lang w:val="en-AU"/>
        </w:rPr>
      </w:pPr>
      <w:r w:rsidRPr="008B029F">
        <w:rPr>
          <w:lang w:val="en-AU"/>
        </w:rPr>
        <w:t>Three (5.5%) patients had durvalumab related serious adverse events. One patient had platelet count decreased and white blood cell count decreased. One patient had pericardial effusion and one patient had hyponatraemia. The adverse events of platelet count decrease, white blood cell count decrease and hyponatraemia were considered by the investigator to be related to both durvalumab and chemotherapy.</w:t>
      </w:r>
    </w:p>
    <w:p w14:paraId="6EDE4371" w14:textId="3B1B1B17" w:rsidR="00D15D1C" w:rsidRPr="008B029F" w:rsidRDefault="00D15D1C" w:rsidP="00D15D1C">
      <w:pPr>
        <w:pStyle w:val="Paragraph"/>
        <w:rPr>
          <w:lang w:val="en-AU"/>
        </w:rPr>
      </w:pPr>
      <w:r w:rsidRPr="008B029F">
        <w:rPr>
          <w:lang w:val="en-AU"/>
        </w:rPr>
        <w:t>Adverse events leading to treatment discontinuation occurred in 7 (12.7%) patients. One patient had 2 events of ALT increase and 2 events of AST increase that were considered related to durvalumab. One patient had hyponatraemia and encephalopathy that were considered to be related to both durvalumab and chemotherapy. Other events were not considered by the investigator to be related to durvalumab.</w:t>
      </w:r>
    </w:p>
    <w:p w14:paraId="5FCE286E" w14:textId="422883CA" w:rsidR="00D15D1C" w:rsidRPr="008B029F" w:rsidRDefault="005C3540" w:rsidP="00D15D1C">
      <w:pPr>
        <w:pStyle w:val="Paragraph"/>
        <w:rPr>
          <w:lang w:val="en-AU"/>
        </w:rPr>
      </w:pPr>
      <w:r w:rsidRPr="008B029F">
        <w:rPr>
          <w:color w:val="2B579A"/>
          <w:shd w:val="clear" w:color="auto" w:fill="E6E6E6"/>
          <w:lang w:val="en-AU"/>
        </w:rPr>
        <w:fldChar w:fldCharType="begin"/>
      </w:r>
      <w:r w:rsidRPr="008B029F">
        <w:rPr>
          <w:lang w:val="en-AU"/>
        </w:rPr>
        <w:instrText xml:space="preserve"> REF _Ref120539799 \h </w:instrText>
      </w:r>
      <w:r w:rsidR="001A5413" w:rsidRPr="008B029F">
        <w:rPr>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7</w:t>
      </w:r>
      <w:r w:rsidRPr="008B029F">
        <w:rPr>
          <w:color w:val="2B579A"/>
          <w:shd w:val="clear" w:color="auto" w:fill="E6E6E6"/>
          <w:lang w:val="en-AU"/>
        </w:rPr>
        <w:fldChar w:fldCharType="end"/>
      </w:r>
      <w:r w:rsidRPr="008B029F">
        <w:rPr>
          <w:lang w:val="en-AU"/>
        </w:rPr>
        <w:t xml:space="preserve"> presents </w:t>
      </w:r>
      <w:r w:rsidR="00D15D1C" w:rsidRPr="008B029F">
        <w:rPr>
          <w:lang w:val="en-AU"/>
        </w:rPr>
        <w:t xml:space="preserve">the most common (≥15% frequency) adverse events regardless of causality that occurred in PrE0505. </w:t>
      </w:r>
      <w:r w:rsidR="00F95FC0" w:rsidRPr="008B029F">
        <w:rPr>
          <w:color w:val="2B579A"/>
          <w:shd w:val="clear" w:color="auto" w:fill="E6E6E6"/>
          <w:lang w:val="en-AU"/>
        </w:rPr>
        <w:fldChar w:fldCharType="begin"/>
      </w:r>
      <w:r w:rsidR="00F95FC0" w:rsidRPr="008B029F">
        <w:rPr>
          <w:lang w:val="en-AU"/>
        </w:rPr>
        <w:instrText xml:space="preserve"> REF _Ref120539819 \h </w:instrText>
      </w:r>
      <w:r w:rsidR="001A5413" w:rsidRPr="008B029F">
        <w:rPr>
          <w:lang w:val="en-AU"/>
        </w:rPr>
        <w:instrText xml:space="preserve"> \* MERGEFORMAT </w:instrText>
      </w:r>
      <w:r w:rsidR="00F95FC0" w:rsidRPr="008B029F">
        <w:rPr>
          <w:color w:val="2B579A"/>
          <w:shd w:val="clear" w:color="auto" w:fill="E6E6E6"/>
          <w:lang w:val="en-AU"/>
        </w:rPr>
      </w:r>
      <w:r w:rsidR="00F95FC0"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8</w:t>
      </w:r>
      <w:r w:rsidR="00F95FC0" w:rsidRPr="008B029F">
        <w:rPr>
          <w:color w:val="2B579A"/>
          <w:shd w:val="clear" w:color="auto" w:fill="E6E6E6"/>
          <w:lang w:val="en-AU"/>
        </w:rPr>
        <w:fldChar w:fldCharType="end"/>
      </w:r>
      <w:r w:rsidR="00D15D1C" w:rsidRPr="008B029F">
        <w:rPr>
          <w:lang w:val="en-AU"/>
        </w:rPr>
        <w:t xml:space="preserve"> summarises the laboratory abnormalities that worsened from baseline to CTCAE grade 3 or 4 in at least 1% of patients in PrE0505.</w:t>
      </w:r>
    </w:p>
    <w:p w14:paraId="02F1F0D6" w14:textId="59E824B6" w:rsidR="00D15D1C" w:rsidRPr="008B029F" w:rsidRDefault="00F95FC0" w:rsidP="00681ADE">
      <w:pPr>
        <w:pStyle w:val="TableTitle"/>
        <w:rPr>
          <w:lang w:val="en-AU"/>
        </w:rPr>
      </w:pPr>
      <w:bookmarkStart w:id="24" w:name="_Ref120539799"/>
      <w:bookmarkEnd w:id="23"/>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7</w:t>
      </w:r>
      <w:r w:rsidRPr="008B029F">
        <w:rPr>
          <w:color w:val="2B579A"/>
          <w:shd w:val="clear" w:color="auto" w:fill="E6E6E6"/>
          <w:lang w:val="en-AU"/>
        </w:rPr>
        <w:fldChar w:fldCharType="end"/>
      </w:r>
      <w:bookmarkEnd w:id="24"/>
      <w:r w:rsidR="00D15D1C" w:rsidRPr="008B029F">
        <w:rPr>
          <w:lang w:val="en-AU"/>
        </w:rPr>
        <w:tab/>
        <w:t>Adverse events reported in at least 15% of patients in PrE0505</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Frequentyl Reported (Occurring in &gt;5% of Subjects) Treatment-emergent Adverse Events by System Organ Class and Preferred Term - Safety Population"/>
      </w:tblPr>
      <w:tblGrid>
        <w:gridCol w:w="5670"/>
        <w:gridCol w:w="1985"/>
        <w:gridCol w:w="1984"/>
      </w:tblGrid>
      <w:tr w:rsidR="00D15D1C" w:rsidRPr="008B029F" w14:paraId="0BDD631D" w14:textId="77777777" w:rsidTr="00681ADE">
        <w:trPr>
          <w:cantSplit/>
          <w:tblHeader/>
        </w:trPr>
        <w:tc>
          <w:tcPr>
            <w:tcW w:w="5670" w:type="dxa"/>
            <w:vMerge w:val="restart"/>
            <w:shd w:val="clear" w:color="auto" w:fill="auto"/>
            <w:vAlign w:val="center"/>
          </w:tcPr>
          <w:p w14:paraId="16B0F24C" w14:textId="77777777" w:rsidR="00D15D1C" w:rsidRPr="008B029F" w:rsidRDefault="00D15D1C" w:rsidP="00681ADE">
            <w:pPr>
              <w:pStyle w:val="TableHead"/>
              <w:jc w:val="left"/>
              <w:rPr>
                <w:lang w:val="en-AU"/>
              </w:rPr>
            </w:pPr>
            <w:r w:rsidRPr="008B029F">
              <w:rPr>
                <w:lang w:val="en-AU"/>
              </w:rPr>
              <w:t>Adverse Event</w:t>
            </w:r>
          </w:p>
        </w:tc>
        <w:tc>
          <w:tcPr>
            <w:tcW w:w="3969" w:type="dxa"/>
            <w:gridSpan w:val="2"/>
            <w:shd w:val="clear" w:color="auto" w:fill="auto"/>
          </w:tcPr>
          <w:p w14:paraId="1D4C1C10" w14:textId="77777777" w:rsidR="00D15D1C" w:rsidRPr="008B029F" w:rsidRDefault="00D15D1C" w:rsidP="00681ADE">
            <w:pPr>
              <w:pStyle w:val="TableHead"/>
              <w:rPr>
                <w:lang w:val="en-AU"/>
              </w:rPr>
            </w:pPr>
            <w:r w:rsidRPr="008B029F">
              <w:rPr>
                <w:lang w:val="en-AU"/>
              </w:rPr>
              <w:t>N=55</w:t>
            </w:r>
          </w:p>
        </w:tc>
      </w:tr>
      <w:tr w:rsidR="00D15D1C" w:rsidRPr="008B029F" w14:paraId="63297AF8" w14:textId="77777777" w:rsidTr="00B37054">
        <w:trPr>
          <w:cantSplit/>
        </w:trPr>
        <w:tc>
          <w:tcPr>
            <w:tcW w:w="5670" w:type="dxa"/>
            <w:vMerge/>
            <w:shd w:val="clear" w:color="auto" w:fill="auto"/>
          </w:tcPr>
          <w:p w14:paraId="47300615" w14:textId="77777777" w:rsidR="00D15D1C" w:rsidRPr="008B029F" w:rsidRDefault="00D15D1C" w:rsidP="00681ADE">
            <w:pPr>
              <w:pStyle w:val="TableHead"/>
              <w:rPr>
                <w:bCs/>
                <w:lang w:val="en-AU"/>
              </w:rPr>
            </w:pPr>
          </w:p>
        </w:tc>
        <w:tc>
          <w:tcPr>
            <w:tcW w:w="1985" w:type="dxa"/>
            <w:shd w:val="clear" w:color="auto" w:fill="auto"/>
          </w:tcPr>
          <w:p w14:paraId="18663676" w14:textId="77777777" w:rsidR="00D15D1C" w:rsidRPr="008B029F" w:rsidRDefault="00D15D1C" w:rsidP="00681ADE">
            <w:pPr>
              <w:pStyle w:val="TableHead"/>
              <w:rPr>
                <w:bCs/>
                <w:lang w:val="en-AU"/>
              </w:rPr>
            </w:pPr>
            <w:r w:rsidRPr="008B029F">
              <w:rPr>
                <w:lang w:val="en-AU"/>
              </w:rPr>
              <w:t>All grade (%)</w:t>
            </w:r>
          </w:p>
        </w:tc>
        <w:tc>
          <w:tcPr>
            <w:tcW w:w="1984" w:type="dxa"/>
          </w:tcPr>
          <w:p w14:paraId="244416C0" w14:textId="77777777" w:rsidR="00D15D1C" w:rsidRPr="008B029F" w:rsidRDefault="00D15D1C" w:rsidP="00681ADE">
            <w:pPr>
              <w:pStyle w:val="TableHead"/>
              <w:rPr>
                <w:bCs/>
                <w:lang w:val="en-AU"/>
              </w:rPr>
            </w:pPr>
            <w:r w:rsidRPr="008B029F">
              <w:rPr>
                <w:lang w:val="en-AU"/>
              </w:rPr>
              <w:t>Grade 3 or 4 (%)</w:t>
            </w:r>
          </w:p>
        </w:tc>
      </w:tr>
      <w:tr w:rsidR="00D15D1C" w:rsidRPr="008B029F" w14:paraId="6E6FA9F2" w14:textId="77777777" w:rsidTr="00B37054">
        <w:trPr>
          <w:cantSplit/>
        </w:trPr>
        <w:tc>
          <w:tcPr>
            <w:tcW w:w="9639" w:type="dxa"/>
            <w:gridSpan w:val="3"/>
            <w:shd w:val="clear" w:color="auto" w:fill="auto"/>
          </w:tcPr>
          <w:p w14:paraId="495F7747" w14:textId="77777777" w:rsidR="00D15D1C" w:rsidRPr="008B029F" w:rsidRDefault="00D15D1C" w:rsidP="00B37054">
            <w:pPr>
              <w:pStyle w:val="TableCenter"/>
              <w:jc w:val="left"/>
              <w:rPr>
                <w:b/>
                <w:bCs/>
                <w:lang w:val="en-AU"/>
              </w:rPr>
            </w:pPr>
            <w:r w:rsidRPr="008B029F">
              <w:rPr>
                <w:b/>
                <w:bCs/>
                <w:lang w:val="en-AU"/>
              </w:rPr>
              <w:t>Gastrointestinal disorders</w:t>
            </w:r>
          </w:p>
        </w:tc>
      </w:tr>
      <w:tr w:rsidR="00D15D1C" w:rsidRPr="008B029F" w14:paraId="1B7B286B" w14:textId="77777777" w:rsidTr="00B37054">
        <w:trPr>
          <w:cantSplit/>
        </w:trPr>
        <w:tc>
          <w:tcPr>
            <w:tcW w:w="5670" w:type="dxa"/>
            <w:shd w:val="clear" w:color="auto" w:fill="auto"/>
          </w:tcPr>
          <w:p w14:paraId="4CD789DF" w14:textId="77777777" w:rsidR="00D15D1C" w:rsidRPr="008B029F" w:rsidRDefault="00D15D1C" w:rsidP="00B37054">
            <w:pPr>
              <w:pStyle w:val="TableLeft"/>
              <w:ind w:left="321"/>
              <w:rPr>
                <w:lang w:val="en-AU"/>
              </w:rPr>
            </w:pPr>
            <w:r w:rsidRPr="008B029F">
              <w:rPr>
                <w:lang w:val="en-AU"/>
              </w:rPr>
              <w:t>Nausea</w:t>
            </w:r>
          </w:p>
        </w:tc>
        <w:tc>
          <w:tcPr>
            <w:tcW w:w="1985" w:type="dxa"/>
            <w:shd w:val="clear" w:color="auto" w:fill="auto"/>
          </w:tcPr>
          <w:p w14:paraId="03D10BA7" w14:textId="77777777" w:rsidR="00D15D1C" w:rsidRPr="008B029F" w:rsidRDefault="00D15D1C" w:rsidP="00B37054">
            <w:pPr>
              <w:pStyle w:val="TableCenter"/>
              <w:rPr>
                <w:lang w:val="en-AU"/>
              </w:rPr>
            </w:pPr>
            <w:r w:rsidRPr="008B029F">
              <w:rPr>
                <w:lang w:val="en-AU"/>
              </w:rPr>
              <w:t>56.4</w:t>
            </w:r>
          </w:p>
        </w:tc>
        <w:tc>
          <w:tcPr>
            <w:tcW w:w="1984" w:type="dxa"/>
          </w:tcPr>
          <w:p w14:paraId="05B8BEC4" w14:textId="77777777" w:rsidR="00D15D1C" w:rsidRPr="008B029F" w:rsidRDefault="00D15D1C" w:rsidP="00B37054">
            <w:pPr>
              <w:pStyle w:val="TableCenter"/>
              <w:rPr>
                <w:lang w:val="en-AU"/>
              </w:rPr>
            </w:pPr>
            <w:r w:rsidRPr="008B029F">
              <w:rPr>
                <w:lang w:val="en-AU"/>
              </w:rPr>
              <w:t>0.0</w:t>
            </w:r>
          </w:p>
        </w:tc>
      </w:tr>
      <w:tr w:rsidR="00D15D1C" w:rsidRPr="008B029F" w14:paraId="4372223E" w14:textId="77777777" w:rsidTr="00B37054">
        <w:trPr>
          <w:cantSplit/>
        </w:trPr>
        <w:tc>
          <w:tcPr>
            <w:tcW w:w="5670" w:type="dxa"/>
            <w:shd w:val="clear" w:color="auto" w:fill="auto"/>
          </w:tcPr>
          <w:p w14:paraId="5ECA41B9" w14:textId="77777777" w:rsidR="00D15D1C" w:rsidRPr="008B029F" w:rsidRDefault="00D15D1C" w:rsidP="00B37054">
            <w:pPr>
              <w:pStyle w:val="TableLeft"/>
              <w:ind w:left="321"/>
              <w:rPr>
                <w:lang w:val="en-AU"/>
              </w:rPr>
            </w:pPr>
            <w:r w:rsidRPr="008B029F">
              <w:rPr>
                <w:lang w:val="en-AU"/>
              </w:rPr>
              <w:lastRenderedPageBreak/>
              <w:t>Constipation</w:t>
            </w:r>
          </w:p>
        </w:tc>
        <w:tc>
          <w:tcPr>
            <w:tcW w:w="1985" w:type="dxa"/>
            <w:shd w:val="clear" w:color="auto" w:fill="auto"/>
          </w:tcPr>
          <w:p w14:paraId="10484089" w14:textId="77777777" w:rsidR="00D15D1C" w:rsidRPr="008B029F" w:rsidRDefault="00D15D1C" w:rsidP="00B37054">
            <w:pPr>
              <w:pStyle w:val="TableCenter"/>
              <w:rPr>
                <w:lang w:val="en-AU"/>
              </w:rPr>
            </w:pPr>
            <w:r w:rsidRPr="008B029F">
              <w:rPr>
                <w:lang w:val="en-AU"/>
              </w:rPr>
              <w:t>54.5</w:t>
            </w:r>
          </w:p>
        </w:tc>
        <w:tc>
          <w:tcPr>
            <w:tcW w:w="1984" w:type="dxa"/>
          </w:tcPr>
          <w:p w14:paraId="3EE07194" w14:textId="77777777" w:rsidR="00D15D1C" w:rsidRPr="008B029F" w:rsidRDefault="00D15D1C" w:rsidP="00B37054">
            <w:pPr>
              <w:pStyle w:val="TableCenter"/>
              <w:rPr>
                <w:lang w:val="en-AU"/>
              </w:rPr>
            </w:pPr>
            <w:r w:rsidRPr="008B029F">
              <w:rPr>
                <w:lang w:val="en-AU"/>
              </w:rPr>
              <w:t>0.0</w:t>
            </w:r>
          </w:p>
        </w:tc>
      </w:tr>
      <w:tr w:rsidR="00D15D1C" w:rsidRPr="008B029F" w14:paraId="35FA9B66" w14:textId="77777777" w:rsidTr="00B37054">
        <w:trPr>
          <w:cantSplit/>
        </w:trPr>
        <w:tc>
          <w:tcPr>
            <w:tcW w:w="5670" w:type="dxa"/>
            <w:shd w:val="clear" w:color="auto" w:fill="auto"/>
          </w:tcPr>
          <w:p w14:paraId="0C987872" w14:textId="77777777" w:rsidR="00D15D1C" w:rsidRPr="008B029F" w:rsidRDefault="00D15D1C" w:rsidP="00B37054">
            <w:pPr>
              <w:pStyle w:val="TableLeft"/>
              <w:ind w:left="321"/>
              <w:rPr>
                <w:lang w:val="en-AU"/>
              </w:rPr>
            </w:pPr>
            <w:r w:rsidRPr="008B029F">
              <w:rPr>
                <w:lang w:val="en-AU"/>
              </w:rPr>
              <w:t>Diarrhoea</w:t>
            </w:r>
          </w:p>
        </w:tc>
        <w:tc>
          <w:tcPr>
            <w:tcW w:w="1985" w:type="dxa"/>
            <w:shd w:val="clear" w:color="auto" w:fill="auto"/>
          </w:tcPr>
          <w:p w14:paraId="505171AC" w14:textId="77777777" w:rsidR="00D15D1C" w:rsidRPr="008B029F" w:rsidRDefault="00D15D1C" w:rsidP="00B37054">
            <w:pPr>
              <w:pStyle w:val="TableCenter"/>
              <w:rPr>
                <w:lang w:val="en-AU"/>
              </w:rPr>
            </w:pPr>
            <w:r w:rsidRPr="008B029F">
              <w:rPr>
                <w:lang w:val="en-AU"/>
              </w:rPr>
              <w:t>23.6</w:t>
            </w:r>
          </w:p>
        </w:tc>
        <w:tc>
          <w:tcPr>
            <w:tcW w:w="1984" w:type="dxa"/>
          </w:tcPr>
          <w:p w14:paraId="5F82BF88" w14:textId="77777777" w:rsidR="00D15D1C" w:rsidRPr="008B029F" w:rsidRDefault="00D15D1C" w:rsidP="00B37054">
            <w:pPr>
              <w:pStyle w:val="TableCenter"/>
              <w:rPr>
                <w:lang w:val="en-AU"/>
              </w:rPr>
            </w:pPr>
            <w:r w:rsidRPr="008B029F">
              <w:rPr>
                <w:lang w:val="en-AU"/>
              </w:rPr>
              <w:t>0.0</w:t>
            </w:r>
          </w:p>
        </w:tc>
      </w:tr>
      <w:tr w:rsidR="00D15D1C" w:rsidRPr="008B029F" w14:paraId="5B1AE11C" w14:textId="77777777" w:rsidTr="00B37054">
        <w:trPr>
          <w:cantSplit/>
        </w:trPr>
        <w:tc>
          <w:tcPr>
            <w:tcW w:w="5670" w:type="dxa"/>
            <w:shd w:val="clear" w:color="auto" w:fill="auto"/>
          </w:tcPr>
          <w:p w14:paraId="6A286D78" w14:textId="77777777" w:rsidR="00D15D1C" w:rsidRPr="008B029F" w:rsidRDefault="00D15D1C" w:rsidP="00B37054">
            <w:pPr>
              <w:pStyle w:val="TableLeft"/>
              <w:ind w:left="321"/>
              <w:rPr>
                <w:lang w:val="en-AU"/>
              </w:rPr>
            </w:pPr>
            <w:r w:rsidRPr="008B029F">
              <w:rPr>
                <w:lang w:val="en-AU"/>
              </w:rPr>
              <w:t>Vomiting</w:t>
            </w:r>
          </w:p>
        </w:tc>
        <w:tc>
          <w:tcPr>
            <w:tcW w:w="1985" w:type="dxa"/>
            <w:shd w:val="clear" w:color="auto" w:fill="auto"/>
          </w:tcPr>
          <w:p w14:paraId="2BFC977F" w14:textId="77777777" w:rsidR="00D15D1C" w:rsidRPr="008B029F" w:rsidRDefault="00D15D1C" w:rsidP="00B37054">
            <w:pPr>
              <w:pStyle w:val="TableCenter"/>
              <w:rPr>
                <w:lang w:val="en-AU"/>
              </w:rPr>
            </w:pPr>
            <w:r w:rsidRPr="008B029F">
              <w:rPr>
                <w:lang w:val="en-AU"/>
              </w:rPr>
              <w:t>23.6</w:t>
            </w:r>
          </w:p>
        </w:tc>
        <w:tc>
          <w:tcPr>
            <w:tcW w:w="1984" w:type="dxa"/>
          </w:tcPr>
          <w:p w14:paraId="144CA321" w14:textId="77777777" w:rsidR="00D15D1C" w:rsidRPr="008B029F" w:rsidRDefault="00D15D1C" w:rsidP="00B37054">
            <w:pPr>
              <w:pStyle w:val="TableCenter"/>
              <w:rPr>
                <w:lang w:val="en-AU"/>
              </w:rPr>
            </w:pPr>
            <w:r w:rsidRPr="008B029F">
              <w:rPr>
                <w:lang w:val="en-AU"/>
              </w:rPr>
              <w:t>0.0</w:t>
            </w:r>
          </w:p>
        </w:tc>
      </w:tr>
      <w:tr w:rsidR="00D15D1C" w:rsidRPr="008B029F" w14:paraId="37862688" w14:textId="77777777" w:rsidTr="00B37054">
        <w:trPr>
          <w:cantSplit/>
        </w:trPr>
        <w:tc>
          <w:tcPr>
            <w:tcW w:w="9639" w:type="dxa"/>
            <w:gridSpan w:val="3"/>
            <w:shd w:val="clear" w:color="auto" w:fill="auto"/>
          </w:tcPr>
          <w:p w14:paraId="313ACAE3" w14:textId="77777777" w:rsidR="00D15D1C" w:rsidRPr="008B029F" w:rsidRDefault="00D15D1C" w:rsidP="00B37054">
            <w:pPr>
              <w:pStyle w:val="TableCenter"/>
              <w:jc w:val="left"/>
              <w:rPr>
                <w:b/>
                <w:bCs/>
                <w:lang w:val="en-AU"/>
              </w:rPr>
            </w:pPr>
            <w:r w:rsidRPr="008B029F">
              <w:rPr>
                <w:b/>
                <w:bCs/>
                <w:lang w:val="en-AU"/>
              </w:rPr>
              <w:t>General disorders and administration site conditions</w:t>
            </w:r>
          </w:p>
        </w:tc>
      </w:tr>
      <w:tr w:rsidR="00D15D1C" w:rsidRPr="008B029F" w14:paraId="116CC972" w14:textId="77777777" w:rsidTr="00B37054">
        <w:trPr>
          <w:cantSplit/>
        </w:trPr>
        <w:tc>
          <w:tcPr>
            <w:tcW w:w="5670" w:type="dxa"/>
            <w:shd w:val="clear" w:color="auto" w:fill="auto"/>
          </w:tcPr>
          <w:p w14:paraId="3080EE7F" w14:textId="77777777" w:rsidR="00D15D1C" w:rsidRPr="008B029F" w:rsidRDefault="00D15D1C" w:rsidP="00B37054">
            <w:pPr>
              <w:pStyle w:val="TableLeft"/>
              <w:ind w:left="321"/>
              <w:rPr>
                <w:lang w:val="en-AU"/>
              </w:rPr>
            </w:pPr>
            <w:r w:rsidRPr="008B029F">
              <w:rPr>
                <w:lang w:val="en-AU"/>
              </w:rPr>
              <w:t>Fatigue</w:t>
            </w:r>
          </w:p>
        </w:tc>
        <w:tc>
          <w:tcPr>
            <w:tcW w:w="1985" w:type="dxa"/>
            <w:shd w:val="clear" w:color="auto" w:fill="auto"/>
          </w:tcPr>
          <w:p w14:paraId="5D4A55BA" w14:textId="77777777" w:rsidR="00D15D1C" w:rsidRPr="008B029F" w:rsidRDefault="00D15D1C" w:rsidP="00B37054">
            <w:pPr>
              <w:pStyle w:val="TableCenter"/>
              <w:rPr>
                <w:lang w:val="en-AU"/>
              </w:rPr>
            </w:pPr>
            <w:r w:rsidRPr="008B029F">
              <w:rPr>
                <w:lang w:val="en-AU"/>
              </w:rPr>
              <w:t>67.3</w:t>
            </w:r>
          </w:p>
        </w:tc>
        <w:tc>
          <w:tcPr>
            <w:tcW w:w="1984" w:type="dxa"/>
          </w:tcPr>
          <w:p w14:paraId="07C7A760" w14:textId="77777777" w:rsidR="00D15D1C" w:rsidRPr="008B029F" w:rsidRDefault="00D15D1C" w:rsidP="00B37054">
            <w:pPr>
              <w:pStyle w:val="TableCenter"/>
              <w:rPr>
                <w:lang w:val="en-AU"/>
              </w:rPr>
            </w:pPr>
            <w:r w:rsidRPr="008B029F">
              <w:rPr>
                <w:lang w:val="en-AU"/>
              </w:rPr>
              <w:t>7.3</w:t>
            </w:r>
          </w:p>
        </w:tc>
      </w:tr>
      <w:tr w:rsidR="00D15D1C" w:rsidRPr="008B029F" w14:paraId="30043B07" w14:textId="77777777" w:rsidTr="00B37054">
        <w:trPr>
          <w:cantSplit/>
        </w:trPr>
        <w:tc>
          <w:tcPr>
            <w:tcW w:w="5670" w:type="dxa"/>
            <w:shd w:val="clear" w:color="auto" w:fill="auto"/>
          </w:tcPr>
          <w:p w14:paraId="1578DD67" w14:textId="77777777" w:rsidR="00D15D1C" w:rsidRPr="008B029F" w:rsidRDefault="00D15D1C" w:rsidP="00B37054">
            <w:pPr>
              <w:pStyle w:val="TableLeft"/>
              <w:ind w:left="321"/>
              <w:rPr>
                <w:lang w:val="en-AU"/>
              </w:rPr>
            </w:pPr>
            <w:r w:rsidRPr="008B029F">
              <w:rPr>
                <w:lang w:val="en-AU"/>
              </w:rPr>
              <w:t>Oedema peripheral</w:t>
            </w:r>
          </w:p>
        </w:tc>
        <w:tc>
          <w:tcPr>
            <w:tcW w:w="1985" w:type="dxa"/>
            <w:shd w:val="clear" w:color="auto" w:fill="auto"/>
          </w:tcPr>
          <w:p w14:paraId="58D27ABA" w14:textId="77777777" w:rsidR="00D15D1C" w:rsidRPr="008B029F" w:rsidRDefault="00D15D1C" w:rsidP="00B37054">
            <w:pPr>
              <w:pStyle w:val="TableCenter"/>
              <w:rPr>
                <w:lang w:val="en-AU"/>
              </w:rPr>
            </w:pPr>
            <w:r w:rsidRPr="008B029F">
              <w:rPr>
                <w:lang w:val="en-AU"/>
              </w:rPr>
              <w:t>16.4</w:t>
            </w:r>
          </w:p>
        </w:tc>
        <w:tc>
          <w:tcPr>
            <w:tcW w:w="1984" w:type="dxa"/>
          </w:tcPr>
          <w:p w14:paraId="1DBB2842" w14:textId="77777777" w:rsidR="00D15D1C" w:rsidRPr="008B029F" w:rsidRDefault="00D15D1C" w:rsidP="00B37054">
            <w:pPr>
              <w:pStyle w:val="TableCenter"/>
              <w:rPr>
                <w:lang w:val="en-AU"/>
              </w:rPr>
            </w:pPr>
            <w:r w:rsidRPr="008B029F">
              <w:rPr>
                <w:lang w:val="en-AU"/>
              </w:rPr>
              <w:t>0.0</w:t>
            </w:r>
          </w:p>
        </w:tc>
      </w:tr>
      <w:tr w:rsidR="00D15D1C" w:rsidRPr="008B029F" w14:paraId="550E1AB7" w14:textId="77777777" w:rsidTr="00B37054">
        <w:trPr>
          <w:cantSplit/>
        </w:trPr>
        <w:tc>
          <w:tcPr>
            <w:tcW w:w="9639" w:type="dxa"/>
            <w:gridSpan w:val="3"/>
            <w:shd w:val="clear" w:color="auto" w:fill="auto"/>
          </w:tcPr>
          <w:p w14:paraId="2D594739" w14:textId="77777777" w:rsidR="00D15D1C" w:rsidRPr="008B029F" w:rsidRDefault="00D15D1C" w:rsidP="00B37054">
            <w:pPr>
              <w:pStyle w:val="TableCenter"/>
              <w:jc w:val="left"/>
              <w:rPr>
                <w:b/>
                <w:bCs/>
                <w:lang w:val="en-AU"/>
              </w:rPr>
            </w:pPr>
            <w:r w:rsidRPr="008B029F">
              <w:rPr>
                <w:b/>
                <w:bCs/>
                <w:lang w:val="en-AU"/>
              </w:rPr>
              <w:t>Respiratory, thoracic and mediastinal disorders</w:t>
            </w:r>
          </w:p>
        </w:tc>
      </w:tr>
      <w:tr w:rsidR="00D15D1C" w:rsidRPr="008B029F" w14:paraId="6AE09369" w14:textId="77777777" w:rsidTr="00B37054">
        <w:trPr>
          <w:cantSplit/>
        </w:trPr>
        <w:tc>
          <w:tcPr>
            <w:tcW w:w="5670" w:type="dxa"/>
            <w:shd w:val="clear" w:color="auto" w:fill="auto"/>
          </w:tcPr>
          <w:p w14:paraId="1923C37D" w14:textId="77777777" w:rsidR="00D15D1C" w:rsidRPr="008B029F" w:rsidRDefault="00D15D1C" w:rsidP="00B37054">
            <w:pPr>
              <w:pStyle w:val="TableLeft"/>
              <w:ind w:left="321"/>
              <w:rPr>
                <w:lang w:val="en-AU"/>
              </w:rPr>
            </w:pPr>
            <w:r w:rsidRPr="008B029F">
              <w:rPr>
                <w:lang w:val="en-AU"/>
              </w:rPr>
              <w:t>Dyspnoea</w:t>
            </w:r>
          </w:p>
        </w:tc>
        <w:tc>
          <w:tcPr>
            <w:tcW w:w="1985" w:type="dxa"/>
            <w:shd w:val="clear" w:color="auto" w:fill="auto"/>
          </w:tcPr>
          <w:p w14:paraId="0C0F4032" w14:textId="77777777" w:rsidR="00D15D1C" w:rsidRPr="008B029F" w:rsidRDefault="00D15D1C" w:rsidP="00B37054">
            <w:pPr>
              <w:pStyle w:val="TableCenter"/>
              <w:rPr>
                <w:lang w:val="en-AU"/>
              </w:rPr>
            </w:pPr>
            <w:r w:rsidRPr="008B029F">
              <w:rPr>
                <w:lang w:val="en-AU"/>
              </w:rPr>
              <w:t>34.5</w:t>
            </w:r>
          </w:p>
        </w:tc>
        <w:tc>
          <w:tcPr>
            <w:tcW w:w="1984" w:type="dxa"/>
          </w:tcPr>
          <w:p w14:paraId="401E70F7" w14:textId="77777777" w:rsidR="00D15D1C" w:rsidRPr="008B029F" w:rsidRDefault="00D15D1C" w:rsidP="00B37054">
            <w:pPr>
              <w:pStyle w:val="TableCenter"/>
              <w:rPr>
                <w:lang w:val="en-AU"/>
              </w:rPr>
            </w:pPr>
            <w:r w:rsidRPr="008B029F">
              <w:rPr>
                <w:lang w:val="en-AU"/>
              </w:rPr>
              <w:t>0.0</w:t>
            </w:r>
          </w:p>
        </w:tc>
      </w:tr>
      <w:tr w:rsidR="00D15D1C" w:rsidRPr="008B029F" w14:paraId="6ADF3FAC" w14:textId="77777777" w:rsidTr="00B37054">
        <w:trPr>
          <w:cantSplit/>
        </w:trPr>
        <w:tc>
          <w:tcPr>
            <w:tcW w:w="5670" w:type="dxa"/>
            <w:shd w:val="clear" w:color="auto" w:fill="auto"/>
          </w:tcPr>
          <w:p w14:paraId="448421A0" w14:textId="77777777" w:rsidR="00D15D1C" w:rsidRPr="008B029F" w:rsidRDefault="00D15D1C" w:rsidP="00B37054">
            <w:pPr>
              <w:pStyle w:val="TableLeft"/>
              <w:ind w:left="321"/>
              <w:rPr>
                <w:lang w:val="en-AU"/>
              </w:rPr>
            </w:pPr>
            <w:r w:rsidRPr="008B029F">
              <w:rPr>
                <w:lang w:val="en-AU"/>
              </w:rPr>
              <w:t>Cough</w:t>
            </w:r>
          </w:p>
        </w:tc>
        <w:tc>
          <w:tcPr>
            <w:tcW w:w="1985" w:type="dxa"/>
            <w:shd w:val="clear" w:color="auto" w:fill="auto"/>
          </w:tcPr>
          <w:p w14:paraId="1C0AC1FB" w14:textId="77777777" w:rsidR="00D15D1C" w:rsidRPr="008B029F" w:rsidRDefault="00D15D1C" w:rsidP="00B37054">
            <w:pPr>
              <w:pStyle w:val="TableCenter"/>
              <w:rPr>
                <w:lang w:val="en-AU"/>
              </w:rPr>
            </w:pPr>
            <w:r w:rsidRPr="008B029F">
              <w:rPr>
                <w:lang w:val="en-AU"/>
              </w:rPr>
              <w:t>32.7</w:t>
            </w:r>
          </w:p>
        </w:tc>
        <w:tc>
          <w:tcPr>
            <w:tcW w:w="1984" w:type="dxa"/>
          </w:tcPr>
          <w:p w14:paraId="63C07F44" w14:textId="77777777" w:rsidR="00D15D1C" w:rsidRPr="008B029F" w:rsidRDefault="00D15D1C" w:rsidP="00B37054">
            <w:pPr>
              <w:pStyle w:val="TableCenter"/>
              <w:rPr>
                <w:lang w:val="en-AU"/>
              </w:rPr>
            </w:pPr>
            <w:r w:rsidRPr="008B029F">
              <w:rPr>
                <w:lang w:val="en-AU"/>
              </w:rPr>
              <w:t>0.0</w:t>
            </w:r>
          </w:p>
        </w:tc>
      </w:tr>
      <w:tr w:rsidR="00D15D1C" w:rsidRPr="008B029F" w14:paraId="6EC7019F" w14:textId="77777777" w:rsidTr="00B37054">
        <w:trPr>
          <w:cantSplit/>
        </w:trPr>
        <w:tc>
          <w:tcPr>
            <w:tcW w:w="5670" w:type="dxa"/>
            <w:shd w:val="clear" w:color="auto" w:fill="auto"/>
          </w:tcPr>
          <w:p w14:paraId="119A9FE0" w14:textId="77777777" w:rsidR="00D15D1C" w:rsidRPr="008B029F" w:rsidRDefault="00D15D1C" w:rsidP="00B37054">
            <w:pPr>
              <w:pStyle w:val="TableLeft"/>
              <w:ind w:left="321"/>
              <w:rPr>
                <w:lang w:val="en-AU"/>
              </w:rPr>
            </w:pPr>
            <w:r w:rsidRPr="008B029F">
              <w:rPr>
                <w:lang w:val="en-AU"/>
              </w:rPr>
              <w:t>Rhinorrhoea</w:t>
            </w:r>
          </w:p>
        </w:tc>
        <w:tc>
          <w:tcPr>
            <w:tcW w:w="1985" w:type="dxa"/>
            <w:shd w:val="clear" w:color="auto" w:fill="auto"/>
          </w:tcPr>
          <w:p w14:paraId="73F4078C" w14:textId="77777777" w:rsidR="00D15D1C" w:rsidRPr="008B029F" w:rsidRDefault="00D15D1C" w:rsidP="00B37054">
            <w:pPr>
              <w:pStyle w:val="TableCenter"/>
              <w:rPr>
                <w:lang w:val="en-AU"/>
              </w:rPr>
            </w:pPr>
            <w:r w:rsidRPr="008B029F">
              <w:rPr>
                <w:lang w:val="en-AU"/>
              </w:rPr>
              <w:t>18.2</w:t>
            </w:r>
          </w:p>
        </w:tc>
        <w:tc>
          <w:tcPr>
            <w:tcW w:w="1984" w:type="dxa"/>
          </w:tcPr>
          <w:p w14:paraId="73D28862" w14:textId="77777777" w:rsidR="00D15D1C" w:rsidRPr="008B029F" w:rsidRDefault="00D15D1C" w:rsidP="00B37054">
            <w:pPr>
              <w:pStyle w:val="TableCenter"/>
              <w:rPr>
                <w:lang w:val="en-AU"/>
              </w:rPr>
            </w:pPr>
            <w:r w:rsidRPr="008B029F">
              <w:rPr>
                <w:lang w:val="en-AU"/>
              </w:rPr>
              <w:t>0.0</w:t>
            </w:r>
          </w:p>
        </w:tc>
      </w:tr>
      <w:tr w:rsidR="00D15D1C" w:rsidRPr="008B029F" w14:paraId="1403C3EE" w14:textId="77777777" w:rsidTr="00B37054">
        <w:trPr>
          <w:cantSplit/>
        </w:trPr>
        <w:tc>
          <w:tcPr>
            <w:tcW w:w="9639" w:type="dxa"/>
            <w:gridSpan w:val="3"/>
            <w:shd w:val="clear" w:color="auto" w:fill="auto"/>
          </w:tcPr>
          <w:p w14:paraId="639631DC" w14:textId="77777777" w:rsidR="00D15D1C" w:rsidRPr="008B029F" w:rsidRDefault="00D15D1C" w:rsidP="00B37054">
            <w:pPr>
              <w:pStyle w:val="TableCenter"/>
              <w:jc w:val="left"/>
              <w:rPr>
                <w:b/>
                <w:bCs/>
                <w:lang w:val="en-AU"/>
              </w:rPr>
            </w:pPr>
            <w:r w:rsidRPr="008B029F">
              <w:rPr>
                <w:b/>
                <w:bCs/>
                <w:lang w:val="en-AU"/>
              </w:rPr>
              <w:t>Metabolism and nutrition disorders</w:t>
            </w:r>
          </w:p>
        </w:tc>
      </w:tr>
      <w:tr w:rsidR="00D15D1C" w:rsidRPr="008B029F" w14:paraId="45AD87CA" w14:textId="77777777" w:rsidTr="00B37054">
        <w:trPr>
          <w:cantSplit/>
        </w:trPr>
        <w:tc>
          <w:tcPr>
            <w:tcW w:w="5670" w:type="dxa"/>
            <w:shd w:val="clear" w:color="auto" w:fill="auto"/>
          </w:tcPr>
          <w:p w14:paraId="6F80305D" w14:textId="77777777" w:rsidR="00D15D1C" w:rsidRPr="008B029F" w:rsidRDefault="00D15D1C" w:rsidP="00B37054">
            <w:pPr>
              <w:pStyle w:val="TableLeft"/>
              <w:ind w:left="321"/>
              <w:rPr>
                <w:lang w:val="en-AU"/>
              </w:rPr>
            </w:pPr>
            <w:r w:rsidRPr="008B029F">
              <w:rPr>
                <w:lang w:val="en-AU"/>
              </w:rPr>
              <w:t>Decreased appetite</w:t>
            </w:r>
          </w:p>
        </w:tc>
        <w:tc>
          <w:tcPr>
            <w:tcW w:w="1985" w:type="dxa"/>
            <w:shd w:val="clear" w:color="auto" w:fill="auto"/>
          </w:tcPr>
          <w:p w14:paraId="23CC54C0" w14:textId="77777777" w:rsidR="00D15D1C" w:rsidRPr="008B029F" w:rsidRDefault="00D15D1C" w:rsidP="00B37054">
            <w:pPr>
              <w:pStyle w:val="TableCenter"/>
              <w:rPr>
                <w:lang w:val="en-AU"/>
              </w:rPr>
            </w:pPr>
            <w:r w:rsidRPr="008B029F">
              <w:rPr>
                <w:lang w:val="en-AU"/>
              </w:rPr>
              <w:t>29.1</w:t>
            </w:r>
          </w:p>
        </w:tc>
        <w:tc>
          <w:tcPr>
            <w:tcW w:w="1984" w:type="dxa"/>
          </w:tcPr>
          <w:p w14:paraId="70DC120E" w14:textId="77777777" w:rsidR="00D15D1C" w:rsidRPr="008B029F" w:rsidRDefault="00D15D1C" w:rsidP="00B37054">
            <w:pPr>
              <w:pStyle w:val="TableCenter"/>
              <w:rPr>
                <w:lang w:val="en-AU"/>
              </w:rPr>
            </w:pPr>
            <w:r w:rsidRPr="008B029F">
              <w:rPr>
                <w:lang w:val="en-AU"/>
              </w:rPr>
              <w:t>1.8</w:t>
            </w:r>
          </w:p>
        </w:tc>
      </w:tr>
      <w:tr w:rsidR="00D15D1C" w:rsidRPr="008B029F" w14:paraId="5D74A3C4" w14:textId="77777777" w:rsidTr="00B37054">
        <w:trPr>
          <w:cantSplit/>
        </w:trPr>
        <w:tc>
          <w:tcPr>
            <w:tcW w:w="5670" w:type="dxa"/>
            <w:shd w:val="clear" w:color="auto" w:fill="auto"/>
          </w:tcPr>
          <w:p w14:paraId="2D3F2F05" w14:textId="77777777" w:rsidR="00D15D1C" w:rsidRPr="008B029F" w:rsidRDefault="00D15D1C" w:rsidP="00B37054">
            <w:pPr>
              <w:pStyle w:val="TableLeft"/>
              <w:ind w:left="321"/>
              <w:rPr>
                <w:lang w:val="en-AU"/>
              </w:rPr>
            </w:pPr>
            <w:r w:rsidRPr="008B029F">
              <w:rPr>
                <w:lang w:val="en-AU"/>
              </w:rPr>
              <w:t>Hyponatraemia</w:t>
            </w:r>
          </w:p>
        </w:tc>
        <w:tc>
          <w:tcPr>
            <w:tcW w:w="1985" w:type="dxa"/>
            <w:shd w:val="clear" w:color="auto" w:fill="auto"/>
          </w:tcPr>
          <w:p w14:paraId="6BFB961A" w14:textId="77777777" w:rsidR="00D15D1C" w:rsidRPr="008B029F" w:rsidRDefault="00D15D1C" w:rsidP="00B37054">
            <w:pPr>
              <w:pStyle w:val="TableCenter"/>
              <w:rPr>
                <w:lang w:val="en-AU"/>
              </w:rPr>
            </w:pPr>
            <w:r w:rsidRPr="008B029F">
              <w:rPr>
                <w:lang w:val="en-AU"/>
              </w:rPr>
              <w:t>23.6</w:t>
            </w:r>
          </w:p>
        </w:tc>
        <w:tc>
          <w:tcPr>
            <w:tcW w:w="1984" w:type="dxa"/>
          </w:tcPr>
          <w:p w14:paraId="2DBA41A2" w14:textId="77777777" w:rsidR="00D15D1C" w:rsidRPr="008B029F" w:rsidRDefault="00D15D1C" w:rsidP="00B37054">
            <w:pPr>
              <w:pStyle w:val="TableCenter"/>
              <w:rPr>
                <w:lang w:val="en-AU"/>
              </w:rPr>
            </w:pPr>
            <w:r w:rsidRPr="008B029F">
              <w:rPr>
                <w:lang w:val="en-AU"/>
              </w:rPr>
              <w:t>9.1</w:t>
            </w:r>
          </w:p>
        </w:tc>
      </w:tr>
      <w:tr w:rsidR="00D15D1C" w:rsidRPr="008B029F" w14:paraId="16324D88" w14:textId="77777777" w:rsidTr="00B37054">
        <w:trPr>
          <w:cantSplit/>
        </w:trPr>
        <w:tc>
          <w:tcPr>
            <w:tcW w:w="5670" w:type="dxa"/>
            <w:shd w:val="clear" w:color="auto" w:fill="auto"/>
          </w:tcPr>
          <w:p w14:paraId="5EBB6DB8" w14:textId="77777777" w:rsidR="00D15D1C" w:rsidRPr="008B029F" w:rsidRDefault="00D15D1C" w:rsidP="00B37054">
            <w:pPr>
              <w:pStyle w:val="TableLeft"/>
              <w:ind w:left="321"/>
              <w:rPr>
                <w:lang w:val="en-AU"/>
              </w:rPr>
            </w:pPr>
            <w:r w:rsidRPr="008B029F">
              <w:rPr>
                <w:lang w:val="en-AU"/>
              </w:rPr>
              <w:t>Hypomagnesaemia</w:t>
            </w:r>
          </w:p>
        </w:tc>
        <w:tc>
          <w:tcPr>
            <w:tcW w:w="1985" w:type="dxa"/>
            <w:shd w:val="clear" w:color="auto" w:fill="auto"/>
          </w:tcPr>
          <w:p w14:paraId="576D0BAD" w14:textId="77777777" w:rsidR="00D15D1C" w:rsidRPr="008B029F" w:rsidRDefault="00D15D1C" w:rsidP="00B37054">
            <w:pPr>
              <w:pStyle w:val="TableCenter"/>
              <w:rPr>
                <w:lang w:val="en-AU"/>
              </w:rPr>
            </w:pPr>
            <w:r w:rsidRPr="008B029F">
              <w:rPr>
                <w:lang w:val="en-AU"/>
              </w:rPr>
              <w:t>20.0</w:t>
            </w:r>
          </w:p>
        </w:tc>
        <w:tc>
          <w:tcPr>
            <w:tcW w:w="1984" w:type="dxa"/>
          </w:tcPr>
          <w:p w14:paraId="0D65D1E7" w14:textId="77777777" w:rsidR="00D15D1C" w:rsidRPr="008B029F" w:rsidRDefault="00D15D1C" w:rsidP="00B37054">
            <w:pPr>
              <w:pStyle w:val="TableCenter"/>
              <w:rPr>
                <w:lang w:val="en-AU"/>
              </w:rPr>
            </w:pPr>
            <w:r w:rsidRPr="008B029F">
              <w:rPr>
                <w:lang w:val="en-AU"/>
              </w:rPr>
              <w:t>1.8</w:t>
            </w:r>
          </w:p>
        </w:tc>
      </w:tr>
      <w:tr w:rsidR="00D15D1C" w:rsidRPr="008B029F" w14:paraId="6542A916" w14:textId="77777777" w:rsidTr="00B37054">
        <w:trPr>
          <w:cantSplit/>
        </w:trPr>
        <w:tc>
          <w:tcPr>
            <w:tcW w:w="9639" w:type="dxa"/>
            <w:gridSpan w:val="3"/>
            <w:shd w:val="clear" w:color="auto" w:fill="auto"/>
          </w:tcPr>
          <w:p w14:paraId="22D5203E" w14:textId="77777777" w:rsidR="00D15D1C" w:rsidRPr="008B029F" w:rsidRDefault="00D15D1C" w:rsidP="00B37054">
            <w:pPr>
              <w:pStyle w:val="TableCenter"/>
              <w:jc w:val="left"/>
              <w:rPr>
                <w:b/>
                <w:bCs/>
                <w:lang w:val="en-AU"/>
              </w:rPr>
            </w:pPr>
            <w:r w:rsidRPr="008B029F">
              <w:rPr>
                <w:b/>
                <w:bCs/>
                <w:lang w:val="en-AU"/>
              </w:rPr>
              <w:t>Blood and lymphatic system disorders</w:t>
            </w:r>
          </w:p>
        </w:tc>
      </w:tr>
      <w:tr w:rsidR="00D15D1C" w:rsidRPr="008B029F" w14:paraId="2E45CF50" w14:textId="77777777" w:rsidTr="00B37054">
        <w:trPr>
          <w:cantSplit/>
        </w:trPr>
        <w:tc>
          <w:tcPr>
            <w:tcW w:w="5670" w:type="dxa"/>
            <w:shd w:val="clear" w:color="auto" w:fill="auto"/>
          </w:tcPr>
          <w:p w14:paraId="495DA488" w14:textId="77777777" w:rsidR="00D15D1C" w:rsidRPr="008B029F" w:rsidRDefault="00D15D1C" w:rsidP="00B37054">
            <w:pPr>
              <w:pStyle w:val="TableLeft"/>
              <w:ind w:left="321"/>
              <w:rPr>
                <w:lang w:val="en-AU"/>
              </w:rPr>
            </w:pPr>
            <w:r w:rsidRPr="008B029F">
              <w:rPr>
                <w:lang w:val="en-AU"/>
              </w:rPr>
              <w:t>Anaemia</w:t>
            </w:r>
          </w:p>
        </w:tc>
        <w:tc>
          <w:tcPr>
            <w:tcW w:w="1985" w:type="dxa"/>
            <w:shd w:val="clear" w:color="auto" w:fill="auto"/>
          </w:tcPr>
          <w:p w14:paraId="287DD2B2" w14:textId="77777777" w:rsidR="00D15D1C" w:rsidRPr="008B029F" w:rsidRDefault="00D15D1C" w:rsidP="00B37054">
            <w:pPr>
              <w:pStyle w:val="TableCenter"/>
              <w:rPr>
                <w:lang w:val="en-AU"/>
              </w:rPr>
            </w:pPr>
            <w:r w:rsidRPr="008B029F">
              <w:rPr>
                <w:lang w:val="en-AU"/>
              </w:rPr>
              <w:t>56.4</w:t>
            </w:r>
          </w:p>
        </w:tc>
        <w:tc>
          <w:tcPr>
            <w:tcW w:w="1984" w:type="dxa"/>
          </w:tcPr>
          <w:p w14:paraId="7E08AF9B" w14:textId="77777777" w:rsidR="00D15D1C" w:rsidRPr="008B029F" w:rsidRDefault="00D15D1C" w:rsidP="00B37054">
            <w:pPr>
              <w:pStyle w:val="TableCenter"/>
              <w:rPr>
                <w:lang w:val="en-AU"/>
              </w:rPr>
            </w:pPr>
            <w:r w:rsidRPr="008B029F">
              <w:rPr>
                <w:lang w:val="en-AU"/>
              </w:rPr>
              <w:t>20.0</w:t>
            </w:r>
          </w:p>
        </w:tc>
      </w:tr>
      <w:tr w:rsidR="00D15D1C" w:rsidRPr="008B029F" w14:paraId="6DB66CF9" w14:textId="77777777" w:rsidTr="00B37054">
        <w:trPr>
          <w:cantSplit/>
        </w:trPr>
        <w:tc>
          <w:tcPr>
            <w:tcW w:w="9639" w:type="dxa"/>
            <w:gridSpan w:val="3"/>
            <w:shd w:val="clear" w:color="auto" w:fill="auto"/>
          </w:tcPr>
          <w:p w14:paraId="472EE93C" w14:textId="77777777" w:rsidR="00D15D1C" w:rsidRPr="008B029F" w:rsidRDefault="00D15D1C" w:rsidP="00B37054">
            <w:pPr>
              <w:pStyle w:val="TableCenter"/>
              <w:jc w:val="left"/>
              <w:rPr>
                <w:b/>
                <w:bCs/>
                <w:lang w:val="en-AU"/>
              </w:rPr>
            </w:pPr>
            <w:r w:rsidRPr="008B029F">
              <w:rPr>
                <w:b/>
                <w:bCs/>
                <w:lang w:val="en-AU"/>
              </w:rPr>
              <w:t>Investigations</w:t>
            </w:r>
          </w:p>
        </w:tc>
      </w:tr>
      <w:tr w:rsidR="00D15D1C" w:rsidRPr="008B029F" w14:paraId="514C3A8B" w14:textId="77777777" w:rsidTr="00B37054">
        <w:trPr>
          <w:cantSplit/>
        </w:trPr>
        <w:tc>
          <w:tcPr>
            <w:tcW w:w="5670" w:type="dxa"/>
            <w:shd w:val="clear" w:color="auto" w:fill="auto"/>
          </w:tcPr>
          <w:p w14:paraId="0A7F85EB" w14:textId="77777777" w:rsidR="00D15D1C" w:rsidRPr="008B029F" w:rsidRDefault="00D15D1C" w:rsidP="00B37054">
            <w:pPr>
              <w:pStyle w:val="TableLeft"/>
              <w:ind w:left="321"/>
              <w:rPr>
                <w:lang w:val="en-AU"/>
              </w:rPr>
            </w:pPr>
            <w:r w:rsidRPr="008B029F">
              <w:rPr>
                <w:lang w:val="en-AU"/>
              </w:rPr>
              <w:t>Weight decreased</w:t>
            </w:r>
          </w:p>
        </w:tc>
        <w:tc>
          <w:tcPr>
            <w:tcW w:w="1985" w:type="dxa"/>
            <w:shd w:val="clear" w:color="auto" w:fill="auto"/>
          </w:tcPr>
          <w:p w14:paraId="59414CC8" w14:textId="77777777" w:rsidR="00D15D1C" w:rsidRPr="008B029F" w:rsidRDefault="00D15D1C" w:rsidP="00B37054">
            <w:pPr>
              <w:pStyle w:val="TableCenter"/>
              <w:rPr>
                <w:lang w:val="en-AU"/>
              </w:rPr>
            </w:pPr>
            <w:r w:rsidRPr="008B029F">
              <w:rPr>
                <w:lang w:val="en-AU"/>
              </w:rPr>
              <w:t>16.4</w:t>
            </w:r>
          </w:p>
        </w:tc>
        <w:tc>
          <w:tcPr>
            <w:tcW w:w="1984" w:type="dxa"/>
          </w:tcPr>
          <w:p w14:paraId="392B6847" w14:textId="77777777" w:rsidR="00D15D1C" w:rsidRPr="008B029F" w:rsidRDefault="00D15D1C" w:rsidP="00B37054">
            <w:pPr>
              <w:pStyle w:val="TableCenter"/>
              <w:rPr>
                <w:lang w:val="en-AU"/>
              </w:rPr>
            </w:pPr>
            <w:r w:rsidRPr="008B029F">
              <w:rPr>
                <w:lang w:val="en-AU"/>
              </w:rPr>
              <w:t>0.0</w:t>
            </w:r>
          </w:p>
        </w:tc>
      </w:tr>
      <w:tr w:rsidR="00D15D1C" w:rsidRPr="008B029F" w14:paraId="57489B40" w14:textId="77777777" w:rsidTr="00B37054">
        <w:trPr>
          <w:cantSplit/>
        </w:trPr>
        <w:tc>
          <w:tcPr>
            <w:tcW w:w="9639" w:type="dxa"/>
            <w:gridSpan w:val="3"/>
            <w:shd w:val="clear" w:color="auto" w:fill="auto"/>
          </w:tcPr>
          <w:p w14:paraId="746EBCA9" w14:textId="77777777" w:rsidR="00D15D1C" w:rsidRPr="008B029F" w:rsidRDefault="00D15D1C" w:rsidP="00B37054">
            <w:pPr>
              <w:pStyle w:val="TableCenter"/>
              <w:jc w:val="left"/>
              <w:rPr>
                <w:b/>
                <w:bCs/>
                <w:lang w:val="en-AU"/>
              </w:rPr>
            </w:pPr>
            <w:r w:rsidRPr="008B029F">
              <w:rPr>
                <w:b/>
                <w:bCs/>
                <w:lang w:val="en-AU"/>
              </w:rPr>
              <w:t>Nervous system disorders</w:t>
            </w:r>
          </w:p>
        </w:tc>
      </w:tr>
      <w:tr w:rsidR="00D15D1C" w:rsidRPr="008B029F" w14:paraId="3550AE69" w14:textId="77777777" w:rsidTr="00B37054">
        <w:trPr>
          <w:cantSplit/>
        </w:trPr>
        <w:tc>
          <w:tcPr>
            <w:tcW w:w="5670" w:type="dxa"/>
            <w:shd w:val="clear" w:color="auto" w:fill="auto"/>
          </w:tcPr>
          <w:p w14:paraId="1778C9D5" w14:textId="77777777" w:rsidR="00D15D1C" w:rsidRPr="008B029F" w:rsidRDefault="00D15D1C" w:rsidP="00B37054">
            <w:pPr>
              <w:pStyle w:val="TableLeft"/>
              <w:ind w:left="321"/>
              <w:rPr>
                <w:lang w:val="en-AU"/>
              </w:rPr>
            </w:pPr>
            <w:r w:rsidRPr="008B029F">
              <w:rPr>
                <w:lang w:val="en-AU"/>
              </w:rPr>
              <w:t>Dysgeusia</w:t>
            </w:r>
          </w:p>
        </w:tc>
        <w:tc>
          <w:tcPr>
            <w:tcW w:w="1985" w:type="dxa"/>
            <w:shd w:val="clear" w:color="auto" w:fill="auto"/>
          </w:tcPr>
          <w:p w14:paraId="0FE3B338" w14:textId="77777777" w:rsidR="00D15D1C" w:rsidRPr="008B029F" w:rsidRDefault="00D15D1C" w:rsidP="00B37054">
            <w:pPr>
              <w:pStyle w:val="TableCenter"/>
              <w:rPr>
                <w:lang w:val="en-AU"/>
              </w:rPr>
            </w:pPr>
            <w:r w:rsidRPr="008B029F">
              <w:rPr>
                <w:lang w:val="en-AU"/>
              </w:rPr>
              <w:t>16.4</w:t>
            </w:r>
          </w:p>
        </w:tc>
        <w:tc>
          <w:tcPr>
            <w:tcW w:w="1984" w:type="dxa"/>
          </w:tcPr>
          <w:p w14:paraId="2D5F1FB8" w14:textId="77777777" w:rsidR="00D15D1C" w:rsidRPr="008B029F" w:rsidRDefault="00D15D1C" w:rsidP="00B37054">
            <w:pPr>
              <w:pStyle w:val="TableCenter"/>
              <w:rPr>
                <w:lang w:val="en-AU"/>
              </w:rPr>
            </w:pPr>
            <w:r w:rsidRPr="008B029F">
              <w:rPr>
                <w:lang w:val="en-AU"/>
              </w:rPr>
              <w:t>0.0</w:t>
            </w:r>
          </w:p>
        </w:tc>
      </w:tr>
      <w:tr w:rsidR="00D15D1C" w:rsidRPr="008B029F" w14:paraId="6FC6A822" w14:textId="77777777" w:rsidTr="00B37054">
        <w:trPr>
          <w:cantSplit/>
        </w:trPr>
        <w:tc>
          <w:tcPr>
            <w:tcW w:w="9639" w:type="dxa"/>
            <w:gridSpan w:val="3"/>
            <w:shd w:val="clear" w:color="auto" w:fill="auto"/>
          </w:tcPr>
          <w:p w14:paraId="733FC071" w14:textId="77777777" w:rsidR="00D15D1C" w:rsidRPr="008B029F" w:rsidRDefault="00D15D1C" w:rsidP="00B37054">
            <w:pPr>
              <w:pStyle w:val="TableCenter"/>
              <w:keepNext/>
              <w:keepLines/>
              <w:widowControl w:val="0"/>
              <w:jc w:val="left"/>
              <w:rPr>
                <w:b/>
                <w:bCs/>
                <w:lang w:val="en-AU"/>
              </w:rPr>
            </w:pPr>
            <w:r w:rsidRPr="008B029F">
              <w:rPr>
                <w:b/>
                <w:bCs/>
                <w:lang w:val="en-AU"/>
              </w:rPr>
              <w:t>Skin and subcutaneous tissue disorders</w:t>
            </w:r>
          </w:p>
        </w:tc>
      </w:tr>
      <w:tr w:rsidR="00D15D1C" w:rsidRPr="008B029F" w14:paraId="6B430799" w14:textId="77777777" w:rsidTr="00B37054">
        <w:trPr>
          <w:cantSplit/>
        </w:trPr>
        <w:tc>
          <w:tcPr>
            <w:tcW w:w="5670" w:type="dxa"/>
            <w:shd w:val="clear" w:color="auto" w:fill="auto"/>
          </w:tcPr>
          <w:p w14:paraId="332D0E92" w14:textId="77777777" w:rsidR="00D15D1C" w:rsidRPr="008B029F" w:rsidRDefault="00D15D1C" w:rsidP="00B37054">
            <w:pPr>
              <w:pStyle w:val="TableLeft"/>
              <w:ind w:left="321"/>
              <w:rPr>
                <w:lang w:val="en-AU"/>
              </w:rPr>
            </w:pPr>
            <w:r w:rsidRPr="008B029F">
              <w:rPr>
                <w:lang w:val="en-AU"/>
              </w:rPr>
              <w:t>Rash</w:t>
            </w:r>
          </w:p>
        </w:tc>
        <w:tc>
          <w:tcPr>
            <w:tcW w:w="1985" w:type="dxa"/>
            <w:shd w:val="clear" w:color="auto" w:fill="auto"/>
          </w:tcPr>
          <w:p w14:paraId="6294D85E" w14:textId="77777777" w:rsidR="00D15D1C" w:rsidRPr="008B029F" w:rsidRDefault="00D15D1C" w:rsidP="00B37054">
            <w:pPr>
              <w:pStyle w:val="TableCenter"/>
              <w:rPr>
                <w:lang w:val="en-AU"/>
              </w:rPr>
            </w:pPr>
            <w:r w:rsidRPr="008B029F">
              <w:rPr>
                <w:lang w:val="en-AU"/>
              </w:rPr>
              <w:t>20.0</w:t>
            </w:r>
          </w:p>
        </w:tc>
        <w:tc>
          <w:tcPr>
            <w:tcW w:w="1984" w:type="dxa"/>
          </w:tcPr>
          <w:p w14:paraId="033D8C7B" w14:textId="77777777" w:rsidR="00D15D1C" w:rsidRPr="008B029F" w:rsidRDefault="00D15D1C" w:rsidP="00B37054">
            <w:pPr>
              <w:pStyle w:val="TableCenter"/>
              <w:rPr>
                <w:lang w:val="en-AU"/>
              </w:rPr>
            </w:pPr>
            <w:r w:rsidRPr="008B029F">
              <w:rPr>
                <w:lang w:val="en-AU"/>
              </w:rPr>
              <w:t>0.0</w:t>
            </w:r>
          </w:p>
        </w:tc>
      </w:tr>
      <w:tr w:rsidR="00D15D1C" w:rsidRPr="008B029F" w14:paraId="47C9B3FD" w14:textId="77777777" w:rsidTr="00B37054">
        <w:trPr>
          <w:cantSplit/>
        </w:trPr>
        <w:tc>
          <w:tcPr>
            <w:tcW w:w="5670" w:type="dxa"/>
            <w:shd w:val="clear" w:color="auto" w:fill="auto"/>
          </w:tcPr>
          <w:p w14:paraId="05876C47" w14:textId="77777777" w:rsidR="00D15D1C" w:rsidRPr="008B029F" w:rsidRDefault="00D15D1C" w:rsidP="00B37054">
            <w:pPr>
              <w:pStyle w:val="TableLeft"/>
              <w:ind w:left="321"/>
              <w:rPr>
                <w:lang w:val="en-AU"/>
              </w:rPr>
            </w:pPr>
            <w:r w:rsidRPr="008B029F">
              <w:rPr>
                <w:lang w:val="en-AU"/>
              </w:rPr>
              <w:t>Pruritus</w:t>
            </w:r>
          </w:p>
        </w:tc>
        <w:tc>
          <w:tcPr>
            <w:tcW w:w="1985" w:type="dxa"/>
            <w:shd w:val="clear" w:color="auto" w:fill="auto"/>
          </w:tcPr>
          <w:p w14:paraId="3751955E" w14:textId="77777777" w:rsidR="00D15D1C" w:rsidRPr="008B029F" w:rsidRDefault="00D15D1C" w:rsidP="00B37054">
            <w:pPr>
              <w:pStyle w:val="TableCenter"/>
              <w:rPr>
                <w:lang w:val="en-AU"/>
              </w:rPr>
            </w:pPr>
            <w:r w:rsidRPr="008B029F">
              <w:rPr>
                <w:lang w:val="en-AU"/>
              </w:rPr>
              <w:t>18.2</w:t>
            </w:r>
          </w:p>
        </w:tc>
        <w:tc>
          <w:tcPr>
            <w:tcW w:w="1984" w:type="dxa"/>
          </w:tcPr>
          <w:p w14:paraId="4FDC0C1E" w14:textId="77777777" w:rsidR="00D15D1C" w:rsidRPr="008B029F" w:rsidRDefault="00D15D1C" w:rsidP="00B37054">
            <w:pPr>
              <w:pStyle w:val="TableCenter"/>
              <w:rPr>
                <w:lang w:val="en-AU"/>
              </w:rPr>
            </w:pPr>
            <w:r w:rsidRPr="008B029F">
              <w:rPr>
                <w:lang w:val="en-AU"/>
              </w:rPr>
              <w:t>0.0</w:t>
            </w:r>
          </w:p>
        </w:tc>
      </w:tr>
    </w:tbl>
    <w:p w14:paraId="200AC9A1" w14:textId="27E0268A" w:rsidR="00723702" w:rsidRPr="008B029F" w:rsidRDefault="00723702" w:rsidP="00723702">
      <w:pPr>
        <w:pStyle w:val="Paragraph"/>
      </w:pPr>
      <w:bookmarkStart w:id="25" w:name="_Ref77673458"/>
    </w:p>
    <w:p w14:paraId="58E5DB5C" w14:textId="7A3515B3" w:rsidR="00D15D1C" w:rsidRPr="008B029F" w:rsidRDefault="00F95FC0" w:rsidP="00681ADE">
      <w:pPr>
        <w:pStyle w:val="TableTitle"/>
        <w:rPr>
          <w:lang w:val="en-AU"/>
        </w:rPr>
      </w:pPr>
      <w:bookmarkStart w:id="26" w:name="_Ref120539819"/>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8</w:t>
      </w:r>
      <w:r w:rsidRPr="008B029F">
        <w:rPr>
          <w:color w:val="2B579A"/>
          <w:shd w:val="clear" w:color="auto" w:fill="E6E6E6"/>
          <w:lang w:val="en-AU"/>
        </w:rPr>
        <w:fldChar w:fldCharType="end"/>
      </w:r>
      <w:bookmarkEnd w:id="25"/>
      <w:bookmarkEnd w:id="26"/>
      <w:r w:rsidR="00D15D1C" w:rsidRPr="008B029F">
        <w:rPr>
          <w:lang w:val="en-AU"/>
        </w:rPr>
        <w:tab/>
      </w:r>
      <w:r w:rsidR="00D15D1C" w:rsidRPr="008B029F">
        <w:rPr>
          <w:color w:val="000000" w:themeColor="text1"/>
          <w:szCs w:val="22"/>
          <w:lang w:val="en-AU"/>
        </w:rPr>
        <w:t>L</w:t>
      </w:r>
      <w:r w:rsidR="00D15D1C" w:rsidRPr="008B029F">
        <w:rPr>
          <w:lang w:val="en-AU"/>
        </w:rPr>
        <w:t>aboratory abnormalities worsening from baseline to CTCAE grade 3 or 4 in ≥1% of patients in PrE0505</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4675"/>
        <w:gridCol w:w="4957"/>
      </w:tblGrid>
      <w:tr w:rsidR="00B37B61" w:rsidRPr="008B029F" w14:paraId="754A76E9" w14:textId="77777777" w:rsidTr="00681ADE">
        <w:trPr>
          <w:cantSplit/>
          <w:tblHeader/>
          <w:jc w:val="center"/>
        </w:trPr>
        <w:tc>
          <w:tcPr>
            <w:tcW w:w="2427" w:type="pct"/>
            <w:vMerge w:val="restart"/>
            <w:shd w:val="clear" w:color="auto" w:fill="FFFFFF"/>
            <w:vAlign w:val="center"/>
          </w:tcPr>
          <w:p w14:paraId="051D4945" w14:textId="3A462DD7" w:rsidR="00B37B61" w:rsidRPr="008B029F" w:rsidRDefault="00B37B61" w:rsidP="00681ADE">
            <w:pPr>
              <w:pStyle w:val="TableHead"/>
              <w:jc w:val="left"/>
              <w:rPr>
                <w:lang w:val="en-AU"/>
              </w:rPr>
            </w:pPr>
            <w:r w:rsidRPr="008B029F">
              <w:rPr>
                <w:lang w:val="en-AU"/>
              </w:rPr>
              <w:t>Parameter</w:t>
            </w:r>
          </w:p>
        </w:tc>
        <w:tc>
          <w:tcPr>
            <w:tcW w:w="2573" w:type="pct"/>
            <w:shd w:val="clear" w:color="auto" w:fill="FFFFFF"/>
            <w:vAlign w:val="bottom"/>
          </w:tcPr>
          <w:p w14:paraId="4F907E4F" w14:textId="2A1C0011" w:rsidR="00B37B61" w:rsidRPr="008B029F" w:rsidRDefault="00B37B61" w:rsidP="00681ADE">
            <w:pPr>
              <w:pStyle w:val="TableHead"/>
              <w:rPr>
                <w:bCs/>
                <w:lang w:val="en-AU"/>
              </w:rPr>
            </w:pPr>
            <w:r w:rsidRPr="008B029F">
              <w:rPr>
                <w:bCs/>
                <w:lang w:val="en-AU"/>
              </w:rPr>
              <w:t xml:space="preserve">All </w:t>
            </w:r>
            <w:r w:rsidR="00AF2CB8" w:rsidRPr="008B029F">
              <w:rPr>
                <w:bCs/>
                <w:lang w:val="en-AU"/>
              </w:rPr>
              <w:t>s</w:t>
            </w:r>
            <w:r w:rsidRPr="008B029F">
              <w:rPr>
                <w:bCs/>
                <w:lang w:val="en-AU"/>
              </w:rPr>
              <w:t>ubjects</w:t>
            </w:r>
            <w:r w:rsidR="00681ADE" w:rsidRPr="008B029F">
              <w:rPr>
                <w:bCs/>
                <w:lang w:val="en-AU"/>
              </w:rPr>
              <w:t xml:space="preserve"> </w:t>
            </w:r>
            <w:r w:rsidRPr="008B029F">
              <w:rPr>
                <w:bCs/>
                <w:lang w:val="en-AU"/>
              </w:rPr>
              <w:t>(N=55)</w:t>
            </w:r>
          </w:p>
        </w:tc>
      </w:tr>
      <w:tr w:rsidR="00B37B61" w:rsidRPr="008B029F" w14:paraId="097BCD2F" w14:textId="77777777" w:rsidTr="00B37054">
        <w:trPr>
          <w:cantSplit/>
          <w:tblHeader/>
          <w:jc w:val="center"/>
        </w:trPr>
        <w:tc>
          <w:tcPr>
            <w:tcW w:w="2427" w:type="pct"/>
            <w:vMerge/>
            <w:shd w:val="clear" w:color="auto" w:fill="FFFFFF"/>
            <w:vAlign w:val="bottom"/>
          </w:tcPr>
          <w:p w14:paraId="44C0BD28" w14:textId="23BD8FE6" w:rsidR="00B37B61" w:rsidRPr="008B029F" w:rsidRDefault="00B37B61" w:rsidP="00681ADE">
            <w:pPr>
              <w:pStyle w:val="TableHead"/>
              <w:rPr>
                <w:bCs/>
                <w:lang w:val="en-AU"/>
              </w:rPr>
            </w:pPr>
          </w:p>
        </w:tc>
        <w:tc>
          <w:tcPr>
            <w:tcW w:w="2573" w:type="pct"/>
            <w:shd w:val="clear" w:color="auto" w:fill="FFFFFF"/>
            <w:vAlign w:val="bottom"/>
          </w:tcPr>
          <w:p w14:paraId="312592C1" w14:textId="77777777" w:rsidR="00B37B61" w:rsidRPr="008B029F" w:rsidRDefault="00B37B61" w:rsidP="00681ADE">
            <w:pPr>
              <w:pStyle w:val="TableHead"/>
              <w:rPr>
                <w:lang w:val="en-AU"/>
              </w:rPr>
            </w:pPr>
            <w:r w:rsidRPr="008B029F">
              <w:rPr>
                <w:lang w:val="en-AU"/>
              </w:rPr>
              <w:t>n (%)</w:t>
            </w:r>
          </w:p>
        </w:tc>
      </w:tr>
      <w:tr w:rsidR="00D15D1C" w:rsidRPr="008B029F" w14:paraId="2B70A980" w14:textId="77777777" w:rsidTr="00B37054">
        <w:trPr>
          <w:cantSplit/>
          <w:jc w:val="center"/>
        </w:trPr>
        <w:tc>
          <w:tcPr>
            <w:tcW w:w="5000" w:type="pct"/>
            <w:gridSpan w:val="2"/>
            <w:shd w:val="clear" w:color="auto" w:fill="FFFFFF"/>
          </w:tcPr>
          <w:p w14:paraId="6D7B3A18" w14:textId="77777777" w:rsidR="00D15D1C" w:rsidRPr="008B029F" w:rsidRDefault="00D15D1C" w:rsidP="00B37054">
            <w:pPr>
              <w:pStyle w:val="TableCenter"/>
              <w:jc w:val="left"/>
              <w:rPr>
                <w:lang w:val="en-AU"/>
              </w:rPr>
            </w:pPr>
            <w:r w:rsidRPr="008B029F">
              <w:rPr>
                <w:b/>
                <w:lang w:val="en-AU"/>
              </w:rPr>
              <w:t>Chemistry</w:t>
            </w:r>
          </w:p>
        </w:tc>
      </w:tr>
      <w:tr w:rsidR="00D15D1C" w:rsidRPr="008B029F" w14:paraId="66C2FE5B" w14:textId="77777777" w:rsidTr="00B37054">
        <w:trPr>
          <w:cantSplit/>
          <w:jc w:val="center"/>
        </w:trPr>
        <w:tc>
          <w:tcPr>
            <w:tcW w:w="2427" w:type="pct"/>
            <w:shd w:val="clear" w:color="auto" w:fill="FFFFFF"/>
          </w:tcPr>
          <w:p w14:paraId="1C2353DE" w14:textId="77777777" w:rsidR="00D15D1C" w:rsidRPr="008B029F" w:rsidRDefault="00D15D1C" w:rsidP="00B37054">
            <w:pPr>
              <w:pStyle w:val="TableLeft"/>
              <w:rPr>
                <w:lang w:val="en-AU"/>
              </w:rPr>
            </w:pPr>
            <w:r w:rsidRPr="008B029F">
              <w:rPr>
                <w:lang w:val="en-AU"/>
              </w:rPr>
              <w:t>Glucose increased (mmol/L)</w:t>
            </w:r>
          </w:p>
        </w:tc>
        <w:tc>
          <w:tcPr>
            <w:tcW w:w="2573" w:type="pct"/>
            <w:shd w:val="clear" w:color="auto" w:fill="FFFFFF"/>
          </w:tcPr>
          <w:p w14:paraId="12552040" w14:textId="77777777" w:rsidR="00D15D1C" w:rsidRPr="008B029F" w:rsidRDefault="00D15D1C" w:rsidP="00B37054">
            <w:pPr>
              <w:pStyle w:val="TableCenter"/>
              <w:rPr>
                <w:lang w:val="en-AU"/>
              </w:rPr>
            </w:pPr>
            <w:r w:rsidRPr="008B029F">
              <w:rPr>
                <w:lang w:val="en-AU"/>
              </w:rPr>
              <w:t>10 (18.2)</w:t>
            </w:r>
          </w:p>
        </w:tc>
      </w:tr>
      <w:tr w:rsidR="00D15D1C" w:rsidRPr="008B029F" w14:paraId="2EC5365C" w14:textId="77777777" w:rsidTr="00B37054">
        <w:trPr>
          <w:cantSplit/>
          <w:jc w:val="center"/>
        </w:trPr>
        <w:tc>
          <w:tcPr>
            <w:tcW w:w="2427" w:type="pct"/>
            <w:shd w:val="clear" w:color="auto" w:fill="FFFFFF"/>
          </w:tcPr>
          <w:p w14:paraId="61A4D15B" w14:textId="77777777" w:rsidR="00D15D1C" w:rsidRPr="008B029F" w:rsidRDefault="00D15D1C" w:rsidP="00B37054">
            <w:pPr>
              <w:pStyle w:val="TableLeft"/>
              <w:rPr>
                <w:lang w:val="en-AU"/>
              </w:rPr>
            </w:pPr>
            <w:r w:rsidRPr="008B029F">
              <w:rPr>
                <w:lang w:val="en-AU"/>
              </w:rPr>
              <w:t>Sodium decreased (mmol/L)</w:t>
            </w:r>
          </w:p>
        </w:tc>
        <w:tc>
          <w:tcPr>
            <w:tcW w:w="2573" w:type="pct"/>
            <w:shd w:val="clear" w:color="auto" w:fill="FFFFFF"/>
          </w:tcPr>
          <w:p w14:paraId="0B008A45" w14:textId="77777777" w:rsidR="00D15D1C" w:rsidRPr="008B029F" w:rsidRDefault="00D15D1C" w:rsidP="00B37054">
            <w:pPr>
              <w:pStyle w:val="TableCenter"/>
              <w:rPr>
                <w:lang w:val="en-AU"/>
              </w:rPr>
            </w:pPr>
            <w:r w:rsidRPr="008B029F">
              <w:rPr>
                <w:lang w:val="en-AU"/>
              </w:rPr>
              <w:t>5 (9.1)</w:t>
            </w:r>
          </w:p>
        </w:tc>
      </w:tr>
      <w:tr w:rsidR="00D15D1C" w:rsidRPr="008B029F" w14:paraId="3571BCE1" w14:textId="77777777" w:rsidTr="00B37054">
        <w:trPr>
          <w:cantSplit/>
          <w:jc w:val="center"/>
        </w:trPr>
        <w:tc>
          <w:tcPr>
            <w:tcW w:w="2427" w:type="pct"/>
            <w:shd w:val="clear" w:color="auto" w:fill="FFFFFF"/>
          </w:tcPr>
          <w:p w14:paraId="5EC3313A" w14:textId="77777777" w:rsidR="00D15D1C" w:rsidRPr="008B029F" w:rsidRDefault="00D15D1C" w:rsidP="00B37054">
            <w:pPr>
              <w:pStyle w:val="TableLeft"/>
              <w:rPr>
                <w:lang w:val="en-AU"/>
              </w:rPr>
            </w:pPr>
            <w:r w:rsidRPr="008B029F">
              <w:rPr>
                <w:lang w:val="en-AU"/>
              </w:rPr>
              <w:t>Lipase increased (U/L)</w:t>
            </w:r>
          </w:p>
        </w:tc>
        <w:tc>
          <w:tcPr>
            <w:tcW w:w="2573" w:type="pct"/>
            <w:shd w:val="clear" w:color="auto" w:fill="FFFFFF"/>
          </w:tcPr>
          <w:p w14:paraId="014454B1" w14:textId="77777777" w:rsidR="00D15D1C" w:rsidRPr="008B029F" w:rsidRDefault="00D15D1C" w:rsidP="00B37054">
            <w:pPr>
              <w:pStyle w:val="TableCenter"/>
              <w:rPr>
                <w:lang w:val="en-AU"/>
              </w:rPr>
            </w:pPr>
            <w:r w:rsidRPr="008B029F">
              <w:rPr>
                <w:lang w:val="en-AU"/>
              </w:rPr>
              <w:t>3 (5.5)</w:t>
            </w:r>
          </w:p>
        </w:tc>
      </w:tr>
      <w:tr w:rsidR="00D15D1C" w:rsidRPr="008B029F" w14:paraId="56D27244" w14:textId="77777777" w:rsidTr="00B37054">
        <w:trPr>
          <w:cantSplit/>
          <w:jc w:val="center"/>
        </w:trPr>
        <w:tc>
          <w:tcPr>
            <w:tcW w:w="2427" w:type="pct"/>
            <w:shd w:val="clear" w:color="auto" w:fill="FFFFFF"/>
          </w:tcPr>
          <w:p w14:paraId="6767CE84" w14:textId="77777777" w:rsidR="00D15D1C" w:rsidRPr="008B029F" w:rsidRDefault="00D15D1C" w:rsidP="00B37054">
            <w:pPr>
              <w:pStyle w:val="TableLeft"/>
              <w:rPr>
                <w:lang w:val="en-AU"/>
              </w:rPr>
            </w:pPr>
            <w:r w:rsidRPr="008B029F">
              <w:rPr>
                <w:lang w:val="en-AU"/>
              </w:rPr>
              <w:t>Alanine aminotransferase increased (U/L)</w:t>
            </w:r>
          </w:p>
        </w:tc>
        <w:tc>
          <w:tcPr>
            <w:tcW w:w="2573" w:type="pct"/>
            <w:shd w:val="clear" w:color="auto" w:fill="FFFFFF"/>
          </w:tcPr>
          <w:p w14:paraId="146A8DE6" w14:textId="77777777" w:rsidR="00D15D1C" w:rsidRPr="008B029F" w:rsidRDefault="00D15D1C" w:rsidP="00B37054">
            <w:pPr>
              <w:pStyle w:val="TableCenter"/>
              <w:rPr>
                <w:lang w:val="en-AU"/>
              </w:rPr>
            </w:pPr>
            <w:r w:rsidRPr="008B029F">
              <w:rPr>
                <w:lang w:val="en-AU"/>
              </w:rPr>
              <w:t>1 (1.8)</w:t>
            </w:r>
          </w:p>
        </w:tc>
      </w:tr>
      <w:tr w:rsidR="00D15D1C" w:rsidRPr="008B029F" w14:paraId="2BAAF649" w14:textId="77777777" w:rsidTr="00B37054">
        <w:trPr>
          <w:cantSplit/>
          <w:jc w:val="center"/>
        </w:trPr>
        <w:tc>
          <w:tcPr>
            <w:tcW w:w="2427" w:type="pct"/>
            <w:shd w:val="clear" w:color="auto" w:fill="FFFFFF"/>
          </w:tcPr>
          <w:p w14:paraId="62768001" w14:textId="77777777" w:rsidR="00D15D1C" w:rsidRPr="008B029F" w:rsidRDefault="00D15D1C" w:rsidP="00B37054">
            <w:pPr>
              <w:pStyle w:val="TableLeft"/>
              <w:rPr>
                <w:lang w:val="en-AU"/>
              </w:rPr>
            </w:pPr>
            <w:r w:rsidRPr="008B029F">
              <w:rPr>
                <w:lang w:val="en-AU"/>
              </w:rPr>
              <w:t>Alkaline phosphatase increased (U/L)</w:t>
            </w:r>
          </w:p>
        </w:tc>
        <w:tc>
          <w:tcPr>
            <w:tcW w:w="2573" w:type="pct"/>
            <w:shd w:val="clear" w:color="auto" w:fill="FFFFFF"/>
          </w:tcPr>
          <w:p w14:paraId="77199661" w14:textId="77777777" w:rsidR="00D15D1C" w:rsidRPr="008B029F" w:rsidRDefault="00D15D1C" w:rsidP="00B37054">
            <w:pPr>
              <w:pStyle w:val="TableCenter"/>
              <w:rPr>
                <w:lang w:val="en-AU"/>
              </w:rPr>
            </w:pPr>
            <w:r w:rsidRPr="008B029F">
              <w:rPr>
                <w:lang w:val="en-AU"/>
              </w:rPr>
              <w:t>1 (1.8)</w:t>
            </w:r>
          </w:p>
        </w:tc>
      </w:tr>
      <w:tr w:rsidR="00D15D1C" w:rsidRPr="008B029F" w14:paraId="25C0BE28" w14:textId="77777777" w:rsidTr="00B37054">
        <w:trPr>
          <w:cantSplit/>
          <w:jc w:val="center"/>
        </w:trPr>
        <w:tc>
          <w:tcPr>
            <w:tcW w:w="2427" w:type="pct"/>
            <w:shd w:val="clear" w:color="auto" w:fill="FFFFFF"/>
          </w:tcPr>
          <w:p w14:paraId="58B7097D" w14:textId="77777777" w:rsidR="00D15D1C" w:rsidRPr="008B029F" w:rsidRDefault="00D15D1C" w:rsidP="00B37054">
            <w:pPr>
              <w:pStyle w:val="TableLeft"/>
              <w:rPr>
                <w:lang w:val="en-AU"/>
              </w:rPr>
            </w:pPr>
            <w:r w:rsidRPr="008B029F">
              <w:rPr>
                <w:lang w:val="en-AU"/>
              </w:rPr>
              <w:t>Amylase increased (U/L)</w:t>
            </w:r>
          </w:p>
        </w:tc>
        <w:tc>
          <w:tcPr>
            <w:tcW w:w="2573" w:type="pct"/>
            <w:shd w:val="clear" w:color="auto" w:fill="FFFFFF"/>
          </w:tcPr>
          <w:p w14:paraId="00F3D861" w14:textId="77777777" w:rsidR="00D15D1C" w:rsidRPr="008B029F" w:rsidRDefault="00D15D1C" w:rsidP="00B37054">
            <w:pPr>
              <w:pStyle w:val="TableCenter"/>
              <w:rPr>
                <w:lang w:val="en-AU"/>
              </w:rPr>
            </w:pPr>
            <w:r w:rsidRPr="008B029F">
              <w:rPr>
                <w:lang w:val="en-AU"/>
              </w:rPr>
              <w:t>1 (1.8)</w:t>
            </w:r>
          </w:p>
        </w:tc>
      </w:tr>
      <w:tr w:rsidR="00D15D1C" w:rsidRPr="008B029F" w14:paraId="483D70FC" w14:textId="77777777" w:rsidTr="00B37054">
        <w:trPr>
          <w:cantSplit/>
          <w:jc w:val="center"/>
        </w:trPr>
        <w:tc>
          <w:tcPr>
            <w:tcW w:w="2427" w:type="pct"/>
            <w:shd w:val="clear" w:color="auto" w:fill="FFFFFF"/>
          </w:tcPr>
          <w:p w14:paraId="6E4BD1DB" w14:textId="77777777" w:rsidR="00D15D1C" w:rsidRPr="008B029F" w:rsidRDefault="00D15D1C" w:rsidP="00B37054">
            <w:pPr>
              <w:pStyle w:val="TableLeft"/>
              <w:rPr>
                <w:lang w:val="en-AU"/>
              </w:rPr>
            </w:pPr>
            <w:r w:rsidRPr="008B029F">
              <w:rPr>
                <w:lang w:val="en-AU"/>
              </w:rPr>
              <w:t>Aspartate aminotransferase increased (U/L)</w:t>
            </w:r>
          </w:p>
        </w:tc>
        <w:tc>
          <w:tcPr>
            <w:tcW w:w="2573" w:type="pct"/>
            <w:shd w:val="clear" w:color="auto" w:fill="FFFFFF"/>
          </w:tcPr>
          <w:p w14:paraId="6DBEB548" w14:textId="77777777" w:rsidR="00D15D1C" w:rsidRPr="008B029F" w:rsidRDefault="00D15D1C" w:rsidP="00B37054">
            <w:pPr>
              <w:pStyle w:val="TableCenter"/>
              <w:rPr>
                <w:lang w:val="en-AU"/>
              </w:rPr>
            </w:pPr>
            <w:r w:rsidRPr="008B029F">
              <w:rPr>
                <w:lang w:val="en-AU"/>
              </w:rPr>
              <w:t>1 (1.8)</w:t>
            </w:r>
          </w:p>
        </w:tc>
      </w:tr>
      <w:tr w:rsidR="00D15D1C" w:rsidRPr="008B029F" w14:paraId="666CF710" w14:textId="77777777" w:rsidTr="00B37054">
        <w:trPr>
          <w:cantSplit/>
          <w:jc w:val="center"/>
        </w:trPr>
        <w:tc>
          <w:tcPr>
            <w:tcW w:w="2427" w:type="pct"/>
            <w:shd w:val="clear" w:color="auto" w:fill="FFFFFF"/>
          </w:tcPr>
          <w:p w14:paraId="782447B0" w14:textId="77777777" w:rsidR="00D15D1C" w:rsidRPr="008B029F" w:rsidRDefault="00D15D1C" w:rsidP="00B37054">
            <w:pPr>
              <w:pStyle w:val="TableLeft"/>
              <w:rPr>
                <w:lang w:val="en-AU"/>
              </w:rPr>
            </w:pPr>
            <w:r w:rsidRPr="008B029F">
              <w:rPr>
                <w:lang w:val="en-AU"/>
              </w:rPr>
              <w:t>Calcium increased (mmol/L)</w:t>
            </w:r>
          </w:p>
        </w:tc>
        <w:tc>
          <w:tcPr>
            <w:tcW w:w="2573" w:type="pct"/>
            <w:shd w:val="clear" w:color="auto" w:fill="FFFFFF"/>
          </w:tcPr>
          <w:p w14:paraId="22DF2A78" w14:textId="77777777" w:rsidR="00D15D1C" w:rsidRPr="008B029F" w:rsidRDefault="00D15D1C" w:rsidP="00B37054">
            <w:pPr>
              <w:pStyle w:val="TableCenter"/>
              <w:rPr>
                <w:lang w:val="en-AU"/>
              </w:rPr>
            </w:pPr>
            <w:r w:rsidRPr="008B029F">
              <w:rPr>
                <w:lang w:val="en-AU"/>
              </w:rPr>
              <w:t>1 (1.8)</w:t>
            </w:r>
          </w:p>
        </w:tc>
      </w:tr>
      <w:tr w:rsidR="00D15D1C" w:rsidRPr="008B029F" w14:paraId="04531140" w14:textId="77777777" w:rsidTr="00B37054">
        <w:trPr>
          <w:cantSplit/>
          <w:jc w:val="center"/>
        </w:trPr>
        <w:tc>
          <w:tcPr>
            <w:tcW w:w="2427" w:type="pct"/>
            <w:shd w:val="clear" w:color="auto" w:fill="FFFFFF"/>
          </w:tcPr>
          <w:p w14:paraId="7D4F06DD" w14:textId="77777777" w:rsidR="00D15D1C" w:rsidRPr="008B029F" w:rsidRDefault="00D15D1C" w:rsidP="00B37054">
            <w:pPr>
              <w:pStyle w:val="TableLeft"/>
              <w:rPr>
                <w:lang w:val="en-AU"/>
              </w:rPr>
            </w:pPr>
            <w:r w:rsidRPr="008B029F">
              <w:rPr>
                <w:lang w:val="en-AU"/>
              </w:rPr>
              <w:t>Magnesium decreased (mmol/L)</w:t>
            </w:r>
          </w:p>
        </w:tc>
        <w:tc>
          <w:tcPr>
            <w:tcW w:w="2573" w:type="pct"/>
            <w:shd w:val="clear" w:color="auto" w:fill="FFFFFF"/>
          </w:tcPr>
          <w:p w14:paraId="5BC73542" w14:textId="77777777" w:rsidR="00D15D1C" w:rsidRPr="008B029F" w:rsidRDefault="00D15D1C" w:rsidP="00B37054">
            <w:pPr>
              <w:pStyle w:val="TableCenter"/>
              <w:rPr>
                <w:lang w:val="en-AU"/>
              </w:rPr>
            </w:pPr>
            <w:r w:rsidRPr="008B029F">
              <w:rPr>
                <w:lang w:val="en-AU"/>
              </w:rPr>
              <w:t>1 (1.8)</w:t>
            </w:r>
          </w:p>
        </w:tc>
      </w:tr>
      <w:tr w:rsidR="00D15D1C" w:rsidRPr="008B029F" w14:paraId="40778F91" w14:textId="77777777" w:rsidTr="00B37054">
        <w:trPr>
          <w:cantSplit/>
          <w:jc w:val="center"/>
        </w:trPr>
        <w:tc>
          <w:tcPr>
            <w:tcW w:w="2427" w:type="pct"/>
            <w:shd w:val="clear" w:color="auto" w:fill="FFFFFF"/>
          </w:tcPr>
          <w:p w14:paraId="01C989CA" w14:textId="77777777" w:rsidR="00D15D1C" w:rsidRPr="008B029F" w:rsidRDefault="00D15D1C" w:rsidP="00B37054">
            <w:pPr>
              <w:pStyle w:val="TableLeft"/>
              <w:rPr>
                <w:lang w:val="en-AU"/>
              </w:rPr>
            </w:pPr>
            <w:r w:rsidRPr="008B029F">
              <w:rPr>
                <w:lang w:val="en-AU"/>
              </w:rPr>
              <w:t>Potassium decreased (mmol/L)</w:t>
            </w:r>
          </w:p>
        </w:tc>
        <w:tc>
          <w:tcPr>
            <w:tcW w:w="2573" w:type="pct"/>
            <w:shd w:val="clear" w:color="auto" w:fill="FFFFFF"/>
          </w:tcPr>
          <w:p w14:paraId="2BB7AD14" w14:textId="77777777" w:rsidR="00D15D1C" w:rsidRPr="008B029F" w:rsidRDefault="00D15D1C" w:rsidP="00B37054">
            <w:pPr>
              <w:pStyle w:val="TableCenter"/>
              <w:rPr>
                <w:lang w:val="en-AU"/>
              </w:rPr>
            </w:pPr>
            <w:r w:rsidRPr="008B029F">
              <w:rPr>
                <w:lang w:val="en-AU"/>
              </w:rPr>
              <w:t>1 (1.8)</w:t>
            </w:r>
          </w:p>
        </w:tc>
      </w:tr>
      <w:tr w:rsidR="00D15D1C" w:rsidRPr="008B029F" w14:paraId="79EE5D15" w14:textId="77777777" w:rsidTr="00B37054">
        <w:trPr>
          <w:cantSplit/>
          <w:jc w:val="center"/>
        </w:trPr>
        <w:tc>
          <w:tcPr>
            <w:tcW w:w="2427" w:type="pct"/>
            <w:shd w:val="clear" w:color="auto" w:fill="FFFFFF"/>
          </w:tcPr>
          <w:p w14:paraId="45CB7A1A" w14:textId="77777777" w:rsidR="00D15D1C" w:rsidRPr="008B029F" w:rsidRDefault="00D15D1C" w:rsidP="00B37054">
            <w:pPr>
              <w:pStyle w:val="TableLeft"/>
              <w:rPr>
                <w:lang w:val="en-AU"/>
              </w:rPr>
            </w:pPr>
            <w:r w:rsidRPr="008B029F">
              <w:rPr>
                <w:lang w:val="en-AU"/>
              </w:rPr>
              <w:t>Uric acid increased (</w:t>
            </w:r>
            <w:r w:rsidRPr="008B029F">
              <w:rPr>
                <w:rFonts w:cs="Times New Roman"/>
                <w:lang w:val="en-AU"/>
              </w:rPr>
              <w:t>µ</w:t>
            </w:r>
            <w:r w:rsidRPr="008B029F">
              <w:rPr>
                <w:lang w:val="en-AU"/>
              </w:rPr>
              <w:t>mol/L)</w:t>
            </w:r>
          </w:p>
        </w:tc>
        <w:tc>
          <w:tcPr>
            <w:tcW w:w="2573" w:type="pct"/>
            <w:shd w:val="clear" w:color="auto" w:fill="FFFFFF"/>
          </w:tcPr>
          <w:p w14:paraId="2A181BC7" w14:textId="77777777" w:rsidR="00D15D1C" w:rsidRPr="008B029F" w:rsidRDefault="00D15D1C" w:rsidP="00B37054">
            <w:pPr>
              <w:pStyle w:val="TableCenter"/>
              <w:rPr>
                <w:lang w:val="en-AU"/>
              </w:rPr>
            </w:pPr>
            <w:r w:rsidRPr="008B029F">
              <w:rPr>
                <w:lang w:val="en-AU"/>
              </w:rPr>
              <w:t>1 (1.8)</w:t>
            </w:r>
          </w:p>
        </w:tc>
      </w:tr>
      <w:tr w:rsidR="00D15D1C" w:rsidRPr="008B029F" w14:paraId="6F0D767C" w14:textId="77777777" w:rsidTr="00B37054">
        <w:trPr>
          <w:cantSplit/>
          <w:jc w:val="center"/>
        </w:trPr>
        <w:tc>
          <w:tcPr>
            <w:tcW w:w="5000" w:type="pct"/>
            <w:gridSpan w:val="2"/>
            <w:shd w:val="clear" w:color="auto" w:fill="FFFFFF"/>
          </w:tcPr>
          <w:p w14:paraId="4875ECE2" w14:textId="77777777" w:rsidR="00D15D1C" w:rsidRPr="008B029F" w:rsidRDefault="00D15D1C" w:rsidP="00B37054">
            <w:pPr>
              <w:pStyle w:val="TableCenter"/>
              <w:jc w:val="left"/>
              <w:rPr>
                <w:lang w:val="en-AU"/>
              </w:rPr>
            </w:pPr>
            <w:r w:rsidRPr="008B029F">
              <w:rPr>
                <w:b/>
                <w:lang w:val="en-AU"/>
              </w:rPr>
              <w:lastRenderedPageBreak/>
              <w:t>Haematology</w:t>
            </w:r>
          </w:p>
        </w:tc>
      </w:tr>
      <w:tr w:rsidR="00D15D1C" w:rsidRPr="008B029F" w14:paraId="4FCA6E47" w14:textId="77777777" w:rsidTr="00B37054">
        <w:trPr>
          <w:cantSplit/>
          <w:jc w:val="center"/>
        </w:trPr>
        <w:tc>
          <w:tcPr>
            <w:tcW w:w="2427" w:type="pct"/>
            <w:shd w:val="clear" w:color="auto" w:fill="FFFFFF"/>
          </w:tcPr>
          <w:p w14:paraId="728771D3" w14:textId="77777777" w:rsidR="00D15D1C" w:rsidRPr="008B029F" w:rsidRDefault="00D15D1C" w:rsidP="00B37054">
            <w:pPr>
              <w:pStyle w:val="TableLeft"/>
              <w:rPr>
                <w:lang w:val="en-AU"/>
              </w:rPr>
            </w:pPr>
            <w:r w:rsidRPr="008B029F">
              <w:rPr>
                <w:lang w:val="en-AU"/>
              </w:rPr>
              <w:t>Lymphocytes (abs) decreased (10</w:t>
            </w:r>
            <w:r w:rsidRPr="008B029F">
              <w:rPr>
                <w:vertAlign w:val="superscript"/>
                <w:lang w:val="en-AU"/>
              </w:rPr>
              <w:t>9</w:t>
            </w:r>
            <w:r w:rsidRPr="008B029F">
              <w:rPr>
                <w:lang w:val="en-AU"/>
              </w:rPr>
              <w:t>/L)</w:t>
            </w:r>
          </w:p>
        </w:tc>
        <w:tc>
          <w:tcPr>
            <w:tcW w:w="2573" w:type="pct"/>
            <w:shd w:val="clear" w:color="auto" w:fill="FFFFFF"/>
          </w:tcPr>
          <w:p w14:paraId="51269261" w14:textId="77777777" w:rsidR="00D15D1C" w:rsidRPr="008B029F" w:rsidRDefault="00D15D1C" w:rsidP="00B37054">
            <w:pPr>
              <w:pStyle w:val="TableCenter"/>
              <w:rPr>
                <w:lang w:val="en-AU"/>
              </w:rPr>
            </w:pPr>
            <w:r w:rsidRPr="008B029F">
              <w:rPr>
                <w:lang w:val="en-AU"/>
              </w:rPr>
              <w:t>18 (32.7)</w:t>
            </w:r>
          </w:p>
        </w:tc>
      </w:tr>
      <w:tr w:rsidR="00D15D1C" w:rsidRPr="008B029F" w14:paraId="169A003D" w14:textId="77777777" w:rsidTr="00B37054">
        <w:trPr>
          <w:cantSplit/>
          <w:jc w:val="center"/>
        </w:trPr>
        <w:tc>
          <w:tcPr>
            <w:tcW w:w="2427" w:type="pct"/>
            <w:shd w:val="clear" w:color="auto" w:fill="FFFFFF"/>
          </w:tcPr>
          <w:p w14:paraId="23F567DF" w14:textId="77777777" w:rsidR="00D15D1C" w:rsidRPr="008B029F" w:rsidRDefault="00D15D1C" w:rsidP="00B37054">
            <w:pPr>
              <w:pStyle w:val="TableLeft"/>
              <w:rPr>
                <w:lang w:val="en-AU"/>
              </w:rPr>
            </w:pPr>
            <w:r w:rsidRPr="008B029F">
              <w:rPr>
                <w:lang w:val="en-AU"/>
              </w:rPr>
              <w:t>Haemoglobin decreased (g/L)</w:t>
            </w:r>
          </w:p>
        </w:tc>
        <w:tc>
          <w:tcPr>
            <w:tcW w:w="2573" w:type="pct"/>
            <w:shd w:val="clear" w:color="auto" w:fill="FFFFFF"/>
          </w:tcPr>
          <w:p w14:paraId="189E93D5" w14:textId="77777777" w:rsidR="00D15D1C" w:rsidRPr="008B029F" w:rsidRDefault="00D15D1C" w:rsidP="00B37054">
            <w:pPr>
              <w:pStyle w:val="TableCenter"/>
              <w:rPr>
                <w:lang w:val="en-AU"/>
              </w:rPr>
            </w:pPr>
            <w:r w:rsidRPr="008B029F">
              <w:rPr>
                <w:lang w:val="en-AU"/>
              </w:rPr>
              <w:t>9 (16.4)</w:t>
            </w:r>
          </w:p>
        </w:tc>
      </w:tr>
      <w:tr w:rsidR="00D15D1C" w:rsidRPr="008B029F" w14:paraId="3BE7F1AC" w14:textId="77777777" w:rsidTr="00B37054">
        <w:trPr>
          <w:cantSplit/>
          <w:jc w:val="center"/>
        </w:trPr>
        <w:tc>
          <w:tcPr>
            <w:tcW w:w="2427" w:type="pct"/>
            <w:shd w:val="clear" w:color="auto" w:fill="FFFFFF"/>
          </w:tcPr>
          <w:p w14:paraId="2D07DDEE" w14:textId="77777777" w:rsidR="00D15D1C" w:rsidRPr="008B029F" w:rsidRDefault="00D15D1C" w:rsidP="00B37054">
            <w:pPr>
              <w:pStyle w:val="TableLeft"/>
              <w:rPr>
                <w:lang w:val="en-AU"/>
              </w:rPr>
            </w:pPr>
            <w:r w:rsidRPr="008B029F">
              <w:rPr>
                <w:lang w:val="en-AU"/>
              </w:rPr>
              <w:t>Neutrophils (abs) decreased (10</w:t>
            </w:r>
            <w:r w:rsidRPr="008B029F">
              <w:rPr>
                <w:vertAlign w:val="superscript"/>
                <w:lang w:val="en-AU"/>
              </w:rPr>
              <w:t>9</w:t>
            </w:r>
            <w:r w:rsidRPr="008B029F">
              <w:rPr>
                <w:lang w:val="en-AU"/>
              </w:rPr>
              <w:t>/L)</w:t>
            </w:r>
          </w:p>
        </w:tc>
        <w:tc>
          <w:tcPr>
            <w:tcW w:w="2573" w:type="pct"/>
            <w:shd w:val="clear" w:color="auto" w:fill="FFFFFF"/>
          </w:tcPr>
          <w:p w14:paraId="21D9CF07" w14:textId="77777777" w:rsidR="00D15D1C" w:rsidRPr="008B029F" w:rsidRDefault="00D15D1C" w:rsidP="00B37054">
            <w:pPr>
              <w:pStyle w:val="TableCenter"/>
              <w:rPr>
                <w:lang w:val="en-AU"/>
              </w:rPr>
            </w:pPr>
            <w:r w:rsidRPr="008B029F">
              <w:rPr>
                <w:lang w:val="en-AU"/>
              </w:rPr>
              <w:t>4 (7.3)</w:t>
            </w:r>
          </w:p>
        </w:tc>
      </w:tr>
      <w:tr w:rsidR="00D15D1C" w:rsidRPr="008B029F" w14:paraId="05523F0D" w14:textId="77777777" w:rsidTr="00B37054">
        <w:trPr>
          <w:cantSplit/>
          <w:jc w:val="center"/>
        </w:trPr>
        <w:tc>
          <w:tcPr>
            <w:tcW w:w="2427" w:type="pct"/>
            <w:shd w:val="clear" w:color="auto" w:fill="FFFFFF"/>
          </w:tcPr>
          <w:p w14:paraId="4C2F1AD1" w14:textId="77777777" w:rsidR="00D15D1C" w:rsidRPr="008B029F" w:rsidRDefault="00D15D1C" w:rsidP="00B37054">
            <w:pPr>
              <w:pStyle w:val="TableLeft"/>
              <w:rPr>
                <w:lang w:val="en-AU"/>
              </w:rPr>
            </w:pPr>
            <w:r w:rsidRPr="008B029F">
              <w:rPr>
                <w:lang w:val="en-AU"/>
              </w:rPr>
              <w:t>Leukocytes decreased (10</w:t>
            </w:r>
            <w:r w:rsidRPr="008B029F">
              <w:rPr>
                <w:vertAlign w:val="superscript"/>
                <w:lang w:val="en-AU"/>
              </w:rPr>
              <w:t>9</w:t>
            </w:r>
            <w:r w:rsidRPr="008B029F">
              <w:rPr>
                <w:lang w:val="en-AU"/>
              </w:rPr>
              <w:t>/L)</w:t>
            </w:r>
          </w:p>
        </w:tc>
        <w:tc>
          <w:tcPr>
            <w:tcW w:w="2573" w:type="pct"/>
            <w:shd w:val="clear" w:color="auto" w:fill="FFFFFF"/>
          </w:tcPr>
          <w:p w14:paraId="46249AC5" w14:textId="77777777" w:rsidR="00D15D1C" w:rsidRPr="008B029F" w:rsidRDefault="00D15D1C" w:rsidP="00B37054">
            <w:pPr>
              <w:pStyle w:val="TableCenter"/>
              <w:rPr>
                <w:lang w:val="en-AU"/>
              </w:rPr>
            </w:pPr>
            <w:r w:rsidRPr="008B029F">
              <w:rPr>
                <w:lang w:val="en-AU"/>
              </w:rPr>
              <w:t>2 (3.6)</w:t>
            </w:r>
          </w:p>
        </w:tc>
      </w:tr>
    </w:tbl>
    <w:p w14:paraId="3F499423" w14:textId="77777777" w:rsidR="00D15D1C" w:rsidRPr="008B029F" w:rsidRDefault="00D15D1C" w:rsidP="00681ADE">
      <w:pPr>
        <w:pStyle w:val="TableFootnoteInfo"/>
        <w:rPr>
          <w:lang w:val="en-AU"/>
        </w:rPr>
      </w:pPr>
      <w:r w:rsidRPr="008B029F">
        <w:rPr>
          <w:lang w:val="en-AU"/>
        </w:rPr>
        <w:t>abs, absolute</w:t>
      </w:r>
    </w:p>
    <w:p w14:paraId="04C4E852" w14:textId="77777777" w:rsidR="00D15D1C" w:rsidRPr="008B029F" w:rsidRDefault="00D15D1C" w:rsidP="007D23F7">
      <w:pPr>
        <w:pStyle w:val="Paragraph"/>
        <w:rPr>
          <w:lang w:val="en-AU"/>
        </w:rPr>
      </w:pPr>
    </w:p>
    <w:p w14:paraId="111150F5" w14:textId="77777777" w:rsidR="00D15D1C" w:rsidRPr="008B029F" w:rsidRDefault="00D15D1C" w:rsidP="00D15D1C">
      <w:pPr>
        <w:pStyle w:val="Paragraph"/>
        <w:rPr>
          <w:lang w:val="en-AU"/>
        </w:rPr>
      </w:pPr>
      <w:r w:rsidRPr="008B029F">
        <w:rPr>
          <w:lang w:val="en-AU"/>
        </w:rPr>
        <w:t xml:space="preserve">The proportion of patients who experienced a TSH shift from baseline that was </w:t>
      </w:r>
      <w:r w:rsidRPr="008B029F">
        <w:rPr>
          <w:i/>
          <w:iCs/>
          <w:lang w:val="en-AU"/>
        </w:rPr>
        <w:t>≤</w:t>
      </w:r>
      <w:r w:rsidRPr="008B029F">
        <w:rPr>
          <w:lang w:val="en-AU"/>
        </w:rPr>
        <w:t xml:space="preserve"> ULN to any grade &gt;ULN was 23.6%, and a TSH shift from baseline that was ≥LLN to any grade &lt; LLN was 16.4%.</w:t>
      </w:r>
    </w:p>
    <w:p w14:paraId="605B7F33" w14:textId="0CE1A9AE" w:rsidR="00D15D1C" w:rsidRPr="008B029F" w:rsidRDefault="00D15D1C" w:rsidP="00681ADE">
      <w:pPr>
        <w:pStyle w:val="Heading5unnumbered"/>
        <w:rPr>
          <w:lang w:val="en-AU"/>
        </w:rPr>
      </w:pPr>
      <w:r w:rsidRPr="008B029F">
        <w:rPr>
          <w:lang w:val="en-AU"/>
        </w:rPr>
        <w:t>DREAM study</w:t>
      </w:r>
    </w:p>
    <w:p w14:paraId="312BAA36" w14:textId="12A0ACE4" w:rsidR="00D15D1C" w:rsidRPr="008B029F" w:rsidRDefault="00D15D1C" w:rsidP="00D15D1C">
      <w:pPr>
        <w:pStyle w:val="Paragraph"/>
        <w:rPr>
          <w:lang w:val="en-AU"/>
        </w:rPr>
      </w:pPr>
      <w:r w:rsidRPr="008B029F">
        <w:rPr>
          <w:lang w:val="en-AU"/>
        </w:rPr>
        <w:t xml:space="preserve">The safety of IMFINZI in combination with pemetrexed and cisplatin or carboplatin in unresectable MPM was evaluated in DREAM, an open-label, single arm, multicentre phase II study. A total of 54 patients received IMFINZI 1125 mg in combination with chemotherapy every 3 weeks for 6 cycles followed by IMFINZI 1125 mg every 3 weeks until disease progression, unacceptable toxicity or up to 12 months total therapy (see </w:t>
      </w:r>
      <w:r w:rsidR="00681ADE" w:rsidRPr="008B029F">
        <w:rPr>
          <w:lang w:val="en-AU"/>
        </w:rPr>
        <w:t xml:space="preserve">Section </w:t>
      </w:r>
      <w:r w:rsidR="00681ADE" w:rsidRPr="008B029F">
        <w:rPr>
          <w:color w:val="2B579A"/>
          <w:shd w:val="clear" w:color="auto" w:fill="E6E6E6"/>
          <w:lang w:val="en-AU"/>
        </w:rPr>
        <w:fldChar w:fldCharType="begin"/>
      </w:r>
      <w:r w:rsidR="00681ADE" w:rsidRPr="008B029F">
        <w:rPr>
          <w:lang w:val="en-AU"/>
        </w:rPr>
        <w:instrText xml:space="preserve"> REF _Ref121909874 \r \h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5.1</w:t>
      </w:r>
      <w:r w:rsidR="00681ADE" w:rsidRPr="008B029F">
        <w:rPr>
          <w:color w:val="2B579A"/>
          <w:shd w:val="clear" w:color="auto" w:fill="E6E6E6"/>
          <w:lang w:val="en-AU"/>
        </w:rPr>
        <w:fldChar w:fldCharType="end"/>
      </w:r>
      <w:r w:rsidR="00681ADE" w:rsidRPr="008B029F">
        <w:rPr>
          <w:lang w:val="en-AU"/>
        </w:rPr>
        <w:t xml:space="preserve"> </w:t>
      </w:r>
      <w:r w:rsidR="00681ADE" w:rsidRPr="008B029F">
        <w:rPr>
          <w:color w:val="2B579A"/>
          <w:shd w:val="clear" w:color="auto" w:fill="E6E6E6"/>
          <w:lang w:val="en-AU"/>
        </w:rPr>
        <w:fldChar w:fldCharType="begin"/>
      </w:r>
      <w:r w:rsidR="00681ADE" w:rsidRPr="008B029F">
        <w:rPr>
          <w:lang w:val="en-AU"/>
        </w:rPr>
        <w:instrText xml:space="preserve"> REF _Ref121909874 \h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Pharmacodynamic properties</w:t>
      </w:r>
      <w:r w:rsidR="00681ADE" w:rsidRPr="008B029F">
        <w:rPr>
          <w:color w:val="2B579A"/>
          <w:shd w:val="clear" w:color="auto" w:fill="E6E6E6"/>
          <w:lang w:val="en-AU"/>
        </w:rPr>
        <w:fldChar w:fldCharType="end"/>
      </w:r>
      <w:r w:rsidR="00427FA6" w:rsidRPr="008B029F">
        <w:rPr>
          <w:lang w:val="en-AU"/>
        </w:rPr>
        <w:t xml:space="preserve"> </w:t>
      </w:r>
      <w:r w:rsidRPr="008B029F">
        <w:rPr>
          <w:lang w:val="en-AU"/>
        </w:rPr>
        <w:t>– Clinical trials). The median number of treatment cycles of durvalumab and chemotherapy was 12 cycles and 6 cycles, respectively.</w:t>
      </w:r>
    </w:p>
    <w:p w14:paraId="732D958F" w14:textId="77777777" w:rsidR="00D15D1C" w:rsidRPr="008B029F" w:rsidRDefault="00D15D1C" w:rsidP="00D15D1C">
      <w:pPr>
        <w:pStyle w:val="Paragraph"/>
        <w:rPr>
          <w:lang w:val="en-AU"/>
        </w:rPr>
      </w:pPr>
      <w:r w:rsidRPr="008B029F">
        <w:rPr>
          <w:lang w:val="en-AU"/>
        </w:rPr>
        <w:t>Serious adverse events were reported in 29 (53.7%) patients. The most commonly reported (occurring in ≥ 5% of patients) serious adverse events were atrial fibrillation, nausea, and musculoskeletal chest pain (3 patients [5.6%] each).</w:t>
      </w:r>
    </w:p>
    <w:p w14:paraId="36CF74C7" w14:textId="77777777" w:rsidR="00D15D1C" w:rsidRPr="008B029F" w:rsidRDefault="00D15D1C" w:rsidP="00D15D1C">
      <w:pPr>
        <w:pStyle w:val="Paragraph"/>
        <w:rPr>
          <w:lang w:val="en-AU"/>
        </w:rPr>
      </w:pPr>
      <w:r w:rsidRPr="008B029F">
        <w:rPr>
          <w:lang w:val="en-AU"/>
        </w:rPr>
        <w:t>Five (9.3%) patients had durvalumab only related serious adverse events. Abdominal pain, acute kidney injury, adrenal insufficiency, infusion related reaction and synovitis were reported as related to durvalumab for 1 (1.9%) patient each.</w:t>
      </w:r>
    </w:p>
    <w:p w14:paraId="4FBFCA70" w14:textId="17E2F546" w:rsidR="00D15D1C" w:rsidRPr="008B029F" w:rsidRDefault="00D15D1C" w:rsidP="00D15D1C">
      <w:pPr>
        <w:pStyle w:val="Paragraph"/>
        <w:rPr>
          <w:lang w:val="en-AU"/>
        </w:rPr>
      </w:pPr>
      <w:r w:rsidRPr="008B029F">
        <w:rPr>
          <w:lang w:val="en-AU"/>
        </w:rPr>
        <w:t>Five (9.3%) patients had serious adverse events leading to death. One of these patients died due to a Grade 5 event of multiple organ dysfunction syndrome associated with Grade 3 events of gastrointestinal</w:t>
      </w:r>
      <w:r w:rsidR="00AF2CB8" w:rsidRPr="008B029F">
        <w:rPr>
          <w:lang w:val="en-AU"/>
        </w:rPr>
        <w:t xml:space="preserve"> (GI)</w:t>
      </w:r>
      <w:r w:rsidRPr="008B029F">
        <w:rPr>
          <w:lang w:val="en-AU"/>
        </w:rPr>
        <w:t xml:space="preserve"> haemorrhage, anaemia, fatigue and peripheral sensory neuropathy. The remaining 4 patients had the following adverse events that led to death: 1 patient with Grade 5 pneumonia aspiration, 1 patient with Grade 5 dyspnoea, 1 patient with Grade 5 embolism and 1 patient died due to myocardial infarction caused by mesothelioma. Fatigue was considered by the investigator to be related to durvalumab and chemotherapy; anaemia and embolism were considered by the investigator to be related to chemotherapy only. The remaining serious adverse events leading to death were not considered by the investigator to be related to durvalumab or chemotherapy.</w:t>
      </w:r>
    </w:p>
    <w:p w14:paraId="0BC603DB" w14:textId="77777777" w:rsidR="00D15D1C" w:rsidRPr="008B029F" w:rsidRDefault="00D15D1C" w:rsidP="00D15D1C">
      <w:pPr>
        <w:pStyle w:val="Paragraph"/>
        <w:rPr>
          <w:lang w:val="en-AU"/>
        </w:rPr>
      </w:pPr>
      <w:r w:rsidRPr="008B029F">
        <w:rPr>
          <w:lang w:val="en-AU"/>
        </w:rPr>
        <w:t>Serious adverse events leading to treatment discontinuation occurred in 4 (7.4%) patients. These events were blood creatinine increased, fluid overload, synovitis, and embolism (1 patient [1.9%] each).</w:t>
      </w:r>
      <w:r w:rsidRPr="008B029F">
        <w:rPr>
          <w:rStyle w:val="FootnoteReference"/>
          <w:lang w:val="en-AU"/>
        </w:rPr>
        <w:t xml:space="preserve"> </w:t>
      </w:r>
    </w:p>
    <w:p w14:paraId="468EA1E1" w14:textId="3E9C493E" w:rsidR="00DA15C8" w:rsidRDefault="00F95FC0" w:rsidP="00D15D1C">
      <w:pPr>
        <w:pStyle w:val="Paragraph"/>
        <w:rPr>
          <w:lang w:val="en-AU"/>
        </w:rPr>
      </w:pPr>
      <w:r w:rsidRPr="008B029F">
        <w:rPr>
          <w:color w:val="2B579A"/>
          <w:shd w:val="clear" w:color="auto" w:fill="E6E6E6"/>
          <w:lang w:val="en-AU"/>
        </w:rPr>
        <w:fldChar w:fldCharType="begin"/>
      </w:r>
      <w:r w:rsidRPr="008B029F">
        <w:rPr>
          <w:lang w:val="en-AU"/>
        </w:rPr>
        <w:instrText xml:space="preserve"> REF _Ref120539835 \h </w:instrText>
      </w:r>
      <w:r w:rsidR="00D05C4D" w:rsidRPr="008B029F">
        <w:rPr>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9</w:t>
      </w:r>
      <w:r w:rsidRPr="008B029F">
        <w:rPr>
          <w:color w:val="2B579A"/>
          <w:shd w:val="clear" w:color="auto" w:fill="E6E6E6"/>
          <w:lang w:val="en-AU"/>
        </w:rPr>
        <w:fldChar w:fldCharType="end"/>
      </w:r>
      <w:r w:rsidRPr="008B029F">
        <w:rPr>
          <w:lang w:val="en-AU"/>
        </w:rPr>
        <w:t xml:space="preserve"> </w:t>
      </w:r>
      <w:r w:rsidR="00D15D1C" w:rsidRPr="008B029F">
        <w:rPr>
          <w:lang w:val="en-AU"/>
        </w:rPr>
        <w:t>presents the most common (≥15% frequency) adverse events regardless of causality that occurred in DREAM. Laboratory data were not available for analysis.</w:t>
      </w:r>
    </w:p>
    <w:p w14:paraId="0CB29A28" w14:textId="77777777" w:rsidR="00DA15C8" w:rsidRDefault="00DA15C8">
      <w:pPr>
        <w:spacing w:after="200"/>
        <w:rPr>
          <w:lang w:val="en-AU"/>
        </w:rPr>
      </w:pPr>
      <w:r>
        <w:rPr>
          <w:lang w:val="en-AU"/>
        </w:rPr>
        <w:br w:type="page"/>
      </w:r>
    </w:p>
    <w:p w14:paraId="2988BF98" w14:textId="415D367F" w:rsidR="00D15D1C" w:rsidRPr="008B029F" w:rsidRDefault="00F95FC0" w:rsidP="00681ADE">
      <w:pPr>
        <w:pStyle w:val="TableTitle"/>
        <w:rPr>
          <w:lang w:val="en-AU"/>
        </w:rPr>
      </w:pPr>
      <w:bookmarkStart w:id="27" w:name="_Ref120539835"/>
      <w:r w:rsidRPr="008B029F">
        <w:rPr>
          <w:lang w:val="en-AU"/>
        </w:rPr>
        <w:lastRenderedPageBreak/>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9</w:t>
      </w:r>
      <w:r w:rsidRPr="008B029F">
        <w:rPr>
          <w:color w:val="2B579A"/>
          <w:shd w:val="clear" w:color="auto" w:fill="E6E6E6"/>
          <w:lang w:val="en-AU"/>
        </w:rPr>
        <w:fldChar w:fldCharType="end"/>
      </w:r>
      <w:bookmarkEnd w:id="27"/>
      <w:r w:rsidR="00D15D1C" w:rsidRPr="008B029F">
        <w:rPr>
          <w:lang w:val="en-AU"/>
        </w:rPr>
        <w:tab/>
        <w:t>Adverse events reported in at least 15% of patients in the DREAM study</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4770"/>
        <w:gridCol w:w="2431"/>
        <w:gridCol w:w="2431"/>
      </w:tblGrid>
      <w:tr w:rsidR="00D15D1C" w:rsidRPr="008B029F" w14:paraId="2B87212C" w14:textId="77777777" w:rsidTr="00681ADE">
        <w:trPr>
          <w:cantSplit/>
          <w:tblHeader/>
          <w:jc w:val="center"/>
        </w:trPr>
        <w:tc>
          <w:tcPr>
            <w:tcW w:w="2476" w:type="pct"/>
            <w:vMerge w:val="restart"/>
            <w:shd w:val="clear" w:color="auto" w:fill="FFFFFF"/>
            <w:vAlign w:val="center"/>
          </w:tcPr>
          <w:p w14:paraId="7E2AEFD3" w14:textId="77777777" w:rsidR="00D15D1C" w:rsidRPr="008B029F" w:rsidRDefault="00D15D1C" w:rsidP="00681ADE">
            <w:pPr>
              <w:pStyle w:val="TableHead"/>
              <w:jc w:val="left"/>
              <w:rPr>
                <w:lang w:val="en-AU"/>
              </w:rPr>
            </w:pPr>
            <w:r w:rsidRPr="008B029F">
              <w:rPr>
                <w:lang w:val="en-AU"/>
              </w:rPr>
              <w:t>Adverse Event</w:t>
            </w:r>
          </w:p>
        </w:tc>
        <w:tc>
          <w:tcPr>
            <w:tcW w:w="2524" w:type="pct"/>
            <w:gridSpan w:val="2"/>
            <w:shd w:val="clear" w:color="auto" w:fill="FFFFFF"/>
            <w:vAlign w:val="bottom"/>
          </w:tcPr>
          <w:p w14:paraId="503F680A" w14:textId="77777777" w:rsidR="00D15D1C" w:rsidRPr="008B029F" w:rsidRDefault="00D15D1C" w:rsidP="00681ADE">
            <w:pPr>
              <w:pStyle w:val="TableHead"/>
              <w:rPr>
                <w:lang w:val="en-AU"/>
              </w:rPr>
            </w:pPr>
            <w:r w:rsidRPr="008B029F">
              <w:rPr>
                <w:lang w:val="en-AU"/>
              </w:rPr>
              <w:t>N=54</w:t>
            </w:r>
          </w:p>
        </w:tc>
      </w:tr>
      <w:tr w:rsidR="00D15D1C" w:rsidRPr="008B029F" w14:paraId="313DD3E1" w14:textId="77777777" w:rsidTr="00B37054">
        <w:trPr>
          <w:cantSplit/>
          <w:tblHeader/>
          <w:jc w:val="center"/>
        </w:trPr>
        <w:tc>
          <w:tcPr>
            <w:tcW w:w="2476" w:type="pct"/>
            <w:vMerge/>
            <w:shd w:val="clear" w:color="auto" w:fill="FFFFFF"/>
          </w:tcPr>
          <w:p w14:paraId="7A107125" w14:textId="77777777" w:rsidR="00D15D1C" w:rsidRPr="008B029F" w:rsidRDefault="00D15D1C" w:rsidP="00681ADE">
            <w:pPr>
              <w:pStyle w:val="TableHead"/>
              <w:rPr>
                <w:lang w:val="en-AU"/>
              </w:rPr>
            </w:pPr>
          </w:p>
        </w:tc>
        <w:tc>
          <w:tcPr>
            <w:tcW w:w="1262" w:type="pct"/>
            <w:shd w:val="clear" w:color="auto" w:fill="FFFFFF"/>
            <w:vAlign w:val="bottom"/>
          </w:tcPr>
          <w:p w14:paraId="63D18250" w14:textId="77777777" w:rsidR="00D15D1C" w:rsidRPr="008B029F" w:rsidRDefault="00D15D1C" w:rsidP="00681ADE">
            <w:pPr>
              <w:pStyle w:val="TableHead"/>
              <w:rPr>
                <w:lang w:val="en-AU"/>
              </w:rPr>
            </w:pPr>
            <w:r w:rsidRPr="008B029F">
              <w:rPr>
                <w:lang w:val="en-AU"/>
              </w:rPr>
              <w:t>All grade (%)</w:t>
            </w:r>
          </w:p>
        </w:tc>
        <w:tc>
          <w:tcPr>
            <w:tcW w:w="1262" w:type="pct"/>
            <w:shd w:val="clear" w:color="auto" w:fill="FFFFFF"/>
          </w:tcPr>
          <w:p w14:paraId="77812A39" w14:textId="77777777" w:rsidR="00D15D1C" w:rsidRPr="008B029F" w:rsidRDefault="00D15D1C" w:rsidP="00681ADE">
            <w:pPr>
              <w:pStyle w:val="TableHead"/>
              <w:rPr>
                <w:lang w:val="en-AU"/>
              </w:rPr>
            </w:pPr>
            <w:r w:rsidRPr="008B029F">
              <w:rPr>
                <w:lang w:val="en-AU"/>
              </w:rPr>
              <w:t>Grade 3 or 4 (%)</w:t>
            </w:r>
          </w:p>
        </w:tc>
      </w:tr>
      <w:tr w:rsidR="00D15D1C" w:rsidRPr="008B029F" w14:paraId="1E0DECA6" w14:textId="77777777" w:rsidTr="00B37054">
        <w:trPr>
          <w:cantSplit/>
          <w:jc w:val="center"/>
        </w:trPr>
        <w:tc>
          <w:tcPr>
            <w:tcW w:w="5000" w:type="pct"/>
            <w:gridSpan w:val="3"/>
            <w:shd w:val="clear" w:color="auto" w:fill="FFFFFF"/>
          </w:tcPr>
          <w:p w14:paraId="2BF62C4A" w14:textId="77777777" w:rsidR="00D15D1C" w:rsidRPr="008B029F" w:rsidRDefault="00D15D1C" w:rsidP="00B37054">
            <w:pPr>
              <w:pStyle w:val="TableCenter"/>
              <w:jc w:val="left"/>
              <w:rPr>
                <w:lang w:val="en-AU"/>
              </w:rPr>
            </w:pPr>
            <w:r w:rsidRPr="008B029F">
              <w:rPr>
                <w:b/>
                <w:lang w:val="en-AU"/>
              </w:rPr>
              <w:t>Ear and labyrinth disorders</w:t>
            </w:r>
          </w:p>
        </w:tc>
      </w:tr>
      <w:tr w:rsidR="00D15D1C" w:rsidRPr="008B029F" w14:paraId="08F0295F" w14:textId="77777777" w:rsidTr="00B37054">
        <w:trPr>
          <w:cantSplit/>
          <w:jc w:val="center"/>
        </w:trPr>
        <w:tc>
          <w:tcPr>
            <w:tcW w:w="2476" w:type="pct"/>
            <w:shd w:val="clear" w:color="auto" w:fill="FFFFFF"/>
          </w:tcPr>
          <w:p w14:paraId="173C6703" w14:textId="77777777" w:rsidR="00D15D1C" w:rsidRPr="008B029F" w:rsidRDefault="00D15D1C" w:rsidP="00B37054">
            <w:pPr>
              <w:pStyle w:val="TableLeft"/>
              <w:ind w:left="323"/>
              <w:rPr>
                <w:lang w:val="en-AU"/>
              </w:rPr>
            </w:pPr>
            <w:r w:rsidRPr="008B029F">
              <w:rPr>
                <w:lang w:val="en-AU"/>
              </w:rPr>
              <w:t>Tinnitus</w:t>
            </w:r>
          </w:p>
        </w:tc>
        <w:tc>
          <w:tcPr>
            <w:tcW w:w="1262" w:type="pct"/>
            <w:shd w:val="clear" w:color="auto" w:fill="FFFFFF"/>
          </w:tcPr>
          <w:p w14:paraId="0348953E" w14:textId="77777777" w:rsidR="00D15D1C" w:rsidRPr="008B029F" w:rsidRDefault="00D15D1C" w:rsidP="00B37054">
            <w:pPr>
              <w:pStyle w:val="TableCenter"/>
              <w:rPr>
                <w:lang w:val="en-AU"/>
              </w:rPr>
            </w:pPr>
            <w:r w:rsidRPr="008B029F">
              <w:rPr>
                <w:lang w:val="en-AU"/>
              </w:rPr>
              <w:t>35.2</w:t>
            </w:r>
          </w:p>
        </w:tc>
        <w:tc>
          <w:tcPr>
            <w:tcW w:w="1262" w:type="pct"/>
            <w:shd w:val="clear" w:color="auto" w:fill="FFFFFF"/>
          </w:tcPr>
          <w:p w14:paraId="12921304" w14:textId="77777777" w:rsidR="00D15D1C" w:rsidRPr="008B029F" w:rsidRDefault="00D15D1C" w:rsidP="00B37054">
            <w:pPr>
              <w:pStyle w:val="TableCenter"/>
              <w:rPr>
                <w:lang w:val="en-AU"/>
              </w:rPr>
            </w:pPr>
            <w:r w:rsidRPr="008B029F">
              <w:rPr>
                <w:lang w:val="en-AU"/>
              </w:rPr>
              <w:t>0.0</w:t>
            </w:r>
          </w:p>
        </w:tc>
      </w:tr>
      <w:tr w:rsidR="00D15D1C" w:rsidRPr="008B029F" w14:paraId="240110B1" w14:textId="77777777" w:rsidTr="00B37054">
        <w:trPr>
          <w:cantSplit/>
          <w:jc w:val="center"/>
        </w:trPr>
        <w:tc>
          <w:tcPr>
            <w:tcW w:w="2476" w:type="pct"/>
            <w:shd w:val="clear" w:color="auto" w:fill="FFFFFF"/>
          </w:tcPr>
          <w:p w14:paraId="006FCC60" w14:textId="77777777" w:rsidR="00D15D1C" w:rsidRPr="008B029F" w:rsidRDefault="00D15D1C" w:rsidP="00B37054">
            <w:pPr>
              <w:pStyle w:val="TableLeft"/>
              <w:ind w:left="323"/>
              <w:rPr>
                <w:lang w:val="en-AU"/>
              </w:rPr>
            </w:pPr>
            <w:r w:rsidRPr="008B029F">
              <w:rPr>
                <w:lang w:val="en-AU"/>
              </w:rPr>
              <w:t>Hypoacusis</w:t>
            </w:r>
          </w:p>
        </w:tc>
        <w:tc>
          <w:tcPr>
            <w:tcW w:w="1262" w:type="pct"/>
            <w:shd w:val="clear" w:color="auto" w:fill="FFFFFF"/>
          </w:tcPr>
          <w:p w14:paraId="5C002E74" w14:textId="77777777" w:rsidR="00D15D1C" w:rsidRPr="008B029F" w:rsidRDefault="00D15D1C" w:rsidP="00B37054">
            <w:pPr>
              <w:pStyle w:val="TableCenter"/>
              <w:rPr>
                <w:lang w:val="en-AU"/>
              </w:rPr>
            </w:pPr>
            <w:r w:rsidRPr="008B029F">
              <w:rPr>
                <w:lang w:val="en-AU"/>
              </w:rPr>
              <w:t>20.4</w:t>
            </w:r>
          </w:p>
        </w:tc>
        <w:tc>
          <w:tcPr>
            <w:tcW w:w="1262" w:type="pct"/>
            <w:shd w:val="clear" w:color="auto" w:fill="FFFFFF"/>
          </w:tcPr>
          <w:p w14:paraId="0E02FF19" w14:textId="77777777" w:rsidR="00D15D1C" w:rsidRPr="008B029F" w:rsidRDefault="00D15D1C" w:rsidP="00B37054">
            <w:pPr>
              <w:pStyle w:val="TableCenter"/>
              <w:rPr>
                <w:lang w:val="en-AU"/>
              </w:rPr>
            </w:pPr>
            <w:r w:rsidRPr="008B029F">
              <w:rPr>
                <w:lang w:val="en-AU"/>
              </w:rPr>
              <w:t>1.9</w:t>
            </w:r>
          </w:p>
        </w:tc>
      </w:tr>
      <w:tr w:rsidR="00D15D1C" w:rsidRPr="008B029F" w14:paraId="48692A42" w14:textId="77777777" w:rsidTr="00B37054">
        <w:trPr>
          <w:cantSplit/>
          <w:jc w:val="center"/>
        </w:trPr>
        <w:tc>
          <w:tcPr>
            <w:tcW w:w="5000" w:type="pct"/>
            <w:gridSpan w:val="3"/>
            <w:shd w:val="clear" w:color="auto" w:fill="FFFFFF"/>
          </w:tcPr>
          <w:p w14:paraId="57EA0907" w14:textId="77777777" w:rsidR="00D15D1C" w:rsidRPr="008B029F" w:rsidRDefault="00D15D1C" w:rsidP="00B37054">
            <w:pPr>
              <w:pStyle w:val="TableCenter"/>
              <w:jc w:val="left"/>
              <w:rPr>
                <w:lang w:val="en-AU"/>
              </w:rPr>
            </w:pPr>
            <w:r w:rsidRPr="008B029F">
              <w:rPr>
                <w:b/>
                <w:lang w:val="en-AU"/>
              </w:rPr>
              <w:t>Eye disorders</w:t>
            </w:r>
          </w:p>
        </w:tc>
      </w:tr>
      <w:tr w:rsidR="00D15D1C" w:rsidRPr="008B029F" w14:paraId="7878892B" w14:textId="77777777" w:rsidTr="00B37054">
        <w:trPr>
          <w:cantSplit/>
          <w:jc w:val="center"/>
        </w:trPr>
        <w:tc>
          <w:tcPr>
            <w:tcW w:w="2476" w:type="pct"/>
            <w:shd w:val="clear" w:color="auto" w:fill="FFFFFF"/>
          </w:tcPr>
          <w:p w14:paraId="05870238" w14:textId="77777777" w:rsidR="00D15D1C" w:rsidRPr="008B029F" w:rsidRDefault="00D15D1C" w:rsidP="00B37054">
            <w:pPr>
              <w:pStyle w:val="TableLeft"/>
              <w:ind w:left="323"/>
              <w:rPr>
                <w:lang w:val="en-AU"/>
              </w:rPr>
            </w:pPr>
            <w:r w:rsidRPr="008B029F">
              <w:rPr>
                <w:lang w:val="en-AU"/>
              </w:rPr>
              <w:t>Lacrimation increased</w:t>
            </w:r>
          </w:p>
        </w:tc>
        <w:tc>
          <w:tcPr>
            <w:tcW w:w="1262" w:type="pct"/>
            <w:shd w:val="clear" w:color="auto" w:fill="FFFFFF"/>
          </w:tcPr>
          <w:p w14:paraId="276CC276" w14:textId="77777777" w:rsidR="00D15D1C" w:rsidRPr="008B029F" w:rsidRDefault="00D15D1C" w:rsidP="00B37054">
            <w:pPr>
              <w:pStyle w:val="TableCenter"/>
              <w:rPr>
                <w:lang w:val="en-AU"/>
              </w:rPr>
            </w:pPr>
            <w:r w:rsidRPr="008B029F">
              <w:rPr>
                <w:lang w:val="en-AU"/>
              </w:rPr>
              <w:t>22.2</w:t>
            </w:r>
          </w:p>
        </w:tc>
        <w:tc>
          <w:tcPr>
            <w:tcW w:w="1262" w:type="pct"/>
            <w:shd w:val="clear" w:color="auto" w:fill="FFFFFF"/>
          </w:tcPr>
          <w:p w14:paraId="126CF17A" w14:textId="77777777" w:rsidR="00D15D1C" w:rsidRPr="008B029F" w:rsidRDefault="00D15D1C" w:rsidP="00B37054">
            <w:pPr>
              <w:pStyle w:val="TableCenter"/>
              <w:rPr>
                <w:lang w:val="en-AU"/>
              </w:rPr>
            </w:pPr>
            <w:r w:rsidRPr="008B029F">
              <w:rPr>
                <w:lang w:val="en-AU"/>
              </w:rPr>
              <w:t>0.0</w:t>
            </w:r>
          </w:p>
        </w:tc>
      </w:tr>
      <w:tr w:rsidR="00D15D1C" w:rsidRPr="008B029F" w14:paraId="1D0AA294" w14:textId="77777777" w:rsidTr="00B37054">
        <w:trPr>
          <w:cantSplit/>
          <w:jc w:val="center"/>
        </w:trPr>
        <w:tc>
          <w:tcPr>
            <w:tcW w:w="5000" w:type="pct"/>
            <w:gridSpan w:val="3"/>
            <w:shd w:val="clear" w:color="auto" w:fill="FFFFFF"/>
          </w:tcPr>
          <w:p w14:paraId="43332B22" w14:textId="77777777" w:rsidR="00D15D1C" w:rsidRPr="008B029F" w:rsidRDefault="00D15D1C" w:rsidP="00B37054">
            <w:pPr>
              <w:pStyle w:val="TableCenter"/>
              <w:jc w:val="left"/>
              <w:rPr>
                <w:lang w:val="en-AU"/>
              </w:rPr>
            </w:pPr>
            <w:r w:rsidRPr="008B029F">
              <w:rPr>
                <w:b/>
                <w:lang w:val="en-AU"/>
              </w:rPr>
              <w:t>Gastrointestinal disorders</w:t>
            </w:r>
          </w:p>
        </w:tc>
      </w:tr>
      <w:tr w:rsidR="00D15D1C" w:rsidRPr="008B029F" w14:paraId="6EC2BC4E" w14:textId="77777777" w:rsidTr="00B37054">
        <w:trPr>
          <w:cantSplit/>
          <w:jc w:val="center"/>
        </w:trPr>
        <w:tc>
          <w:tcPr>
            <w:tcW w:w="2476" w:type="pct"/>
            <w:shd w:val="clear" w:color="auto" w:fill="FFFFFF"/>
          </w:tcPr>
          <w:p w14:paraId="3C0BB878" w14:textId="77777777" w:rsidR="00D15D1C" w:rsidRPr="008B029F" w:rsidRDefault="00D15D1C" w:rsidP="00B37054">
            <w:pPr>
              <w:pStyle w:val="TableLeft"/>
              <w:ind w:left="323"/>
              <w:rPr>
                <w:lang w:val="en-AU"/>
              </w:rPr>
            </w:pPr>
            <w:r w:rsidRPr="008B029F">
              <w:rPr>
                <w:lang w:val="en-AU"/>
              </w:rPr>
              <w:t>Nausea</w:t>
            </w:r>
          </w:p>
        </w:tc>
        <w:tc>
          <w:tcPr>
            <w:tcW w:w="1262" w:type="pct"/>
            <w:shd w:val="clear" w:color="auto" w:fill="FFFFFF"/>
          </w:tcPr>
          <w:p w14:paraId="28B0AFFB" w14:textId="77777777" w:rsidR="00D15D1C" w:rsidRPr="008B029F" w:rsidRDefault="00D15D1C" w:rsidP="00B37054">
            <w:pPr>
              <w:pStyle w:val="TableCenter"/>
              <w:rPr>
                <w:lang w:val="en-AU"/>
              </w:rPr>
            </w:pPr>
            <w:r w:rsidRPr="008B029F">
              <w:rPr>
                <w:lang w:val="en-AU"/>
              </w:rPr>
              <w:t>77.8</w:t>
            </w:r>
          </w:p>
        </w:tc>
        <w:tc>
          <w:tcPr>
            <w:tcW w:w="1262" w:type="pct"/>
            <w:shd w:val="clear" w:color="auto" w:fill="FFFFFF"/>
          </w:tcPr>
          <w:p w14:paraId="1D5C089A" w14:textId="77777777" w:rsidR="00D15D1C" w:rsidRPr="008B029F" w:rsidRDefault="00D15D1C" w:rsidP="00B37054">
            <w:pPr>
              <w:pStyle w:val="TableCenter"/>
              <w:rPr>
                <w:lang w:val="en-AU"/>
              </w:rPr>
            </w:pPr>
            <w:r w:rsidRPr="008B029F">
              <w:rPr>
                <w:lang w:val="en-AU"/>
              </w:rPr>
              <w:t>11.1</w:t>
            </w:r>
          </w:p>
        </w:tc>
      </w:tr>
      <w:tr w:rsidR="00D15D1C" w:rsidRPr="008B029F" w14:paraId="75F7811E" w14:textId="77777777" w:rsidTr="00B37054">
        <w:trPr>
          <w:cantSplit/>
          <w:jc w:val="center"/>
        </w:trPr>
        <w:tc>
          <w:tcPr>
            <w:tcW w:w="2476" w:type="pct"/>
            <w:shd w:val="clear" w:color="auto" w:fill="FFFFFF"/>
          </w:tcPr>
          <w:p w14:paraId="3FBEFDAA" w14:textId="77777777" w:rsidR="00D15D1C" w:rsidRPr="008B029F" w:rsidRDefault="00D15D1C" w:rsidP="00B37054">
            <w:pPr>
              <w:pStyle w:val="TableLeft"/>
              <w:ind w:left="323"/>
              <w:rPr>
                <w:lang w:val="en-AU"/>
              </w:rPr>
            </w:pPr>
            <w:r w:rsidRPr="008B029F">
              <w:rPr>
                <w:lang w:val="en-AU"/>
              </w:rPr>
              <w:t>Constipation</w:t>
            </w:r>
          </w:p>
        </w:tc>
        <w:tc>
          <w:tcPr>
            <w:tcW w:w="1262" w:type="pct"/>
            <w:shd w:val="clear" w:color="auto" w:fill="FFFFFF"/>
          </w:tcPr>
          <w:p w14:paraId="1D162A04" w14:textId="77777777" w:rsidR="00D15D1C" w:rsidRPr="008B029F" w:rsidRDefault="00D15D1C" w:rsidP="00B37054">
            <w:pPr>
              <w:pStyle w:val="TableCenter"/>
              <w:rPr>
                <w:lang w:val="en-AU"/>
              </w:rPr>
            </w:pPr>
            <w:r w:rsidRPr="008B029F">
              <w:rPr>
                <w:lang w:val="en-AU"/>
              </w:rPr>
              <w:t>55.6</w:t>
            </w:r>
          </w:p>
        </w:tc>
        <w:tc>
          <w:tcPr>
            <w:tcW w:w="1262" w:type="pct"/>
            <w:shd w:val="clear" w:color="auto" w:fill="FFFFFF"/>
          </w:tcPr>
          <w:p w14:paraId="7656AB53" w14:textId="77777777" w:rsidR="00D15D1C" w:rsidRPr="008B029F" w:rsidRDefault="00D15D1C" w:rsidP="00B37054">
            <w:pPr>
              <w:pStyle w:val="TableCenter"/>
              <w:rPr>
                <w:lang w:val="en-AU"/>
              </w:rPr>
            </w:pPr>
            <w:r w:rsidRPr="008B029F">
              <w:rPr>
                <w:lang w:val="en-AU"/>
              </w:rPr>
              <w:t>1.9</w:t>
            </w:r>
          </w:p>
        </w:tc>
      </w:tr>
      <w:tr w:rsidR="00D15D1C" w:rsidRPr="008B029F" w14:paraId="3130D6FA" w14:textId="77777777" w:rsidTr="00B37054">
        <w:trPr>
          <w:cantSplit/>
          <w:jc w:val="center"/>
        </w:trPr>
        <w:tc>
          <w:tcPr>
            <w:tcW w:w="2476" w:type="pct"/>
            <w:shd w:val="clear" w:color="auto" w:fill="FFFFFF"/>
          </w:tcPr>
          <w:p w14:paraId="33214061" w14:textId="05BB38C6" w:rsidR="00D15D1C" w:rsidRPr="008B029F" w:rsidRDefault="00D15D1C" w:rsidP="00B37054">
            <w:pPr>
              <w:pStyle w:val="TableLeft"/>
              <w:ind w:left="323"/>
              <w:rPr>
                <w:lang w:val="en-AU"/>
              </w:rPr>
            </w:pPr>
            <w:r w:rsidRPr="008B029F">
              <w:rPr>
                <w:lang w:val="en-AU"/>
              </w:rPr>
              <w:t>Gastro</w:t>
            </w:r>
            <w:r w:rsidR="00D05C4D" w:rsidRPr="008B029F">
              <w:rPr>
                <w:lang w:val="en-AU"/>
              </w:rPr>
              <w:t>-</w:t>
            </w:r>
            <w:r w:rsidRPr="008B029F">
              <w:rPr>
                <w:lang w:val="en-AU"/>
              </w:rPr>
              <w:t>oesophageal reflux disease</w:t>
            </w:r>
          </w:p>
        </w:tc>
        <w:tc>
          <w:tcPr>
            <w:tcW w:w="1262" w:type="pct"/>
            <w:shd w:val="clear" w:color="auto" w:fill="FFFFFF"/>
          </w:tcPr>
          <w:p w14:paraId="1DAF930C" w14:textId="77777777" w:rsidR="00D15D1C" w:rsidRPr="008B029F" w:rsidRDefault="00D15D1C" w:rsidP="00B37054">
            <w:pPr>
              <w:pStyle w:val="TableCenter"/>
              <w:rPr>
                <w:lang w:val="en-AU"/>
              </w:rPr>
            </w:pPr>
            <w:r w:rsidRPr="008B029F">
              <w:rPr>
                <w:lang w:val="en-AU"/>
              </w:rPr>
              <w:t>27.8</w:t>
            </w:r>
          </w:p>
        </w:tc>
        <w:tc>
          <w:tcPr>
            <w:tcW w:w="1262" w:type="pct"/>
            <w:shd w:val="clear" w:color="auto" w:fill="FFFFFF"/>
          </w:tcPr>
          <w:p w14:paraId="73A8E39C" w14:textId="77777777" w:rsidR="00D15D1C" w:rsidRPr="008B029F" w:rsidRDefault="00D15D1C" w:rsidP="00B37054">
            <w:pPr>
              <w:pStyle w:val="TableCenter"/>
              <w:rPr>
                <w:lang w:val="en-AU"/>
              </w:rPr>
            </w:pPr>
            <w:r w:rsidRPr="008B029F">
              <w:rPr>
                <w:lang w:val="en-AU"/>
              </w:rPr>
              <w:t>0.0</w:t>
            </w:r>
          </w:p>
        </w:tc>
      </w:tr>
      <w:tr w:rsidR="00D15D1C" w:rsidRPr="008B029F" w14:paraId="0FD1E45A" w14:textId="77777777" w:rsidTr="00B37054">
        <w:trPr>
          <w:cantSplit/>
          <w:jc w:val="center"/>
        </w:trPr>
        <w:tc>
          <w:tcPr>
            <w:tcW w:w="2476" w:type="pct"/>
            <w:shd w:val="clear" w:color="auto" w:fill="FFFFFF"/>
          </w:tcPr>
          <w:p w14:paraId="39B3FFAD" w14:textId="77777777" w:rsidR="00D15D1C" w:rsidRPr="008B029F" w:rsidRDefault="00D15D1C" w:rsidP="00B37054">
            <w:pPr>
              <w:pStyle w:val="TableLeft"/>
              <w:ind w:left="323"/>
              <w:rPr>
                <w:lang w:val="en-AU"/>
              </w:rPr>
            </w:pPr>
            <w:r w:rsidRPr="008B029F">
              <w:rPr>
                <w:lang w:val="en-AU"/>
              </w:rPr>
              <w:t>Vomiting</w:t>
            </w:r>
          </w:p>
        </w:tc>
        <w:tc>
          <w:tcPr>
            <w:tcW w:w="1262" w:type="pct"/>
            <w:shd w:val="clear" w:color="auto" w:fill="FFFFFF"/>
          </w:tcPr>
          <w:p w14:paraId="496454EE" w14:textId="77777777" w:rsidR="00D15D1C" w:rsidRPr="008B029F" w:rsidRDefault="00D15D1C" w:rsidP="00B37054">
            <w:pPr>
              <w:pStyle w:val="TableCenter"/>
              <w:rPr>
                <w:lang w:val="en-AU"/>
              </w:rPr>
            </w:pPr>
            <w:r w:rsidRPr="008B029F">
              <w:rPr>
                <w:lang w:val="en-AU"/>
              </w:rPr>
              <w:t>27.8</w:t>
            </w:r>
          </w:p>
        </w:tc>
        <w:tc>
          <w:tcPr>
            <w:tcW w:w="1262" w:type="pct"/>
            <w:shd w:val="clear" w:color="auto" w:fill="FFFFFF"/>
          </w:tcPr>
          <w:p w14:paraId="291B1A6F" w14:textId="77777777" w:rsidR="00D15D1C" w:rsidRPr="008B029F" w:rsidRDefault="00D15D1C" w:rsidP="00B37054">
            <w:pPr>
              <w:pStyle w:val="TableCenter"/>
              <w:rPr>
                <w:lang w:val="en-AU"/>
              </w:rPr>
            </w:pPr>
            <w:r w:rsidRPr="008B029F">
              <w:rPr>
                <w:lang w:val="en-AU"/>
              </w:rPr>
              <w:t>1.9</w:t>
            </w:r>
          </w:p>
        </w:tc>
      </w:tr>
      <w:tr w:rsidR="00D15D1C" w:rsidRPr="008B029F" w14:paraId="677C86A6" w14:textId="77777777" w:rsidTr="00B37054">
        <w:trPr>
          <w:cantSplit/>
          <w:jc w:val="center"/>
        </w:trPr>
        <w:tc>
          <w:tcPr>
            <w:tcW w:w="2476" w:type="pct"/>
            <w:shd w:val="clear" w:color="auto" w:fill="FFFFFF"/>
          </w:tcPr>
          <w:p w14:paraId="023203E0" w14:textId="77777777" w:rsidR="00D15D1C" w:rsidRPr="008B029F" w:rsidRDefault="00D15D1C" w:rsidP="00B37054">
            <w:pPr>
              <w:pStyle w:val="TableLeft"/>
              <w:ind w:left="323"/>
              <w:rPr>
                <w:lang w:val="en-AU"/>
              </w:rPr>
            </w:pPr>
            <w:r w:rsidRPr="008B029F">
              <w:rPr>
                <w:lang w:val="en-AU"/>
              </w:rPr>
              <w:t>Diarrhoea</w:t>
            </w:r>
          </w:p>
        </w:tc>
        <w:tc>
          <w:tcPr>
            <w:tcW w:w="1262" w:type="pct"/>
            <w:shd w:val="clear" w:color="auto" w:fill="FFFFFF"/>
          </w:tcPr>
          <w:p w14:paraId="53CB5E2C" w14:textId="77777777" w:rsidR="00D15D1C" w:rsidRPr="008B029F" w:rsidRDefault="00D15D1C" w:rsidP="00B37054">
            <w:pPr>
              <w:pStyle w:val="TableCenter"/>
              <w:rPr>
                <w:lang w:val="en-AU"/>
              </w:rPr>
            </w:pPr>
            <w:r w:rsidRPr="008B029F">
              <w:rPr>
                <w:lang w:val="en-AU"/>
              </w:rPr>
              <w:t>25.9</w:t>
            </w:r>
          </w:p>
        </w:tc>
        <w:tc>
          <w:tcPr>
            <w:tcW w:w="1262" w:type="pct"/>
            <w:shd w:val="clear" w:color="auto" w:fill="FFFFFF"/>
          </w:tcPr>
          <w:p w14:paraId="3BE8A7DC" w14:textId="77777777" w:rsidR="00D15D1C" w:rsidRPr="008B029F" w:rsidRDefault="00D15D1C" w:rsidP="00B37054">
            <w:pPr>
              <w:pStyle w:val="TableCenter"/>
              <w:rPr>
                <w:lang w:val="en-AU"/>
              </w:rPr>
            </w:pPr>
            <w:r w:rsidRPr="008B029F">
              <w:rPr>
                <w:lang w:val="en-AU"/>
              </w:rPr>
              <w:t>1.9</w:t>
            </w:r>
          </w:p>
        </w:tc>
      </w:tr>
      <w:tr w:rsidR="00D15D1C" w:rsidRPr="008B029F" w14:paraId="3F7A128C" w14:textId="77777777" w:rsidTr="00B37054">
        <w:trPr>
          <w:cantSplit/>
          <w:jc w:val="center"/>
        </w:trPr>
        <w:tc>
          <w:tcPr>
            <w:tcW w:w="5000" w:type="pct"/>
            <w:gridSpan w:val="3"/>
            <w:shd w:val="clear" w:color="auto" w:fill="FFFFFF"/>
          </w:tcPr>
          <w:p w14:paraId="2F468571" w14:textId="77777777" w:rsidR="00D15D1C" w:rsidRPr="008B029F" w:rsidRDefault="00D15D1C" w:rsidP="00B37054">
            <w:pPr>
              <w:pStyle w:val="TableCenter"/>
              <w:jc w:val="left"/>
              <w:rPr>
                <w:lang w:val="en-AU"/>
              </w:rPr>
            </w:pPr>
            <w:r w:rsidRPr="008B029F">
              <w:rPr>
                <w:b/>
                <w:lang w:val="en-AU"/>
              </w:rPr>
              <w:t>General disorders and administration site conditions</w:t>
            </w:r>
          </w:p>
        </w:tc>
      </w:tr>
      <w:tr w:rsidR="00D15D1C" w:rsidRPr="008B029F" w14:paraId="185BBBAE" w14:textId="77777777" w:rsidTr="00B37054">
        <w:trPr>
          <w:cantSplit/>
          <w:jc w:val="center"/>
        </w:trPr>
        <w:tc>
          <w:tcPr>
            <w:tcW w:w="2476" w:type="pct"/>
            <w:shd w:val="clear" w:color="auto" w:fill="FFFFFF"/>
          </w:tcPr>
          <w:p w14:paraId="49265E2C" w14:textId="77777777" w:rsidR="00D15D1C" w:rsidRPr="008B029F" w:rsidRDefault="00D15D1C" w:rsidP="00B37054">
            <w:pPr>
              <w:pStyle w:val="TableLeft"/>
              <w:ind w:left="323"/>
              <w:rPr>
                <w:lang w:val="en-AU"/>
              </w:rPr>
            </w:pPr>
            <w:r w:rsidRPr="008B029F">
              <w:rPr>
                <w:lang w:val="en-AU"/>
              </w:rPr>
              <w:t>Fatigue</w:t>
            </w:r>
          </w:p>
        </w:tc>
        <w:tc>
          <w:tcPr>
            <w:tcW w:w="1262" w:type="pct"/>
            <w:shd w:val="clear" w:color="auto" w:fill="FFFFFF"/>
          </w:tcPr>
          <w:p w14:paraId="5FF7AB9A" w14:textId="77777777" w:rsidR="00D15D1C" w:rsidRPr="008B029F" w:rsidRDefault="00D15D1C" w:rsidP="00B37054">
            <w:pPr>
              <w:pStyle w:val="TableCenter"/>
              <w:rPr>
                <w:lang w:val="en-AU"/>
              </w:rPr>
            </w:pPr>
            <w:r w:rsidRPr="008B029F">
              <w:rPr>
                <w:lang w:val="en-AU"/>
              </w:rPr>
              <w:t>75.9</w:t>
            </w:r>
          </w:p>
        </w:tc>
        <w:tc>
          <w:tcPr>
            <w:tcW w:w="1262" w:type="pct"/>
            <w:shd w:val="clear" w:color="auto" w:fill="FFFFFF"/>
          </w:tcPr>
          <w:p w14:paraId="3B7F292F" w14:textId="77777777" w:rsidR="00D15D1C" w:rsidRPr="008B029F" w:rsidRDefault="00D15D1C" w:rsidP="00B37054">
            <w:pPr>
              <w:pStyle w:val="TableCenter"/>
              <w:rPr>
                <w:lang w:val="en-AU"/>
              </w:rPr>
            </w:pPr>
            <w:r w:rsidRPr="008B029F">
              <w:rPr>
                <w:lang w:val="en-AU"/>
              </w:rPr>
              <w:t>5.6</w:t>
            </w:r>
          </w:p>
        </w:tc>
      </w:tr>
      <w:tr w:rsidR="00D15D1C" w:rsidRPr="008B029F" w14:paraId="286174A1" w14:textId="77777777" w:rsidTr="00B37054">
        <w:trPr>
          <w:cantSplit/>
          <w:jc w:val="center"/>
        </w:trPr>
        <w:tc>
          <w:tcPr>
            <w:tcW w:w="2476" w:type="pct"/>
            <w:shd w:val="clear" w:color="auto" w:fill="FFFFFF"/>
          </w:tcPr>
          <w:p w14:paraId="123BC041" w14:textId="77777777" w:rsidR="00D15D1C" w:rsidRPr="008B029F" w:rsidRDefault="00D15D1C" w:rsidP="00B37054">
            <w:pPr>
              <w:pStyle w:val="TableLeft"/>
              <w:ind w:left="323"/>
              <w:rPr>
                <w:lang w:val="en-AU"/>
              </w:rPr>
            </w:pPr>
            <w:r w:rsidRPr="008B029F">
              <w:rPr>
                <w:lang w:val="en-AU"/>
              </w:rPr>
              <w:t>Oedema peripheral</w:t>
            </w:r>
          </w:p>
        </w:tc>
        <w:tc>
          <w:tcPr>
            <w:tcW w:w="1262" w:type="pct"/>
            <w:shd w:val="clear" w:color="auto" w:fill="FFFFFF"/>
          </w:tcPr>
          <w:p w14:paraId="194B4061" w14:textId="77777777" w:rsidR="00D15D1C" w:rsidRPr="008B029F" w:rsidRDefault="00D15D1C" w:rsidP="00B37054">
            <w:pPr>
              <w:pStyle w:val="TableCenter"/>
              <w:rPr>
                <w:lang w:val="en-AU"/>
              </w:rPr>
            </w:pPr>
            <w:r w:rsidRPr="008B029F">
              <w:rPr>
                <w:lang w:val="en-AU"/>
              </w:rPr>
              <w:t>29.6</w:t>
            </w:r>
          </w:p>
        </w:tc>
        <w:tc>
          <w:tcPr>
            <w:tcW w:w="1262" w:type="pct"/>
            <w:shd w:val="clear" w:color="auto" w:fill="FFFFFF"/>
          </w:tcPr>
          <w:p w14:paraId="76F176A4" w14:textId="77777777" w:rsidR="00D15D1C" w:rsidRPr="008B029F" w:rsidRDefault="00D15D1C" w:rsidP="00B37054">
            <w:pPr>
              <w:pStyle w:val="TableCenter"/>
              <w:rPr>
                <w:lang w:val="en-AU"/>
              </w:rPr>
            </w:pPr>
            <w:r w:rsidRPr="008B029F">
              <w:rPr>
                <w:lang w:val="en-AU"/>
              </w:rPr>
              <w:t>0.0</w:t>
            </w:r>
          </w:p>
        </w:tc>
      </w:tr>
      <w:tr w:rsidR="00D15D1C" w:rsidRPr="008B029F" w14:paraId="28D5F335" w14:textId="77777777" w:rsidTr="00B37054">
        <w:trPr>
          <w:cantSplit/>
          <w:jc w:val="center"/>
        </w:trPr>
        <w:tc>
          <w:tcPr>
            <w:tcW w:w="2476" w:type="pct"/>
            <w:shd w:val="clear" w:color="auto" w:fill="FFFFFF"/>
          </w:tcPr>
          <w:p w14:paraId="3DC4127D" w14:textId="77777777" w:rsidR="00D15D1C" w:rsidRPr="008B029F" w:rsidRDefault="00D15D1C" w:rsidP="00B37054">
            <w:pPr>
              <w:pStyle w:val="TableLeft"/>
              <w:ind w:left="323"/>
              <w:rPr>
                <w:lang w:val="en-AU"/>
              </w:rPr>
            </w:pPr>
            <w:r w:rsidRPr="008B029F">
              <w:rPr>
                <w:lang w:val="en-AU"/>
              </w:rPr>
              <w:t>Pain</w:t>
            </w:r>
          </w:p>
        </w:tc>
        <w:tc>
          <w:tcPr>
            <w:tcW w:w="1262" w:type="pct"/>
            <w:shd w:val="clear" w:color="auto" w:fill="FFFFFF"/>
          </w:tcPr>
          <w:p w14:paraId="2606229F" w14:textId="77777777" w:rsidR="00D15D1C" w:rsidRPr="008B029F" w:rsidRDefault="00D15D1C" w:rsidP="00B37054">
            <w:pPr>
              <w:pStyle w:val="TableCenter"/>
              <w:rPr>
                <w:lang w:val="en-AU"/>
              </w:rPr>
            </w:pPr>
            <w:r w:rsidRPr="008B029F">
              <w:rPr>
                <w:lang w:val="en-AU"/>
              </w:rPr>
              <w:t>29.6</w:t>
            </w:r>
          </w:p>
        </w:tc>
        <w:tc>
          <w:tcPr>
            <w:tcW w:w="1262" w:type="pct"/>
            <w:shd w:val="clear" w:color="auto" w:fill="FFFFFF"/>
          </w:tcPr>
          <w:p w14:paraId="546B061A" w14:textId="77777777" w:rsidR="00D15D1C" w:rsidRPr="008B029F" w:rsidRDefault="00D15D1C" w:rsidP="00B37054">
            <w:pPr>
              <w:pStyle w:val="TableCenter"/>
              <w:rPr>
                <w:lang w:val="en-AU"/>
              </w:rPr>
            </w:pPr>
            <w:r w:rsidRPr="008B029F">
              <w:rPr>
                <w:lang w:val="en-AU"/>
              </w:rPr>
              <w:t>1.9</w:t>
            </w:r>
          </w:p>
        </w:tc>
      </w:tr>
      <w:tr w:rsidR="00D15D1C" w:rsidRPr="008B029F" w14:paraId="542C6D8D" w14:textId="77777777" w:rsidTr="00B37054">
        <w:trPr>
          <w:cantSplit/>
          <w:jc w:val="center"/>
        </w:trPr>
        <w:tc>
          <w:tcPr>
            <w:tcW w:w="5000" w:type="pct"/>
            <w:gridSpan w:val="3"/>
            <w:shd w:val="clear" w:color="auto" w:fill="FFFFFF"/>
          </w:tcPr>
          <w:p w14:paraId="32DFF0FA" w14:textId="77777777" w:rsidR="00D15D1C" w:rsidRPr="008B029F" w:rsidRDefault="00D15D1C" w:rsidP="00B37054">
            <w:pPr>
              <w:pStyle w:val="TableCenter"/>
              <w:jc w:val="left"/>
              <w:rPr>
                <w:lang w:val="en-AU"/>
              </w:rPr>
            </w:pPr>
            <w:r w:rsidRPr="008B029F">
              <w:rPr>
                <w:b/>
                <w:lang w:val="en-AU"/>
              </w:rPr>
              <w:t>Investigations</w:t>
            </w:r>
          </w:p>
        </w:tc>
      </w:tr>
      <w:tr w:rsidR="00D15D1C" w:rsidRPr="008B029F" w14:paraId="67D6D093" w14:textId="77777777" w:rsidTr="00B37054">
        <w:trPr>
          <w:cantSplit/>
          <w:jc w:val="center"/>
        </w:trPr>
        <w:tc>
          <w:tcPr>
            <w:tcW w:w="2476" w:type="pct"/>
            <w:shd w:val="clear" w:color="auto" w:fill="FFFFFF"/>
          </w:tcPr>
          <w:p w14:paraId="4773A60B" w14:textId="77777777" w:rsidR="00D15D1C" w:rsidRPr="008B029F" w:rsidRDefault="00D15D1C" w:rsidP="00B37054">
            <w:pPr>
              <w:pStyle w:val="TableLeft"/>
              <w:ind w:left="323"/>
              <w:rPr>
                <w:lang w:val="en-AU"/>
              </w:rPr>
            </w:pPr>
            <w:r w:rsidRPr="008B029F">
              <w:rPr>
                <w:lang w:val="en-AU"/>
              </w:rPr>
              <w:t>Neutrophil count decreased</w:t>
            </w:r>
          </w:p>
        </w:tc>
        <w:tc>
          <w:tcPr>
            <w:tcW w:w="1262" w:type="pct"/>
            <w:shd w:val="clear" w:color="auto" w:fill="FFFFFF"/>
          </w:tcPr>
          <w:p w14:paraId="3AB5DC72" w14:textId="77777777" w:rsidR="00D15D1C" w:rsidRPr="008B029F" w:rsidRDefault="00D15D1C" w:rsidP="00B37054">
            <w:pPr>
              <w:pStyle w:val="TableCenter"/>
              <w:rPr>
                <w:lang w:val="en-AU"/>
              </w:rPr>
            </w:pPr>
            <w:r w:rsidRPr="008B029F">
              <w:rPr>
                <w:lang w:val="en-AU"/>
              </w:rPr>
              <w:t>33.3</w:t>
            </w:r>
          </w:p>
        </w:tc>
        <w:tc>
          <w:tcPr>
            <w:tcW w:w="1262" w:type="pct"/>
            <w:shd w:val="clear" w:color="auto" w:fill="FFFFFF"/>
          </w:tcPr>
          <w:p w14:paraId="6DD6E331" w14:textId="77777777" w:rsidR="00D15D1C" w:rsidRPr="008B029F" w:rsidRDefault="00D15D1C" w:rsidP="00B37054">
            <w:pPr>
              <w:pStyle w:val="TableCenter"/>
              <w:rPr>
                <w:lang w:val="en-AU"/>
              </w:rPr>
            </w:pPr>
            <w:r w:rsidRPr="008B029F">
              <w:rPr>
                <w:lang w:val="en-AU"/>
              </w:rPr>
              <w:t>13.0</w:t>
            </w:r>
          </w:p>
        </w:tc>
      </w:tr>
      <w:tr w:rsidR="00D15D1C" w:rsidRPr="008B029F" w14:paraId="76D6815C" w14:textId="77777777" w:rsidTr="00B37054">
        <w:trPr>
          <w:cantSplit/>
          <w:jc w:val="center"/>
        </w:trPr>
        <w:tc>
          <w:tcPr>
            <w:tcW w:w="5000" w:type="pct"/>
            <w:gridSpan w:val="3"/>
            <w:shd w:val="clear" w:color="auto" w:fill="FFFFFF"/>
          </w:tcPr>
          <w:p w14:paraId="370C8852" w14:textId="77777777" w:rsidR="00D15D1C" w:rsidRPr="008B029F" w:rsidRDefault="00D15D1C" w:rsidP="00B37054">
            <w:pPr>
              <w:pStyle w:val="TableCenter"/>
              <w:jc w:val="left"/>
              <w:rPr>
                <w:lang w:val="en-AU"/>
              </w:rPr>
            </w:pPr>
            <w:r w:rsidRPr="008B029F">
              <w:rPr>
                <w:b/>
                <w:lang w:val="en-AU"/>
              </w:rPr>
              <w:t>Metabolism and nutrition disorders</w:t>
            </w:r>
          </w:p>
        </w:tc>
      </w:tr>
      <w:tr w:rsidR="00D15D1C" w:rsidRPr="008B029F" w14:paraId="367D3C7A" w14:textId="77777777" w:rsidTr="00B37054">
        <w:trPr>
          <w:cantSplit/>
          <w:jc w:val="center"/>
        </w:trPr>
        <w:tc>
          <w:tcPr>
            <w:tcW w:w="2476" w:type="pct"/>
            <w:shd w:val="clear" w:color="auto" w:fill="FFFFFF"/>
          </w:tcPr>
          <w:p w14:paraId="1E2DA2E1" w14:textId="77777777" w:rsidR="00D15D1C" w:rsidRPr="008B029F" w:rsidRDefault="00D15D1C" w:rsidP="00B37054">
            <w:pPr>
              <w:pStyle w:val="TableLeft"/>
              <w:ind w:left="323"/>
              <w:rPr>
                <w:lang w:val="en-AU"/>
              </w:rPr>
            </w:pPr>
            <w:r w:rsidRPr="008B029F">
              <w:rPr>
                <w:lang w:val="en-AU"/>
              </w:rPr>
              <w:t>Decreased appetite</w:t>
            </w:r>
          </w:p>
        </w:tc>
        <w:tc>
          <w:tcPr>
            <w:tcW w:w="1262" w:type="pct"/>
            <w:shd w:val="clear" w:color="auto" w:fill="FFFFFF"/>
          </w:tcPr>
          <w:p w14:paraId="57CE6056" w14:textId="77777777" w:rsidR="00D15D1C" w:rsidRPr="008B029F" w:rsidRDefault="00D15D1C" w:rsidP="00B37054">
            <w:pPr>
              <w:pStyle w:val="TableCenter"/>
              <w:rPr>
                <w:lang w:val="en-AU"/>
              </w:rPr>
            </w:pPr>
            <w:r w:rsidRPr="008B029F">
              <w:rPr>
                <w:lang w:val="en-AU"/>
              </w:rPr>
              <w:t>20.4</w:t>
            </w:r>
          </w:p>
        </w:tc>
        <w:tc>
          <w:tcPr>
            <w:tcW w:w="1262" w:type="pct"/>
            <w:shd w:val="clear" w:color="auto" w:fill="FFFFFF"/>
          </w:tcPr>
          <w:p w14:paraId="2352B1D7" w14:textId="77777777" w:rsidR="00D15D1C" w:rsidRPr="008B029F" w:rsidRDefault="00D15D1C" w:rsidP="00B37054">
            <w:pPr>
              <w:pStyle w:val="TableCenter"/>
              <w:rPr>
                <w:lang w:val="en-AU"/>
              </w:rPr>
            </w:pPr>
            <w:r w:rsidRPr="008B029F">
              <w:rPr>
                <w:lang w:val="en-AU"/>
              </w:rPr>
              <w:t>0.0</w:t>
            </w:r>
          </w:p>
        </w:tc>
      </w:tr>
      <w:tr w:rsidR="00D15D1C" w:rsidRPr="008B029F" w14:paraId="17647D2E" w14:textId="77777777" w:rsidTr="00B37054">
        <w:trPr>
          <w:cantSplit/>
          <w:jc w:val="center"/>
        </w:trPr>
        <w:tc>
          <w:tcPr>
            <w:tcW w:w="5000" w:type="pct"/>
            <w:gridSpan w:val="3"/>
            <w:shd w:val="clear" w:color="auto" w:fill="FFFFFF"/>
          </w:tcPr>
          <w:p w14:paraId="7D85F713" w14:textId="77777777" w:rsidR="00D15D1C" w:rsidRPr="008B029F" w:rsidRDefault="00D15D1C" w:rsidP="00B37054">
            <w:pPr>
              <w:pStyle w:val="TableCenter"/>
              <w:jc w:val="left"/>
              <w:rPr>
                <w:lang w:val="en-AU"/>
              </w:rPr>
            </w:pPr>
            <w:r w:rsidRPr="008B029F">
              <w:rPr>
                <w:b/>
                <w:lang w:val="en-AU"/>
              </w:rPr>
              <w:t>Musculoskeletal and connective tissue disorders</w:t>
            </w:r>
          </w:p>
        </w:tc>
      </w:tr>
      <w:tr w:rsidR="00D15D1C" w:rsidRPr="008B029F" w14:paraId="60F2F707" w14:textId="77777777" w:rsidTr="00B37054">
        <w:trPr>
          <w:cantSplit/>
          <w:jc w:val="center"/>
        </w:trPr>
        <w:tc>
          <w:tcPr>
            <w:tcW w:w="2476" w:type="pct"/>
            <w:shd w:val="clear" w:color="auto" w:fill="FFFFFF"/>
          </w:tcPr>
          <w:p w14:paraId="05230922" w14:textId="77777777" w:rsidR="00D15D1C" w:rsidRPr="008B029F" w:rsidRDefault="00D15D1C" w:rsidP="00B37054">
            <w:pPr>
              <w:pStyle w:val="TableLeft"/>
              <w:ind w:left="323"/>
              <w:rPr>
                <w:lang w:val="en-AU"/>
              </w:rPr>
            </w:pPr>
            <w:r w:rsidRPr="008B029F">
              <w:rPr>
                <w:lang w:val="en-AU"/>
              </w:rPr>
              <w:t>Musculoskeletal chest pain</w:t>
            </w:r>
          </w:p>
        </w:tc>
        <w:tc>
          <w:tcPr>
            <w:tcW w:w="1262" w:type="pct"/>
            <w:shd w:val="clear" w:color="auto" w:fill="FFFFFF"/>
          </w:tcPr>
          <w:p w14:paraId="2C221267" w14:textId="77777777" w:rsidR="00D15D1C" w:rsidRPr="008B029F" w:rsidRDefault="00D15D1C" w:rsidP="00B37054">
            <w:pPr>
              <w:pStyle w:val="TableCenter"/>
              <w:rPr>
                <w:lang w:val="en-AU"/>
              </w:rPr>
            </w:pPr>
            <w:r w:rsidRPr="008B029F">
              <w:rPr>
                <w:lang w:val="en-AU"/>
              </w:rPr>
              <w:t>22.2</w:t>
            </w:r>
          </w:p>
        </w:tc>
        <w:tc>
          <w:tcPr>
            <w:tcW w:w="1262" w:type="pct"/>
            <w:shd w:val="clear" w:color="auto" w:fill="FFFFFF"/>
          </w:tcPr>
          <w:p w14:paraId="3228C3F9" w14:textId="77777777" w:rsidR="00D15D1C" w:rsidRPr="008B029F" w:rsidRDefault="00D15D1C" w:rsidP="00B37054">
            <w:pPr>
              <w:pStyle w:val="TableCenter"/>
              <w:rPr>
                <w:lang w:val="en-AU"/>
              </w:rPr>
            </w:pPr>
            <w:r w:rsidRPr="008B029F">
              <w:rPr>
                <w:lang w:val="en-AU"/>
              </w:rPr>
              <w:t>5.6</w:t>
            </w:r>
          </w:p>
        </w:tc>
      </w:tr>
      <w:tr w:rsidR="00D15D1C" w:rsidRPr="008B029F" w14:paraId="4C9B0286" w14:textId="77777777" w:rsidTr="00B37054">
        <w:trPr>
          <w:cantSplit/>
          <w:jc w:val="center"/>
        </w:trPr>
        <w:tc>
          <w:tcPr>
            <w:tcW w:w="5000" w:type="pct"/>
            <w:gridSpan w:val="3"/>
            <w:shd w:val="clear" w:color="auto" w:fill="FFFFFF"/>
          </w:tcPr>
          <w:p w14:paraId="63FBC3FF" w14:textId="77777777" w:rsidR="00D15D1C" w:rsidRPr="008B029F" w:rsidRDefault="00D15D1C" w:rsidP="00B37054">
            <w:pPr>
              <w:pStyle w:val="TableCenter"/>
              <w:jc w:val="left"/>
              <w:rPr>
                <w:lang w:val="en-AU"/>
              </w:rPr>
            </w:pPr>
            <w:r w:rsidRPr="008B029F">
              <w:rPr>
                <w:b/>
                <w:lang w:val="en-AU"/>
              </w:rPr>
              <w:t>Nervous system disorders</w:t>
            </w:r>
          </w:p>
        </w:tc>
      </w:tr>
      <w:tr w:rsidR="00D15D1C" w:rsidRPr="008B029F" w14:paraId="7302D352" w14:textId="77777777" w:rsidTr="00B37054">
        <w:trPr>
          <w:cantSplit/>
          <w:jc w:val="center"/>
        </w:trPr>
        <w:tc>
          <w:tcPr>
            <w:tcW w:w="2476" w:type="pct"/>
            <w:shd w:val="clear" w:color="auto" w:fill="FFFFFF"/>
          </w:tcPr>
          <w:p w14:paraId="71BCB64E" w14:textId="77777777" w:rsidR="00D15D1C" w:rsidRPr="008B029F" w:rsidRDefault="00D15D1C" w:rsidP="00B37054">
            <w:pPr>
              <w:pStyle w:val="TableLeft"/>
              <w:ind w:left="323"/>
              <w:rPr>
                <w:lang w:val="en-AU"/>
              </w:rPr>
            </w:pPr>
            <w:r w:rsidRPr="008B029F">
              <w:rPr>
                <w:lang w:val="en-AU"/>
              </w:rPr>
              <w:t>Peripheral sensory neuropathy</w:t>
            </w:r>
          </w:p>
        </w:tc>
        <w:tc>
          <w:tcPr>
            <w:tcW w:w="1262" w:type="pct"/>
            <w:shd w:val="clear" w:color="auto" w:fill="FFFFFF"/>
          </w:tcPr>
          <w:p w14:paraId="6FAAB031" w14:textId="77777777" w:rsidR="00D15D1C" w:rsidRPr="008B029F" w:rsidRDefault="00D15D1C" w:rsidP="00B37054">
            <w:pPr>
              <w:pStyle w:val="TableCenter"/>
              <w:rPr>
                <w:lang w:val="en-AU"/>
              </w:rPr>
            </w:pPr>
            <w:r w:rsidRPr="008B029F">
              <w:rPr>
                <w:lang w:val="en-AU"/>
              </w:rPr>
              <w:t>38.9</w:t>
            </w:r>
          </w:p>
        </w:tc>
        <w:tc>
          <w:tcPr>
            <w:tcW w:w="1262" w:type="pct"/>
            <w:shd w:val="clear" w:color="auto" w:fill="FFFFFF"/>
          </w:tcPr>
          <w:p w14:paraId="02362A56" w14:textId="77777777" w:rsidR="00D15D1C" w:rsidRPr="008B029F" w:rsidRDefault="00D15D1C" w:rsidP="00B37054">
            <w:pPr>
              <w:pStyle w:val="TableCenter"/>
              <w:rPr>
                <w:lang w:val="en-AU"/>
              </w:rPr>
            </w:pPr>
            <w:r w:rsidRPr="008B029F">
              <w:rPr>
                <w:lang w:val="en-AU"/>
              </w:rPr>
              <w:t>1.9</w:t>
            </w:r>
          </w:p>
        </w:tc>
      </w:tr>
      <w:tr w:rsidR="00D15D1C" w:rsidRPr="008B029F" w14:paraId="2D5418AD" w14:textId="77777777" w:rsidTr="00B37054">
        <w:trPr>
          <w:cantSplit/>
          <w:jc w:val="center"/>
        </w:trPr>
        <w:tc>
          <w:tcPr>
            <w:tcW w:w="2476" w:type="pct"/>
            <w:shd w:val="clear" w:color="auto" w:fill="FFFFFF"/>
          </w:tcPr>
          <w:p w14:paraId="4E71E5D4" w14:textId="77777777" w:rsidR="00D15D1C" w:rsidRPr="008B029F" w:rsidRDefault="00D15D1C" w:rsidP="00B37054">
            <w:pPr>
              <w:pStyle w:val="TableLeft"/>
              <w:ind w:left="323"/>
              <w:rPr>
                <w:lang w:val="en-AU"/>
              </w:rPr>
            </w:pPr>
            <w:r w:rsidRPr="008B029F">
              <w:rPr>
                <w:lang w:val="en-AU"/>
              </w:rPr>
              <w:t>Dysgeusia</w:t>
            </w:r>
          </w:p>
        </w:tc>
        <w:tc>
          <w:tcPr>
            <w:tcW w:w="1262" w:type="pct"/>
            <w:shd w:val="clear" w:color="auto" w:fill="FFFFFF"/>
          </w:tcPr>
          <w:p w14:paraId="028ADC4C" w14:textId="77777777" w:rsidR="00D15D1C" w:rsidRPr="008B029F" w:rsidRDefault="00D15D1C" w:rsidP="00B37054">
            <w:pPr>
              <w:pStyle w:val="TableCenter"/>
              <w:rPr>
                <w:lang w:val="en-AU"/>
              </w:rPr>
            </w:pPr>
            <w:r w:rsidRPr="008B029F">
              <w:rPr>
                <w:lang w:val="en-AU"/>
              </w:rPr>
              <w:t>24.1</w:t>
            </w:r>
          </w:p>
        </w:tc>
        <w:tc>
          <w:tcPr>
            <w:tcW w:w="1262" w:type="pct"/>
            <w:shd w:val="clear" w:color="auto" w:fill="FFFFFF"/>
          </w:tcPr>
          <w:p w14:paraId="243200C4" w14:textId="77777777" w:rsidR="00D15D1C" w:rsidRPr="008B029F" w:rsidRDefault="00D15D1C" w:rsidP="00B37054">
            <w:pPr>
              <w:pStyle w:val="TableCenter"/>
              <w:rPr>
                <w:lang w:val="en-AU"/>
              </w:rPr>
            </w:pPr>
            <w:r w:rsidRPr="008B029F">
              <w:rPr>
                <w:lang w:val="en-AU"/>
              </w:rPr>
              <w:t>0.0</w:t>
            </w:r>
          </w:p>
        </w:tc>
      </w:tr>
      <w:tr w:rsidR="00D15D1C" w:rsidRPr="008B029F" w14:paraId="79030C85" w14:textId="77777777" w:rsidTr="00B37054">
        <w:trPr>
          <w:cantSplit/>
          <w:jc w:val="center"/>
        </w:trPr>
        <w:tc>
          <w:tcPr>
            <w:tcW w:w="2476" w:type="pct"/>
            <w:shd w:val="clear" w:color="auto" w:fill="FFFFFF"/>
          </w:tcPr>
          <w:p w14:paraId="0E437B8B" w14:textId="77777777" w:rsidR="00D15D1C" w:rsidRPr="008B029F" w:rsidRDefault="00D15D1C" w:rsidP="00B37054">
            <w:pPr>
              <w:pStyle w:val="TableLeft"/>
              <w:ind w:left="323"/>
              <w:rPr>
                <w:lang w:val="en-AU"/>
              </w:rPr>
            </w:pPr>
            <w:r w:rsidRPr="008B029F">
              <w:rPr>
                <w:lang w:val="en-AU"/>
              </w:rPr>
              <w:t>Dizziness</w:t>
            </w:r>
          </w:p>
        </w:tc>
        <w:tc>
          <w:tcPr>
            <w:tcW w:w="1262" w:type="pct"/>
            <w:shd w:val="clear" w:color="auto" w:fill="FFFFFF"/>
          </w:tcPr>
          <w:p w14:paraId="4DE73D0A" w14:textId="77777777" w:rsidR="00D15D1C" w:rsidRPr="008B029F" w:rsidRDefault="00D15D1C" w:rsidP="00B37054">
            <w:pPr>
              <w:pStyle w:val="TableCenter"/>
              <w:rPr>
                <w:lang w:val="en-AU"/>
              </w:rPr>
            </w:pPr>
            <w:r w:rsidRPr="008B029F">
              <w:rPr>
                <w:lang w:val="en-AU"/>
              </w:rPr>
              <w:t>18.5</w:t>
            </w:r>
          </w:p>
        </w:tc>
        <w:tc>
          <w:tcPr>
            <w:tcW w:w="1262" w:type="pct"/>
            <w:shd w:val="clear" w:color="auto" w:fill="FFFFFF"/>
          </w:tcPr>
          <w:p w14:paraId="3B1D95A7" w14:textId="77777777" w:rsidR="00D15D1C" w:rsidRPr="008B029F" w:rsidRDefault="00D15D1C" w:rsidP="00B37054">
            <w:pPr>
              <w:pStyle w:val="TableCenter"/>
              <w:rPr>
                <w:lang w:val="en-AU"/>
              </w:rPr>
            </w:pPr>
            <w:r w:rsidRPr="008B029F">
              <w:rPr>
                <w:lang w:val="en-AU"/>
              </w:rPr>
              <w:t>0.0</w:t>
            </w:r>
          </w:p>
        </w:tc>
      </w:tr>
      <w:tr w:rsidR="00D15D1C" w:rsidRPr="008B029F" w14:paraId="7F45ECF6" w14:textId="77777777" w:rsidTr="00B37054">
        <w:trPr>
          <w:cantSplit/>
          <w:jc w:val="center"/>
        </w:trPr>
        <w:tc>
          <w:tcPr>
            <w:tcW w:w="2476" w:type="pct"/>
            <w:shd w:val="clear" w:color="auto" w:fill="FFFFFF"/>
          </w:tcPr>
          <w:p w14:paraId="050436E4" w14:textId="77777777" w:rsidR="00D15D1C" w:rsidRPr="008B029F" w:rsidRDefault="00D15D1C" w:rsidP="00B37054">
            <w:pPr>
              <w:pStyle w:val="TableLeft"/>
              <w:ind w:left="323"/>
              <w:rPr>
                <w:lang w:val="en-AU"/>
              </w:rPr>
            </w:pPr>
            <w:r w:rsidRPr="008B029F">
              <w:rPr>
                <w:lang w:val="en-AU"/>
              </w:rPr>
              <w:t>Headache</w:t>
            </w:r>
          </w:p>
        </w:tc>
        <w:tc>
          <w:tcPr>
            <w:tcW w:w="1262" w:type="pct"/>
            <w:shd w:val="clear" w:color="auto" w:fill="FFFFFF"/>
          </w:tcPr>
          <w:p w14:paraId="0DBA83F3" w14:textId="77777777" w:rsidR="00D15D1C" w:rsidRPr="008B029F" w:rsidRDefault="00D15D1C" w:rsidP="00B37054">
            <w:pPr>
              <w:pStyle w:val="TableCenter"/>
              <w:rPr>
                <w:lang w:val="en-AU"/>
              </w:rPr>
            </w:pPr>
            <w:r w:rsidRPr="008B029F">
              <w:rPr>
                <w:lang w:val="en-AU"/>
              </w:rPr>
              <w:t>18.5</w:t>
            </w:r>
          </w:p>
        </w:tc>
        <w:tc>
          <w:tcPr>
            <w:tcW w:w="1262" w:type="pct"/>
            <w:shd w:val="clear" w:color="auto" w:fill="FFFFFF"/>
          </w:tcPr>
          <w:p w14:paraId="4764C0D1" w14:textId="77777777" w:rsidR="00D15D1C" w:rsidRPr="008B029F" w:rsidRDefault="00D15D1C" w:rsidP="00B37054">
            <w:pPr>
              <w:pStyle w:val="TableCenter"/>
              <w:rPr>
                <w:lang w:val="en-AU"/>
              </w:rPr>
            </w:pPr>
            <w:r w:rsidRPr="008B029F">
              <w:rPr>
                <w:lang w:val="en-AU"/>
              </w:rPr>
              <w:t>0.0</w:t>
            </w:r>
          </w:p>
        </w:tc>
      </w:tr>
      <w:tr w:rsidR="00D15D1C" w:rsidRPr="008B029F" w14:paraId="2B5FEF67" w14:textId="77777777" w:rsidTr="00B37054">
        <w:trPr>
          <w:cantSplit/>
          <w:jc w:val="center"/>
        </w:trPr>
        <w:tc>
          <w:tcPr>
            <w:tcW w:w="2476" w:type="pct"/>
            <w:shd w:val="clear" w:color="auto" w:fill="FFFFFF"/>
          </w:tcPr>
          <w:p w14:paraId="38A08DCE" w14:textId="77777777" w:rsidR="00D15D1C" w:rsidRPr="008B029F" w:rsidRDefault="00D15D1C" w:rsidP="00B37054">
            <w:pPr>
              <w:pStyle w:val="TableLeft"/>
              <w:ind w:left="323"/>
              <w:rPr>
                <w:lang w:val="en-AU"/>
              </w:rPr>
            </w:pPr>
            <w:r w:rsidRPr="008B029F">
              <w:rPr>
                <w:lang w:val="en-AU"/>
              </w:rPr>
              <w:t>Lethargy</w:t>
            </w:r>
          </w:p>
        </w:tc>
        <w:tc>
          <w:tcPr>
            <w:tcW w:w="1262" w:type="pct"/>
            <w:shd w:val="clear" w:color="auto" w:fill="FFFFFF"/>
          </w:tcPr>
          <w:p w14:paraId="026CFC2B" w14:textId="77777777" w:rsidR="00D15D1C" w:rsidRPr="008B029F" w:rsidRDefault="00D15D1C" w:rsidP="00B37054">
            <w:pPr>
              <w:pStyle w:val="TableCenter"/>
              <w:rPr>
                <w:lang w:val="en-AU"/>
              </w:rPr>
            </w:pPr>
            <w:r w:rsidRPr="008B029F">
              <w:rPr>
                <w:lang w:val="en-AU"/>
              </w:rPr>
              <w:t>16.7</w:t>
            </w:r>
          </w:p>
        </w:tc>
        <w:tc>
          <w:tcPr>
            <w:tcW w:w="1262" w:type="pct"/>
            <w:shd w:val="clear" w:color="auto" w:fill="FFFFFF"/>
          </w:tcPr>
          <w:p w14:paraId="2A12B96A" w14:textId="77777777" w:rsidR="00D15D1C" w:rsidRPr="008B029F" w:rsidRDefault="00D15D1C" w:rsidP="00B37054">
            <w:pPr>
              <w:pStyle w:val="TableCenter"/>
              <w:rPr>
                <w:lang w:val="en-AU"/>
              </w:rPr>
            </w:pPr>
            <w:r w:rsidRPr="008B029F">
              <w:rPr>
                <w:lang w:val="en-AU"/>
              </w:rPr>
              <w:t>0.0</w:t>
            </w:r>
          </w:p>
        </w:tc>
      </w:tr>
      <w:tr w:rsidR="00D15D1C" w:rsidRPr="008B029F" w14:paraId="580A77E4" w14:textId="77777777" w:rsidTr="00B37054">
        <w:trPr>
          <w:cantSplit/>
          <w:jc w:val="center"/>
        </w:trPr>
        <w:tc>
          <w:tcPr>
            <w:tcW w:w="5000" w:type="pct"/>
            <w:gridSpan w:val="3"/>
            <w:shd w:val="clear" w:color="auto" w:fill="FFFFFF"/>
          </w:tcPr>
          <w:p w14:paraId="1A700F5F" w14:textId="77777777" w:rsidR="00D15D1C" w:rsidRPr="008B029F" w:rsidRDefault="00D15D1C" w:rsidP="00B37054">
            <w:pPr>
              <w:pStyle w:val="TableCenter"/>
              <w:jc w:val="left"/>
              <w:rPr>
                <w:lang w:val="en-AU"/>
              </w:rPr>
            </w:pPr>
            <w:r w:rsidRPr="008B029F">
              <w:rPr>
                <w:b/>
                <w:lang w:val="en-AU"/>
              </w:rPr>
              <w:t>Respiratory, thoracic and mediastinal disorders</w:t>
            </w:r>
          </w:p>
        </w:tc>
      </w:tr>
      <w:tr w:rsidR="00D15D1C" w:rsidRPr="008B029F" w14:paraId="7E0DA232" w14:textId="77777777" w:rsidTr="00B37054">
        <w:trPr>
          <w:cantSplit/>
          <w:jc w:val="center"/>
        </w:trPr>
        <w:tc>
          <w:tcPr>
            <w:tcW w:w="2476" w:type="pct"/>
            <w:shd w:val="clear" w:color="auto" w:fill="FFFFFF"/>
          </w:tcPr>
          <w:p w14:paraId="24A65181" w14:textId="77777777" w:rsidR="00D15D1C" w:rsidRPr="008B029F" w:rsidRDefault="00D15D1C" w:rsidP="00B37054">
            <w:pPr>
              <w:pStyle w:val="TableLeft"/>
              <w:ind w:left="323"/>
              <w:rPr>
                <w:lang w:val="en-AU"/>
              </w:rPr>
            </w:pPr>
            <w:r w:rsidRPr="008B029F">
              <w:rPr>
                <w:lang w:val="en-AU"/>
              </w:rPr>
              <w:t>Dyspnoea</w:t>
            </w:r>
          </w:p>
        </w:tc>
        <w:tc>
          <w:tcPr>
            <w:tcW w:w="1262" w:type="pct"/>
            <w:shd w:val="clear" w:color="auto" w:fill="FFFFFF"/>
          </w:tcPr>
          <w:p w14:paraId="1B917604" w14:textId="77777777" w:rsidR="00D15D1C" w:rsidRPr="008B029F" w:rsidRDefault="00D15D1C" w:rsidP="00B37054">
            <w:pPr>
              <w:pStyle w:val="TableCenter"/>
              <w:rPr>
                <w:lang w:val="en-AU"/>
              </w:rPr>
            </w:pPr>
            <w:r w:rsidRPr="008B029F">
              <w:rPr>
                <w:lang w:val="en-AU"/>
              </w:rPr>
              <w:t>35.2</w:t>
            </w:r>
          </w:p>
        </w:tc>
        <w:tc>
          <w:tcPr>
            <w:tcW w:w="1262" w:type="pct"/>
            <w:shd w:val="clear" w:color="auto" w:fill="FFFFFF"/>
          </w:tcPr>
          <w:p w14:paraId="36693B1D" w14:textId="77777777" w:rsidR="00D15D1C" w:rsidRPr="008B029F" w:rsidRDefault="00D15D1C" w:rsidP="00B37054">
            <w:pPr>
              <w:pStyle w:val="TableCenter"/>
              <w:rPr>
                <w:lang w:val="en-AU"/>
              </w:rPr>
            </w:pPr>
            <w:r w:rsidRPr="008B029F">
              <w:rPr>
                <w:lang w:val="en-AU"/>
              </w:rPr>
              <w:t>1.9</w:t>
            </w:r>
          </w:p>
        </w:tc>
      </w:tr>
      <w:tr w:rsidR="00D15D1C" w:rsidRPr="008B029F" w14:paraId="189538E5" w14:textId="77777777" w:rsidTr="00B37054">
        <w:trPr>
          <w:cantSplit/>
          <w:jc w:val="center"/>
        </w:trPr>
        <w:tc>
          <w:tcPr>
            <w:tcW w:w="2476" w:type="pct"/>
            <w:shd w:val="clear" w:color="auto" w:fill="FFFFFF"/>
          </w:tcPr>
          <w:p w14:paraId="6C14501F" w14:textId="77777777" w:rsidR="00D15D1C" w:rsidRPr="008B029F" w:rsidRDefault="00D15D1C" w:rsidP="00B37054">
            <w:pPr>
              <w:pStyle w:val="TableLeft"/>
              <w:ind w:left="323"/>
              <w:rPr>
                <w:lang w:val="en-AU"/>
              </w:rPr>
            </w:pPr>
            <w:r w:rsidRPr="008B029F">
              <w:rPr>
                <w:lang w:val="en-AU"/>
              </w:rPr>
              <w:t>Cough</w:t>
            </w:r>
          </w:p>
        </w:tc>
        <w:tc>
          <w:tcPr>
            <w:tcW w:w="1262" w:type="pct"/>
            <w:shd w:val="clear" w:color="auto" w:fill="FFFFFF"/>
          </w:tcPr>
          <w:p w14:paraId="6252AE1F" w14:textId="77777777" w:rsidR="00D15D1C" w:rsidRPr="008B029F" w:rsidRDefault="00D15D1C" w:rsidP="00B37054">
            <w:pPr>
              <w:pStyle w:val="TableCenter"/>
              <w:rPr>
                <w:lang w:val="en-AU"/>
              </w:rPr>
            </w:pPr>
            <w:r w:rsidRPr="008B029F">
              <w:rPr>
                <w:lang w:val="en-AU"/>
              </w:rPr>
              <w:t>24.1</w:t>
            </w:r>
          </w:p>
        </w:tc>
        <w:tc>
          <w:tcPr>
            <w:tcW w:w="1262" w:type="pct"/>
            <w:shd w:val="clear" w:color="auto" w:fill="FFFFFF"/>
          </w:tcPr>
          <w:p w14:paraId="18EEB4A7" w14:textId="77777777" w:rsidR="00D15D1C" w:rsidRPr="008B029F" w:rsidRDefault="00D15D1C" w:rsidP="00B37054">
            <w:pPr>
              <w:pStyle w:val="TableCenter"/>
              <w:rPr>
                <w:lang w:val="en-AU"/>
              </w:rPr>
            </w:pPr>
            <w:r w:rsidRPr="008B029F">
              <w:rPr>
                <w:lang w:val="en-AU"/>
              </w:rPr>
              <w:t>0.0</w:t>
            </w:r>
          </w:p>
        </w:tc>
      </w:tr>
      <w:tr w:rsidR="00D15D1C" w:rsidRPr="008B029F" w14:paraId="38F733E4" w14:textId="77777777" w:rsidTr="00B37054">
        <w:trPr>
          <w:cantSplit/>
          <w:jc w:val="center"/>
        </w:trPr>
        <w:tc>
          <w:tcPr>
            <w:tcW w:w="5000" w:type="pct"/>
            <w:gridSpan w:val="3"/>
            <w:shd w:val="clear" w:color="auto" w:fill="FFFFFF"/>
          </w:tcPr>
          <w:p w14:paraId="2FB474F2" w14:textId="77777777" w:rsidR="00D15D1C" w:rsidRPr="008B029F" w:rsidRDefault="00D15D1C" w:rsidP="00B37054">
            <w:pPr>
              <w:pStyle w:val="TableCenter"/>
              <w:jc w:val="left"/>
              <w:rPr>
                <w:lang w:val="en-AU"/>
              </w:rPr>
            </w:pPr>
            <w:r w:rsidRPr="008B029F">
              <w:rPr>
                <w:b/>
                <w:lang w:val="en-AU"/>
              </w:rPr>
              <w:t>Skin and subcutaneous tissue disorders</w:t>
            </w:r>
          </w:p>
        </w:tc>
      </w:tr>
      <w:tr w:rsidR="00D15D1C" w:rsidRPr="008B029F" w14:paraId="040A0101" w14:textId="77777777" w:rsidTr="00B37054">
        <w:trPr>
          <w:cantSplit/>
          <w:jc w:val="center"/>
        </w:trPr>
        <w:tc>
          <w:tcPr>
            <w:tcW w:w="2476" w:type="pct"/>
            <w:shd w:val="clear" w:color="auto" w:fill="FFFFFF"/>
          </w:tcPr>
          <w:p w14:paraId="7E8E92B5" w14:textId="77777777" w:rsidR="00D15D1C" w:rsidRPr="008B029F" w:rsidRDefault="00D15D1C" w:rsidP="00B37054">
            <w:pPr>
              <w:pStyle w:val="TableLeft"/>
              <w:ind w:left="323"/>
              <w:rPr>
                <w:lang w:val="en-AU"/>
              </w:rPr>
            </w:pPr>
            <w:r w:rsidRPr="008B029F">
              <w:rPr>
                <w:lang w:val="en-AU"/>
              </w:rPr>
              <w:t>Rash maculo-papular</w:t>
            </w:r>
          </w:p>
        </w:tc>
        <w:tc>
          <w:tcPr>
            <w:tcW w:w="1262" w:type="pct"/>
            <w:shd w:val="clear" w:color="auto" w:fill="FFFFFF"/>
          </w:tcPr>
          <w:p w14:paraId="3E9F24A3" w14:textId="77777777" w:rsidR="00D15D1C" w:rsidRPr="008B029F" w:rsidRDefault="00D15D1C" w:rsidP="00B37054">
            <w:pPr>
              <w:pStyle w:val="TableCenter"/>
              <w:rPr>
                <w:lang w:val="en-AU"/>
              </w:rPr>
            </w:pPr>
            <w:r w:rsidRPr="008B029F">
              <w:rPr>
                <w:lang w:val="en-AU"/>
              </w:rPr>
              <w:t>31.5</w:t>
            </w:r>
          </w:p>
        </w:tc>
        <w:tc>
          <w:tcPr>
            <w:tcW w:w="1262" w:type="pct"/>
            <w:shd w:val="clear" w:color="auto" w:fill="FFFFFF"/>
          </w:tcPr>
          <w:p w14:paraId="7A4D56DB" w14:textId="77777777" w:rsidR="00D15D1C" w:rsidRPr="008B029F" w:rsidRDefault="00D15D1C" w:rsidP="00B37054">
            <w:pPr>
              <w:pStyle w:val="TableCenter"/>
              <w:rPr>
                <w:lang w:val="en-AU"/>
              </w:rPr>
            </w:pPr>
            <w:r w:rsidRPr="008B029F">
              <w:rPr>
                <w:lang w:val="en-AU"/>
              </w:rPr>
              <w:t>0.0</w:t>
            </w:r>
          </w:p>
        </w:tc>
      </w:tr>
      <w:tr w:rsidR="00D15D1C" w:rsidRPr="008B029F" w14:paraId="0795869D" w14:textId="77777777" w:rsidTr="00B37054">
        <w:trPr>
          <w:cantSplit/>
          <w:jc w:val="center"/>
        </w:trPr>
        <w:tc>
          <w:tcPr>
            <w:tcW w:w="2476" w:type="pct"/>
            <w:shd w:val="clear" w:color="auto" w:fill="FFFFFF"/>
          </w:tcPr>
          <w:p w14:paraId="0ED53724" w14:textId="77777777" w:rsidR="00D15D1C" w:rsidRPr="008B029F" w:rsidRDefault="00D15D1C" w:rsidP="00B37054">
            <w:pPr>
              <w:pStyle w:val="TableLeft"/>
              <w:ind w:left="323"/>
              <w:rPr>
                <w:lang w:val="en-AU"/>
              </w:rPr>
            </w:pPr>
            <w:r w:rsidRPr="008B029F">
              <w:rPr>
                <w:lang w:val="en-AU"/>
              </w:rPr>
              <w:t>Pruritus</w:t>
            </w:r>
          </w:p>
        </w:tc>
        <w:tc>
          <w:tcPr>
            <w:tcW w:w="1262" w:type="pct"/>
            <w:shd w:val="clear" w:color="auto" w:fill="FFFFFF"/>
          </w:tcPr>
          <w:p w14:paraId="24B12743" w14:textId="77777777" w:rsidR="00D15D1C" w:rsidRPr="008B029F" w:rsidRDefault="00D15D1C" w:rsidP="00B37054">
            <w:pPr>
              <w:pStyle w:val="TableCenter"/>
              <w:rPr>
                <w:lang w:val="en-AU"/>
              </w:rPr>
            </w:pPr>
            <w:r w:rsidRPr="008B029F">
              <w:rPr>
                <w:lang w:val="en-AU"/>
              </w:rPr>
              <w:t>16.7</w:t>
            </w:r>
          </w:p>
        </w:tc>
        <w:tc>
          <w:tcPr>
            <w:tcW w:w="1262" w:type="pct"/>
            <w:shd w:val="clear" w:color="auto" w:fill="FFFFFF"/>
          </w:tcPr>
          <w:p w14:paraId="3B3BFE3F" w14:textId="77777777" w:rsidR="00D15D1C" w:rsidRPr="008B029F" w:rsidRDefault="00D15D1C" w:rsidP="00B37054">
            <w:pPr>
              <w:pStyle w:val="TableCenter"/>
              <w:rPr>
                <w:lang w:val="en-AU"/>
              </w:rPr>
            </w:pPr>
            <w:r w:rsidRPr="008B029F">
              <w:rPr>
                <w:lang w:val="en-AU"/>
              </w:rPr>
              <w:t>0.0</w:t>
            </w:r>
          </w:p>
        </w:tc>
      </w:tr>
    </w:tbl>
    <w:p w14:paraId="0E59F2B4" w14:textId="1410FB38" w:rsidR="00D15D1C" w:rsidRPr="008B029F" w:rsidRDefault="00D15D1C" w:rsidP="00B37B61">
      <w:pPr>
        <w:pStyle w:val="Paragraph"/>
        <w:rPr>
          <w:lang w:val="en-AU"/>
        </w:rPr>
      </w:pPr>
    </w:p>
    <w:p w14:paraId="1724472B" w14:textId="70B23816" w:rsidR="00382251" w:rsidRPr="008B029F" w:rsidRDefault="001756BC" w:rsidP="00B055A4">
      <w:pPr>
        <w:pStyle w:val="Heading4Unnumbered"/>
        <w:rPr>
          <w:lang w:val="en-AU"/>
        </w:rPr>
      </w:pPr>
      <w:r w:rsidRPr="008B029F">
        <w:rPr>
          <w:lang w:val="en-AU"/>
        </w:rPr>
        <w:t xml:space="preserve">Biliary </w:t>
      </w:r>
      <w:r w:rsidR="00382251" w:rsidRPr="008B029F">
        <w:rPr>
          <w:lang w:val="en-AU"/>
        </w:rPr>
        <w:t>t</w:t>
      </w:r>
      <w:r w:rsidRPr="008B029F">
        <w:rPr>
          <w:lang w:val="en-AU"/>
        </w:rPr>
        <w:t xml:space="preserve">ract </w:t>
      </w:r>
      <w:r w:rsidR="00382251" w:rsidRPr="008B029F">
        <w:rPr>
          <w:lang w:val="en-AU"/>
        </w:rPr>
        <w:t>c</w:t>
      </w:r>
      <w:r w:rsidRPr="008B029F">
        <w:rPr>
          <w:lang w:val="en-AU"/>
        </w:rPr>
        <w:t>ancer</w:t>
      </w:r>
      <w:r w:rsidR="00CB7634" w:rsidRPr="008B029F">
        <w:rPr>
          <w:lang w:val="en-AU"/>
        </w:rPr>
        <w:t xml:space="preserve"> (BTC)</w:t>
      </w:r>
    </w:p>
    <w:p w14:paraId="22CCB8FF" w14:textId="001E9942" w:rsidR="001756BC" w:rsidRPr="008B029F" w:rsidRDefault="001756BC" w:rsidP="00382251">
      <w:pPr>
        <w:pStyle w:val="Heading5unnumbered"/>
        <w:rPr>
          <w:lang w:val="en-AU"/>
        </w:rPr>
      </w:pPr>
      <w:r w:rsidRPr="008B029F">
        <w:rPr>
          <w:lang w:val="en-AU"/>
        </w:rPr>
        <w:t xml:space="preserve">TOPAZ-1 </w:t>
      </w:r>
      <w:r w:rsidR="00CB7634" w:rsidRPr="008B029F">
        <w:rPr>
          <w:lang w:val="en-AU"/>
        </w:rPr>
        <w:t>s</w:t>
      </w:r>
      <w:r w:rsidRPr="008B029F">
        <w:rPr>
          <w:lang w:val="en-AU"/>
        </w:rPr>
        <w:t>tudy</w:t>
      </w:r>
    </w:p>
    <w:p w14:paraId="22E1E2A2" w14:textId="722D528B" w:rsidR="001756BC" w:rsidRPr="008B029F" w:rsidRDefault="001756BC" w:rsidP="001756BC">
      <w:pPr>
        <w:pStyle w:val="Paragraph"/>
        <w:rPr>
          <w:lang w:val="en-AU"/>
        </w:rPr>
      </w:pPr>
      <w:r w:rsidRPr="008B029F">
        <w:rPr>
          <w:lang w:val="en-AU"/>
        </w:rPr>
        <w:t>The safety of IMFINZI in combination with gemcitabine and cisplatin in locally advanced or metastatic BTC was evaluated in TOPAZ-1, a randomi</w:t>
      </w:r>
      <w:r w:rsidR="00CB7634" w:rsidRPr="008B029F">
        <w:rPr>
          <w:lang w:val="en-AU"/>
        </w:rPr>
        <w:t>s</w:t>
      </w:r>
      <w:r w:rsidRPr="008B029F">
        <w:rPr>
          <w:lang w:val="en-AU"/>
        </w:rPr>
        <w:t>ed, double-blind, placebo-controlled, multicent</w:t>
      </w:r>
      <w:r w:rsidR="00CB7634" w:rsidRPr="008B029F">
        <w:rPr>
          <w:lang w:val="en-AU"/>
        </w:rPr>
        <w:t>re</w:t>
      </w:r>
      <w:r w:rsidRPr="008B029F">
        <w:rPr>
          <w:lang w:val="en-AU"/>
        </w:rPr>
        <w:t xml:space="preserve"> trial. Safety data are available for the 680 patients, of which 338 patients received </w:t>
      </w:r>
      <w:r w:rsidRPr="008B029F">
        <w:rPr>
          <w:lang w:val="en-AU"/>
        </w:rPr>
        <w:lastRenderedPageBreak/>
        <w:t>IMFINZI 1500 mg in combination with chemotherapy every 3 weeks up to 8 cycles followed by IMFINZI 1500 mg every 4 weeks until disease progression or unacceptable toxicity.</w:t>
      </w:r>
    </w:p>
    <w:p w14:paraId="4EC02C14" w14:textId="5C813AAB" w:rsidR="001756BC" w:rsidRPr="008B029F" w:rsidRDefault="001756BC" w:rsidP="001756BC">
      <w:pPr>
        <w:pStyle w:val="Paragraph"/>
        <w:rPr>
          <w:lang w:val="en-AU"/>
        </w:rPr>
      </w:pPr>
      <w:r w:rsidRPr="008B029F">
        <w:rPr>
          <w:lang w:val="en-AU"/>
        </w:rPr>
        <w:t xml:space="preserve">The trial excluded patients with active or prior documented autoimmune or inflammatory disorders, HIV infection or active infections, including tuberculosis or hepatitis C (see </w:t>
      </w:r>
      <w:r w:rsidR="007858EE" w:rsidRPr="008B029F">
        <w:rPr>
          <w:lang w:val="en-AU"/>
        </w:rPr>
        <w:t xml:space="preserve">Section </w:t>
      </w:r>
      <w:r w:rsidR="007858EE" w:rsidRPr="008B029F">
        <w:rPr>
          <w:color w:val="2B579A"/>
          <w:shd w:val="clear" w:color="auto" w:fill="E6E6E6"/>
          <w:lang w:val="en-AU"/>
        </w:rPr>
        <w:fldChar w:fldCharType="begin"/>
      </w:r>
      <w:r w:rsidR="007858EE" w:rsidRPr="008B029F">
        <w:rPr>
          <w:lang w:val="en-AU"/>
        </w:rPr>
        <w:instrText xml:space="preserve"> REF _Ref121909874 \r \h  \* MERGEFORMAT </w:instrText>
      </w:r>
      <w:r w:rsidR="007858EE" w:rsidRPr="008B029F">
        <w:rPr>
          <w:color w:val="2B579A"/>
          <w:shd w:val="clear" w:color="auto" w:fill="E6E6E6"/>
          <w:lang w:val="en-AU"/>
        </w:rPr>
      </w:r>
      <w:r w:rsidR="007858EE" w:rsidRPr="008B029F">
        <w:rPr>
          <w:color w:val="2B579A"/>
          <w:shd w:val="clear" w:color="auto" w:fill="E6E6E6"/>
          <w:lang w:val="en-AU"/>
        </w:rPr>
        <w:fldChar w:fldCharType="separate"/>
      </w:r>
      <w:r w:rsidR="009773EE" w:rsidRPr="008B029F">
        <w:rPr>
          <w:lang w:val="en-AU"/>
        </w:rPr>
        <w:t>5.1</w:t>
      </w:r>
      <w:r w:rsidR="007858EE" w:rsidRPr="008B029F">
        <w:rPr>
          <w:color w:val="2B579A"/>
          <w:shd w:val="clear" w:color="auto" w:fill="E6E6E6"/>
          <w:lang w:val="en-AU"/>
        </w:rPr>
        <w:fldChar w:fldCharType="end"/>
      </w:r>
      <w:r w:rsidR="007858EE" w:rsidRPr="008B029F">
        <w:rPr>
          <w:lang w:val="en-AU"/>
        </w:rPr>
        <w:t xml:space="preserve"> </w:t>
      </w:r>
      <w:r w:rsidR="007858EE" w:rsidRPr="008B029F">
        <w:rPr>
          <w:color w:val="2B579A"/>
          <w:shd w:val="clear" w:color="auto" w:fill="E6E6E6"/>
          <w:lang w:val="en-AU"/>
        </w:rPr>
        <w:fldChar w:fldCharType="begin"/>
      </w:r>
      <w:r w:rsidR="007858EE" w:rsidRPr="008B029F">
        <w:rPr>
          <w:lang w:val="en-AU"/>
        </w:rPr>
        <w:instrText xml:space="preserve"> REF _Ref121909874 \h  \* MERGEFORMAT </w:instrText>
      </w:r>
      <w:r w:rsidR="007858EE" w:rsidRPr="008B029F">
        <w:rPr>
          <w:color w:val="2B579A"/>
          <w:shd w:val="clear" w:color="auto" w:fill="E6E6E6"/>
          <w:lang w:val="en-AU"/>
        </w:rPr>
      </w:r>
      <w:r w:rsidR="007858EE" w:rsidRPr="008B029F">
        <w:rPr>
          <w:color w:val="2B579A"/>
          <w:shd w:val="clear" w:color="auto" w:fill="E6E6E6"/>
          <w:lang w:val="en-AU"/>
        </w:rPr>
        <w:fldChar w:fldCharType="separate"/>
      </w:r>
      <w:r w:rsidR="009773EE" w:rsidRPr="008B029F">
        <w:rPr>
          <w:lang w:val="en-AU"/>
        </w:rPr>
        <w:t>Pharmacodynamic properties</w:t>
      </w:r>
      <w:r w:rsidR="007858EE" w:rsidRPr="008B029F">
        <w:rPr>
          <w:color w:val="2B579A"/>
          <w:shd w:val="clear" w:color="auto" w:fill="E6E6E6"/>
          <w:lang w:val="en-AU"/>
        </w:rPr>
        <w:fldChar w:fldCharType="end"/>
      </w:r>
      <w:r w:rsidR="007858EE" w:rsidRPr="008B029F">
        <w:rPr>
          <w:lang w:val="en-AU"/>
        </w:rPr>
        <w:t xml:space="preserve"> </w:t>
      </w:r>
      <w:r w:rsidRPr="008B029F">
        <w:rPr>
          <w:lang w:val="en-AU"/>
        </w:rPr>
        <w:t>- Clinical trials).</w:t>
      </w:r>
    </w:p>
    <w:p w14:paraId="3D67E331" w14:textId="13A2E164" w:rsidR="001756BC" w:rsidRPr="008B029F" w:rsidRDefault="001756BC" w:rsidP="001756BC">
      <w:pPr>
        <w:pStyle w:val="Paragraph"/>
        <w:rPr>
          <w:lang w:val="en-AU"/>
        </w:rPr>
      </w:pPr>
      <w:r w:rsidRPr="008B029F">
        <w:rPr>
          <w:lang w:val="en-AU"/>
        </w:rPr>
        <w:t xml:space="preserve">IMFINZI was discontinued due to adverse </w:t>
      </w:r>
      <w:r w:rsidR="00F56EF6" w:rsidRPr="008B029F">
        <w:rPr>
          <w:lang w:val="en-AU"/>
        </w:rPr>
        <w:t>events</w:t>
      </w:r>
      <w:r w:rsidRPr="008B029F">
        <w:rPr>
          <w:lang w:val="en-AU"/>
        </w:rPr>
        <w:t xml:space="preserve"> in 6.2% of the patients receiving IMFINZI plus chemotherapy. The most frequently reported </w:t>
      </w:r>
      <w:r w:rsidR="00F56EF6" w:rsidRPr="008B029F">
        <w:rPr>
          <w:lang w:val="en-AU"/>
        </w:rPr>
        <w:t xml:space="preserve">adverse </w:t>
      </w:r>
      <w:r w:rsidRPr="008B029F">
        <w:rPr>
          <w:lang w:val="en-AU"/>
        </w:rPr>
        <w:t>events resulting in discontinuation were sepsis (3 patients) and isch</w:t>
      </w:r>
      <w:r w:rsidR="00C069EA" w:rsidRPr="008B029F">
        <w:rPr>
          <w:lang w:val="en-AU"/>
        </w:rPr>
        <w:t>a</w:t>
      </w:r>
      <w:r w:rsidRPr="008B029F">
        <w:rPr>
          <w:lang w:val="en-AU"/>
        </w:rPr>
        <w:t xml:space="preserve">emic stroke (2 patients). The remaining </w:t>
      </w:r>
      <w:r w:rsidR="00F56EF6" w:rsidRPr="008B029F">
        <w:rPr>
          <w:lang w:val="en-AU"/>
        </w:rPr>
        <w:t xml:space="preserve">adverse </w:t>
      </w:r>
      <w:r w:rsidRPr="008B029F">
        <w:rPr>
          <w:lang w:val="en-AU"/>
        </w:rPr>
        <w:t xml:space="preserve">events were dispersed across system organ classes and reported in 1 patient each. Serious adverse </w:t>
      </w:r>
      <w:r w:rsidR="00C069EA" w:rsidRPr="008B029F">
        <w:rPr>
          <w:lang w:val="en-AU"/>
        </w:rPr>
        <w:t>events</w:t>
      </w:r>
      <w:r w:rsidRPr="008B029F">
        <w:rPr>
          <w:lang w:val="en-AU"/>
        </w:rPr>
        <w:t xml:space="preserve"> occurred in 47.3% of patients receiving IMFINZI plus chemotherapy. The most frequent serious adverse </w:t>
      </w:r>
      <w:r w:rsidR="00C069EA" w:rsidRPr="008B029F">
        <w:rPr>
          <w:lang w:val="en-AU"/>
        </w:rPr>
        <w:t>events</w:t>
      </w:r>
      <w:r w:rsidRPr="008B029F">
        <w:rPr>
          <w:lang w:val="en-AU"/>
        </w:rPr>
        <w:t xml:space="preserve"> reported in at least 2% of patients were cholangitis (7.4%), pyrexia (3.8%), anaemia (3.6%), sepsis (3.3%) and acute kidney injury (2.4%). Fatal adverse </w:t>
      </w:r>
      <w:r w:rsidR="00C069EA" w:rsidRPr="008B029F">
        <w:rPr>
          <w:lang w:val="en-AU"/>
        </w:rPr>
        <w:t>events</w:t>
      </w:r>
      <w:r w:rsidRPr="008B029F">
        <w:rPr>
          <w:lang w:val="en-AU"/>
        </w:rPr>
        <w:t xml:space="preserve"> occurred in 3.6% of patients receiving IMFINZI plus chemotherapy. These include sepsis, ischaemic stroke, upper gastrointestinal haemorrhage (reported in 2 patients each). The most common adverse </w:t>
      </w:r>
      <w:r w:rsidR="00C069EA" w:rsidRPr="008B029F">
        <w:rPr>
          <w:lang w:val="en-AU"/>
        </w:rPr>
        <w:t>events</w:t>
      </w:r>
      <w:r w:rsidRPr="008B029F">
        <w:rPr>
          <w:lang w:val="en-AU"/>
        </w:rPr>
        <w:t xml:space="preserve"> (occurring in ≥20% of patients) were nausea, constipation, abdominal pain, fatigue, pyrexia, decreased appetite</w:t>
      </w:r>
      <w:r w:rsidR="006768EB" w:rsidRPr="008B029F">
        <w:rPr>
          <w:lang w:val="en-AU"/>
        </w:rPr>
        <w:t>, anaemia, neutropenia, neutrophil count decreased and platelet count decreased</w:t>
      </w:r>
      <w:r w:rsidRPr="008B029F">
        <w:rPr>
          <w:lang w:val="en-AU"/>
        </w:rPr>
        <w:t xml:space="preserve">. </w:t>
      </w:r>
      <w:r w:rsidRPr="008B029F">
        <w:rPr>
          <w:color w:val="2B579A"/>
          <w:shd w:val="clear" w:color="auto" w:fill="E6E6E6"/>
          <w:lang w:val="en-AU"/>
        </w:rPr>
        <w:fldChar w:fldCharType="begin"/>
      </w:r>
      <w:r w:rsidRPr="008B029F">
        <w:rPr>
          <w:lang w:val="en-AU"/>
        </w:rPr>
        <w:instrText xml:space="preserve"> REF _Ref121930705 \h </w:instrText>
      </w:r>
      <w:r w:rsidR="00B055A4" w:rsidRPr="008B029F">
        <w:rPr>
          <w:color w:val="2B579A"/>
          <w:shd w:val="clear" w:color="auto" w:fill="E6E6E6"/>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10</w:t>
      </w:r>
      <w:r w:rsidRPr="008B029F">
        <w:rPr>
          <w:color w:val="2B579A"/>
          <w:shd w:val="clear" w:color="auto" w:fill="E6E6E6"/>
          <w:lang w:val="en-AU"/>
        </w:rPr>
        <w:fldChar w:fldCharType="end"/>
      </w:r>
      <w:r w:rsidRPr="008B029F">
        <w:rPr>
          <w:lang w:val="en-AU"/>
        </w:rPr>
        <w:t xml:space="preserve"> summarizes the adverse </w:t>
      </w:r>
      <w:r w:rsidR="00C069EA" w:rsidRPr="008B029F">
        <w:rPr>
          <w:lang w:val="en-AU"/>
        </w:rPr>
        <w:t>events</w:t>
      </w:r>
      <w:r w:rsidRPr="008B029F">
        <w:rPr>
          <w:lang w:val="en-AU"/>
        </w:rPr>
        <w:t xml:space="preserve"> that occurred in ≥10% of patients treated with IMFINZI plus chemotherapy.</w:t>
      </w:r>
    </w:p>
    <w:p w14:paraId="6EB6A881" w14:textId="0E95E42F" w:rsidR="001756BC" w:rsidRPr="008B029F" w:rsidRDefault="00841B1A" w:rsidP="00384C48">
      <w:pPr>
        <w:pStyle w:val="TableTitle"/>
        <w:rPr>
          <w:lang w:val="en-AU" w:eastAsia="en-GB"/>
        </w:rPr>
      </w:pPr>
      <w:bookmarkStart w:id="28" w:name="_Ref121930705"/>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10</w:t>
      </w:r>
      <w:r w:rsidRPr="008B029F">
        <w:rPr>
          <w:color w:val="2B579A"/>
          <w:shd w:val="clear" w:color="auto" w:fill="E6E6E6"/>
          <w:lang w:val="en-AU"/>
        </w:rPr>
        <w:fldChar w:fldCharType="end"/>
      </w:r>
      <w:bookmarkEnd w:id="28"/>
      <w:r w:rsidRPr="008B029F">
        <w:tab/>
      </w:r>
      <w:r w:rsidRPr="008B029F">
        <w:rPr>
          <w:lang w:val="en-AU"/>
        </w:rPr>
        <w:t xml:space="preserve">Adverse </w:t>
      </w:r>
      <w:r w:rsidR="00C069EA" w:rsidRPr="008B029F">
        <w:rPr>
          <w:lang w:val="en-AU"/>
        </w:rPr>
        <w:t>events</w:t>
      </w:r>
      <w:r w:rsidRPr="008B029F">
        <w:rPr>
          <w:lang w:val="en-AU"/>
        </w:rPr>
        <w:t xml:space="preserve"> </w:t>
      </w:r>
      <w:r w:rsidR="00CB7634" w:rsidRPr="008B029F">
        <w:rPr>
          <w:lang w:val="en-AU"/>
        </w:rPr>
        <w:t>o</w:t>
      </w:r>
      <w:r w:rsidRPr="008B029F">
        <w:rPr>
          <w:lang w:val="en-AU"/>
        </w:rPr>
        <w:t xml:space="preserve">ccurring in ≥10% of </w:t>
      </w:r>
      <w:r w:rsidR="00CB7634" w:rsidRPr="008B029F">
        <w:rPr>
          <w:lang w:val="en-AU"/>
        </w:rPr>
        <w:t>p</w:t>
      </w:r>
      <w:r w:rsidRPr="008B029F">
        <w:rPr>
          <w:lang w:val="en-AU"/>
        </w:rPr>
        <w:t xml:space="preserve">atients </w:t>
      </w:r>
      <w:r w:rsidR="007666C2" w:rsidRPr="008B029F">
        <w:rPr>
          <w:lang w:val="en-AU"/>
        </w:rPr>
        <w:t xml:space="preserve">on IMFINZI </w:t>
      </w:r>
      <w:r w:rsidRPr="008B029F">
        <w:rPr>
          <w:lang w:val="en-AU"/>
        </w:rPr>
        <w:t xml:space="preserve">in the TOPAZ-1 </w:t>
      </w:r>
      <w:r w:rsidR="00CB7634" w:rsidRPr="008B029F">
        <w:rPr>
          <w:lang w:val="en-AU"/>
        </w:rPr>
        <w:t>s</w:t>
      </w:r>
      <w:r w:rsidRPr="008B029F">
        <w:rPr>
          <w:lang w:val="en-AU"/>
        </w:rPr>
        <w:t>tudy</w:t>
      </w:r>
    </w:p>
    <w:tbl>
      <w:tblPr>
        <w:tblStyle w:val="TableGrid"/>
        <w:tblW w:w="0" w:type="auto"/>
        <w:tblLook w:val="04A0" w:firstRow="1" w:lastRow="0" w:firstColumn="1" w:lastColumn="0" w:noHBand="0" w:noVBand="1"/>
      </w:tblPr>
      <w:tblGrid>
        <w:gridCol w:w="1925"/>
        <w:gridCol w:w="1925"/>
        <w:gridCol w:w="1926"/>
        <w:gridCol w:w="1926"/>
        <w:gridCol w:w="1926"/>
      </w:tblGrid>
      <w:tr w:rsidR="001756BC" w:rsidRPr="008B029F" w14:paraId="49A401AE" w14:textId="77777777" w:rsidTr="00A52C61">
        <w:trPr>
          <w:tblHeader/>
        </w:trPr>
        <w:tc>
          <w:tcPr>
            <w:tcW w:w="1925" w:type="dxa"/>
            <w:vMerge w:val="restart"/>
            <w:vAlign w:val="center"/>
          </w:tcPr>
          <w:p w14:paraId="706B54D2" w14:textId="1BC04AEF" w:rsidR="001756BC" w:rsidRPr="008B029F" w:rsidRDefault="001756BC" w:rsidP="001756BC">
            <w:pPr>
              <w:pStyle w:val="TableHead"/>
              <w:jc w:val="left"/>
              <w:rPr>
                <w:lang w:val="en-AU" w:eastAsia="en-US"/>
              </w:rPr>
            </w:pPr>
            <w:r w:rsidRPr="008B029F">
              <w:rPr>
                <w:lang w:val="en-AU" w:eastAsia="en-US"/>
              </w:rPr>
              <w:t xml:space="preserve">Adverse </w:t>
            </w:r>
            <w:r w:rsidR="000A79CD" w:rsidRPr="008B029F">
              <w:rPr>
                <w:lang w:val="en-AU" w:eastAsia="en-US"/>
              </w:rPr>
              <w:t>event</w:t>
            </w:r>
          </w:p>
        </w:tc>
        <w:tc>
          <w:tcPr>
            <w:tcW w:w="3851" w:type="dxa"/>
            <w:gridSpan w:val="2"/>
          </w:tcPr>
          <w:p w14:paraId="60A1F526" w14:textId="77777777" w:rsidR="001756BC" w:rsidRPr="008B029F" w:rsidRDefault="001756BC" w:rsidP="001756BC">
            <w:pPr>
              <w:pStyle w:val="TableHead"/>
              <w:rPr>
                <w:lang w:val="en-AU" w:eastAsia="en-US"/>
              </w:rPr>
            </w:pPr>
            <w:r w:rsidRPr="008B029F">
              <w:rPr>
                <w:lang w:val="en-AU" w:eastAsia="en-US"/>
              </w:rPr>
              <w:t>IMFINZI with gemcitabine and cisplatin</w:t>
            </w:r>
          </w:p>
          <w:p w14:paraId="40468C32" w14:textId="77777777" w:rsidR="001756BC" w:rsidRPr="008B029F" w:rsidRDefault="001756BC" w:rsidP="001756BC">
            <w:pPr>
              <w:pStyle w:val="TableHead"/>
              <w:rPr>
                <w:szCs w:val="24"/>
                <w:lang w:val="en-AU" w:eastAsia="en-US"/>
              </w:rPr>
            </w:pPr>
            <w:r w:rsidRPr="008B029F">
              <w:rPr>
                <w:lang w:val="en-AU" w:eastAsia="en-US"/>
              </w:rPr>
              <w:t>N = 338</w:t>
            </w:r>
          </w:p>
        </w:tc>
        <w:tc>
          <w:tcPr>
            <w:tcW w:w="3852" w:type="dxa"/>
            <w:gridSpan w:val="2"/>
          </w:tcPr>
          <w:p w14:paraId="6D7D2863" w14:textId="77777777" w:rsidR="001756BC" w:rsidRPr="008B029F" w:rsidRDefault="001756BC" w:rsidP="001756BC">
            <w:pPr>
              <w:pStyle w:val="TableHead"/>
              <w:rPr>
                <w:lang w:val="en-AU" w:eastAsia="en-US"/>
              </w:rPr>
            </w:pPr>
            <w:r w:rsidRPr="008B029F">
              <w:rPr>
                <w:lang w:val="en-AU" w:eastAsia="en-US"/>
              </w:rPr>
              <w:t>Placebo with gemcitabine and cisplatin</w:t>
            </w:r>
          </w:p>
          <w:p w14:paraId="75835014" w14:textId="77777777" w:rsidR="001756BC" w:rsidRPr="008B029F" w:rsidRDefault="001756BC" w:rsidP="001756BC">
            <w:pPr>
              <w:pStyle w:val="TableHead"/>
              <w:rPr>
                <w:szCs w:val="24"/>
                <w:lang w:val="en-AU" w:eastAsia="en-US"/>
              </w:rPr>
            </w:pPr>
            <w:r w:rsidRPr="008B029F">
              <w:rPr>
                <w:lang w:val="en-AU" w:eastAsia="en-US"/>
              </w:rPr>
              <w:t>N = 342</w:t>
            </w:r>
          </w:p>
        </w:tc>
      </w:tr>
      <w:tr w:rsidR="001756BC" w:rsidRPr="008B029F" w14:paraId="243E3187" w14:textId="77777777" w:rsidTr="00723702">
        <w:trPr>
          <w:tblHeader/>
        </w:trPr>
        <w:tc>
          <w:tcPr>
            <w:tcW w:w="1925" w:type="dxa"/>
            <w:vMerge/>
          </w:tcPr>
          <w:p w14:paraId="33E15823" w14:textId="4D7BA3F9" w:rsidR="001756BC" w:rsidRPr="008B029F" w:rsidRDefault="001756BC" w:rsidP="001756BC">
            <w:pPr>
              <w:pStyle w:val="TableHead"/>
              <w:rPr>
                <w:lang w:val="en-AU" w:eastAsia="en-US"/>
              </w:rPr>
            </w:pPr>
          </w:p>
        </w:tc>
        <w:tc>
          <w:tcPr>
            <w:tcW w:w="1925" w:type="dxa"/>
            <w:shd w:val="clear" w:color="auto" w:fill="auto"/>
          </w:tcPr>
          <w:p w14:paraId="66FF0E14" w14:textId="3B0775D0" w:rsidR="001756BC" w:rsidRPr="008B029F" w:rsidRDefault="001756BC" w:rsidP="001756BC">
            <w:pPr>
              <w:pStyle w:val="TableHead"/>
              <w:rPr>
                <w:lang w:val="en-AU" w:eastAsia="en-US"/>
              </w:rPr>
            </w:pPr>
            <w:r w:rsidRPr="008B029F">
              <w:rPr>
                <w:lang w:val="en-AU" w:eastAsia="en-US"/>
              </w:rPr>
              <w:t>All Grades</w:t>
            </w:r>
            <w:r w:rsidR="00CB7634" w:rsidRPr="008B029F">
              <w:rPr>
                <w:vertAlign w:val="superscript"/>
                <w:lang w:val="en-AU" w:eastAsia="en-US"/>
              </w:rPr>
              <w:t>a</w:t>
            </w:r>
            <w:r w:rsidRPr="008B029F">
              <w:rPr>
                <w:lang w:val="en-AU" w:eastAsia="en-US"/>
              </w:rPr>
              <w:t xml:space="preserve"> (%)</w:t>
            </w:r>
          </w:p>
        </w:tc>
        <w:tc>
          <w:tcPr>
            <w:tcW w:w="1926" w:type="dxa"/>
            <w:shd w:val="clear" w:color="auto" w:fill="auto"/>
          </w:tcPr>
          <w:p w14:paraId="61CC0D86" w14:textId="283F6EE0" w:rsidR="001756BC" w:rsidRPr="008B029F" w:rsidRDefault="001756BC" w:rsidP="001756BC">
            <w:pPr>
              <w:pStyle w:val="TableHead"/>
              <w:rPr>
                <w:lang w:val="en-AU" w:eastAsia="en-US"/>
              </w:rPr>
            </w:pPr>
            <w:r w:rsidRPr="008B029F">
              <w:rPr>
                <w:lang w:val="en-AU" w:eastAsia="en-US"/>
              </w:rPr>
              <w:t>Grade</w:t>
            </w:r>
            <w:r w:rsidR="00CB7634" w:rsidRPr="008B029F">
              <w:rPr>
                <w:vertAlign w:val="superscript"/>
                <w:lang w:val="en-AU" w:eastAsia="en-US"/>
              </w:rPr>
              <w:t>a</w:t>
            </w:r>
            <w:r w:rsidRPr="008B029F">
              <w:rPr>
                <w:lang w:val="en-AU" w:eastAsia="en-US"/>
              </w:rPr>
              <w:t xml:space="preserve"> 3-4 (%)</w:t>
            </w:r>
          </w:p>
        </w:tc>
        <w:tc>
          <w:tcPr>
            <w:tcW w:w="1926" w:type="dxa"/>
            <w:shd w:val="clear" w:color="auto" w:fill="auto"/>
          </w:tcPr>
          <w:p w14:paraId="6C2FBBF9" w14:textId="248D57B3" w:rsidR="001756BC" w:rsidRPr="008B029F" w:rsidRDefault="001756BC" w:rsidP="001756BC">
            <w:pPr>
              <w:pStyle w:val="TableHead"/>
              <w:rPr>
                <w:lang w:val="en-AU" w:eastAsia="en-US"/>
              </w:rPr>
            </w:pPr>
            <w:r w:rsidRPr="008B029F">
              <w:rPr>
                <w:lang w:val="en-AU" w:eastAsia="en-US"/>
              </w:rPr>
              <w:t>All Grades</w:t>
            </w:r>
            <w:r w:rsidR="00CB7634" w:rsidRPr="008B029F">
              <w:rPr>
                <w:vertAlign w:val="superscript"/>
                <w:lang w:val="en-AU" w:eastAsia="en-US"/>
              </w:rPr>
              <w:t>a</w:t>
            </w:r>
            <w:r w:rsidRPr="008B029F">
              <w:rPr>
                <w:lang w:val="en-AU" w:eastAsia="en-US"/>
              </w:rPr>
              <w:t xml:space="preserve"> (%)</w:t>
            </w:r>
          </w:p>
        </w:tc>
        <w:tc>
          <w:tcPr>
            <w:tcW w:w="1926" w:type="dxa"/>
            <w:shd w:val="clear" w:color="auto" w:fill="auto"/>
          </w:tcPr>
          <w:p w14:paraId="7E4B27AE" w14:textId="5D6A3D13" w:rsidR="001756BC" w:rsidRPr="008B029F" w:rsidRDefault="001756BC" w:rsidP="001756BC">
            <w:pPr>
              <w:pStyle w:val="TableHead"/>
              <w:rPr>
                <w:lang w:val="en-AU" w:eastAsia="en-US"/>
              </w:rPr>
            </w:pPr>
            <w:r w:rsidRPr="008B029F">
              <w:rPr>
                <w:lang w:val="en-AU" w:eastAsia="en-US"/>
              </w:rPr>
              <w:t>Grade</w:t>
            </w:r>
            <w:r w:rsidR="00CB7634" w:rsidRPr="008B029F">
              <w:rPr>
                <w:vertAlign w:val="superscript"/>
                <w:lang w:val="en-AU" w:eastAsia="en-US"/>
              </w:rPr>
              <w:t>a</w:t>
            </w:r>
            <w:r w:rsidRPr="008B029F">
              <w:rPr>
                <w:lang w:val="en-AU" w:eastAsia="en-US"/>
              </w:rPr>
              <w:t xml:space="preserve"> 3-4 (%)</w:t>
            </w:r>
          </w:p>
        </w:tc>
      </w:tr>
      <w:tr w:rsidR="001756BC" w:rsidRPr="008B029F" w14:paraId="4A918AC7" w14:textId="77777777" w:rsidTr="00D83CBF">
        <w:trPr>
          <w:trHeight w:val="291"/>
        </w:trPr>
        <w:tc>
          <w:tcPr>
            <w:tcW w:w="9628" w:type="dxa"/>
            <w:gridSpan w:val="5"/>
          </w:tcPr>
          <w:p w14:paraId="00FED081" w14:textId="77777777" w:rsidR="001756BC" w:rsidRPr="008B029F" w:rsidRDefault="001756BC" w:rsidP="00D83CBF">
            <w:pPr>
              <w:pStyle w:val="TableLeft"/>
              <w:rPr>
                <w:b/>
                <w:bCs w:val="0"/>
                <w:lang w:val="en-AU" w:eastAsia="en-US"/>
              </w:rPr>
            </w:pPr>
            <w:r w:rsidRPr="008B029F">
              <w:rPr>
                <w:b/>
                <w:bCs w:val="0"/>
                <w:lang w:val="en-AU" w:eastAsia="en-US"/>
              </w:rPr>
              <w:t>Gastrointestinal disorders</w:t>
            </w:r>
          </w:p>
        </w:tc>
      </w:tr>
      <w:tr w:rsidR="001756BC" w:rsidRPr="008B029F" w14:paraId="2979743E" w14:textId="77777777" w:rsidTr="00D83CBF">
        <w:tc>
          <w:tcPr>
            <w:tcW w:w="1925" w:type="dxa"/>
          </w:tcPr>
          <w:p w14:paraId="4C85CAB0" w14:textId="77777777" w:rsidR="001756BC" w:rsidRPr="008B029F" w:rsidRDefault="001756BC" w:rsidP="00D83CBF">
            <w:pPr>
              <w:pStyle w:val="TableLeft"/>
              <w:rPr>
                <w:lang w:val="en-AU" w:eastAsia="en-US"/>
              </w:rPr>
            </w:pPr>
            <w:r w:rsidRPr="008B029F">
              <w:rPr>
                <w:lang w:val="en-AU" w:eastAsia="en-US"/>
              </w:rPr>
              <w:t>Nausea</w:t>
            </w:r>
          </w:p>
        </w:tc>
        <w:tc>
          <w:tcPr>
            <w:tcW w:w="1925" w:type="dxa"/>
          </w:tcPr>
          <w:p w14:paraId="43BD9170" w14:textId="4FB5F3F1" w:rsidR="001756BC" w:rsidRPr="008B029F" w:rsidRDefault="001756BC" w:rsidP="001756BC">
            <w:pPr>
              <w:pStyle w:val="TableCenter"/>
              <w:rPr>
                <w:lang w:val="en-AU" w:eastAsia="en-US"/>
              </w:rPr>
            </w:pPr>
            <w:r w:rsidRPr="008B029F">
              <w:rPr>
                <w:lang w:val="en-AU" w:eastAsia="en-US"/>
              </w:rPr>
              <w:t>40</w:t>
            </w:r>
          </w:p>
        </w:tc>
        <w:tc>
          <w:tcPr>
            <w:tcW w:w="1926" w:type="dxa"/>
          </w:tcPr>
          <w:p w14:paraId="5A8144CF" w14:textId="77777777" w:rsidR="001756BC" w:rsidRPr="008B029F" w:rsidRDefault="001756BC" w:rsidP="001756BC">
            <w:pPr>
              <w:pStyle w:val="TableCenter"/>
              <w:rPr>
                <w:lang w:val="en-AU" w:eastAsia="en-US"/>
              </w:rPr>
            </w:pPr>
            <w:r w:rsidRPr="008B029F">
              <w:rPr>
                <w:lang w:val="en-AU" w:eastAsia="en-US"/>
              </w:rPr>
              <w:t xml:space="preserve">1.5 </w:t>
            </w:r>
          </w:p>
        </w:tc>
        <w:tc>
          <w:tcPr>
            <w:tcW w:w="1926" w:type="dxa"/>
          </w:tcPr>
          <w:p w14:paraId="2C39B236" w14:textId="125C4FED" w:rsidR="001756BC" w:rsidRPr="008B029F" w:rsidRDefault="001756BC" w:rsidP="001756BC">
            <w:pPr>
              <w:pStyle w:val="TableCenter"/>
              <w:rPr>
                <w:lang w:val="en-AU" w:eastAsia="en-US"/>
              </w:rPr>
            </w:pPr>
            <w:r w:rsidRPr="008B029F">
              <w:rPr>
                <w:lang w:val="en-AU" w:eastAsia="en-US"/>
              </w:rPr>
              <w:t>34</w:t>
            </w:r>
          </w:p>
        </w:tc>
        <w:tc>
          <w:tcPr>
            <w:tcW w:w="1926" w:type="dxa"/>
          </w:tcPr>
          <w:p w14:paraId="3C768281" w14:textId="77777777" w:rsidR="001756BC" w:rsidRPr="008B029F" w:rsidRDefault="001756BC" w:rsidP="001756BC">
            <w:pPr>
              <w:pStyle w:val="TableCenter"/>
              <w:rPr>
                <w:lang w:val="en-AU" w:eastAsia="en-US"/>
              </w:rPr>
            </w:pPr>
            <w:r w:rsidRPr="008B029F">
              <w:rPr>
                <w:lang w:val="en-AU" w:eastAsia="en-US"/>
              </w:rPr>
              <w:t>1.8</w:t>
            </w:r>
          </w:p>
        </w:tc>
      </w:tr>
      <w:tr w:rsidR="001756BC" w:rsidRPr="008B029F" w14:paraId="3F77E5D3" w14:textId="77777777" w:rsidTr="00D83CBF">
        <w:tc>
          <w:tcPr>
            <w:tcW w:w="1925" w:type="dxa"/>
          </w:tcPr>
          <w:p w14:paraId="336D3F26" w14:textId="77777777" w:rsidR="001756BC" w:rsidRPr="008B029F" w:rsidRDefault="001756BC" w:rsidP="00D83CBF">
            <w:pPr>
              <w:pStyle w:val="TableLeft"/>
              <w:rPr>
                <w:lang w:val="en-AU" w:eastAsia="en-US"/>
              </w:rPr>
            </w:pPr>
            <w:r w:rsidRPr="008B029F">
              <w:rPr>
                <w:lang w:val="en-AU" w:eastAsia="en-US"/>
              </w:rPr>
              <w:t>Constipation</w:t>
            </w:r>
          </w:p>
        </w:tc>
        <w:tc>
          <w:tcPr>
            <w:tcW w:w="1925" w:type="dxa"/>
          </w:tcPr>
          <w:p w14:paraId="011C595E" w14:textId="7A72F5BC" w:rsidR="001756BC" w:rsidRPr="008B029F" w:rsidRDefault="001756BC" w:rsidP="001756BC">
            <w:pPr>
              <w:pStyle w:val="TableCenter"/>
              <w:rPr>
                <w:lang w:val="en-AU" w:eastAsia="en-US"/>
              </w:rPr>
            </w:pPr>
            <w:r w:rsidRPr="008B029F">
              <w:rPr>
                <w:lang w:val="en-AU" w:eastAsia="en-US"/>
              </w:rPr>
              <w:t>32</w:t>
            </w:r>
          </w:p>
        </w:tc>
        <w:tc>
          <w:tcPr>
            <w:tcW w:w="1926" w:type="dxa"/>
          </w:tcPr>
          <w:p w14:paraId="379D2658" w14:textId="77777777" w:rsidR="001756BC" w:rsidRPr="008B029F" w:rsidRDefault="001756BC" w:rsidP="001756BC">
            <w:pPr>
              <w:pStyle w:val="TableCenter"/>
              <w:rPr>
                <w:lang w:val="en-AU" w:eastAsia="en-US"/>
              </w:rPr>
            </w:pPr>
            <w:r w:rsidRPr="008B029F">
              <w:rPr>
                <w:lang w:val="en-AU" w:eastAsia="en-US"/>
              </w:rPr>
              <w:t xml:space="preserve">0.6 </w:t>
            </w:r>
          </w:p>
        </w:tc>
        <w:tc>
          <w:tcPr>
            <w:tcW w:w="1926" w:type="dxa"/>
          </w:tcPr>
          <w:p w14:paraId="22D4C47B" w14:textId="0BF0EE19" w:rsidR="001756BC" w:rsidRPr="008B029F" w:rsidRDefault="001756BC" w:rsidP="001756BC">
            <w:pPr>
              <w:pStyle w:val="TableCenter"/>
              <w:rPr>
                <w:lang w:val="en-AU" w:eastAsia="en-US"/>
              </w:rPr>
            </w:pPr>
            <w:r w:rsidRPr="008B029F">
              <w:rPr>
                <w:lang w:val="en-AU" w:eastAsia="en-US"/>
              </w:rPr>
              <w:t xml:space="preserve">29 </w:t>
            </w:r>
          </w:p>
        </w:tc>
        <w:tc>
          <w:tcPr>
            <w:tcW w:w="1926" w:type="dxa"/>
          </w:tcPr>
          <w:p w14:paraId="57825EB3" w14:textId="77777777" w:rsidR="001756BC" w:rsidRPr="008B029F" w:rsidRDefault="001756BC" w:rsidP="001756BC">
            <w:pPr>
              <w:pStyle w:val="TableCenter"/>
              <w:rPr>
                <w:lang w:val="en-AU" w:eastAsia="en-US"/>
              </w:rPr>
            </w:pPr>
            <w:r w:rsidRPr="008B029F">
              <w:rPr>
                <w:lang w:val="en-AU" w:eastAsia="en-US"/>
              </w:rPr>
              <w:t>0.3</w:t>
            </w:r>
          </w:p>
        </w:tc>
      </w:tr>
      <w:tr w:rsidR="001756BC" w:rsidRPr="008B029F" w14:paraId="594B8768" w14:textId="77777777" w:rsidTr="00D83CBF">
        <w:tc>
          <w:tcPr>
            <w:tcW w:w="1925" w:type="dxa"/>
          </w:tcPr>
          <w:p w14:paraId="75B89F99" w14:textId="274A27CE" w:rsidR="001756BC" w:rsidRPr="008B029F" w:rsidRDefault="001756BC" w:rsidP="00D83CBF">
            <w:pPr>
              <w:pStyle w:val="TableLeft"/>
              <w:rPr>
                <w:lang w:val="en-AU" w:eastAsia="en-US"/>
              </w:rPr>
            </w:pPr>
            <w:r w:rsidRPr="008B029F">
              <w:rPr>
                <w:lang w:val="en-AU" w:eastAsia="en-US"/>
              </w:rPr>
              <w:t>Abdominal pain</w:t>
            </w:r>
            <w:r w:rsidR="00CB7634" w:rsidRPr="008B029F">
              <w:rPr>
                <w:vertAlign w:val="superscript"/>
                <w:lang w:val="en-AU" w:eastAsia="en-US"/>
              </w:rPr>
              <w:t>b</w:t>
            </w:r>
            <w:r w:rsidRPr="008B029F">
              <w:rPr>
                <w:vertAlign w:val="superscript"/>
                <w:lang w:val="en-AU" w:eastAsia="en-US"/>
              </w:rPr>
              <w:t xml:space="preserve"> </w:t>
            </w:r>
          </w:p>
        </w:tc>
        <w:tc>
          <w:tcPr>
            <w:tcW w:w="1925" w:type="dxa"/>
          </w:tcPr>
          <w:p w14:paraId="46CFA984" w14:textId="77777777" w:rsidR="001756BC" w:rsidRPr="008B029F" w:rsidRDefault="001756BC" w:rsidP="001756BC">
            <w:pPr>
              <w:pStyle w:val="TableCenter"/>
              <w:rPr>
                <w:lang w:val="en-AU" w:eastAsia="en-US"/>
              </w:rPr>
            </w:pPr>
            <w:r w:rsidRPr="008B029F">
              <w:rPr>
                <w:lang w:val="en-AU" w:eastAsia="en-US"/>
              </w:rPr>
              <w:t xml:space="preserve">24 </w:t>
            </w:r>
          </w:p>
        </w:tc>
        <w:tc>
          <w:tcPr>
            <w:tcW w:w="1926" w:type="dxa"/>
          </w:tcPr>
          <w:p w14:paraId="27A70D63" w14:textId="77777777" w:rsidR="001756BC" w:rsidRPr="008B029F" w:rsidRDefault="001756BC" w:rsidP="001756BC">
            <w:pPr>
              <w:pStyle w:val="TableCenter"/>
              <w:rPr>
                <w:lang w:val="en-AU" w:eastAsia="en-US"/>
              </w:rPr>
            </w:pPr>
            <w:r w:rsidRPr="008B029F">
              <w:rPr>
                <w:lang w:val="en-AU" w:eastAsia="en-US"/>
              </w:rPr>
              <w:t xml:space="preserve">0.6 </w:t>
            </w:r>
          </w:p>
        </w:tc>
        <w:tc>
          <w:tcPr>
            <w:tcW w:w="1926" w:type="dxa"/>
          </w:tcPr>
          <w:p w14:paraId="4EB96009" w14:textId="77777777" w:rsidR="001756BC" w:rsidRPr="008B029F" w:rsidRDefault="001756BC" w:rsidP="001756BC">
            <w:pPr>
              <w:pStyle w:val="TableCenter"/>
              <w:rPr>
                <w:lang w:val="en-AU" w:eastAsia="en-US"/>
              </w:rPr>
            </w:pPr>
            <w:r w:rsidRPr="008B029F">
              <w:rPr>
                <w:lang w:val="en-AU" w:eastAsia="en-US"/>
              </w:rPr>
              <w:t xml:space="preserve">23 </w:t>
            </w:r>
          </w:p>
        </w:tc>
        <w:tc>
          <w:tcPr>
            <w:tcW w:w="1926" w:type="dxa"/>
          </w:tcPr>
          <w:p w14:paraId="38A627A4" w14:textId="77777777" w:rsidR="001756BC" w:rsidRPr="008B029F" w:rsidRDefault="001756BC" w:rsidP="001756BC">
            <w:pPr>
              <w:pStyle w:val="TableCenter"/>
              <w:rPr>
                <w:lang w:val="en-AU" w:eastAsia="en-US"/>
              </w:rPr>
            </w:pPr>
            <w:r w:rsidRPr="008B029F">
              <w:rPr>
                <w:lang w:val="en-AU" w:eastAsia="en-US"/>
              </w:rPr>
              <w:t>2.9</w:t>
            </w:r>
          </w:p>
        </w:tc>
      </w:tr>
      <w:tr w:rsidR="001756BC" w:rsidRPr="008B029F" w14:paraId="203C77A3" w14:textId="77777777" w:rsidTr="00D83CBF">
        <w:tc>
          <w:tcPr>
            <w:tcW w:w="1925" w:type="dxa"/>
          </w:tcPr>
          <w:p w14:paraId="41968FE6" w14:textId="77777777" w:rsidR="001756BC" w:rsidRPr="008B029F" w:rsidRDefault="001756BC" w:rsidP="00D83CBF">
            <w:pPr>
              <w:pStyle w:val="TableLeft"/>
              <w:rPr>
                <w:lang w:val="en-AU" w:eastAsia="en-US"/>
              </w:rPr>
            </w:pPr>
            <w:r w:rsidRPr="008B029F">
              <w:rPr>
                <w:lang w:val="en-AU" w:eastAsia="en-US"/>
              </w:rPr>
              <w:t>Vomiting</w:t>
            </w:r>
          </w:p>
        </w:tc>
        <w:tc>
          <w:tcPr>
            <w:tcW w:w="1925" w:type="dxa"/>
          </w:tcPr>
          <w:p w14:paraId="481B52B4" w14:textId="733BB434" w:rsidR="001756BC" w:rsidRPr="008B029F" w:rsidRDefault="001756BC" w:rsidP="001756BC">
            <w:pPr>
              <w:pStyle w:val="TableCenter"/>
              <w:rPr>
                <w:lang w:val="en-AU" w:eastAsia="en-US"/>
              </w:rPr>
            </w:pPr>
            <w:r w:rsidRPr="008B029F">
              <w:rPr>
                <w:lang w:val="en-AU" w:eastAsia="en-US"/>
              </w:rPr>
              <w:t>18</w:t>
            </w:r>
          </w:p>
        </w:tc>
        <w:tc>
          <w:tcPr>
            <w:tcW w:w="1926" w:type="dxa"/>
          </w:tcPr>
          <w:p w14:paraId="5B40AFA9" w14:textId="77777777" w:rsidR="001756BC" w:rsidRPr="008B029F" w:rsidRDefault="001756BC" w:rsidP="001756BC">
            <w:pPr>
              <w:pStyle w:val="TableCenter"/>
              <w:rPr>
                <w:lang w:val="en-AU" w:eastAsia="en-US"/>
              </w:rPr>
            </w:pPr>
            <w:r w:rsidRPr="008B029F">
              <w:rPr>
                <w:lang w:val="en-AU" w:eastAsia="en-US"/>
              </w:rPr>
              <w:t>1.5</w:t>
            </w:r>
          </w:p>
        </w:tc>
        <w:tc>
          <w:tcPr>
            <w:tcW w:w="1926" w:type="dxa"/>
          </w:tcPr>
          <w:p w14:paraId="5B9FD24A" w14:textId="59C5E3DC" w:rsidR="001756BC" w:rsidRPr="008B029F" w:rsidRDefault="001756BC" w:rsidP="001756BC">
            <w:pPr>
              <w:pStyle w:val="TableCenter"/>
              <w:rPr>
                <w:lang w:val="en-AU" w:eastAsia="en-US"/>
              </w:rPr>
            </w:pPr>
            <w:r w:rsidRPr="008B029F">
              <w:rPr>
                <w:lang w:val="en-AU" w:eastAsia="en-US"/>
              </w:rPr>
              <w:t>18</w:t>
            </w:r>
          </w:p>
        </w:tc>
        <w:tc>
          <w:tcPr>
            <w:tcW w:w="1926" w:type="dxa"/>
          </w:tcPr>
          <w:p w14:paraId="1D53504E" w14:textId="77777777" w:rsidR="001756BC" w:rsidRPr="008B029F" w:rsidRDefault="001756BC" w:rsidP="001756BC">
            <w:pPr>
              <w:pStyle w:val="TableCenter"/>
              <w:rPr>
                <w:lang w:val="en-AU" w:eastAsia="en-US"/>
              </w:rPr>
            </w:pPr>
            <w:r w:rsidRPr="008B029F">
              <w:rPr>
                <w:lang w:val="en-AU" w:eastAsia="en-US"/>
              </w:rPr>
              <w:t>2.0</w:t>
            </w:r>
          </w:p>
        </w:tc>
      </w:tr>
      <w:tr w:rsidR="001756BC" w:rsidRPr="008B029F" w14:paraId="60059F82" w14:textId="77777777" w:rsidTr="00D83CBF">
        <w:tc>
          <w:tcPr>
            <w:tcW w:w="1925" w:type="dxa"/>
          </w:tcPr>
          <w:p w14:paraId="4AC65DA3" w14:textId="77777777" w:rsidR="001756BC" w:rsidRPr="008B029F" w:rsidRDefault="001756BC" w:rsidP="00D83CBF">
            <w:pPr>
              <w:pStyle w:val="TableLeft"/>
              <w:rPr>
                <w:lang w:val="en-AU" w:eastAsia="en-US"/>
              </w:rPr>
            </w:pPr>
            <w:r w:rsidRPr="008B029F">
              <w:rPr>
                <w:lang w:val="en-AU" w:eastAsia="en-US"/>
              </w:rPr>
              <w:t>Diarrhoea</w:t>
            </w:r>
          </w:p>
        </w:tc>
        <w:tc>
          <w:tcPr>
            <w:tcW w:w="1925" w:type="dxa"/>
          </w:tcPr>
          <w:p w14:paraId="3703239C" w14:textId="0A971AC6" w:rsidR="001756BC" w:rsidRPr="008B029F" w:rsidRDefault="001756BC" w:rsidP="001756BC">
            <w:pPr>
              <w:pStyle w:val="TableCenter"/>
              <w:rPr>
                <w:lang w:val="en-AU" w:eastAsia="en-US"/>
              </w:rPr>
            </w:pPr>
            <w:r w:rsidRPr="008B029F">
              <w:rPr>
                <w:lang w:val="en-AU" w:eastAsia="en-US"/>
              </w:rPr>
              <w:t>17</w:t>
            </w:r>
          </w:p>
        </w:tc>
        <w:tc>
          <w:tcPr>
            <w:tcW w:w="1926" w:type="dxa"/>
          </w:tcPr>
          <w:p w14:paraId="0E79F902" w14:textId="77777777" w:rsidR="001756BC" w:rsidRPr="008B029F" w:rsidRDefault="001756BC" w:rsidP="001756BC">
            <w:pPr>
              <w:pStyle w:val="TableCenter"/>
              <w:rPr>
                <w:lang w:val="en-AU" w:eastAsia="en-US"/>
              </w:rPr>
            </w:pPr>
            <w:r w:rsidRPr="008B029F">
              <w:rPr>
                <w:lang w:val="en-AU" w:eastAsia="en-US"/>
              </w:rPr>
              <w:t>1.2</w:t>
            </w:r>
          </w:p>
        </w:tc>
        <w:tc>
          <w:tcPr>
            <w:tcW w:w="1926" w:type="dxa"/>
          </w:tcPr>
          <w:p w14:paraId="78527353" w14:textId="1AC94DBC" w:rsidR="001756BC" w:rsidRPr="008B029F" w:rsidRDefault="001756BC" w:rsidP="001756BC">
            <w:pPr>
              <w:pStyle w:val="TableCenter"/>
              <w:rPr>
                <w:lang w:val="en-AU" w:eastAsia="en-US"/>
              </w:rPr>
            </w:pPr>
            <w:r w:rsidRPr="008B029F">
              <w:rPr>
                <w:lang w:val="en-AU" w:eastAsia="en-US"/>
              </w:rPr>
              <w:t>15</w:t>
            </w:r>
          </w:p>
        </w:tc>
        <w:tc>
          <w:tcPr>
            <w:tcW w:w="1926" w:type="dxa"/>
          </w:tcPr>
          <w:p w14:paraId="0E1F40CD" w14:textId="77777777" w:rsidR="001756BC" w:rsidRPr="008B029F" w:rsidRDefault="001756BC" w:rsidP="001756BC">
            <w:pPr>
              <w:pStyle w:val="TableCenter"/>
              <w:rPr>
                <w:lang w:val="en-AU" w:eastAsia="en-US"/>
              </w:rPr>
            </w:pPr>
            <w:r w:rsidRPr="008B029F">
              <w:rPr>
                <w:lang w:val="en-AU" w:eastAsia="en-US"/>
              </w:rPr>
              <w:t>1.8</w:t>
            </w:r>
          </w:p>
        </w:tc>
      </w:tr>
      <w:tr w:rsidR="001756BC" w:rsidRPr="008B029F" w14:paraId="71DF4BD0" w14:textId="77777777" w:rsidTr="00D83CBF">
        <w:tc>
          <w:tcPr>
            <w:tcW w:w="9628" w:type="dxa"/>
            <w:gridSpan w:val="5"/>
          </w:tcPr>
          <w:p w14:paraId="52C5306B" w14:textId="77777777" w:rsidR="001756BC" w:rsidRPr="008B029F" w:rsidRDefault="001756BC" w:rsidP="00D83CBF">
            <w:pPr>
              <w:pStyle w:val="TableLeft"/>
              <w:rPr>
                <w:b/>
                <w:bCs w:val="0"/>
                <w:lang w:val="en-AU" w:eastAsia="en-US"/>
              </w:rPr>
            </w:pPr>
            <w:r w:rsidRPr="008B029F">
              <w:rPr>
                <w:b/>
                <w:bCs w:val="0"/>
                <w:lang w:val="en-AU" w:eastAsia="en-US"/>
              </w:rPr>
              <w:t>General disorders and administration site conditions</w:t>
            </w:r>
          </w:p>
        </w:tc>
      </w:tr>
      <w:tr w:rsidR="001756BC" w:rsidRPr="008B029F" w14:paraId="10309C8D" w14:textId="77777777" w:rsidTr="00D83CBF">
        <w:tc>
          <w:tcPr>
            <w:tcW w:w="1925" w:type="dxa"/>
          </w:tcPr>
          <w:p w14:paraId="1E6C6DB0" w14:textId="62E5E313" w:rsidR="001756BC" w:rsidRPr="008B029F" w:rsidRDefault="001756BC" w:rsidP="00D83CBF">
            <w:pPr>
              <w:pStyle w:val="TableLeft"/>
              <w:rPr>
                <w:lang w:val="en-AU" w:eastAsia="en-US"/>
              </w:rPr>
            </w:pPr>
            <w:r w:rsidRPr="008B029F">
              <w:rPr>
                <w:lang w:val="en-AU" w:eastAsia="en-US"/>
              </w:rPr>
              <w:t>Fatigue</w:t>
            </w:r>
            <w:r w:rsidR="00CB7634" w:rsidRPr="008B029F">
              <w:rPr>
                <w:vertAlign w:val="superscript"/>
                <w:lang w:val="en-AU" w:eastAsia="en-US"/>
              </w:rPr>
              <w:t>c</w:t>
            </w:r>
            <w:r w:rsidRPr="008B029F">
              <w:rPr>
                <w:lang w:val="en-AU" w:eastAsia="en-US"/>
              </w:rPr>
              <w:t xml:space="preserve"> </w:t>
            </w:r>
          </w:p>
        </w:tc>
        <w:tc>
          <w:tcPr>
            <w:tcW w:w="1925" w:type="dxa"/>
          </w:tcPr>
          <w:p w14:paraId="40B8CDFB" w14:textId="77777777" w:rsidR="001756BC" w:rsidRPr="008B029F" w:rsidRDefault="001756BC" w:rsidP="001756BC">
            <w:pPr>
              <w:pStyle w:val="TableCenter"/>
              <w:rPr>
                <w:lang w:val="en-AU" w:eastAsia="en-US"/>
              </w:rPr>
            </w:pPr>
            <w:r w:rsidRPr="008B029F">
              <w:rPr>
                <w:lang w:val="en-AU" w:eastAsia="en-US"/>
              </w:rPr>
              <w:t xml:space="preserve">39 </w:t>
            </w:r>
          </w:p>
        </w:tc>
        <w:tc>
          <w:tcPr>
            <w:tcW w:w="1926" w:type="dxa"/>
          </w:tcPr>
          <w:p w14:paraId="0CC2F63F" w14:textId="77777777" w:rsidR="001756BC" w:rsidRPr="008B029F" w:rsidRDefault="001756BC" w:rsidP="001756BC">
            <w:pPr>
              <w:pStyle w:val="TableCenter"/>
              <w:rPr>
                <w:lang w:val="en-AU" w:eastAsia="en-US"/>
              </w:rPr>
            </w:pPr>
            <w:r w:rsidRPr="008B029F">
              <w:rPr>
                <w:lang w:val="en-AU" w:eastAsia="en-US"/>
              </w:rPr>
              <w:t xml:space="preserve">6.2 </w:t>
            </w:r>
          </w:p>
        </w:tc>
        <w:tc>
          <w:tcPr>
            <w:tcW w:w="1926" w:type="dxa"/>
          </w:tcPr>
          <w:p w14:paraId="2E6D7D1E" w14:textId="77777777" w:rsidR="001756BC" w:rsidRPr="008B029F" w:rsidRDefault="001756BC" w:rsidP="001756BC">
            <w:pPr>
              <w:pStyle w:val="TableCenter"/>
              <w:rPr>
                <w:lang w:val="en-AU" w:eastAsia="en-US"/>
              </w:rPr>
            </w:pPr>
            <w:r w:rsidRPr="008B029F">
              <w:rPr>
                <w:lang w:val="en-AU" w:eastAsia="en-US"/>
              </w:rPr>
              <w:t xml:space="preserve">39 </w:t>
            </w:r>
          </w:p>
        </w:tc>
        <w:tc>
          <w:tcPr>
            <w:tcW w:w="1926" w:type="dxa"/>
          </w:tcPr>
          <w:p w14:paraId="3965C483" w14:textId="77777777" w:rsidR="001756BC" w:rsidRPr="008B029F" w:rsidRDefault="001756BC" w:rsidP="001756BC">
            <w:pPr>
              <w:pStyle w:val="TableCenter"/>
              <w:rPr>
                <w:lang w:val="en-AU" w:eastAsia="en-US"/>
              </w:rPr>
            </w:pPr>
            <w:r w:rsidRPr="008B029F">
              <w:rPr>
                <w:lang w:val="en-AU" w:eastAsia="en-US"/>
              </w:rPr>
              <w:t>5.6</w:t>
            </w:r>
          </w:p>
        </w:tc>
      </w:tr>
      <w:tr w:rsidR="001756BC" w:rsidRPr="008B029F" w14:paraId="72D66310" w14:textId="77777777" w:rsidTr="00D83CBF">
        <w:tc>
          <w:tcPr>
            <w:tcW w:w="1925" w:type="dxa"/>
          </w:tcPr>
          <w:p w14:paraId="33F28139" w14:textId="77777777" w:rsidR="001756BC" w:rsidRPr="008B029F" w:rsidRDefault="001756BC" w:rsidP="00D83CBF">
            <w:pPr>
              <w:pStyle w:val="TableLeft"/>
              <w:rPr>
                <w:lang w:val="en-AU" w:eastAsia="en-US"/>
              </w:rPr>
            </w:pPr>
            <w:r w:rsidRPr="008B029F">
              <w:rPr>
                <w:lang w:val="en-AU" w:eastAsia="en-US"/>
              </w:rPr>
              <w:t xml:space="preserve">Pyrexia </w:t>
            </w:r>
          </w:p>
        </w:tc>
        <w:tc>
          <w:tcPr>
            <w:tcW w:w="1925" w:type="dxa"/>
          </w:tcPr>
          <w:p w14:paraId="795443CA" w14:textId="64D557D6" w:rsidR="001756BC" w:rsidRPr="008B029F" w:rsidRDefault="001756BC" w:rsidP="001756BC">
            <w:pPr>
              <w:pStyle w:val="TableCenter"/>
              <w:rPr>
                <w:lang w:val="en-AU" w:eastAsia="en-US"/>
              </w:rPr>
            </w:pPr>
            <w:r w:rsidRPr="008B029F">
              <w:rPr>
                <w:lang w:val="en-AU" w:eastAsia="en-US"/>
              </w:rPr>
              <w:t xml:space="preserve">20 </w:t>
            </w:r>
          </w:p>
        </w:tc>
        <w:tc>
          <w:tcPr>
            <w:tcW w:w="1926" w:type="dxa"/>
          </w:tcPr>
          <w:p w14:paraId="30B9A5A7" w14:textId="77777777" w:rsidR="001756BC" w:rsidRPr="008B029F" w:rsidRDefault="001756BC" w:rsidP="001756BC">
            <w:pPr>
              <w:pStyle w:val="TableCenter"/>
              <w:rPr>
                <w:lang w:val="en-AU" w:eastAsia="en-US"/>
              </w:rPr>
            </w:pPr>
            <w:r w:rsidRPr="008B029F">
              <w:rPr>
                <w:lang w:val="en-AU" w:eastAsia="en-US"/>
              </w:rPr>
              <w:t xml:space="preserve">1.5 </w:t>
            </w:r>
          </w:p>
        </w:tc>
        <w:tc>
          <w:tcPr>
            <w:tcW w:w="1926" w:type="dxa"/>
          </w:tcPr>
          <w:p w14:paraId="5D14C884" w14:textId="378F1326" w:rsidR="001756BC" w:rsidRPr="008B029F" w:rsidRDefault="001756BC" w:rsidP="001756BC">
            <w:pPr>
              <w:pStyle w:val="TableCenter"/>
              <w:rPr>
                <w:lang w:val="en-AU" w:eastAsia="en-US"/>
              </w:rPr>
            </w:pPr>
            <w:r w:rsidRPr="008B029F">
              <w:rPr>
                <w:lang w:val="en-AU" w:eastAsia="en-US"/>
              </w:rPr>
              <w:t xml:space="preserve">16 </w:t>
            </w:r>
          </w:p>
        </w:tc>
        <w:tc>
          <w:tcPr>
            <w:tcW w:w="1926" w:type="dxa"/>
          </w:tcPr>
          <w:p w14:paraId="015D496C" w14:textId="77777777" w:rsidR="001756BC" w:rsidRPr="008B029F" w:rsidRDefault="001756BC" w:rsidP="001756BC">
            <w:pPr>
              <w:pStyle w:val="TableCenter"/>
              <w:rPr>
                <w:lang w:val="en-AU" w:eastAsia="en-US"/>
              </w:rPr>
            </w:pPr>
            <w:r w:rsidRPr="008B029F">
              <w:rPr>
                <w:lang w:val="en-AU" w:eastAsia="en-US"/>
              </w:rPr>
              <w:t>0.6</w:t>
            </w:r>
          </w:p>
        </w:tc>
      </w:tr>
      <w:tr w:rsidR="001756BC" w:rsidRPr="008B029F" w14:paraId="0479BF18" w14:textId="77777777" w:rsidTr="00D83CBF">
        <w:tc>
          <w:tcPr>
            <w:tcW w:w="9628" w:type="dxa"/>
            <w:gridSpan w:val="5"/>
          </w:tcPr>
          <w:p w14:paraId="25A34ACF" w14:textId="77777777" w:rsidR="001756BC" w:rsidRPr="008B029F" w:rsidRDefault="001756BC" w:rsidP="00D83CBF">
            <w:pPr>
              <w:pStyle w:val="TableLeft"/>
              <w:rPr>
                <w:b/>
                <w:bCs w:val="0"/>
                <w:sz w:val="22"/>
                <w:szCs w:val="22"/>
                <w:lang w:val="en-AU" w:eastAsia="en-US"/>
              </w:rPr>
            </w:pPr>
            <w:r w:rsidRPr="008B029F">
              <w:rPr>
                <w:b/>
                <w:bCs w:val="0"/>
                <w:lang w:val="en-AU" w:eastAsia="en-US"/>
              </w:rPr>
              <w:t>Metabolism and nutrition disorders</w:t>
            </w:r>
          </w:p>
        </w:tc>
      </w:tr>
      <w:tr w:rsidR="001756BC" w:rsidRPr="008B029F" w14:paraId="4AA57E35" w14:textId="77777777" w:rsidTr="00D83CBF">
        <w:tc>
          <w:tcPr>
            <w:tcW w:w="1925" w:type="dxa"/>
          </w:tcPr>
          <w:p w14:paraId="4DA4B1AB" w14:textId="77777777" w:rsidR="001756BC" w:rsidRPr="008B029F" w:rsidRDefault="001756BC" w:rsidP="00D83CBF">
            <w:pPr>
              <w:pStyle w:val="TableLeft"/>
              <w:rPr>
                <w:sz w:val="22"/>
                <w:szCs w:val="22"/>
                <w:lang w:val="en-AU" w:eastAsia="en-US"/>
              </w:rPr>
            </w:pPr>
            <w:r w:rsidRPr="008B029F">
              <w:rPr>
                <w:lang w:val="en-AU" w:eastAsia="en-US"/>
              </w:rPr>
              <w:t>Decreased appetite</w:t>
            </w:r>
            <w:r w:rsidRPr="008B029F">
              <w:rPr>
                <w:sz w:val="22"/>
                <w:szCs w:val="22"/>
                <w:lang w:val="en-AU" w:eastAsia="en-US"/>
              </w:rPr>
              <w:t xml:space="preserve"> </w:t>
            </w:r>
          </w:p>
        </w:tc>
        <w:tc>
          <w:tcPr>
            <w:tcW w:w="1925" w:type="dxa"/>
          </w:tcPr>
          <w:p w14:paraId="4240BE91" w14:textId="609A4D68" w:rsidR="001756BC" w:rsidRPr="008B029F" w:rsidRDefault="001756BC" w:rsidP="001756BC">
            <w:pPr>
              <w:pStyle w:val="TableCenter"/>
              <w:rPr>
                <w:lang w:val="en-AU" w:eastAsia="en-US"/>
              </w:rPr>
            </w:pPr>
            <w:r w:rsidRPr="008B029F">
              <w:rPr>
                <w:lang w:val="en-AU" w:eastAsia="en-US"/>
              </w:rPr>
              <w:t xml:space="preserve">26 </w:t>
            </w:r>
          </w:p>
        </w:tc>
        <w:tc>
          <w:tcPr>
            <w:tcW w:w="1926" w:type="dxa"/>
          </w:tcPr>
          <w:p w14:paraId="48DBAB86" w14:textId="77777777" w:rsidR="001756BC" w:rsidRPr="008B029F" w:rsidRDefault="001756BC" w:rsidP="001756BC">
            <w:pPr>
              <w:pStyle w:val="TableCenter"/>
              <w:rPr>
                <w:lang w:val="en-AU" w:eastAsia="en-US"/>
              </w:rPr>
            </w:pPr>
            <w:r w:rsidRPr="008B029F">
              <w:rPr>
                <w:lang w:val="en-AU" w:eastAsia="en-US"/>
              </w:rPr>
              <w:t xml:space="preserve">2.1 </w:t>
            </w:r>
          </w:p>
        </w:tc>
        <w:tc>
          <w:tcPr>
            <w:tcW w:w="1926" w:type="dxa"/>
          </w:tcPr>
          <w:p w14:paraId="2E500E45" w14:textId="403D8A20" w:rsidR="001756BC" w:rsidRPr="008B029F" w:rsidRDefault="001756BC" w:rsidP="001756BC">
            <w:pPr>
              <w:pStyle w:val="TableCenter"/>
              <w:rPr>
                <w:lang w:val="en-AU" w:eastAsia="en-US"/>
              </w:rPr>
            </w:pPr>
            <w:r w:rsidRPr="008B029F">
              <w:rPr>
                <w:lang w:val="en-AU" w:eastAsia="en-US"/>
              </w:rPr>
              <w:t xml:space="preserve">23 </w:t>
            </w:r>
          </w:p>
        </w:tc>
        <w:tc>
          <w:tcPr>
            <w:tcW w:w="1926" w:type="dxa"/>
          </w:tcPr>
          <w:p w14:paraId="504037B2" w14:textId="77777777" w:rsidR="001756BC" w:rsidRPr="008B029F" w:rsidRDefault="001756BC" w:rsidP="001756BC">
            <w:pPr>
              <w:pStyle w:val="TableCenter"/>
              <w:rPr>
                <w:lang w:val="en-AU" w:eastAsia="en-US"/>
              </w:rPr>
            </w:pPr>
            <w:r w:rsidRPr="008B029F">
              <w:rPr>
                <w:lang w:val="en-AU" w:eastAsia="en-US"/>
              </w:rPr>
              <w:t>0.9</w:t>
            </w:r>
          </w:p>
        </w:tc>
      </w:tr>
      <w:tr w:rsidR="001756BC" w:rsidRPr="008B029F" w14:paraId="528844F8" w14:textId="77777777" w:rsidTr="00D83CBF">
        <w:tc>
          <w:tcPr>
            <w:tcW w:w="9628" w:type="dxa"/>
            <w:gridSpan w:val="5"/>
          </w:tcPr>
          <w:p w14:paraId="49E7893A" w14:textId="77777777" w:rsidR="001756BC" w:rsidRPr="008B029F" w:rsidRDefault="001756BC" w:rsidP="00D83CBF">
            <w:pPr>
              <w:pStyle w:val="TableLeft"/>
              <w:rPr>
                <w:b/>
                <w:sz w:val="22"/>
                <w:szCs w:val="22"/>
                <w:lang w:val="en-AU" w:eastAsia="en-US"/>
              </w:rPr>
            </w:pPr>
            <w:r w:rsidRPr="008B029F">
              <w:rPr>
                <w:b/>
                <w:bCs w:val="0"/>
                <w:lang w:val="en-AU" w:eastAsia="en-US"/>
              </w:rPr>
              <w:t>Skin and subcutaneous tissue disorders</w:t>
            </w:r>
          </w:p>
        </w:tc>
      </w:tr>
      <w:tr w:rsidR="001756BC" w:rsidRPr="008B029F" w14:paraId="7A478F72" w14:textId="77777777" w:rsidTr="00D83CBF">
        <w:tc>
          <w:tcPr>
            <w:tcW w:w="1925" w:type="dxa"/>
          </w:tcPr>
          <w:p w14:paraId="50CAC232" w14:textId="2845368E" w:rsidR="001756BC" w:rsidRPr="008B029F" w:rsidRDefault="001756BC" w:rsidP="00D83CBF">
            <w:pPr>
              <w:pStyle w:val="TableLeft"/>
              <w:rPr>
                <w:lang w:val="en-AU" w:eastAsia="en-US"/>
              </w:rPr>
            </w:pPr>
            <w:r w:rsidRPr="008B029F">
              <w:rPr>
                <w:lang w:val="en-AU" w:eastAsia="en-US"/>
              </w:rPr>
              <w:t>Rash</w:t>
            </w:r>
            <w:r w:rsidR="00CB7634" w:rsidRPr="008B029F">
              <w:rPr>
                <w:vertAlign w:val="superscript"/>
                <w:lang w:val="en-AU" w:eastAsia="en-US"/>
              </w:rPr>
              <w:t>d</w:t>
            </w:r>
            <w:r w:rsidRPr="008B029F">
              <w:rPr>
                <w:lang w:val="en-AU" w:eastAsia="en-US"/>
              </w:rPr>
              <w:t xml:space="preserve"> </w:t>
            </w:r>
          </w:p>
        </w:tc>
        <w:tc>
          <w:tcPr>
            <w:tcW w:w="1925" w:type="dxa"/>
          </w:tcPr>
          <w:p w14:paraId="0D88EBC8" w14:textId="77777777" w:rsidR="001756BC" w:rsidRPr="008B029F" w:rsidRDefault="001756BC" w:rsidP="001756BC">
            <w:pPr>
              <w:pStyle w:val="TableCenter"/>
              <w:rPr>
                <w:lang w:val="en-AU" w:eastAsia="en-US"/>
              </w:rPr>
            </w:pPr>
            <w:r w:rsidRPr="008B029F">
              <w:rPr>
                <w:lang w:val="en-AU" w:eastAsia="en-US"/>
              </w:rPr>
              <w:t xml:space="preserve">18 </w:t>
            </w:r>
          </w:p>
        </w:tc>
        <w:tc>
          <w:tcPr>
            <w:tcW w:w="1926" w:type="dxa"/>
          </w:tcPr>
          <w:p w14:paraId="58CA158C" w14:textId="77777777" w:rsidR="001756BC" w:rsidRPr="008B029F" w:rsidRDefault="001756BC" w:rsidP="001756BC">
            <w:pPr>
              <w:pStyle w:val="TableCenter"/>
              <w:rPr>
                <w:lang w:val="en-AU" w:eastAsia="en-US"/>
              </w:rPr>
            </w:pPr>
            <w:r w:rsidRPr="008B029F">
              <w:rPr>
                <w:lang w:val="en-AU" w:eastAsia="en-US"/>
              </w:rPr>
              <w:t xml:space="preserve">0.9 </w:t>
            </w:r>
          </w:p>
        </w:tc>
        <w:tc>
          <w:tcPr>
            <w:tcW w:w="1926" w:type="dxa"/>
          </w:tcPr>
          <w:p w14:paraId="5BA9770C" w14:textId="77777777" w:rsidR="001756BC" w:rsidRPr="008B029F" w:rsidRDefault="001756BC" w:rsidP="001756BC">
            <w:pPr>
              <w:pStyle w:val="TableCenter"/>
              <w:rPr>
                <w:lang w:val="en-AU" w:eastAsia="en-US"/>
              </w:rPr>
            </w:pPr>
            <w:r w:rsidRPr="008B029F">
              <w:rPr>
                <w:lang w:val="en-AU" w:eastAsia="en-US"/>
              </w:rPr>
              <w:t xml:space="preserve">12 </w:t>
            </w:r>
          </w:p>
        </w:tc>
        <w:tc>
          <w:tcPr>
            <w:tcW w:w="1926" w:type="dxa"/>
          </w:tcPr>
          <w:p w14:paraId="0F48E360" w14:textId="77777777" w:rsidR="001756BC" w:rsidRPr="008B029F" w:rsidRDefault="001756BC" w:rsidP="001756BC">
            <w:pPr>
              <w:pStyle w:val="TableCenter"/>
              <w:rPr>
                <w:lang w:val="en-AU" w:eastAsia="en-US"/>
              </w:rPr>
            </w:pPr>
            <w:r w:rsidRPr="008B029F">
              <w:rPr>
                <w:lang w:val="en-AU" w:eastAsia="en-US"/>
              </w:rPr>
              <w:t>0</w:t>
            </w:r>
          </w:p>
        </w:tc>
      </w:tr>
      <w:tr w:rsidR="001756BC" w:rsidRPr="008B029F" w14:paraId="477E7CE1" w14:textId="77777777" w:rsidTr="00D83CBF">
        <w:tc>
          <w:tcPr>
            <w:tcW w:w="1925" w:type="dxa"/>
          </w:tcPr>
          <w:p w14:paraId="265703BF" w14:textId="77777777" w:rsidR="001756BC" w:rsidRPr="008B029F" w:rsidRDefault="001756BC" w:rsidP="00D83CBF">
            <w:pPr>
              <w:pStyle w:val="TableLeft"/>
              <w:rPr>
                <w:lang w:val="en-AU" w:eastAsia="en-US"/>
              </w:rPr>
            </w:pPr>
            <w:r w:rsidRPr="008B029F">
              <w:rPr>
                <w:lang w:val="en-AU" w:eastAsia="en-US"/>
              </w:rPr>
              <w:t xml:space="preserve">Pruritus </w:t>
            </w:r>
          </w:p>
        </w:tc>
        <w:tc>
          <w:tcPr>
            <w:tcW w:w="1925" w:type="dxa"/>
          </w:tcPr>
          <w:p w14:paraId="73378FA0" w14:textId="6B0085E1" w:rsidR="001756BC" w:rsidRPr="008B029F" w:rsidRDefault="001756BC" w:rsidP="001756BC">
            <w:pPr>
              <w:pStyle w:val="TableCenter"/>
              <w:rPr>
                <w:lang w:val="en-AU" w:eastAsia="en-US"/>
              </w:rPr>
            </w:pPr>
            <w:r w:rsidRPr="008B029F">
              <w:rPr>
                <w:lang w:val="en-AU" w:eastAsia="en-US"/>
              </w:rPr>
              <w:t xml:space="preserve">11 </w:t>
            </w:r>
          </w:p>
        </w:tc>
        <w:tc>
          <w:tcPr>
            <w:tcW w:w="1926" w:type="dxa"/>
          </w:tcPr>
          <w:p w14:paraId="358DD3C7" w14:textId="77777777" w:rsidR="001756BC" w:rsidRPr="008B029F" w:rsidRDefault="001756BC" w:rsidP="001756BC">
            <w:pPr>
              <w:pStyle w:val="TableCenter"/>
              <w:rPr>
                <w:lang w:val="en-AU" w:eastAsia="en-US"/>
              </w:rPr>
            </w:pPr>
            <w:r w:rsidRPr="008B029F">
              <w:rPr>
                <w:lang w:val="en-AU" w:eastAsia="en-US"/>
              </w:rPr>
              <w:t xml:space="preserve">0 </w:t>
            </w:r>
          </w:p>
        </w:tc>
        <w:tc>
          <w:tcPr>
            <w:tcW w:w="1926" w:type="dxa"/>
          </w:tcPr>
          <w:p w14:paraId="1D024D71" w14:textId="0BEB20C1" w:rsidR="001756BC" w:rsidRPr="008B029F" w:rsidRDefault="001756BC" w:rsidP="001756BC">
            <w:pPr>
              <w:pStyle w:val="TableCenter"/>
              <w:rPr>
                <w:lang w:val="en-AU" w:eastAsia="en-US"/>
              </w:rPr>
            </w:pPr>
            <w:r w:rsidRPr="008B029F">
              <w:rPr>
                <w:lang w:val="en-AU" w:eastAsia="en-US"/>
              </w:rPr>
              <w:t>8</w:t>
            </w:r>
          </w:p>
        </w:tc>
        <w:tc>
          <w:tcPr>
            <w:tcW w:w="1926" w:type="dxa"/>
          </w:tcPr>
          <w:p w14:paraId="7C619AD9" w14:textId="77777777" w:rsidR="001756BC" w:rsidRPr="008B029F" w:rsidRDefault="001756BC" w:rsidP="001756BC">
            <w:pPr>
              <w:pStyle w:val="TableCenter"/>
              <w:rPr>
                <w:lang w:val="en-AU" w:eastAsia="en-US"/>
              </w:rPr>
            </w:pPr>
            <w:r w:rsidRPr="008B029F">
              <w:rPr>
                <w:lang w:val="en-AU" w:eastAsia="en-US"/>
              </w:rPr>
              <w:t>0</w:t>
            </w:r>
          </w:p>
        </w:tc>
      </w:tr>
    </w:tbl>
    <w:p w14:paraId="1AAC58FC" w14:textId="21DA2F58" w:rsidR="001756BC" w:rsidRPr="008B029F" w:rsidRDefault="001756BC" w:rsidP="00B055A4">
      <w:pPr>
        <w:pStyle w:val="TableFootnoteLetter"/>
        <w:numPr>
          <w:ilvl w:val="0"/>
          <w:numId w:val="37"/>
        </w:numPr>
        <w:rPr>
          <w:rFonts w:eastAsia="SimSun"/>
          <w:lang w:val="en-AU"/>
        </w:rPr>
      </w:pPr>
      <w:r w:rsidRPr="008B029F">
        <w:rPr>
          <w:rFonts w:eastAsia="SimSun"/>
          <w:lang w:val="en-AU"/>
        </w:rPr>
        <w:t>Graded according to NCI CTCAE version 5.0</w:t>
      </w:r>
    </w:p>
    <w:p w14:paraId="60DE76D0" w14:textId="594314FF" w:rsidR="001756BC" w:rsidRPr="008B029F" w:rsidRDefault="001756BC" w:rsidP="00B055A4">
      <w:pPr>
        <w:pStyle w:val="TableFootnoteLetter"/>
        <w:rPr>
          <w:rFonts w:eastAsia="SimSun"/>
          <w:lang w:val="en-AU"/>
        </w:rPr>
      </w:pPr>
      <w:r w:rsidRPr="008B029F">
        <w:rPr>
          <w:rFonts w:eastAsia="SimSun"/>
          <w:lang w:val="en-AU"/>
        </w:rPr>
        <w:t>Includes abdominal pain, abdominal pain lower, abdominal pain upper and flank pain.</w:t>
      </w:r>
    </w:p>
    <w:p w14:paraId="5180FD67" w14:textId="7D895718" w:rsidR="001756BC" w:rsidRPr="008B029F" w:rsidRDefault="001756BC" w:rsidP="00B055A4">
      <w:pPr>
        <w:pStyle w:val="TableFootnoteLetter"/>
        <w:rPr>
          <w:rFonts w:eastAsia="SimSun"/>
          <w:lang w:val="en-AU"/>
        </w:rPr>
      </w:pPr>
      <w:r w:rsidRPr="008B029F">
        <w:rPr>
          <w:rFonts w:eastAsia="SimSun"/>
          <w:lang w:val="en-AU"/>
        </w:rPr>
        <w:t>Includes fatigue and asthenia.</w:t>
      </w:r>
    </w:p>
    <w:p w14:paraId="5C862B36" w14:textId="46AC6CE9" w:rsidR="001756BC" w:rsidRPr="008B029F" w:rsidRDefault="001756BC" w:rsidP="00B055A4">
      <w:pPr>
        <w:pStyle w:val="TableFootnoteLetter"/>
        <w:rPr>
          <w:rFonts w:eastAsia="SimSun"/>
          <w:lang w:val="en-AU"/>
        </w:rPr>
      </w:pPr>
      <w:r w:rsidRPr="008B029F">
        <w:rPr>
          <w:rFonts w:eastAsia="SimSun"/>
          <w:lang w:val="en-AU"/>
        </w:rPr>
        <w:t>Includes rash macular, rash maculopapular, rash papular, rash pruritic, rash pustular, rash erythematous, eczema, erythema and rash.</w:t>
      </w:r>
    </w:p>
    <w:p w14:paraId="2234ABCF" w14:textId="77777777" w:rsidR="001756BC" w:rsidRPr="008B029F" w:rsidRDefault="001756BC" w:rsidP="00B055A4">
      <w:pPr>
        <w:pStyle w:val="Paragraph"/>
        <w:rPr>
          <w:lang w:val="en-AU"/>
        </w:rPr>
      </w:pPr>
    </w:p>
    <w:p w14:paraId="59AFDAF8" w14:textId="1B61BEEE" w:rsidR="001756BC" w:rsidRPr="008B029F" w:rsidRDefault="007858EE" w:rsidP="00B055A4">
      <w:pPr>
        <w:pStyle w:val="Paragraph"/>
        <w:rPr>
          <w:lang w:val="en-AU"/>
        </w:rPr>
      </w:pPr>
      <w:r w:rsidRPr="008B029F">
        <w:rPr>
          <w:color w:val="2B579A"/>
          <w:shd w:val="clear" w:color="auto" w:fill="E6E6E6"/>
          <w:lang w:val="en-AU"/>
        </w:rPr>
        <w:fldChar w:fldCharType="begin"/>
      </w:r>
      <w:r w:rsidRPr="008B029F">
        <w:rPr>
          <w:lang w:val="en-AU"/>
        </w:rPr>
        <w:instrText xml:space="preserve"> REF _Ref121930734 \h </w:instrText>
      </w:r>
      <w:r w:rsidR="001D1379" w:rsidRPr="008B029F">
        <w:rPr>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11</w:t>
      </w:r>
      <w:r w:rsidRPr="008B029F">
        <w:rPr>
          <w:color w:val="2B579A"/>
          <w:shd w:val="clear" w:color="auto" w:fill="E6E6E6"/>
          <w:lang w:val="en-AU"/>
        </w:rPr>
        <w:fldChar w:fldCharType="end"/>
      </w:r>
      <w:r w:rsidR="001756BC" w:rsidRPr="008B029F">
        <w:rPr>
          <w:lang w:val="en-AU"/>
        </w:rPr>
        <w:t xml:space="preserve"> summari</w:t>
      </w:r>
      <w:r w:rsidR="001D1379" w:rsidRPr="008B029F">
        <w:rPr>
          <w:lang w:val="en-AU"/>
        </w:rPr>
        <w:t>s</w:t>
      </w:r>
      <w:r w:rsidR="001756BC" w:rsidRPr="008B029F">
        <w:rPr>
          <w:lang w:val="en-AU"/>
        </w:rPr>
        <w:t>es the laboratory abnormalities that occurred in at least 20% of patients treated with IMFINZI plus chemotherapy.</w:t>
      </w:r>
    </w:p>
    <w:p w14:paraId="42BD0E44" w14:textId="06E0C8AC" w:rsidR="007C6445" w:rsidRPr="008B029F" w:rsidRDefault="00841B1A" w:rsidP="006D372D">
      <w:pPr>
        <w:pStyle w:val="TableTitle"/>
        <w:rPr>
          <w:lang w:val="en-AU" w:eastAsia="en-GB"/>
        </w:rPr>
      </w:pPr>
      <w:bookmarkStart w:id="29" w:name="_Ref121930734"/>
      <w:r w:rsidRPr="008B029F">
        <w:rPr>
          <w:lang w:val="en-AU"/>
        </w:rPr>
        <w:lastRenderedPageBreak/>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11</w:t>
      </w:r>
      <w:r w:rsidRPr="008B029F">
        <w:rPr>
          <w:color w:val="2B579A"/>
          <w:shd w:val="clear" w:color="auto" w:fill="E6E6E6"/>
          <w:lang w:val="en-AU"/>
        </w:rPr>
        <w:fldChar w:fldCharType="end"/>
      </w:r>
      <w:bookmarkEnd w:id="29"/>
      <w:r w:rsidRPr="008B029F">
        <w:rPr>
          <w:lang w:val="en-AU"/>
        </w:rPr>
        <w:tab/>
        <w:t xml:space="preserve">Laboratory </w:t>
      </w:r>
      <w:r w:rsidR="007858EE" w:rsidRPr="008B029F">
        <w:rPr>
          <w:lang w:val="en-AU"/>
        </w:rPr>
        <w:t>a</w:t>
      </w:r>
      <w:r w:rsidRPr="008B029F">
        <w:rPr>
          <w:lang w:val="en-AU"/>
        </w:rPr>
        <w:t xml:space="preserve">bnormalities </w:t>
      </w:r>
      <w:r w:rsidR="007858EE" w:rsidRPr="008B029F">
        <w:rPr>
          <w:lang w:val="en-AU"/>
        </w:rPr>
        <w:t>w</w:t>
      </w:r>
      <w:r w:rsidRPr="008B029F">
        <w:rPr>
          <w:lang w:val="en-AU"/>
        </w:rPr>
        <w:t xml:space="preserve">orsening from </w:t>
      </w:r>
      <w:r w:rsidR="007858EE" w:rsidRPr="008B029F">
        <w:rPr>
          <w:lang w:val="en-AU"/>
        </w:rPr>
        <w:t>b</w:t>
      </w:r>
      <w:r w:rsidRPr="008B029F">
        <w:rPr>
          <w:lang w:val="en-AU"/>
        </w:rPr>
        <w:t xml:space="preserve">aseline </w:t>
      </w:r>
      <w:r w:rsidR="007858EE" w:rsidRPr="008B029F">
        <w:rPr>
          <w:lang w:val="en-AU"/>
        </w:rPr>
        <w:t>o</w:t>
      </w:r>
      <w:r w:rsidRPr="008B029F">
        <w:rPr>
          <w:lang w:val="en-AU"/>
        </w:rPr>
        <w:t>ccurring in ≥ 20%</w:t>
      </w:r>
      <w:r w:rsidR="001D1379" w:rsidRPr="008B029F">
        <w:rPr>
          <w:vertAlign w:val="superscript"/>
          <w:lang w:val="en-AU"/>
        </w:rPr>
        <w:t>a</w:t>
      </w:r>
      <w:r w:rsidRPr="008B029F">
        <w:rPr>
          <w:lang w:val="en-AU"/>
        </w:rPr>
        <w:t xml:space="preserve"> of </w:t>
      </w:r>
      <w:r w:rsidR="00D63ECC" w:rsidRPr="008B029F">
        <w:rPr>
          <w:lang w:val="en-AU"/>
        </w:rPr>
        <w:t>p</w:t>
      </w:r>
      <w:r w:rsidRPr="008B029F">
        <w:rPr>
          <w:lang w:val="en-AU"/>
        </w:rPr>
        <w:t>atients in the TOPAZ-1 study</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008"/>
        <w:gridCol w:w="3206"/>
      </w:tblGrid>
      <w:tr w:rsidR="007C6445" w:rsidRPr="008B029F" w14:paraId="4C2643DD" w14:textId="77777777" w:rsidTr="00D83CBF">
        <w:trPr>
          <w:trHeight w:val="557"/>
          <w:tblHeader/>
        </w:trPr>
        <w:tc>
          <w:tcPr>
            <w:tcW w:w="1767" w:type="pct"/>
            <w:vMerge w:val="restart"/>
            <w:tcBorders>
              <w:top w:val="single" w:sz="4" w:space="0" w:color="auto"/>
            </w:tcBorders>
            <w:shd w:val="clear" w:color="auto" w:fill="auto"/>
          </w:tcPr>
          <w:p w14:paraId="498C4C4E" w14:textId="77777777" w:rsidR="007C6445" w:rsidRPr="008B029F" w:rsidRDefault="007C6445" w:rsidP="00D83CBF">
            <w:pPr>
              <w:pStyle w:val="TableLeft"/>
              <w:rPr>
                <w:b/>
                <w:bCs w:val="0"/>
                <w:sz w:val="22"/>
                <w:szCs w:val="22"/>
                <w:lang w:val="en-AU"/>
              </w:rPr>
            </w:pPr>
            <w:r w:rsidRPr="008B029F">
              <w:rPr>
                <w:b/>
                <w:bCs w:val="0"/>
                <w:szCs w:val="20"/>
                <w:lang w:val="en-AU"/>
              </w:rPr>
              <w:t>Laboratory Abnormality</w:t>
            </w:r>
          </w:p>
        </w:tc>
        <w:tc>
          <w:tcPr>
            <w:tcW w:w="1565" w:type="pct"/>
            <w:tcBorders>
              <w:top w:val="single" w:sz="4" w:space="0" w:color="auto"/>
            </w:tcBorders>
            <w:shd w:val="clear" w:color="auto" w:fill="auto"/>
          </w:tcPr>
          <w:p w14:paraId="265825BA" w14:textId="06B147C9" w:rsidR="007C6445" w:rsidRPr="008B029F" w:rsidRDefault="007C6445" w:rsidP="00D83CBF">
            <w:pPr>
              <w:pStyle w:val="TableHead"/>
              <w:rPr>
                <w:lang w:val="en-AU"/>
              </w:rPr>
            </w:pPr>
            <w:r w:rsidRPr="008B029F">
              <w:rPr>
                <w:lang w:val="en-AU"/>
              </w:rPr>
              <w:t xml:space="preserve">IMFINZI with </w:t>
            </w:r>
            <w:r w:rsidR="001D1379" w:rsidRPr="008B029F">
              <w:rPr>
                <w:lang w:val="en-AU"/>
              </w:rPr>
              <w:t>g</w:t>
            </w:r>
            <w:r w:rsidRPr="008B029F">
              <w:rPr>
                <w:lang w:val="en-AU"/>
              </w:rPr>
              <w:t xml:space="preserve">emcitabine </w:t>
            </w:r>
            <w:r w:rsidR="001D1379" w:rsidRPr="008B029F">
              <w:rPr>
                <w:lang w:val="en-AU"/>
              </w:rPr>
              <w:t>&amp;</w:t>
            </w:r>
            <w:r w:rsidRPr="008B029F">
              <w:rPr>
                <w:lang w:val="en-AU"/>
              </w:rPr>
              <w:t xml:space="preserve"> </w:t>
            </w:r>
            <w:r w:rsidR="001D1379" w:rsidRPr="008B029F">
              <w:rPr>
                <w:lang w:val="en-AU"/>
              </w:rPr>
              <w:t>c</w:t>
            </w:r>
            <w:r w:rsidRPr="008B029F">
              <w:rPr>
                <w:lang w:val="en-AU"/>
              </w:rPr>
              <w:t xml:space="preserve">isplatin </w:t>
            </w:r>
          </w:p>
        </w:tc>
        <w:tc>
          <w:tcPr>
            <w:tcW w:w="1668" w:type="pct"/>
            <w:tcBorders>
              <w:top w:val="single" w:sz="4" w:space="0" w:color="auto"/>
            </w:tcBorders>
            <w:shd w:val="clear" w:color="auto" w:fill="auto"/>
          </w:tcPr>
          <w:p w14:paraId="1EAC1ECC" w14:textId="4E0BCA07" w:rsidR="007C6445" w:rsidRPr="008B029F" w:rsidRDefault="007C6445" w:rsidP="00D83CBF">
            <w:pPr>
              <w:pStyle w:val="TableHead"/>
              <w:rPr>
                <w:lang w:val="en-AU"/>
              </w:rPr>
            </w:pPr>
            <w:r w:rsidRPr="008B029F">
              <w:rPr>
                <w:lang w:val="en-AU"/>
              </w:rPr>
              <w:t xml:space="preserve">Placebo with </w:t>
            </w:r>
            <w:r w:rsidR="001D1379" w:rsidRPr="008B029F">
              <w:rPr>
                <w:lang w:val="en-AU"/>
              </w:rPr>
              <w:t>g</w:t>
            </w:r>
            <w:r w:rsidRPr="008B029F">
              <w:rPr>
                <w:lang w:val="en-AU"/>
              </w:rPr>
              <w:t xml:space="preserve">emcitabine </w:t>
            </w:r>
            <w:r w:rsidR="001D1379" w:rsidRPr="008B029F">
              <w:rPr>
                <w:lang w:val="en-AU"/>
              </w:rPr>
              <w:t>&amp;</w:t>
            </w:r>
            <w:r w:rsidRPr="008B029F">
              <w:rPr>
                <w:lang w:val="en-AU"/>
              </w:rPr>
              <w:t xml:space="preserve"> </w:t>
            </w:r>
            <w:r w:rsidR="001D1379" w:rsidRPr="008B029F">
              <w:rPr>
                <w:lang w:val="en-AU"/>
              </w:rPr>
              <w:t>c</w:t>
            </w:r>
            <w:r w:rsidRPr="008B029F">
              <w:rPr>
                <w:lang w:val="en-AU"/>
              </w:rPr>
              <w:t xml:space="preserve">isplatin </w:t>
            </w:r>
          </w:p>
        </w:tc>
      </w:tr>
      <w:tr w:rsidR="007C6445" w:rsidRPr="008B029F" w14:paraId="585AB195" w14:textId="77777777" w:rsidTr="00D83CBF">
        <w:trPr>
          <w:tblHeader/>
        </w:trPr>
        <w:tc>
          <w:tcPr>
            <w:tcW w:w="1767" w:type="pct"/>
            <w:vMerge/>
            <w:shd w:val="clear" w:color="auto" w:fill="auto"/>
          </w:tcPr>
          <w:p w14:paraId="73064142" w14:textId="77777777" w:rsidR="007C6445" w:rsidRPr="008B029F" w:rsidRDefault="007C6445" w:rsidP="00D83CBF">
            <w:pPr>
              <w:pStyle w:val="TableLeft"/>
              <w:rPr>
                <w:b/>
                <w:bCs w:val="0"/>
                <w:szCs w:val="20"/>
                <w:lang w:val="en-AU"/>
              </w:rPr>
            </w:pPr>
          </w:p>
        </w:tc>
        <w:tc>
          <w:tcPr>
            <w:tcW w:w="1565" w:type="pct"/>
            <w:shd w:val="clear" w:color="auto" w:fill="auto"/>
          </w:tcPr>
          <w:p w14:paraId="52028839" w14:textId="35525353" w:rsidR="007C6445" w:rsidRPr="008B029F" w:rsidRDefault="007C6445" w:rsidP="00D83CBF">
            <w:pPr>
              <w:pStyle w:val="TableLeft"/>
              <w:jc w:val="center"/>
              <w:rPr>
                <w:b/>
                <w:bCs w:val="0"/>
                <w:szCs w:val="20"/>
                <w:lang w:val="en-AU"/>
              </w:rPr>
            </w:pPr>
            <w:r w:rsidRPr="008B029F">
              <w:rPr>
                <w:b/>
                <w:bCs w:val="0"/>
                <w:szCs w:val="20"/>
                <w:lang w:val="en-AU"/>
              </w:rPr>
              <w:t>Grade</w:t>
            </w:r>
            <w:r w:rsidR="001D1379" w:rsidRPr="008B029F">
              <w:rPr>
                <w:b/>
                <w:bCs w:val="0"/>
                <w:szCs w:val="20"/>
                <w:vertAlign w:val="superscript"/>
                <w:lang w:val="en-AU"/>
              </w:rPr>
              <w:t>b</w:t>
            </w:r>
            <w:r w:rsidRPr="008B029F">
              <w:rPr>
                <w:b/>
                <w:bCs w:val="0"/>
                <w:szCs w:val="20"/>
                <w:lang w:val="en-AU"/>
              </w:rPr>
              <w:t xml:space="preserve"> 3 or 4 (%)</w:t>
            </w:r>
          </w:p>
        </w:tc>
        <w:tc>
          <w:tcPr>
            <w:tcW w:w="1668" w:type="pct"/>
            <w:shd w:val="clear" w:color="auto" w:fill="auto"/>
          </w:tcPr>
          <w:p w14:paraId="4630C74D" w14:textId="206B505E" w:rsidR="007C6445" w:rsidRPr="008B029F" w:rsidRDefault="007C6445" w:rsidP="00D83CBF">
            <w:pPr>
              <w:pStyle w:val="TableLeft"/>
              <w:jc w:val="center"/>
              <w:rPr>
                <w:b/>
                <w:bCs w:val="0"/>
                <w:szCs w:val="20"/>
                <w:lang w:val="en-AU"/>
              </w:rPr>
            </w:pPr>
            <w:r w:rsidRPr="008B029F">
              <w:rPr>
                <w:b/>
                <w:bCs w:val="0"/>
                <w:szCs w:val="20"/>
                <w:lang w:val="en-AU"/>
              </w:rPr>
              <w:t>Grade</w:t>
            </w:r>
            <w:r w:rsidR="001D1379" w:rsidRPr="008B029F">
              <w:rPr>
                <w:b/>
                <w:bCs w:val="0"/>
                <w:szCs w:val="20"/>
                <w:vertAlign w:val="superscript"/>
                <w:lang w:val="en-AU"/>
              </w:rPr>
              <w:t xml:space="preserve"> b</w:t>
            </w:r>
            <w:r w:rsidR="001D1379" w:rsidRPr="008B029F">
              <w:rPr>
                <w:b/>
                <w:bCs w:val="0"/>
                <w:szCs w:val="20"/>
                <w:lang w:val="en-AU"/>
              </w:rPr>
              <w:t xml:space="preserve"> </w:t>
            </w:r>
            <w:r w:rsidRPr="008B029F">
              <w:rPr>
                <w:b/>
                <w:bCs w:val="0"/>
                <w:szCs w:val="20"/>
                <w:lang w:val="en-AU"/>
              </w:rPr>
              <w:t>3 or 4 (%)</w:t>
            </w:r>
          </w:p>
        </w:tc>
      </w:tr>
      <w:tr w:rsidR="007C6445" w:rsidRPr="008B029F" w14:paraId="1574AC25" w14:textId="77777777" w:rsidTr="00D83CBF">
        <w:tc>
          <w:tcPr>
            <w:tcW w:w="5000" w:type="pct"/>
            <w:gridSpan w:val="3"/>
            <w:shd w:val="clear" w:color="auto" w:fill="auto"/>
          </w:tcPr>
          <w:p w14:paraId="2A5B8E73" w14:textId="77777777" w:rsidR="007C6445" w:rsidRPr="008B029F" w:rsidRDefault="007C6445" w:rsidP="00D83CBF">
            <w:pPr>
              <w:spacing w:after="0"/>
              <w:rPr>
                <w:sz w:val="20"/>
                <w:szCs w:val="20"/>
                <w:lang w:val="en-AU"/>
              </w:rPr>
            </w:pPr>
            <w:r w:rsidRPr="008B029F">
              <w:rPr>
                <w:b/>
                <w:sz w:val="20"/>
                <w:szCs w:val="20"/>
                <w:lang w:val="en-AU"/>
              </w:rPr>
              <w:t>Chemistry</w:t>
            </w:r>
          </w:p>
        </w:tc>
      </w:tr>
      <w:tr w:rsidR="007C6445" w:rsidRPr="008B029F" w14:paraId="56C6E059" w14:textId="77777777" w:rsidTr="00D83CBF">
        <w:tc>
          <w:tcPr>
            <w:tcW w:w="1767" w:type="pct"/>
            <w:shd w:val="clear" w:color="auto" w:fill="auto"/>
          </w:tcPr>
          <w:p w14:paraId="37FCBD2A" w14:textId="77777777" w:rsidR="007C6445" w:rsidRPr="008B029F" w:rsidRDefault="007C6445" w:rsidP="00D83CBF">
            <w:pPr>
              <w:pStyle w:val="TableLeft"/>
              <w:rPr>
                <w:lang w:val="en-AU"/>
              </w:rPr>
            </w:pPr>
            <w:r w:rsidRPr="008B029F">
              <w:rPr>
                <w:lang w:val="en-AU"/>
              </w:rPr>
              <w:t>Hyponatraemia</w:t>
            </w:r>
          </w:p>
        </w:tc>
        <w:tc>
          <w:tcPr>
            <w:tcW w:w="1565" w:type="pct"/>
            <w:shd w:val="clear" w:color="auto" w:fill="auto"/>
          </w:tcPr>
          <w:p w14:paraId="75F1D729" w14:textId="77777777" w:rsidR="007C6445" w:rsidRPr="008B029F" w:rsidRDefault="007C6445" w:rsidP="00D83CBF">
            <w:pPr>
              <w:pStyle w:val="TableLeft"/>
              <w:jc w:val="center"/>
              <w:rPr>
                <w:lang w:val="en-AU"/>
              </w:rPr>
            </w:pPr>
            <w:r w:rsidRPr="008B029F">
              <w:rPr>
                <w:lang w:val="en-AU"/>
              </w:rPr>
              <w:t>18</w:t>
            </w:r>
          </w:p>
        </w:tc>
        <w:tc>
          <w:tcPr>
            <w:tcW w:w="1668" w:type="pct"/>
            <w:shd w:val="clear" w:color="auto" w:fill="auto"/>
          </w:tcPr>
          <w:p w14:paraId="59D8371B" w14:textId="77777777" w:rsidR="007C6445" w:rsidRPr="008B029F" w:rsidRDefault="007C6445" w:rsidP="00D83CBF">
            <w:pPr>
              <w:pStyle w:val="TableLeft"/>
              <w:jc w:val="center"/>
              <w:rPr>
                <w:lang w:val="en-AU"/>
              </w:rPr>
            </w:pPr>
            <w:r w:rsidRPr="008B029F">
              <w:rPr>
                <w:lang w:val="en-AU"/>
              </w:rPr>
              <w:t>13</w:t>
            </w:r>
          </w:p>
        </w:tc>
      </w:tr>
      <w:tr w:rsidR="007C6445" w:rsidRPr="008B029F" w14:paraId="5A5122BE" w14:textId="77777777" w:rsidTr="00D83CBF">
        <w:tc>
          <w:tcPr>
            <w:tcW w:w="1767" w:type="pct"/>
            <w:shd w:val="clear" w:color="auto" w:fill="auto"/>
          </w:tcPr>
          <w:p w14:paraId="2699927F" w14:textId="77777777" w:rsidR="007C6445" w:rsidRPr="008B029F" w:rsidRDefault="007C6445" w:rsidP="00D83CBF">
            <w:pPr>
              <w:pStyle w:val="TableLeft"/>
              <w:rPr>
                <w:lang w:val="en-AU"/>
              </w:rPr>
            </w:pPr>
            <w:r w:rsidRPr="008B029F">
              <w:rPr>
                <w:lang w:val="en-AU"/>
              </w:rPr>
              <w:t>Gamma-glutamyltransferase increased</w:t>
            </w:r>
          </w:p>
        </w:tc>
        <w:tc>
          <w:tcPr>
            <w:tcW w:w="1565" w:type="pct"/>
            <w:shd w:val="clear" w:color="auto" w:fill="auto"/>
          </w:tcPr>
          <w:p w14:paraId="6C95D5A5" w14:textId="77777777" w:rsidR="007C6445" w:rsidRPr="008B029F" w:rsidRDefault="007C6445" w:rsidP="00D83CBF">
            <w:pPr>
              <w:pStyle w:val="TableLeft"/>
              <w:jc w:val="center"/>
              <w:rPr>
                <w:lang w:val="en-AU"/>
              </w:rPr>
            </w:pPr>
            <w:r w:rsidRPr="008B029F">
              <w:rPr>
                <w:lang w:val="en-AU"/>
              </w:rPr>
              <w:t>12</w:t>
            </w:r>
          </w:p>
        </w:tc>
        <w:tc>
          <w:tcPr>
            <w:tcW w:w="1668" w:type="pct"/>
            <w:shd w:val="clear" w:color="auto" w:fill="auto"/>
          </w:tcPr>
          <w:p w14:paraId="4B320E08" w14:textId="77777777" w:rsidR="007C6445" w:rsidRPr="008B029F" w:rsidRDefault="007C6445" w:rsidP="00D83CBF">
            <w:pPr>
              <w:pStyle w:val="TableLeft"/>
              <w:jc w:val="center"/>
              <w:rPr>
                <w:lang w:val="en-AU"/>
              </w:rPr>
            </w:pPr>
            <w:r w:rsidRPr="008B029F">
              <w:rPr>
                <w:lang w:val="en-AU"/>
              </w:rPr>
              <w:t>13</w:t>
            </w:r>
          </w:p>
        </w:tc>
      </w:tr>
      <w:tr w:rsidR="007C6445" w:rsidRPr="008B029F" w14:paraId="20EF6581" w14:textId="77777777" w:rsidTr="00D83CBF">
        <w:tc>
          <w:tcPr>
            <w:tcW w:w="1767" w:type="pct"/>
            <w:shd w:val="clear" w:color="auto" w:fill="auto"/>
          </w:tcPr>
          <w:p w14:paraId="75AECB0E" w14:textId="77777777" w:rsidR="007C6445" w:rsidRPr="008B029F" w:rsidRDefault="007C6445" w:rsidP="00D83CBF">
            <w:pPr>
              <w:pStyle w:val="TableLeft"/>
              <w:rPr>
                <w:lang w:val="en-AU"/>
              </w:rPr>
            </w:pPr>
            <w:r w:rsidRPr="008B029F">
              <w:rPr>
                <w:lang w:val="en-AU"/>
              </w:rPr>
              <w:t>Hyperbilirubinemia</w:t>
            </w:r>
          </w:p>
        </w:tc>
        <w:tc>
          <w:tcPr>
            <w:tcW w:w="1565" w:type="pct"/>
            <w:shd w:val="clear" w:color="auto" w:fill="auto"/>
          </w:tcPr>
          <w:p w14:paraId="4DB0D7D7" w14:textId="77777777" w:rsidR="007C6445" w:rsidRPr="008B029F" w:rsidRDefault="007C6445" w:rsidP="00D83CBF">
            <w:pPr>
              <w:pStyle w:val="TableLeft"/>
              <w:jc w:val="center"/>
              <w:rPr>
                <w:lang w:val="en-AU"/>
              </w:rPr>
            </w:pPr>
            <w:r w:rsidRPr="008B029F">
              <w:rPr>
                <w:lang w:val="en-AU"/>
              </w:rPr>
              <w:t>9.6</w:t>
            </w:r>
          </w:p>
        </w:tc>
        <w:tc>
          <w:tcPr>
            <w:tcW w:w="1668" w:type="pct"/>
            <w:shd w:val="clear" w:color="auto" w:fill="auto"/>
          </w:tcPr>
          <w:p w14:paraId="14552169" w14:textId="77777777" w:rsidR="007C6445" w:rsidRPr="008B029F" w:rsidRDefault="007C6445" w:rsidP="00D83CBF">
            <w:pPr>
              <w:pStyle w:val="TableLeft"/>
              <w:jc w:val="center"/>
              <w:rPr>
                <w:lang w:val="en-AU"/>
              </w:rPr>
            </w:pPr>
            <w:r w:rsidRPr="008B029F">
              <w:rPr>
                <w:lang w:val="en-AU"/>
              </w:rPr>
              <w:t>13.5</w:t>
            </w:r>
          </w:p>
        </w:tc>
      </w:tr>
      <w:tr w:rsidR="007C6445" w:rsidRPr="008B029F" w14:paraId="2E300974" w14:textId="77777777" w:rsidTr="00D83CBF">
        <w:tc>
          <w:tcPr>
            <w:tcW w:w="1767" w:type="pct"/>
            <w:shd w:val="clear" w:color="auto" w:fill="auto"/>
          </w:tcPr>
          <w:p w14:paraId="1B15CDB9" w14:textId="77777777" w:rsidR="007C6445" w:rsidRPr="008B029F" w:rsidRDefault="007C6445" w:rsidP="00D83CBF">
            <w:pPr>
              <w:pStyle w:val="TableLeft"/>
              <w:rPr>
                <w:lang w:val="en-AU"/>
              </w:rPr>
            </w:pPr>
            <w:r w:rsidRPr="008B029F">
              <w:rPr>
                <w:lang w:val="en-AU"/>
              </w:rPr>
              <w:t>Hypokalaemia</w:t>
            </w:r>
          </w:p>
        </w:tc>
        <w:tc>
          <w:tcPr>
            <w:tcW w:w="1565" w:type="pct"/>
            <w:shd w:val="clear" w:color="auto" w:fill="auto"/>
          </w:tcPr>
          <w:p w14:paraId="2E81ED1A" w14:textId="77777777" w:rsidR="007C6445" w:rsidRPr="008B029F" w:rsidRDefault="007C6445" w:rsidP="00D83CBF">
            <w:pPr>
              <w:pStyle w:val="TableLeft"/>
              <w:jc w:val="center"/>
              <w:rPr>
                <w:lang w:val="en-AU"/>
              </w:rPr>
            </w:pPr>
            <w:r w:rsidRPr="008B029F">
              <w:rPr>
                <w:lang w:val="en-AU"/>
              </w:rPr>
              <w:t>7.8</w:t>
            </w:r>
          </w:p>
        </w:tc>
        <w:tc>
          <w:tcPr>
            <w:tcW w:w="1668" w:type="pct"/>
            <w:shd w:val="clear" w:color="auto" w:fill="auto"/>
          </w:tcPr>
          <w:p w14:paraId="4971CF71" w14:textId="77777777" w:rsidR="007C6445" w:rsidRPr="008B029F" w:rsidRDefault="007C6445" w:rsidP="00D83CBF">
            <w:pPr>
              <w:pStyle w:val="TableLeft"/>
              <w:jc w:val="center"/>
              <w:rPr>
                <w:lang w:val="en-AU"/>
              </w:rPr>
            </w:pPr>
            <w:r w:rsidRPr="008B029F">
              <w:rPr>
                <w:lang w:val="en-AU"/>
              </w:rPr>
              <w:t>4.4</w:t>
            </w:r>
          </w:p>
        </w:tc>
      </w:tr>
      <w:tr w:rsidR="007C6445" w:rsidRPr="008B029F" w14:paraId="2211F5A1" w14:textId="77777777" w:rsidTr="00D83CBF">
        <w:tc>
          <w:tcPr>
            <w:tcW w:w="1767" w:type="pct"/>
            <w:shd w:val="clear" w:color="auto" w:fill="auto"/>
          </w:tcPr>
          <w:p w14:paraId="03E77419" w14:textId="77777777" w:rsidR="007C6445" w:rsidRPr="008B029F" w:rsidRDefault="007C6445" w:rsidP="00D83CBF">
            <w:pPr>
              <w:pStyle w:val="TableLeft"/>
              <w:rPr>
                <w:lang w:val="en-AU"/>
              </w:rPr>
            </w:pPr>
            <w:r w:rsidRPr="008B029F">
              <w:rPr>
                <w:lang w:val="en-AU"/>
              </w:rPr>
              <w:t>Increased AST</w:t>
            </w:r>
          </w:p>
        </w:tc>
        <w:tc>
          <w:tcPr>
            <w:tcW w:w="1565" w:type="pct"/>
            <w:shd w:val="clear" w:color="auto" w:fill="auto"/>
          </w:tcPr>
          <w:p w14:paraId="615D8519" w14:textId="77777777" w:rsidR="007C6445" w:rsidRPr="008B029F" w:rsidRDefault="007C6445" w:rsidP="00D83CBF">
            <w:pPr>
              <w:pStyle w:val="TableLeft"/>
              <w:jc w:val="center"/>
              <w:rPr>
                <w:lang w:val="en-AU"/>
              </w:rPr>
            </w:pPr>
            <w:r w:rsidRPr="008B029F">
              <w:rPr>
                <w:lang w:val="en-AU"/>
              </w:rPr>
              <w:t>7.5</w:t>
            </w:r>
          </w:p>
        </w:tc>
        <w:tc>
          <w:tcPr>
            <w:tcW w:w="1668" w:type="pct"/>
            <w:shd w:val="clear" w:color="auto" w:fill="auto"/>
          </w:tcPr>
          <w:p w14:paraId="5BC7FBC1" w14:textId="77777777" w:rsidR="007C6445" w:rsidRPr="008B029F" w:rsidRDefault="007C6445" w:rsidP="00D83CBF">
            <w:pPr>
              <w:pStyle w:val="TableLeft"/>
              <w:jc w:val="center"/>
              <w:rPr>
                <w:lang w:val="en-AU"/>
              </w:rPr>
            </w:pPr>
            <w:r w:rsidRPr="008B029F">
              <w:rPr>
                <w:lang w:val="en-AU"/>
              </w:rPr>
              <w:t>7.9</w:t>
            </w:r>
          </w:p>
        </w:tc>
      </w:tr>
      <w:tr w:rsidR="007C6445" w:rsidRPr="008B029F" w14:paraId="5EB30838" w14:textId="77777777" w:rsidTr="00D83CBF">
        <w:tc>
          <w:tcPr>
            <w:tcW w:w="1767" w:type="pct"/>
            <w:shd w:val="clear" w:color="auto" w:fill="auto"/>
          </w:tcPr>
          <w:p w14:paraId="2608E527" w14:textId="77777777" w:rsidR="007C6445" w:rsidRPr="008B029F" w:rsidRDefault="007C6445" w:rsidP="00D83CBF">
            <w:pPr>
              <w:pStyle w:val="TableLeft"/>
              <w:rPr>
                <w:lang w:val="en-AU"/>
              </w:rPr>
            </w:pPr>
            <w:r w:rsidRPr="008B029F">
              <w:rPr>
                <w:lang w:val="en-AU"/>
              </w:rPr>
              <w:t>Increased ALT</w:t>
            </w:r>
          </w:p>
        </w:tc>
        <w:tc>
          <w:tcPr>
            <w:tcW w:w="1565" w:type="pct"/>
            <w:shd w:val="clear" w:color="auto" w:fill="auto"/>
          </w:tcPr>
          <w:p w14:paraId="3E4BBD78" w14:textId="77777777" w:rsidR="007C6445" w:rsidRPr="008B029F" w:rsidRDefault="007C6445" w:rsidP="00D83CBF">
            <w:pPr>
              <w:pStyle w:val="TableLeft"/>
              <w:jc w:val="center"/>
              <w:rPr>
                <w:lang w:val="en-AU"/>
              </w:rPr>
            </w:pPr>
            <w:r w:rsidRPr="008B029F">
              <w:rPr>
                <w:lang w:val="en-AU"/>
              </w:rPr>
              <w:t>6.6</w:t>
            </w:r>
          </w:p>
        </w:tc>
        <w:tc>
          <w:tcPr>
            <w:tcW w:w="1668" w:type="pct"/>
            <w:shd w:val="clear" w:color="auto" w:fill="auto"/>
          </w:tcPr>
          <w:p w14:paraId="7AB07630" w14:textId="77777777" w:rsidR="007C6445" w:rsidRPr="008B029F" w:rsidRDefault="007C6445" w:rsidP="00D83CBF">
            <w:pPr>
              <w:pStyle w:val="TableLeft"/>
              <w:jc w:val="center"/>
              <w:rPr>
                <w:lang w:val="en-AU"/>
              </w:rPr>
            </w:pPr>
            <w:r w:rsidRPr="008B029F">
              <w:rPr>
                <w:lang w:val="en-AU"/>
              </w:rPr>
              <w:t>6.2</w:t>
            </w:r>
          </w:p>
        </w:tc>
      </w:tr>
      <w:tr w:rsidR="007C6445" w:rsidRPr="008B029F" w14:paraId="121BC610" w14:textId="77777777" w:rsidTr="00D83CBF">
        <w:tc>
          <w:tcPr>
            <w:tcW w:w="1767" w:type="pct"/>
            <w:shd w:val="clear" w:color="auto" w:fill="auto"/>
          </w:tcPr>
          <w:p w14:paraId="154F450E" w14:textId="77777777" w:rsidR="007C6445" w:rsidRPr="008B029F" w:rsidRDefault="007C6445" w:rsidP="00D83CBF">
            <w:pPr>
              <w:pStyle w:val="TableLeft"/>
              <w:rPr>
                <w:lang w:val="en-AU"/>
              </w:rPr>
            </w:pPr>
            <w:r w:rsidRPr="008B029F">
              <w:rPr>
                <w:lang w:val="en-AU"/>
              </w:rPr>
              <w:t>Blood creatinine increased</w:t>
            </w:r>
          </w:p>
        </w:tc>
        <w:tc>
          <w:tcPr>
            <w:tcW w:w="1565" w:type="pct"/>
            <w:shd w:val="clear" w:color="auto" w:fill="auto"/>
          </w:tcPr>
          <w:p w14:paraId="1D18F577" w14:textId="77777777" w:rsidR="007C6445" w:rsidRPr="008B029F" w:rsidRDefault="007C6445" w:rsidP="00D83CBF">
            <w:pPr>
              <w:pStyle w:val="TableLeft"/>
              <w:jc w:val="center"/>
              <w:rPr>
                <w:lang w:val="en-AU"/>
              </w:rPr>
            </w:pPr>
            <w:r w:rsidRPr="008B029F">
              <w:rPr>
                <w:lang w:val="en-AU"/>
              </w:rPr>
              <w:t>5.1</w:t>
            </w:r>
          </w:p>
        </w:tc>
        <w:tc>
          <w:tcPr>
            <w:tcW w:w="1668" w:type="pct"/>
            <w:shd w:val="clear" w:color="auto" w:fill="auto"/>
          </w:tcPr>
          <w:p w14:paraId="618DA5BA" w14:textId="77777777" w:rsidR="007C6445" w:rsidRPr="008B029F" w:rsidRDefault="007C6445" w:rsidP="00D83CBF">
            <w:pPr>
              <w:pStyle w:val="TableLeft"/>
              <w:jc w:val="center"/>
              <w:rPr>
                <w:lang w:val="en-AU"/>
              </w:rPr>
            </w:pPr>
            <w:r w:rsidRPr="008B029F">
              <w:rPr>
                <w:lang w:val="en-AU"/>
              </w:rPr>
              <w:t>2.1</w:t>
            </w:r>
          </w:p>
        </w:tc>
      </w:tr>
      <w:tr w:rsidR="007C6445" w:rsidRPr="008B029F" w14:paraId="71F11C94" w14:textId="77777777" w:rsidTr="00D83CBF">
        <w:tc>
          <w:tcPr>
            <w:tcW w:w="1767" w:type="pct"/>
            <w:shd w:val="clear" w:color="auto" w:fill="auto"/>
          </w:tcPr>
          <w:p w14:paraId="4E8A0018" w14:textId="77777777" w:rsidR="007C6445" w:rsidRPr="008B029F" w:rsidRDefault="007C6445" w:rsidP="00D83CBF">
            <w:pPr>
              <w:pStyle w:val="TableLeft"/>
              <w:rPr>
                <w:lang w:val="en-AU"/>
              </w:rPr>
            </w:pPr>
            <w:r w:rsidRPr="008B029F">
              <w:rPr>
                <w:lang w:val="en-AU"/>
              </w:rPr>
              <w:t>Hypomagnesemia</w:t>
            </w:r>
          </w:p>
        </w:tc>
        <w:tc>
          <w:tcPr>
            <w:tcW w:w="1565" w:type="pct"/>
            <w:shd w:val="clear" w:color="auto" w:fill="auto"/>
          </w:tcPr>
          <w:p w14:paraId="1F327FF9" w14:textId="77777777" w:rsidR="007C6445" w:rsidRPr="008B029F" w:rsidRDefault="007C6445" w:rsidP="00D83CBF">
            <w:pPr>
              <w:pStyle w:val="TableLeft"/>
              <w:jc w:val="center"/>
              <w:rPr>
                <w:lang w:val="en-AU"/>
              </w:rPr>
            </w:pPr>
            <w:r w:rsidRPr="008B029F">
              <w:rPr>
                <w:lang w:val="en-AU"/>
              </w:rPr>
              <w:t>4.5</w:t>
            </w:r>
          </w:p>
        </w:tc>
        <w:tc>
          <w:tcPr>
            <w:tcW w:w="1668" w:type="pct"/>
            <w:shd w:val="clear" w:color="auto" w:fill="auto"/>
          </w:tcPr>
          <w:p w14:paraId="6F643278" w14:textId="77777777" w:rsidR="007C6445" w:rsidRPr="008B029F" w:rsidRDefault="007C6445" w:rsidP="00D83CBF">
            <w:pPr>
              <w:pStyle w:val="TableLeft"/>
              <w:jc w:val="center"/>
              <w:rPr>
                <w:lang w:val="en-AU"/>
              </w:rPr>
            </w:pPr>
            <w:r w:rsidRPr="008B029F">
              <w:rPr>
                <w:lang w:val="en-AU"/>
              </w:rPr>
              <w:t>2.2</w:t>
            </w:r>
          </w:p>
        </w:tc>
      </w:tr>
      <w:tr w:rsidR="007C6445" w:rsidRPr="008B029F" w14:paraId="2AE82DC0" w14:textId="77777777" w:rsidTr="00D83CBF">
        <w:tc>
          <w:tcPr>
            <w:tcW w:w="1767" w:type="pct"/>
            <w:shd w:val="clear" w:color="auto" w:fill="auto"/>
          </w:tcPr>
          <w:p w14:paraId="49E244B0" w14:textId="77777777" w:rsidR="007C6445" w:rsidRPr="008B029F" w:rsidRDefault="007C6445" w:rsidP="00D83CBF">
            <w:pPr>
              <w:pStyle w:val="TableLeft"/>
              <w:rPr>
                <w:lang w:val="en-AU"/>
              </w:rPr>
            </w:pPr>
            <w:r w:rsidRPr="008B029F">
              <w:rPr>
                <w:lang w:val="en-AU"/>
              </w:rPr>
              <w:t>Hypoalbuminemia</w:t>
            </w:r>
          </w:p>
        </w:tc>
        <w:tc>
          <w:tcPr>
            <w:tcW w:w="1565" w:type="pct"/>
            <w:shd w:val="clear" w:color="auto" w:fill="auto"/>
          </w:tcPr>
          <w:p w14:paraId="0871F593" w14:textId="77777777" w:rsidR="007C6445" w:rsidRPr="008B029F" w:rsidRDefault="007C6445" w:rsidP="00D83CBF">
            <w:pPr>
              <w:pStyle w:val="TableLeft"/>
              <w:jc w:val="center"/>
              <w:rPr>
                <w:lang w:val="en-AU"/>
              </w:rPr>
            </w:pPr>
            <w:r w:rsidRPr="008B029F">
              <w:rPr>
                <w:lang w:val="en-AU"/>
              </w:rPr>
              <w:t>3.6</w:t>
            </w:r>
          </w:p>
        </w:tc>
        <w:tc>
          <w:tcPr>
            <w:tcW w:w="1668" w:type="pct"/>
            <w:shd w:val="clear" w:color="auto" w:fill="auto"/>
          </w:tcPr>
          <w:p w14:paraId="16E6AF85" w14:textId="77777777" w:rsidR="007C6445" w:rsidRPr="008B029F" w:rsidRDefault="007C6445" w:rsidP="00D83CBF">
            <w:pPr>
              <w:pStyle w:val="TableLeft"/>
              <w:jc w:val="center"/>
              <w:rPr>
                <w:lang w:val="en-AU"/>
              </w:rPr>
            </w:pPr>
            <w:r w:rsidRPr="008B029F">
              <w:rPr>
                <w:lang w:val="en-AU"/>
              </w:rPr>
              <w:t>2.9</w:t>
            </w:r>
          </w:p>
        </w:tc>
      </w:tr>
      <w:tr w:rsidR="007C6445" w:rsidRPr="008B029F" w14:paraId="2CF600BF" w14:textId="77777777" w:rsidTr="00D83CBF">
        <w:tc>
          <w:tcPr>
            <w:tcW w:w="1767" w:type="pct"/>
            <w:shd w:val="clear" w:color="auto" w:fill="auto"/>
          </w:tcPr>
          <w:p w14:paraId="282FED94" w14:textId="77777777" w:rsidR="007C6445" w:rsidRPr="008B029F" w:rsidRDefault="007C6445" w:rsidP="00D83CBF">
            <w:pPr>
              <w:pStyle w:val="TableLeft"/>
              <w:rPr>
                <w:lang w:val="en-AU"/>
              </w:rPr>
            </w:pPr>
            <w:r w:rsidRPr="008B029F">
              <w:rPr>
                <w:lang w:val="en-AU"/>
              </w:rPr>
              <w:t>Hyperkalaemia</w:t>
            </w:r>
          </w:p>
        </w:tc>
        <w:tc>
          <w:tcPr>
            <w:tcW w:w="1565" w:type="pct"/>
            <w:shd w:val="clear" w:color="auto" w:fill="auto"/>
          </w:tcPr>
          <w:p w14:paraId="51B9FD8A" w14:textId="77777777" w:rsidR="007C6445" w:rsidRPr="008B029F" w:rsidRDefault="007C6445" w:rsidP="00D83CBF">
            <w:pPr>
              <w:pStyle w:val="TableLeft"/>
              <w:jc w:val="center"/>
              <w:rPr>
                <w:lang w:val="en-AU"/>
              </w:rPr>
            </w:pPr>
            <w:r w:rsidRPr="008B029F">
              <w:rPr>
                <w:lang w:val="en-AU"/>
              </w:rPr>
              <w:t>2.1</w:t>
            </w:r>
          </w:p>
        </w:tc>
        <w:tc>
          <w:tcPr>
            <w:tcW w:w="1668" w:type="pct"/>
            <w:shd w:val="clear" w:color="auto" w:fill="auto"/>
          </w:tcPr>
          <w:p w14:paraId="67406881" w14:textId="77777777" w:rsidR="007C6445" w:rsidRPr="008B029F" w:rsidRDefault="007C6445" w:rsidP="00D83CBF">
            <w:pPr>
              <w:pStyle w:val="TableLeft"/>
              <w:jc w:val="center"/>
              <w:rPr>
                <w:lang w:val="en-AU"/>
              </w:rPr>
            </w:pPr>
            <w:r w:rsidRPr="008B029F">
              <w:rPr>
                <w:lang w:val="en-AU"/>
              </w:rPr>
              <w:t>2.1</w:t>
            </w:r>
          </w:p>
        </w:tc>
      </w:tr>
      <w:tr w:rsidR="007C6445" w:rsidRPr="008B029F" w14:paraId="5418BEF7" w14:textId="77777777" w:rsidTr="00D83CBF">
        <w:tc>
          <w:tcPr>
            <w:tcW w:w="1767" w:type="pct"/>
            <w:shd w:val="clear" w:color="auto" w:fill="auto"/>
          </w:tcPr>
          <w:p w14:paraId="748757BB" w14:textId="77777777" w:rsidR="007C6445" w:rsidRPr="008B029F" w:rsidRDefault="007C6445" w:rsidP="00D83CBF">
            <w:pPr>
              <w:pStyle w:val="TableLeft"/>
              <w:rPr>
                <w:lang w:val="en-AU"/>
              </w:rPr>
            </w:pPr>
            <w:r w:rsidRPr="008B029F">
              <w:rPr>
                <w:lang w:val="en-AU"/>
              </w:rPr>
              <w:t>Increased Alkaline Phosphatase</w:t>
            </w:r>
          </w:p>
        </w:tc>
        <w:tc>
          <w:tcPr>
            <w:tcW w:w="1565" w:type="pct"/>
            <w:shd w:val="clear" w:color="auto" w:fill="auto"/>
          </w:tcPr>
          <w:p w14:paraId="073D918E" w14:textId="77777777" w:rsidR="007C6445" w:rsidRPr="008B029F" w:rsidRDefault="007C6445" w:rsidP="00D83CBF">
            <w:pPr>
              <w:pStyle w:val="TableLeft"/>
              <w:jc w:val="center"/>
              <w:rPr>
                <w:lang w:val="en-AU"/>
              </w:rPr>
            </w:pPr>
            <w:r w:rsidRPr="008B029F">
              <w:rPr>
                <w:lang w:val="en-AU"/>
              </w:rPr>
              <w:t>1.8</w:t>
            </w:r>
          </w:p>
        </w:tc>
        <w:tc>
          <w:tcPr>
            <w:tcW w:w="1668" w:type="pct"/>
            <w:shd w:val="clear" w:color="auto" w:fill="auto"/>
          </w:tcPr>
          <w:p w14:paraId="6005A85C" w14:textId="77777777" w:rsidR="007C6445" w:rsidRPr="008B029F" w:rsidRDefault="007C6445" w:rsidP="00D83CBF">
            <w:pPr>
              <w:pStyle w:val="TableLeft"/>
              <w:jc w:val="center"/>
              <w:rPr>
                <w:lang w:val="en-AU"/>
              </w:rPr>
            </w:pPr>
            <w:r w:rsidRPr="008B029F">
              <w:rPr>
                <w:lang w:val="en-AU"/>
              </w:rPr>
              <w:t>3.8</w:t>
            </w:r>
          </w:p>
        </w:tc>
      </w:tr>
      <w:tr w:rsidR="007C6445" w:rsidRPr="008B029F" w14:paraId="567D5784" w14:textId="77777777" w:rsidTr="00D83CBF">
        <w:tc>
          <w:tcPr>
            <w:tcW w:w="1767" w:type="pct"/>
            <w:shd w:val="clear" w:color="auto" w:fill="auto"/>
          </w:tcPr>
          <w:p w14:paraId="5462F900" w14:textId="77777777" w:rsidR="007C6445" w:rsidRPr="008B029F" w:rsidRDefault="007C6445" w:rsidP="00D83CBF">
            <w:pPr>
              <w:pStyle w:val="TableLeft"/>
              <w:rPr>
                <w:lang w:val="en-AU"/>
              </w:rPr>
            </w:pPr>
            <w:r w:rsidRPr="008B029F">
              <w:rPr>
                <w:lang w:val="en-AU"/>
              </w:rPr>
              <w:t>Hypocalcaemia</w:t>
            </w:r>
          </w:p>
        </w:tc>
        <w:tc>
          <w:tcPr>
            <w:tcW w:w="1565" w:type="pct"/>
            <w:shd w:val="clear" w:color="auto" w:fill="auto"/>
          </w:tcPr>
          <w:p w14:paraId="73F744B9" w14:textId="77777777" w:rsidR="007C6445" w:rsidRPr="008B029F" w:rsidRDefault="007C6445" w:rsidP="00D83CBF">
            <w:pPr>
              <w:pStyle w:val="TableLeft"/>
              <w:jc w:val="center"/>
              <w:rPr>
                <w:lang w:val="en-AU"/>
              </w:rPr>
            </w:pPr>
            <w:r w:rsidRPr="008B029F">
              <w:rPr>
                <w:lang w:val="en-AU"/>
              </w:rPr>
              <w:t>1.8</w:t>
            </w:r>
          </w:p>
        </w:tc>
        <w:tc>
          <w:tcPr>
            <w:tcW w:w="1668" w:type="pct"/>
            <w:shd w:val="clear" w:color="auto" w:fill="auto"/>
          </w:tcPr>
          <w:p w14:paraId="7014513C" w14:textId="77777777" w:rsidR="007C6445" w:rsidRPr="008B029F" w:rsidRDefault="007C6445" w:rsidP="00D83CBF">
            <w:pPr>
              <w:pStyle w:val="TableLeft"/>
              <w:jc w:val="center"/>
              <w:rPr>
                <w:lang w:val="en-AU"/>
              </w:rPr>
            </w:pPr>
            <w:r w:rsidRPr="008B029F">
              <w:rPr>
                <w:lang w:val="en-AU"/>
              </w:rPr>
              <w:t>2.4</w:t>
            </w:r>
          </w:p>
        </w:tc>
      </w:tr>
      <w:tr w:rsidR="007C6445" w:rsidRPr="008B029F" w14:paraId="2BCBE42C" w14:textId="77777777" w:rsidTr="00D83CBF">
        <w:tc>
          <w:tcPr>
            <w:tcW w:w="5000" w:type="pct"/>
            <w:gridSpan w:val="3"/>
            <w:tcBorders>
              <w:bottom w:val="single" w:sz="4" w:space="0" w:color="auto"/>
            </w:tcBorders>
            <w:shd w:val="clear" w:color="auto" w:fill="auto"/>
          </w:tcPr>
          <w:p w14:paraId="21935260" w14:textId="069F1813" w:rsidR="007C6445" w:rsidRPr="008B029F" w:rsidRDefault="007C6445" w:rsidP="00D83CBF">
            <w:pPr>
              <w:pStyle w:val="TableLeft"/>
              <w:rPr>
                <w:lang w:val="en-AU"/>
              </w:rPr>
            </w:pPr>
            <w:r w:rsidRPr="008B029F">
              <w:rPr>
                <w:b/>
                <w:bCs w:val="0"/>
                <w:szCs w:val="20"/>
                <w:lang w:val="en-AU"/>
              </w:rPr>
              <w:t>Haematology</w:t>
            </w:r>
          </w:p>
        </w:tc>
      </w:tr>
      <w:tr w:rsidR="007C6445" w:rsidRPr="008B029F" w14:paraId="635595FE" w14:textId="77777777" w:rsidTr="00D83CBF">
        <w:trPr>
          <w:trHeight w:val="187"/>
        </w:trPr>
        <w:tc>
          <w:tcPr>
            <w:tcW w:w="1767" w:type="pct"/>
            <w:shd w:val="clear" w:color="auto" w:fill="auto"/>
          </w:tcPr>
          <w:p w14:paraId="47FD47C5" w14:textId="77777777" w:rsidR="007C6445" w:rsidRPr="008B029F" w:rsidRDefault="007C6445" w:rsidP="00D83CBF">
            <w:pPr>
              <w:pStyle w:val="TableLeft"/>
              <w:rPr>
                <w:lang w:val="en-AU"/>
              </w:rPr>
            </w:pPr>
            <w:r w:rsidRPr="008B029F">
              <w:rPr>
                <w:lang w:val="en-AU"/>
              </w:rPr>
              <w:t xml:space="preserve">Neutropenia </w:t>
            </w:r>
          </w:p>
        </w:tc>
        <w:tc>
          <w:tcPr>
            <w:tcW w:w="1565" w:type="pct"/>
            <w:shd w:val="clear" w:color="auto" w:fill="auto"/>
          </w:tcPr>
          <w:p w14:paraId="5AB73DF6" w14:textId="77777777" w:rsidR="007C6445" w:rsidRPr="008B029F" w:rsidRDefault="007C6445" w:rsidP="00D83CBF">
            <w:pPr>
              <w:pStyle w:val="TableLeft"/>
              <w:jc w:val="center"/>
              <w:rPr>
                <w:lang w:val="en-AU"/>
              </w:rPr>
            </w:pPr>
            <w:r w:rsidRPr="008B029F">
              <w:rPr>
                <w:lang w:val="en-AU"/>
              </w:rPr>
              <w:t>48</w:t>
            </w:r>
          </w:p>
        </w:tc>
        <w:tc>
          <w:tcPr>
            <w:tcW w:w="1668" w:type="pct"/>
            <w:shd w:val="clear" w:color="auto" w:fill="auto"/>
          </w:tcPr>
          <w:p w14:paraId="42D0E7B3" w14:textId="77777777" w:rsidR="007C6445" w:rsidRPr="008B029F" w:rsidRDefault="007C6445" w:rsidP="00D83CBF">
            <w:pPr>
              <w:pStyle w:val="TableLeft"/>
              <w:jc w:val="center"/>
              <w:rPr>
                <w:lang w:val="en-AU"/>
              </w:rPr>
            </w:pPr>
            <w:r w:rsidRPr="008B029F">
              <w:rPr>
                <w:lang w:val="en-AU"/>
              </w:rPr>
              <w:t>49</w:t>
            </w:r>
          </w:p>
        </w:tc>
      </w:tr>
      <w:tr w:rsidR="007C6445" w:rsidRPr="008B029F" w14:paraId="3E5A94B7" w14:textId="77777777" w:rsidTr="00D83CBF">
        <w:trPr>
          <w:trHeight w:val="187"/>
        </w:trPr>
        <w:tc>
          <w:tcPr>
            <w:tcW w:w="1767" w:type="pct"/>
            <w:shd w:val="clear" w:color="auto" w:fill="auto"/>
          </w:tcPr>
          <w:p w14:paraId="6568148D" w14:textId="77777777" w:rsidR="007C6445" w:rsidRPr="008B029F" w:rsidRDefault="007C6445" w:rsidP="00D83CBF">
            <w:pPr>
              <w:pStyle w:val="TableLeft"/>
              <w:rPr>
                <w:lang w:val="en-AU"/>
              </w:rPr>
            </w:pPr>
            <w:r w:rsidRPr="008B029F">
              <w:rPr>
                <w:lang w:val="en-AU"/>
              </w:rPr>
              <w:t>Anaemia</w:t>
            </w:r>
          </w:p>
        </w:tc>
        <w:tc>
          <w:tcPr>
            <w:tcW w:w="1565" w:type="pct"/>
            <w:shd w:val="clear" w:color="auto" w:fill="auto"/>
          </w:tcPr>
          <w:p w14:paraId="64E958E9" w14:textId="77777777" w:rsidR="007C6445" w:rsidRPr="008B029F" w:rsidRDefault="007C6445" w:rsidP="00D83CBF">
            <w:pPr>
              <w:pStyle w:val="TableLeft"/>
              <w:jc w:val="center"/>
              <w:rPr>
                <w:lang w:val="en-AU"/>
              </w:rPr>
            </w:pPr>
            <w:r w:rsidRPr="008B029F">
              <w:rPr>
                <w:lang w:val="en-AU"/>
              </w:rPr>
              <w:t>31</w:t>
            </w:r>
          </w:p>
        </w:tc>
        <w:tc>
          <w:tcPr>
            <w:tcW w:w="1668" w:type="pct"/>
            <w:shd w:val="clear" w:color="auto" w:fill="auto"/>
          </w:tcPr>
          <w:p w14:paraId="6704CDDD" w14:textId="77777777" w:rsidR="007C6445" w:rsidRPr="008B029F" w:rsidRDefault="007C6445" w:rsidP="00D83CBF">
            <w:pPr>
              <w:pStyle w:val="TableLeft"/>
              <w:jc w:val="center"/>
              <w:rPr>
                <w:lang w:val="en-AU"/>
              </w:rPr>
            </w:pPr>
            <w:r w:rsidRPr="008B029F">
              <w:rPr>
                <w:lang w:val="en-AU"/>
              </w:rPr>
              <w:t>28</w:t>
            </w:r>
          </w:p>
        </w:tc>
      </w:tr>
      <w:tr w:rsidR="007C6445" w:rsidRPr="008B029F" w14:paraId="6C1E2618" w14:textId="77777777" w:rsidTr="00D83CBF">
        <w:trPr>
          <w:trHeight w:val="187"/>
        </w:trPr>
        <w:tc>
          <w:tcPr>
            <w:tcW w:w="1767" w:type="pct"/>
            <w:shd w:val="clear" w:color="auto" w:fill="auto"/>
          </w:tcPr>
          <w:p w14:paraId="34080CDE" w14:textId="77777777" w:rsidR="007C6445" w:rsidRPr="008B029F" w:rsidRDefault="007C6445" w:rsidP="00D83CBF">
            <w:pPr>
              <w:pStyle w:val="TableLeft"/>
              <w:rPr>
                <w:lang w:val="en-AU"/>
              </w:rPr>
            </w:pPr>
            <w:r w:rsidRPr="008B029F">
              <w:rPr>
                <w:lang w:val="en-AU"/>
              </w:rPr>
              <w:t>Leukopenia</w:t>
            </w:r>
          </w:p>
        </w:tc>
        <w:tc>
          <w:tcPr>
            <w:tcW w:w="1565" w:type="pct"/>
            <w:shd w:val="clear" w:color="auto" w:fill="auto"/>
          </w:tcPr>
          <w:p w14:paraId="33E27911" w14:textId="77777777" w:rsidR="007C6445" w:rsidRPr="008B029F" w:rsidRDefault="007C6445" w:rsidP="00D83CBF">
            <w:pPr>
              <w:pStyle w:val="TableLeft"/>
              <w:jc w:val="center"/>
              <w:rPr>
                <w:lang w:val="en-AU"/>
              </w:rPr>
            </w:pPr>
            <w:r w:rsidRPr="008B029F">
              <w:rPr>
                <w:lang w:val="en-AU"/>
              </w:rPr>
              <w:t>28</w:t>
            </w:r>
          </w:p>
        </w:tc>
        <w:tc>
          <w:tcPr>
            <w:tcW w:w="1668" w:type="pct"/>
            <w:shd w:val="clear" w:color="auto" w:fill="auto"/>
          </w:tcPr>
          <w:p w14:paraId="124B418B" w14:textId="77777777" w:rsidR="007C6445" w:rsidRPr="008B029F" w:rsidRDefault="007C6445" w:rsidP="00D83CBF">
            <w:pPr>
              <w:pStyle w:val="TableLeft"/>
              <w:jc w:val="center"/>
              <w:rPr>
                <w:lang w:val="en-AU"/>
              </w:rPr>
            </w:pPr>
            <w:r w:rsidRPr="008B029F">
              <w:rPr>
                <w:lang w:val="en-AU"/>
              </w:rPr>
              <w:t>28</w:t>
            </w:r>
          </w:p>
        </w:tc>
      </w:tr>
      <w:tr w:rsidR="007C6445" w:rsidRPr="008B029F" w14:paraId="4B23B569" w14:textId="77777777" w:rsidTr="00D83CBF">
        <w:trPr>
          <w:trHeight w:val="187"/>
        </w:trPr>
        <w:tc>
          <w:tcPr>
            <w:tcW w:w="1767" w:type="pct"/>
            <w:shd w:val="clear" w:color="auto" w:fill="auto"/>
          </w:tcPr>
          <w:p w14:paraId="5BA85430" w14:textId="77777777" w:rsidR="007C6445" w:rsidRPr="008B029F" w:rsidRDefault="007C6445" w:rsidP="00D83CBF">
            <w:pPr>
              <w:pStyle w:val="TableLeft"/>
              <w:rPr>
                <w:lang w:val="en-AU"/>
              </w:rPr>
            </w:pPr>
            <w:r w:rsidRPr="008B029F">
              <w:rPr>
                <w:lang w:val="en-AU"/>
              </w:rPr>
              <w:t>Lymphopenia</w:t>
            </w:r>
          </w:p>
        </w:tc>
        <w:tc>
          <w:tcPr>
            <w:tcW w:w="1565" w:type="pct"/>
            <w:shd w:val="clear" w:color="auto" w:fill="auto"/>
          </w:tcPr>
          <w:p w14:paraId="63B29DD0" w14:textId="77777777" w:rsidR="007C6445" w:rsidRPr="008B029F" w:rsidRDefault="007C6445" w:rsidP="00D83CBF">
            <w:pPr>
              <w:pStyle w:val="TableLeft"/>
              <w:jc w:val="center"/>
              <w:rPr>
                <w:lang w:val="en-AU"/>
              </w:rPr>
            </w:pPr>
            <w:r w:rsidRPr="008B029F">
              <w:rPr>
                <w:lang w:val="en-AU"/>
              </w:rPr>
              <w:t>23</w:t>
            </w:r>
          </w:p>
        </w:tc>
        <w:tc>
          <w:tcPr>
            <w:tcW w:w="1668" w:type="pct"/>
            <w:shd w:val="clear" w:color="auto" w:fill="auto"/>
          </w:tcPr>
          <w:p w14:paraId="565D0F60" w14:textId="77777777" w:rsidR="007C6445" w:rsidRPr="008B029F" w:rsidRDefault="007C6445" w:rsidP="00D83CBF">
            <w:pPr>
              <w:pStyle w:val="TableLeft"/>
              <w:jc w:val="center"/>
              <w:rPr>
                <w:lang w:val="en-AU"/>
              </w:rPr>
            </w:pPr>
            <w:r w:rsidRPr="008B029F">
              <w:rPr>
                <w:lang w:val="en-AU"/>
              </w:rPr>
              <w:t>15</w:t>
            </w:r>
          </w:p>
        </w:tc>
      </w:tr>
      <w:tr w:rsidR="007C6445" w:rsidRPr="008B029F" w14:paraId="46495425" w14:textId="77777777" w:rsidTr="00D83CBF">
        <w:trPr>
          <w:trHeight w:val="187"/>
        </w:trPr>
        <w:tc>
          <w:tcPr>
            <w:tcW w:w="1767" w:type="pct"/>
            <w:shd w:val="clear" w:color="auto" w:fill="auto"/>
          </w:tcPr>
          <w:p w14:paraId="33F34753" w14:textId="77777777" w:rsidR="007C6445" w:rsidRPr="008B029F" w:rsidRDefault="007C6445" w:rsidP="00D83CBF">
            <w:pPr>
              <w:pStyle w:val="TableLeft"/>
              <w:rPr>
                <w:lang w:val="en-AU"/>
              </w:rPr>
            </w:pPr>
            <w:r w:rsidRPr="008B029F">
              <w:rPr>
                <w:lang w:val="en-AU"/>
              </w:rPr>
              <w:t>Thrombocytopenia</w:t>
            </w:r>
          </w:p>
        </w:tc>
        <w:tc>
          <w:tcPr>
            <w:tcW w:w="1565" w:type="pct"/>
            <w:shd w:val="clear" w:color="auto" w:fill="auto"/>
          </w:tcPr>
          <w:p w14:paraId="17040E40" w14:textId="77777777" w:rsidR="007C6445" w:rsidRPr="008B029F" w:rsidRDefault="007C6445" w:rsidP="00D83CBF">
            <w:pPr>
              <w:pStyle w:val="TableLeft"/>
              <w:jc w:val="center"/>
              <w:rPr>
                <w:lang w:val="en-AU"/>
              </w:rPr>
            </w:pPr>
            <w:r w:rsidRPr="008B029F">
              <w:rPr>
                <w:lang w:val="en-AU"/>
              </w:rPr>
              <w:t>18</w:t>
            </w:r>
          </w:p>
        </w:tc>
        <w:tc>
          <w:tcPr>
            <w:tcW w:w="1668" w:type="pct"/>
            <w:shd w:val="clear" w:color="auto" w:fill="auto"/>
          </w:tcPr>
          <w:p w14:paraId="11A37196" w14:textId="77777777" w:rsidR="007C6445" w:rsidRPr="008B029F" w:rsidRDefault="007C6445" w:rsidP="00D83CBF">
            <w:pPr>
              <w:pStyle w:val="TableLeft"/>
              <w:jc w:val="center"/>
              <w:rPr>
                <w:lang w:val="en-AU"/>
              </w:rPr>
            </w:pPr>
            <w:r w:rsidRPr="008B029F">
              <w:rPr>
                <w:lang w:val="en-AU"/>
              </w:rPr>
              <w:t>18</w:t>
            </w:r>
          </w:p>
        </w:tc>
      </w:tr>
    </w:tbl>
    <w:p w14:paraId="56FA5E3B" w14:textId="42261FDB" w:rsidR="007C6445" w:rsidRPr="008B029F" w:rsidRDefault="007C6445" w:rsidP="00B055A4">
      <w:pPr>
        <w:pStyle w:val="TableFootnoteLetter"/>
        <w:numPr>
          <w:ilvl w:val="0"/>
          <w:numId w:val="38"/>
        </w:numPr>
        <w:rPr>
          <w:rFonts w:eastAsia="SimSun"/>
          <w:lang w:val="en-AU"/>
        </w:rPr>
      </w:pPr>
      <w:r w:rsidRPr="008B029F">
        <w:rPr>
          <w:rFonts w:eastAsia="SimSun"/>
          <w:lang w:val="en-AU"/>
        </w:rPr>
        <w:t>The frequency cut off is based on any grade change from baseline</w:t>
      </w:r>
    </w:p>
    <w:p w14:paraId="6A824638" w14:textId="4BA0F31E" w:rsidR="001756BC" w:rsidRPr="008B029F" w:rsidRDefault="007C6445" w:rsidP="00B055A4">
      <w:pPr>
        <w:pStyle w:val="TableFootnoteLetter"/>
        <w:rPr>
          <w:lang w:val="en-AU"/>
        </w:rPr>
      </w:pPr>
      <w:r w:rsidRPr="008B029F">
        <w:rPr>
          <w:rFonts w:eastAsia="SimSun"/>
          <w:lang w:val="en-AU"/>
        </w:rPr>
        <w:t>Graded according to NCI CTCAE version 5.0. Each test incidence is based on the number of patients who had both baseline and at least one on-study laboratory measurement available: IMFINZI + Gem/Cis (range: 312 to 335) and Placebo + Gem/Cis (range: 319 to 341).</w:t>
      </w:r>
    </w:p>
    <w:p w14:paraId="42AC4323" w14:textId="796FD223" w:rsidR="001756BC" w:rsidRPr="008B029F" w:rsidRDefault="001756BC" w:rsidP="00B055A4">
      <w:pPr>
        <w:pStyle w:val="Paragraph"/>
        <w:rPr>
          <w:lang w:val="en-AU"/>
        </w:rPr>
      </w:pPr>
    </w:p>
    <w:p w14:paraId="74E33355" w14:textId="30EA36CB" w:rsidR="00AF2CB8" w:rsidRPr="008B029F" w:rsidRDefault="00AF2CB8" w:rsidP="00AF2CB8">
      <w:pPr>
        <w:pStyle w:val="Heading4Unnumbered"/>
        <w:rPr>
          <w:lang w:val="en-AU"/>
        </w:rPr>
      </w:pPr>
      <w:r w:rsidRPr="008B029F">
        <w:rPr>
          <w:lang w:val="en-AU"/>
        </w:rPr>
        <w:t xml:space="preserve">Hepatocellular carcinoma (HCC) </w:t>
      </w:r>
    </w:p>
    <w:p w14:paraId="4B3538B1" w14:textId="77777777" w:rsidR="00AF2CB8" w:rsidRPr="008B029F" w:rsidRDefault="00AF2CB8" w:rsidP="00AF2CB8">
      <w:pPr>
        <w:pStyle w:val="Heading5unnumbered"/>
        <w:rPr>
          <w:lang w:val="en-AU"/>
        </w:rPr>
      </w:pPr>
      <w:r w:rsidRPr="008B029F">
        <w:rPr>
          <w:lang w:val="en-AU"/>
        </w:rPr>
        <w:t>HIMALAYA study and Study 22</w:t>
      </w:r>
    </w:p>
    <w:p w14:paraId="53CCBF08" w14:textId="3768C955" w:rsidR="00AF2CB8" w:rsidRPr="008B029F" w:rsidRDefault="00AF2CB8" w:rsidP="00AF2CB8">
      <w:pPr>
        <w:pStyle w:val="Paragraph"/>
        <w:rPr>
          <w:lang w:val="en-AU"/>
        </w:rPr>
      </w:pPr>
      <w:r w:rsidRPr="008B029F">
        <w:rPr>
          <w:lang w:val="en-AU"/>
        </w:rPr>
        <w:t xml:space="preserve">A total of 462 patients with uHCC received STRIDE in two studies; HIMALAYA (N=388), a randomised, open-label, multicentre study and Study 22 (N=74), an open-label, multi-part, multicentre study. The patients were treated as long as clinical benefit was observed or until unacceptable toxicity. </w:t>
      </w:r>
    </w:p>
    <w:p w14:paraId="70C982D9" w14:textId="129DF7DA" w:rsidR="00AF2CB8" w:rsidRPr="008B029F" w:rsidRDefault="00AF2CB8" w:rsidP="00AF2CB8">
      <w:pPr>
        <w:pStyle w:val="Paragraph"/>
        <w:rPr>
          <w:lang w:val="en-AU"/>
        </w:rPr>
      </w:pPr>
      <w:r w:rsidRPr="008B029F">
        <w:rPr>
          <w:lang w:val="en-AU"/>
        </w:rPr>
        <w:t xml:space="preserve">The studies excluded patients with co-infection of viral hepatitis B and hepatitis C; active or prior documented GI bleeding within 12 months; ascites requiring non-pharmacologic intervention within 6 months; hepatic encephalopathy within 12 months before the start of treatment; active or prior documented autoimmune or inflammatory disorders (see </w:t>
      </w:r>
      <w:hyperlink w:anchor="_14.3_Hepatocellular_Carcinoma" w:history="1">
        <w:r w:rsidRPr="008B029F">
          <w:rPr>
            <w:lang w:val="en-AU"/>
          </w:rPr>
          <w:t xml:space="preserve">Section </w:t>
        </w:r>
        <w:r w:rsidRPr="008B029F">
          <w:rPr>
            <w:color w:val="2B579A"/>
            <w:shd w:val="clear" w:color="auto" w:fill="E6E6E6"/>
            <w:lang w:val="en-AU"/>
          </w:rPr>
          <w:fldChar w:fldCharType="begin"/>
        </w:r>
        <w:r w:rsidRPr="008B029F">
          <w:rPr>
            <w:lang w:val="en-AU"/>
          </w:rPr>
          <w:instrText xml:space="preserve"> REF _Ref121909874 \r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5.1</w:t>
        </w:r>
        <w:r w:rsidRPr="008B029F">
          <w:rPr>
            <w:color w:val="2B579A"/>
            <w:shd w:val="clear" w:color="auto" w:fill="E6E6E6"/>
            <w:lang w:val="en-AU"/>
          </w:rPr>
          <w:fldChar w:fldCharType="end"/>
        </w:r>
        <w:r w:rsidRPr="008B029F">
          <w:rPr>
            <w:lang w:val="en-AU"/>
          </w:rPr>
          <w:t xml:space="preserve"> </w:t>
        </w:r>
        <w:r w:rsidRPr="008B029F">
          <w:rPr>
            <w:color w:val="2B579A"/>
            <w:shd w:val="clear" w:color="auto" w:fill="E6E6E6"/>
            <w:lang w:val="en-AU"/>
          </w:rPr>
          <w:fldChar w:fldCharType="begin"/>
        </w:r>
        <w:r w:rsidRPr="008B029F">
          <w:rPr>
            <w:lang w:val="en-AU"/>
          </w:rPr>
          <w:instrText xml:space="preserve"> REF _Ref121909874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Pharmacodynamic properties</w:t>
        </w:r>
        <w:r w:rsidRPr="008B029F">
          <w:rPr>
            <w:color w:val="2B579A"/>
            <w:shd w:val="clear" w:color="auto" w:fill="E6E6E6"/>
            <w:lang w:val="en-AU"/>
          </w:rPr>
          <w:fldChar w:fldCharType="end"/>
        </w:r>
        <w:r w:rsidRPr="008B029F">
          <w:rPr>
            <w:lang w:val="en-AU"/>
          </w:rPr>
          <w:t xml:space="preserve"> - Clinical trials)</w:t>
        </w:r>
      </w:hyperlink>
      <w:r w:rsidRPr="008B029F">
        <w:rPr>
          <w:lang w:val="en-AU"/>
        </w:rPr>
        <w:t>.</w:t>
      </w:r>
    </w:p>
    <w:p w14:paraId="7DADC314" w14:textId="69C4BED2" w:rsidR="00AF2CB8" w:rsidRPr="008B029F" w:rsidRDefault="00AF2CB8" w:rsidP="00AF2CB8">
      <w:pPr>
        <w:pStyle w:val="Paragraph"/>
        <w:rPr>
          <w:lang w:val="en-AU"/>
        </w:rPr>
      </w:pPr>
      <w:r w:rsidRPr="008B029F">
        <w:rPr>
          <w:lang w:val="en-AU"/>
        </w:rPr>
        <w:t xml:space="preserve">In the two studies combined (HCC pool), the median duration of exposure to STRIDE was 20 weeks (range: 2 to 185). STRIDE was discontinued due to adverse events in 63 (13.6%) patients. The most common adverse events leading to treatment discontinuation were pneumonitis, colitis, diarrhoea and AST increased. Serious adverse events occurred in 40.9% of patients. The most </w:t>
      </w:r>
      <w:r w:rsidRPr="008B029F">
        <w:rPr>
          <w:lang w:val="en-AU"/>
        </w:rPr>
        <w:lastRenderedPageBreak/>
        <w:t>frequent serious adverse events reported in at least ≥2% of patients were pneumonitis, colitis and diarrhoea. The most common adverse events (occurring in ≥20% of patients) were rash, pruritus and diarrhoea.</w:t>
      </w:r>
      <w:r w:rsidRPr="008B029F">
        <w:rPr>
          <w:vertAlign w:val="superscript"/>
          <w:lang w:val="en-AU"/>
        </w:rPr>
        <w:t xml:space="preserve"> </w:t>
      </w:r>
    </w:p>
    <w:p w14:paraId="0E21C709" w14:textId="3BD97979" w:rsidR="00AF2CB8" w:rsidRPr="008B029F" w:rsidRDefault="00AF2CB8" w:rsidP="00AF2CB8">
      <w:pPr>
        <w:pStyle w:val="Paragraph"/>
        <w:rPr>
          <w:lang w:val="en-AU"/>
        </w:rPr>
      </w:pPr>
      <w:r w:rsidRPr="008B029F">
        <w:rPr>
          <w:color w:val="2B579A"/>
          <w:shd w:val="clear" w:color="auto" w:fill="E6E6E6"/>
          <w:lang w:val="en-AU"/>
        </w:rPr>
        <w:fldChar w:fldCharType="begin"/>
      </w:r>
      <w:r w:rsidRPr="008B029F">
        <w:rPr>
          <w:lang w:val="en-AU"/>
        </w:rPr>
        <w:instrText xml:space="preserve"> REF _Ref124778621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12</w:t>
      </w:r>
      <w:r w:rsidRPr="008B029F">
        <w:rPr>
          <w:color w:val="2B579A"/>
          <w:shd w:val="clear" w:color="auto" w:fill="E6E6E6"/>
          <w:lang w:val="en-AU"/>
        </w:rPr>
        <w:fldChar w:fldCharType="end"/>
      </w:r>
      <w:r w:rsidRPr="008B029F">
        <w:rPr>
          <w:lang w:val="en-AU"/>
        </w:rPr>
        <w:t xml:space="preserve"> summarises the adverse events that occurred in patients treated with STRIDE in the HIMALAYA study.</w:t>
      </w:r>
    </w:p>
    <w:p w14:paraId="40DD65FB" w14:textId="2115E21D" w:rsidR="00AF2CB8" w:rsidRPr="008B029F" w:rsidRDefault="00AF2CB8" w:rsidP="00AF2CB8">
      <w:pPr>
        <w:pStyle w:val="TableTitle"/>
        <w:rPr>
          <w:lang w:val="en-AU"/>
        </w:rPr>
      </w:pPr>
      <w:bookmarkStart w:id="30" w:name="_Ref124778621"/>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12</w:t>
      </w:r>
      <w:r w:rsidRPr="008B029F">
        <w:rPr>
          <w:color w:val="2B579A"/>
          <w:shd w:val="clear" w:color="auto" w:fill="E6E6E6"/>
          <w:lang w:val="en-AU"/>
        </w:rPr>
        <w:fldChar w:fldCharType="end"/>
      </w:r>
      <w:bookmarkEnd w:id="30"/>
      <w:r w:rsidRPr="008B029F">
        <w:rPr>
          <w:lang w:val="en-AU"/>
        </w:rPr>
        <w:tab/>
        <w:t>Adverse events occurring in ≥10% of patients in the STRIDE treatment arm (regardless of causality) in the HIMALAYA study</w:t>
      </w:r>
    </w:p>
    <w:tbl>
      <w:tblPr>
        <w:tblStyle w:val="TableGrid"/>
        <w:tblW w:w="5005" w:type="pct"/>
        <w:tblInd w:w="-5" w:type="dxa"/>
        <w:tblLook w:val="04A0" w:firstRow="1" w:lastRow="0" w:firstColumn="1" w:lastColumn="0" w:noHBand="0" w:noVBand="1"/>
      </w:tblPr>
      <w:tblGrid>
        <w:gridCol w:w="2552"/>
        <w:gridCol w:w="1843"/>
        <w:gridCol w:w="1702"/>
        <w:gridCol w:w="1901"/>
        <w:gridCol w:w="1640"/>
      </w:tblGrid>
      <w:tr w:rsidR="00AF2CB8" w:rsidRPr="008B029F" w14:paraId="7C5D673E" w14:textId="77777777" w:rsidTr="009773EE">
        <w:trPr>
          <w:tblHeader/>
        </w:trPr>
        <w:tc>
          <w:tcPr>
            <w:tcW w:w="1324" w:type="pct"/>
            <w:vMerge w:val="restart"/>
            <w:vAlign w:val="center"/>
          </w:tcPr>
          <w:p w14:paraId="089E337E" w14:textId="5F902D21" w:rsidR="00AF2CB8" w:rsidRPr="008B029F" w:rsidRDefault="00AF2CB8">
            <w:pPr>
              <w:pStyle w:val="TableHead"/>
              <w:tabs>
                <w:tab w:val="left" w:pos="285"/>
              </w:tabs>
              <w:jc w:val="left"/>
              <w:rPr>
                <w:lang w:val="en-AU" w:eastAsia="en-US"/>
              </w:rPr>
            </w:pPr>
            <w:r w:rsidRPr="008B029F">
              <w:rPr>
                <w:lang w:val="en-AU" w:eastAsia="en-US"/>
              </w:rPr>
              <w:t>Adverse events</w:t>
            </w:r>
          </w:p>
        </w:tc>
        <w:tc>
          <w:tcPr>
            <w:tcW w:w="1839" w:type="pct"/>
            <w:gridSpan w:val="2"/>
          </w:tcPr>
          <w:p w14:paraId="382A0C11" w14:textId="77777777" w:rsidR="00AF2CB8" w:rsidRPr="008B029F" w:rsidRDefault="00AF2CB8">
            <w:pPr>
              <w:pStyle w:val="TableHead"/>
              <w:rPr>
                <w:lang w:val="en-AU" w:eastAsia="en-US"/>
              </w:rPr>
            </w:pPr>
            <w:r w:rsidRPr="008B029F">
              <w:rPr>
                <w:lang w:val="en-AU" w:eastAsia="en-US"/>
              </w:rPr>
              <w:t>STRIDE</w:t>
            </w:r>
          </w:p>
          <w:p w14:paraId="401DB0DB" w14:textId="77777777" w:rsidR="00AF2CB8" w:rsidRPr="008B029F" w:rsidRDefault="00AF2CB8">
            <w:pPr>
              <w:pStyle w:val="TableHead"/>
              <w:rPr>
                <w:lang w:val="en-AU" w:eastAsia="en-US"/>
              </w:rPr>
            </w:pPr>
            <w:r w:rsidRPr="008B029F">
              <w:rPr>
                <w:lang w:val="en-AU" w:eastAsia="en-US"/>
              </w:rPr>
              <w:t>(N=388)</w:t>
            </w:r>
          </w:p>
        </w:tc>
        <w:tc>
          <w:tcPr>
            <w:tcW w:w="1838" w:type="pct"/>
            <w:gridSpan w:val="2"/>
          </w:tcPr>
          <w:p w14:paraId="4E16A2BD" w14:textId="77777777" w:rsidR="00AF2CB8" w:rsidRPr="008B029F" w:rsidRDefault="00AF2CB8">
            <w:pPr>
              <w:pStyle w:val="TableHead"/>
              <w:rPr>
                <w:lang w:val="en-AU" w:eastAsia="en-US"/>
              </w:rPr>
            </w:pPr>
            <w:r w:rsidRPr="008B029F">
              <w:rPr>
                <w:lang w:val="en-AU" w:eastAsia="en-US"/>
              </w:rPr>
              <w:t>Sorafenib</w:t>
            </w:r>
          </w:p>
          <w:p w14:paraId="556E1D0D" w14:textId="77777777" w:rsidR="00AF2CB8" w:rsidRPr="008B029F" w:rsidRDefault="00AF2CB8">
            <w:pPr>
              <w:pStyle w:val="TableHead"/>
              <w:rPr>
                <w:lang w:val="en-AU" w:eastAsia="en-US"/>
              </w:rPr>
            </w:pPr>
            <w:r w:rsidRPr="008B029F">
              <w:rPr>
                <w:lang w:val="en-AU" w:eastAsia="en-US"/>
              </w:rPr>
              <w:t>(N=374)</w:t>
            </w:r>
          </w:p>
        </w:tc>
      </w:tr>
      <w:tr w:rsidR="00AF2CB8" w:rsidRPr="008B029F" w14:paraId="5EAB165E" w14:textId="77777777" w:rsidTr="009773EE">
        <w:trPr>
          <w:tblHeader/>
        </w:trPr>
        <w:tc>
          <w:tcPr>
            <w:tcW w:w="1324" w:type="pct"/>
            <w:vMerge/>
            <w:vAlign w:val="center"/>
          </w:tcPr>
          <w:p w14:paraId="264EA877" w14:textId="77777777" w:rsidR="00AF2CB8" w:rsidRPr="008B029F" w:rsidRDefault="00AF2CB8">
            <w:pPr>
              <w:pStyle w:val="TableHead"/>
              <w:tabs>
                <w:tab w:val="left" w:pos="285"/>
              </w:tabs>
              <w:rPr>
                <w:bCs/>
                <w:lang w:val="en-AU" w:eastAsia="en-US"/>
              </w:rPr>
            </w:pPr>
          </w:p>
        </w:tc>
        <w:tc>
          <w:tcPr>
            <w:tcW w:w="956" w:type="pct"/>
          </w:tcPr>
          <w:p w14:paraId="32A1A949" w14:textId="77777777" w:rsidR="00AF2CB8" w:rsidRPr="008B029F" w:rsidRDefault="00AF2CB8">
            <w:pPr>
              <w:pStyle w:val="TableHead"/>
              <w:rPr>
                <w:bCs/>
                <w:lang w:val="en-AU" w:eastAsia="en-US"/>
              </w:rPr>
            </w:pPr>
            <w:r w:rsidRPr="008B029F">
              <w:rPr>
                <w:lang w:val="en-AU" w:eastAsia="en-US"/>
              </w:rPr>
              <w:t>All Grades (%)</w:t>
            </w:r>
          </w:p>
        </w:tc>
        <w:tc>
          <w:tcPr>
            <w:tcW w:w="882" w:type="pct"/>
          </w:tcPr>
          <w:p w14:paraId="7EE81701" w14:textId="77777777" w:rsidR="00AF2CB8" w:rsidRPr="008B029F" w:rsidRDefault="00AF2CB8">
            <w:pPr>
              <w:pStyle w:val="TableHead"/>
              <w:rPr>
                <w:bCs/>
                <w:lang w:val="en-AU" w:eastAsia="en-US"/>
              </w:rPr>
            </w:pPr>
            <w:r w:rsidRPr="008B029F">
              <w:rPr>
                <w:lang w:val="en-AU" w:eastAsia="en-US"/>
              </w:rPr>
              <w:t>Grade 3-4 (%)</w:t>
            </w:r>
          </w:p>
        </w:tc>
        <w:tc>
          <w:tcPr>
            <w:tcW w:w="986" w:type="pct"/>
          </w:tcPr>
          <w:p w14:paraId="28C77820" w14:textId="77777777" w:rsidR="00AF2CB8" w:rsidRPr="008B029F" w:rsidRDefault="00AF2CB8">
            <w:pPr>
              <w:pStyle w:val="TableHead"/>
              <w:rPr>
                <w:bCs/>
                <w:lang w:val="en-AU" w:eastAsia="en-US"/>
              </w:rPr>
            </w:pPr>
            <w:r w:rsidRPr="008B029F">
              <w:rPr>
                <w:lang w:val="en-AU" w:eastAsia="en-US"/>
              </w:rPr>
              <w:t>All Grades (%)</w:t>
            </w:r>
          </w:p>
        </w:tc>
        <w:tc>
          <w:tcPr>
            <w:tcW w:w="852" w:type="pct"/>
          </w:tcPr>
          <w:p w14:paraId="075839B9" w14:textId="77777777" w:rsidR="00AF2CB8" w:rsidRPr="008B029F" w:rsidRDefault="00AF2CB8">
            <w:pPr>
              <w:pStyle w:val="TableHead"/>
              <w:rPr>
                <w:bCs/>
                <w:lang w:val="en-AU" w:eastAsia="en-US"/>
              </w:rPr>
            </w:pPr>
            <w:r w:rsidRPr="008B029F">
              <w:rPr>
                <w:lang w:val="en-AU" w:eastAsia="en-US"/>
              </w:rPr>
              <w:t>Grade 3-4 (%)</w:t>
            </w:r>
          </w:p>
        </w:tc>
      </w:tr>
      <w:tr w:rsidR="00AF2CB8" w:rsidRPr="008B029F" w14:paraId="0318BCCA" w14:textId="77777777">
        <w:tc>
          <w:tcPr>
            <w:tcW w:w="5000" w:type="pct"/>
            <w:gridSpan w:val="5"/>
          </w:tcPr>
          <w:p w14:paraId="6485FBC6" w14:textId="77777777" w:rsidR="00AF2CB8" w:rsidRPr="008B029F" w:rsidRDefault="00AF2CB8">
            <w:pPr>
              <w:pStyle w:val="TableCenter"/>
              <w:tabs>
                <w:tab w:val="left" w:pos="285"/>
              </w:tabs>
              <w:jc w:val="left"/>
              <w:rPr>
                <w:b/>
                <w:bCs/>
                <w:lang w:val="en-AU" w:eastAsia="en-GB"/>
              </w:rPr>
            </w:pPr>
            <w:r w:rsidRPr="008B029F">
              <w:rPr>
                <w:b/>
                <w:bCs/>
                <w:lang w:val="en-AU" w:eastAsia="en-US"/>
              </w:rPr>
              <w:t>Gastrointestinal disorders</w:t>
            </w:r>
            <w:r w:rsidRPr="008B029F">
              <w:rPr>
                <w:b/>
                <w:bCs/>
                <w:lang w:val="en-AU"/>
              </w:rPr>
              <w:t xml:space="preserve"> </w:t>
            </w:r>
          </w:p>
        </w:tc>
      </w:tr>
      <w:tr w:rsidR="00AF2CB8" w:rsidRPr="008B029F" w14:paraId="58A63E42" w14:textId="77777777">
        <w:tc>
          <w:tcPr>
            <w:tcW w:w="1324" w:type="pct"/>
          </w:tcPr>
          <w:p w14:paraId="670F4D66" w14:textId="77777777" w:rsidR="00AF2CB8" w:rsidRPr="008B029F" w:rsidRDefault="00AF2CB8">
            <w:pPr>
              <w:pStyle w:val="TableCenter"/>
              <w:tabs>
                <w:tab w:val="left" w:pos="285"/>
              </w:tabs>
              <w:jc w:val="left"/>
              <w:rPr>
                <w:lang w:val="en-AU" w:eastAsia="en-GB"/>
              </w:rPr>
            </w:pPr>
            <w:r w:rsidRPr="008B029F">
              <w:rPr>
                <w:lang w:val="en-AU"/>
              </w:rPr>
              <w:t>Diarrhoea</w:t>
            </w:r>
          </w:p>
        </w:tc>
        <w:tc>
          <w:tcPr>
            <w:tcW w:w="956" w:type="pct"/>
            <w:vAlign w:val="bottom"/>
          </w:tcPr>
          <w:p w14:paraId="51192EDA" w14:textId="77777777" w:rsidR="00AF2CB8" w:rsidRPr="008B029F" w:rsidRDefault="00AF2CB8">
            <w:pPr>
              <w:pStyle w:val="TableCenter"/>
              <w:rPr>
                <w:lang w:val="en-AU" w:eastAsia="en-GB"/>
              </w:rPr>
            </w:pPr>
            <w:r w:rsidRPr="008B029F">
              <w:rPr>
                <w:lang w:val="en-AU"/>
              </w:rPr>
              <w:t>26.5</w:t>
            </w:r>
          </w:p>
        </w:tc>
        <w:tc>
          <w:tcPr>
            <w:tcW w:w="882" w:type="pct"/>
          </w:tcPr>
          <w:p w14:paraId="4E274825" w14:textId="77777777" w:rsidR="00AF2CB8" w:rsidRPr="008B029F" w:rsidRDefault="00AF2CB8">
            <w:pPr>
              <w:pStyle w:val="TableCenter"/>
              <w:rPr>
                <w:lang w:val="en-AU" w:eastAsia="en-GB"/>
              </w:rPr>
            </w:pPr>
            <w:r w:rsidRPr="008B029F">
              <w:rPr>
                <w:lang w:val="en-AU"/>
              </w:rPr>
              <w:t>4.4</w:t>
            </w:r>
          </w:p>
        </w:tc>
        <w:tc>
          <w:tcPr>
            <w:tcW w:w="986" w:type="pct"/>
            <w:vAlign w:val="bottom"/>
          </w:tcPr>
          <w:p w14:paraId="5407A34F" w14:textId="77777777" w:rsidR="00AF2CB8" w:rsidRPr="008B029F" w:rsidRDefault="00AF2CB8">
            <w:pPr>
              <w:pStyle w:val="TableCenter"/>
              <w:rPr>
                <w:lang w:val="en-AU" w:eastAsia="en-GB"/>
              </w:rPr>
            </w:pPr>
            <w:r w:rsidRPr="008B029F">
              <w:rPr>
                <w:lang w:val="en-AU"/>
              </w:rPr>
              <w:t>44.7</w:t>
            </w:r>
          </w:p>
        </w:tc>
        <w:tc>
          <w:tcPr>
            <w:tcW w:w="852" w:type="pct"/>
          </w:tcPr>
          <w:p w14:paraId="4410EECE" w14:textId="77777777" w:rsidR="00AF2CB8" w:rsidRPr="008B029F" w:rsidRDefault="00AF2CB8">
            <w:pPr>
              <w:pStyle w:val="TableCenter"/>
              <w:rPr>
                <w:lang w:val="en-AU" w:eastAsia="en-GB"/>
              </w:rPr>
            </w:pPr>
            <w:r w:rsidRPr="008B029F">
              <w:rPr>
                <w:lang w:val="en-AU"/>
              </w:rPr>
              <w:t>4.3</w:t>
            </w:r>
          </w:p>
        </w:tc>
      </w:tr>
      <w:tr w:rsidR="00AF2CB8" w:rsidRPr="008B029F" w14:paraId="684A015C" w14:textId="77777777">
        <w:tc>
          <w:tcPr>
            <w:tcW w:w="1324" w:type="pct"/>
          </w:tcPr>
          <w:p w14:paraId="7CAF599E" w14:textId="77777777" w:rsidR="00AF2CB8" w:rsidRPr="008B029F" w:rsidRDefault="00AF2CB8">
            <w:pPr>
              <w:pStyle w:val="TableCenter"/>
              <w:tabs>
                <w:tab w:val="left" w:pos="285"/>
              </w:tabs>
              <w:jc w:val="left"/>
              <w:rPr>
                <w:lang w:val="en-AU" w:eastAsia="en-GB"/>
              </w:rPr>
            </w:pPr>
            <w:r w:rsidRPr="008B029F">
              <w:rPr>
                <w:lang w:val="en-AU"/>
              </w:rPr>
              <w:t>Abdominal pain</w:t>
            </w:r>
          </w:p>
        </w:tc>
        <w:tc>
          <w:tcPr>
            <w:tcW w:w="956" w:type="pct"/>
            <w:vAlign w:val="bottom"/>
          </w:tcPr>
          <w:p w14:paraId="6E0DF4F6" w14:textId="77777777" w:rsidR="00AF2CB8" w:rsidRPr="008B029F" w:rsidRDefault="00AF2CB8">
            <w:pPr>
              <w:pStyle w:val="TableCenter"/>
              <w:rPr>
                <w:lang w:val="en-AU" w:eastAsia="en-GB"/>
              </w:rPr>
            </w:pPr>
            <w:r w:rsidRPr="008B029F">
              <w:rPr>
                <w:lang w:val="en-AU"/>
              </w:rPr>
              <w:t>11.9</w:t>
            </w:r>
          </w:p>
        </w:tc>
        <w:tc>
          <w:tcPr>
            <w:tcW w:w="882" w:type="pct"/>
          </w:tcPr>
          <w:p w14:paraId="287B773B" w14:textId="77777777" w:rsidR="00AF2CB8" w:rsidRPr="008B029F" w:rsidRDefault="00AF2CB8">
            <w:pPr>
              <w:pStyle w:val="TableCenter"/>
              <w:rPr>
                <w:lang w:val="en-AU" w:eastAsia="en-GB"/>
              </w:rPr>
            </w:pPr>
            <w:r w:rsidRPr="008B029F">
              <w:rPr>
                <w:lang w:val="en-AU"/>
              </w:rPr>
              <w:t>1.3</w:t>
            </w:r>
          </w:p>
        </w:tc>
        <w:tc>
          <w:tcPr>
            <w:tcW w:w="986" w:type="pct"/>
            <w:vAlign w:val="bottom"/>
          </w:tcPr>
          <w:p w14:paraId="2399E1A3" w14:textId="77777777" w:rsidR="00AF2CB8" w:rsidRPr="008B029F" w:rsidRDefault="00AF2CB8">
            <w:pPr>
              <w:pStyle w:val="TableCenter"/>
              <w:rPr>
                <w:lang w:val="en-AU" w:eastAsia="en-GB"/>
              </w:rPr>
            </w:pPr>
            <w:r w:rsidRPr="008B029F">
              <w:rPr>
                <w:lang w:val="en-AU"/>
              </w:rPr>
              <w:t>16.8</w:t>
            </w:r>
          </w:p>
        </w:tc>
        <w:tc>
          <w:tcPr>
            <w:tcW w:w="852" w:type="pct"/>
          </w:tcPr>
          <w:p w14:paraId="6171DD77" w14:textId="77777777" w:rsidR="00AF2CB8" w:rsidRPr="008B029F" w:rsidRDefault="00AF2CB8">
            <w:pPr>
              <w:pStyle w:val="TableCenter"/>
              <w:rPr>
                <w:lang w:val="en-AU" w:eastAsia="en-GB"/>
              </w:rPr>
            </w:pPr>
            <w:r w:rsidRPr="008B029F">
              <w:rPr>
                <w:lang w:val="en-AU"/>
              </w:rPr>
              <w:t>3.2</w:t>
            </w:r>
          </w:p>
        </w:tc>
      </w:tr>
      <w:tr w:rsidR="00AF2CB8" w:rsidRPr="008B029F" w14:paraId="4F4E456F" w14:textId="77777777">
        <w:tc>
          <w:tcPr>
            <w:tcW w:w="1324" w:type="pct"/>
          </w:tcPr>
          <w:p w14:paraId="7A230C2C" w14:textId="77777777" w:rsidR="00AF2CB8" w:rsidRPr="008B029F" w:rsidRDefault="00AF2CB8">
            <w:pPr>
              <w:pStyle w:val="TableCenter"/>
              <w:tabs>
                <w:tab w:val="left" w:pos="285"/>
              </w:tabs>
              <w:jc w:val="left"/>
              <w:rPr>
                <w:lang w:val="en-AU" w:eastAsia="en-GB"/>
              </w:rPr>
            </w:pPr>
            <w:r w:rsidRPr="008B029F">
              <w:rPr>
                <w:lang w:val="en-AU"/>
              </w:rPr>
              <w:t>Nausea</w:t>
            </w:r>
          </w:p>
        </w:tc>
        <w:tc>
          <w:tcPr>
            <w:tcW w:w="956" w:type="pct"/>
            <w:vAlign w:val="bottom"/>
          </w:tcPr>
          <w:p w14:paraId="2D96E773" w14:textId="77777777" w:rsidR="00AF2CB8" w:rsidRPr="008B029F" w:rsidRDefault="00AF2CB8">
            <w:pPr>
              <w:pStyle w:val="TableCenter"/>
              <w:rPr>
                <w:lang w:val="en-AU" w:eastAsia="en-GB"/>
              </w:rPr>
            </w:pPr>
            <w:r w:rsidRPr="008B029F">
              <w:rPr>
                <w:lang w:val="en-AU"/>
              </w:rPr>
              <w:t>12.1</w:t>
            </w:r>
          </w:p>
        </w:tc>
        <w:tc>
          <w:tcPr>
            <w:tcW w:w="882" w:type="pct"/>
          </w:tcPr>
          <w:p w14:paraId="1139FD2C" w14:textId="77777777" w:rsidR="00AF2CB8" w:rsidRPr="008B029F" w:rsidRDefault="00AF2CB8">
            <w:pPr>
              <w:pStyle w:val="TableCenter"/>
              <w:rPr>
                <w:lang w:val="en-AU" w:eastAsia="en-GB"/>
              </w:rPr>
            </w:pPr>
            <w:r w:rsidRPr="008B029F">
              <w:rPr>
                <w:lang w:val="en-AU"/>
              </w:rPr>
              <w:t>0</w:t>
            </w:r>
          </w:p>
        </w:tc>
        <w:tc>
          <w:tcPr>
            <w:tcW w:w="986" w:type="pct"/>
            <w:vAlign w:val="bottom"/>
          </w:tcPr>
          <w:p w14:paraId="78B24504" w14:textId="77777777" w:rsidR="00AF2CB8" w:rsidRPr="008B029F" w:rsidRDefault="00AF2CB8">
            <w:pPr>
              <w:pStyle w:val="TableCenter"/>
              <w:rPr>
                <w:lang w:val="en-AU" w:eastAsia="en-GB"/>
              </w:rPr>
            </w:pPr>
            <w:r w:rsidRPr="008B029F">
              <w:rPr>
                <w:lang w:val="en-AU"/>
              </w:rPr>
              <w:t>14.2</w:t>
            </w:r>
          </w:p>
        </w:tc>
        <w:tc>
          <w:tcPr>
            <w:tcW w:w="852" w:type="pct"/>
          </w:tcPr>
          <w:p w14:paraId="6A0EA7F5" w14:textId="77777777" w:rsidR="00AF2CB8" w:rsidRPr="008B029F" w:rsidRDefault="00AF2CB8">
            <w:pPr>
              <w:pStyle w:val="TableCenter"/>
              <w:rPr>
                <w:lang w:val="en-AU" w:eastAsia="en-GB"/>
              </w:rPr>
            </w:pPr>
            <w:r w:rsidRPr="008B029F">
              <w:rPr>
                <w:lang w:val="en-AU"/>
              </w:rPr>
              <w:t>0</w:t>
            </w:r>
          </w:p>
        </w:tc>
      </w:tr>
      <w:tr w:rsidR="00AF2CB8" w:rsidRPr="008B029F" w14:paraId="5DCCF379" w14:textId="77777777">
        <w:tc>
          <w:tcPr>
            <w:tcW w:w="5000" w:type="pct"/>
            <w:gridSpan w:val="5"/>
            <w:vAlign w:val="center"/>
          </w:tcPr>
          <w:p w14:paraId="08CA8E97" w14:textId="77777777" w:rsidR="00AF2CB8" w:rsidRPr="008B029F" w:rsidRDefault="00AF2CB8">
            <w:pPr>
              <w:pStyle w:val="TableCenter"/>
              <w:tabs>
                <w:tab w:val="left" w:pos="285"/>
              </w:tabs>
              <w:jc w:val="left"/>
              <w:rPr>
                <w:b/>
                <w:lang w:val="en-AU"/>
              </w:rPr>
            </w:pPr>
            <w:r w:rsidRPr="008B029F">
              <w:rPr>
                <w:b/>
                <w:lang w:val="en-AU"/>
              </w:rPr>
              <w:t>Skin and subcutaneous tissue disorders</w:t>
            </w:r>
          </w:p>
        </w:tc>
      </w:tr>
      <w:tr w:rsidR="00AF2CB8" w:rsidRPr="008B029F" w14:paraId="754A6D42" w14:textId="77777777">
        <w:tc>
          <w:tcPr>
            <w:tcW w:w="1324" w:type="pct"/>
          </w:tcPr>
          <w:p w14:paraId="1AA540C7" w14:textId="77777777" w:rsidR="00AF2CB8" w:rsidRPr="008B029F" w:rsidRDefault="00AF2CB8">
            <w:pPr>
              <w:pStyle w:val="TableCenter"/>
              <w:tabs>
                <w:tab w:val="left" w:pos="285"/>
              </w:tabs>
              <w:jc w:val="left"/>
              <w:rPr>
                <w:lang w:val="en-AU" w:eastAsia="en-GB"/>
              </w:rPr>
            </w:pPr>
            <w:r w:rsidRPr="008B029F">
              <w:rPr>
                <w:lang w:val="en-AU"/>
              </w:rPr>
              <w:t>Pruritus</w:t>
            </w:r>
          </w:p>
        </w:tc>
        <w:tc>
          <w:tcPr>
            <w:tcW w:w="956" w:type="pct"/>
            <w:vAlign w:val="bottom"/>
          </w:tcPr>
          <w:p w14:paraId="50B2C146" w14:textId="77777777" w:rsidR="00AF2CB8" w:rsidRPr="008B029F" w:rsidRDefault="00AF2CB8">
            <w:pPr>
              <w:pStyle w:val="TableCenter"/>
              <w:rPr>
                <w:lang w:val="en-AU" w:eastAsia="en-GB"/>
              </w:rPr>
            </w:pPr>
            <w:r w:rsidRPr="008B029F">
              <w:rPr>
                <w:lang w:val="en-AU"/>
              </w:rPr>
              <w:t>22.9</w:t>
            </w:r>
          </w:p>
        </w:tc>
        <w:tc>
          <w:tcPr>
            <w:tcW w:w="882" w:type="pct"/>
          </w:tcPr>
          <w:p w14:paraId="74AD6FFF" w14:textId="77777777" w:rsidR="00AF2CB8" w:rsidRPr="008B029F" w:rsidRDefault="00AF2CB8">
            <w:pPr>
              <w:pStyle w:val="TableCenter"/>
              <w:rPr>
                <w:lang w:val="en-AU" w:eastAsia="en-GB"/>
              </w:rPr>
            </w:pPr>
            <w:r w:rsidRPr="008B029F">
              <w:rPr>
                <w:lang w:val="en-AU"/>
              </w:rPr>
              <w:t>0</w:t>
            </w:r>
          </w:p>
        </w:tc>
        <w:tc>
          <w:tcPr>
            <w:tcW w:w="986" w:type="pct"/>
            <w:vAlign w:val="bottom"/>
          </w:tcPr>
          <w:p w14:paraId="3CAE741C" w14:textId="77777777" w:rsidR="00AF2CB8" w:rsidRPr="008B029F" w:rsidRDefault="00AF2CB8">
            <w:pPr>
              <w:pStyle w:val="TableCenter"/>
              <w:rPr>
                <w:lang w:val="en-AU" w:eastAsia="en-GB"/>
              </w:rPr>
            </w:pPr>
            <w:r w:rsidRPr="008B029F">
              <w:rPr>
                <w:lang w:val="en-AU"/>
              </w:rPr>
              <w:t>6.4</w:t>
            </w:r>
          </w:p>
        </w:tc>
        <w:tc>
          <w:tcPr>
            <w:tcW w:w="852" w:type="pct"/>
          </w:tcPr>
          <w:p w14:paraId="0BA9345C" w14:textId="77777777" w:rsidR="00AF2CB8" w:rsidRPr="008B029F" w:rsidRDefault="00AF2CB8">
            <w:pPr>
              <w:pStyle w:val="TableCenter"/>
              <w:rPr>
                <w:lang w:val="en-AU" w:eastAsia="en-GB"/>
              </w:rPr>
            </w:pPr>
            <w:r w:rsidRPr="008B029F">
              <w:rPr>
                <w:lang w:val="en-AU"/>
              </w:rPr>
              <w:t>0.3</w:t>
            </w:r>
          </w:p>
        </w:tc>
      </w:tr>
      <w:tr w:rsidR="00AF2CB8" w:rsidRPr="008B029F" w14:paraId="09502691" w14:textId="77777777">
        <w:tc>
          <w:tcPr>
            <w:tcW w:w="1324" w:type="pct"/>
          </w:tcPr>
          <w:p w14:paraId="434E73E3" w14:textId="77777777" w:rsidR="00AF2CB8" w:rsidRPr="008B029F" w:rsidRDefault="00AF2CB8">
            <w:pPr>
              <w:pStyle w:val="TableCenter"/>
              <w:tabs>
                <w:tab w:val="left" w:pos="285"/>
              </w:tabs>
              <w:jc w:val="left"/>
              <w:rPr>
                <w:lang w:val="en-AU" w:eastAsia="en-GB"/>
              </w:rPr>
            </w:pPr>
            <w:r w:rsidRPr="008B029F">
              <w:rPr>
                <w:lang w:val="en-AU"/>
              </w:rPr>
              <w:t>Rash</w:t>
            </w:r>
          </w:p>
        </w:tc>
        <w:tc>
          <w:tcPr>
            <w:tcW w:w="956" w:type="pct"/>
            <w:vAlign w:val="bottom"/>
          </w:tcPr>
          <w:p w14:paraId="33C0AF7F" w14:textId="77777777" w:rsidR="00AF2CB8" w:rsidRPr="008B029F" w:rsidRDefault="00AF2CB8">
            <w:pPr>
              <w:pStyle w:val="TableCenter"/>
              <w:rPr>
                <w:lang w:val="en-AU" w:eastAsia="en-GB"/>
              </w:rPr>
            </w:pPr>
            <w:r w:rsidRPr="008B029F">
              <w:rPr>
                <w:lang w:val="en-AU"/>
              </w:rPr>
              <w:t>22.4</w:t>
            </w:r>
          </w:p>
        </w:tc>
        <w:tc>
          <w:tcPr>
            <w:tcW w:w="882" w:type="pct"/>
          </w:tcPr>
          <w:p w14:paraId="0219616C" w14:textId="77777777" w:rsidR="00AF2CB8" w:rsidRPr="008B029F" w:rsidRDefault="00AF2CB8">
            <w:pPr>
              <w:pStyle w:val="TableCenter"/>
              <w:rPr>
                <w:lang w:val="en-AU" w:eastAsia="en-GB"/>
              </w:rPr>
            </w:pPr>
            <w:r w:rsidRPr="008B029F">
              <w:rPr>
                <w:lang w:val="en-AU"/>
              </w:rPr>
              <w:t>1.5</w:t>
            </w:r>
          </w:p>
        </w:tc>
        <w:tc>
          <w:tcPr>
            <w:tcW w:w="986" w:type="pct"/>
            <w:vAlign w:val="bottom"/>
          </w:tcPr>
          <w:p w14:paraId="22BB2E40" w14:textId="77777777" w:rsidR="00AF2CB8" w:rsidRPr="008B029F" w:rsidRDefault="00AF2CB8">
            <w:pPr>
              <w:pStyle w:val="TableCenter"/>
              <w:rPr>
                <w:lang w:val="en-AU" w:eastAsia="en-GB"/>
              </w:rPr>
            </w:pPr>
            <w:r w:rsidRPr="008B029F">
              <w:rPr>
                <w:lang w:val="en-AU"/>
              </w:rPr>
              <w:t>13.6</w:t>
            </w:r>
          </w:p>
        </w:tc>
        <w:tc>
          <w:tcPr>
            <w:tcW w:w="852" w:type="pct"/>
          </w:tcPr>
          <w:p w14:paraId="01EA01B5" w14:textId="77777777" w:rsidR="00AF2CB8" w:rsidRPr="008B029F" w:rsidRDefault="00AF2CB8">
            <w:pPr>
              <w:pStyle w:val="TableCenter"/>
              <w:rPr>
                <w:lang w:val="en-AU" w:eastAsia="en-GB"/>
              </w:rPr>
            </w:pPr>
            <w:r w:rsidRPr="008B029F">
              <w:rPr>
                <w:lang w:val="en-AU"/>
              </w:rPr>
              <w:t>1.1</w:t>
            </w:r>
          </w:p>
        </w:tc>
      </w:tr>
      <w:tr w:rsidR="00AF2CB8" w:rsidRPr="008B029F" w14:paraId="6AEFB54B" w14:textId="77777777">
        <w:tc>
          <w:tcPr>
            <w:tcW w:w="5000" w:type="pct"/>
            <w:gridSpan w:val="5"/>
            <w:vAlign w:val="center"/>
          </w:tcPr>
          <w:p w14:paraId="62E449CA" w14:textId="77777777" w:rsidR="00AF2CB8" w:rsidRPr="008B029F" w:rsidRDefault="00AF2CB8">
            <w:pPr>
              <w:pStyle w:val="TableCenter"/>
              <w:tabs>
                <w:tab w:val="left" w:pos="285"/>
              </w:tabs>
              <w:jc w:val="left"/>
              <w:rPr>
                <w:b/>
                <w:lang w:val="en-AU" w:eastAsia="en-GB"/>
              </w:rPr>
            </w:pPr>
            <w:r w:rsidRPr="008B029F">
              <w:rPr>
                <w:b/>
                <w:lang w:val="en-AU"/>
              </w:rPr>
              <w:t>Metabolism and nutrition disorders</w:t>
            </w:r>
          </w:p>
        </w:tc>
      </w:tr>
      <w:tr w:rsidR="00AF2CB8" w:rsidRPr="008B029F" w14:paraId="717942A7" w14:textId="77777777">
        <w:tc>
          <w:tcPr>
            <w:tcW w:w="1324" w:type="pct"/>
            <w:vAlign w:val="center"/>
          </w:tcPr>
          <w:p w14:paraId="090AF6E2" w14:textId="77777777" w:rsidR="00AF2CB8" w:rsidRPr="008B029F" w:rsidRDefault="00AF2CB8">
            <w:pPr>
              <w:pStyle w:val="TableCenter"/>
              <w:tabs>
                <w:tab w:val="left" w:pos="285"/>
              </w:tabs>
              <w:jc w:val="left"/>
              <w:rPr>
                <w:lang w:val="en-AU" w:eastAsia="en-GB"/>
              </w:rPr>
            </w:pPr>
            <w:r w:rsidRPr="008B029F">
              <w:rPr>
                <w:lang w:val="en-AU"/>
              </w:rPr>
              <w:t>Decreased appetite</w:t>
            </w:r>
          </w:p>
        </w:tc>
        <w:tc>
          <w:tcPr>
            <w:tcW w:w="956" w:type="pct"/>
            <w:vAlign w:val="bottom"/>
          </w:tcPr>
          <w:p w14:paraId="04AE00AA" w14:textId="77777777" w:rsidR="00AF2CB8" w:rsidRPr="008B029F" w:rsidRDefault="00AF2CB8">
            <w:pPr>
              <w:pStyle w:val="TableCenter"/>
              <w:rPr>
                <w:lang w:val="en-AU" w:eastAsia="en-GB"/>
              </w:rPr>
            </w:pPr>
            <w:r w:rsidRPr="008B029F">
              <w:rPr>
                <w:lang w:val="en-AU"/>
              </w:rPr>
              <w:t>17.0</w:t>
            </w:r>
          </w:p>
        </w:tc>
        <w:tc>
          <w:tcPr>
            <w:tcW w:w="882" w:type="pct"/>
          </w:tcPr>
          <w:p w14:paraId="225C34F4" w14:textId="77777777" w:rsidR="00AF2CB8" w:rsidRPr="008B029F" w:rsidRDefault="00AF2CB8">
            <w:pPr>
              <w:pStyle w:val="TableCenter"/>
              <w:rPr>
                <w:lang w:val="en-AU" w:eastAsia="en-GB"/>
              </w:rPr>
            </w:pPr>
            <w:r w:rsidRPr="008B029F">
              <w:rPr>
                <w:lang w:val="en-AU"/>
              </w:rPr>
              <w:t>1.3</w:t>
            </w:r>
          </w:p>
        </w:tc>
        <w:tc>
          <w:tcPr>
            <w:tcW w:w="986" w:type="pct"/>
            <w:vAlign w:val="bottom"/>
          </w:tcPr>
          <w:p w14:paraId="46683B26" w14:textId="77777777" w:rsidR="00AF2CB8" w:rsidRPr="008B029F" w:rsidRDefault="00AF2CB8">
            <w:pPr>
              <w:pStyle w:val="TableCenter"/>
              <w:rPr>
                <w:lang w:val="en-AU" w:eastAsia="en-GB"/>
              </w:rPr>
            </w:pPr>
            <w:r w:rsidRPr="008B029F">
              <w:rPr>
                <w:lang w:val="en-AU"/>
              </w:rPr>
              <w:t>17.9</w:t>
            </w:r>
          </w:p>
        </w:tc>
        <w:tc>
          <w:tcPr>
            <w:tcW w:w="852" w:type="pct"/>
          </w:tcPr>
          <w:p w14:paraId="27B1F7B9" w14:textId="77777777" w:rsidR="00AF2CB8" w:rsidRPr="008B029F" w:rsidRDefault="00AF2CB8">
            <w:pPr>
              <w:pStyle w:val="TableCenter"/>
              <w:rPr>
                <w:lang w:val="en-AU" w:eastAsia="en-GB"/>
              </w:rPr>
            </w:pPr>
            <w:r w:rsidRPr="008B029F">
              <w:rPr>
                <w:lang w:val="en-AU"/>
              </w:rPr>
              <w:t>0.8</w:t>
            </w:r>
          </w:p>
        </w:tc>
      </w:tr>
      <w:tr w:rsidR="00AF2CB8" w:rsidRPr="008B029F" w14:paraId="79D6D110" w14:textId="77777777">
        <w:tc>
          <w:tcPr>
            <w:tcW w:w="5000" w:type="pct"/>
            <w:gridSpan w:val="5"/>
            <w:vAlign w:val="center"/>
          </w:tcPr>
          <w:p w14:paraId="53FF07B0" w14:textId="77777777" w:rsidR="00AF2CB8" w:rsidRPr="008B029F" w:rsidRDefault="00AF2CB8">
            <w:pPr>
              <w:pStyle w:val="TableCenter"/>
              <w:tabs>
                <w:tab w:val="left" w:pos="285"/>
              </w:tabs>
              <w:jc w:val="left"/>
              <w:rPr>
                <w:b/>
                <w:lang w:val="en-AU" w:eastAsia="en-GB"/>
              </w:rPr>
            </w:pPr>
            <w:r w:rsidRPr="008B029F">
              <w:rPr>
                <w:b/>
                <w:lang w:val="en-AU"/>
              </w:rPr>
              <w:t>General disorders and administration site conditions</w:t>
            </w:r>
          </w:p>
        </w:tc>
      </w:tr>
      <w:tr w:rsidR="00AF2CB8" w:rsidRPr="008B029F" w14:paraId="479DB7BF" w14:textId="77777777">
        <w:tc>
          <w:tcPr>
            <w:tcW w:w="1324" w:type="pct"/>
          </w:tcPr>
          <w:p w14:paraId="411F42C1" w14:textId="77777777" w:rsidR="00AF2CB8" w:rsidRPr="008B029F" w:rsidRDefault="00AF2CB8">
            <w:pPr>
              <w:pStyle w:val="TableCenter"/>
              <w:tabs>
                <w:tab w:val="left" w:pos="285"/>
              </w:tabs>
              <w:jc w:val="left"/>
              <w:rPr>
                <w:lang w:val="en-AU" w:eastAsia="en-GB"/>
              </w:rPr>
            </w:pPr>
            <w:r w:rsidRPr="008B029F">
              <w:rPr>
                <w:lang w:val="en-AU"/>
              </w:rPr>
              <w:t>Asthenia</w:t>
            </w:r>
          </w:p>
        </w:tc>
        <w:tc>
          <w:tcPr>
            <w:tcW w:w="956" w:type="pct"/>
            <w:vAlign w:val="bottom"/>
          </w:tcPr>
          <w:p w14:paraId="6750CE56" w14:textId="77777777" w:rsidR="00AF2CB8" w:rsidRPr="008B029F" w:rsidRDefault="00AF2CB8">
            <w:pPr>
              <w:pStyle w:val="TableCenter"/>
              <w:rPr>
                <w:lang w:val="en-AU" w:eastAsia="en-GB"/>
              </w:rPr>
            </w:pPr>
            <w:r w:rsidRPr="008B029F">
              <w:rPr>
                <w:lang w:val="en-AU"/>
              </w:rPr>
              <w:t>10.1</w:t>
            </w:r>
          </w:p>
        </w:tc>
        <w:tc>
          <w:tcPr>
            <w:tcW w:w="882" w:type="pct"/>
          </w:tcPr>
          <w:p w14:paraId="2208AC7C" w14:textId="77777777" w:rsidR="00AF2CB8" w:rsidRPr="008B029F" w:rsidRDefault="00AF2CB8">
            <w:pPr>
              <w:pStyle w:val="TableCenter"/>
              <w:rPr>
                <w:lang w:val="en-AU" w:eastAsia="en-GB"/>
              </w:rPr>
            </w:pPr>
            <w:r w:rsidRPr="008B029F">
              <w:rPr>
                <w:lang w:val="en-AU"/>
              </w:rPr>
              <w:t>1.8</w:t>
            </w:r>
          </w:p>
        </w:tc>
        <w:tc>
          <w:tcPr>
            <w:tcW w:w="986" w:type="pct"/>
            <w:vAlign w:val="bottom"/>
          </w:tcPr>
          <w:p w14:paraId="41CDD276" w14:textId="77777777" w:rsidR="00AF2CB8" w:rsidRPr="008B029F" w:rsidRDefault="00AF2CB8">
            <w:pPr>
              <w:pStyle w:val="TableCenter"/>
              <w:rPr>
                <w:lang w:val="en-AU" w:eastAsia="en-GB"/>
              </w:rPr>
            </w:pPr>
            <w:r w:rsidRPr="008B029F">
              <w:rPr>
                <w:lang w:val="en-AU"/>
              </w:rPr>
              <w:t>11.8</w:t>
            </w:r>
          </w:p>
        </w:tc>
        <w:tc>
          <w:tcPr>
            <w:tcW w:w="852" w:type="pct"/>
          </w:tcPr>
          <w:p w14:paraId="100FC24D" w14:textId="77777777" w:rsidR="00AF2CB8" w:rsidRPr="008B029F" w:rsidRDefault="00AF2CB8">
            <w:pPr>
              <w:pStyle w:val="TableCenter"/>
              <w:rPr>
                <w:lang w:val="en-AU" w:eastAsia="en-GB"/>
              </w:rPr>
            </w:pPr>
            <w:r w:rsidRPr="008B029F">
              <w:rPr>
                <w:lang w:val="en-AU"/>
              </w:rPr>
              <w:t>2.7</w:t>
            </w:r>
          </w:p>
        </w:tc>
      </w:tr>
      <w:tr w:rsidR="00AF2CB8" w:rsidRPr="008B029F" w14:paraId="2E596318" w14:textId="77777777">
        <w:tc>
          <w:tcPr>
            <w:tcW w:w="1324" w:type="pct"/>
          </w:tcPr>
          <w:p w14:paraId="089F07F0" w14:textId="77777777" w:rsidR="00AF2CB8" w:rsidRPr="008B029F" w:rsidRDefault="00AF2CB8">
            <w:pPr>
              <w:pStyle w:val="TableCenter"/>
              <w:tabs>
                <w:tab w:val="left" w:pos="285"/>
              </w:tabs>
              <w:jc w:val="left"/>
              <w:rPr>
                <w:lang w:val="en-AU" w:eastAsia="en-GB"/>
              </w:rPr>
            </w:pPr>
            <w:r w:rsidRPr="008B029F">
              <w:rPr>
                <w:lang w:val="en-AU"/>
              </w:rPr>
              <w:t>Fatigue</w:t>
            </w:r>
          </w:p>
        </w:tc>
        <w:tc>
          <w:tcPr>
            <w:tcW w:w="956" w:type="pct"/>
            <w:vAlign w:val="bottom"/>
          </w:tcPr>
          <w:p w14:paraId="580024BA" w14:textId="77777777" w:rsidR="00AF2CB8" w:rsidRPr="008B029F" w:rsidRDefault="00AF2CB8">
            <w:pPr>
              <w:pStyle w:val="TableCenter"/>
              <w:rPr>
                <w:lang w:val="en-AU" w:eastAsia="en-GB"/>
              </w:rPr>
            </w:pPr>
            <w:r w:rsidRPr="008B029F">
              <w:rPr>
                <w:lang w:val="en-AU"/>
              </w:rPr>
              <w:t>17.0</w:t>
            </w:r>
          </w:p>
        </w:tc>
        <w:tc>
          <w:tcPr>
            <w:tcW w:w="882" w:type="pct"/>
          </w:tcPr>
          <w:p w14:paraId="188DE9A9" w14:textId="77777777" w:rsidR="00AF2CB8" w:rsidRPr="008B029F" w:rsidRDefault="00AF2CB8">
            <w:pPr>
              <w:pStyle w:val="TableCenter"/>
              <w:rPr>
                <w:lang w:val="en-AU" w:eastAsia="en-GB"/>
              </w:rPr>
            </w:pPr>
            <w:r w:rsidRPr="008B029F">
              <w:rPr>
                <w:lang w:val="en-AU"/>
              </w:rPr>
              <w:t>2.1</w:t>
            </w:r>
          </w:p>
        </w:tc>
        <w:tc>
          <w:tcPr>
            <w:tcW w:w="986" w:type="pct"/>
            <w:vAlign w:val="bottom"/>
          </w:tcPr>
          <w:p w14:paraId="1749B610" w14:textId="77777777" w:rsidR="00AF2CB8" w:rsidRPr="008B029F" w:rsidRDefault="00AF2CB8">
            <w:pPr>
              <w:pStyle w:val="TableCenter"/>
              <w:rPr>
                <w:lang w:val="en-AU" w:eastAsia="en-GB"/>
              </w:rPr>
            </w:pPr>
            <w:r w:rsidRPr="008B029F">
              <w:rPr>
                <w:lang w:val="en-AU"/>
              </w:rPr>
              <w:t>19.0</w:t>
            </w:r>
          </w:p>
        </w:tc>
        <w:tc>
          <w:tcPr>
            <w:tcW w:w="852" w:type="pct"/>
          </w:tcPr>
          <w:p w14:paraId="01DA4A19" w14:textId="77777777" w:rsidR="00AF2CB8" w:rsidRPr="008B029F" w:rsidRDefault="00AF2CB8">
            <w:pPr>
              <w:pStyle w:val="TableCenter"/>
              <w:rPr>
                <w:lang w:val="en-AU" w:eastAsia="en-GB"/>
              </w:rPr>
            </w:pPr>
            <w:r w:rsidRPr="008B029F">
              <w:rPr>
                <w:lang w:val="en-AU"/>
              </w:rPr>
              <w:t>2.9</w:t>
            </w:r>
          </w:p>
        </w:tc>
      </w:tr>
      <w:tr w:rsidR="00AF2CB8" w:rsidRPr="008B029F" w14:paraId="62275E88" w14:textId="77777777">
        <w:tc>
          <w:tcPr>
            <w:tcW w:w="1324" w:type="pct"/>
          </w:tcPr>
          <w:p w14:paraId="363B6A89" w14:textId="77777777" w:rsidR="00AF2CB8" w:rsidRPr="008B029F" w:rsidRDefault="00AF2CB8">
            <w:pPr>
              <w:pStyle w:val="TableCenter"/>
              <w:tabs>
                <w:tab w:val="left" w:pos="285"/>
              </w:tabs>
              <w:jc w:val="left"/>
              <w:rPr>
                <w:lang w:val="en-AU" w:eastAsia="en-GB"/>
              </w:rPr>
            </w:pPr>
            <w:r w:rsidRPr="008B029F">
              <w:rPr>
                <w:lang w:val="en-AU"/>
              </w:rPr>
              <w:t>Pyrexia</w:t>
            </w:r>
          </w:p>
        </w:tc>
        <w:tc>
          <w:tcPr>
            <w:tcW w:w="956" w:type="pct"/>
            <w:vAlign w:val="bottom"/>
          </w:tcPr>
          <w:p w14:paraId="2072D9F2" w14:textId="77777777" w:rsidR="00AF2CB8" w:rsidRPr="008B029F" w:rsidRDefault="00AF2CB8">
            <w:pPr>
              <w:pStyle w:val="TableCenter"/>
              <w:rPr>
                <w:lang w:val="en-AU" w:eastAsia="en-GB"/>
              </w:rPr>
            </w:pPr>
            <w:r w:rsidRPr="008B029F">
              <w:rPr>
                <w:lang w:val="en-AU"/>
              </w:rPr>
              <w:t>12.9</w:t>
            </w:r>
          </w:p>
        </w:tc>
        <w:tc>
          <w:tcPr>
            <w:tcW w:w="882" w:type="pct"/>
          </w:tcPr>
          <w:p w14:paraId="711FDA06" w14:textId="77777777" w:rsidR="00AF2CB8" w:rsidRPr="008B029F" w:rsidRDefault="00AF2CB8">
            <w:pPr>
              <w:pStyle w:val="TableCenter"/>
              <w:rPr>
                <w:lang w:val="en-AU" w:eastAsia="en-GB"/>
              </w:rPr>
            </w:pPr>
            <w:r w:rsidRPr="008B029F">
              <w:rPr>
                <w:lang w:val="en-AU"/>
              </w:rPr>
              <w:t>0.3</w:t>
            </w:r>
          </w:p>
        </w:tc>
        <w:tc>
          <w:tcPr>
            <w:tcW w:w="986" w:type="pct"/>
            <w:vAlign w:val="bottom"/>
          </w:tcPr>
          <w:p w14:paraId="6DFC1276" w14:textId="77777777" w:rsidR="00AF2CB8" w:rsidRPr="008B029F" w:rsidRDefault="00AF2CB8">
            <w:pPr>
              <w:pStyle w:val="TableCenter"/>
              <w:rPr>
                <w:lang w:val="en-AU" w:eastAsia="en-GB"/>
              </w:rPr>
            </w:pPr>
            <w:r w:rsidRPr="008B029F">
              <w:rPr>
                <w:lang w:val="en-AU"/>
              </w:rPr>
              <w:t>8.8</w:t>
            </w:r>
          </w:p>
        </w:tc>
        <w:tc>
          <w:tcPr>
            <w:tcW w:w="852" w:type="pct"/>
          </w:tcPr>
          <w:p w14:paraId="7A5D237D" w14:textId="77777777" w:rsidR="00AF2CB8" w:rsidRPr="008B029F" w:rsidRDefault="00AF2CB8">
            <w:pPr>
              <w:pStyle w:val="TableCenter"/>
              <w:rPr>
                <w:lang w:val="en-AU" w:eastAsia="en-GB"/>
              </w:rPr>
            </w:pPr>
            <w:r w:rsidRPr="008B029F">
              <w:rPr>
                <w:lang w:val="en-AU"/>
              </w:rPr>
              <w:t>0</w:t>
            </w:r>
          </w:p>
        </w:tc>
      </w:tr>
      <w:tr w:rsidR="00AF2CB8" w:rsidRPr="008B029F" w14:paraId="0EB0E530" w14:textId="77777777">
        <w:tc>
          <w:tcPr>
            <w:tcW w:w="3162" w:type="pct"/>
            <w:gridSpan w:val="3"/>
            <w:vAlign w:val="center"/>
          </w:tcPr>
          <w:p w14:paraId="1B626572" w14:textId="77777777" w:rsidR="00AF2CB8" w:rsidRPr="008B029F" w:rsidRDefault="00AF2CB8">
            <w:pPr>
              <w:pStyle w:val="TableCenter"/>
              <w:tabs>
                <w:tab w:val="left" w:pos="285"/>
              </w:tabs>
              <w:jc w:val="left"/>
              <w:rPr>
                <w:b/>
                <w:lang w:val="en-AU" w:eastAsia="en-GB"/>
              </w:rPr>
            </w:pPr>
            <w:r w:rsidRPr="008B029F">
              <w:rPr>
                <w:b/>
                <w:lang w:val="en-AU"/>
              </w:rPr>
              <w:t>Psychiatric disorders</w:t>
            </w:r>
          </w:p>
        </w:tc>
        <w:tc>
          <w:tcPr>
            <w:tcW w:w="986" w:type="pct"/>
          </w:tcPr>
          <w:p w14:paraId="28DA7851" w14:textId="77777777" w:rsidR="00AF2CB8" w:rsidRPr="008B029F" w:rsidRDefault="00AF2CB8">
            <w:pPr>
              <w:pStyle w:val="TableCenter"/>
              <w:rPr>
                <w:b/>
                <w:lang w:val="en-AU"/>
              </w:rPr>
            </w:pPr>
          </w:p>
        </w:tc>
        <w:tc>
          <w:tcPr>
            <w:tcW w:w="852" w:type="pct"/>
          </w:tcPr>
          <w:p w14:paraId="60469437" w14:textId="77777777" w:rsidR="00AF2CB8" w:rsidRPr="008B029F" w:rsidRDefault="00AF2CB8">
            <w:pPr>
              <w:pStyle w:val="TableCenter"/>
              <w:rPr>
                <w:b/>
                <w:lang w:val="en-AU"/>
              </w:rPr>
            </w:pPr>
          </w:p>
        </w:tc>
      </w:tr>
      <w:tr w:rsidR="00AF2CB8" w:rsidRPr="008B029F" w14:paraId="72EEF30F" w14:textId="77777777">
        <w:tc>
          <w:tcPr>
            <w:tcW w:w="1324" w:type="pct"/>
          </w:tcPr>
          <w:p w14:paraId="335528CC" w14:textId="77777777" w:rsidR="00AF2CB8" w:rsidRPr="008B029F" w:rsidRDefault="00AF2CB8">
            <w:pPr>
              <w:pStyle w:val="TableCenter"/>
              <w:tabs>
                <w:tab w:val="left" w:pos="285"/>
              </w:tabs>
              <w:jc w:val="left"/>
              <w:rPr>
                <w:lang w:val="en-AU" w:eastAsia="en-GB"/>
              </w:rPr>
            </w:pPr>
            <w:r w:rsidRPr="008B029F">
              <w:rPr>
                <w:lang w:val="en-AU"/>
              </w:rPr>
              <w:t>Insomnia</w:t>
            </w:r>
          </w:p>
        </w:tc>
        <w:tc>
          <w:tcPr>
            <w:tcW w:w="956" w:type="pct"/>
            <w:vAlign w:val="bottom"/>
          </w:tcPr>
          <w:p w14:paraId="650AE316" w14:textId="77777777" w:rsidR="00AF2CB8" w:rsidRPr="008B029F" w:rsidRDefault="00AF2CB8">
            <w:pPr>
              <w:pStyle w:val="TableCenter"/>
              <w:rPr>
                <w:lang w:val="en-AU" w:eastAsia="en-GB"/>
              </w:rPr>
            </w:pPr>
            <w:r w:rsidRPr="008B029F">
              <w:rPr>
                <w:lang w:val="en-AU"/>
              </w:rPr>
              <w:t>10.3</w:t>
            </w:r>
          </w:p>
        </w:tc>
        <w:tc>
          <w:tcPr>
            <w:tcW w:w="882" w:type="pct"/>
          </w:tcPr>
          <w:p w14:paraId="6DB6C00C" w14:textId="77777777" w:rsidR="00AF2CB8" w:rsidRPr="008B029F" w:rsidRDefault="00AF2CB8">
            <w:pPr>
              <w:pStyle w:val="TableCenter"/>
              <w:rPr>
                <w:lang w:val="en-AU" w:eastAsia="en-GB"/>
              </w:rPr>
            </w:pPr>
            <w:r w:rsidRPr="008B029F">
              <w:rPr>
                <w:lang w:val="en-AU"/>
              </w:rPr>
              <w:t>0.3</w:t>
            </w:r>
          </w:p>
        </w:tc>
        <w:tc>
          <w:tcPr>
            <w:tcW w:w="986" w:type="pct"/>
            <w:vAlign w:val="bottom"/>
          </w:tcPr>
          <w:p w14:paraId="16F26C45" w14:textId="77777777" w:rsidR="00AF2CB8" w:rsidRPr="008B029F" w:rsidRDefault="00AF2CB8">
            <w:pPr>
              <w:pStyle w:val="TableCenter"/>
              <w:rPr>
                <w:lang w:val="en-AU" w:eastAsia="en-GB"/>
              </w:rPr>
            </w:pPr>
            <w:r w:rsidRPr="008B029F">
              <w:rPr>
                <w:lang w:val="en-AU"/>
              </w:rPr>
              <w:t>4.3</w:t>
            </w:r>
          </w:p>
        </w:tc>
        <w:tc>
          <w:tcPr>
            <w:tcW w:w="852" w:type="pct"/>
          </w:tcPr>
          <w:p w14:paraId="6D3059B9" w14:textId="77777777" w:rsidR="00AF2CB8" w:rsidRPr="008B029F" w:rsidRDefault="00AF2CB8">
            <w:pPr>
              <w:pStyle w:val="TableCenter"/>
              <w:rPr>
                <w:lang w:val="en-AU" w:eastAsia="en-GB"/>
              </w:rPr>
            </w:pPr>
            <w:r w:rsidRPr="008B029F">
              <w:rPr>
                <w:lang w:val="en-AU"/>
              </w:rPr>
              <w:t>0</w:t>
            </w:r>
          </w:p>
        </w:tc>
      </w:tr>
      <w:tr w:rsidR="00AF2CB8" w:rsidRPr="008B029F" w14:paraId="2422280B" w14:textId="77777777">
        <w:tc>
          <w:tcPr>
            <w:tcW w:w="5000" w:type="pct"/>
            <w:gridSpan w:val="5"/>
          </w:tcPr>
          <w:p w14:paraId="53EF732B" w14:textId="77777777" w:rsidR="00AF2CB8" w:rsidRPr="008B029F" w:rsidRDefault="00AF2CB8">
            <w:pPr>
              <w:pStyle w:val="TableCenter"/>
              <w:tabs>
                <w:tab w:val="left" w:pos="285"/>
              </w:tabs>
              <w:jc w:val="left"/>
              <w:rPr>
                <w:b/>
                <w:lang w:val="en-AU"/>
              </w:rPr>
            </w:pPr>
            <w:r w:rsidRPr="008B029F">
              <w:rPr>
                <w:b/>
                <w:lang w:val="en-AU"/>
              </w:rPr>
              <w:t>Endocrine disorders</w:t>
            </w:r>
          </w:p>
        </w:tc>
      </w:tr>
      <w:tr w:rsidR="00AF2CB8" w:rsidRPr="008B029F" w14:paraId="78CCE240" w14:textId="77777777">
        <w:tc>
          <w:tcPr>
            <w:tcW w:w="1324" w:type="pct"/>
            <w:vAlign w:val="center"/>
          </w:tcPr>
          <w:p w14:paraId="4D66E54B" w14:textId="77777777" w:rsidR="00AF2CB8" w:rsidRPr="008B029F" w:rsidRDefault="00AF2CB8">
            <w:pPr>
              <w:pStyle w:val="TableCenter"/>
              <w:tabs>
                <w:tab w:val="left" w:pos="285"/>
              </w:tabs>
              <w:jc w:val="left"/>
              <w:rPr>
                <w:lang w:val="en-AU"/>
              </w:rPr>
            </w:pPr>
            <w:r w:rsidRPr="008B029F">
              <w:rPr>
                <w:lang w:val="en-AU"/>
              </w:rPr>
              <w:t>Hypothyroidism</w:t>
            </w:r>
          </w:p>
        </w:tc>
        <w:tc>
          <w:tcPr>
            <w:tcW w:w="956" w:type="pct"/>
            <w:vAlign w:val="bottom"/>
          </w:tcPr>
          <w:p w14:paraId="7F774A08" w14:textId="77777777" w:rsidR="00AF2CB8" w:rsidRPr="008B029F" w:rsidRDefault="00AF2CB8">
            <w:pPr>
              <w:pStyle w:val="TableCenter"/>
              <w:rPr>
                <w:lang w:val="en-AU"/>
              </w:rPr>
            </w:pPr>
            <w:r w:rsidRPr="008B029F">
              <w:rPr>
                <w:lang w:val="en-AU"/>
              </w:rPr>
              <w:t>12.1</w:t>
            </w:r>
          </w:p>
        </w:tc>
        <w:tc>
          <w:tcPr>
            <w:tcW w:w="882" w:type="pct"/>
          </w:tcPr>
          <w:p w14:paraId="1E60024E" w14:textId="77777777" w:rsidR="00AF2CB8" w:rsidRPr="008B029F" w:rsidRDefault="00AF2CB8">
            <w:pPr>
              <w:pStyle w:val="TableCenter"/>
              <w:rPr>
                <w:lang w:val="en-AU"/>
              </w:rPr>
            </w:pPr>
            <w:r w:rsidRPr="008B029F">
              <w:rPr>
                <w:lang w:val="en-AU"/>
              </w:rPr>
              <w:t>0</w:t>
            </w:r>
          </w:p>
        </w:tc>
        <w:tc>
          <w:tcPr>
            <w:tcW w:w="986" w:type="pct"/>
            <w:vAlign w:val="bottom"/>
          </w:tcPr>
          <w:p w14:paraId="6445254D" w14:textId="77777777" w:rsidR="00AF2CB8" w:rsidRPr="008B029F" w:rsidRDefault="00AF2CB8">
            <w:pPr>
              <w:pStyle w:val="TableCenter"/>
              <w:rPr>
                <w:lang w:val="en-AU"/>
              </w:rPr>
            </w:pPr>
            <w:r w:rsidRPr="008B029F">
              <w:rPr>
                <w:lang w:val="en-AU"/>
              </w:rPr>
              <w:t>4.3</w:t>
            </w:r>
          </w:p>
        </w:tc>
        <w:tc>
          <w:tcPr>
            <w:tcW w:w="852" w:type="pct"/>
          </w:tcPr>
          <w:p w14:paraId="4BB4F94D" w14:textId="77777777" w:rsidR="00AF2CB8" w:rsidRPr="008B029F" w:rsidRDefault="00AF2CB8">
            <w:pPr>
              <w:pStyle w:val="TableCenter"/>
              <w:rPr>
                <w:lang w:val="en-AU"/>
              </w:rPr>
            </w:pPr>
            <w:r w:rsidRPr="008B029F">
              <w:rPr>
                <w:lang w:val="en-AU"/>
              </w:rPr>
              <w:t>0</w:t>
            </w:r>
          </w:p>
        </w:tc>
      </w:tr>
    </w:tbl>
    <w:p w14:paraId="6710A4F0" w14:textId="77777777" w:rsidR="00AF2CB8" w:rsidRPr="008B029F" w:rsidRDefault="00AF2CB8" w:rsidP="00AF2CB8">
      <w:pPr>
        <w:pStyle w:val="Paragraph"/>
        <w:rPr>
          <w:lang w:val="en-AU"/>
        </w:rPr>
      </w:pPr>
    </w:p>
    <w:p w14:paraId="0494766A" w14:textId="6C405026" w:rsidR="00AF2CB8" w:rsidRPr="008B029F" w:rsidRDefault="00AF2CB8" w:rsidP="00AF2CB8">
      <w:pPr>
        <w:pStyle w:val="Paragraph"/>
        <w:rPr>
          <w:b/>
          <w:bCs/>
          <w:lang w:val="en-AU"/>
        </w:rPr>
      </w:pPr>
      <w:r w:rsidRPr="008B029F">
        <w:rPr>
          <w:color w:val="2B579A"/>
          <w:shd w:val="clear" w:color="auto" w:fill="E6E6E6"/>
          <w:lang w:val="en-AU"/>
        </w:rPr>
        <w:fldChar w:fldCharType="begin"/>
      </w:r>
      <w:r w:rsidRPr="008B029F">
        <w:rPr>
          <w:lang w:val="en-AU"/>
        </w:rPr>
        <w:instrText xml:space="preserve"> REF _Ref124778689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13</w:t>
      </w:r>
      <w:r w:rsidRPr="008B029F">
        <w:rPr>
          <w:color w:val="2B579A"/>
          <w:shd w:val="clear" w:color="auto" w:fill="E6E6E6"/>
          <w:lang w:val="en-AU"/>
        </w:rPr>
        <w:fldChar w:fldCharType="end"/>
      </w:r>
      <w:r w:rsidRPr="008B029F">
        <w:rPr>
          <w:lang w:val="en-AU"/>
        </w:rPr>
        <w:t xml:space="preserve"> summarises the laboratory abnormalities that occurred patients treated with STRIDE in the HIMALAYA study.</w:t>
      </w:r>
    </w:p>
    <w:p w14:paraId="4E8F7136" w14:textId="18B780AE" w:rsidR="00AF2CB8" w:rsidRPr="008B029F" w:rsidRDefault="00AF2CB8" w:rsidP="00AF2CB8">
      <w:pPr>
        <w:pStyle w:val="TableTitle"/>
        <w:rPr>
          <w:lang w:val="en-AU"/>
        </w:rPr>
      </w:pPr>
      <w:bookmarkStart w:id="31" w:name="_Ref124778689"/>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13</w:t>
      </w:r>
      <w:r w:rsidRPr="008B029F">
        <w:rPr>
          <w:color w:val="2B579A"/>
          <w:shd w:val="clear" w:color="auto" w:fill="E6E6E6"/>
          <w:lang w:val="en-AU"/>
        </w:rPr>
        <w:fldChar w:fldCharType="end"/>
      </w:r>
      <w:bookmarkEnd w:id="31"/>
      <w:r w:rsidRPr="008B029F">
        <w:rPr>
          <w:lang w:val="en-AU"/>
        </w:rPr>
        <w:tab/>
        <w:t>Laboratory abnormalities worsening from baseline occurring in ≥ 20%</w:t>
      </w:r>
      <w:r w:rsidRPr="008B029F">
        <w:rPr>
          <w:vertAlign w:val="superscript"/>
          <w:lang w:val="en-AU"/>
        </w:rPr>
        <w:t>a</w:t>
      </w:r>
      <w:r w:rsidRPr="008B029F">
        <w:rPr>
          <w:lang w:val="en-AU"/>
        </w:rPr>
        <w:t xml:space="preserve"> of patients treated with STRIDE in the HIMALAYA study</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0"/>
        <w:gridCol w:w="1837"/>
        <w:gridCol w:w="1708"/>
        <w:gridCol w:w="1841"/>
      </w:tblGrid>
      <w:tr w:rsidR="00AF2CB8" w:rsidRPr="008B029F" w14:paraId="235D42DB" w14:textId="77777777">
        <w:trPr>
          <w:trHeight w:val="198"/>
          <w:tblHeader/>
        </w:trPr>
        <w:tc>
          <w:tcPr>
            <w:tcW w:w="1324" w:type="pct"/>
            <w:vMerge w:val="restart"/>
            <w:tcBorders>
              <w:top w:val="single" w:sz="4" w:space="0" w:color="auto"/>
              <w:left w:val="single" w:sz="4" w:space="0" w:color="auto"/>
              <w:right w:val="single" w:sz="4" w:space="0" w:color="auto"/>
            </w:tcBorders>
            <w:shd w:val="clear" w:color="auto" w:fill="auto"/>
          </w:tcPr>
          <w:p w14:paraId="6FF70100" w14:textId="52D0475C" w:rsidR="00AF2CB8" w:rsidRPr="008B029F" w:rsidRDefault="00AF2CB8">
            <w:pPr>
              <w:pStyle w:val="TableHead"/>
              <w:jc w:val="left"/>
              <w:rPr>
                <w:lang w:val="en-AU"/>
              </w:rPr>
            </w:pPr>
            <w:r w:rsidRPr="008B029F">
              <w:rPr>
                <w:lang w:val="en-AU"/>
              </w:rPr>
              <w:t>Laboratory abnormality</w:t>
            </w:r>
          </w:p>
        </w:tc>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1EE5BC7" w14:textId="77777777" w:rsidR="00AF2CB8" w:rsidRPr="008B029F" w:rsidRDefault="00AF2CB8">
            <w:pPr>
              <w:pStyle w:val="TableHead"/>
              <w:rPr>
                <w:lang w:val="en-AU"/>
              </w:rPr>
            </w:pPr>
            <w:r w:rsidRPr="008B029F">
              <w:rPr>
                <w:lang w:val="en-AU"/>
              </w:rPr>
              <w:t>STRIDE</w:t>
            </w:r>
          </w:p>
        </w:tc>
        <w:tc>
          <w:tcPr>
            <w:tcW w:w="1841" w:type="pct"/>
            <w:gridSpan w:val="2"/>
            <w:tcBorders>
              <w:top w:val="single" w:sz="4" w:space="0" w:color="auto"/>
              <w:left w:val="single" w:sz="4" w:space="0" w:color="auto"/>
              <w:bottom w:val="single" w:sz="4" w:space="0" w:color="auto"/>
              <w:right w:val="single" w:sz="4" w:space="0" w:color="auto"/>
            </w:tcBorders>
          </w:tcPr>
          <w:p w14:paraId="6043C805" w14:textId="77777777" w:rsidR="00AF2CB8" w:rsidRPr="008B029F" w:rsidRDefault="00AF2CB8">
            <w:pPr>
              <w:pStyle w:val="TableHead"/>
              <w:rPr>
                <w:lang w:val="en-AU"/>
              </w:rPr>
            </w:pPr>
            <w:r w:rsidRPr="008B029F">
              <w:rPr>
                <w:lang w:val="en-AU"/>
              </w:rPr>
              <w:t>Sorafenib</w:t>
            </w:r>
          </w:p>
        </w:tc>
      </w:tr>
      <w:tr w:rsidR="00AF2CB8" w:rsidRPr="008B029F" w14:paraId="12DAF420" w14:textId="77777777">
        <w:trPr>
          <w:tblHeader/>
        </w:trPr>
        <w:tc>
          <w:tcPr>
            <w:tcW w:w="1324" w:type="pct"/>
            <w:vMerge/>
            <w:tcBorders>
              <w:left w:val="single" w:sz="4" w:space="0" w:color="auto"/>
              <w:right w:val="single" w:sz="4" w:space="0" w:color="auto"/>
            </w:tcBorders>
            <w:shd w:val="clear" w:color="auto" w:fill="auto"/>
          </w:tcPr>
          <w:p w14:paraId="4BDA99A2" w14:textId="77777777" w:rsidR="00AF2CB8" w:rsidRPr="008B029F" w:rsidRDefault="00AF2CB8">
            <w:pPr>
              <w:pStyle w:val="TableLeft"/>
              <w:rPr>
                <w:lang w:val="en-AU"/>
              </w:rPr>
            </w:pPr>
          </w:p>
        </w:tc>
        <w:tc>
          <w:tcPr>
            <w:tcW w:w="882" w:type="pct"/>
            <w:tcBorders>
              <w:left w:val="single" w:sz="4" w:space="0" w:color="auto"/>
            </w:tcBorders>
          </w:tcPr>
          <w:p w14:paraId="1C44C008" w14:textId="2D55B614" w:rsidR="00AF2CB8" w:rsidRPr="008B029F" w:rsidRDefault="00AF2CB8">
            <w:pPr>
              <w:pStyle w:val="TableHead"/>
              <w:rPr>
                <w:lang w:val="en-AU"/>
              </w:rPr>
            </w:pPr>
            <w:r w:rsidRPr="008B029F">
              <w:rPr>
                <w:lang w:val="en-AU"/>
              </w:rPr>
              <w:t>Any grade</w:t>
            </w:r>
            <w:r w:rsidRPr="008B029F">
              <w:rPr>
                <w:vertAlign w:val="superscript"/>
                <w:lang w:val="en-AU"/>
              </w:rPr>
              <w:t xml:space="preserve">b </w:t>
            </w:r>
            <w:r w:rsidRPr="008B029F">
              <w:rPr>
                <w:lang w:val="en-AU"/>
              </w:rPr>
              <w:t>(%)</w:t>
            </w:r>
            <w:r w:rsidRPr="008B029F">
              <w:rPr>
                <w:vertAlign w:val="superscript"/>
                <w:lang w:val="en-AU"/>
              </w:rPr>
              <w:t>c</w:t>
            </w:r>
          </w:p>
        </w:tc>
        <w:tc>
          <w:tcPr>
            <w:tcW w:w="952" w:type="pct"/>
            <w:shd w:val="clear" w:color="auto" w:fill="auto"/>
          </w:tcPr>
          <w:p w14:paraId="1487C721" w14:textId="727666B4" w:rsidR="00AF2CB8" w:rsidRPr="008B029F" w:rsidRDefault="00AF2CB8">
            <w:pPr>
              <w:pStyle w:val="TableHead"/>
              <w:rPr>
                <w:lang w:val="en-AU"/>
              </w:rPr>
            </w:pPr>
            <w:r w:rsidRPr="008B029F">
              <w:rPr>
                <w:lang w:val="en-AU"/>
              </w:rPr>
              <w:t>Grade 3</w:t>
            </w:r>
            <w:r w:rsidRPr="008B029F">
              <w:rPr>
                <w:vertAlign w:val="superscript"/>
                <w:lang w:val="en-AU"/>
              </w:rPr>
              <w:t>b</w:t>
            </w:r>
            <w:r w:rsidRPr="008B029F">
              <w:rPr>
                <w:lang w:val="en-AU"/>
              </w:rPr>
              <w:t xml:space="preserve"> or 4 (%)</w:t>
            </w:r>
            <w:r w:rsidRPr="008B029F">
              <w:rPr>
                <w:vertAlign w:val="superscript"/>
                <w:lang w:val="en-AU"/>
              </w:rPr>
              <w:t>c</w:t>
            </w:r>
          </w:p>
        </w:tc>
        <w:tc>
          <w:tcPr>
            <w:tcW w:w="886" w:type="pct"/>
          </w:tcPr>
          <w:p w14:paraId="37EEF6C2" w14:textId="48C3B0E6" w:rsidR="00AF2CB8" w:rsidRPr="008B029F" w:rsidRDefault="00AF2CB8">
            <w:pPr>
              <w:pStyle w:val="TableHead"/>
              <w:rPr>
                <w:lang w:val="en-AU"/>
              </w:rPr>
            </w:pPr>
            <w:r w:rsidRPr="008B029F">
              <w:rPr>
                <w:lang w:val="en-AU"/>
              </w:rPr>
              <w:t>Any grade</w:t>
            </w:r>
            <w:r w:rsidRPr="008B029F">
              <w:rPr>
                <w:vertAlign w:val="superscript"/>
                <w:lang w:val="en-AU"/>
              </w:rPr>
              <w:t xml:space="preserve">b </w:t>
            </w:r>
            <w:r w:rsidRPr="008B029F">
              <w:rPr>
                <w:lang w:val="en-AU"/>
              </w:rPr>
              <w:t>(%)</w:t>
            </w:r>
            <w:r w:rsidRPr="008B029F">
              <w:rPr>
                <w:vertAlign w:val="superscript"/>
                <w:lang w:val="en-AU"/>
              </w:rPr>
              <w:t>c</w:t>
            </w:r>
          </w:p>
        </w:tc>
        <w:tc>
          <w:tcPr>
            <w:tcW w:w="955" w:type="pct"/>
          </w:tcPr>
          <w:p w14:paraId="657D4C09" w14:textId="6B66372E" w:rsidR="00AF2CB8" w:rsidRPr="008B029F" w:rsidRDefault="00AF2CB8">
            <w:pPr>
              <w:pStyle w:val="TableHead"/>
              <w:rPr>
                <w:lang w:val="en-AU"/>
              </w:rPr>
            </w:pPr>
            <w:r w:rsidRPr="008B029F">
              <w:rPr>
                <w:lang w:val="en-AU"/>
              </w:rPr>
              <w:t>Grade 3</w:t>
            </w:r>
            <w:r w:rsidRPr="008B029F">
              <w:rPr>
                <w:vertAlign w:val="superscript"/>
                <w:lang w:val="en-AU"/>
              </w:rPr>
              <w:t>b</w:t>
            </w:r>
            <w:r w:rsidRPr="008B029F">
              <w:rPr>
                <w:lang w:val="en-AU"/>
              </w:rPr>
              <w:t xml:space="preserve"> or 4 (%)</w:t>
            </w:r>
            <w:r w:rsidRPr="008B029F">
              <w:rPr>
                <w:vertAlign w:val="superscript"/>
                <w:lang w:val="en-AU"/>
              </w:rPr>
              <w:t>c</w:t>
            </w:r>
          </w:p>
        </w:tc>
      </w:tr>
      <w:tr w:rsidR="00AF2CB8" w:rsidRPr="008B029F" w14:paraId="0C4D2BD9" w14:textId="77777777">
        <w:tc>
          <w:tcPr>
            <w:tcW w:w="5000" w:type="pct"/>
            <w:gridSpan w:val="5"/>
            <w:shd w:val="clear" w:color="auto" w:fill="auto"/>
          </w:tcPr>
          <w:p w14:paraId="74D436F4" w14:textId="77777777" w:rsidR="00AF2CB8" w:rsidRPr="008B029F" w:rsidRDefault="00AF2CB8">
            <w:pPr>
              <w:pStyle w:val="TableCenter"/>
              <w:jc w:val="left"/>
              <w:rPr>
                <w:b/>
                <w:bCs/>
                <w:lang w:val="en-AU"/>
              </w:rPr>
            </w:pPr>
            <w:r w:rsidRPr="008B029F">
              <w:rPr>
                <w:b/>
                <w:bCs/>
                <w:lang w:val="en-AU"/>
              </w:rPr>
              <w:t>Chemistry</w:t>
            </w:r>
          </w:p>
        </w:tc>
      </w:tr>
      <w:tr w:rsidR="00AF2CB8" w:rsidRPr="008B029F" w14:paraId="18CC5812" w14:textId="77777777">
        <w:tc>
          <w:tcPr>
            <w:tcW w:w="1324" w:type="pct"/>
            <w:shd w:val="clear" w:color="auto" w:fill="auto"/>
          </w:tcPr>
          <w:p w14:paraId="0797EB64" w14:textId="4B5FD918" w:rsidR="00AF2CB8" w:rsidRPr="008B029F" w:rsidRDefault="00AF2CB8">
            <w:pPr>
              <w:pStyle w:val="TableLeft"/>
              <w:rPr>
                <w:lang w:val="en-AU"/>
              </w:rPr>
            </w:pPr>
            <w:r w:rsidRPr="008B029F">
              <w:rPr>
                <w:lang w:val="en-AU"/>
              </w:rPr>
              <w:t>Aspartate aminotransferase increased</w:t>
            </w:r>
          </w:p>
        </w:tc>
        <w:tc>
          <w:tcPr>
            <w:tcW w:w="882" w:type="pct"/>
          </w:tcPr>
          <w:p w14:paraId="6A2E20B6" w14:textId="77777777" w:rsidR="00AF2CB8" w:rsidRPr="008B029F" w:rsidRDefault="00AF2CB8">
            <w:pPr>
              <w:pStyle w:val="TableCenter"/>
              <w:rPr>
                <w:lang w:val="en-AU"/>
              </w:rPr>
            </w:pPr>
            <w:r w:rsidRPr="008B029F">
              <w:rPr>
                <w:lang w:val="en-AU"/>
              </w:rPr>
              <w:t>63.1</w:t>
            </w:r>
          </w:p>
        </w:tc>
        <w:tc>
          <w:tcPr>
            <w:tcW w:w="952" w:type="pct"/>
            <w:shd w:val="clear" w:color="auto" w:fill="auto"/>
          </w:tcPr>
          <w:p w14:paraId="06A9C79A" w14:textId="77777777" w:rsidR="00AF2CB8" w:rsidRPr="008B029F" w:rsidRDefault="00AF2CB8">
            <w:pPr>
              <w:pStyle w:val="TableCenter"/>
              <w:rPr>
                <w:lang w:val="en-AU"/>
              </w:rPr>
            </w:pPr>
            <w:r w:rsidRPr="008B029F">
              <w:rPr>
                <w:lang w:val="en-AU"/>
              </w:rPr>
              <w:t>26.8</w:t>
            </w:r>
          </w:p>
        </w:tc>
        <w:tc>
          <w:tcPr>
            <w:tcW w:w="886" w:type="pct"/>
          </w:tcPr>
          <w:p w14:paraId="3A5B1E7C" w14:textId="77777777" w:rsidR="00AF2CB8" w:rsidRPr="008B029F" w:rsidRDefault="00AF2CB8">
            <w:pPr>
              <w:pStyle w:val="TableCenter"/>
              <w:rPr>
                <w:lang w:val="en-AU"/>
              </w:rPr>
            </w:pPr>
            <w:r w:rsidRPr="008B029F">
              <w:rPr>
                <w:lang w:val="en-AU"/>
              </w:rPr>
              <w:t>54.6</w:t>
            </w:r>
          </w:p>
        </w:tc>
        <w:tc>
          <w:tcPr>
            <w:tcW w:w="955" w:type="pct"/>
          </w:tcPr>
          <w:p w14:paraId="54AD5615" w14:textId="77777777" w:rsidR="00AF2CB8" w:rsidRPr="008B029F" w:rsidRDefault="00AF2CB8">
            <w:pPr>
              <w:pStyle w:val="TableCenter"/>
              <w:rPr>
                <w:lang w:val="en-AU"/>
              </w:rPr>
            </w:pPr>
            <w:r w:rsidRPr="008B029F">
              <w:rPr>
                <w:lang w:val="en-AU"/>
              </w:rPr>
              <w:t>21.1</w:t>
            </w:r>
          </w:p>
        </w:tc>
      </w:tr>
      <w:tr w:rsidR="00AF2CB8" w:rsidRPr="008B029F" w14:paraId="46D4FFCC" w14:textId="77777777">
        <w:tc>
          <w:tcPr>
            <w:tcW w:w="1324" w:type="pct"/>
            <w:shd w:val="clear" w:color="auto" w:fill="auto"/>
          </w:tcPr>
          <w:p w14:paraId="725B685A" w14:textId="37185173" w:rsidR="00AF2CB8" w:rsidRPr="008B029F" w:rsidRDefault="00AF2CB8">
            <w:pPr>
              <w:pStyle w:val="TableLeft"/>
              <w:rPr>
                <w:lang w:val="en-AU"/>
              </w:rPr>
            </w:pPr>
            <w:r w:rsidRPr="008B029F">
              <w:rPr>
                <w:lang w:val="en-AU"/>
              </w:rPr>
              <w:t>Alanine aminotransferase increased</w:t>
            </w:r>
          </w:p>
        </w:tc>
        <w:tc>
          <w:tcPr>
            <w:tcW w:w="882" w:type="pct"/>
          </w:tcPr>
          <w:p w14:paraId="37BF3F47" w14:textId="77777777" w:rsidR="00AF2CB8" w:rsidRPr="008B029F" w:rsidRDefault="00AF2CB8">
            <w:pPr>
              <w:pStyle w:val="TableCenter"/>
              <w:rPr>
                <w:lang w:val="en-AU"/>
              </w:rPr>
            </w:pPr>
            <w:r w:rsidRPr="008B029F">
              <w:rPr>
                <w:lang w:val="en-AU"/>
              </w:rPr>
              <w:t>56.2</w:t>
            </w:r>
          </w:p>
        </w:tc>
        <w:tc>
          <w:tcPr>
            <w:tcW w:w="952" w:type="pct"/>
            <w:shd w:val="clear" w:color="auto" w:fill="auto"/>
          </w:tcPr>
          <w:p w14:paraId="3EEB66ED" w14:textId="77777777" w:rsidR="00AF2CB8" w:rsidRPr="008B029F" w:rsidRDefault="00AF2CB8">
            <w:pPr>
              <w:pStyle w:val="TableCenter"/>
              <w:rPr>
                <w:lang w:val="en-AU"/>
              </w:rPr>
            </w:pPr>
            <w:r w:rsidRPr="008B029F">
              <w:rPr>
                <w:lang w:val="en-AU"/>
              </w:rPr>
              <w:t>17.8</w:t>
            </w:r>
          </w:p>
        </w:tc>
        <w:tc>
          <w:tcPr>
            <w:tcW w:w="886" w:type="pct"/>
          </w:tcPr>
          <w:p w14:paraId="67D86DA8" w14:textId="77777777" w:rsidR="00AF2CB8" w:rsidRPr="008B029F" w:rsidRDefault="00AF2CB8">
            <w:pPr>
              <w:pStyle w:val="TableCenter"/>
              <w:rPr>
                <w:lang w:val="en-AU"/>
              </w:rPr>
            </w:pPr>
            <w:r w:rsidRPr="008B029F">
              <w:rPr>
                <w:lang w:val="en-AU"/>
              </w:rPr>
              <w:t>52.6</w:t>
            </w:r>
          </w:p>
        </w:tc>
        <w:tc>
          <w:tcPr>
            <w:tcW w:w="955" w:type="pct"/>
          </w:tcPr>
          <w:p w14:paraId="74F3C4E2" w14:textId="77777777" w:rsidR="00AF2CB8" w:rsidRPr="008B029F" w:rsidRDefault="00AF2CB8">
            <w:pPr>
              <w:pStyle w:val="TableCenter"/>
              <w:rPr>
                <w:lang w:val="en-AU"/>
              </w:rPr>
            </w:pPr>
            <w:r w:rsidRPr="008B029F">
              <w:rPr>
                <w:lang w:val="en-AU"/>
              </w:rPr>
              <w:t>12.2</w:t>
            </w:r>
          </w:p>
        </w:tc>
      </w:tr>
      <w:tr w:rsidR="00AF2CB8" w:rsidRPr="008B029F" w14:paraId="259A6C1F" w14:textId="77777777">
        <w:tc>
          <w:tcPr>
            <w:tcW w:w="1324" w:type="pct"/>
            <w:shd w:val="clear" w:color="auto" w:fill="auto"/>
          </w:tcPr>
          <w:p w14:paraId="74660BF3" w14:textId="77777777" w:rsidR="00AF2CB8" w:rsidRPr="008B029F" w:rsidRDefault="00AF2CB8">
            <w:pPr>
              <w:pStyle w:val="TableLeft"/>
              <w:rPr>
                <w:lang w:val="en-AU"/>
              </w:rPr>
            </w:pPr>
            <w:r w:rsidRPr="008B029F">
              <w:rPr>
                <w:lang w:val="en-AU"/>
              </w:rPr>
              <w:t>Sodium decreased</w:t>
            </w:r>
          </w:p>
        </w:tc>
        <w:tc>
          <w:tcPr>
            <w:tcW w:w="882" w:type="pct"/>
          </w:tcPr>
          <w:p w14:paraId="09E55720" w14:textId="77777777" w:rsidR="00AF2CB8" w:rsidRPr="008B029F" w:rsidRDefault="00AF2CB8">
            <w:pPr>
              <w:pStyle w:val="TableCenter"/>
              <w:rPr>
                <w:lang w:val="en-AU"/>
              </w:rPr>
            </w:pPr>
            <w:r w:rsidRPr="008B029F">
              <w:rPr>
                <w:lang w:val="en-AU"/>
              </w:rPr>
              <w:t>46.0</w:t>
            </w:r>
          </w:p>
        </w:tc>
        <w:tc>
          <w:tcPr>
            <w:tcW w:w="952" w:type="pct"/>
            <w:shd w:val="clear" w:color="auto" w:fill="auto"/>
          </w:tcPr>
          <w:p w14:paraId="3E4C2531" w14:textId="77777777" w:rsidR="00AF2CB8" w:rsidRPr="008B029F" w:rsidRDefault="00AF2CB8">
            <w:pPr>
              <w:pStyle w:val="TableCenter"/>
              <w:rPr>
                <w:lang w:val="en-AU"/>
              </w:rPr>
            </w:pPr>
            <w:r w:rsidRPr="008B029F">
              <w:rPr>
                <w:lang w:val="en-AU"/>
              </w:rPr>
              <w:t>15.3</w:t>
            </w:r>
          </w:p>
        </w:tc>
        <w:tc>
          <w:tcPr>
            <w:tcW w:w="886" w:type="pct"/>
          </w:tcPr>
          <w:p w14:paraId="0A3B95FB" w14:textId="77777777" w:rsidR="00AF2CB8" w:rsidRPr="008B029F" w:rsidRDefault="00AF2CB8">
            <w:pPr>
              <w:pStyle w:val="TableCenter"/>
              <w:rPr>
                <w:lang w:val="en-AU"/>
              </w:rPr>
            </w:pPr>
            <w:r w:rsidRPr="008B029F">
              <w:rPr>
                <w:lang w:val="en-AU"/>
              </w:rPr>
              <w:t>39.8</w:t>
            </w:r>
          </w:p>
        </w:tc>
        <w:tc>
          <w:tcPr>
            <w:tcW w:w="955" w:type="pct"/>
          </w:tcPr>
          <w:p w14:paraId="2AF5751C" w14:textId="77777777" w:rsidR="00AF2CB8" w:rsidRPr="008B029F" w:rsidRDefault="00AF2CB8">
            <w:pPr>
              <w:pStyle w:val="TableCenter"/>
              <w:rPr>
                <w:lang w:val="en-AU"/>
              </w:rPr>
            </w:pPr>
            <w:r w:rsidRPr="008B029F">
              <w:rPr>
                <w:lang w:val="en-AU"/>
              </w:rPr>
              <w:t>11.1</w:t>
            </w:r>
          </w:p>
        </w:tc>
      </w:tr>
      <w:tr w:rsidR="00AF2CB8" w:rsidRPr="008B029F" w14:paraId="0076B9BC" w14:textId="77777777">
        <w:tc>
          <w:tcPr>
            <w:tcW w:w="1324" w:type="pct"/>
            <w:shd w:val="clear" w:color="auto" w:fill="auto"/>
          </w:tcPr>
          <w:p w14:paraId="30329689" w14:textId="77777777" w:rsidR="00AF2CB8" w:rsidRPr="008B029F" w:rsidRDefault="00AF2CB8">
            <w:pPr>
              <w:pStyle w:val="TableLeft"/>
              <w:rPr>
                <w:lang w:val="en-AU"/>
              </w:rPr>
            </w:pPr>
            <w:r w:rsidRPr="008B029F">
              <w:rPr>
                <w:lang w:val="en-AU"/>
              </w:rPr>
              <w:t>Bilirubin increased</w:t>
            </w:r>
          </w:p>
        </w:tc>
        <w:tc>
          <w:tcPr>
            <w:tcW w:w="882" w:type="pct"/>
          </w:tcPr>
          <w:p w14:paraId="1FC5E53B" w14:textId="77777777" w:rsidR="00AF2CB8" w:rsidRPr="008B029F" w:rsidRDefault="00AF2CB8">
            <w:pPr>
              <w:pStyle w:val="TableCenter"/>
              <w:rPr>
                <w:lang w:val="en-AU"/>
              </w:rPr>
            </w:pPr>
            <w:r w:rsidRPr="008B029F">
              <w:rPr>
                <w:lang w:val="en-AU"/>
              </w:rPr>
              <w:t>41.4</w:t>
            </w:r>
          </w:p>
        </w:tc>
        <w:tc>
          <w:tcPr>
            <w:tcW w:w="952" w:type="pct"/>
            <w:shd w:val="clear" w:color="auto" w:fill="auto"/>
          </w:tcPr>
          <w:p w14:paraId="05F7CBA6" w14:textId="77777777" w:rsidR="00AF2CB8" w:rsidRPr="008B029F" w:rsidRDefault="00AF2CB8">
            <w:pPr>
              <w:pStyle w:val="TableCenter"/>
              <w:rPr>
                <w:lang w:val="en-AU"/>
              </w:rPr>
            </w:pPr>
            <w:r w:rsidRPr="008B029F">
              <w:rPr>
                <w:lang w:val="en-AU"/>
              </w:rPr>
              <w:t>8.2</w:t>
            </w:r>
          </w:p>
        </w:tc>
        <w:tc>
          <w:tcPr>
            <w:tcW w:w="886" w:type="pct"/>
          </w:tcPr>
          <w:p w14:paraId="0E4C5029" w14:textId="77777777" w:rsidR="00AF2CB8" w:rsidRPr="008B029F" w:rsidRDefault="00AF2CB8">
            <w:pPr>
              <w:pStyle w:val="TableCenter"/>
              <w:rPr>
                <w:lang w:val="en-AU"/>
              </w:rPr>
            </w:pPr>
            <w:r w:rsidRPr="008B029F">
              <w:rPr>
                <w:lang w:val="en-AU"/>
              </w:rPr>
              <w:t>47.4</w:t>
            </w:r>
          </w:p>
        </w:tc>
        <w:tc>
          <w:tcPr>
            <w:tcW w:w="955" w:type="pct"/>
          </w:tcPr>
          <w:p w14:paraId="20ABF8DB" w14:textId="77777777" w:rsidR="00AF2CB8" w:rsidRPr="008B029F" w:rsidRDefault="00AF2CB8">
            <w:pPr>
              <w:pStyle w:val="TableCenter"/>
              <w:rPr>
                <w:lang w:val="en-AU"/>
              </w:rPr>
            </w:pPr>
            <w:r w:rsidRPr="008B029F">
              <w:rPr>
                <w:lang w:val="en-AU"/>
              </w:rPr>
              <w:t>10.5</w:t>
            </w:r>
          </w:p>
        </w:tc>
      </w:tr>
      <w:tr w:rsidR="00AF2CB8" w:rsidRPr="008B029F" w14:paraId="7554184D" w14:textId="77777777">
        <w:tc>
          <w:tcPr>
            <w:tcW w:w="1324" w:type="pct"/>
            <w:shd w:val="clear" w:color="auto" w:fill="auto"/>
          </w:tcPr>
          <w:p w14:paraId="65C02268" w14:textId="3AF9798D" w:rsidR="00AF2CB8" w:rsidRPr="008B029F" w:rsidRDefault="00AF2CB8">
            <w:pPr>
              <w:pStyle w:val="TableLeft"/>
              <w:rPr>
                <w:lang w:val="en-AU"/>
              </w:rPr>
            </w:pPr>
            <w:r w:rsidRPr="008B029F">
              <w:rPr>
                <w:lang w:val="en-AU"/>
              </w:rPr>
              <w:lastRenderedPageBreak/>
              <w:t>Alkaline phosphatase increased</w:t>
            </w:r>
          </w:p>
        </w:tc>
        <w:tc>
          <w:tcPr>
            <w:tcW w:w="882" w:type="pct"/>
          </w:tcPr>
          <w:p w14:paraId="16F4EA11" w14:textId="77777777" w:rsidR="00AF2CB8" w:rsidRPr="008B029F" w:rsidRDefault="00AF2CB8">
            <w:pPr>
              <w:pStyle w:val="TableCenter"/>
              <w:rPr>
                <w:lang w:val="en-AU"/>
              </w:rPr>
            </w:pPr>
            <w:r w:rsidRPr="008B029F">
              <w:rPr>
                <w:lang w:val="en-AU"/>
              </w:rPr>
              <w:t>41.2</w:t>
            </w:r>
          </w:p>
        </w:tc>
        <w:tc>
          <w:tcPr>
            <w:tcW w:w="952" w:type="pct"/>
            <w:shd w:val="clear" w:color="auto" w:fill="auto"/>
          </w:tcPr>
          <w:p w14:paraId="4CC45DE6" w14:textId="77777777" w:rsidR="00AF2CB8" w:rsidRPr="008B029F" w:rsidRDefault="00AF2CB8">
            <w:pPr>
              <w:pStyle w:val="TableCenter"/>
              <w:rPr>
                <w:lang w:val="en-AU"/>
              </w:rPr>
            </w:pPr>
            <w:r w:rsidRPr="008B029F">
              <w:rPr>
                <w:lang w:val="en-AU"/>
              </w:rPr>
              <w:t>8.3</w:t>
            </w:r>
          </w:p>
        </w:tc>
        <w:tc>
          <w:tcPr>
            <w:tcW w:w="886" w:type="pct"/>
          </w:tcPr>
          <w:p w14:paraId="24532496" w14:textId="77777777" w:rsidR="00AF2CB8" w:rsidRPr="008B029F" w:rsidRDefault="00AF2CB8">
            <w:pPr>
              <w:pStyle w:val="TableCenter"/>
              <w:rPr>
                <w:lang w:val="en-AU"/>
              </w:rPr>
            </w:pPr>
            <w:r w:rsidRPr="008B029F">
              <w:rPr>
                <w:lang w:val="en-AU"/>
              </w:rPr>
              <w:t>44.4</w:t>
            </w:r>
          </w:p>
        </w:tc>
        <w:tc>
          <w:tcPr>
            <w:tcW w:w="955" w:type="pct"/>
          </w:tcPr>
          <w:p w14:paraId="24AF54C7" w14:textId="77777777" w:rsidR="00AF2CB8" w:rsidRPr="008B029F" w:rsidRDefault="00AF2CB8">
            <w:pPr>
              <w:pStyle w:val="TableCenter"/>
              <w:rPr>
                <w:lang w:val="en-AU"/>
              </w:rPr>
            </w:pPr>
            <w:r w:rsidRPr="008B029F">
              <w:rPr>
                <w:lang w:val="en-AU"/>
              </w:rPr>
              <w:t>5.4</w:t>
            </w:r>
          </w:p>
        </w:tc>
      </w:tr>
      <w:tr w:rsidR="00AF2CB8" w:rsidRPr="008B029F" w14:paraId="3E0AAA73" w14:textId="77777777">
        <w:tc>
          <w:tcPr>
            <w:tcW w:w="1324" w:type="pct"/>
            <w:shd w:val="clear" w:color="auto" w:fill="auto"/>
          </w:tcPr>
          <w:p w14:paraId="36354326" w14:textId="77777777" w:rsidR="00AF2CB8" w:rsidRPr="008B029F" w:rsidRDefault="00AF2CB8">
            <w:pPr>
              <w:pStyle w:val="TableLeft"/>
              <w:rPr>
                <w:lang w:val="en-AU"/>
              </w:rPr>
            </w:pPr>
            <w:r w:rsidRPr="008B029F">
              <w:rPr>
                <w:lang w:val="en-AU"/>
              </w:rPr>
              <w:t>Glucose increased</w:t>
            </w:r>
          </w:p>
        </w:tc>
        <w:tc>
          <w:tcPr>
            <w:tcW w:w="882" w:type="pct"/>
          </w:tcPr>
          <w:p w14:paraId="345DE857" w14:textId="77777777" w:rsidR="00AF2CB8" w:rsidRPr="008B029F" w:rsidRDefault="00AF2CB8">
            <w:pPr>
              <w:pStyle w:val="TableCenter"/>
              <w:rPr>
                <w:lang w:val="en-AU"/>
              </w:rPr>
            </w:pPr>
            <w:r w:rsidRPr="008B029F">
              <w:rPr>
                <w:lang w:val="en-AU"/>
              </w:rPr>
              <w:t>38.9</w:t>
            </w:r>
          </w:p>
        </w:tc>
        <w:tc>
          <w:tcPr>
            <w:tcW w:w="952" w:type="pct"/>
            <w:shd w:val="clear" w:color="auto" w:fill="auto"/>
          </w:tcPr>
          <w:p w14:paraId="11A71BCA" w14:textId="77777777" w:rsidR="00AF2CB8" w:rsidRPr="008B029F" w:rsidRDefault="00AF2CB8">
            <w:pPr>
              <w:pStyle w:val="TableCenter"/>
              <w:rPr>
                <w:lang w:val="en-AU"/>
              </w:rPr>
            </w:pPr>
            <w:r w:rsidRPr="008B029F">
              <w:rPr>
                <w:lang w:val="en-AU"/>
              </w:rPr>
              <w:t>13.5</w:t>
            </w:r>
          </w:p>
        </w:tc>
        <w:tc>
          <w:tcPr>
            <w:tcW w:w="886" w:type="pct"/>
          </w:tcPr>
          <w:p w14:paraId="52E1C11D" w14:textId="77777777" w:rsidR="00AF2CB8" w:rsidRPr="008B029F" w:rsidRDefault="00AF2CB8">
            <w:pPr>
              <w:pStyle w:val="TableCenter"/>
              <w:rPr>
                <w:lang w:val="en-AU"/>
              </w:rPr>
            </w:pPr>
            <w:r w:rsidRPr="008B029F">
              <w:rPr>
                <w:lang w:val="en-AU"/>
              </w:rPr>
              <w:t>29.1</w:t>
            </w:r>
          </w:p>
        </w:tc>
        <w:tc>
          <w:tcPr>
            <w:tcW w:w="955" w:type="pct"/>
          </w:tcPr>
          <w:p w14:paraId="39BA603C" w14:textId="77777777" w:rsidR="00AF2CB8" w:rsidRPr="008B029F" w:rsidRDefault="00AF2CB8">
            <w:pPr>
              <w:pStyle w:val="TableCenter"/>
              <w:rPr>
                <w:lang w:val="en-AU"/>
              </w:rPr>
            </w:pPr>
            <w:r w:rsidRPr="008B029F">
              <w:rPr>
                <w:lang w:val="en-AU"/>
              </w:rPr>
              <w:t>3.7</w:t>
            </w:r>
          </w:p>
        </w:tc>
      </w:tr>
      <w:tr w:rsidR="00AF2CB8" w:rsidRPr="008B029F" w14:paraId="1D7E4BFB" w14:textId="77777777">
        <w:tc>
          <w:tcPr>
            <w:tcW w:w="1324" w:type="pct"/>
            <w:shd w:val="clear" w:color="auto" w:fill="auto"/>
          </w:tcPr>
          <w:p w14:paraId="3A39D0A6" w14:textId="77777777" w:rsidR="00AF2CB8" w:rsidRPr="008B029F" w:rsidRDefault="00AF2CB8">
            <w:pPr>
              <w:pStyle w:val="TableLeft"/>
              <w:rPr>
                <w:lang w:val="en-AU"/>
              </w:rPr>
            </w:pPr>
            <w:r w:rsidRPr="008B029F">
              <w:rPr>
                <w:lang w:val="en-AU"/>
              </w:rPr>
              <w:t>Calcium decreased</w:t>
            </w:r>
          </w:p>
        </w:tc>
        <w:tc>
          <w:tcPr>
            <w:tcW w:w="882" w:type="pct"/>
          </w:tcPr>
          <w:p w14:paraId="57064619" w14:textId="77777777" w:rsidR="00AF2CB8" w:rsidRPr="008B029F" w:rsidRDefault="00AF2CB8">
            <w:pPr>
              <w:pStyle w:val="TableCenter"/>
              <w:rPr>
                <w:lang w:val="en-AU"/>
              </w:rPr>
            </w:pPr>
            <w:r w:rsidRPr="008B029F">
              <w:rPr>
                <w:lang w:val="en-AU"/>
              </w:rPr>
              <w:t>33.5</w:t>
            </w:r>
          </w:p>
        </w:tc>
        <w:tc>
          <w:tcPr>
            <w:tcW w:w="952" w:type="pct"/>
            <w:shd w:val="clear" w:color="auto" w:fill="auto"/>
          </w:tcPr>
          <w:p w14:paraId="26BC0619" w14:textId="77777777" w:rsidR="00AF2CB8" w:rsidRPr="008B029F" w:rsidRDefault="00AF2CB8">
            <w:pPr>
              <w:pStyle w:val="TableCenter"/>
              <w:rPr>
                <w:lang w:val="en-AU"/>
              </w:rPr>
            </w:pPr>
            <w:r w:rsidRPr="008B029F">
              <w:rPr>
                <w:lang w:val="en-AU"/>
              </w:rPr>
              <w:t>0</w:t>
            </w:r>
          </w:p>
        </w:tc>
        <w:tc>
          <w:tcPr>
            <w:tcW w:w="886" w:type="pct"/>
          </w:tcPr>
          <w:p w14:paraId="1642BED5" w14:textId="77777777" w:rsidR="00AF2CB8" w:rsidRPr="008B029F" w:rsidRDefault="00AF2CB8">
            <w:pPr>
              <w:pStyle w:val="TableCenter"/>
              <w:rPr>
                <w:lang w:val="en-AU"/>
              </w:rPr>
            </w:pPr>
            <w:r w:rsidRPr="008B029F">
              <w:rPr>
                <w:lang w:val="en-AU"/>
              </w:rPr>
              <w:t>43.0</w:t>
            </w:r>
          </w:p>
        </w:tc>
        <w:tc>
          <w:tcPr>
            <w:tcW w:w="955" w:type="pct"/>
          </w:tcPr>
          <w:p w14:paraId="199FAB60" w14:textId="77777777" w:rsidR="00AF2CB8" w:rsidRPr="008B029F" w:rsidRDefault="00AF2CB8">
            <w:pPr>
              <w:pStyle w:val="TableCenter"/>
              <w:rPr>
                <w:lang w:val="en-AU"/>
              </w:rPr>
            </w:pPr>
            <w:r w:rsidRPr="008B029F">
              <w:rPr>
                <w:lang w:val="en-AU"/>
              </w:rPr>
              <w:t>0.3</w:t>
            </w:r>
          </w:p>
        </w:tc>
      </w:tr>
      <w:tr w:rsidR="00AF2CB8" w:rsidRPr="008B029F" w14:paraId="3ABC0CAE" w14:textId="77777777">
        <w:tc>
          <w:tcPr>
            <w:tcW w:w="1324" w:type="pct"/>
            <w:shd w:val="clear" w:color="auto" w:fill="auto"/>
          </w:tcPr>
          <w:p w14:paraId="1135A850" w14:textId="77777777" w:rsidR="00AF2CB8" w:rsidRPr="008B029F" w:rsidRDefault="00AF2CB8">
            <w:pPr>
              <w:pStyle w:val="TableLeft"/>
              <w:rPr>
                <w:lang w:val="en-AU"/>
              </w:rPr>
            </w:pPr>
            <w:r w:rsidRPr="008B029F">
              <w:rPr>
                <w:lang w:val="en-AU"/>
              </w:rPr>
              <w:t>Albumin decreased</w:t>
            </w:r>
          </w:p>
        </w:tc>
        <w:tc>
          <w:tcPr>
            <w:tcW w:w="882" w:type="pct"/>
          </w:tcPr>
          <w:p w14:paraId="5286CD84" w14:textId="77777777" w:rsidR="00AF2CB8" w:rsidRPr="008B029F" w:rsidRDefault="00AF2CB8">
            <w:pPr>
              <w:pStyle w:val="TableCenter"/>
              <w:rPr>
                <w:lang w:val="en-AU"/>
              </w:rPr>
            </w:pPr>
            <w:r w:rsidRPr="008B029F">
              <w:rPr>
                <w:lang w:val="en-AU"/>
              </w:rPr>
              <w:t>31.3</w:t>
            </w:r>
          </w:p>
        </w:tc>
        <w:tc>
          <w:tcPr>
            <w:tcW w:w="952" w:type="pct"/>
            <w:shd w:val="clear" w:color="auto" w:fill="auto"/>
          </w:tcPr>
          <w:p w14:paraId="18873399" w14:textId="77777777" w:rsidR="00AF2CB8" w:rsidRPr="008B029F" w:rsidRDefault="00AF2CB8">
            <w:pPr>
              <w:pStyle w:val="TableCenter"/>
              <w:rPr>
                <w:lang w:val="en-AU"/>
              </w:rPr>
            </w:pPr>
            <w:r w:rsidRPr="008B029F">
              <w:rPr>
                <w:lang w:val="en-AU"/>
              </w:rPr>
              <w:t>0.5</w:t>
            </w:r>
          </w:p>
        </w:tc>
        <w:tc>
          <w:tcPr>
            <w:tcW w:w="886" w:type="pct"/>
          </w:tcPr>
          <w:p w14:paraId="15D3249D" w14:textId="77777777" w:rsidR="00AF2CB8" w:rsidRPr="008B029F" w:rsidRDefault="00AF2CB8">
            <w:pPr>
              <w:pStyle w:val="TableCenter"/>
              <w:rPr>
                <w:lang w:val="en-AU"/>
              </w:rPr>
            </w:pPr>
            <w:r w:rsidRPr="008B029F">
              <w:rPr>
                <w:lang w:val="en-AU"/>
              </w:rPr>
              <w:t>37.1</w:t>
            </w:r>
          </w:p>
        </w:tc>
        <w:tc>
          <w:tcPr>
            <w:tcW w:w="955" w:type="pct"/>
          </w:tcPr>
          <w:p w14:paraId="60305F12" w14:textId="77777777" w:rsidR="00AF2CB8" w:rsidRPr="008B029F" w:rsidRDefault="00AF2CB8">
            <w:pPr>
              <w:pStyle w:val="TableCenter"/>
              <w:rPr>
                <w:lang w:val="en-AU"/>
              </w:rPr>
            </w:pPr>
            <w:r w:rsidRPr="008B029F">
              <w:rPr>
                <w:lang w:val="en-AU"/>
              </w:rPr>
              <w:t>1.7</w:t>
            </w:r>
          </w:p>
        </w:tc>
      </w:tr>
      <w:tr w:rsidR="00AF2CB8" w:rsidRPr="008B029F" w14:paraId="2F295329" w14:textId="77777777">
        <w:tc>
          <w:tcPr>
            <w:tcW w:w="1324" w:type="pct"/>
            <w:shd w:val="clear" w:color="auto" w:fill="auto"/>
          </w:tcPr>
          <w:p w14:paraId="5B3F5291" w14:textId="77777777" w:rsidR="00AF2CB8" w:rsidRPr="008B029F" w:rsidRDefault="00AF2CB8">
            <w:pPr>
              <w:pStyle w:val="TableLeft"/>
              <w:rPr>
                <w:lang w:val="en-AU"/>
              </w:rPr>
            </w:pPr>
            <w:r w:rsidRPr="008B029F">
              <w:rPr>
                <w:lang w:val="en-AU"/>
              </w:rPr>
              <w:t>Potassium increased</w:t>
            </w:r>
          </w:p>
        </w:tc>
        <w:tc>
          <w:tcPr>
            <w:tcW w:w="882" w:type="pct"/>
          </w:tcPr>
          <w:p w14:paraId="274F58F9" w14:textId="77777777" w:rsidR="00AF2CB8" w:rsidRPr="008B029F" w:rsidRDefault="00AF2CB8">
            <w:pPr>
              <w:pStyle w:val="TableCenter"/>
              <w:rPr>
                <w:lang w:val="en-AU"/>
              </w:rPr>
            </w:pPr>
            <w:r w:rsidRPr="008B029F">
              <w:rPr>
                <w:lang w:val="en-AU"/>
              </w:rPr>
              <w:t>28.4</w:t>
            </w:r>
          </w:p>
        </w:tc>
        <w:tc>
          <w:tcPr>
            <w:tcW w:w="952" w:type="pct"/>
            <w:shd w:val="clear" w:color="auto" w:fill="auto"/>
          </w:tcPr>
          <w:p w14:paraId="2A150932" w14:textId="77777777" w:rsidR="00AF2CB8" w:rsidRPr="008B029F" w:rsidRDefault="00AF2CB8">
            <w:pPr>
              <w:pStyle w:val="TableCenter"/>
              <w:rPr>
                <w:lang w:val="en-AU"/>
              </w:rPr>
            </w:pPr>
            <w:r w:rsidRPr="008B029F">
              <w:rPr>
                <w:lang w:val="en-AU"/>
              </w:rPr>
              <w:t>3.8</w:t>
            </w:r>
          </w:p>
        </w:tc>
        <w:tc>
          <w:tcPr>
            <w:tcW w:w="886" w:type="pct"/>
          </w:tcPr>
          <w:p w14:paraId="040E9A9C" w14:textId="77777777" w:rsidR="00AF2CB8" w:rsidRPr="008B029F" w:rsidRDefault="00AF2CB8">
            <w:pPr>
              <w:pStyle w:val="TableCenter"/>
              <w:rPr>
                <w:lang w:val="en-AU"/>
              </w:rPr>
            </w:pPr>
            <w:r w:rsidRPr="008B029F">
              <w:rPr>
                <w:lang w:val="en-AU"/>
              </w:rPr>
              <w:t>21.3</w:t>
            </w:r>
          </w:p>
        </w:tc>
        <w:tc>
          <w:tcPr>
            <w:tcW w:w="955" w:type="pct"/>
          </w:tcPr>
          <w:p w14:paraId="3F4E052D" w14:textId="77777777" w:rsidR="00AF2CB8" w:rsidRPr="008B029F" w:rsidRDefault="00AF2CB8">
            <w:pPr>
              <w:pStyle w:val="TableCenter"/>
              <w:rPr>
                <w:lang w:val="en-AU"/>
              </w:rPr>
            </w:pPr>
            <w:r w:rsidRPr="008B029F">
              <w:rPr>
                <w:lang w:val="en-AU"/>
              </w:rPr>
              <w:t>2.6</w:t>
            </w:r>
          </w:p>
        </w:tc>
      </w:tr>
      <w:tr w:rsidR="00AF2CB8" w:rsidRPr="008B029F" w14:paraId="7870A085" w14:textId="77777777">
        <w:tc>
          <w:tcPr>
            <w:tcW w:w="1324" w:type="pct"/>
            <w:shd w:val="clear" w:color="auto" w:fill="auto"/>
          </w:tcPr>
          <w:p w14:paraId="5F680E21" w14:textId="77777777" w:rsidR="00AF2CB8" w:rsidRPr="008B029F" w:rsidRDefault="00AF2CB8">
            <w:pPr>
              <w:pStyle w:val="TableLeft"/>
              <w:rPr>
                <w:lang w:val="en-AU"/>
              </w:rPr>
            </w:pPr>
            <w:r w:rsidRPr="008B029F">
              <w:rPr>
                <w:lang w:val="en-AU"/>
              </w:rPr>
              <w:t>Creatinine increased</w:t>
            </w:r>
          </w:p>
        </w:tc>
        <w:tc>
          <w:tcPr>
            <w:tcW w:w="882" w:type="pct"/>
          </w:tcPr>
          <w:p w14:paraId="35F2F7B5" w14:textId="77777777" w:rsidR="00AF2CB8" w:rsidRPr="008B029F" w:rsidRDefault="00AF2CB8">
            <w:pPr>
              <w:pStyle w:val="TableCenter"/>
              <w:rPr>
                <w:lang w:val="en-AU"/>
              </w:rPr>
            </w:pPr>
            <w:r w:rsidRPr="008B029F">
              <w:rPr>
                <w:lang w:val="en-AU"/>
              </w:rPr>
              <w:t>20.9</w:t>
            </w:r>
          </w:p>
        </w:tc>
        <w:tc>
          <w:tcPr>
            <w:tcW w:w="952" w:type="pct"/>
            <w:shd w:val="clear" w:color="auto" w:fill="auto"/>
          </w:tcPr>
          <w:p w14:paraId="4515ADED" w14:textId="77777777" w:rsidR="00AF2CB8" w:rsidRPr="008B029F" w:rsidRDefault="00AF2CB8">
            <w:pPr>
              <w:pStyle w:val="TableCenter"/>
              <w:rPr>
                <w:lang w:val="en-AU"/>
              </w:rPr>
            </w:pPr>
            <w:r w:rsidRPr="008B029F">
              <w:rPr>
                <w:lang w:val="en-AU"/>
              </w:rPr>
              <w:t>1.3</w:t>
            </w:r>
          </w:p>
        </w:tc>
        <w:tc>
          <w:tcPr>
            <w:tcW w:w="886" w:type="pct"/>
          </w:tcPr>
          <w:p w14:paraId="6BBE2866" w14:textId="77777777" w:rsidR="00AF2CB8" w:rsidRPr="008B029F" w:rsidRDefault="00AF2CB8">
            <w:pPr>
              <w:pStyle w:val="TableCenter"/>
              <w:rPr>
                <w:lang w:val="en-AU"/>
              </w:rPr>
            </w:pPr>
            <w:r w:rsidRPr="008B029F">
              <w:rPr>
                <w:lang w:val="en-AU"/>
              </w:rPr>
              <w:t>14.8</w:t>
            </w:r>
          </w:p>
        </w:tc>
        <w:tc>
          <w:tcPr>
            <w:tcW w:w="955" w:type="pct"/>
          </w:tcPr>
          <w:p w14:paraId="7920BFF2" w14:textId="77777777" w:rsidR="00AF2CB8" w:rsidRPr="008B029F" w:rsidRDefault="00AF2CB8">
            <w:pPr>
              <w:pStyle w:val="TableCenter"/>
              <w:rPr>
                <w:lang w:val="en-AU"/>
              </w:rPr>
            </w:pPr>
            <w:r w:rsidRPr="008B029F">
              <w:rPr>
                <w:lang w:val="en-AU"/>
              </w:rPr>
              <w:t>0.9</w:t>
            </w:r>
          </w:p>
        </w:tc>
      </w:tr>
      <w:tr w:rsidR="00AF2CB8" w:rsidRPr="008B029F" w14:paraId="6ED962FE" w14:textId="77777777">
        <w:tc>
          <w:tcPr>
            <w:tcW w:w="5000" w:type="pct"/>
            <w:gridSpan w:val="5"/>
            <w:shd w:val="clear" w:color="auto" w:fill="auto"/>
          </w:tcPr>
          <w:p w14:paraId="13CB0707" w14:textId="77777777" w:rsidR="00AF2CB8" w:rsidRPr="008B029F" w:rsidRDefault="00AF2CB8">
            <w:pPr>
              <w:pStyle w:val="TableCenter"/>
              <w:jc w:val="left"/>
              <w:rPr>
                <w:b/>
                <w:lang w:val="en-AU"/>
              </w:rPr>
            </w:pPr>
            <w:r w:rsidRPr="008B029F">
              <w:rPr>
                <w:b/>
                <w:lang w:val="en-AU"/>
              </w:rPr>
              <w:t>Haematology</w:t>
            </w:r>
          </w:p>
        </w:tc>
      </w:tr>
      <w:tr w:rsidR="00AF2CB8" w:rsidRPr="008B029F" w14:paraId="68CD2BC4" w14:textId="77777777">
        <w:tc>
          <w:tcPr>
            <w:tcW w:w="1324" w:type="pct"/>
            <w:shd w:val="clear" w:color="auto" w:fill="auto"/>
            <w:vAlign w:val="center"/>
          </w:tcPr>
          <w:p w14:paraId="24B7A71B" w14:textId="77777777" w:rsidR="00AF2CB8" w:rsidRPr="008B029F" w:rsidRDefault="00AF2CB8">
            <w:pPr>
              <w:pStyle w:val="TableLeft"/>
              <w:rPr>
                <w:lang w:val="en-AU"/>
              </w:rPr>
            </w:pPr>
            <w:r w:rsidRPr="008B029F">
              <w:rPr>
                <w:lang w:val="en-AU"/>
              </w:rPr>
              <w:t>Haemoglobin decreased</w:t>
            </w:r>
          </w:p>
        </w:tc>
        <w:tc>
          <w:tcPr>
            <w:tcW w:w="882" w:type="pct"/>
          </w:tcPr>
          <w:p w14:paraId="349281F6" w14:textId="77777777" w:rsidR="00AF2CB8" w:rsidRPr="008B029F" w:rsidRDefault="00AF2CB8">
            <w:pPr>
              <w:pStyle w:val="TableCenter"/>
              <w:rPr>
                <w:lang w:val="en-AU"/>
              </w:rPr>
            </w:pPr>
            <w:r w:rsidRPr="008B029F">
              <w:rPr>
                <w:lang w:val="en-AU"/>
              </w:rPr>
              <w:t>51.6</w:t>
            </w:r>
          </w:p>
        </w:tc>
        <w:tc>
          <w:tcPr>
            <w:tcW w:w="952" w:type="pct"/>
            <w:shd w:val="clear" w:color="auto" w:fill="auto"/>
          </w:tcPr>
          <w:p w14:paraId="73909B52" w14:textId="77777777" w:rsidR="00AF2CB8" w:rsidRPr="008B029F" w:rsidRDefault="00AF2CB8">
            <w:pPr>
              <w:pStyle w:val="TableCenter"/>
              <w:rPr>
                <w:lang w:val="en-AU"/>
              </w:rPr>
            </w:pPr>
            <w:r w:rsidRPr="008B029F">
              <w:rPr>
                <w:lang w:val="en-AU"/>
              </w:rPr>
              <w:t>4.8</w:t>
            </w:r>
          </w:p>
        </w:tc>
        <w:tc>
          <w:tcPr>
            <w:tcW w:w="886" w:type="pct"/>
          </w:tcPr>
          <w:p w14:paraId="0DA39AA5" w14:textId="77777777" w:rsidR="00AF2CB8" w:rsidRPr="008B029F" w:rsidRDefault="00AF2CB8">
            <w:pPr>
              <w:pStyle w:val="TableCenter"/>
              <w:rPr>
                <w:lang w:val="en-AU"/>
              </w:rPr>
            </w:pPr>
            <w:r w:rsidRPr="008B029F">
              <w:rPr>
                <w:lang w:val="en-AU"/>
              </w:rPr>
              <w:t>40.3</w:t>
            </w:r>
          </w:p>
        </w:tc>
        <w:tc>
          <w:tcPr>
            <w:tcW w:w="955" w:type="pct"/>
          </w:tcPr>
          <w:p w14:paraId="5870572D" w14:textId="77777777" w:rsidR="00AF2CB8" w:rsidRPr="008B029F" w:rsidRDefault="00AF2CB8">
            <w:pPr>
              <w:pStyle w:val="TableCenter"/>
              <w:rPr>
                <w:lang w:val="en-AU"/>
              </w:rPr>
            </w:pPr>
            <w:r w:rsidRPr="008B029F">
              <w:rPr>
                <w:lang w:val="en-AU"/>
              </w:rPr>
              <w:t>6.0</w:t>
            </w:r>
          </w:p>
        </w:tc>
      </w:tr>
      <w:tr w:rsidR="00AF2CB8" w:rsidRPr="008B029F" w14:paraId="605DB8A4" w14:textId="77777777">
        <w:tc>
          <w:tcPr>
            <w:tcW w:w="1324" w:type="pct"/>
            <w:shd w:val="clear" w:color="auto" w:fill="auto"/>
            <w:vAlign w:val="center"/>
          </w:tcPr>
          <w:p w14:paraId="2214F6EA" w14:textId="77777777" w:rsidR="00AF2CB8" w:rsidRPr="008B029F" w:rsidRDefault="00AF2CB8">
            <w:pPr>
              <w:pStyle w:val="TableLeft"/>
              <w:rPr>
                <w:lang w:val="en-AU"/>
              </w:rPr>
            </w:pPr>
            <w:r w:rsidRPr="008B029F">
              <w:rPr>
                <w:lang w:val="en-AU"/>
              </w:rPr>
              <w:t>Lymphocytes decreased</w:t>
            </w:r>
          </w:p>
        </w:tc>
        <w:tc>
          <w:tcPr>
            <w:tcW w:w="882" w:type="pct"/>
          </w:tcPr>
          <w:p w14:paraId="19513A63" w14:textId="77777777" w:rsidR="00AF2CB8" w:rsidRPr="008B029F" w:rsidRDefault="00AF2CB8">
            <w:pPr>
              <w:pStyle w:val="TableCenter"/>
              <w:rPr>
                <w:lang w:val="en-AU"/>
              </w:rPr>
            </w:pPr>
            <w:r w:rsidRPr="008B029F">
              <w:rPr>
                <w:lang w:val="en-AU"/>
              </w:rPr>
              <w:t>41.4</w:t>
            </w:r>
          </w:p>
        </w:tc>
        <w:tc>
          <w:tcPr>
            <w:tcW w:w="952" w:type="pct"/>
            <w:shd w:val="clear" w:color="auto" w:fill="auto"/>
          </w:tcPr>
          <w:p w14:paraId="5C39B776" w14:textId="77777777" w:rsidR="00AF2CB8" w:rsidRPr="008B029F" w:rsidRDefault="00AF2CB8">
            <w:pPr>
              <w:pStyle w:val="TableCenter"/>
              <w:rPr>
                <w:lang w:val="en-AU"/>
              </w:rPr>
            </w:pPr>
            <w:r w:rsidRPr="008B029F">
              <w:rPr>
                <w:lang w:val="en-AU"/>
              </w:rPr>
              <w:t>11.1</w:t>
            </w:r>
          </w:p>
        </w:tc>
        <w:tc>
          <w:tcPr>
            <w:tcW w:w="886" w:type="pct"/>
          </w:tcPr>
          <w:p w14:paraId="2D401F5B" w14:textId="77777777" w:rsidR="00AF2CB8" w:rsidRPr="008B029F" w:rsidRDefault="00AF2CB8">
            <w:pPr>
              <w:pStyle w:val="TableCenter"/>
              <w:rPr>
                <w:lang w:val="en-AU"/>
              </w:rPr>
            </w:pPr>
            <w:r w:rsidRPr="008B029F">
              <w:rPr>
                <w:lang w:val="en-AU"/>
              </w:rPr>
              <w:t>39.3</w:t>
            </w:r>
          </w:p>
        </w:tc>
        <w:tc>
          <w:tcPr>
            <w:tcW w:w="955" w:type="pct"/>
          </w:tcPr>
          <w:p w14:paraId="0FFFB8B5" w14:textId="77777777" w:rsidR="00AF2CB8" w:rsidRPr="008B029F" w:rsidRDefault="00AF2CB8">
            <w:pPr>
              <w:pStyle w:val="TableCenter"/>
              <w:rPr>
                <w:lang w:val="en-AU"/>
              </w:rPr>
            </w:pPr>
            <w:r w:rsidRPr="008B029F">
              <w:rPr>
                <w:lang w:val="en-AU"/>
              </w:rPr>
              <w:t>10.0</w:t>
            </w:r>
          </w:p>
        </w:tc>
      </w:tr>
      <w:tr w:rsidR="00AF2CB8" w:rsidRPr="008B029F" w14:paraId="39420CA8" w14:textId="77777777">
        <w:tc>
          <w:tcPr>
            <w:tcW w:w="1324" w:type="pct"/>
            <w:shd w:val="clear" w:color="auto" w:fill="auto"/>
            <w:vAlign w:val="center"/>
          </w:tcPr>
          <w:p w14:paraId="068150F6" w14:textId="77777777" w:rsidR="00AF2CB8" w:rsidRPr="008B029F" w:rsidRDefault="00AF2CB8">
            <w:pPr>
              <w:pStyle w:val="TableLeft"/>
              <w:rPr>
                <w:lang w:val="en-AU"/>
              </w:rPr>
            </w:pPr>
            <w:r w:rsidRPr="008B029F">
              <w:rPr>
                <w:lang w:val="en-AU"/>
              </w:rPr>
              <w:t>Platelets decreased</w:t>
            </w:r>
          </w:p>
        </w:tc>
        <w:tc>
          <w:tcPr>
            <w:tcW w:w="882" w:type="pct"/>
          </w:tcPr>
          <w:p w14:paraId="2A0B97A1" w14:textId="77777777" w:rsidR="00AF2CB8" w:rsidRPr="008B029F" w:rsidRDefault="00AF2CB8">
            <w:pPr>
              <w:pStyle w:val="TableCenter"/>
              <w:rPr>
                <w:lang w:val="en-AU"/>
              </w:rPr>
            </w:pPr>
            <w:r w:rsidRPr="008B029F">
              <w:rPr>
                <w:lang w:val="en-AU"/>
              </w:rPr>
              <w:t>28.8</w:t>
            </w:r>
          </w:p>
        </w:tc>
        <w:tc>
          <w:tcPr>
            <w:tcW w:w="952" w:type="pct"/>
            <w:shd w:val="clear" w:color="auto" w:fill="auto"/>
          </w:tcPr>
          <w:p w14:paraId="19C4C00D" w14:textId="77777777" w:rsidR="00AF2CB8" w:rsidRPr="008B029F" w:rsidRDefault="00AF2CB8">
            <w:pPr>
              <w:pStyle w:val="TableCenter"/>
              <w:rPr>
                <w:lang w:val="en-AU"/>
              </w:rPr>
            </w:pPr>
            <w:r w:rsidRPr="008B029F">
              <w:rPr>
                <w:lang w:val="en-AU"/>
              </w:rPr>
              <w:t>1.6</w:t>
            </w:r>
          </w:p>
        </w:tc>
        <w:tc>
          <w:tcPr>
            <w:tcW w:w="886" w:type="pct"/>
          </w:tcPr>
          <w:p w14:paraId="2C086DEB" w14:textId="77777777" w:rsidR="00AF2CB8" w:rsidRPr="008B029F" w:rsidRDefault="00AF2CB8">
            <w:pPr>
              <w:pStyle w:val="TableCenter"/>
              <w:rPr>
                <w:lang w:val="en-AU"/>
              </w:rPr>
            </w:pPr>
            <w:r w:rsidRPr="008B029F">
              <w:rPr>
                <w:lang w:val="en-AU"/>
              </w:rPr>
              <w:t>34.7</w:t>
            </w:r>
          </w:p>
        </w:tc>
        <w:tc>
          <w:tcPr>
            <w:tcW w:w="955" w:type="pct"/>
          </w:tcPr>
          <w:p w14:paraId="5A6D96E1" w14:textId="77777777" w:rsidR="00AF2CB8" w:rsidRPr="008B029F" w:rsidRDefault="00AF2CB8">
            <w:pPr>
              <w:pStyle w:val="TableCenter"/>
              <w:rPr>
                <w:lang w:val="en-AU"/>
              </w:rPr>
            </w:pPr>
            <w:r w:rsidRPr="008B029F">
              <w:rPr>
                <w:lang w:val="en-AU"/>
              </w:rPr>
              <w:t>3.1</w:t>
            </w:r>
          </w:p>
        </w:tc>
      </w:tr>
      <w:tr w:rsidR="00AF2CB8" w:rsidRPr="008B029F" w14:paraId="37A987AD" w14:textId="77777777">
        <w:tc>
          <w:tcPr>
            <w:tcW w:w="1324" w:type="pct"/>
            <w:tcBorders>
              <w:bottom w:val="single" w:sz="4" w:space="0" w:color="auto"/>
            </w:tcBorders>
            <w:shd w:val="clear" w:color="auto" w:fill="auto"/>
            <w:vAlign w:val="center"/>
          </w:tcPr>
          <w:p w14:paraId="35EC577B" w14:textId="77777777" w:rsidR="00AF2CB8" w:rsidRPr="008B029F" w:rsidRDefault="00AF2CB8">
            <w:pPr>
              <w:pStyle w:val="TableLeft"/>
              <w:rPr>
                <w:lang w:val="en-AU"/>
              </w:rPr>
            </w:pPr>
            <w:r w:rsidRPr="008B029F">
              <w:rPr>
                <w:lang w:val="en-AU"/>
              </w:rPr>
              <w:t>Leukocytes decreased</w:t>
            </w:r>
          </w:p>
        </w:tc>
        <w:tc>
          <w:tcPr>
            <w:tcW w:w="882" w:type="pct"/>
            <w:tcBorders>
              <w:bottom w:val="single" w:sz="4" w:space="0" w:color="auto"/>
            </w:tcBorders>
          </w:tcPr>
          <w:p w14:paraId="46E4EA57" w14:textId="77777777" w:rsidR="00AF2CB8" w:rsidRPr="008B029F" w:rsidRDefault="00AF2CB8">
            <w:pPr>
              <w:pStyle w:val="TableCenter"/>
              <w:rPr>
                <w:lang w:val="en-AU"/>
              </w:rPr>
            </w:pPr>
            <w:r w:rsidRPr="008B029F">
              <w:rPr>
                <w:lang w:val="en-AU"/>
              </w:rPr>
              <w:t>20.2</w:t>
            </w:r>
          </w:p>
        </w:tc>
        <w:tc>
          <w:tcPr>
            <w:tcW w:w="952" w:type="pct"/>
            <w:tcBorders>
              <w:bottom w:val="single" w:sz="4" w:space="0" w:color="auto"/>
            </w:tcBorders>
            <w:shd w:val="clear" w:color="auto" w:fill="auto"/>
          </w:tcPr>
          <w:p w14:paraId="56FEF195" w14:textId="77777777" w:rsidR="00AF2CB8" w:rsidRPr="008B029F" w:rsidRDefault="00AF2CB8">
            <w:pPr>
              <w:pStyle w:val="TableCenter"/>
              <w:rPr>
                <w:lang w:val="en-AU"/>
              </w:rPr>
            </w:pPr>
            <w:r w:rsidRPr="008B029F">
              <w:rPr>
                <w:lang w:val="en-AU"/>
              </w:rPr>
              <w:t>0.8</w:t>
            </w:r>
          </w:p>
        </w:tc>
        <w:tc>
          <w:tcPr>
            <w:tcW w:w="886" w:type="pct"/>
            <w:tcBorders>
              <w:bottom w:val="single" w:sz="4" w:space="0" w:color="auto"/>
            </w:tcBorders>
          </w:tcPr>
          <w:p w14:paraId="0D86C323" w14:textId="77777777" w:rsidR="00AF2CB8" w:rsidRPr="008B029F" w:rsidRDefault="00AF2CB8">
            <w:pPr>
              <w:pStyle w:val="TableCenter"/>
              <w:rPr>
                <w:lang w:val="en-AU"/>
              </w:rPr>
            </w:pPr>
            <w:r w:rsidRPr="008B029F">
              <w:rPr>
                <w:lang w:val="en-AU"/>
              </w:rPr>
              <w:t>30.1</w:t>
            </w:r>
          </w:p>
        </w:tc>
        <w:tc>
          <w:tcPr>
            <w:tcW w:w="955" w:type="pct"/>
            <w:tcBorders>
              <w:bottom w:val="single" w:sz="4" w:space="0" w:color="auto"/>
            </w:tcBorders>
          </w:tcPr>
          <w:p w14:paraId="05F8DFAC" w14:textId="77777777" w:rsidR="00AF2CB8" w:rsidRPr="008B029F" w:rsidRDefault="00AF2CB8">
            <w:pPr>
              <w:pStyle w:val="TableCenter"/>
              <w:rPr>
                <w:lang w:val="en-AU"/>
              </w:rPr>
            </w:pPr>
            <w:r w:rsidRPr="008B029F">
              <w:rPr>
                <w:lang w:val="en-AU"/>
              </w:rPr>
              <w:t>1.1</w:t>
            </w:r>
          </w:p>
        </w:tc>
      </w:tr>
    </w:tbl>
    <w:p w14:paraId="7DC6C88B" w14:textId="40CDCAC2" w:rsidR="00AF2CB8" w:rsidRPr="008B029F" w:rsidRDefault="00AF2CB8" w:rsidP="00382251">
      <w:pPr>
        <w:pStyle w:val="TableFootnoteLetter"/>
        <w:numPr>
          <w:ilvl w:val="0"/>
          <w:numId w:val="43"/>
        </w:numPr>
        <w:rPr>
          <w:lang w:val="en-AU"/>
        </w:rPr>
      </w:pPr>
      <w:r w:rsidRPr="008B029F">
        <w:rPr>
          <w:lang w:val="en-AU"/>
        </w:rPr>
        <w:t>The frequency cut-off is based on any grade change from baseline for STRIDE.</w:t>
      </w:r>
    </w:p>
    <w:p w14:paraId="4E086E63" w14:textId="1FA34906" w:rsidR="00AF2CB8" w:rsidRPr="008B029F" w:rsidRDefault="00AF2CB8" w:rsidP="00AF2CB8">
      <w:pPr>
        <w:pStyle w:val="TableFootnoteLetter"/>
        <w:numPr>
          <w:ilvl w:val="0"/>
          <w:numId w:val="25"/>
        </w:numPr>
        <w:rPr>
          <w:lang w:val="en-AU"/>
        </w:rPr>
      </w:pPr>
      <w:r w:rsidRPr="008B029F">
        <w:rPr>
          <w:lang w:val="en-AU"/>
        </w:rPr>
        <w:t>Graded according to NCI CTCAE version 4.03.</w:t>
      </w:r>
    </w:p>
    <w:p w14:paraId="347FA967" w14:textId="0FB8E8B9" w:rsidR="00AF2CB8" w:rsidRPr="008B029F" w:rsidRDefault="00AF2CB8" w:rsidP="00AF2CB8">
      <w:pPr>
        <w:pStyle w:val="TableFootnoteLetter"/>
        <w:numPr>
          <w:ilvl w:val="0"/>
          <w:numId w:val="25"/>
        </w:numPr>
        <w:rPr>
          <w:lang w:val="en-AU"/>
        </w:rPr>
      </w:pPr>
      <w:r w:rsidRPr="008B029F">
        <w:rPr>
          <w:lang w:val="en-AU"/>
        </w:rPr>
        <w:t>Each test incidence is based on the number of patients who had both baseline and at least one on-study laboratory measurement available: IMFINZI with tremelimumab (range: 367-378) and sorafenib (range:</w:t>
      </w:r>
      <w:r w:rsidR="00E306B6" w:rsidRPr="008B029F">
        <w:rPr>
          <w:lang w:val="en-AU"/>
        </w:rPr>
        <w:t xml:space="preserve"> </w:t>
      </w:r>
      <w:r w:rsidRPr="008B029F">
        <w:rPr>
          <w:lang w:val="en-AU"/>
        </w:rPr>
        <w:t>344-352).</w:t>
      </w:r>
    </w:p>
    <w:p w14:paraId="20929B4D" w14:textId="77777777" w:rsidR="00AF2CB8" w:rsidRPr="008B029F" w:rsidRDefault="00AF2CB8" w:rsidP="00AF2CB8">
      <w:pPr>
        <w:pStyle w:val="Paragraph"/>
        <w:rPr>
          <w:b/>
          <w:bCs/>
          <w:lang w:val="en-AU"/>
        </w:rPr>
      </w:pPr>
    </w:p>
    <w:p w14:paraId="335CAC5E" w14:textId="73EE2314" w:rsidR="00AF2CB8" w:rsidRPr="008B029F" w:rsidRDefault="00AF2CB8" w:rsidP="00AF2CB8">
      <w:pPr>
        <w:pStyle w:val="Paragraph"/>
        <w:rPr>
          <w:b/>
          <w:bCs/>
          <w:lang w:val="en-AU"/>
        </w:rPr>
      </w:pPr>
      <w:r w:rsidRPr="008B029F">
        <w:rPr>
          <w:color w:val="2B579A"/>
          <w:shd w:val="clear" w:color="auto" w:fill="E6E6E6"/>
          <w:lang w:val="en-AU"/>
        </w:rPr>
        <w:fldChar w:fldCharType="begin"/>
      </w:r>
      <w:r w:rsidRPr="008B029F">
        <w:rPr>
          <w:lang w:val="en-AU"/>
        </w:rPr>
        <w:instrText xml:space="preserve"> REF _Ref124779052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14</w:t>
      </w:r>
      <w:r w:rsidRPr="008B029F">
        <w:rPr>
          <w:color w:val="2B579A"/>
          <w:shd w:val="clear" w:color="auto" w:fill="E6E6E6"/>
          <w:lang w:val="en-AU"/>
        </w:rPr>
        <w:fldChar w:fldCharType="end"/>
      </w:r>
      <w:r w:rsidRPr="008B029F">
        <w:rPr>
          <w:lang w:val="en-AU"/>
        </w:rPr>
        <w:t xml:space="preserve"> summarises the adverse </w:t>
      </w:r>
      <w:r w:rsidR="006D4B27" w:rsidRPr="008B029F">
        <w:rPr>
          <w:lang w:val="en-AU"/>
        </w:rPr>
        <w:t>events</w:t>
      </w:r>
      <w:r w:rsidRPr="008B029F">
        <w:rPr>
          <w:lang w:val="en-AU"/>
        </w:rPr>
        <w:t xml:space="preserve"> that occurred in patients treated with STRIDE in Study 22.</w:t>
      </w:r>
    </w:p>
    <w:p w14:paraId="054D725C" w14:textId="0F7E51C2" w:rsidR="00AF2CB8" w:rsidRPr="008B029F" w:rsidRDefault="00AF2CB8" w:rsidP="00AF2CB8">
      <w:pPr>
        <w:pStyle w:val="TableTitle"/>
        <w:rPr>
          <w:lang w:val="en-AU"/>
        </w:rPr>
      </w:pPr>
      <w:bookmarkStart w:id="32" w:name="_Ref124779052"/>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14</w:t>
      </w:r>
      <w:r w:rsidRPr="008B029F">
        <w:rPr>
          <w:color w:val="2B579A"/>
          <w:shd w:val="clear" w:color="auto" w:fill="E6E6E6"/>
          <w:lang w:val="en-AU"/>
        </w:rPr>
        <w:fldChar w:fldCharType="end"/>
      </w:r>
      <w:bookmarkEnd w:id="32"/>
      <w:r w:rsidRPr="008B029F">
        <w:rPr>
          <w:lang w:val="en-AU"/>
        </w:rPr>
        <w:tab/>
        <w:t xml:space="preserve">Adverse </w:t>
      </w:r>
      <w:r w:rsidR="006D4B27" w:rsidRPr="008B029F">
        <w:rPr>
          <w:lang w:val="en-AU"/>
        </w:rPr>
        <w:t>events</w:t>
      </w:r>
      <w:r w:rsidRPr="008B029F">
        <w:rPr>
          <w:lang w:val="en-AU"/>
        </w:rPr>
        <w:t xml:space="preserve"> occurring in ≥10% of patients in the STRIDE treatment arm (regardless of causality) in Study 22</w:t>
      </w:r>
    </w:p>
    <w:tbl>
      <w:tblPr>
        <w:tblW w:w="95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815"/>
        <w:gridCol w:w="2410"/>
        <w:gridCol w:w="2282"/>
      </w:tblGrid>
      <w:tr w:rsidR="00AF2CB8" w:rsidRPr="008B029F" w14:paraId="0483C59E" w14:textId="77777777" w:rsidTr="00E306B6">
        <w:trPr>
          <w:cantSplit/>
          <w:tblHeader/>
          <w:jc w:val="center"/>
        </w:trPr>
        <w:tc>
          <w:tcPr>
            <w:tcW w:w="4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28EF98" w14:textId="0A486D47" w:rsidR="00AF2CB8" w:rsidRPr="008B029F" w:rsidRDefault="00AF2CB8">
            <w:pPr>
              <w:pStyle w:val="TableHead"/>
              <w:jc w:val="left"/>
              <w:rPr>
                <w:lang w:val="en-AU"/>
              </w:rPr>
            </w:pPr>
            <w:r w:rsidRPr="008B029F">
              <w:rPr>
                <w:lang w:val="en-AU"/>
              </w:rPr>
              <w:t xml:space="preserve">Adverse </w:t>
            </w:r>
            <w:r w:rsidR="006D4B27" w:rsidRPr="008B029F">
              <w:rPr>
                <w:lang w:val="en-AU"/>
              </w:rPr>
              <w:t>events</w:t>
            </w:r>
          </w:p>
        </w:tc>
        <w:tc>
          <w:tcPr>
            <w:tcW w:w="4692" w:type="dxa"/>
            <w:gridSpan w:val="2"/>
            <w:tcBorders>
              <w:top w:val="single" w:sz="4" w:space="0" w:color="auto"/>
              <w:left w:val="single" w:sz="4" w:space="0" w:color="auto"/>
              <w:bottom w:val="single" w:sz="4" w:space="0" w:color="auto"/>
              <w:right w:val="single" w:sz="4" w:space="0" w:color="auto"/>
            </w:tcBorders>
          </w:tcPr>
          <w:p w14:paraId="487C4839" w14:textId="77777777" w:rsidR="00AF2CB8" w:rsidRPr="008B029F" w:rsidRDefault="00AF2CB8">
            <w:pPr>
              <w:pStyle w:val="TableHead"/>
              <w:rPr>
                <w:lang w:val="en-AU"/>
              </w:rPr>
            </w:pPr>
            <w:r w:rsidRPr="008B029F">
              <w:rPr>
                <w:lang w:val="en-AU"/>
              </w:rPr>
              <w:t>STRIDE</w:t>
            </w:r>
          </w:p>
          <w:p w14:paraId="62EBA0C6" w14:textId="77777777" w:rsidR="00AF2CB8" w:rsidRPr="008B029F" w:rsidRDefault="00AF2CB8">
            <w:pPr>
              <w:pStyle w:val="TableHead"/>
              <w:rPr>
                <w:lang w:val="en-AU"/>
              </w:rPr>
            </w:pPr>
            <w:r w:rsidRPr="008B029F">
              <w:rPr>
                <w:lang w:val="en-AU"/>
              </w:rPr>
              <w:t>(N=74)</w:t>
            </w:r>
          </w:p>
        </w:tc>
      </w:tr>
      <w:tr w:rsidR="00AF2CB8" w:rsidRPr="008B029F" w14:paraId="5BA6735A" w14:textId="77777777" w:rsidTr="00E306B6">
        <w:trPr>
          <w:cantSplit/>
          <w:tblHeader/>
          <w:jc w:val="center"/>
        </w:trPr>
        <w:tc>
          <w:tcPr>
            <w:tcW w:w="4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40F146" w14:textId="77777777" w:rsidR="00AF2CB8" w:rsidRPr="008B029F" w:rsidRDefault="00AF2CB8">
            <w:pPr>
              <w:pStyle w:val="TableHead"/>
              <w:jc w:val="left"/>
              <w:rPr>
                <w:lang w:val="en-AU"/>
              </w:rPr>
            </w:pPr>
          </w:p>
        </w:tc>
        <w:tc>
          <w:tcPr>
            <w:tcW w:w="2410" w:type="dxa"/>
            <w:tcBorders>
              <w:top w:val="single" w:sz="4" w:space="0" w:color="auto"/>
              <w:left w:val="single" w:sz="4" w:space="0" w:color="auto"/>
              <w:bottom w:val="single" w:sz="4" w:space="0" w:color="auto"/>
              <w:right w:val="single" w:sz="4" w:space="0" w:color="auto"/>
            </w:tcBorders>
          </w:tcPr>
          <w:p w14:paraId="2C74F115" w14:textId="77777777" w:rsidR="00AF2CB8" w:rsidRPr="008B029F" w:rsidRDefault="00AF2CB8">
            <w:pPr>
              <w:pStyle w:val="TableHead"/>
              <w:rPr>
                <w:lang w:val="en-AU"/>
              </w:rPr>
            </w:pPr>
            <w:r w:rsidRPr="008B029F">
              <w:rPr>
                <w:lang w:val="en-AU"/>
              </w:rPr>
              <w:t>All Grades (%)</w:t>
            </w:r>
          </w:p>
        </w:tc>
        <w:tc>
          <w:tcPr>
            <w:tcW w:w="2282" w:type="dxa"/>
            <w:tcBorders>
              <w:top w:val="single" w:sz="4" w:space="0" w:color="auto"/>
              <w:left w:val="single" w:sz="4" w:space="0" w:color="auto"/>
              <w:bottom w:val="single" w:sz="4" w:space="0" w:color="auto"/>
              <w:right w:val="single" w:sz="4" w:space="0" w:color="auto"/>
            </w:tcBorders>
          </w:tcPr>
          <w:p w14:paraId="1D5186A0" w14:textId="77777777" w:rsidR="00AF2CB8" w:rsidRPr="008B029F" w:rsidRDefault="00AF2CB8">
            <w:pPr>
              <w:pStyle w:val="TableHead"/>
              <w:rPr>
                <w:lang w:val="en-AU"/>
              </w:rPr>
            </w:pPr>
            <w:r w:rsidRPr="008B029F">
              <w:rPr>
                <w:lang w:val="en-AU"/>
              </w:rPr>
              <w:t>Grade 3-4 (%)</w:t>
            </w:r>
          </w:p>
        </w:tc>
      </w:tr>
      <w:tr w:rsidR="00AF2CB8" w:rsidRPr="008B029F" w14:paraId="042A4A22"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A42BA0" w14:textId="77777777" w:rsidR="00AF2CB8" w:rsidRPr="008B029F" w:rsidRDefault="00AF2CB8">
            <w:pPr>
              <w:pStyle w:val="TableCenter"/>
              <w:jc w:val="left"/>
              <w:rPr>
                <w:b/>
                <w:bCs/>
                <w:lang w:val="en-AU"/>
              </w:rPr>
            </w:pPr>
            <w:r w:rsidRPr="008B029F">
              <w:rPr>
                <w:b/>
                <w:bCs/>
                <w:lang w:val="en-AU"/>
              </w:rPr>
              <w:t>Skin and subcutaneous tissue disorders</w:t>
            </w:r>
          </w:p>
        </w:tc>
      </w:tr>
      <w:tr w:rsidR="00AF2CB8" w:rsidRPr="008B029F" w14:paraId="01330B40"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56AA5E2" w14:textId="4908CAC5" w:rsidR="00AF2CB8" w:rsidRPr="008B029F" w:rsidRDefault="00AF2CB8">
            <w:pPr>
              <w:pStyle w:val="TableCenter"/>
              <w:jc w:val="left"/>
              <w:rPr>
                <w:lang w:val="en-AU"/>
              </w:rPr>
            </w:pPr>
            <w:r w:rsidRPr="008B029F">
              <w:rPr>
                <w:lang w:val="en-AU"/>
              </w:rPr>
              <w:t>Pruritus</w:t>
            </w:r>
          </w:p>
        </w:tc>
        <w:tc>
          <w:tcPr>
            <w:tcW w:w="2410" w:type="dxa"/>
            <w:tcBorders>
              <w:top w:val="single" w:sz="4" w:space="0" w:color="auto"/>
              <w:left w:val="single" w:sz="4" w:space="0" w:color="auto"/>
              <w:bottom w:val="single" w:sz="4" w:space="0" w:color="auto"/>
              <w:right w:val="single" w:sz="4" w:space="0" w:color="auto"/>
            </w:tcBorders>
          </w:tcPr>
          <w:p w14:paraId="476ABD65" w14:textId="77777777" w:rsidR="00AF2CB8" w:rsidRPr="008B029F" w:rsidRDefault="00AF2CB8">
            <w:pPr>
              <w:pStyle w:val="TableCenter"/>
              <w:rPr>
                <w:lang w:val="en-AU"/>
              </w:rPr>
            </w:pPr>
            <w:r w:rsidRPr="008B029F">
              <w:rPr>
                <w:lang w:val="en-AU"/>
              </w:rPr>
              <w:t>39.2</w:t>
            </w:r>
          </w:p>
        </w:tc>
        <w:tc>
          <w:tcPr>
            <w:tcW w:w="2282" w:type="dxa"/>
            <w:tcBorders>
              <w:top w:val="single" w:sz="4" w:space="0" w:color="auto"/>
              <w:left w:val="single" w:sz="4" w:space="0" w:color="auto"/>
              <w:bottom w:val="single" w:sz="4" w:space="0" w:color="auto"/>
              <w:right w:val="single" w:sz="4" w:space="0" w:color="auto"/>
            </w:tcBorders>
          </w:tcPr>
          <w:p w14:paraId="64F0B3EA" w14:textId="77777777" w:rsidR="00AF2CB8" w:rsidRPr="008B029F" w:rsidRDefault="00AF2CB8">
            <w:pPr>
              <w:pStyle w:val="TableCenter"/>
              <w:rPr>
                <w:lang w:val="en-AU"/>
              </w:rPr>
            </w:pPr>
            <w:r w:rsidRPr="008B029F">
              <w:rPr>
                <w:lang w:val="en-AU"/>
              </w:rPr>
              <w:t>0</w:t>
            </w:r>
          </w:p>
        </w:tc>
      </w:tr>
      <w:tr w:rsidR="00AF2CB8" w:rsidRPr="008B029F" w14:paraId="62907E18"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E4357AA" w14:textId="7157D03D" w:rsidR="00AF2CB8" w:rsidRPr="008B029F" w:rsidRDefault="00AF2CB8">
            <w:pPr>
              <w:pStyle w:val="TableCenter"/>
              <w:jc w:val="left"/>
              <w:rPr>
                <w:lang w:val="en-AU"/>
              </w:rPr>
            </w:pPr>
            <w:r w:rsidRPr="008B029F">
              <w:rPr>
                <w:lang w:val="en-AU"/>
              </w:rPr>
              <w:t>Rash </w:t>
            </w:r>
          </w:p>
        </w:tc>
        <w:tc>
          <w:tcPr>
            <w:tcW w:w="2410" w:type="dxa"/>
            <w:tcBorders>
              <w:top w:val="single" w:sz="4" w:space="0" w:color="auto"/>
              <w:left w:val="single" w:sz="4" w:space="0" w:color="auto"/>
              <w:bottom w:val="single" w:sz="4" w:space="0" w:color="auto"/>
              <w:right w:val="single" w:sz="4" w:space="0" w:color="auto"/>
            </w:tcBorders>
          </w:tcPr>
          <w:p w14:paraId="1886DE31" w14:textId="77777777" w:rsidR="00AF2CB8" w:rsidRPr="008B029F" w:rsidRDefault="00AF2CB8">
            <w:pPr>
              <w:pStyle w:val="TableCenter"/>
              <w:rPr>
                <w:lang w:val="en-AU"/>
              </w:rPr>
            </w:pPr>
            <w:r w:rsidRPr="008B029F">
              <w:rPr>
                <w:lang w:val="en-AU"/>
              </w:rPr>
              <w:t>37.8</w:t>
            </w:r>
          </w:p>
        </w:tc>
        <w:tc>
          <w:tcPr>
            <w:tcW w:w="2282" w:type="dxa"/>
            <w:tcBorders>
              <w:top w:val="single" w:sz="4" w:space="0" w:color="auto"/>
              <w:left w:val="single" w:sz="4" w:space="0" w:color="auto"/>
              <w:bottom w:val="single" w:sz="4" w:space="0" w:color="auto"/>
              <w:right w:val="single" w:sz="4" w:space="0" w:color="auto"/>
            </w:tcBorders>
          </w:tcPr>
          <w:p w14:paraId="0906BD15" w14:textId="77777777" w:rsidR="00AF2CB8" w:rsidRPr="008B029F" w:rsidRDefault="00AF2CB8">
            <w:pPr>
              <w:pStyle w:val="TableCenter"/>
              <w:rPr>
                <w:lang w:val="en-AU"/>
              </w:rPr>
            </w:pPr>
            <w:r w:rsidRPr="008B029F">
              <w:rPr>
                <w:lang w:val="en-AU"/>
              </w:rPr>
              <w:t>4.1</w:t>
            </w:r>
          </w:p>
        </w:tc>
      </w:tr>
      <w:tr w:rsidR="00AF2CB8" w:rsidRPr="008B029F" w14:paraId="76C681F5"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tcPr>
          <w:p w14:paraId="5C424E66" w14:textId="77777777" w:rsidR="00AF2CB8" w:rsidRPr="008B029F" w:rsidRDefault="00AF2CB8">
            <w:pPr>
              <w:pStyle w:val="TableCenter"/>
              <w:jc w:val="left"/>
              <w:rPr>
                <w:b/>
                <w:bCs/>
                <w:lang w:val="en-AU"/>
              </w:rPr>
            </w:pPr>
            <w:r w:rsidRPr="008B029F">
              <w:rPr>
                <w:b/>
                <w:bCs/>
                <w:lang w:val="en-AU"/>
              </w:rPr>
              <w:t>Hepatobiliary disorders</w:t>
            </w:r>
          </w:p>
        </w:tc>
      </w:tr>
      <w:tr w:rsidR="00AF2CB8" w:rsidRPr="008B029F" w14:paraId="0A6D5A33"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8748B37" w14:textId="3C9315E2" w:rsidR="00AF2CB8" w:rsidRPr="008B029F" w:rsidRDefault="00AF2CB8">
            <w:pPr>
              <w:pStyle w:val="TableCenter"/>
              <w:jc w:val="left"/>
              <w:rPr>
                <w:lang w:val="en-AU"/>
              </w:rPr>
            </w:pPr>
            <w:r w:rsidRPr="008B029F">
              <w:rPr>
                <w:lang w:val="en-AU"/>
              </w:rPr>
              <w:t>Ascites</w:t>
            </w:r>
          </w:p>
        </w:tc>
        <w:tc>
          <w:tcPr>
            <w:tcW w:w="2410" w:type="dxa"/>
            <w:tcBorders>
              <w:top w:val="single" w:sz="4" w:space="0" w:color="auto"/>
              <w:left w:val="single" w:sz="4" w:space="0" w:color="auto"/>
              <w:bottom w:val="single" w:sz="4" w:space="0" w:color="auto"/>
              <w:right w:val="single" w:sz="4" w:space="0" w:color="auto"/>
            </w:tcBorders>
          </w:tcPr>
          <w:p w14:paraId="6A0D9684" w14:textId="77777777" w:rsidR="00AF2CB8" w:rsidRPr="008B029F" w:rsidRDefault="00AF2CB8">
            <w:pPr>
              <w:pStyle w:val="TableCenter"/>
              <w:rPr>
                <w:lang w:val="en-AU"/>
              </w:rPr>
            </w:pPr>
            <w:r w:rsidRPr="008B029F">
              <w:rPr>
                <w:lang w:val="en-AU"/>
              </w:rPr>
              <w:t>13.5</w:t>
            </w:r>
          </w:p>
        </w:tc>
        <w:tc>
          <w:tcPr>
            <w:tcW w:w="2282" w:type="dxa"/>
            <w:tcBorders>
              <w:top w:val="single" w:sz="4" w:space="0" w:color="auto"/>
              <w:left w:val="single" w:sz="4" w:space="0" w:color="auto"/>
              <w:bottom w:val="single" w:sz="4" w:space="0" w:color="auto"/>
              <w:right w:val="single" w:sz="4" w:space="0" w:color="auto"/>
            </w:tcBorders>
          </w:tcPr>
          <w:p w14:paraId="2654487B" w14:textId="77777777" w:rsidR="00AF2CB8" w:rsidRPr="008B029F" w:rsidRDefault="00AF2CB8">
            <w:pPr>
              <w:pStyle w:val="TableCenter"/>
              <w:rPr>
                <w:lang w:val="en-AU"/>
              </w:rPr>
            </w:pPr>
            <w:r w:rsidRPr="008B029F">
              <w:rPr>
                <w:lang w:val="en-AU"/>
              </w:rPr>
              <w:t>5.4</w:t>
            </w:r>
          </w:p>
        </w:tc>
      </w:tr>
      <w:tr w:rsidR="00AF2CB8" w:rsidRPr="008B029F" w14:paraId="05D790AC"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29FCE5" w14:textId="77777777" w:rsidR="00AF2CB8" w:rsidRPr="008B029F" w:rsidRDefault="00AF2CB8">
            <w:pPr>
              <w:pStyle w:val="TableCenter"/>
              <w:jc w:val="left"/>
              <w:rPr>
                <w:b/>
                <w:bCs/>
                <w:lang w:val="en-AU"/>
              </w:rPr>
            </w:pPr>
            <w:r w:rsidRPr="008B029F">
              <w:rPr>
                <w:b/>
                <w:bCs/>
                <w:lang w:val="en-AU"/>
              </w:rPr>
              <w:t>General disorders and administration site conditions</w:t>
            </w:r>
          </w:p>
        </w:tc>
      </w:tr>
      <w:tr w:rsidR="00AF2CB8" w:rsidRPr="008B029F" w14:paraId="1366374E"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9D5C1CB" w14:textId="39309FAA" w:rsidR="00AF2CB8" w:rsidRPr="008B029F" w:rsidRDefault="00AF2CB8">
            <w:pPr>
              <w:pStyle w:val="TableCenter"/>
              <w:jc w:val="left"/>
              <w:rPr>
                <w:lang w:val="en-AU"/>
              </w:rPr>
            </w:pPr>
            <w:r w:rsidRPr="008B029F">
              <w:rPr>
                <w:lang w:val="en-AU"/>
              </w:rPr>
              <w:t xml:space="preserve"> Fatigue</w:t>
            </w:r>
          </w:p>
        </w:tc>
        <w:tc>
          <w:tcPr>
            <w:tcW w:w="2410" w:type="dxa"/>
            <w:tcBorders>
              <w:top w:val="single" w:sz="4" w:space="0" w:color="auto"/>
              <w:left w:val="single" w:sz="4" w:space="0" w:color="auto"/>
              <w:bottom w:val="single" w:sz="4" w:space="0" w:color="auto"/>
              <w:right w:val="single" w:sz="4" w:space="0" w:color="auto"/>
            </w:tcBorders>
          </w:tcPr>
          <w:p w14:paraId="58786222" w14:textId="77777777" w:rsidR="00AF2CB8" w:rsidRPr="008B029F" w:rsidRDefault="00AF2CB8">
            <w:pPr>
              <w:pStyle w:val="TableCenter"/>
              <w:rPr>
                <w:lang w:val="en-AU"/>
              </w:rPr>
            </w:pPr>
            <w:r w:rsidRPr="008B029F">
              <w:rPr>
                <w:lang w:val="en-AU"/>
              </w:rPr>
              <w:t>23.0</w:t>
            </w:r>
          </w:p>
        </w:tc>
        <w:tc>
          <w:tcPr>
            <w:tcW w:w="2282" w:type="dxa"/>
            <w:tcBorders>
              <w:top w:val="single" w:sz="4" w:space="0" w:color="auto"/>
              <w:left w:val="single" w:sz="4" w:space="0" w:color="auto"/>
              <w:bottom w:val="single" w:sz="4" w:space="0" w:color="auto"/>
              <w:right w:val="single" w:sz="4" w:space="0" w:color="auto"/>
            </w:tcBorders>
          </w:tcPr>
          <w:p w14:paraId="1D59A6F1" w14:textId="77777777" w:rsidR="00AF2CB8" w:rsidRPr="008B029F" w:rsidRDefault="00AF2CB8">
            <w:pPr>
              <w:pStyle w:val="TableCenter"/>
              <w:rPr>
                <w:lang w:val="en-AU"/>
              </w:rPr>
            </w:pPr>
            <w:r w:rsidRPr="008B029F">
              <w:rPr>
                <w:lang w:val="en-AU"/>
              </w:rPr>
              <w:t>4.1</w:t>
            </w:r>
          </w:p>
        </w:tc>
      </w:tr>
      <w:tr w:rsidR="00AF2CB8" w:rsidRPr="008B029F" w14:paraId="7D2007F7"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3647750" w14:textId="17A0E9DC" w:rsidR="00AF2CB8" w:rsidRPr="008B029F" w:rsidRDefault="00AF2CB8">
            <w:pPr>
              <w:pStyle w:val="TableCenter"/>
              <w:jc w:val="left"/>
              <w:rPr>
                <w:lang w:val="en-AU"/>
              </w:rPr>
            </w:pPr>
            <w:r w:rsidRPr="008B029F">
              <w:rPr>
                <w:lang w:val="en-AU"/>
              </w:rPr>
              <w:t>Pyrexia</w:t>
            </w:r>
          </w:p>
        </w:tc>
        <w:tc>
          <w:tcPr>
            <w:tcW w:w="2410" w:type="dxa"/>
            <w:tcBorders>
              <w:top w:val="single" w:sz="4" w:space="0" w:color="auto"/>
              <w:left w:val="single" w:sz="4" w:space="0" w:color="auto"/>
              <w:bottom w:val="single" w:sz="4" w:space="0" w:color="auto"/>
              <w:right w:val="single" w:sz="4" w:space="0" w:color="auto"/>
            </w:tcBorders>
          </w:tcPr>
          <w:p w14:paraId="504218F2" w14:textId="77777777" w:rsidR="00AF2CB8" w:rsidRPr="008B029F" w:rsidRDefault="00AF2CB8">
            <w:pPr>
              <w:pStyle w:val="TableCenter"/>
              <w:rPr>
                <w:lang w:val="en-AU"/>
              </w:rPr>
            </w:pPr>
            <w:r w:rsidRPr="008B029F">
              <w:rPr>
                <w:lang w:val="en-AU"/>
              </w:rPr>
              <w:t>18.9</w:t>
            </w:r>
          </w:p>
        </w:tc>
        <w:tc>
          <w:tcPr>
            <w:tcW w:w="2282" w:type="dxa"/>
            <w:tcBorders>
              <w:top w:val="single" w:sz="4" w:space="0" w:color="auto"/>
              <w:left w:val="single" w:sz="4" w:space="0" w:color="auto"/>
              <w:bottom w:val="single" w:sz="4" w:space="0" w:color="auto"/>
              <w:right w:val="single" w:sz="4" w:space="0" w:color="auto"/>
            </w:tcBorders>
          </w:tcPr>
          <w:p w14:paraId="12C3D070" w14:textId="77777777" w:rsidR="00AF2CB8" w:rsidRPr="008B029F" w:rsidRDefault="00AF2CB8">
            <w:pPr>
              <w:pStyle w:val="TableCenter"/>
              <w:rPr>
                <w:lang w:val="en-AU"/>
              </w:rPr>
            </w:pPr>
            <w:r w:rsidRPr="008B029F">
              <w:rPr>
                <w:lang w:val="en-AU"/>
              </w:rPr>
              <w:t>0</w:t>
            </w:r>
          </w:p>
        </w:tc>
      </w:tr>
      <w:tr w:rsidR="00AF2CB8" w:rsidRPr="008B029F" w14:paraId="2000DA1C"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0DE802C" w14:textId="13384B9B" w:rsidR="00AF2CB8" w:rsidRPr="008B029F" w:rsidRDefault="00AF2CB8">
            <w:pPr>
              <w:pStyle w:val="TableCenter"/>
              <w:jc w:val="left"/>
              <w:rPr>
                <w:lang w:val="en-AU"/>
              </w:rPr>
            </w:pPr>
            <w:r w:rsidRPr="008B029F">
              <w:rPr>
                <w:lang w:val="en-AU"/>
              </w:rPr>
              <w:t>Oedema peripheral</w:t>
            </w:r>
          </w:p>
        </w:tc>
        <w:tc>
          <w:tcPr>
            <w:tcW w:w="2410" w:type="dxa"/>
            <w:tcBorders>
              <w:top w:val="single" w:sz="4" w:space="0" w:color="auto"/>
              <w:left w:val="single" w:sz="4" w:space="0" w:color="auto"/>
              <w:bottom w:val="single" w:sz="4" w:space="0" w:color="auto"/>
              <w:right w:val="single" w:sz="4" w:space="0" w:color="auto"/>
            </w:tcBorders>
          </w:tcPr>
          <w:p w14:paraId="02E7F221" w14:textId="77777777" w:rsidR="00AF2CB8" w:rsidRPr="008B029F" w:rsidRDefault="00AF2CB8">
            <w:pPr>
              <w:pStyle w:val="TableCenter"/>
              <w:rPr>
                <w:lang w:val="en-AU"/>
              </w:rPr>
            </w:pPr>
            <w:r w:rsidRPr="008B029F">
              <w:rPr>
                <w:lang w:val="en-AU"/>
              </w:rPr>
              <w:t>16.2</w:t>
            </w:r>
          </w:p>
        </w:tc>
        <w:tc>
          <w:tcPr>
            <w:tcW w:w="2282" w:type="dxa"/>
            <w:tcBorders>
              <w:top w:val="single" w:sz="4" w:space="0" w:color="auto"/>
              <w:left w:val="single" w:sz="4" w:space="0" w:color="auto"/>
              <w:bottom w:val="single" w:sz="4" w:space="0" w:color="auto"/>
              <w:right w:val="single" w:sz="4" w:space="0" w:color="auto"/>
            </w:tcBorders>
          </w:tcPr>
          <w:p w14:paraId="17407CCF" w14:textId="77777777" w:rsidR="00AF2CB8" w:rsidRPr="008B029F" w:rsidRDefault="00AF2CB8">
            <w:pPr>
              <w:pStyle w:val="TableCenter"/>
              <w:rPr>
                <w:lang w:val="en-AU"/>
              </w:rPr>
            </w:pPr>
            <w:r w:rsidRPr="008B029F">
              <w:rPr>
                <w:lang w:val="en-AU"/>
              </w:rPr>
              <w:t>0</w:t>
            </w:r>
          </w:p>
        </w:tc>
      </w:tr>
      <w:tr w:rsidR="00AF2CB8" w:rsidRPr="008B029F" w14:paraId="5BD276BB"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BC2489" w14:textId="77777777" w:rsidR="00AF2CB8" w:rsidRPr="008B029F" w:rsidRDefault="00AF2CB8">
            <w:pPr>
              <w:pStyle w:val="TableCenter"/>
              <w:jc w:val="left"/>
              <w:rPr>
                <w:b/>
                <w:bCs/>
                <w:lang w:val="en-AU"/>
              </w:rPr>
            </w:pPr>
            <w:r w:rsidRPr="008B029F">
              <w:rPr>
                <w:b/>
                <w:bCs/>
                <w:lang w:val="en-AU"/>
              </w:rPr>
              <w:t>Respiratory, thoracic, and mediastinal disorders</w:t>
            </w:r>
          </w:p>
        </w:tc>
      </w:tr>
      <w:tr w:rsidR="00AF2CB8" w:rsidRPr="008B029F" w14:paraId="4964B598"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421D168" w14:textId="68E681F5" w:rsidR="00AF2CB8" w:rsidRPr="008B029F" w:rsidRDefault="00AF2CB8">
            <w:pPr>
              <w:pStyle w:val="TableCenter"/>
              <w:jc w:val="left"/>
              <w:rPr>
                <w:lang w:val="en-AU"/>
              </w:rPr>
            </w:pPr>
            <w:r w:rsidRPr="008B029F">
              <w:rPr>
                <w:lang w:val="en-AU"/>
              </w:rPr>
              <w:t>Cough</w:t>
            </w:r>
          </w:p>
        </w:tc>
        <w:tc>
          <w:tcPr>
            <w:tcW w:w="2410" w:type="dxa"/>
            <w:tcBorders>
              <w:top w:val="single" w:sz="4" w:space="0" w:color="auto"/>
              <w:left w:val="single" w:sz="4" w:space="0" w:color="auto"/>
              <w:bottom w:val="single" w:sz="4" w:space="0" w:color="auto"/>
              <w:right w:val="single" w:sz="4" w:space="0" w:color="auto"/>
            </w:tcBorders>
          </w:tcPr>
          <w:p w14:paraId="106B44B9" w14:textId="77777777" w:rsidR="00AF2CB8" w:rsidRPr="008B029F" w:rsidRDefault="00AF2CB8">
            <w:pPr>
              <w:pStyle w:val="TableCenter"/>
              <w:rPr>
                <w:lang w:val="en-AU"/>
              </w:rPr>
            </w:pPr>
            <w:r w:rsidRPr="008B029F">
              <w:rPr>
                <w:lang w:val="en-AU"/>
              </w:rPr>
              <w:t>20.3</w:t>
            </w:r>
          </w:p>
        </w:tc>
        <w:tc>
          <w:tcPr>
            <w:tcW w:w="2282" w:type="dxa"/>
            <w:tcBorders>
              <w:top w:val="single" w:sz="4" w:space="0" w:color="auto"/>
              <w:left w:val="single" w:sz="4" w:space="0" w:color="auto"/>
              <w:bottom w:val="single" w:sz="4" w:space="0" w:color="auto"/>
              <w:right w:val="single" w:sz="4" w:space="0" w:color="auto"/>
            </w:tcBorders>
          </w:tcPr>
          <w:p w14:paraId="7E381AAF" w14:textId="77777777" w:rsidR="00AF2CB8" w:rsidRPr="008B029F" w:rsidRDefault="00AF2CB8">
            <w:pPr>
              <w:pStyle w:val="TableCenter"/>
              <w:rPr>
                <w:lang w:val="en-AU"/>
              </w:rPr>
            </w:pPr>
            <w:r w:rsidRPr="008B029F">
              <w:rPr>
                <w:lang w:val="en-AU"/>
              </w:rPr>
              <w:t>1.4</w:t>
            </w:r>
          </w:p>
        </w:tc>
      </w:tr>
      <w:tr w:rsidR="00AF2CB8" w:rsidRPr="008B029F" w14:paraId="4338468A"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7522C" w14:textId="77777777" w:rsidR="00AF2CB8" w:rsidRPr="008B029F" w:rsidRDefault="00AF2CB8">
            <w:pPr>
              <w:pStyle w:val="TableCenter"/>
              <w:jc w:val="left"/>
              <w:rPr>
                <w:b/>
                <w:bCs/>
                <w:lang w:val="en-AU"/>
              </w:rPr>
            </w:pPr>
            <w:r w:rsidRPr="008B029F">
              <w:rPr>
                <w:b/>
                <w:bCs/>
                <w:lang w:val="en-AU"/>
              </w:rPr>
              <w:t>Gastrointestinal disorders</w:t>
            </w:r>
          </w:p>
        </w:tc>
      </w:tr>
      <w:tr w:rsidR="00AF2CB8" w:rsidRPr="008B029F" w14:paraId="010758CE"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0F6ECD4" w14:textId="2134043A" w:rsidR="00AF2CB8" w:rsidRPr="008B029F" w:rsidRDefault="00AF2CB8">
            <w:pPr>
              <w:pStyle w:val="TableCenter"/>
              <w:jc w:val="left"/>
              <w:rPr>
                <w:lang w:val="en-AU"/>
              </w:rPr>
            </w:pPr>
            <w:r w:rsidRPr="008B029F">
              <w:rPr>
                <w:lang w:val="en-AU"/>
              </w:rPr>
              <w:t>Diarrhoea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E872E7" w14:textId="77777777" w:rsidR="00AF2CB8" w:rsidRPr="008B029F" w:rsidRDefault="00AF2CB8">
            <w:pPr>
              <w:pStyle w:val="TableCenter"/>
              <w:rPr>
                <w:lang w:val="en-AU"/>
              </w:rPr>
            </w:pPr>
            <w:r w:rsidRPr="008B029F">
              <w:rPr>
                <w:lang w:val="en-AU"/>
              </w:rPr>
              <w:t>18.9</w:t>
            </w:r>
          </w:p>
        </w:tc>
        <w:tc>
          <w:tcPr>
            <w:tcW w:w="2282" w:type="dxa"/>
            <w:tcBorders>
              <w:top w:val="single" w:sz="4" w:space="0" w:color="auto"/>
              <w:left w:val="single" w:sz="4" w:space="0" w:color="auto"/>
              <w:bottom w:val="single" w:sz="4" w:space="0" w:color="auto"/>
              <w:right w:val="single" w:sz="4" w:space="0" w:color="auto"/>
            </w:tcBorders>
          </w:tcPr>
          <w:p w14:paraId="1F8D0BB8" w14:textId="77777777" w:rsidR="00AF2CB8" w:rsidRPr="008B029F" w:rsidRDefault="00AF2CB8">
            <w:pPr>
              <w:pStyle w:val="TableCenter"/>
              <w:rPr>
                <w:lang w:val="en-AU"/>
              </w:rPr>
            </w:pPr>
            <w:r w:rsidRPr="008B029F">
              <w:rPr>
                <w:lang w:val="en-AU"/>
              </w:rPr>
              <w:t>1.4</w:t>
            </w:r>
          </w:p>
        </w:tc>
      </w:tr>
      <w:tr w:rsidR="00AF2CB8" w:rsidRPr="008B029F" w14:paraId="247BDCB2"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1E68AD7" w14:textId="6392FB50" w:rsidR="00AF2CB8" w:rsidRPr="008B029F" w:rsidRDefault="00AF2CB8">
            <w:pPr>
              <w:pStyle w:val="TableCenter"/>
              <w:jc w:val="left"/>
              <w:rPr>
                <w:lang w:val="en-AU"/>
              </w:rPr>
            </w:pPr>
            <w:r w:rsidRPr="008B029F">
              <w:rPr>
                <w:lang w:val="en-AU"/>
              </w:rPr>
              <w:t>Amylase increased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4690FD4" w14:textId="77777777" w:rsidR="00AF2CB8" w:rsidRPr="008B029F" w:rsidRDefault="00AF2CB8">
            <w:pPr>
              <w:pStyle w:val="TableCenter"/>
              <w:rPr>
                <w:lang w:val="en-AU"/>
              </w:rPr>
            </w:pPr>
            <w:r w:rsidRPr="008B029F">
              <w:rPr>
                <w:lang w:val="en-AU"/>
              </w:rPr>
              <w:t>16.2</w:t>
            </w:r>
          </w:p>
        </w:tc>
        <w:tc>
          <w:tcPr>
            <w:tcW w:w="2282" w:type="dxa"/>
            <w:tcBorders>
              <w:top w:val="single" w:sz="4" w:space="0" w:color="auto"/>
              <w:left w:val="single" w:sz="4" w:space="0" w:color="auto"/>
              <w:bottom w:val="single" w:sz="4" w:space="0" w:color="auto"/>
              <w:right w:val="single" w:sz="4" w:space="0" w:color="auto"/>
            </w:tcBorders>
          </w:tcPr>
          <w:p w14:paraId="5D91266C" w14:textId="77777777" w:rsidR="00AF2CB8" w:rsidRPr="008B029F" w:rsidRDefault="00AF2CB8">
            <w:pPr>
              <w:pStyle w:val="TableCenter"/>
              <w:rPr>
                <w:lang w:val="en-AU"/>
              </w:rPr>
            </w:pPr>
            <w:r w:rsidRPr="008B029F">
              <w:rPr>
                <w:lang w:val="en-AU"/>
              </w:rPr>
              <w:t>8.1</w:t>
            </w:r>
          </w:p>
        </w:tc>
      </w:tr>
      <w:tr w:rsidR="00AF2CB8" w:rsidRPr="008B029F" w14:paraId="61F6A2E2"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ECE5BE0" w14:textId="1A13DC11" w:rsidR="00AF2CB8" w:rsidRPr="008B029F" w:rsidRDefault="00AF2CB8">
            <w:pPr>
              <w:pStyle w:val="TableCenter"/>
              <w:jc w:val="left"/>
              <w:rPr>
                <w:lang w:val="en-AU"/>
              </w:rPr>
            </w:pPr>
            <w:r w:rsidRPr="008B029F">
              <w:rPr>
                <w:lang w:val="en-AU"/>
              </w:rPr>
              <w:t>Lipase increased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DA77798" w14:textId="77777777" w:rsidR="00AF2CB8" w:rsidRPr="008B029F" w:rsidRDefault="00AF2CB8">
            <w:pPr>
              <w:pStyle w:val="TableCenter"/>
              <w:rPr>
                <w:lang w:val="en-AU"/>
              </w:rPr>
            </w:pPr>
            <w:r w:rsidRPr="008B029F">
              <w:rPr>
                <w:lang w:val="en-AU"/>
              </w:rPr>
              <w:t>16.2</w:t>
            </w:r>
          </w:p>
        </w:tc>
        <w:tc>
          <w:tcPr>
            <w:tcW w:w="2282" w:type="dxa"/>
            <w:tcBorders>
              <w:top w:val="single" w:sz="4" w:space="0" w:color="auto"/>
              <w:left w:val="single" w:sz="4" w:space="0" w:color="auto"/>
              <w:bottom w:val="single" w:sz="4" w:space="0" w:color="auto"/>
              <w:right w:val="single" w:sz="4" w:space="0" w:color="auto"/>
            </w:tcBorders>
          </w:tcPr>
          <w:p w14:paraId="6CA3C62D" w14:textId="77777777" w:rsidR="00AF2CB8" w:rsidRPr="008B029F" w:rsidRDefault="00AF2CB8">
            <w:pPr>
              <w:pStyle w:val="TableCenter"/>
              <w:rPr>
                <w:lang w:val="en-AU"/>
              </w:rPr>
            </w:pPr>
            <w:r w:rsidRPr="008B029F">
              <w:rPr>
                <w:lang w:val="en-AU"/>
              </w:rPr>
              <w:t>12.2</w:t>
            </w:r>
          </w:p>
        </w:tc>
      </w:tr>
      <w:tr w:rsidR="00AF2CB8" w:rsidRPr="008B029F" w14:paraId="19D0029E"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DD39FBA" w14:textId="7B5DC835" w:rsidR="00AF2CB8" w:rsidRPr="008B029F" w:rsidRDefault="00AF2CB8">
            <w:pPr>
              <w:pStyle w:val="TableCenter"/>
              <w:jc w:val="left"/>
              <w:rPr>
                <w:lang w:val="en-AU"/>
              </w:rPr>
            </w:pPr>
            <w:r w:rsidRPr="008B029F">
              <w:rPr>
                <w:lang w:val="en-AU"/>
              </w:rPr>
              <w:t>Abdominal pain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A3846D" w14:textId="77777777" w:rsidR="00AF2CB8" w:rsidRPr="008B029F" w:rsidRDefault="00AF2CB8">
            <w:pPr>
              <w:pStyle w:val="TableCenter"/>
              <w:rPr>
                <w:lang w:val="en-AU"/>
              </w:rPr>
            </w:pPr>
            <w:r w:rsidRPr="008B029F">
              <w:rPr>
                <w:lang w:val="en-AU"/>
              </w:rPr>
              <w:t>16.2</w:t>
            </w:r>
          </w:p>
        </w:tc>
        <w:tc>
          <w:tcPr>
            <w:tcW w:w="2282" w:type="dxa"/>
            <w:tcBorders>
              <w:top w:val="single" w:sz="4" w:space="0" w:color="auto"/>
              <w:left w:val="single" w:sz="4" w:space="0" w:color="auto"/>
              <w:bottom w:val="single" w:sz="4" w:space="0" w:color="auto"/>
              <w:right w:val="single" w:sz="4" w:space="0" w:color="auto"/>
            </w:tcBorders>
          </w:tcPr>
          <w:p w14:paraId="7E1C2BFA" w14:textId="77777777" w:rsidR="00AF2CB8" w:rsidRPr="008B029F" w:rsidRDefault="00AF2CB8">
            <w:pPr>
              <w:pStyle w:val="TableCenter"/>
              <w:rPr>
                <w:lang w:val="en-AU"/>
              </w:rPr>
            </w:pPr>
            <w:r w:rsidRPr="008B029F">
              <w:rPr>
                <w:lang w:val="en-AU"/>
              </w:rPr>
              <w:t>4.1</w:t>
            </w:r>
          </w:p>
        </w:tc>
      </w:tr>
      <w:tr w:rsidR="00AF2CB8" w:rsidRPr="008B029F" w14:paraId="0B18CF08"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C013758" w14:textId="5B7435BC" w:rsidR="00AF2CB8" w:rsidRPr="008B029F" w:rsidRDefault="00AF2CB8">
            <w:pPr>
              <w:pStyle w:val="TableCenter"/>
              <w:jc w:val="left"/>
              <w:rPr>
                <w:lang w:val="en-AU"/>
              </w:rPr>
            </w:pPr>
            <w:r w:rsidRPr="008B029F">
              <w:rPr>
                <w:lang w:val="en-AU"/>
              </w:rPr>
              <w:t>Nausea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B523E7" w14:textId="77777777" w:rsidR="00AF2CB8" w:rsidRPr="008B029F" w:rsidRDefault="00AF2CB8">
            <w:pPr>
              <w:pStyle w:val="TableCenter"/>
              <w:rPr>
                <w:lang w:val="en-AU"/>
              </w:rPr>
            </w:pPr>
            <w:r w:rsidRPr="008B029F">
              <w:rPr>
                <w:lang w:val="en-AU"/>
              </w:rPr>
              <w:t>13.5</w:t>
            </w:r>
          </w:p>
        </w:tc>
        <w:tc>
          <w:tcPr>
            <w:tcW w:w="2282" w:type="dxa"/>
            <w:tcBorders>
              <w:top w:val="single" w:sz="4" w:space="0" w:color="auto"/>
              <w:left w:val="single" w:sz="4" w:space="0" w:color="auto"/>
              <w:bottom w:val="single" w:sz="4" w:space="0" w:color="auto"/>
              <w:right w:val="single" w:sz="4" w:space="0" w:color="auto"/>
            </w:tcBorders>
          </w:tcPr>
          <w:p w14:paraId="012F3534" w14:textId="77777777" w:rsidR="00AF2CB8" w:rsidRPr="008B029F" w:rsidRDefault="00AF2CB8">
            <w:pPr>
              <w:pStyle w:val="TableCenter"/>
              <w:rPr>
                <w:lang w:val="en-AU"/>
              </w:rPr>
            </w:pPr>
            <w:r w:rsidRPr="008B029F">
              <w:rPr>
                <w:lang w:val="en-AU"/>
              </w:rPr>
              <w:t>0</w:t>
            </w:r>
          </w:p>
        </w:tc>
      </w:tr>
      <w:tr w:rsidR="00AF2CB8" w:rsidRPr="008B029F" w14:paraId="17CE3ED8"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1CB0FCB" w14:textId="143E50F4" w:rsidR="00AF2CB8" w:rsidRPr="008B029F" w:rsidRDefault="00AF2CB8">
            <w:pPr>
              <w:pStyle w:val="TableCenter"/>
              <w:jc w:val="left"/>
              <w:rPr>
                <w:lang w:val="en-AU"/>
              </w:rPr>
            </w:pPr>
            <w:r w:rsidRPr="008B029F">
              <w:rPr>
                <w:lang w:val="en-AU"/>
              </w:rPr>
              <w:t>Constipation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29B253" w14:textId="77777777" w:rsidR="00AF2CB8" w:rsidRPr="008B029F" w:rsidRDefault="00AF2CB8">
            <w:pPr>
              <w:pStyle w:val="TableCenter"/>
              <w:rPr>
                <w:lang w:val="en-AU"/>
              </w:rPr>
            </w:pPr>
            <w:r w:rsidRPr="008B029F">
              <w:rPr>
                <w:lang w:val="en-AU"/>
              </w:rPr>
              <w:t>12.2</w:t>
            </w:r>
          </w:p>
        </w:tc>
        <w:tc>
          <w:tcPr>
            <w:tcW w:w="2282" w:type="dxa"/>
            <w:tcBorders>
              <w:top w:val="single" w:sz="4" w:space="0" w:color="auto"/>
              <w:left w:val="single" w:sz="4" w:space="0" w:color="auto"/>
              <w:bottom w:val="single" w:sz="4" w:space="0" w:color="auto"/>
              <w:right w:val="single" w:sz="4" w:space="0" w:color="auto"/>
            </w:tcBorders>
          </w:tcPr>
          <w:p w14:paraId="38AB1EED" w14:textId="77777777" w:rsidR="00AF2CB8" w:rsidRPr="008B029F" w:rsidRDefault="00AF2CB8">
            <w:pPr>
              <w:pStyle w:val="TableCenter"/>
              <w:rPr>
                <w:lang w:val="en-AU"/>
              </w:rPr>
            </w:pPr>
            <w:r w:rsidRPr="008B029F">
              <w:rPr>
                <w:lang w:val="en-AU"/>
              </w:rPr>
              <w:t>0</w:t>
            </w:r>
          </w:p>
        </w:tc>
      </w:tr>
      <w:tr w:rsidR="00AF2CB8" w:rsidRPr="008B029F" w14:paraId="4056208B"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E4DA8A7" w14:textId="35B46A72" w:rsidR="00AF2CB8" w:rsidRPr="008B029F" w:rsidRDefault="00AF2CB8">
            <w:pPr>
              <w:pStyle w:val="TableCenter"/>
              <w:jc w:val="left"/>
              <w:rPr>
                <w:lang w:val="en-AU"/>
              </w:rPr>
            </w:pPr>
            <w:r w:rsidRPr="008B029F">
              <w:rPr>
                <w:lang w:val="en-AU"/>
              </w:rPr>
              <w:lastRenderedPageBreak/>
              <w:t>Abdominal distension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44BF3BF" w14:textId="77777777" w:rsidR="00AF2CB8" w:rsidRPr="008B029F" w:rsidRDefault="00AF2CB8">
            <w:pPr>
              <w:pStyle w:val="TableCenter"/>
              <w:rPr>
                <w:lang w:val="en-AU"/>
              </w:rPr>
            </w:pPr>
            <w:r w:rsidRPr="008B029F">
              <w:rPr>
                <w:lang w:val="en-AU"/>
              </w:rPr>
              <w:t>10.8</w:t>
            </w:r>
          </w:p>
        </w:tc>
        <w:tc>
          <w:tcPr>
            <w:tcW w:w="2282" w:type="dxa"/>
            <w:tcBorders>
              <w:top w:val="single" w:sz="4" w:space="0" w:color="auto"/>
              <w:left w:val="single" w:sz="4" w:space="0" w:color="auto"/>
              <w:bottom w:val="single" w:sz="4" w:space="0" w:color="auto"/>
              <w:right w:val="single" w:sz="4" w:space="0" w:color="auto"/>
            </w:tcBorders>
          </w:tcPr>
          <w:p w14:paraId="50D2C180" w14:textId="77777777" w:rsidR="00AF2CB8" w:rsidRPr="008B029F" w:rsidRDefault="00AF2CB8">
            <w:pPr>
              <w:pStyle w:val="TableCenter"/>
              <w:rPr>
                <w:lang w:val="en-AU"/>
              </w:rPr>
            </w:pPr>
            <w:r w:rsidRPr="008B029F">
              <w:rPr>
                <w:lang w:val="en-AU"/>
              </w:rPr>
              <w:t>1.4</w:t>
            </w:r>
          </w:p>
        </w:tc>
      </w:tr>
      <w:tr w:rsidR="00AF2CB8" w:rsidRPr="008B029F" w14:paraId="25D8F41D"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32B548E" w14:textId="65646E07" w:rsidR="00AF2CB8" w:rsidRPr="008B029F" w:rsidRDefault="00AF2CB8">
            <w:pPr>
              <w:pStyle w:val="TableCenter"/>
              <w:jc w:val="left"/>
              <w:rPr>
                <w:lang w:val="en-AU"/>
              </w:rPr>
            </w:pPr>
            <w:r w:rsidRPr="008B029F">
              <w:rPr>
                <w:lang w:val="en-AU"/>
              </w:rPr>
              <w:t>Vomiting</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057A02D" w14:textId="77777777" w:rsidR="00AF2CB8" w:rsidRPr="008B029F" w:rsidRDefault="00AF2CB8">
            <w:pPr>
              <w:pStyle w:val="TableCenter"/>
              <w:rPr>
                <w:lang w:val="en-AU"/>
              </w:rPr>
            </w:pPr>
            <w:r w:rsidRPr="008B029F">
              <w:rPr>
                <w:lang w:val="en-AU"/>
              </w:rPr>
              <w:t>10.8</w:t>
            </w:r>
          </w:p>
        </w:tc>
        <w:tc>
          <w:tcPr>
            <w:tcW w:w="2282" w:type="dxa"/>
            <w:tcBorders>
              <w:top w:val="single" w:sz="4" w:space="0" w:color="auto"/>
              <w:left w:val="single" w:sz="4" w:space="0" w:color="auto"/>
              <w:bottom w:val="single" w:sz="4" w:space="0" w:color="auto"/>
              <w:right w:val="single" w:sz="4" w:space="0" w:color="auto"/>
            </w:tcBorders>
          </w:tcPr>
          <w:p w14:paraId="6CA8E152" w14:textId="77777777" w:rsidR="00AF2CB8" w:rsidRPr="008B029F" w:rsidRDefault="00AF2CB8">
            <w:pPr>
              <w:pStyle w:val="TableCenter"/>
              <w:rPr>
                <w:lang w:val="en-AU"/>
              </w:rPr>
            </w:pPr>
            <w:r w:rsidRPr="008B029F">
              <w:rPr>
                <w:lang w:val="en-AU"/>
              </w:rPr>
              <w:t>0</w:t>
            </w:r>
          </w:p>
        </w:tc>
      </w:tr>
      <w:tr w:rsidR="00AF2CB8" w:rsidRPr="008B029F" w14:paraId="679933BA"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19B09D" w14:textId="77777777" w:rsidR="00AF2CB8" w:rsidRPr="008B029F" w:rsidRDefault="00AF2CB8">
            <w:pPr>
              <w:pStyle w:val="TableCenter"/>
              <w:jc w:val="left"/>
              <w:rPr>
                <w:b/>
                <w:bCs/>
                <w:lang w:val="en-AU"/>
              </w:rPr>
            </w:pPr>
            <w:r w:rsidRPr="008B029F">
              <w:rPr>
                <w:b/>
                <w:bCs/>
                <w:lang w:val="en-AU"/>
              </w:rPr>
              <w:t>Metabolism and nutrition disorders</w:t>
            </w:r>
          </w:p>
        </w:tc>
      </w:tr>
      <w:tr w:rsidR="00AF2CB8" w:rsidRPr="008B029F" w14:paraId="5DA23308"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7B62455A" w14:textId="58DE01D8" w:rsidR="00AF2CB8" w:rsidRPr="008B029F" w:rsidRDefault="00AF2CB8">
            <w:pPr>
              <w:pStyle w:val="TableCenter"/>
              <w:jc w:val="left"/>
              <w:rPr>
                <w:lang w:val="en-AU"/>
              </w:rPr>
            </w:pPr>
            <w:r w:rsidRPr="008B029F">
              <w:rPr>
                <w:lang w:val="en-AU"/>
              </w:rPr>
              <w:t>Decreased appetite</w:t>
            </w:r>
          </w:p>
        </w:tc>
        <w:tc>
          <w:tcPr>
            <w:tcW w:w="2410" w:type="dxa"/>
            <w:tcBorders>
              <w:top w:val="single" w:sz="4" w:space="0" w:color="auto"/>
              <w:left w:val="single" w:sz="4" w:space="0" w:color="auto"/>
              <w:bottom w:val="single" w:sz="4" w:space="0" w:color="auto"/>
              <w:right w:val="single" w:sz="4" w:space="0" w:color="auto"/>
            </w:tcBorders>
          </w:tcPr>
          <w:p w14:paraId="040B8549" w14:textId="77777777" w:rsidR="00AF2CB8" w:rsidRPr="008B029F" w:rsidRDefault="00AF2CB8">
            <w:pPr>
              <w:pStyle w:val="TableCenter"/>
              <w:rPr>
                <w:lang w:val="en-AU"/>
              </w:rPr>
            </w:pPr>
            <w:r w:rsidRPr="008B029F">
              <w:rPr>
                <w:lang w:val="en-AU"/>
              </w:rPr>
              <w:t>13.5</w:t>
            </w:r>
          </w:p>
        </w:tc>
        <w:tc>
          <w:tcPr>
            <w:tcW w:w="2282" w:type="dxa"/>
            <w:tcBorders>
              <w:top w:val="single" w:sz="4" w:space="0" w:color="auto"/>
              <w:left w:val="single" w:sz="4" w:space="0" w:color="auto"/>
              <w:bottom w:val="single" w:sz="4" w:space="0" w:color="auto"/>
              <w:right w:val="single" w:sz="4" w:space="0" w:color="auto"/>
            </w:tcBorders>
          </w:tcPr>
          <w:p w14:paraId="4904F119" w14:textId="77777777" w:rsidR="00AF2CB8" w:rsidRPr="008B029F" w:rsidRDefault="00AF2CB8">
            <w:pPr>
              <w:pStyle w:val="TableCenter"/>
              <w:rPr>
                <w:lang w:val="en-AU"/>
              </w:rPr>
            </w:pPr>
            <w:r w:rsidRPr="008B029F">
              <w:rPr>
                <w:lang w:val="en-AU"/>
              </w:rPr>
              <w:t>0</w:t>
            </w:r>
          </w:p>
        </w:tc>
      </w:tr>
      <w:tr w:rsidR="00AF2CB8" w:rsidRPr="008B029F" w14:paraId="5959F209"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tcPr>
          <w:p w14:paraId="328CA9C6" w14:textId="77777777" w:rsidR="00AF2CB8" w:rsidRPr="008B029F" w:rsidRDefault="00AF2CB8">
            <w:pPr>
              <w:pStyle w:val="TableCenter"/>
              <w:jc w:val="left"/>
              <w:rPr>
                <w:b/>
                <w:bCs/>
                <w:lang w:val="en-AU"/>
              </w:rPr>
            </w:pPr>
            <w:r w:rsidRPr="008B029F">
              <w:rPr>
                <w:b/>
                <w:bCs/>
                <w:lang w:val="en-AU"/>
              </w:rPr>
              <w:t>Endocrine disorders</w:t>
            </w:r>
          </w:p>
        </w:tc>
      </w:tr>
      <w:tr w:rsidR="00AF2CB8" w:rsidRPr="008B029F" w14:paraId="7643D752"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AA72CB1" w14:textId="205FC127" w:rsidR="00AF2CB8" w:rsidRPr="008B029F" w:rsidRDefault="00AF2CB8">
            <w:pPr>
              <w:pStyle w:val="TableCenter"/>
              <w:jc w:val="left"/>
              <w:rPr>
                <w:lang w:val="en-AU"/>
              </w:rPr>
            </w:pPr>
            <w:r w:rsidRPr="008B029F">
              <w:rPr>
                <w:lang w:val="en-AU"/>
              </w:rPr>
              <w:t>Hypothyroidism</w:t>
            </w:r>
          </w:p>
        </w:tc>
        <w:tc>
          <w:tcPr>
            <w:tcW w:w="2410" w:type="dxa"/>
            <w:tcBorders>
              <w:top w:val="single" w:sz="4" w:space="0" w:color="auto"/>
              <w:left w:val="single" w:sz="4" w:space="0" w:color="auto"/>
              <w:bottom w:val="single" w:sz="4" w:space="0" w:color="auto"/>
              <w:right w:val="single" w:sz="4" w:space="0" w:color="auto"/>
            </w:tcBorders>
          </w:tcPr>
          <w:p w14:paraId="2A6A71F2" w14:textId="77777777" w:rsidR="00AF2CB8" w:rsidRPr="008B029F" w:rsidRDefault="00AF2CB8">
            <w:pPr>
              <w:pStyle w:val="TableCenter"/>
              <w:rPr>
                <w:lang w:val="en-AU"/>
              </w:rPr>
            </w:pPr>
            <w:r w:rsidRPr="008B029F">
              <w:rPr>
                <w:lang w:val="en-AU"/>
              </w:rPr>
              <w:t>10.8</w:t>
            </w:r>
          </w:p>
        </w:tc>
        <w:tc>
          <w:tcPr>
            <w:tcW w:w="2282" w:type="dxa"/>
            <w:tcBorders>
              <w:top w:val="single" w:sz="4" w:space="0" w:color="auto"/>
              <w:left w:val="single" w:sz="4" w:space="0" w:color="auto"/>
              <w:bottom w:val="single" w:sz="4" w:space="0" w:color="auto"/>
              <w:right w:val="single" w:sz="4" w:space="0" w:color="auto"/>
            </w:tcBorders>
          </w:tcPr>
          <w:p w14:paraId="50A21D1E" w14:textId="77777777" w:rsidR="00AF2CB8" w:rsidRPr="008B029F" w:rsidRDefault="00AF2CB8">
            <w:pPr>
              <w:pStyle w:val="TableCenter"/>
              <w:rPr>
                <w:lang w:val="en-AU"/>
              </w:rPr>
            </w:pPr>
            <w:r w:rsidRPr="008B029F">
              <w:rPr>
                <w:lang w:val="en-AU"/>
              </w:rPr>
              <w:t>0</w:t>
            </w:r>
          </w:p>
        </w:tc>
      </w:tr>
      <w:tr w:rsidR="00AF2CB8" w:rsidRPr="008B029F" w14:paraId="0B90D48B" w14:textId="77777777" w:rsidTr="00E306B6">
        <w:trPr>
          <w:cantSplit/>
          <w:jc w:val="center"/>
        </w:trPr>
        <w:tc>
          <w:tcPr>
            <w:tcW w:w="9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A8534F" w14:textId="77777777" w:rsidR="00AF2CB8" w:rsidRPr="008B029F" w:rsidRDefault="00AF2CB8">
            <w:pPr>
              <w:pStyle w:val="TableCenter"/>
              <w:jc w:val="left"/>
              <w:rPr>
                <w:b/>
                <w:bCs/>
                <w:lang w:val="en-AU"/>
              </w:rPr>
            </w:pPr>
            <w:r w:rsidRPr="008B029F">
              <w:rPr>
                <w:b/>
                <w:bCs/>
                <w:lang w:val="en-AU"/>
              </w:rPr>
              <w:t>Musculoskeletal and connective tissue disorders</w:t>
            </w:r>
          </w:p>
        </w:tc>
      </w:tr>
      <w:tr w:rsidR="00AF2CB8" w:rsidRPr="008B029F" w14:paraId="756B2599" w14:textId="77777777" w:rsidTr="00E306B6">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E369FFA" w14:textId="1481BEE6" w:rsidR="00AF2CB8" w:rsidRPr="008B029F" w:rsidRDefault="00AF2CB8">
            <w:pPr>
              <w:pStyle w:val="TableCenter"/>
              <w:jc w:val="left"/>
              <w:rPr>
                <w:lang w:val="en-AU"/>
              </w:rPr>
            </w:pPr>
            <w:r w:rsidRPr="008B029F">
              <w:rPr>
                <w:lang w:val="en-AU"/>
              </w:rPr>
              <w:t>Arthralgia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0A41E9A" w14:textId="77777777" w:rsidR="00AF2CB8" w:rsidRPr="008B029F" w:rsidRDefault="00AF2CB8">
            <w:pPr>
              <w:pStyle w:val="TableCenter"/>
              <w:rPr>
                <w:lang w:val="en-AU"/>
              </w:rPr>
            </w:pPr>
            <w:r w:rsidRPr="008B029F">
              <w:rPr>
                <w:lang w:val="en-AU"/>
              </w:rPr>
              <w:t>10.8</w:t>
            </w:r>
          </w:p>
        </w:tc>
        <w:tc>
          <w:tcPr>
            <w:tcW w:w="2282" w:type="dxa"/>
            <w:tcBorders>
              <w:top w:val="single" w:sz="4" w:space="0" w:color="auto"/>
              <w:left w:val="single" w:sz="4" w:space="0" w:color="auto"/>
              <w:bottom w:val="single" w:sz="4" w:space="0" w:color="auto"/>
              <w:right w:val="single" w:sz="4" w:space="0" w:color="auto"/>
            </w:tcBorders>
          </w:tcPr>
          <w:p w14:paraId="5336B92F" w14:textId="77777777" w:rsidR="00AF2CB8" w:rsidRPr="008B029F" w:rsidRDefault="00AF2CB8">
            <w:pPr>
              <w:pStyle w:val="TableCenter"/>
              <w:rPr>
                <w:lang w:val="en-AU"/>
              </w:rPr>
            </w:pPr>
            <w:r w:rsidRPr="008B029F">
              <w:rPr>
                <w:lang w:val="en-AU"/>
              </w:rPr>
              <w:t>0</w:t>
            </w:r>
          </w:p>
        </w:tc>
      </w:tr>
    </w:tbl>
    <w:p w14:paraId="2A8E6382" w14:textId="77777777" w:rsidR="00AF2CB8" w:rsidRPr="008B029F" w:rsidRDefault="00AF2CB8" w:rsidP="00AF2CB8">
      <w:pPr>
        <w:pStyle w:val="Paragraph"/>
        <w:rPr>
          <w:lang w:val="en-AU"/>
        </w:rPr>
      </w:pPr>
    </w:p>
    <w:p w14:paraId="338C2EB2" w14:textId="5BE3D717" w:rsidR="00AF2CB8" w:rsidRPr="008B029F" w:rsidRDefault="00AF2CB8" w:rsidP="00AF2CB8">
      <w:pPr>
        <w:pStyle w:val="ListParagraph"/>
        <w:spacing w:after="120"/>
        <w:rPr>
          <w:lang w:val="en-AU"/>
        </w:rPr>
      </w:pPr>
      <w:r w:rsidRPr="008B029F">
        <w:rPr>
          <w:color w:val="2B579A"/>
          <w:shd w:val="clear" w:color="auto" w:fill="E6E6E6"/>
          <w:lang w:val="en-AU"/>
        </w:rPr>
        <w:fldChar w:fldCharType="begin"/>
      </w:r>
      <w:r w:rsidRPr="008B029F">
        <w:rPr>
          <w:lang w:val="en-AU"/>
        </w:rPr>
        <w:instrText xml:space="preserve"> REF _Ref124779192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15</w:t>
      </w:r>
      <w:r w:rsidRPr="008B029F">
        <w:rPr>
          <w:color w:val="2B579A"/>
          <w:shd w:val="clear" w:color="auto" w:fill="E6E6E6"/>
          <w:lang w:val="en-AU"/>
        </w:rPr>
        <w:fldChar w:fldCharType="end"/>
      </w:r>
      <w:r w:rsidRPr="008B029F">
        <w:rPr>
          <w:lang w:val="en-AU"/>
        </w:rPr>
        <w:t xml:space="preserve"> summarises the laboratory abnormalities that occurred patients treated with STRIDE</w:t>
      </w:r>
      <w:r w:rsidRPr="008B029F">
        <w:rPr>
          <w:lang w:val="en-AU" w:eastAsia="en-GB"/>
        </w:rPr>
        <w:t xml:space="preserve"> in Study 22.</w:t>
      </w:r>
    </w:p>
    <w:p w14:paraId="23E82C8C" w14:textId="001DF054" w:rsidR="00AF2CB8" w:rsidRPr="008B029F" w:rsidRDefault="00AF2CB8" w:rsidP="00AF2CB8">
      <w:pPr>
        <w:pStyle w:val="TableTitle"/>
        <w:rPr>
          <w:lang w:val="en-AU"/>
        </w:rPr>
      </w:pPr>
      <w:bookmarkStart w:id="33" w:name="_Ref124779192"/>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15</w:t>
      </w:r>
      <w:r w:rsidRPr="008B029F">
        <w:rPr>
          <w:color w:val="2B579A"/>
          <w:shd w:val="clear" w:color="auto" w:fill="E6E6E6"/>
          <w:lang w:val="en-AU"/>
        </w:rPr>
        <w:fldChar w:fldCharType="end"/>
      </w:r>
      <w:bookmarkEnd w:id="33"/>
      <w:r w:rsidRPr="008B029F">
        <w:rPr>
          <w:lang w:val="en-AU"/>
        </w:rPr>
        <w:tab/>
        <w:t>Laboratory abnormalities worsening from baseline occurring in ≥ 20%</w:t>
      </w:r>
      <w:r w:rsidRPr="008B029F">
        <w:rPr>
          <w:vertAlign w:val="superscript"/>
          <w:lang w:val="en-AU"/>
        </w:rPr>
        <w:t>a</w:t>
      </w:r>
      <w:r w:rsidRPr="008B029F">
        <w:rPr>
          <w:lang w:val="en-AU"/>
        </w:rPr>
        <w:t xml:space="preserve"> of patients treated with STRIDE in Study 22</w:t>
      </w:r>
    </w:p>
    <w:tbl>
      <w:tblPr>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t;&lt;Please Add a Table Title Here&gt;&gt;"/>
      </w:tblPr>
      <w:tblGrid>
        <w:gridCol w:w="3681"/>
        <w:gridCol w:w="2835"/>
        <w:gridCol w:w="2693"/>
      </w:tblGrid>
      <w:tr w:rsidR="00AF2CB8" w:rsidRPr="008B029F" w14:paraId="24CF76EF" w14:textId="77777777">
        <w:trPr>
          <w:cantSplit/>
          <w:tblHeader/>
        </w:trPr>
        <w:tc>
          <w:tcPr>
            <w:tcW w:w="3681" w:type="dxa"/>
            <w:vMerge w:val="restart"/>
            <w:shd w:val="clear" w:color="auto" w:fill="auto"/>
          </w:tcPr>
          <w:p w14:paraId="1D01AE16" w14:textId="1799689C" w:rsidR="00AF2CB8" w:rsidRPr="008B029F" w:rsidRDefault="00AF2CB8">
            <w:pPr>
              <w:pStyle w:val="TableHead"/>
              <w:jc w:val="left"/>
              <w:rPr>
                <w:lang w:val="en-AU"/>
              </w:rPr>
            </w:pPr>
            <w:r w:rsidRPr="008B029F">
              <w:rPr>
                <w:lang w:val="en-AU"/>
              </w:rPr>
              <w:t>Laboratory abnormality</w:t>
            </w:r>
          </w:p>
        </w:tc>
        <w:tc>
          <w:tcPr>
            <w:tcW w:w="5528" w:type="dxa"/>
            <w:gridSpan w:val="2"/>
          </w:tcPr>
          <w:p w14:paraId="64803072" w14:textId="77777777" w:rsidR="00AF2CB8" w:rsidRPr="008B029F" w:rsidRDefault="00AF2CB8">
            <w:pPr>
              <w:pStyle w:val="TableHead"/>
              <w:rPr>
                <w:bCs/>
                <w:lang w:val="en-AU"/>
              </w:rPr>
            </w:pPr>
            <w:r w:rsidRPr="008B029F">
              <w:rPr>
                <w:bCs/>
                <w:lang w:val="en-AU"/>
              </w:rPr>
              <w:t>STRIDE</w:t>
            </w:r>
          </w:p>
        </w:tc>
      </w:tr>
      <w:tr w:rsidR="00AF2CB8" w:rsidRPr="008B029F" w14:paraId="6C1E125D" w14:textId="77777777">
        <w:trPr>
          <w:cantSplit/>
          <w:tblHeader/>
        </w:trPr>
        <w:tc>
          <w:tcPr>
            <w:tcW w:w="3681" w:type="dxa"/>
            <w:vMerge/>
            <w:shd w:val="clear" w:color="auto" w:fill="auto"/>
          </w:tcPr>
          <w:p w14:paraId="4612696B" w14:textId="77777777" w:rsidR="00AF2CB8" w:rsidRPr="008B029F" w:rsidRDefault="00AF2CB8">
            <w:pPr>
              <w:pStyle w:val="TableHead"/>
              <w:jc w:val="left"/>
              <w:rPr>
                <w:lang w:val="en-AU"/>
              </w:rPr>
            </w:pPr>
          </w:p>
        </w:tc>
        <w:tc>
          <w:tcPr>
            <w:tcW w:w="2835" w:type="dxa"/>
          </w:tcPr>
          <w:p w14:paraId="4B63095C" w14:textId="2BFA7837" w:rsidR="00AF2CB8" w:rsidRPr="008B029F" w:rsidRDefault="00AF2CB8">
            <w:pPr>
              <w:pStyle w:val="TableHead"/>
              <w:rPr>
                <w:bCs/>
                <w:lang w:val="en-AU"/>
              </w:rPr>
            </w:pPr>
            <w:r w:rsidRPr="008B029F">
              <w:rPr>
                <w:bCs/>
                <w:lang w:val="en-AU"/>
              </w:rPr>
              <w:t>Any grade</w:t>
            </w:r>
            <w:r w:rsidRPr="008B029F">
              <w:rPr>
                <w:bCs/>
                <w:vertAlign w:val="superscript"/>
                <w:lang w:val="en-AU"/>
              </w:rPr>
              <w:t>b</w:t>
            </w:r>
            <w:r w:rsidRPr="008B029F">
              <w:rPr>
                <w:bCs/>
                <w:lang w:val="en-AU"/>
              </w:rPr>
              <w:t xml:space="preserve"> (%)</w:t>
            </w:r>
            <w:r w:rsidRPr="008B029F">
              <w:rPr>
                <w:bCs/>
                <w:vertAlign w:val="superscript"/>
                <w:lang w:val="en-AU"/>
              </w:rPr>
              <w:t>c</w:t>
            </w:r>
          </w:p>
        </w:tc>
        <w:tc>
          <w:tcPr>
            <w:tcW w:w="2693" w:type="dxa"/>
          </w:tcPr>
          <w:p w14:paraId="316ADFF2" w14:textId="0938AE3D" w:rsidR="00AF2CB8" w:rsidRPr="008B029F" w:rsidRDefault="00AF2CB8">
            <w:pPr>
              <w:pStyle w:val="TableHead"/>
              <w:rPr>
                <w:bCs/>
                <w:lang w:val="en-AU"/>
              </w:rPr>
            </w:pPr>
            <w:r w:rsidRPr="008B029F">
              <w:rPr>
                <w:bCs/>
                <w:lang w:val="en-AU"/>
              </w:rPr>
              <w:t>Grade 3</w:t>
            </w:r>
            <w:r w:rsidRPr="008B029F">
              <w:rPr>
                <w:bCs/>
                <w:vertAlign w:val="superscript"/>
                <w:lang w:val="en-AU"/>
              </w:rPr>
              <w:t>b</w:t>
            </w:r>
            <w:r w:rsidRPr="008B029F">
              <w:rPr>
                <w:bCs/>
                <w:lang w:val="en-AU"/>
              </w:rPr>
              <w:t xml:space="preserve"> or 4 (%)</w:t>
            </w:r>
            <w:r w:rsidRPr="008B029F">
              <w:rPr>
                <w:bCs/>
                <w:vertAlign w:val="superscript"/>
                <w:lang w:val="en-AU"/>
              </w:rPr>
              <w:t>c</w:t>
            </w:r>
          </w:p>
        </w:tc>
      </w:tr>
      <w:tr w:rsidR="00AF2CB8" w:rsidRPr="008B029F" w14:paraId="77DA568C" w14:textId="77777777">
        <w:trPr>
          <w:cantSplit/>
          <w:tblHeader/>
        </w:trPr>
        <w:tc>
          <w:tcPr>
            <w:tcW w:w="9209" w:type="dxa"/>
            <w:gridSpan w:val="3"/>
            <w:shd w:val="clear" w:color="auto" w:fill="auto"/>
          </w:tcPr>
          <w:p w14:paraId="58B3769D" w14:textId="77777777" w:rsidR="00AF2CB8" w:rsidRPr="008B029F" w:rsidRDefault="00AF2CB8">
            <w:pPr>
              <w:pStyle w:val="TableCenter"/>
              <w:jc w:val="left"/>
              <w:rPr>
                <w:b/>
                <w:bCs/>
                <w:lang w:val="en-AU"/>
              </w:rPr>
            </w:pPr>
            <w:r w:rsidRPr="008B029F">
              <w:rPr>
                <w:b/>
                <w:bCs/>
                <w:lang w:val="en-AU"/>
              </w:rPr>
              <w:t>Chemistry</w:t>
            </w:r>
          </w:p>
        </w:tc>
      </w:tr>
      <w:tr w:rsidR="00AF2CB8" w:rsidRPr="008B029F" w14:paraId="1FE4701C" w14:textId="77777777">
        <w:trPr>
          <w:cantSplit/>
        </w:trPr>
        <w:tc>
          <w:tcPr>
            <w:tcW w:w="3681" w:type="dxa"/>
            <w:shd w:val="clear" w:color="auto" w:fill="auto"/>
          </w:tcPr>
          <w:p w14:paraId="0E37402F" w14:textId="77777777" w:rsidR="00AF2CB8" w:rsidRPr="008B029F" w:rsidRDefault="00AF2CB8">
            <w:pPr>
              <w:pStyle w:val="TableCenter"/>
              <w:jc w:val="left"/>
              <w:rPr>
                <w:lang w:val="en-AU"/>
              </w:rPr>
            </w:pPr>
            <w:r w:rsidRPr="008B029F">
              <w:rPr>
                <w:lang w:val="en-AU"/>
              </w:rPr>
              <w:t>Creatinine increased</w:t>
            </w:r>
          </w:p>
        </w:tc>
        <w:tc>
          <w:tcPr>
            <w:tcW w:w="2835" w:type="dxa"/>
          </w:tcPr>
          <w:p w14:paraId="78A60058" w14:textId="77777777" w:rsidR="00AF2CB8" w:rsidRPr="008B029F" w:rsidRDefault="00AF2CB8">
            <w:pPr>
              <w:pStyle w:val="TableCenter"/>
              <w:rPr>
                <w:lang w:val="en-AU"/>
              </w:rPr>
            </w:pPr>
            <w:r w:rsidRPr="008B029F">
              <w:rPr>
                <w:lang w:val="en-AU"/>
              </w:rPr>
              <w:t>91.5</w:t>
            </w:r>
          </w:p>
        </w:tc>
        <w:tc>
          <w:tcPr>
            <w:tcW w:w="2693" w:type="dxa"/>
          </w:tcPr>
          <w:p w14:paraId="136835CB" w14:textId="77777777" w:rsidR="00AF2CB8" w:rsidRPr="008B029F" w:rsidRDefault="00AF2CB8">
            <w:pPr>
              <w:pStyle w:val="TableCenter"/>
              <w:rPr>
                <w:lang w:val="en-AU"/>
              </w:rPr>
            </w:pPr>
            <w:r w:rsidRPr="008B029F">
              <w:rPr>
                <w:lang w:val="en-AU"/>
              </w:rPr>
              <w:t>4.2</w:t>
            </w:r>
          </w:p>
        </w:tc>
      </w:tr>
      <w:tr w:rsidR="00AF2CB8" w:rsidRPr="008B029F" w14:paraId="05502677"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19ADA0F7" w14:textId="08906CD4" w:rsidR="00AF2CB8" w:rsidRPr="008B029F" w:rsidRDefault="00AF2CB8">
            <w:pPr>
              <w:pStyle w:val="TableCenter"/>
              <w:jc w:val="left"/>
              <w:rPr>
                <w:lang w:val="en-AU"/>
              </w:rPr>
            </w:pPr>
            <w:r w:rsidRPr="008B029F">
              <w:rPr>
                <w:lang w:val="en-AU"/>
              </w:rPr>
              <w:t>Aspartate aminotransferase increased</w:t>
            </w:r>
          </w:p>
        </w:tc>
        <w:tc>
          <w:tcPr>
            <w:tcW w:w="2835" w:type="dxa"/>
            <w:tcBorders>
              <w:top w:val="single" w:sz="4" w:space="0" w:color="auto"/>
              <w:left w:val="single" w:sz="4" w:space="0" w:color="auto"/>
              <w:bottom w:val="single" w:sz="4" w:space="0" w:color="auto"/>
              <w:right w:val="single" w:sz="4" w:space="0" w:color="auto"/>
            </w:tcBorders>
          </w:tcPr>
          <w:p w14:paraId="3504DF73" w14:textId="77777777" w:rsidR="00AF2CB8" w:rsidRPr="008B029F" w:rsidRDefault="00AF2CB8">
            <w:pPr>
              <w:pStyle w:val="TableCenter"/>
              <w:rPr>
                <w:lang w:val="en-AU"/>
              </w:rPr>
            </w:pPr>
            <w:r w:rsidRPr="008B029F">
              <w:rPr>
                <w:lang w:val="en-AU"/>
              </w:rPr>
              <w:t>63.4</w:t>
            </w:r>
          </w:p>
        </w:tc>
        <w:tc>
          <w:tcPr>
            <w:tcW w:w="2693" w:type="dxa"/>
            <w:tcBorders>
              <w:top w:val="single" w:sz="4" w:space="0" w:color="auto"/>
              <w:left w:val="single" w:sz="4" w:space="0" w:color="auto"/>
              <w:bottom w:val="single" w:sz="4" w:space="0" w:color="auto"/>
              <w:right w:val="single" w:sz="4" w:space="0" w:color="auto"/>
            </w:tcBorders>
          </w:tcPr>
          <w:p w14:paraId="16FD0FB4" w14:textId="77777777" w:rsidR="00AF2CB8" w:rsidRPr="008B029F" w:rsidRDefault="00AF2CB8">
            <w:pPr>
              <w:pStyle w:val="TableCenter"/>
              <w:rPr>
                <w:lang w:val="en-AU"/>
              </w:rPr>
            </w:pPr>
            <w:r w:rsidRPr="008B029F">
              <w:rPr>
                <w:lang w:val="en-AU"/>
              </w:rPr>
              <w:t>26.8</w:t>
            </w:r>
          </w:p>
        </w:tc>
      </w:tr>
      <w:tr w:rsidR="00AF2CB8" w:rsidRPr="008B029F" w14:paraId="359D8D49" w14:textId="77777777">
        <w:trPr>
          <w:cantSplit/>
        </w:trPr>
        <w:tc>
          <w:tcPr>
            <w:tcW w:w="3681" w:type="dxa"/>
            <w:shd w:val="clear" w:color="auto" w:fill="auto"/>
          </w:tcPr>
          <w:p w14:paraId="6EE04DF0" w14:textId="77777777" w:rsidR="00AF2CB8" w:rsidRPr="008B029F" w:rsidRDefault="00AF2CB8">
            <w:pPr>
              <w:pStyle w:val="TableCenter"/>
              <w:jc w:val="left"/>
              <w:rPr>
                <w:lang w:val="en-AU"/>
              </w:rPr>
            </w:pPr>
            <w:r w:rsidRPr="008B029F">
              <w:rPr>
                <w:lang w:val="en-AU"/>
              </w:rPr>
              <w:t>Alanine aminotransferase increased</w:t>
            </w:r>
          </w:p>
        </w:tc>
        <w:tc>
          <w:tcPr>
            <w:tcW w:w="2835" w:type="dxa"/>
          </w:tcPr>
          <w:p w14:paraId="2E1ADE8F" w14:textId="77777777" w:rsidR="00AF2CB8" w:rsidRPr="008B029F" w:rsidRDefault="00AF2CB8">
            <w:pPr>
              <w:pStyle w:val="TableCenter"/>
              <w:rPr>
                <w:lang w:val="en-AU"/>
              </w:rPr>
            </w:pPr>
            <w:r w:rsidRPr="008B029F">
              <w:rPr>
                <w:lang w:val="en-AU"/>
              </w:rPr>
              <w:t>60.6</w:t>
            </w:r>
          </w:p>
        </w:tc>
        <w:tc>
          <w:tcPr>
            <w:tcW w:w="2693" w:type="dxa"/>
          </w:tcPr>
          <w:p w14:paraId="57D8DCDA" w14:textId="77777777" w:rsidR="00AF2CB8" w:rsidRPr="008B029F" w:rsidRDefault="00AF2CB8">
            <w:pPr>
              <w:pStyle w:val="TableCenter"/>
              <w:rPr>
                <w:lang w:val="en-AU"/>
              </w:rPr>
            </w:pPr>
            <w:r w:rsidRPr="008B029F">
              <w:rPr>
                <w:lang w:val="en-AU"/>
              </w:rPr>
              <w:t>18.3</w:t>
            </w:r>
          </w:p>
        </w:tc>
      </w:tr>
      <w:tr w:rsidR="00AF2CB8" w:rsidRPr="008B029F" w14:paraId="7EDB1FE5"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7841E72F" w14:textId="77777777" w:rsidR="00AF2CB8" w:rsidRPr="008B029F" w:rsidRDefault="00AF2CB8">
            <w:pPr>
              <w:pStyle w:val="TableCenter"/>
              <w:jc w:val="left"/>
              <w:rPr>
                <w:lang w:val="en-AU"/>
              </w:rPr>
            </w:pPr>
            <w:r w:rsidRPr="008B029F">
              <w:rPr>
                <w:lang w:val="en-AU"/>
              </w:rPr>
              <w:t>Glucose increased</w:t>
            </w:r>
          </w:p>
        </w:tc>
        <w:tc>
          <w:tcPr>
            <w:tcW w:w="2835" w:type="dxa"/>
            <w:tcBorders>
              <w:top w:val="single" w:sz="4" w:space="0" w:color="auto"/>
              <w:left w:val="single" w:sz="4" w:space="0" w:color="auto"/>
              <w:bottom w:val="single" w:sz="4" w:space="0" w:color="auto"/>
              <w:right w:val="single" w:sz="4" w:space="0" w:color="auto"/>
            </w:tcBorders>
          </w:tcPr>
          <w:p w14:paraId="134EE2B9" w14:textId="77777777" w:rsidR="00AF2CB8" w:rsidRPr="008B029F" w:rsidRDefault="00AF2CB8">
            <w:pPr>
              <w:pStyle w:val="TableCenter"/>
              <w:rPr>
                <w:lang w:val="en-AU"/>
              </w:rPr>
            </w:pPr>
            <w:r w:rsidRPr="008B029F">
              <w:rPr>
                <w:lang w:val="en-AU"/>
              </w:rPr>
              <w:t>56.3</w:t>
            </w:r>
          </w:p>
        </w:tc>
        <w:tc>
          <w:tcPr>
            <w:tcW w:w="2693" w:type="dxa"/>
            <w:tcBorders>
              <w:top w:val="single" w:sz="4" w:space="0" w:color="auto"/>
              <w:left w:val="single" w:sz="4" w:space="0" w:color="auto"/>
              <w:bottom w:val="single" w:sz="4" w:space="0" w:color="auto"/>
              <w:right w:val="single" w:sz="4" w:space="0" w:color="auto"/>
            </w:tcBorders>
          </w:tcPr>
          <w:p w14:paraId="545C955E" w14:textId="77777777" w:rsidR="00AF2CB8" w:rsidRPr="008B029F" w:rsidRDefault="00AF2CB8">
            <w:pPr>
              <w:pStyle w:val="TableCenter"/>
              <w:rPr>
                <w:lang w:val="en-AU"/>
              </w:rPr>
            </w:pPr>
            <w:r w:rsidRPr="008B029F">
              <w:rPr>
                <w:lang w:val="en-AU"/>
              </w:rPr>
              <w:t>19.7</w:t>
            </w:r>
          </w:p>
        </w:tc>
      </w:tr>
      <w:tr w:rsidR="00AF2CB8" w:rsidRPr="008B029F" w14:paraId="4070CC92" w14:textId="77777777">
        <w:trPr>
          <w:cantSplit/>
        </w:trPr>
        <w:tc>
          <w:tcPr>
            <w:tcW w:w="3681" w:type="dxa"/>
            <w:shd w:val="clear" w:color="auto" w:fill="auto"/>
          </w:tcPr>
          <w:p w14:paraId="376391D9" w14:textId="77777777" w:rsidR="00AF2CB8" w:rsidRPr="008B029F" w:rsidRDefault="00AF2CB8">
            <w:pPr>
              <w:pStyle w:val="TableCenter"/>
              <w:jc w:val="left"/>
              <w:rPr>
                <w:lang w:val="en-AU"/>
              </w:rPr>
            </w:pPr>
            <w:r w:rsidRPr="008B029F">
              <w:rPr>
                <w:lang w:val="en-AU"/>
              </w:rPr>
              <w:t>Albumin decreased</w:t>
            </w:r>
          </w:p>
        </w:tc>
        <w:tc>
          <w:tcPr>
            <w:tcW w:w="2835" w:type="dxa"/>
          </w:tcPr>
          <w:p w14:paraId="01DEFCD7" w14:textId="77777777" w:rsidR="00AF2CB8" w:rsidRPr="008B029F" w:rsidRDefault="00AF2CB8">
            <w:pPr>
              <w:pStyle w:val="TableCenter"/>
              <w:rPr>
                <w:lang w:val="en-AU"/>
              </w:rPr>
            </w:pPr>
            <w:r w:rsidRPr="008B029F">
              <w:rPr>
                <w:lang w:val="en-AU"/>
              </w:rPr>
              <w:t>53.5</w:t>
            </w:r>
          </w:p>
        </w:tc>
        <w:tc>
          <w:tcPr>
            <w:tcW w:w="2693" w:type="dxa"/>
          </w:tcPr>
          <w:p w14:paraId="629670C3" w14:textId="77777777" w:rsidR="00AF2CB8" w:rsidRPr="008B029F" w:rsidRDefault="00AF2CB8">
            <w:pPr>
              <w:pStyle w:val="TableCenter"/>
              <w:rPr>
                <w:lang w:val="en-AU"/>
              </w:rPr>
            </w:pPr>
            <w:r w:rsidRPr="008B029F">
              <w:rPr>
                <w:lang w:val="en-AU"/>
              </w:rPr>
              <w:t>0</w:t>
            </w:r>
          </w:p>
        </w:tc>
      </w:tr>
      <w:tr w:rsidR="00AF2CB8" w:rsidRPr="008B029F" w14:paraId="76EA7BB5"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4264E4D1" w14:textId="77777777" w:rsidR="00AF2CB8" w:rsidRPr="008B029F" w:rsidRDefault="00AF2CB8">
            <w:pPr>
              <w:pStyle w:val="TableCenter"/>
              <w:jc w:val="left"/>
              <w:rPr>
                <w:lang w:val="en-AU"/>
              </w:rPr>
            </w:pPr>
            <w:r w:rsidRPr="008B029F">
              <w:rPr>
                <w:lang w:val="en-AU"/>
              </w:rPr>
              <w:t>Sodium decreased</w:t>
            </w:r>
          </w:p>
        </w:tc>
        <w:tc>
          <w:tcPr>
            <w:tcW w:w="2835" w:type="dxa"/>
            <w:tcBorders>
              <w:top w:val="single" w:sz="4" w:space="0" w:color="auto"/>
              <w:left w:val="single" w:sz="4" w:space="0" w:color="auto"/>
              <w:bottom w:val="single" w:sz="4" w:space="0" w:color="auto"/>
              <w:right w:val="single" w:sz="4" w:space="0" w:color="auto"/>
            </w:tcBorders>
          </w:tcPr>
          <w:p w14:paraId="33AAEF5B" w14:textId="77777777" w:rsidR="00AF2CB8" w:rsidRPr="008B029F" w:rsidRDefault="00AF2CB8">
            <w:pPr>
              <w:pStyle w:val="TableCenter"/>
              <w:rPr>
                <w:lang w:val="en-AU"/>
              </w:rPr>
            </w:pPr>
            <w:r w:rsidRPr="008B029F">
              <w:rPr>
                <w:lang w:val="en-AU"/>
              </w:rPr>
              <w:t>50.7</w:t>
            </w:r>
          </w:p>
        </w:tc>
        <w:tc>
          <w:tcPr>
            <w:tcW w:w="2693" w:type="dxa"/>
            <w:tcBorders>
              <w:top w:val="single" w:sz="4" w:space="0" w:color="auto"/>
              <w:left w:val="single" w:sz="4" w:space="0" w:color="auto"/>
              <w:bottom w:val="single" w:sz="4" w:space="0" w:color="auto"/>
              <w:right w:val="single" w:sz="4" w:space="0" w:color="auto"/>
            </w:tcBorders>
          </w:tcPr>
          <w:p w14:paraId="3FAD5033" w14:textId="77777777" w:rsidR="00AF2CB8" w:rsidRPr="008B029F" w:rsidRDefault="00AF2CB8">
            <w:pPr>
              <w:pStyle w:val="TableCenter"/>
              <w:rPr>
                <w:lang w:val="en-AU"/>
              </w:rPr>
            </w:pPr>
            <w:r w:rsidRPr="008B029F">
              <w:rPr>
                <w:lang w:val="en-AU"/>
              </w:rPr>
              <w:t>9.9</w:t>
            </w:r>
          </w:p>
        </w:tc>
      </w:tr>
      <w:tr w:rsidR="00AF2CB8" w:rsidRPr="008B029F" w14:paraId="5BAF4A73"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1C98BE06" w14:textId="6CCA5123" w:rsidR="00AF2CB8" w:rsidRPr="008B029F" w:rsidRDefault="00AF2CB8">
            <w:pPr>
              <w:pStyle w:val="TableCenter"/>
              <w:jc w:val="left"/>
              <w:rPr>
                <w:lang w:val="en-AU"/>
              </w:rPr>
            </w:pPr>
            <w:r w:rsidRPr="008B029F">
              <w:rPr>
                <w:lang w:val="en-AU"/>
              </w:rPr>
              <w:t>Alkaline phosphatase increased</w:t>
            </w:r>
          </w:p>
        </w:tc>
        <w:tc>
          <w:tcPr>
            <w:tcW w:w="2835" w:type="dxa"/>
            <w:tcBorders>
              <w:top w:val="single" w:sz="4" w:space="0" w:color="auto"/>
              <w:left w:val="single" w:sz="4" w:space="0" w:color="auto"/>
              <w:bottom w:val="single" w:sz="4" w:space="0" w:color="auto"/>
              <w:right w:val="single" w:sz="4" w:space="0" w:color="auto"/>
            </w:tcBorders>
          </w:tcPr>
          <w:p w14:paraId="2ABEBBFB" w14:textId="77777777" w:rsidR="00AF2CB8" w:rsidRPr="008B029F" w:rsidRDefault="00AF2CB8">
            <w:pPr>
              <w:pStyle w:val="TableCenter"/>
              <w:rPr>
                <w:lang w:val="en-AU"/>
              </w:rPr>
            </w:pPr>
            <w:r w:rsidRPr="008B029F">
              <w:rPr>
                <w:lang w:val="en-AU"/>
              </w:rPr>
              <w:t>36.6</w:t>
            </w:r>
          </w:p>
        </w:tc>
        <w:tc>
          <w:tcPr>
            <w:tcW w:w="2693" w:type="dxa"/>
            <w:tcBorders>
              <w:top w:val="single" w:sz="4" w:space="0" w:color="auto"/>
              <w:left w:val="single" w:sz="4" w:space="0" w:color="auto"/>
              <w:bottom w:val="single" w:sz="4" w:space="0" w:color="auto"/>
              <w:right w:val="single" w:sz="4" w:space="0" w:color="auto"/>
            </w:tcBorders>
          </w:tcPr>
          <w:p w14:paraId="723E50D1" w14:textId="77777777" w:rsidR="00AF2CB8" w:rsidRPr="008B029F" w:rsidRDefault="00AF2CB8">
            <w:pPr>
              <w:pStyle w:val="TableCenter"/>
              <w:rPr>
                <w:lang w:val="en-AU"/>
              </w:rPr>
            </w:pPr>
            <w:r w:rsidRPr="008B029F">
              <w:rPr>
                <w:lang w:val="en-AU"/>
              </w:rPr>
              <w:t>5.6</w:t>
            </w:r>
          </w:p>
        </w:tc>
      </w:tr>
      <w:tr w:rsidR="00AF2CB8" w:rsidRPr="008B029F" w14:paraId="4C66E9FB"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6EC80699" w14:textId="77777777" w:rsidR="00AF2CB8" w:rsidRPr="008B029F" w:rsidRDefault="00AF2CB8">
            <w:pPr>
              <w:pStyle w:val="TableCenter"/>
              <w:jc w:val="left"/>
              <w:rPr>
                <w:lang w:val="en-AU"/>
              </w:rPr>
            </w:pPr>
            <w:r w:rsidRPr="008B029F">
              <w:rPr>
                <w:lang w:val="en-AU"/>
              </w:rPr>
              <w:t>Bilirubin increased</w:t>
            </w:r>
          </w:p>
        </w:tc>
        <w:tc>
          <w:tcPr>
            <w:tcW w:w="2835" w:type="dxa"/>
            <w:tcBorders>
              <w:top w:val="single" w:sz="4" w:space="0" w:color="auto"/>
              <w:left w:val="single" w:sz="4" w:space="0" w:color="auto"/>
              <w:bottom w:val="single" w:sz="4" w:space="0" w:color="auto"/>
              <w:right w:val="single" w:sz="4" w:space="0" w:color="auto"/>
            </w:tcBorders>
          </w:tcPr>
          <w:p w14:paraId="0AB22035" w14:textId="77777777" w:rsidR="00AF2CB8" w:rsidRPr="008B029F" w:rsidRDefault="00AF2CB8">
            <w:pPr>
              <w:pStyle w:val="TableCenter"/>
              <w:rPr>
                <w:lang w:val="en-AU"/>
              </w:rPr>
            </w:pPr>
            <w:r w:rsidRPr="008B029F">
              <w:rPr>
                <w:lang w:val="en-AU"/>
              </w:rPr>
              <w:t>33.8</w:t>
            </w:r>
          </w:p>
        </w:tc>
        <w:tc>
          <w:tcPr>
            <w:tcW w:w="2693" w:type="dxa"/>
            <w:tcBorders>
              <w:top w:val="single" w:sz="4" w:space="0" w:color="auto"/>
              <w:left w:val="single" w:sz="4" w:space="0" w:color="auto"/>
              <w:bottom w:val="single" w:sz="4" w:space="0" w:color="auto"/>
              <w:right w:val="single" w:sz="4" w:space="0" w:color="auto"/>
            </w:tcBorders>
          </w:tcPr>
          <w:p w14:paraId="6E8A5835" w14:textId="77777777" w:rsidR="00AF2CB8" w:rsidRPr="008B029F" w:rsidRDefault="00AF2CB8">
            <w:pPr>
              <w:pStyle w:val="TableCenter"/>
              <w:rPr>
                <w:lang w:val="en-AU"/>
              </w:rPr>
            </w:pPr>
            <w:r w:rsidRPr="008B029F">
              <w:rPr>
                <w:lang w:val="en-AU"/>
              </w:rPr>
              <w:t>5.6</w:t>
            </w:r>
          </w:p>
        </w:tc>
      </w:tr>
      <w:tr w:rsidR="00AF2CB8" w:rsidRPr="008B029F" w14:paraId="7E657E34"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232B1E6C" w14:textId="77777777" w:rsidR="00AF2CB8" w:rsidRPr="008B029F" w:rsidRDefault="00AF2CB8">
            <w:pPr>
              <w:pStyle w:val="TableCenter"/>
              <w:jc w:val="left"/>
              <w:rPr>
                <w:lang w:val="en-AU"/>
              </w:rPr>
            </w:pPr>
            <w:r w:rsidRPr="008B029F">
              <w:rPr>
                <w:lang w:val="en-AU"/>
              </w:rPr>
              <w:t>Calcium decreased</w:t>
            </w:r>
          </w:p>
        </w:tc>
        <w:tc>
          <w:tcPr>
            <w:tcW w:w="2835" w:type="dxa"/>
            <w:tcBorders>
              <w:top w:val="single" w:sz="4" w:space="0" w:color="auto"/>
              <w:left w:val="single" w:sz="4" w:space="0" w:color="auto"/>
              <w:bottom w:val="single" w:sz="4" w:space="0" w:color="auto"/>
              <w:right w:val="single" w:sz="4" w:space="0" w:color="auto"/>
            </w:tcBorders>
          </w:tcPr>
          <w:p w14:paraId="483ADFB7" w14:textId="77777777" w:rsidR="00AF2CB8" w:rsidRPr="008B029F" w:rsidRDefault="00AF2CB8">
            <w:pPr>
              <w:pStyle w:val="TableCenter"/>
              <w:rPr>
                <w:lang w:val="en-AU"/>
              </w:rPr>
            </w:pPr>
            <w:r w:rsidRPr="008B029F">
              <w:rPr>
                <w:lang w:val="en-AU"/>
              </w:rPr>
              <w:t>29.6</w:t>
            </w:r>
          </w:p>
        </w:tc>
        <w:tc>
          <w:tcPr>
            <w:tcW w:w="2693" w:type="dxa"/>
            <w:tcBorders>
              <w:top w:val="single" w:sz="4" w:space="0" w:color="auto"/>
              <w:left w:val="single" w:sz="4" w:space="0" w:color="auto"/>
              <w:bottom w:val="single" w:sz="4" w:space="0" w:color="auto"/>
              <w:right w:val="single" w:sz="4" w:space="0" w:color="auto"/>
            </w:tcBorders>
          </w:tcPr>
          <w:p w14:paraId="15A53817" w14:textId="77777777" w:rsidR="00AF2CB8" w:rsidRPr="008B029F" w:rsidRDefault="00AF2CB8">
            <w:pPr>
              <w:pStyle w:val="TableCenter"/>
              <w:rPr>
                <w:lang w:val="en-AU"/>
              </w:rPr>
            </w:pPr>
            <w:r w:rsidRPr="008B029F">
              <w:rPr>
                <w:lang w:val="en-AU"/>
              </w:rPr>
              <w:t>1.4</w:t>
            </w:r>
          </w:p>
        </w:tc>
      </w:tr>
      <w:tr w:rsidR="00AF2CB8" w:rsidRPr="008B029F" w14:paraId="33B5ABA4" w14:textId="77777777">
        <w:trPr>
          <w:cantSplit/>
        </w:trPr>
        <w:tc>
          <w:tcPr>
            <w:tcW w:w="9209" w:type="dxa"/>
            <w:gridSpan w:val="3"/>
            <w:tcBorders>
              <w:top w:val="single" w:sz="4" w:space="0" w:color="auto"/>
              <w:left w:val="single" w:sz="4" w:space="0" w:color="auto"/>
              <w:bottom w:val="single" w:sz="4" w:space="0" w:color="auto"/>
              <w:right w:val="single" w:sz="4" w:space="0" w:color="auto"/>
            </w:tcBorders>
            <w:shd w:val="clear" w:color="auto" w:fill="auto"/>
          </w:tcPr>
          <w:p w14:paraId="16A78568" w14:textId="77777777" w:rsidR="00AF2CB8" w:rsidRPr="008B029F" w:rsidRDefault="00AF2CB8">
            <w:pPr>
              <w:pStyle w:val="TableCenter"/>
              <w:jc w:val="left"/>
              <w:rPr>
                <w:szCs w:val="28"/>
                <w:lang w:val="en-AU"/>
              </w:rPr>
            </w:pPr>
            <w:r w:rsidRPr="008B029F">
              <w:rPr>
                <w:b/>
                <w:szCs w:val="28"/>
                <w:lang w:val="en-AU"/>
              </w:rPr>
              <w:t>Haematology</w:t>
            </w:r>
          </w:p>
        </w:tc>
      </w:tr>
      <w:tr w:rsidR="00AF2CB8" w:rsidRPr="008B029F" w14:paraId="03AAFA31"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5B8689A5" w14:textId="77777777" w:rsidR="00AF2CB8" w:rsidRPr="008B029F" w:rsidRDefault="00AF2CB8">
            <w:pPr>
              <w:pStyle w:val="TableCenter"/>
              <w:jc w:val="left"/>
              <w:rPr>
                <w:lang w:val="en-AU"/>
              </w:rPr>
            </w:pPr>
            <w:r w:rsidRPr="008B029F">
              <w:rPr>
                <w:lang w:val="en-AU"/>
              </w:rPr>
              <w:t>Lymphocytes decreased</w:t>
            </w:r>
          </w:p>
        </w:tc>
        <w:tc>
          <w:tcPr>
            <w:tcW w:w="2835" w:type="dxa"/>
            <w:tcBorders>
              <w:top w:val="single" w:sz="4" w:space="0" w:color="auto"/>
              <w:left w:val="single" w:sz="4" w:space="0" w:color="auto"/>
              <w:bottom w:val="single" w:sz="4" w:space="0" w:color="auto"/>
              <w:right w:val="single" w:sz="4" w:space="0" w:color="auto"/>
            </w:tcBorders>
          </w:tcPr>
          <w:p w14:paraId="535B5B54" w14:textId="77777777" w:rsidR="00AF2CB8" w:rsidRPr="008B029F" w:rsidRDefault="00AF2CB8">
            <w:pPr>
              <w:pStyle w:val="TableCenter"/>
              <w:rPr>
                <w:lang w:val="en-AU"/>
              </w:rPr>
            </w:pPr>
            <w:r w:rsidRPr="008B029F">
              <w:rPr>
                <w:lang w:val="en-AU"/>
              </w:rPr>
              <w:t>48.1</w:t>
            </w:r>
          </w:p>
        </w:tc>
        <w:tc>
          <w:tcPr>
            <w:tcW w:w="2693" w:type="dxa"/>
            <w:tcBorders>
              <w:top w:val="single" w:sz="4" w:space="0" w:color="auto"/>
              <w:left w:val="single" w:sz="4" w:space="0" w:color="auto"/>
              <w:bottom w:val="single" w:sz="4" w:space="0" w:color="auto"/>
              <w:right w:val="single" w:sz="4" w:space="0" w:color="auto"/>
            </w:tcBorders>
          </w:tcPr>
          <w:p w14:paraId="72CB7DEE" w14:textId="77777777" w:rsidR="00AF2CB8" w:rsidRPr="008B029F" w:rsidRDefault="00AF2CB8">
            <w:pPr>
              <w:pStyle w:val="TableCenter"/>
              <w:rPr>
                <w:lang w:val="en-AU"/>
              </w:rPr>
            </w:pPr>
            <w:r w:rsidRPr="008B029F">
              <w:rPr>
                <w:lang w:val="en-AU"/>
              </w:rPr>
              <w:t>19.2</w:t>
            </w:r>
          </w:p>
        </w:tc>
      </w:tr>
      <w:tr w:rsidR="00AF2CB8" w:rsidRPr="008B029F" w14:paraId="63D7093B" w14:textId="77777777">
        <w:trPr>
          <w:cantSplit/>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514CDE7A" w14:textId="77777777" w:rsidR="00AF2CB8" w:rsidRPr="008B029F" w:rsidRDefault="00AF2CB8">
            <w:pPr>
              <w:pStyle w:val="TableCenter"/>
              <w:jc w:val="left"/>
              <w:rPr>
                <w:lang w:val="en-AU"/>
              </w:rPr>
            </w:pPr>
            <w:r w:rsidRPr="008B029F">
              <w:rPr>
                <w:lang w:val="en-AU"/>
              </w:rPr>
              <w:t>Haemoglobin decreased</w:t>
            </w:r>
          </w:p>
        </w:tc>
        <w:tc>
          <w:tcPr>
            <w:tcW w:w="2835" w:type="dxa"/>
            <w:tcBorders>
              <w:top w:val="single" w:sz="4" w:space="0" w:color="auto"/>
              <w:left w:val="single" w:sz="4" w:space="0" w:color="auto"/>
              <w:bottom w:val="single" w:sz="4" w:space="0" w:color="auto"/>
              <w:right w:val="single" w:sz="4" w:space="0" w:color="auto"/>
            </w:tcBorders>
          </w:tcPr>
          <w:p w14:paraId="0CFFBC66" w14:textId="77777777" w:rsidR="00AF2CB8" w:rsidRPr="008B029F" w:rsidRDefault="00AF2CB8">
            <w:pPr>
              <w:pStyle w:val="TableCenter"/>
              <w:rPr>
                <w:lang w:val="en-AU"/>
              </w:rPr>
            </w:pPr>
            <w:r w:rsidRPr="008B029F">
              <w:rPr>
                <w:lang w:val="en-AU"/>
              </w:rPr>
              <w:t>42.3</w:t>
            </w:r>
          </w:p>
        </w:tc>
        <w:tc>
          <w:tcPr>
            <w:tcW w:w="2693" w:type="dxa"/>
            <w:tcBorders>
              <w:top w:val="single" w:sz="4" w:space="0" w:color="auto"/>
              <w:left w:val="single" w:sz="4" w:space="0" w:color="auto"/>
              <w:bottom w:val="single" w:sz="4" w:space="0" w:color="auto"/>
              <w:right w:val="single" w:sz="4" w:space="0" w:color="auto"/>
            </w:tcBorders>
          </w:tcPr>
          <w:p w14:paraId="49EB52DF" w14:textId="77777777" w:rsidR="00AF2CB8" w:rsidRPr="008B029F" w:rsidRDefault="00AF2CB8">
            <w:pPr>
              <w:pStyle w:val="TableCenter"/>
              <w:rPr>
                <w:lang w:val="en-AU"/>
              </w:rPr>
            </w:pPr>
            <w:r w:rsidRPr="008B029F">
              <w:rPr>
                <w:lang w:val="en-AU"/>
              </w:rPr>
              <w:t>8.5</w:t>
            </w:r>
          </w:p>
        </w:tc>
      </w:tr>
      <w:tr w:rsidR="00AF2CB8" w:rsidRPr="008B029F" w14:paraId="71020BFF" w14:textId="77777777">
        <w:trPr>
          <w:cantSplit/>
        </w:trPr>
        <w:tc>
          <w:tcPr>
            <w:tcW w:w="3681" w:type="dxa"/>
            <w:shd w:val="clear" w:color="auto" w:fill="auto"/>
          </w:tcPr>
          <w:p w14:paraId="4B89FC91" w14:textId="77777777" w:rsidR="00AF2CB8" w:rsidRPr="008B029F" w:rsidRDefault="00AF2CB8">
            <w:pPr>
              <w:pStyle w:val="TableCenter"/>
              <w:jc w:val="left"/>
              <w:rPr>
                <w:lang w:val="en-AU"/>
              </w:rPr>
            </w:pPr>
            <w:r w:rsidRPr="008B029F">
              <w:rPr>
                <w:lang w:val="en-AU"/>
              </w:rPr>
              <w:t>Platelets decreased</w:t>
            </w:r>
          </w:p>
        </w:tc>
        <w:tc>
          <w:tcPr>
            <w:tcW w:w="2835" w:type="dxa"/>
          </w:tcPr>
          <w:p w14:paraId="07AB223E" w14:textId="77777777" w:rsidR="00AF2CB8" w:rsidRPr="008B029F" w:rsidRDefault="00AF2CB8">
            <w:pPr>
              <w:pStyle w:val="TableCenter"/>
              <w:rPr>
                <w:lang w:val="en-AU"/>
              </w:rPr>
            </w:pPr>
            <w:r w:rsidRPr="008B029F">
              <w:rPr>
                <w:lang w:val="en-AU"/>
              </w:rPr>
              <w:t>32.4</w:t>
            </w:r>
          </w:p>
        </w:tc>
        <w:tc>
          <w:tcPr>
            <w:tcW w:w="2693" w:type="dxa"/>
          </w:tcPr>
          <w:p w14:paraId="4B4D56A6" w14:textId="77777777" w:rsidR="00AF2CB8" w:rsidRPr="008B029F" w:rsidRDefault="00AF2CB8">
            <w:pPr>
              <w:pStyle w:val="TableCenter"/>
              <w:rPr>
                <w:lang w:val="en-AU"/>
              </w:rPr>
            </w:pPr>
            <w:r w:rsidRPr="008B029F">
              <w:rPr>
                <w:lang w:val="en-AU"/>
              </w:rPr>
              <w:t>0</w:t>
            </w:r>
          </w:p>
        </w:tc>
      </w:tr>
      <w:tr w:rsidR="00AF2CB8" w:rsidRPr="008B029F" w14:paraId="07AF0274" w14:textId="77777777">
        <w:trPr>
          <w:cantSplit/>
        </w:trPr>
        <w:tc>
          <w:tcPr>
            <w:tcW w:w="3681" w:type="dxa"/>
            <w:tcBorders>
              <w:bottom w:val="single" w:sz="4" w:space="0" w:color="auto"/>
            </w:tcBorders>
            <w:shd w:val="clear" w:color="auto" w:fill="auto"/>
          </w:tcPr>
          <w:p w14:paraId="769332D7" w14:textId="77777777" w:rsidR="00AF2CB8" w:rsidRPr="008B029F" w:rsidRDefault="00AF2CB8">
            <w:pPr>
              <w:pStyle w:val="TableCenter"/>
              <w:jc w:val="left"/>
              <w:rPr>
                <w:lang w:val="en-AU"/>
              </w:rPr>
            </w:pPr>
            <w:r w:rsidRPr="008B029F">
              <w:rPr>
                <w:lang w:val="en-AU"/>
              </w:rPr>
              <w:t>Leukocytes decreased</w:t>
            </w:r>
          </w:p>
        </w:tc>
        <w:tc>
          <w:tcPr>
            <w:tcW w:w="2835" w:type="dxa"/>
            <w:tcBorders>
              <w:bottom w:val="single" w:sz="4" w:space="0" w:color="auto"/>
            </w:tcBorders>
          </w:tcPr>
          <w:p w14:paraId="08125007" w14:textId="77777777" w:rsidR="00AF2CB8" w:rsidRPr="008B029F" w:rsidRDefault="00AF2CB8">
            <w:pPr>
              <w:pStyle w:val="TableCenter"/>
              <w:rPr>
                <w:lang w:val="en-AU"/>
              </w:rPr>
            </w:pPr>
            <w:r w:rsidRPr="008B029F">
              <w:rPr>
                <w:lang w:val="en-AU"/>
              </w:rPr>
              <w:t>23.9</w:t>
            </w:r>
          </w:p>
        </w:tc>
        <w:tc>
          <w:tcPr>
            <w:tcW w:w="2693" w:type="dxa"/>
            <w:tcBorders>
              <w:bottom w:val="single" w:sz="4" w:space="0" w:color="auto"/>
            </w:tcBorders>
          </w:tcPr>
          <w:p w14:paraId="4194E200" w14:textId="77777777" w:rsidR="00AF2CB8" w:rsidRPr="008B029F" w:rsidRDefault="00AF2CB8">
            <w:pPr>
              <w:pStyle w:val="TableCenter"/>
              <w:rPr>
                <w:lang w:val="en-AU"/>
              </w:rPr>
            </w:pPr>
            <w:r w:rsidRPr="008B029F">
              <w:rPr>
                <w:lang w:val="en-AU"/>
              </w:rPr>
              <w:t>1.4</w:t>
            </w:r>
          </w:p>
        </w:tc>
      </w:tr>
    </w:tbl>
    <w:p w14:paraId="5FFDD78F" w14:textId="475593FF" w:rsidR="00AF2CB8" w:rsidRPr="008B029F" w:rsidRDefault="00AF2CB8" w:rsidP="00E50553">
      <w:pPr>
        <w:pStyle w:val="TableFootnoteLetter"/>
        <w:numPr>
          <w:ilvl w:val="0"/>
          <w:numId w:val="40"/>
        </w:numPr>
        <w:rPr>
          <w:lang w:val="en-AU"/>
        </w:rPr>
      </w:pPr>
      <w:r w:rsidRPr="008B029F">
        <w:rPr>
          <w:lang w:val="en-AU"/>
        </w:rPr>
        <w:t>The frequency cut-off is based on any grade change from baseline for STRIDE.</w:t>
      </w:r>
    </w:p>
    <w:p w14:paraId="2843645D" w14:textId="62AF00DA" w:rsidR="00AF2CB8" w:rsidRPr="008B029F" w:rsidRDefault="00AF2CB8" w:rsidP="00AF2CB8">
      <w:pPr>
        <w:pStyle w:val="TableFootnoteLetter"/>
        <w:numPr>
          <w:ilvl w:val="0"/>
          <w:numId w:val="25"/>
        </w:numPr>
        <w:rPr>
          <w:lang w:val="en-AU"/>
        </w:rPr>
      </w:pPr>
      <w:r w:rsidRPr="008B029F">
        <w:rPr>
          <w:lang w:val="en-AU"/>
        </w:rPr>
        <w:t>Graded according to NCI CTCAE version 4.03.</w:t>
      </w:r>
    </w:p>
    <w:p w14:paraId="3C6E0E57" w14:textId="55FD95EB" w:rsidR="00AF2CB8" w:rsidRPr="008B029F" w:rsidRDefault="00AF2CB8" w:rsidP="00AF2CB8">
      <w:pPr>
        <w:pStyle w:val="TableFootnoteLetter"/>
        <w:numPr>
          <w:ilvl w:val="0"/>
          <w:numId w:val="25"/>
        </w:numPr>
        <w:rPr>
          <w:lang w:val="en-AU"/>
        </w:rPr>
      </w:pPr>
      <w:r w:rsidRPr="008B029F">
        <w:rPr>
          <w:lang w:val="en-AU"/>
        </w:rPr>
        <w:t>Each test incidence is based on the number of patients who had both baseline and at least one on-study laboratory measurement available: IMFINZI with tremelimumab (range: 52-71).</w:t>
      </w:r>
    </w:p>
    <w:p w14:paraId="51DD6FF7" w14:textId="77777777" w:rsidR="00AF2CB8" w:rsidRPr="008B029F" w:rsidRDefault="00AF2CB8" w:rsidP="00B055A4">
      <w:pPr>
        <w:pStyle w:val="Paragraph"/>
        <w:rPr>
          <w:lang w:val="en-AU"/>
        </w:rPr>
      </w:pPr>
    </w:p>
    <w:p w14:paraId="62D0011A" w14:textId="117570F7" w:rsidR="007B2A0D" w:rsidRPr="008B029F" w:rsidRDefault="007B2A0D" w:rsidP="00681ADE">
      <w:pPr>
        <w:pStyle w:val="Heading3Unnumbered"/>
        <w:rPr>
          <w:lang w:val="en-AU"/>
        </w:rPr>
      </w:pPr>
      <w:r w:rsidRPr="008B029F">
        <w:rPr>
          <w:lang w:val="en-AU"/>
        </w:rPr>
        <w:t>Description of selected adverse reactions</w:t>
      </w:r>
      <w:bookmarkEnd w:id="17"/>
    </w:p>
    <w:p w14:paraId="0429D778" w14:textId="05EEAB54" w:rsidR="00454C76" w:rsidRPr="008B029F" w:rsidRDefault="00454C76" w:rsidP="00454C76">
      <w:pPr>
        <w:pStyle w:val="Paragraph"/>
        <w:rPr>
          <w:lang w:val="en-AU"/>
        </w:rPr>
      </w:pPr>
      <w:r w:rsidRPr="008B029F">
        <w:rPr>
          <w:lang w:val="en-AU"/>
        </w:rPr>
        <w:t>The data below reflect information for significant adverse reactions for IMFINZI as monotherapy in the pooled safety dataset across tumour types (n=3006)</w:t>
      </w:r>
      <w:r w:rsidR="00E50553" w:rsidRPr="008B029F">
        <w:rPr>
          <w:lang w:val="en-AU"/>
        </w:rPr>
        <w:t xml:space="preserve"> and IMFINZI in </w:t>
      </w:r>
      <w:r w:rsidR="00E50553" w:rsidRPr="008B029F">
        <w:rPr>
          <w:rFonts w:eastAsia="SimSun"/>
          <w:szCs w:val="22"/>
          <w:lang w:val="en-AU" w:eastAsia="en-GB"/>
        </w:rPr>
        <w:t xml:space="preserve">combination with tremelimumab (75 mg every 4 weeks) in the pooled safety dataset across tumour types (n=2280; </w:t>
      </w:r>
      <w:r w:rsidR="00E50553" w:rsidRPr="008B029F">
        <w:rPr>
          <w:rFonts w:eastAsia="SimSun"/>
          <w:szCs w:val="22"/>
          <w:lang w:val="en-AU" w:eastAsia="en-GB"/>
        </w:rPr>
        <w:lastRenderedPageBreak/>
        <w:t>pan-tumour pool) and STRIDE in the HCC pool (n=462)</w:t>
      </w:r>
      <w:r w:rsidRPr="008B029F">
        <w:rPr>
          <w:lang w:val="en-AU"/>
        </w:rPr>
        <w:t>. Significant adverse reactions for IMFINZI when given in combination with etoposide and carboplatin or cisplatin in the CASPIAN study were consistent with IMFINZI monotherapy and did not present clinically relevant differences. No new adverse reactions were identified for IMFINZI when given in combination with pemetrexed and cisplatin or carboplatin in the PrE0505 and DREAM studies</w:t>
      </w:r>
      <w:r w:rsidR="00567565" w:rsidRPr="008B029F">
        <w:rPr>
          <w:lang w:val="en-AU"/>
        </w:rPr>
        <w:t>, or IMFINZI when given in combination with gemcitabine and cisplatin in the TOPAZ-1 study</w:t>
      </w:r>
      <w:r w:rsidRPr="008B029F">
        <w:rPr>
          <w:lang w:val="en-AU"/>
        </w:rPr>
        <w:t>.</w:t>
      </w:r>
    </w:p>
    <w:p w14:paraId="7C80BE5D" w14:textId="15C57B31" w:rsidR="00C318B7" w:rsidRPr="008B029F" w:rsidRDefault="009405A5" w:rsidP="009405A5">
      <w:pPr>
        <w:pStyle w:val="Paragraph"/>
        <w:rPr>
          <w:lang w:val="en-AU"/>
        </w:rPr>
      </w:pPr>
      <w:r w:rsidRPr="008B029F">
        <w:rPr>
          <w:lang w:val="en-AU"/>
        </w:rPr>
        <w:t xml:space="preserve">The management guidelines for these adverse reactions are described in </w:t>
      </w:r>
      <w:r w:rsidR="00681ADE" w:rsidRPr="008B029F">
        <w:rPr>
          <w:lang w:val="en-AU"/>
        </w:rPr>
        <w:t>S</w:t>
      </w:r>
      <w:r w:rsidRPr="008B029F">
        <w:rPr>
          <w:lang w:val="en-AU"/>
        </w:rPr>
        <w:t xml:space="preserve">ections </w:t>
      </w:r>
      <w:r w:rsidR="00681ADE" w:rsidRPr="008B029F">
        <w:rPr>
          <w:color w:val="2B579A"/>
          <w:shd w:val="clear" w:color="auto" w:fill="E6E6E6"/>
          <w:lang w:val="en-AU"/>
        </w:rPr>
        <w:fldChar w:fldCharType="begin"/>
      </w:r>
      <w:r w:rsidR="00681ADE" w:rsidRPr="008B029F">
        <w:rPr>
          <w:lang w:val="en-AU"/>
        </w:rPr>
        <w:instrText xml:space="preserve"> REF _Hlk508791964 \r \h </w:instrText>
      </w:r>
      <w:r w:rsidR="00D05C4D" w:rsidRPr="008B029F">
        <w:rPr>
          <w:lang w:val="en-AU"/>
        </w:rPr>
        <w:instrText xml:space="preserve">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4.2</w:t>
      </w:r>
      <w:r w:rsidR="00681ADE" w:rsidRPr="008B029F">
        <w:rPr>
          <w:color w:val="2B579A"/>
          <w:shd w:val="clear" w:color="auto" w:fill="E6E6E6"/>
          <w:lang w:val="en-AU"/>
        </w:rPr>
        <w:fldChar w:fldCharType="end"/>
      </w:r>
      <w:r w:rsidR="00681ADE" w:rsidRPr="008B029F">
        <w:rPr>
          <w:lang w:val="en-AU"/>
        </w:rPr>
        <w:t xml:space="preserve"> </w:t>
      </w:r>
      <w:r w:rsidR="00681ADE" w:rsidRPr="008B029F">
        <w:rPr>
          <w:color w:val="2B579A"/>
          <w:shd w:val="clear" w:color="auto" w:fill="E6E6E6"/>
          <w:lang w:val="en-AU"/>
        </w:rPr>
        <w:fldChar w:fldCharType="begin"/>
      </w:r>
      <w:r w:rsidR="00681ADE" w:rsidRPr="008B029F">
        <w:rPr>
          <w:lang w:val="en-AU"/>
        </w:rPr>
        <w:instrText xml:space="preserve"> REF _Hlk508791964 \h </w:instrText>
      </w:r>
      <w:r w:rsidR="00D05C4D" w:rsidRPr="008B029F">
        <w:rPr>
          <w:lang w:val="en-AU"/>
        </w:rPr>
        <w:instrText xml:space="preserve">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Dose and method of administration</w:t>
      </w:r>
      <w:r w:rsidR="00681ADE" w:rsidRPr="008B029F">
        <w:rPr>
          <w:color w:val="2B579A"/>
          <w:shd w:val="clear" w:color="auto" w:fill="E6E6E6"/>
          <w:lang w:val="en-AU"/>
        </w:rPr>
        <w:fldChar w:fldCharType="end"/>
      </w:r>
      <w:r w:rsidR="00681ADE" w:rsidRPr="008B029F">
        <w:rPr>
          <w:lang w:val="en-AU"/>
        </w:rPr>
        <w:t xml:space="preserve"> </w:t>
      </w:r>
      <w:r w:rsidRPr="008B029F">
        <w:rPr>
          <w:lang w:val="en-AU"/>
        </w:rPr>
        <w:t xml:space="preserve">and </w:t>
      </w:r>
      <w:r w:rsidR="00681ADE" w:rsidRPr="008B029F">
        <w:rPr>
          <w:color w:val="2B579A"/>
          <w:shd w:val="clear" w:color="auto" w:fill="E6E6E6"/>
          <w:lang w:val="en-AU"/>
        </w:rPr>
        <w:fldChar w:fldCharType="begin"/>
      </w:r>
      <w:r w:rsidR="00681ADE" w:rsidRPr="008B029F">
        <w:rPr>
          <w:lang w:val="en-AU"/>
        </w:rPr>
        <w:instrText xml:space="preserve"> REF _Ref121909116 \r \h </w:instrText>
      </w:r>
      <w:r w:rsidR="00D05C4D" w:rsidRPr="008B029F">
        <w:rPr>
          <w:lang w:val="en-AU"/>
        </w:rPr>
        <w:instrText xml:space="preserve">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4.4</w:t>
      </w:r>
      <w:r w:rsidR="00681ADE" w:rsidRPr="008B029F">
        <w:rPr>
          <w:color w:val="2B579A"/>
          <w:shd w:val="clear" w:color="auto" w:fill="E6E6E6"/>
          <w:lang w:val="en-AU"/>
        </w:rPr>
        <w:fldChar w:fldCharType="end"/>
      </w:r>
      <w:r w:rsidR="00681ADE" w:rsidRPr="008B029F">
        <w:rPr>
          <w:lang w:val="en-AU"/>
        </w:rPr>
        <w:t xml:space="preserve"> </w:t>
      </w:r>
      <w:r w:rsidR="00681ADE" w:rsidRPr="008B029F">
        <w:rPr>
          <w:color w:val="2B579A"/>
          <w:shd w:val="clear" w:color="auto" w:fill="E6E6E6"/>
          <w:lang w:val="en-AU"/>
        </w:rPr>
        <w:fldChar w:fldCharType="begin"/>
      </w:r>
      <w:r w:rsidR="00681ADE" w:rsidRPr="008B029F">
        <w:rPr>
          <w:lang w:val="en-AU"/>
        </w:rPr>
        <w:instrText xml:space="preserve"> REF _Ref121909116 \h </w:instrText>
      </w:r>
      <w:r w:rsidR="00D05C4D" w:rsidRPr="008B029F">
        <w:rPr>
          <w:lang w:val="en-AU"/>
        </w:rPr>
        <w:instrText xml:space="preserve"> \* MERGEFORMAT </w:instrText>
      </w:r>
      <w:r w:rsidR="00681ADE" w:rsidRPr="008B029F">
        <w:rPr>
          <w:color w:val="2B579A"/>
          <w:shd w:val="clear" w:color="auto" w:fill="E6E6E6"/>
          <w:lang w:val="en-AU"/>
        </w:rPr>
      </w:r>
      <w:r w:rsidR="00681ADE" w:rsidRPr="008B029F">
        <w:rPr>
          <w:color w:val="2B579A"/>
          <w:shd w:val="clear" w:color="auto" w:fill="E6E6E6"/>
          <w:lang w:val="en-AU"/>
        </w:rPr>
        <w:fldChar w:fldCharType="separate"/>
      </w:r>
      <w:r w:rsidR="009773EE" w:rsidRPr="008B029F">
        <w:rPr>
          <w:lang w:val="en-AU"/>
        </w:rPr>
        <w:t>Special warnings and precautions for use</w:t>
      </w:r>
      <w:r w:rsidR="00681ADE" w:rsidRPr="008B029F">
        <w:rPr>
          <w:color w:val="2B579A"/>
          <w:shd w:val="clear" w:color="auto" w:fill="E6E6E6"/>
          <w:lang w:val="en-AU"/>
        </w:rPr>
        <w:fldChar w:fldCharType="end"/>
      </w:r>
      <w:r w:rsidRPr="008B029F">
        <w:rPr>
          <w:lang w:val="en-AU"/>
        </w:rPr>
        <w:t>.</w:t>
      </w:r>
    </w:p>
    <w:p w14:paraId="567755EF" w14:textId="54EA7711" w:rsidR="007B2A0D" w:rsidRPr="008B029F" w:rsidRDefault="007B2A0D" w:rsidP="00681ADE">
      <w:pPr>
        <w:pStyle w:val="Heading4Unnumbered"/>
        <w:rPr>
          <w:lang w:val="en-AU"/>
        </w:rPr>
      </w:pPr>
      <w:r w:rsidRPr="008B029F">
        <w:rPr>
          <w:lang w:val="en-AU"/>
        </w:rPr>
        <w:t>Immune-mediated pneumonitis</w:t>
      </w:r>
      <w:bookmarkEnd w:id="18"/>
    </w:p>
    <w:p w14:paraId="3B2895A1" w14:textId="24C92295" w:rsidR="001654D7" w:rsidRPr="008B029F" w:rsidRDefault="00E912BF" w:rsidP="002251EE">
      <w:pPr>
        <w:pStyle w:val="Paragraph"/>
        <w:rPr>
          <w:lang w:val="en-AU"/>
        </w:rPr>
      </w:pPr>
      <w:r w:rsidRPr="008B029F">
        <w:rPr>
          <w:lang w:val="en-AU"/>
        </w:rPr>
        <w:t>In patients receiving IMFINZI monotherapy, immune-mediated pneumonitis occurred in 92 (3.1%) patients, including Grade 3 in 25 (0.8%) patients, Grade 4 in 2 (&lt; 0.1%) patients, and Grade 5 in 6 (0.2%) patients. The median time to onset was 55 days (range: 2-785 days). Sixty-nine of the 92 patients received high-dose corticosteroid treatment (at least 40 mg prednisone or equivalent per day), 2 patients also received infliximab and 1 patient also received cyclosporine. IMFINZI was discontinued in 38 patients. Resolution occurred in 53 patients.</w:t>
      </w:r>
    </w:p>
    <w:p w14:paraId="76D870E3" w14:textId="64A1EBDF" w:rsidR="006E108B" w:rsidRPr="008B029F" w:rsidRDefault="008331C2" w:rsidP="002251EE">
      <w:pPr>
        <w:pStyle w:val="Paragraph"/>
        <w:rPr>
          <w:lang w:val="en-AU"/>
        </w:rPr>
      </w:pPr>
      <w:r w:rsidRPr="008B029F">
        <w:rPr>
          <w:lang w:val="en-AU"/>
        </w:rPr>
        <w:t xml:space="preserve">Immune-mediated pneumonitis occurred more frequently in patients in the PACIFIC Study who had completed treatment with concurrent chemoradiation within 1 to 42 days prior to initiation of the study (9.9%), compared to the other patients in the combined safety database (1.8%). </w:t>
      </w:r>
      <w:r w:rsidR="006E108B" w:rsidRPr="008B029F">
        <w:rPr>
          <w:lang w:val="en-AU"/>
        </w:rPr>
        <w:t xml:space="preserve">In the PACIFIC Study, (n= 475 in the IMFINZI arm, and n= 234 in the placebo arm) immune-mediated pneumonitis occurred in </w:t>
      </w:r>
      <w:r w:rsidR="00953AF1" w:rsidRPr="008B029F">
        <w:rPr>
          <w:lang w:val="en-AU"/>
        </w:rPr>
        <w:t>47</w:t>
      </w:r>
      <w:r w:rsidR="006E108B" w:rsidRPr="008B029F">
        <w:rPr>
          <w:lang w:val="en-AU"/>
        </w:rPr>
        <w:t xml:space="preserve"> (</w:t>
      </w:r>
      <w:r w:rsidR="001203E6" w:rsidRPr="008B029F">
        <w:rPr>
          <w:lang w:val="en-AU"/>
        </w:rPr>
        <w:t>9.9</w:t>
      </w:r>
      <w:r w:rsidR="006E108B" w:rsidRPr="008B029F">
        <w:rPr>
          <w:lang w:val="en-AU"/>
        </w:rPr>
        <w:t>%) patients in the IMFINZI treated group and 1</w:t>
      </w:r>
      <w:r w:rsidR="001203E6" w:rsidRPr="008B029F">
        <w:rPr>
          <w:lang w:val="en-AU"/>
        </w:rPr>
        <w:t>4</w:t>
      </w:r>
      <w:r w:rsidR="006E108B" w:rsidRPr="008B029F">
        <w:rPr>
          <w:lang w:val="en-AU"/>
        </w:rPr>
        <w:t xml:space="preserve"> (6.</w:t>
      </w:r>
      <w:r w:rsidR="001203E6" w:rsidRPr="008B029F">
        <w:rPr>
          <w:lang w:val="en-AU"/>
        </w:rPr>
        <w:t>0</w:t>
      </w:r>
      <w:r w:rsidR="006E108B" w:rsidRPr="008B029F">
        <w:rPr>
          <w:lang w:val="en-AU"/>
        </w:rPr>
        <w:t xml:space="preserve">%) patients in the placebo group, including Grade 3 in </w:t>
      </w:r>
      <w:r w:rsidR="001203E6" w:rsidRPr="008B029F">
        <w:rPr>
          <w:lang w:val="en-AU"/>
        </w:rPr>
        <w:t>9</w:t>
      </w:r>
      <w:r w:rsidR="006E108B" w:rsidRPr="008B029F">
        <w:rPr>
          <w:lang w:val="en-AU"/>
        </w:rPr>
        <w:t xml:space="preserve"> (1.</w:t>
      </w:r>
      <w:r w:rsidR="001203E6" w:rsidRPr="008B029F">
        <w:rPr>
          <w:lang w:val="en-AU"/>
        </w:rPr>
        <w:t>9</w:t>
      </w:r>
      <w:r w:rsidR="006E108B" w:rsidRPr="008B029F">
        <w:rPr>
          <w:lang w:val="en-AU"/>
        </w:rPr>
        <w:t xml:space="preserve">%) patients on IMFINZI vs. 6 (2.6%) patients on placebo and Grade 5 (fatal) in 4 (0.8%) patients on IMFINZI vs. 3 (1.3%) patients on placebo. The median time to onset in the IMFINZI treated group was </w:t>
      </w:r>
      <w:r w:rsidR="001203E6" w:rsidRPr="008B029F">
        <w:rPr>
          <w:lang w:val="en-AU"/>
        </w:rPr>
        <w:t>46</w:t>
      </w:r>
      <w:r w:rsidR="006E108B" w:rsidRPr="008B029F">
        <w:rPr>
          <w:lang w:val="en-AU"/>
        </w:rPr>
        <w:t xml:space="preserve"> days (range: </w:t>
      </w:r>
      <w:r w:rsidR="001203E6" w:rsidRPr="008B029F">
        <w:rPr>
          <w:lang w:val="en-AU"/>
        </w:rPr>
        <w:t>2</w:t>
      </w:r>
      <w:r w:rsidR="002D4A4A" w:rsidRPr="008B029F">
        <w:rPr>
          <w:lang w:val="en-AU"/>
        </w:rPr>
        <w:t>-</w:t>
      </w:r>
      <w:r w:rsidR="006E108B" w:rsidRPr="008B029F">
        <w:rPr>
          <w:lang w:val="en-AU"/>
        </w:rPr>
        <w:t xml:space="preserve"> 34</w:t>
      </w:r>
      <w:r w:rsidR="001203E6" w:rsidRPr="008B029F">
        <w:rPr>
          <w:lang w:val="en-AU"/>
        </w:rPr>
        <w:t>2</w:t>
      </w:r>
      <w:r w:rsidR="006E108B" w:rsidRPr="008B029F">
        <w:rPr>
          <w:lang w:val="en-AU"/>
        </w:rPr>
        <w:t xml:space="preserve"> days) vs. 5</w:t>
      </w:r>
      <w:r w:rsidR="001203E6" w:rsidRPr="008B029F">
        <w:rPr>
          <w:lang w:val="en-AU"/>
        </w:rPr>
        <w:t>7</w:t>
      </w:r>
      <w:r w:rsidR="006E108B" w:rsidRPr="008B029F">
        <w:rPr>
          <w:lang w:val="en-AU"/>
        </w:rPr>
        <w:t xml:space="preserve"> days (range: </w:t>
      </w:r>
      <w:r w:rsidR="001203E6" w:rsidRPr="008B029F">
        <w:rPr>
          <w:lang w:val="en-AU"/>
        </w:rPr>
        <w:t>26</w:t>
      </w:r>
      <w:r w:rsidR="006E108B" w:rsidRPr="008B029F">
        <w:rPr>
          <w:lang w:val="en-AU"/>
        </w:rPr>
        <w:t xml:space="preserve"> </w:t>
      </w:r>
      <w:r w:rsidR="00A478A0" w:rsidRPr="008B029F">
        <w:rPr>
          <w:lang w:val="en-AU"/>
        </w:rPr>
        <w:t xml:space="preserve">- </w:t>
      </w:r>
      <w:r w:rsidR="001203E6" w:rsidRPr="008B029F">
        <w:rPr>
          <w:lang w:val="en-AU"/>
        </w:rPr>
        <w:t>253</w:t>
      </w:r>
      <w:r w:rsidR="006E108B" w:rsidRPr="008B029F">
        <w:rPr>
          <w:lang w:val="en-AU"/>
        </w:rPr>
        <w:t xml:space="preserve"> days) in the placebo group. In the IMFINZI treated group, </w:t>
      </w:r>
      <w:r w:rsidR="001203E6" w:rsidRPr="008B029F">
        <w:rPr>
          <w:lang w:val="en-AU"/>
        </w:rPr>
        <w:t xml:space="preserve">30 </w:t>
      </w:r>
      <w:r w:rsidR="006E108B" w:rsidRPr="008B029F">
        <w:rPr>
          <w:lang w:val="en-AU"/>
        </w:rPr>
        <w:t xml:space="preserve">patients received high dose corticosteroid treatment (at least 40 mg prednisone or equivalent per day), and 2 patients also received infliximab. In the placebo group, </w:t>
      </w:r>
      <w:r w:rsidR="001203E6" w:rsidRPr="008B029F">
        <w:rPr>
          <w:lang w:val="en-AU"/>
        </w:rPr>
        <w:t xml:space="preserve">12 </w:t>
      </w:r>
      <w:r w:rsidR="006E108B" w:rsidRPr="008B029F">
        <w:rPr>
          <w:lang w:val="en-AU"/>
        </w:rPr>
        <w:t>patients received high dose corticosteroid treatment (at least 40 mg prednisone or equivalent per day)</w:t>
      </w:r>
      <w:r w:rsidR="001203E6" w:rsidRPr="008B029F">
        <w:rPr>
          <w:lang w:val="en-AU"/>
        </w:rPr>
        <w:t xml:space="preserve"> and 1 patient also received cyclophosphamide and tacrolimus</w:t>
      </w:r>
      <w:r w:rsidR="006E108B" w:rsidRPr="008B029F">
        <w:rPr>
          <w:lang w:val="en-AU"/>
        </w:rPr>
        <w:t>. Resolution occurred for 2</w:t>
      </w:r>
      <w:r w:rsidR="001203E6" w:rsidRPr="008B029F">
        <w:rPr>
          <w:lang w:val="en-AU"/>
        </w:rPr>
        <w:t>9</w:t>
      </w:r>
      <w:r w:rsidR="006E108B" w:rsidRPr="008B029F">
        <w:rPr>
          <w:lang w:val="en-AU"/>
        </w:rPr>
        <w:t xml:space="preserve"> patients in the IMFINZI treated group vs 6 in placebo.</w:t>
      </w:r>
    </w:p>
    <w:p w14:paraId="407863D9" w14:textId="77777777" w:rsidR="008A28BE" w:rsidRPr="008B029F" w:rsidRDefault="008A28BE" w:rsidP="008A28BE">
      <w:pPr>
        <w:pStyle w:val="Heading5unnumbered"/>
        <w:rPr>
          <w:b/>
          <w:bCs/>
          <w:lang w:val="en-AU"/>
        </w:rPr>
      </w:pPr>
      <w:r w:rsidRPr="008B029F">
        <w:rPr>
          <w:lang w:val="en-AU"/>
        </w:rPr>
        <w:t>IMFINZI + tremelimumab pan-tumour pool</w:t>
      </w:r>
    </w:p>
    <w:p w14:paraId="659B46C2" w14:textId="0ACB7DDB" w:rsidR="008A28BE" w:rsidRPr="008B029F" w:rsidRDefault="008A28BE" w:rsidP="008A28BE">
      <w:pPr>
        <w:pStyle w:val="Paragraph"/>
        <w:rPr>
          <w:lang w:val="en-AU"/>
        </w:rPr>
      </w:pPr>
      <w:r w:rsidRPr="008B029F">
        <w:rPr>
          <w:lang w:val="en-AU"/>
        </w:rPr>
        <w:t xml:space="preserve">In patients receiving IMFINZI in combination with tremelimumab, immune-mediated pneumonitis occurred in in 86 (3.8%) patients, </w:t>
      </w:r>
      <w:bookmarkStart w:id="34" w:name="_Hlk86129945"/>
      <w:r w:rsidRPr="008B029F">
        <w:rPr>
          <w:lang w:val="en-AU"/>
        </w:rPr>
        <w:t>including Grade 3 in 30 (1.3%) patients, Grade 4 in 1 (&lt;0.1%) patient</w:t>
      </w:r>
      <w:bookmarkEnd w:id="34"/>
      <w:r w:rsidRPr="008B029F">
        <w:rPr>
          <w:lang w:val="en-AU"/>
        </w:rPr>
        <w:t>, and Grade 5 in 7 (0.3%) patients. The median time to onset was 57 days (range: 8</w:t>
      </w:r>
      <w:r w:rsidRPr="008B029F">
        <w:rPr>
          <w:lang w:val="en-AU"/>
        </w:rPr>
        <w:noBreakHyphen/>
        <w:t>912 days). All patients received systemic corticosteroids, and 79 of the 86 patients received high-dose corticosteroid treatment (at least 40 mg prednisone or equivalent per day). Seven patients also received other immunosuppressants. Treatment was discontinued in 39 patients. Resolution occurred in 51 patients.</w:t>
      </w:r>
    </w:p>
    <w:p w14:paraId="10F672E5" w14:textId="77777777" w:rsidR="008A28BE" w:rsidRPr="008B029F" w:rsidRDefault="008A28BE" w:rsidP="008A28BE">
      <w:pPr>
        <w:pStyle w:val="Heading5unnumbered"/>
        <w:rPr>
          <w:lang w:val="en-AU"/>
        </w:rPr>
      </w:pPr>
      <w:r w:rsidRPr="008B029F">
        <w:rPr>
          <w:lang w:val="en-AU"/>
        </w:rPr>
        <w:t>HCC pool</w:t>
      </w:r>
    </w:p>
    <w:p w14:paraId="32E2C0A0" w14:textId="338C0AA4" w:rsidR="008A28BE" w:rsidRPr="008B029F" w:rsidRDefault="008A28BE" w:rsidP="002251EE">
      <w:pPr>
        <w:pStyle w:val="Paragraph"/>
        <w:rPr>
          <w:lang w:val="en-AU"/>
        </w:rPr>
      </w:pPr>
      <w:r w:rsidRPr="008B029F">
        <w:rPr>
          <w:lang w:val="en-AU"/>
        </w:rPr>
        <w:t>In patients receiving STRIDE, immune-</w:t>
      </w:r>
      <w:r w:rsidRPr="008B029F">
        <w:rPr>
          <w:lang w:val="en-AU"/>
        </w:rPr>
        <w:noBreakHyphen/>
        <w:t>mediated pneumonitis occurred in 6 (1.3%) patients, including Grade 3 in 1 (0.2%) patient and Grade 5 (fatal) in 1 (0.2%) patient. The median time to onset was 29 days (range: 5-774 days). Six patients received systemic corticosteroids, and 5 of the 6 patients received high</w:t>
      </w:r>
      <w:r w:rsidRPr="008B029F">
        <w:rPr>
          <w:lang w:val="en-AU"/>
        </w:rPr>
        <w:noBreakHyphen/>
        <w:t xml:space="preserve">dose corticosteroid treatment (at least 40 mg prednisone or equivalent per day). One patient also received other immunosuppressants. Treatment was discontinued in 2 patients. Resolution occurred in 3 patients. </w:t>
      </w:r>
    </w:p>
    <w:p w14:paraId="686F9E90" w14:textId="77777777" w:rsidR="007B2A0D" w:rsidRPr="008B029F" w:rsidRDefault="007B2A0D" w:rsidP="00681ADE">
      <w:pPr>
        <w:pStyle w:val="Heading4Unnumbered"/>
        <w:rPr>
          <w:lang w:val="en-AU"/>
        </w:rPr>
      </w:pPr>
      <w:r w:rsidRPr="008B029F">
        <w:rPr>
          <w:lang w:val="en-AU"/>
        </w:rPr>
        <w:lastRenderedPageBreak/>
        <w:t>Immune-mediated hepatitis</w:t>
      </w:r>
    </w:p>
    <w:p w14:paraId="5D5CA063" w14:textId="065D8CAB" w:rsidR="007B2A0D" w:rsidRPr="008B029F" w:rsidRDefault="007B2A0D" w:rsidP="00A4206F">
      <w:pPr>
        <w:pStyle w:val="Paragraph"/>
        <w:rPr>
          <w:lang w:val="en-AU"/>
        </w:rPr>
      </w:pPr>
      <w:r w:rsidRPr="008B029F">
        <w:rPr>
          <w:lang w:val="en-AU"/>
        </w:rPr>
        <w:t>In</w:t>
      </w:r>
      <w:r w:rsidR="006576AF" w:rsidRPr="008B029F">
        <w:rPr>
          <w:lang w:val="en-AU"/>
        </w:rPr>
        <w:t xml:space="preserve"> patients receiving</w:t>
      </w:r>
      <w:r w:rsidRPr="008B029F">
        <w:rPr>
          <w:lang w:val="en-AU"/>
        </w:rPr>
        <w:t xml:space="preserve"> IMFINZI monotherapy, immune-mediated hepatitis occurred in </w:t>
      </w:r>
      <w:r w:rsidR="006576AF" w:rsidRPr="008B029F">
        <w:rPr>
          <w:lang w:val="en-AU"/>
        </w:rPr>
        <w:t>67</w:t>
      </w:r>
      <w:r w:rsidRPr="008B029F">
        <w:rPr>
          <w:lang w:val="en-AU"/>
        </w:rPr>
        <w:t xml:space="preserve"> (</w:t>
      </w:r>
      <w:r w:rsidR="006576AF" w:rsidRPr="008B029F">
        <w:rPr>
          <w:lang w:val="en-AU"/>
        </w:rPr>
        <w:t>2.2</w:t>
      </w:r>
      <w:r w:rsidRPr="008B029F">
        <w:rPr>
          <w:lang w:val="en-AU"/>
        </w:rPr>
        <w:t xml:space="preserve">%) patients, including Grade 3 in </w:t>
      </w:r>
      <w:r w:rsidR="006576AF" w:rsidRPr="008B029F">
        <w:rPr>
          <w:lang w:val="en-AU"/>
        </w:rPr>
        <w:t>35</w:t>
      </w:r>
      <w:r w:rsidRPr="008B029F">
        <w:rPr>
          <w:lang w:val="en-AU"/>
        </w:rPr>
        <w:t xml:space="preserve"> (</w:t>
      </w:r>
      <w:r w:rsidR="006576AF" w:rsidRPr="008B029F">
        <w:rPr>
          <w:lang w:val="en-AU"/>
        </w:rPr>
        <w:t>1.2</w:t>
      </w:r>
      <w:r w:rsidRPr="008B029F">
        <w:rPr>
          <w:lang w:val="en-AU"/>
        </w:rPr>
        <w:t>%) patients</w:t>
      </w:r>
      <w:r w:rsidR="006576AF" w:rsidRPr="008B029F">
        <w:rPr>
          <w:lang w:val="en-AU"/>
        </w:rPr>
        <w:t>, Grade 4 in 6 (0.2%)</w:t>
      </w:r>
      <w:r w:rsidRPr="008B029F">
        <w:rPr>
          <w:lang w:val="en-AU"/>
        </w:rPr>
        <w:t xml:space="preserve"> and Grade 5 in </w:t>
      </w:r>
      <w:r w:rsidR="006576AF" w:rsidRPr="008B029F">
        <w:rPr>
          <w:lang w:val="en-AU"/>
        </w:rPr>
        <w:t>4</w:t>
      </w:r>
      <w:r w:rsidRPr="008B029F">
        <w:rPr>
          <w:lang w:val="en-AU"/>
        </w:rPr>
        <w:t xml:space="preserve"> (0.1%) patient. The median time to onset was </w:t>
      </w:r>
      <w:r w:rsidR="006576AF" w:rsidRPr="008B029F">
        <w:rPr>
          <w:lang w:val="en-AU"/>
        </w:rPr>
        <w:t>36</w:t>
      </w:r>
      <w:r w:rsidRPr="008B029F">
        <w:rPr>
          <w:lang w:val="en-AU"/>
        </w:rPr>
        <w:t xml:space="preserve"> days (range: </w:t>
      </w:r>
      <w:r w:rsidR="006576AF" w:rsidRPr="008B029F">
        <w:rPr>
          <w:lang w:val="en-AU"/>
        </w:rPr>
        <w:t>3-333</w:t>
      </w:r>
      <w:r w:rsidRPr="008B029F">
        <w:rPr>
          <w:lang w:val="en-AU"/>
        </w:rPr>
        <w:t xml:space="preserve"> days). </w:t>
      </w:r>
      <w:r w:rsidR="006576AF" w:rsidRPr="008B029F">
        <w:rPr>
          <w:lang w:val="en-AU"/>
        </w:rPr>
        <w:t>Forty-four</w:t>
      </w:r>
      <w:r w:rsidRPr="008B029F">
        <w:rPr>
          <w:lang w:val="en-AU"/>
        </w:rPr>
        <w:t xml:space="preserve"> of the </w:t>
      </w:r>
      <w:r w:rsidR="006576AF" w:rsidRPr="008B029F">
        <w:rPr>
          <w:lang w:val="en-AU"/>
        </w:rPr>
        <w:t>67</w:t>
      </w:r>
      <w:r w:rsidRPr="008B029F">
        <w:rPr>
          <w:lang w:val="en-AU"/>
        </w:rPr>
        <w:t xml:space="preserve"> patients received high-dose corticosteroid treatment (at least 40 mg prednisone or equivalent per day).</w:t>
      </w:r>
      <w:r w:rsidR="006576AF" w:rsidRPr="008B029F">
        <w:rPr>
          <w:lang w:val="en-AU"/>
        </w:rPr>
        <w:t xml:space="preserve"> </w:t>
      </w:r>
      <w:r w:rsidR="005546AD" w:rsidRPr="008B029F">
        <w:rPr>
          <w:lang w:val="en-AU"/>
        </w:rPr>
        <w:t xml:space="preserve"> </w:t>
      </w:r>
      <w:r w:rsidR="006576AF" w:rsidRPr="008B029F">
        <w:rPr>
          <w:lang w:val="en-AU"/>
        </w:rPr>
        <w:t>Three</w:t>
      </w:r>
      <w:r w:rsidRPr="008B029F">
        <w:rPr>
          <w:lang w:val="en-AU"/>
        </w:rPr>
        <w:t xml:space="preserve"> patient</w:t>
      </w:r>
      <w:r w:rsidR="006576AF" w:rsidRPr="008B029F">
        <w:rPr>
          <w:lang w:val="en-AU"/>
        </w:rPr>
        <w:t>s</w:t>
      </w:r>
      <w:r w:rsidRPr="008B029F">
        <w:rPr>
          <w:lang w:val="en-AU"/>
        </w:rPr>
        <w:t xml:space="preserve"> also received mycophenolate treatment. IMFINZI was discontinued in </w:t>
      </w:r>
      <w:r w:rsidR="006576AF" w:rsidRPr="008B029F">
        <w:rPr>
          <w:lang w:val="en-AU"/>
        </w:rPr>
        <w:t>9</w:t>
      </w:r>
      <w:r w:rsidRPr="008B029F">
        <w:rPr>
          <w:lang w:val="en-AU"/>
        </w:rPr>
        <w:t xml:space="preserve"> patients. Resolution occurred in </w:t>
      </w:r>
      <w:r w:rsidR="006576AF" w:rsidRPr="008B029F">
        <w:rPr>
          <w:lang w:val="en-AU"/>
        </w:rPr>
        <w:t>29</w:t>
      </w:r>
      <w:r w:rsidRPr="008B029F">
        <w:rPr>
          <w:lang w:val="en-AU"/>
        </w:rPr>
        <w:t xml:space="preserve"> patients.</w:t>
      </w:r>
    </w:p>
    <w:p w14:paraId="4478DDDA" w14:textId="77777777" w:rsidR="008A28BE" w:rsidRPr="008B029F" w:rsidRDefault="008A28BE" w:rsidP="008A28BE">
      <w:pPr>
        <w:pStyle w:val="Heading5unnumbered"/>
        <w:rPr>
          <w:lang w:val="en-AU"/>
        </w:rPr>
      </w:pPr>
      <w:r w:rsidRPr="008B029F">
        <w:rPr>
          <w:lang w:val="en-AU"/>
        </w:rPr>
        <w:t>IMFINZI + tremelimumab pan-tumour pool</w:t>
      </w:r>
    </w:p>
    <w:p w14:paraId="6BE3C531" w14:textId="47CA555A" w:rsidR="008E4E4F" w:rsidRDefault="008A28BE" w:rsidP="008A28BE">
      <w:pPr>
        <w:pStyle w:val="Paragraph"/>
        <w:rPr>
          <w:lang w:val="en-AU"/>
        </w:rPr>
      </w:pPr>
      <w:r w:rsidRPr="008B029F">
        <w:rPr>
          <w:lang w:val="en-AU"/>
        </w:rPr>
        <w:t>In patients receiving IMFINZI in combination with tremelimumab, immune-mediated hepatitis occurred in 80 (3.5%) patients, including Grade 3 in 48 (2.1%) patients, Grade 4 in 8 (0.4%) patients, and Grade 5 in 2 (&lt;0.1%) patients. The median time to onset was 36 days (range: 1</w:t>
      </w:r>
      <w:r w:rsidRPr="008B029F">
        <w:rPr>
          <w:lang w:val="en-AU"/>
        </w:rPr>
        <w:noBreakHyphen/>
        <w:t>533 days). All patients received systemic corticosteroids, and 68 of the 80 patients received high-dose corticosteroid treatment (at least 40 mg prednisone or equivalent per day). Eight patients also received other immunosuppressants. Treatment was discontinued in 27 patients. Resolution occurred in 47 patients.</w:t>
      </w:r>
    </w:p>
    <w:p w14:paraId="1C10D034" w14:textId="77777777" w:rsidR="008A28BE" w:rsidRPr="008B029F" w:rsidRDefault="008A28BE" w:rsidP="008A28BE">
      <w:pPr>
        <w:pStyle w:val="Heading5unnumbered"/>
        <w:rPr>
          <w:lang w:val="en-AU"/>
        </w:rPr>
      </w:pPr>
      <w:r w:rsidRPr="008B029F">
        <w:rPr>
          <w:lang w:val="en-AU"/>
        </w:rPr>
        <w:t>HCC pool</w:t>
      </w:r>
    </w:p>
    <w:p w14:paraId="4DEA3EF5" w14:textId="1E811125" w:rsidR="008A28BE" w:rsidRPr="008B029F" w:rsidRDefault="008A28BE" w:rsidP="00A4206F">
      <w:pPr>
        <w:pStyle w:val="Paragraph"/>
        <w:rPr>
          <w:lang w:val="en-AU"/>
        </w:rPr>
      </w:pPr>
      <w:r w:rsidRPr="008B029F">
        <w:rPr>
          <w:lang w:val="en-AU"/>
        </w:rPr>
        <w:t>In patients receiving STRIDE, immune</w:t>
      </w:r>
      <w:r w:rsidRPr="008B029F">
        <w:rPr>
          <w:lang w:val="en-AU"/>
        </w:rPr>
        <w:noBreakHyphen/>
        <w:t>mediated hepatitis occurred in 34 (7.4%) patients, including Grade 3 in 20 (4.3%) patients, Grade 4 in 1 (0.2%) patient and Grade 5 (fatal) in 3 (0.6%) patients. The median time to onset was 29 days (range: 13-313 days). All patients received systemic corticosteroids, and 32 of the 34 patients received high</w:t>
      </w:r>
      <w:r w:rsidRPr="008B029F">
        <w:rPr>
          <w:lang w:val="en-AU"/>
        </w:rPr>
        <w:noBreakHyphen/>
        <w:t>dose corticosteroid treatment (at least 40 mg prednisone or equivalent per day). Nine patients also received other immunosuppressants. Treatment was discontinued in 10 patients. Resolution occurred in 13 patients.</w:t>
      </w:r>
    </w:p>
    <w:p w14:paraId="4581EF20" w14:textId="77777777" w:rsidR="007B2A0D" w:rsidRPr="008B029F" w:rsidRDefault="007B2A0D" w:rsidP="00681ADE">
      <w:pPr>
        <w:pStyle w:val="Heading4Unnumbered"/>
        <w:rPr>
          <w:lang w:val="en-AU"/>
        </w:rPr>
      </w:pPr>
      <w:r w:rsidRPr="008B029F">
        <w:rPr>
          <w:lang w:val="en-AU"/>
        </w:rPr>
        <w:t>Immune-mediated colitis</w:t>
      </w:r>
    </w:p>
    <w:p w14:paraId="5ED6B1E9" w14:textId="307E5C27" w:rsidR="007B2A0D" w:rsidRPr="008B029F" w:rsidRDefault="007B2A0D" w:rsidP="00B37B61">
      <w:pPr>
        <w:pStyle w:val="Paragraph"/>
        <w:rPr>
          <w:lang w:val="en-AU"/>
        </w:rPr>
      </w:pPr>
      <w:r w:rsidRPr="008B029F">
        <w:rPr>
          <w:lang w:val="en-AU"/>
        </w:rPr>
        <w:t xml:space="preserve">In </w:t>
      </w:r>
      <w:r w:rsidR="001F2C39" w:rsidRPr="008B029F">
        <w:rPr>
          <w:lang w:val="en-AU"/>
        </w:rPr>
        <w:t xml:space="preserve">patients receiving </w:t>
      </w:r>
      <w:r w:rsidRPr="008B029F">
        <w:rPr>
          <w:lang w:val="en-AU"/>
        </w:rPr>
        <w:t>IMFINZI monotherapy, immune-mediated colitis or diarrh</w:t>
      </w:r>
      <w:r w:rsidR="00026F98" w:rsidRPr="008B029F">
        <w:rPr>
          <w:lang w:val="en-AU"/>
        </w:rPr>
        <w:t>o</w:t>
      </w:r>
      <w:r w:rsidRPr="008B029F">
        <w:rPr>
          <w:lang w:val="en-AU"/>
        </w:rPr>
        <w:t xml:space="preserve">ea occurred in </w:t>
      </w:r>
      <w:r w:rsidR="001F2C39" w:rsidRPr="008B029F">
        <w:rPr>
          <w:lang w:val="en-AU"/>
        </w:rPr>
        <w:t>58</w:t>
      </w:r>
      <w:r w:rsidRPr="008B029F">
        <w:rPr>
          <w:lang w:val="en-AU"/>
        </w:rPr>
        <w:t xml:space="preserve"> (1.</w:t>
      </w:r>
      <w:r w:rsidR="001F2C39" w:rsidRPr="008B029F">
        <w:rPr>
          <w:lang w:val="en-AU"/>
        </w:rPr>
        <w:t>9</w:t>
      </w:r>
      <w:r w:rsidRPr="008B029F">
        <w:rPr>
          <w:lang w:val="en-AU"/>
        </w:rPr>
        <w:t xml:space="preserve">%) patients, including Grade 3 in </w:t>
      </w:r>
      <w:r w:rsidR="001F2C39" w:rsidRPr="008B029F">
        <w:rPr>
          <w:lang w:val="en-AU"/>
        </w:rPr>
        <w:t>9</w:t>
      </w:r>
      <w:r w:rsidRPr="008B029F">
        <w:rPr>
          <w:lang w:val="en-AU"/>
        </w:rPr>
        <w:t xml:space="preserve"> (0.3%) patients and Grade 4 in </w:t>
      </w:r>
      <w:r w:rsidR="001F2C39" w:rsidRPr="008B029F">
        <w:rPr>
          <w:lang w:val="en-AU"/>
        </w:rPr>
        <w:t>2</w:t>
      </w:r>
      <w:r w:rsidRPr="008B029F">
        <w:rPr>
          <w:lang w:val="en-AU"/>
        </w:rPr>
        <w:t xml:space="preserve"> (&lt;0.1%) patient</w:t>
      </w:r>
      <w:r w:rsidR="001F2C39" w:rsidRPr="008B029F">
        <w:rPr>
          <w:lang w:val="en-AU"/>
        </w:rPr>
        <w:t>s</w:t>
      </w:r>
      <w:r w:rsidRPr="008B029F">
        <w:rPr>
          <w:lang w:val="en-AU"/>
        </w:rPr>
        <w:t>. The median time to onset was 7</w:t>
      </w:r>
      <w:r w:rsidR="001F2C39" w:rsidRPr="008B029F">
        <w:rPr>
          <w:lang w:val="en-AU"/>
        </w:rPr>
        <w:t>0</w:t>
      </w:r>
      <w:r w:rsidRPr="008B029F">
        <w:rPr>
          <w:lang w:val="en-AU"/>
        </w:rPr>
        <w:t xml:space="preserve"> days (range: 1-3</w:t>
      </w:r>
      <w:r w:rsidR="001F2C39" w:rsidRPr="008B029F">
        <w:rPr>
          <w:lang w:val="en-AU"/>
        </w:rPr>
        <w:t>94</w:t>
      </w:r>
      <w:r w:rsidRPr="008B029F">
        <w:rPr>
          <w:lang w:val="en-AU"/>
        </w:rPr>
        <w:t xml:space="preserve"> days). </w:t>
      </w:r>
      <w:r w:rsidR="001F2C39" w:rsidRPr="008B029F">
        <w:rPr>
          <w:lang w:val="en-AU"/>
        </w:rPr>
        <w:t>Thirty-eight</w:t>
      </w:r>
      <w:r w:rsidR="00B06924" w:rsidRPr="008B029F">
        <w:rPr>
          <w:lang w:val="en-AU"/>
        </w:rPr>
        <w:t xml:space="preserve"> </w:t>
      </w:r>
      <w:r w:rsidRPr="008B029F">
        <w:rPr>
          <w:lang w:val="en-AU"/>
        </w:rPr>
        <w:t xml:space="preserve">of the </w:t>
      </w:r>
      <w:r w:rsidR="00B06924" w:rsidRPr="008B029F">
        <w:rPr>
          <w:lang w:val="en-AU"/>
        </w:rPr>
        <w:t>58</w:t>
      </w:r>
      <w:r w:rsidRPr="008B029F">
        <w:rPr>
          <w:lang w:val="en-AU"/>
        </w:rPr>
        <w:t xml:space="preserve"> patients received high-dose corticosteroid treatment (at least 40 mg prednisone or equivalent per day). One patient also received infliximab treatment</w:t>
      </w:r>
      <w:r w:rsidR="00B06924" w:rsidRPr="008B029F">
        <w:rPr>
          <w:lang w:val="en-AU"/>
        </w:rPr>
        <w:t xml:space="preserve"> and one patient also received mycophenolate treatment</w:t>
      </w:r>
      <w:r w:rsidRPr="008B029F">
        <w:rPr>
          <w:lang w:val="en-AU"/>
        </w:rPr>
        <w:t xml:space="preserve">. IMFINZI was discontinued in </w:t>
      </w:r>
      <w:r w:rsidR="00B06924" w:rsidRPr="008B029F">
        <w:rPr>
          <w:lang w:val="en-AU"/>
        </w:rPr>
        <w:t>9</w:t>
      </w:r>
      <w:r w:rsidRPr="008B029F">
        <w:rPr>
          <w:lang w:val="en-AU"/>
        </w:rPr>
        <w:t xml:space="preserve"> patients. Resolution occurred in </w:t>
      </w:r>
      <w:r w:rsidR="00B06924" w:rsidRPr="008B029F">
        <w:rPr>
          <w:lang w:val="en-AU"/>
        </w:rPr>
        <w:t>4</w:t>
      </w:r>
      <w:r w:rsidRPr="008B029F">
        <w:rPr>
          <w:lang w:val="en-AU"/>
        </w:rPr>
        <w:t>3 patients.</w:t>
      </w:r>
    </w:p>
    <w:p w14:paraId="5114F427" w14:textId="77777777" w:rsidR="008A28BE" w:rsidRPr="008B029F" w:rsidRDefault="008A28BE" w:rsidP="008A28BE">
      <w:pPr>
        <w:pStyle w:val="Heading5unnumbered"/>
        <w:rPr>
          <w:lang w:val="en-AU"/>
        </w:rPr>
      </w:pPr>
      <w:r w:rsidRPr="008B029F">
        <w:rPr>
          <w:lang w:val="en-AU"/>
        </w:rPr>
        <w:t>IMFINZI + tremelimumab pan-tumour pool</w:t>
      </w:r>
    </w:p>
    <w:p w14:paraId="2BE74CA4" w14:textId="5F66F59A" w:rsidR="008A28BE" w:rsidRPr="008B029F" w:rsidRDefault="008A28BE" w:rsidP="008A28BE">
      <w:pPr>
        <w:pStyle w:val="Paragraph"/>
        <w:rPr>
          <w:lang w:val="en-AU"/>
        </w:rPr>
      </w:pPr>
      <w:r w:rsidRPr="008B029F">
        <w:rPr>
          <w:lang w:val="en-AU"/>
        </w:rPr>
        <w:t xml:space="preserve">In patients receiving IMFINZI in combination with tremelimumab, immune-mediated colitis or diarrhoea occurred in 167 (7.3%) patients, including </w:t>
      </w:r>
      <w:bookmarkStart w:id="35" w:name="_Hlk86130170"/>
      <w:r w:rsidRPr="008B029F">
        <w:rPr>
          <w:lang w:val="en-AU"/>
        </w:rPr>
        <w:t>Grade 3 in 76 (3.3%) patients and Grade 4 in 3 (0.1%) patients</w:t>
      </w:r>
      <w:bookmarkEnd w:id="35"/>
      <w:r w:rsidRPr="008B029F">
        <w:rPr>
          <w:lang w:val="en-AU"/>
        </w:rPr>
        <w:t>. The median time to onset was 57 days (range: 3-906 days). All patients received systemic corticosteroids, and 151 of the 167 patients received high-dose corticosteroid treatment (at least 40 </w:t>
      </w:r>
      <w:r w:rsidR="00382251" w:rsidRPr="008B029F">
        <w:rPr>
          <w:lang w:val="en-AU"/>
        </w:rPr>
        <w:t>m</w:t>
      </w:r>
      <w:r w:rsidRPr="008B029F">
        <w:rPr>
          <w:lang w:val="en-AU"/>
        </w:rPr>
        <w:t>g prednisone or equivalent per day). Twenty-two patients also received other immunosuppressants. Treatment was discontinued in 54 patients. Resolution occurred in 141 patients.</w:t>
      </w:r>
    </w:p>
    <w:p w14:paraId="63740C90" w14:textId="5868BD3F" w:rsidR="008A28BE" w:rsidRPr="008B029F" w:rsidRDefault="008A28BE" w:rsidP="008A28BE">
      <w:pPr>
        <w:pStyle w:val="Paragraph"/>
        <w:rPr>
          <w:lang w:val="en-AU"/>
        </w:rPr>
      </w:pPr>
      <w:r w:rsidRPr="008B029F">
        <w:rPr>
          <w:lang w:val="en-AU"/>
        </w:rPr>
        <w:t>Intestinal perforation was observed in patients receiving IMFINZI in combination with tremelimumab.</w:t>
      </w:r>
    </w:p>
    <w:p w14:paraId="7612DA1C" w14:textId="77777777" w:rsidR="008A28BE" w:rsidRPr="008B029F" w:rsidRDefault="008A28BE" w:rsidP="008A28BE">
      <w:pPr>
        <w:pStyle w:val="Heading5unnumbered"/>
        <w:rPr>
          <w:lang w:val="en-AU"/>
        </w:rPr>
      </w:pPr>
      <w:r w:rsidRPr="008B029F">
        <w:rPr>
          <w:lang w:val="en-AU"/>
        </w:rPr>
        <w:t>HCC pool</w:t>
      </w:r>
    </w:p>
    <w:p w14:paraId="4C46504B" w14:textId="4530FF6A" w:rsidR="008A28BE" w:rsidRPr="008B029F" w:rsidRDefault="008A28BE" w:rsidP="008A28BE">
      <w:pPr>
        <w:pStyle w:val="Paragraph"/>
        <w:rPr>
          <w:lang w:val="en-AU"/>
        </w:rPr>
      </w:pPr>
      <w:r w:rsidRPr="008B029F">
        <w:rPr>
          <w:lang w:val="en-AU"/>
        </w:rPr>
        <w:t>In patients receiving STRIDE, immune</w:t>
      </w:r>
      <w:r w:rsidRPr="008B029F">
        <w:rPr>
          <w:lang w:val="en-AU"/>
        </w:rPr>
        <w:noBreakHyphen/>
        <w:t>mediated colitis or diarrhoea occurred in 31 (6.7%) patients, including Grade 3 in 17 (3.7%) patients. The median time to onset was 23 days (range: 2-479 days). All patients received systemic corticosteroids, and 28 of the 31 patients received high</w:t>
      </w:r>
      <w:r w:rsidRPr="008B029F">
        <w:rPr>
          <w:lang w:val="en-AU"/>
        </w:rPr>
        <w:noBreakHyphen/>
        <w:t xml:space="preserve">dose </w:t>
      </w:r>
      <w:r w:rsidRPr="008B029F">
        <w:rPr>
          <w:lang w:val="en-AU"/>
        </w:rPr>
        <w:lastRenderedPageBreak/>
        <w:t xml:space="preserve">corticosteroid treatment (at least 40 mg prednisone or equivalent per day). Four patients also received other immunosuppressants. Treatment was discontinued in 5 patients. Resolution occurred in 29 patients. </w:t>
      </w:r>
    </w:p>
    <w:p w14:paraId="7AA20D5F" w14:textId="15835AA8" w:rsidR="008A28BE" w:rsidRPr="008B029F" w:rsidRDefault="008A28BE" w:rsidP="00B37B61">
      <w:pPr>
        <w:pStyle w:val="Paragraph"/>
        <w:rPr>
          <w:lang w:val="en-AU"/>
        </w:rPr>
      </w:pPr>
      <w:r w:rsidRPr="008B029F">
        <w:rPr>
          <w:lang w:val="en-AU"/>
        </w:rPr>
        <w:t>Intestinal perforation was not observed in patients receiving STRIDE.</w:t>
      </w:r>
    </w:p>
    <w:p w14:paraId="6D742F61" w14:textId="77777777" w:rsidR="007B2A0D" w:rsidRPr="008B029F" w:rsidRDefault="007B2A0D" w:rsidP="00681ADE">
      <w:pPr>
        <w:pStyle w:val="Heading4Unnumbered"/>
        <w:rPr>
          <w:lang w:val="en-AU"/>
        </w:rPr>
      </w:pPr>
      <w:r w:rsidRPr="008B029F">
        <w:rPr>
          <w:lang w:val="en-AU"/>
        </w:rPr>
        <w:t>Immune-</w:t>
      </w:r>
      <w:r w:rsidR="00D57A45" w:rsidRPr="008B029F">
        <w:rPr>
          <w:lang w:val="en-AU"/>
        </w:rPr>
        <w:t>m</w:t>
      </w:r>
      <w:r w:rsidRPr="008B029F">
        <w:rPr>
          <w:lang w:val="en-AU"/>
        </w:rPr>
        <w:t xml:space="preserve">ediated </w:t>
      </w:r>
      <w:r w:rsidR="00D57A45" w:rsidRPr="008B029F">
        <w:rPr>
          <w:lang w:val="en-AU"/>
        </w:rPr>
        <w:t>e</w:t>
      </w:r>
      <w:r w:rsidRPr="008B029F">
        <w:rPr>
          <w:lang w:val="en-AU"/>
        </w:rPr>
        <w:t>ndocrinopathies</w:t>
      </w:r>
    </w:p>
    <w:p w14:paraId="1D4A801F" w14:textId="11B29888" w:rsidR="007B2A0D" w:rsidRPr="008B029F" w:rsidRDefault="00AD6A2F" w:rsidP="00681ADE">
      <w:pPr>
        <w:pStyle w:val="Heading5unnumbered"/>
        <w:rPr>
          <w:lang w:val="en-AU"/>
        </w:rPr>
      </w:pPr>
      <w:r w:rsidRPr="008B029F">
        <w:rPr>
          <w:lang w:val="en-AU"/>
        </w:rPr>
        <w:t xml:space="preserve">Immune-mediated </w:t>
      </w:r>
      <w:r w:rsidR="00415A06" w:rsidRPr="008B029F">
        <w:rPr>
          <w:lang w:val="en-AU"/>
        </w:rPr>
        <w:t>h</w:t>
      </w:r>
      <w:r w:rsidR="007B2A0D" w:rsidRPr="008B029F">
        <w:rPr>
          <w:lang w:val="en-AU"/>
        </w:rPr>
        <w:t>ypothyroidism</w:t>
      </w:r>
    </w:p>
    <w:p w14:paraId="7BD08608" w14:textId="7B57100A" w:rsidR="00AD6A2F" w:rsidRPr="008B029F" w:rsidRDefault="00AD6A2F" w:rsidP="00A4206F">
      <w:pPr>
        <w:pStyle w:val="Paragraph"/>
        <w:rPr>
          <w:lang w:val="en-AU"/>
        </w:rPr>
      </w:pPr>
      <w:r w:rsidRPr="008B029F">
        <w:rPr>
          <w:lang w:val="en-AU"/>
        </w:rPr>
        <w:t>In patients receiving IMFINZI monotherapy, immune-mediated hypothyroidism occurred in 245 (8.2%) patients, including Grade 3 in 4 (0.1%) patients. The median time to onset was 85 days (range: 1-562 days).  Of the 245 patients, 240 patients received hormone replacement therapy, 6</w:t>
      </w:r>
      <w:r w:rsidR="00B37B61" w:rsidRPr="008B029F">
        <w:rPr>
          <w:lang w:val="en-AU"/>
        </w:rPr>
        <w:t> </w:t>
      </w:r>
      <w:r w:rsidRPr="008B029F">
        <w:rPr>
          <w:lang w:val="en-AU"/>
        </w:rPr>
        <w:t>patients received high-dose corticosteroids (at least 40 mg prednisone or equivalent per day) for immune-mediated hypothyroidism followed by hormone replacement. No patients discontinued IMFINZI due to immune-mediated hypothyroidism. Immune-mediated hypothyroidism was preceded by immune-mediated hyperthyroidism in 20 patients or immune-mediated thyroiditis in 3</w:t>
      </w:r>
      <w:r w:rsidR="00B37B61" w:rsidRPr="008B029F">
        <w:rPr>
          <w:lang w:val="en-AU"/>
        </w:rPr>
        <w:t> </w:t>
      </w:r>
      <w:r w:rsidRPr="008B029F">
        <w:rPr>
          <w:lang w:val="en-AU"/>
        </w:rPr>
        <w:t xml:space="preserve">patients. </w:t>
      </w:r>
    </w:p>
    <w:p w14:paraId="56AE67E3" w14:textId="77777777" w:rsidR="008A28BE" w:rsidRPr="008B029F" w:rsidRDefault="008A28BE" w:rsidP="008A28BE">
      <w:pPr>
        <w:pStyle w:val="Heading6unnumbered"/>
        <w:rPr>
          <w:lang w:val="en-AU"/>
        </w:rPr>
      </w:pPr>
      <w:r w:rsidRPr="008B029F">
        <w:rPr>
          <w:lang w:val="en-AU"/>
        </w:rPr>
        <w:t>IMFINZI + tremelimumab pan-tumour pool</w:t>
      </w:r>
    </w:p>
    <w:p w14:paraId="7BD447BA" w14:textId="59BF04DC" w:rsidR="008A28BE" w:rsidRPr="008B029F" w:rsidRDefault="008A28BE" w:rsidP="008A28BE">
      <w:pPr>
        <w:pStyle w:val="Paragraph"/>
        <w:rPr>
          <w:lang w:val="en-AU"/>
        </w:rPr>
      </w:pPr>
      <w:r w:rsidRPr="008B029F">
        <w:rPr>
          <w:lang w:val="en-AU"/>
        </w:rPr>
        <w:t>In patients receiving IMFINZI in combination with tremelimumab, immune-mediated hypothyroidism occurred in 209 (9.2%) patients, including Grade 3 in 6 (0.3%) patients. The median time to onset was 85 days (range: 1-624 days). Thirteen patients received systemic corticosteroids, and 8 of the 13 patients received high-dose corticosteroid treatment (at least 40 mg prednisone or equivalent per day). Two-hundred and five patients required endocrine therapy. Treatment was discontinued in 3 patients. Resolution occurred in 52 patients. Immune-mediated hypothyroidism was preceded by immune-mediated hyperthyroidism in 25 patients or immune-mediated thyroiditis in 2 patients.</w:t>
      </w:r>
    </w:p>
    <w:p w14:paraId="19D0A9BA" w14:textId="77777777" w:rsidR="008A28BE" w:rsidRPr="008B029F" w:rsidRDefault="008A28BE" w:rsidP="008A28BE">
      <w:pPr>
        <w:pStyle w:val="Heading6unnumbered"/>
        <w:rPr>
          <w:lang w:val="en-AU"/>
        </w:rPr>
      </w:pPr>
      <w:r w:rsidRPr="008B029F">
        <w:rPr>
          <w:lang w:val="en-AU"/>
        </w:rPr>
        <w:t>HCC pool</w:t>
      </w:r>
    </w:p>
    <w:p w14:paraId="560F4711" w14:textId="06B7F1AC" w:rsidR="008A28BE" w:rsidRPr="008B029F" w:rsidRDefault="008A28BE" w:rsidP="00A4206F">
      <w:pPr>
        <w:pStyle w:val="Paragraph"/>
        <w:rPr>
          <w:lang w:val="en-AU"/>
        </w:rPr>
      </w:pPr>
      <w:bookmarkStart w:id="36" w:name="_Hlk89960147"/>
      <w:r w:rsidRPr="008B029F">
        <w:rPr>
          <w:lang w:val="en-AU"/>
        </w:rPr>
        <w:t xml:space="preserve">In patients receiving STRIDE, immune-mediated hypothyroidism occurred in 46 (10.0%) patients. The median time to onset was 85 days (range: 26-763 days). One patient received high-dose corticosteroid treatment (at least 40 mg prednisone or equivalent per day). All patients required other therapy (thiamazole, carbimazole, propylthiouracil, perchlorate, calcium channel blocker, or beta-blocker). Resolution occurred in 6 patients. </w:t>
      </w:r>
      <w:bookmarkStart w:id="37" w:name="_Hlk90014473"/>
      <w:bookmarkStart w:id="38" w:name="_Hlk86129049"/>
      <w:r w:rsidRPr="008B029F">
        <w:rPr>
          <w:lang w:val="en-AU"/>
        </w:rPr>
        <w:t>Immune-mediated hypothyroidism was preceded by immune-mediated hyperthyroidism in 4 patients</w:t>
      </w:r>
      <w:bookmarkEnd w:id="37"/>
      <w:r w:rsidRPr="008B029F">
        <w:rPr>
          <w:lang w:val="en-AU"/>
        </w:rPr>
        <w:t>.</w:t>
      </w:r>
      <w:bookmarkEnd w:id="36"/>
      <w:bookmarkEnd w:id="38"/>
    </w:p>
    <w:p w14:paraId="7F958F0C" w14:textId="0B924E63" w:rsidR="007B2A0D" w:rsidRPr="008B029F" w:rsidRDefault="00415A06" w:rsidP="00681ADE">
      <w:pPr>
        <w:pStyle w:val="Heading5unnumbered"/>
        <w:rPr>
          <w:lang w:val="en-AU"/>
        </w:rPr>
      </w:pPr>
      <w:r w:rsidRPr="008B029F">
        <w:rPr>
          <w:lang w:val="en-AU"/>
        </w:rPr>
        <w:t>Immune-mediated h</w:t>
      </w:r>
      <w:r w:rsidR="007B2A0D" w:rsidRPr="008B029F">
        <w:rPr>
          <w:lang w:val="en-AU"/>
        </w:rPr>
        <w:t>yperthyroidism</w:t>
      </w:r>
    </w:p>
    <w:p w14:paraId="6BC1D280" w14:textId="0256BD5F" w:rsidR="007B2A0D" w:rsidRPr="008B029F" w:rsidRDefault="007B2A0D" w:rsidP="00A4206F">
      <w:pPr>
        <w:pStyle w:val="Paragraph"/>
        <w:rPr>
          <w:lang w:val="en-AU"/>
        </w:rPr>
      </w:pPr>
      <w:r w:rsidRPr="008B029F">
        <w:rPr>
          <w:lang w:val="en-AU"/>
        </w:rPr>
        <w:t xml:space="preserve">In </w:t>
      </w:r>
      <w:r w:rsidR="00415A06" w:rsidRPr="008B029F">
        <w:rPr>
          <w:lang w:val="en-AU"/>
        </w:rPr>
        <w:t xml:space="preserve">patients receiving </w:t>
      </w:r>
      <w:r w:rsidRPr="008B029F">
        <w:rPr>
          <w:lang w:val="en-AU"/>
        </w:rPr>
        <w:t xml:space="preserve">IMFINZI monotherapy, immune-mediated hyperthyroidism occurred in </w:t>
      </w:r>
      <w:r w:rsidR="00415A06" w:rsidRPr="008B029F">
        <w:rPr>
          <w:lang w:val="en-AU"/>
        </w:rPr>
        <w:t>50</w:t>
      </w:r>
      <w:r w:rsidRPr="008B029F">
        <w:rPr>
          <w:lang w:val="en-AU"/>
        </w:rPr>
        <w:t xml:space="preserve"> (1.</w:t>
      </w:r>
      <w:r w:rsidR="00415A06" w:rsidRPr="008B029F">
        <w:rPr>
          <w:lang w:val="en-AU"/>
        </w:rPr>
        <w:t>7</w:t>
      </w:r>
      <w:r w:rsidRPr="008B029F">
        <w:rPr>
          <w:lang w:val="en-AU"/>
        </w:rPr>
        <w:t>%) patients, there were no Grade 3 or 4 cases. The median time to onset was 4</w:t>
      </w:r>
      <w:r w:rsidR="00415A06" w:rsidRPr="008B029F">
        <w:rPr>
          <w:lang w:val="en-AU"/>
        </w:rPr>
        <w:t>3</w:t>
      </w:r>
      <w:r w:rsidRPr="008B029F">
        <w:rPr>
          <w:lang w:val="en-AU"/>
        </w:rPr>
        <w:t xml:space="preserve"> days (range:</w:t>
      </w:r>
      <w:r w:rsidR="00B37B61" w:rsidRPr="008B029F">
        <w:rPr>
          <w:lang w:val="en-AU"/>
        </w:rPr>
        <w:t> </w:t>
      </w:r>
      <w:r w:rsidRPr="008B029F">
        <w:rPr>
          <w:lang w:val="en-AU"/>
        </w:rPr>
        <w:t>1</w:t>
      </w:r>
      <w:r w:rsidR="00B37B61" w:rsidRPr="008B029F">
        <w:rPr>
          <w:lang w:val="en-AU"/>
        </w:rPr>
        <w:noBreakHyphen/>
      </w:r>
      <w:r w:rsidR="00415A06" w:rsidRPr="008B029F">
        <w:rPr>
          <w:lang w:val="en-AU"/>
        </w:rPr>
        <w:t>2</w:t>
      </w:r>
      <w:r w:rsidR="00317164" w:rsidRPr="008B029F">
        <w:rPr>
          <w:lang w:val="en-AU"/>
        </w:rPr>
        <w:t>53</w:t>
      </w:r>
      <w:r w:rsidRPr="008B029F">
        <w:rPr>
          <w:lang w:val="en-AU"/>
        </w:rPr>
        <w:t xml:space="preserve"> days). </w:t>
      </w:r>
      <w:r w:rsidR="00E46175" w:rsidRPr="008B029F">
        <w:rPr>
          <w:lang w:val="en-AU"/>
        </w:rPr>
        <w:t xml:space="preserve">Forty </w:t>
      </w:r>
      <w:r w:rsidR="00415A06" w:rsidRPr="008B029F">
        <w:rPr>
          <w:lang w:val="en-AU"/>
        </w:rPr>
        <w:t>six</w:t>
      </w:r>
      <w:r w:rsidRPr="008B029F">
        <w:rPr>
          <w:lang w:val="en-AU"/>
        </w:rPr>
        <w:t xml:space="preserve"> of the </w:t>
      </w:r>
      <w:r w:rsidR="00415A06" w:rsidRPr="008B029F">
        <w:rPr>
          <w:lang w:val="en-AU"/>
        </w:rPr>
        <w:t>50</w:t>
      </w:r>
      <w:r w:rsidRPr="008B029F">
        <w:rPr>
          <w:lang w:val="en-AU"/>
        </w:rPr>
        <w:t xml:space="preserve"> patients received medical therapy (thiamazole, carbimazole, propylthiouracil,</w:t>
      </w:r>
      <w:r w:rsidR="00415A06" w:rsidRPr="008B029F">
        <w:rPr>
          <w:lang w:val="en-AU"/>
        </w:rPr>
        <w:t xml:space="preserve"> perchlorate, calcium channel blocker,</w:t>
      </w:r>
      <w:r w:rsidRPr="008B029F">
        <w:rPr>
          <w:lang w:val="en-AU"/>
        </w:rPr>
        <w:t xml:space="preserve"> or beta-blocker), 1</w:t>
      </w:r>
      <w:r w:rsidR="00415A06" w:rsidRPr="008B029F">
        <w:rPr>
          <w:lang w:val="en-AU"/>
        </w:rPr>
        <w:t>1</w:t>
      </w:r>
      <w:r w:rsidRPr="008B029F">
        <w:rPr>
          <w:lang w:val="en-AU"/>
        </w:rPr>
        <w:t xml:space="preserve"> patients received systemic corticosteroids and </w:t>
      </w:r>
      <w:r w:rsidR="00993D75" w:rsidRPr="008B029F">
        <w:rPr>
          <w:lang w:val="en-AU"/>
        </w:rPr>
        <w:t>4</w:t>
      </w:r>
      <w:r w:rsidRPr="008B029F">
        <w:rPr>
          <w:lang w:val="en-AU"/>
        </w:rPr>
        <w:t xml:space="preserve"> of the 1</w:t>
      </w:r>
      <w:r w:rsidR="00993D75" w:rsidRPr="008B029F">
        <w:rPr>
          <w:lang w:val="en-AU"/>
        </w:rPr>
        <w:t>1</w:t>
      </w:r>
      <w:r w:rsidRPr="008B029F">
        <w:rPr>
          <w:lang w:val="en-AU"/>
        </w:rPr>
        <w:t xml:space="preserve"> patients received high-dose systemic corticosteroid treatment (at least 40 mg prednisone or equivalent per day). </w:t>
      </w:r>
      <w:r w:rsidR="00993D75" w:rsidRPr="008B029F">
        <w:rPr>
          <w:lang w:val="en-AU"/>
        </w:rPr>
        <w:t>One</w:t>
      </w:r>
      <w:r w:rsidRPr="008B029F">
        <w:rPr>
          <w:lang w:val="en-AU"/>
        </w:rPr>
        <w:t xml:space="preserve"> patient discontinued IMFINZI due to</w:t>
      </w:r>
      <w:r w:rsidR="00993D75" w:rsidRPr="008B029F">
        <w:rPr>
          <w:lang w:val="en-AU"/>
        </w:rPr>
        <w:t xml:space="preserve"> immune-mediated</w:t>
      </w:r>
      <w:r w:rsidRPr="008B029F">
        <w:rPr>
          <w:lang w:val="en-AU"/>
        </w:rPr>
        <w:t xml:space="preserve"> hyperthyroidism. Resolution occurred in </w:t>
      </w:r>
      <w:r w:rsidR="00993D75" w:rsidRPr="008B029F">
        <w:rPr>
          <w:lang w:val="en-AU"/>
        </w:rPr>
        <w:t>39</w:t>
      </w:r>
      <w:r w:rsidRPr="008B029F">
        <w:rPr>
          <w:lang w:val="en-AU"/>
        </w:rPr>
        <w:t xml:space="preserve"> patients.</w:t>
      </w:r>
    </w:p>
    <w:p w14:paraId="1BB50F68" w14:textId="77777777" w:rsidR="008A28BE" w:rsidRPr="008B029F" w:rsidRDefault="008A28BE" w:rsidP="008A28BE">
      <w:pPr>
        <w:pStyle w:val="Heading6unnumbered"/>
        <w:rPr>
          <w:lang w:val="en-AU"/>
        </w:rPr>
      </w:pPr>
      <w:r w:rsidRPr="008B029F">
        <w:rPr>
          <w:lang w:val="en-AU"/>
        </w:rPr>
        <w:t>IMFINZI + tremelimumab pan-tumour pool</w:t>
      </w:r>
    </w:p>
    <w:p w14:paraId="0C1CD07E" w14:textId="54AB9218" w:rsidR="008A28BE" w:rsidRPr="008B029F" w:rsidRDefault="008A28BE" w:rsidP="008A28BE">
      <w:pPr>
        <w:pStyle w:val="Paragraph"/>
        <w:rPr>
          <w:lang w:val="en-AU"/>
        </w:rPr>
      </w:pPr>
      <w:r w:rsidRPr="008B029F">
        <w:rPr>
          <w:lang w:val="en-AU"/>
        </w:rPr>
        <w:t xml:space="preserve">In patients receiving IMFINZI in combination with tremelimumab, immune-mediated hyperthyroidism occurred in 62 (2.7%) patients, including Grade 3 in 5 (0.2%) patients. The median time to onset was 33 days (range: 4-176 days). Eighteen patients received systemic corticosteroids, and 11 of the 18 patients received high-dose corticosteroid treatment (at least 40 mg prednisone or </w:t>
      </w:r>
      <w:r w:rsidRPr="008B029F">
        <w:rPr>
          <w:lang w:val="en-AU"/>
        </w:rPr>
        <w:lastRenderedPageBreak/>
        <w:t>equivalent per day). Fifty-three patients required other therapy (thiamazole, carbimazole, propylthiouracil, perchlorate, calcium channel blocker, or beta-blocker). Treatment was discontinued in 1 patient. Resolution occurred in 47 patients.</w:t>
      </w:r>
    </w:p>
    <w:p w14:paraId="48771EBB" w14:textId="77777777" w:rsidR="008A28BE" w:rsidRPr="008B029F" w:rsidRDefault="008A28BE" w:rsidP="008A28BE">
      <w:pPr>
        <w:pStyle w:val="Heading6unnumbered"/>
        <w:rPr>
          <w:lang w:val="en-AU"/>
        </w:rPr>
      </w:pPr>
      <w:r w:rsidRPr="008B029F">
        <w:rPr>
          <w:lang w:val="en-AU"/>
        </w:rPr>
        <w:t>HCC pool</w:t>
      </w:r>
    </w:p>
    <w:p w14:paraId="0F057CC2" w14:textId="55107F7B" w:rsidR="008A28BE" w:rsidRPr="008B029F" w:rsidRDefault="008A28BE" w:rsidP="00A4206F">
      <w:pPr>
        <w:pStyle w:val="Paragraph"/>
        <w:rPr>
          <w:lang w:val="en-AU"/>
        </w:rPr>
      </w:pPr>
      <w:r w:rsidRPr="008B029F">
        <w:rPr>
          <w:lang w:val="en-AU"/>
        </w:rPr>
        <w:t>In patients receiving STRIDE, immune-mediated hyperthyroidism occurred in 21 (4.5%) patients, including Grade 3 in 1 (0.2%) patient. The median time to onset was 30 days (range: 13-60 days). Four patients received systemic corticosteroids, and all of the four patients received high-dose corticosteroid treatment (at least 40 mg prednisone or equivalent per day). Twenty patients required other therapy (thiamazole, carbimazole, propylthiouracil, perchlorate, calcium channel blocker, or beta-blocker). One patient discontinued treatment due to hyperthyroidism. Resolution occurred in 17 patients.</w:t>
      </w:r>
    </w:p>
    <w:p w14:paraId="197CD3E8" w14:textId="42BFE703" w:rsidR="00AD4C5C" w:rsidRPr="008B029F" w:rsidRDefault="00AD4C5C" w:rsidP="00681ADE">
      <w:pPr>
        <w:pStyle w:val="Heading5unnumbered"/>
        <w:rPr>
          <w:lang w:val="en-AU"/>
        </w:rPr>
      </w:pPr>
      <w:r w:rsidRPr="008B029F">
        <w:rPr>
          <w:lang w:val="en-AU"/>
        </w:rPr>
        <w:t>Immune-mediated thyroiditis</w:t>
      </w:r>
    </w:p>
    <w:p w14:paraId="2F1CF07C" w14:textId="0AD3FD32" w:rsidR="00AD4C5C" w:rsidRPr="008B029F" w:rsidRDefault="00AD4C5C" w:rsidP="00FC0DB6">
      <w:pPr>
        <w:pStyle w:val="Paragraph"/>
        <w:rPr>
          <w:lang w:val="en-AU"/>
        </w:rPr>
      </w:pPr>
      <w:r w:rsidRPr="008B029F">
        <w:rPr>
          <w:lang w:val="en-AU"/>
        </w:rPr>
        <w:t xml:space="preserve">In patients receiving IMFINZI monotherapy, immune-mediated </w:t>
      </w:r>
      <w:r w:rsidR="00242F61" w:rsidRPr="008B029F">
        <w:rPr>
          <w:lang w:val="en-AU"/>
        </w:rPr>
        <w:t>thyroiditis</w:t>
      </w:r>
      <w:r w:rsidRPr="008B029F">
        <w:rPr>
          <w:lang w:val="en-AU"/>
        </w:rPr>
        <w:t xml:space="preserve"> occurred in 12 (0.4%) patients, including Grade 3 in 2 (&lt;0.1%) patients. The median time to onset was 49 days (range: 14-106 days). Of the 12 patients, 10 patients received hormone replacement therapy, 1 patient received high-dose corticosteroids (at least 40 mg prednisone or equivalent per day). One patient discontinued IMFINZI due to immune-mediated thyroiditis.</w:t>
      </w:r>
    </w:p>
    <w:p w14:paraId="6C1421CF" w14:textId="77777777" w:rsidR="008A28BE" w:rsidRPr="008B029F" w:rsidRDefault="008A28BE" w:rsidP="008A28BE">
      <w:pPr>
        <w:pStyle w:val="Heading6unnumbered"/>
        <w:rPr>
          <w:lang w:val="en-AU"/>
        </w:rPr>
      </w:pPr>
      <w:r w:rsidRPr="008B029F">
        <w:rPr>
          <w:lang w:val="en-AU"/>
        </w:rPr>
        <w:t>IMFINZI + tremelimumab pan-tumour pool</w:t>
      </w:r>
    </w:p>
    <w:p w14:paraId="5B61F716" w14:textId="74F77D94" w:rsidR="008A28BE" w:rsidRPr="008B029F" w:rsidRDefault="008A28BE" w:rsidP="008A28BE">
      <w:pPr>
        <w:pStyle w:val="Paragraph"/>
        <w:rPr>
          <w:lang w:val="en-AU"/>
        </w:rPr>
      </w:pPr>
      <w:r w:rsidRPr="008B029F">
        <w:rPr>
          <w:lang w:val="en-AU"/>
        </w:rPr>
        <w:t xml:space="preserve">In patients receiving IMFINZI in combination with tremelimumab, immune-mediated thyroiditis occurred in 15 (0.7%) patients, including Grade 3 in 1 (&lt;0.1%) patient. The median time to onset was 57 days (range: 22-141 days). Thirteen patients received systemic corticosteroids, and 2 of the 5 patients received high-dose corticosteroid treatment (at least 40 mg prednisone or equivalent per day). Thirteen patients required other therapy, including hormone replacement therapy, thiamazole, carbimazole, propylthiouracil, perchlorate, calcium channel blocker, or beta-blocker. No patients discontinued treatment due to immune-mediated thyroiditis. Resolution occurred in 5 patients. </w:t>
      </w:r>
    </w:p>
    <w:p w14:paraId="5850EE9E" w14:textId="77777777" w:rsidR="008A28BE" w:rsidRPr="008B029F" w:rsidRDefault="008A28BE" w:rsidP="008A28BE">
      <w:pPr>
        <w:pStyle w:val="Heading6unnumbered"/>
        <w:rPr>
          <w:lang w:val="en-AU"/>
        </w:rPr>
      </w:pPr>
      <w:r w:rsidRPr="008B029F">
        <w:rPr>
          <w:lang w:val="en-AU"/>
        </w:rPr>
        <w:t>HCC pool</w:t>
      </w:r>
    </w:p>
    <w:p w14:paraId="01A522A9" w14:textId="5599862F" w:rsidR="008A28BE" w:rsidRPr="008B029F" w:rsidRDefault="008A28BE" w:rsidP="00FC0DB6">
      <w:pPr>
        <w:pStyle w:val="Paragraph"/>
        <w:rPr>
          <w:lang w:val="en-AU"/>
        </w:rPr>
      </w:pPr>
      <w:r w:rsidRPr="008B029F">
        <w:rPr>
          <w:lang w:val="en-AU"/>
        </w:rPr>
        <w:t xml:space="preserve">In patients receiving STRIDE, immune-mediated thyroiditis occurred in 6 (1.3%) patients. The median time to onset was 56 days (range: 7-84 days). Two patients received systemic corticosteroids, and 1 of the 2 patients received high-dose corticosteroid treatment (at least 40 mg prednisone or equivalent per day). All patients required other therapy including hormone replacement therapy, </w:t>
      </w:r>
      <w:r w:rsidRPr="008B029F">
        <w:rPr>
          <w:color w:val="000000" w:themeColor="text1"/>
          <w:lang w:val="en-AU"/>
        </w:rPr>
        <w:t>thiamazole, carbimazole, propylthiouracil, perchlorate, calcium channel blocker, or beta-blocker</w:t>
      </w:r>
      <w:r w:rsidRPr="008B029F">
        <w:rPr>
          <w:lang w:val="en-AU"/>
        </w:rPr>
        <w:t>. Resolution occurred in 2 patients.</w:t>
      </w:r>
    </w:p>
    <w:p w14:paraId="05B5678C" w14:textId="58A72EA4" w:rsidR="007B2A0D" w:rsidRPr="008B029F" w:rsidRDefault="00AD4C5C" w:rsidP="00681ADE">
      <w:pPr>
        <w:pStyle w:val="Heading5unnumbered"/>
        <w:rPr>
          <w:lang w:val="en-AU"/>
        </w:rPr>
      </w:pPr>
      <w:r w:rsidRPr="008B029F">
        <w:rPr>
          <w:lang w:val="en-AU"/>
        </w:rPr>
        <w:t>Immune-mediated a</w:t>
      </w:r>
      <w:r w:rsidR="007B2A0D" w:rsidRPr="008B029F">
        <w:rPr>
          <w:lang w:val="en-AU"/>
        </w:rPr>
        <w:t>drenal insufficiency</w:t>
      </w:r>
    </w:p>
    <w:p w14:paraId="38C23CFB" w14:textId="62718971" w:rsidR="007B2A0D" w:rsidRPr="008B029F" w:rsidRDefault="007B2A0D" w:rsidP="00A4206F">
      <w:pPr>
        <w:pStyle w:val="Paragraph"/>
        <w:rPr>
          <w:lang w:val="en-AU"/>
        </w:rPr>
      </w:pPr>
      <w:r w:rsidRPr="008B029F">
        <w:rPr>
          <w:lang w:val="en-AU"/>
        </w:rPr>
        <w:t>In</w:t>
      </w:r>
      <w:r w:rsidR="000A7F16" w:rsidRPr="008B029F">
        <w:rPr>
          <w:lang w:val="en-AU"/>
        </w:rPr>
        <w:t xml:space="preserve"> patients receiving</w:t>
      </w:r>
      <w:r w:rsidRPr="008B029F">
        <w:rPr>
          <w:lang w:val="en-AU"/>
        </w:rPr>
        <w:t xml:space="preserve"> IMFINZI monotherapy, immune-mediated adrenal insufficiency occurred in </w:t>
      </w:r>
      <w:r w:rsidR="000A7F16" w:rsidRPr="008B029F">
        <w:rPr>
          <w:lang w:val="en-AU"/>
        </w:rPr>
        <w:t>14</w:t>
      </w:r>
      <w:r w:rsidRPr="008B029F">
        <w:rPr>
          <w:lang w:val="en-AU"/>
        </w:rPr>
        <w:t xml:space="preserve"> (0.</w:t>
      </w:r>
      <w:r w:rsidR="000A7F16" w:rsidRPr="008B029F">
        <w:rPr>
          <w:lang w:val="en-AU"/>
        </w:rPr>
        <w:t>5</w:t>
      </w:r>
      <w:r w:rsidRPr="008B029F">
        <w:rPr>
          <w:lang w:val="en-AU"/>
        </w:rPr>
        <w:t xml:space="preserve">%) patients, including Grade 3 in </w:t>
      </w:r>
      <w:r w:rsidR="000A7F16" w:rsidRPr="008B029F">
        <w:rPr>
          <w:lang w:val="en-AU"/>
        </w:rPr>
        <w:t>3</w:t>
      </w:r>
      <w:r w:rsidRPr="008B029F">
        <w:rPr>
          <w:lang w:val="en-AU"/>
        </w:rPr>
        <w:t xml:space="preserve"> (&lt;0.1%) patient</w:t>
      </w:r>
      <w:r w:rsidR="000A7F16" w:rsidRPr="008B029F">
        <w:rPr>
          <w:lang w:val="en-AU"/>
        </w:rPr>
        <w:t>s</w:t>
      </w:r>
      <w:r w:rsidRPr="008B029F">
        <w:rPr>
          <w:lang w:val="en-AU"/>
        </w:rPr>
        <w:t>. The median time to onset was 14</w:t>
      </w:r>
      <w:r w:rsidR="00443077" w:rsidRPr="008B029F">
        <w:rPr>
          <w:lang w:val="en-AU"/>
        </w:rPr>
        <w:t>6</w:t>
      </w:r>
      <w:r w:rsidR="00C85227" w:rsidRPr="008B029F">
        <w:rPr>
          <w:lang w:val="en-AU"/>
        </w:rPr>
        <w:t xml:space="preserve"> </w:t>
      </w:r>
      <w:r w:rsidRPr="008B029F">
        <w:rPr>
          <w:lang w:val="en-AU"/>
        </w:rPr>
        <w:t xml:space="preserve">days (range: </w:t>
      </w:r>
      <w:r w:rsidR="000A7F16" w:rsidRPr="008B029F">
        <w:rPr>
          <w:lang w:val="en-AU"/>
        </w:rPr>
        <w:t>2</w:t>
      </w:r>
      <w:r w:rsidRPr="008B029F">
        <w:rPr>
          <w:lang w:val="en-AU"/>
        </w:rPr>
        <w:t>0-</w:t>
      </w:r>
      <w:r w:rsidR="000A7F16" w:rsidRPr="008B029F">
        <w:rPr>
          <w:lang w:val="en-AU"/>
        </w:rPr>
        <w:t>547</w:t>
      </w:r>
      <w:r w:rsidRPr="008B029F">
        <w:rPr>
          <w:lang w:val="en-AU"/>
        </w:rPr>
        <w:t xml:space="preserve"> days). All </w:t>
      </w:r>
      <w:r w:rsidR="000A7F16" w:rsidRPr="008B029F">
        <w:rPr>
          <w:lang w:val="en-AU"/>
        </w:rPr>
        <w:t>14</w:t>
      </w:r>
      <w:r w:rsidRPr="008B029F">
        <w:rPr>
          <w:lang w:val="en-AU"/>
        </w:rPr>
        <w:t xml:space="preserve"> patients received systemic corticosteroids; </w:t>
      </w:r>
      <w:r w:rsidR="000A7F16" w:rsidRPr="008B029F">
        <w:rPr>
          <w:lang w:val="en-AU"/>
        </w:rPr>
        <w:t>4</w:t>
      </w:r>
      <w:r w:rsidRPr="008B029F">
        <w:rPr>
          <w:lang w:val="en-AU"/>
        </w:rPr>
        <w:t xml:space="preserve"> of the </w:t>
      </w:r>
      <w:r w:rsidR="000A7F16" w:rsidRPr="008B029F">
        <w:rPr>
          <w:lang w:val="en-AU"/>
        </w:rPr>
        <w:t>14</w:t>
      </w:r>
      <w:r w:rsidRPr="008B029F">
        <w:rPr>
          <w:lang w:val="en-AU"/>
        </w:rPr>
        <w:t xml:space="preserve"> patients received high-dose corticosteroid treatment (at least 40 mg prednisone or equivalent per day). No patients discontinued IMFINZI due to </w:t>
      </w:r>
      <w:r w:rsidR="000A7F16" w:rsidRPr="008B029F">
        <w:rPr>
          <w:lang w:val="en-AU"/>
        </w:rPr>
        <w:t xml:space="preserve">immune-mediated </w:t>
      </w:r>
      <w:r w:rsidRPr="008B029F">
        <w:rPr>
          <w:lang w:val="en-AU"/>
        </w:rPr>
        <w:t xml:space="preserve">adrenal insufficiency. Resolution occurred in </w:t>
      </w:r>
      <w:r w:rsidR="000A7F16" w:rsidRPr="008B029F">
        <w:rPr>
          <w:lang w:val="en-AU"/>
        </w:rPr>
        <w:t>3</w:t>
      </w:r>
      <w:r w:rsidRPr="008B029F">
        <w:rPr>
          <w:lang w:val="en-AU"/>
        </w:rPr>
        <w:t xml:space="preserve"> patient</w:t>
      </w:r>
      <w:r w:rsidR="00C744AA" w:rsidRPr="008B029F">
        <w:rPr>
          <w:lang w:val="en-AU"/>
        </w:rPr>
        <w:t>s</w:t>
      </w:r>
      <w:r w:rsidRPr="008B029F">
        <w:rPr>
          <w:lang w:val="en-AU"/>
        </w:rPr>
        <w:t xml:space="preserve">. </w:t>
      </w:r>
    </w:p>
    <w:p w14:paraId="490672CD" w14:textId="77777777" w:rsidR="000D3D49" w:rsidRPr="008B029F" w:rsidRDefault="000D3D49" w:rsidP="000D3D49">
      <w:pPr>
        <w:pStyle w:val="Heading6unnumbered"/>
        <w:rPr>
          <w:lang w:val="en-AU"/>
        </w:rPr>
      </w:pPr>
      <w:r w:rsidRPr="008B029F">
        <w:rPr>
          <w:lang w:val="en-AU"/>
        </w:rPr>
        <w:t>IMFINZI + tremelimumab pan-tumour pool</w:t>
      </w:r>
    </w:p>
    <w:p w14:paraId="176F0C80" w14:textId="7DBD96CE" w:rsidR="000D3D49" w:rsidRPr="008B029F" w:rsidRDefault="000D3D49" w:rsidP="000D3D49">
      <w:pPr>
        <w:pStyle w:val="Paragraph"/>
        <w:rPr>
          <w:lang w:val="en-AU"/>
        </w:rPr>
      </w:pPr>
      <w:r w:rsidRPr="008B029F">
        <w:rPr>
          <w:lang w:val="en-AU"/>
        </w:rPr>
        <w:t xml:space="preserve">In patients receiving IMFINZI in combination with tremelimumab, immune-mediated adrenal insufficiency occurred in 33 (1.4%) patients, including Grade 3 </w:t>
      </w:r>
      <w:bookmarkStart w:id="39" w:name="_Hlk86130486"/>
      <w:r w:rsidRPr="008B029F">
        <w:rPr>
          <w:lang w:val="en-AU"/>
        </w:rPr>
        <w:t>in 16 (0.7%) patients and Grade 4 in 1 (&lt;0.1%) patient</w:t>
      </w:r>
      <w:bookmarkEnd w:id="39"/>
      <w:r w:rsidRPr="008B029F">
        <w:rPr>
          <w:lang w:val="en-AU"/>
        </w:rPr>
        <w:t xml:space="preserve">. The median time to onset was 105 days (range: 20-428 days). Thirty-two patients </w:t>
      </w:r>
      <w:r w:rsidRPr="008B029F">
        <w:rPr>
          <w:lang w:val="en-AU"/>
        </w:rPr>
        <w:lastRenderedPageBreak/>
        <w:t>received systemic corticosteroids, and 10 of the 32 patients received high-dose corticosteroid treatment (at least 40 mg prednisone or equivalent per day). Seven patients required endocrine therapy. Treatment was discontinued in 1 patient. Resolution occurred in 11 patients.</w:t>
      </w:r>
    </w:p>
    <w:p w14:paraId="1A3F3ECD" w14:textId="77777777" w:rsidR="000D3D49" w:rsidRPr="008B029F" w:rsidRDefault="000D3D49" w:rsidP="000D3D49">
      <w:pPr>
        <w:pStyle w:val="Heading6unnumbered"/>
        <w:rPr>
          <w:lang w:val="en-AU"/>
        </w:rPr>
      </w:pPr>
      <w:r w:rsidRPr="008B029F">
        <w:rPr>
          <w:lang w:val="en-AU"/>
        </w:rPr>
        <w:t>HCC pool</w:t>
      </w:r>
    </w:p>
    <w:p w14:paraId="38B2954F" w14:textId="6D4F65F4" w:rsidR="000D3D49" w:rsidRPr="008B029F" w:rsidRDefault="000D3D49" w:rsidP="00A4206F">
      <w:pPr>
        <w:pStyle w:val="Paragraph"/>
        <w:rPr>
          <w:lang w:val="en-AU"/>
        </w:rPr>
      </w:pPr>
      <w:r w:rsidRPr="008B029F">
        <w:rPr>
          <w:lang w:val="en-AU"/>
        </w:rPr>
        <w:t>In patients receiving STRIDE, immune-mediated adrenal insufficiency occurred in 6 (1.3%) patients, including Grade 3 in 1 (0.2%) patient. The median time to onset was 64 days (range: 43</w:t>
      </w:r>
      <w:r w:rsidRPr="008B029F">
        <w:rPr>
          <w:lang w:val="en-AU"/>
        </w:rPr>
        <w:noBreakHyphen/>
        <w:t>504 days). All patients received systemic corticosteroids, and 1 of the 6 patients received high-dose corticosteroid treatment (at least 40 mg prednisone or equivalent per day). Resolution occurred in 2 patients.</w:t>
      </w:r>
    </w:p>
    <w:p w14:paraId="0EAA4C78" w14:textId="36D0F944" w:rsidR="007B2A0D" w:rsidRPr="008B029F" w:rsidRDefault="00BB1D09" w:rsidP="00681ADE">
      <w:pPr>
        <w:pStyle w:val="Heading5unnumbered"/>
        <w:rPr>
          <w:lang w:val="en-AU"/>
        </w:rPr>
      </w:pPr>
      <w:r w:rsidRPr="008B029F">
        <w:rPr>
          <w:lang w:val="en-AU"/>
        </w:rPr>
        <w:t>Immune-mediated t</w:t>
      </w:r>
      <w:r w:rsidR="007B2A0D" w:rsidRPr="008B029F">
        <w:rPr>
          <w:lang w:val="en-AU"/>
        </w:rPr>
        <w:t>ype 1 diabetes mellitus</w:t>
      </w:r>
    </w:p>
    <w:p w14:paraId="1A4567A1" w14:textId="4E7CAA49" w:rsidR="00BB1D09" w:rsidRPr="008B029F" w:rsidRDefault="00BB1D09" w:rsidP="00A4206F">
      <w:pPr>
        <w:pStyle w:val="Paragraph"/>
        <w:rPr>
          <w:lang w:val="en-AU"/>
        </w:rPr>
      </w:pPr>
      <w:r w:rsidRPr="008B029F">
        <w:rPr>
          <w:lang w:val="en-AU"/>
        </w:rPr>
        <w:t xml:space="preserve">In patients receiving IMFINZI monotherapy, </w:t>
      </w:r>
      <w:r w:rsidR="00443077" w:rsidRPr="008B029F">
        <w:rPr>
          <w:lang w:val="en-AU"/>
        </w:rPr>
        <w:t xml:space="preserve">Grade 3 </w:t>
      </w:r>
      <w:r w:rsidRPr="008B029F">
        <w:rPr>
          <w:lang w:val="en-AU"/>
        </w:rPr>
        <w:t xml:space="preserve">immune-mediate type 1 diabetes mellitus occurred in </w:t>
      </w:r>
      <w:r w:rsidR="00443077" w:rsidRPr="008B029F">
        <w:rPr>
          <w:lang w:val="en-AU"/>
        </w:rPr>
        <w:t>1 (&lt;0.1%)</w:t>
      </w:r>
      <w:r w:rsidRPr="008B029F">
        <w:rPr>
          <w:lang w:val="en-AU"/>
        </w:rPr>
        <w:t xml:space="preserve"> patient</w:t>
      </w:r>
      <w:r w:rsidR="00443077" w:rsidRPr="008B029F">
        <w:rPr>
          <w:lang w:val="en-AU"/>
        </w:rPr>
        <w:t>.</w:t>
      </w:r>
      <w:r w:rsidRPr="008B029F">
        <w:rPr>
          <w:lang w:val="en-AU"/>
        </w:rPr>
        <w:t xml:space="preserve"> </w:t>
      </w:r>
      <w:r w:rsidR="00443077" w:rsidRPr="008B029F">
        <w:rPr>
          <w:lang w:val="en-AU" w:eastAsia="en-GB"/>
        </w:rPr>
        <w:t>The time to onset was 43 days</w:t>
      </w:r>
      <w:r w:rsidR="00443077" w:rsidRPr="008B029F">
        <w:rPr>
          <w:lang w:val="en-AU"/>
        </w:rPr>
        <w:t xml:space="preserve">. This patient required long-term insulin therapy and IMFINZI was permanently discontinued </w:t>
      </w:r>
      <w:r w:rsidRPr="008B029F">
        <w:rPr>
          <w:lang w:val="en-AU"/>
        </w:rPr>
        <w:t xml:space="preserve">due to immune-mediated type 1 diabetes mellitus. </w:t>
      </w:r>
    </w:p>
    <w:p w14:paraId="520CCAF6" w14:textId="77777777" w:rsidR="000D3D49" w:rsidRPr="008B029F" w:rsidRDefault="000D3D49" w:rsidP="000D3D49">
      <w:pPr>
        <w:pStyle w:val="Heading6unnumbered"/>
        <w:rPr>
          <w:lang w:val="en-AU"/>
        </w:rPr>
      </w:pPr>
      <w:r w:rsidRPr="008B029F">
        <w:rPr>
          <w:lang w:val="en-AU"/>
        </w:rPr>
        <w:t>IMFINZI + tremelimumab pan-tumour pool</w:t>
      </w:r>
    </w:p>
    <w:p w14:paraId="4FD31DB4" w14:textId="1A072B11" w:rsidR="000D3D49" w:rsidRPr="008B029F" w:rsidRDefault="000D3D49" w:rsidP="000D3D49">
      <w:pPr>
        <w:pStyle w:val="Paragraph"/>
        <w:rPr>
          <w:lang w:val="en-AU"/>
        </w:rPr>
      </w:pPr>
      <w:r w:rsidRPr="008B029F">
        <w:rPr>
          <w:lang w:val="en-AU"/>
        </w:rPr>
        <w:t xml:space="preserve">In patients receiving IMFINZI in combination with tremelimumab, immune-mediated type 1 diabetes occurred in 6 (0.3%) patients, including </w:t>
      </w:r>
      <w:bookmarkStart w:id="40" w:name="_Hlk86130576"/>
      <w:r w:rsidRPr="008B029F">
        <w:rPr>
          <w:lang w:val="en-AU"/>
        </w:rPr>
        <w:t>Grade 3 in 1 (&lt;0.1%) patient and Grade 4 in 2 (&lt;0.1%) patients</w:t>
      </w:r>
      <w:bookmarkEnd w:id="40"/>
      <w:r w:rsidRPr="008B029F">
        <w:rPr>
          <w:lang w:val="en-AU"/>
        </w:rPr>
        <w:t>. The median time to onset was 58 days (range: 7-220 days). All patients required insulin. Treatment was discontinued in 1 patient. Resolution occurred in 1 patient.</w:t>
      </w:r>
      <w:bookmarkStart w:id="41" w:name="_Hlk89960235"/>
    </w:p>
    <w:p w14:paraId="7127502A" w14:textId="77777777" w:rsidR="000D3D49" w:rsidRPr="008B029F" w:rsidRDefault="000D3D49" w:rsidP="000D3D49">
      <w:pPr>
        <w:pStyle w:val="Heading6unnumbered"/>
        <w:rPr>
          <w:lang w:val="en-AU"/>
        </w:rPr>
      </w:pPr>
      <w:r w:rsidRPr="008B029F">
        <w:rPr>
          <w:lang w:val="en-AU"/>
        </w:rPr>
        <w:t>HCC pool</w:t>
      </w:r>
    </w:p>
    <w:p w14:paraId="1F9D8B29" w14:textId="706FEDC8" w:rsidR="000D3D49" w:rsidRPr="008B029F" w:rsidRDefault="000D3D49" w:rsidP="00A4206F">
      <w:pPr>
        <w:pStyle w:val="Paragraph"/>
        <w:rPr>
          <w:lang w:val="en-AU"/>
        </w:rPr>
      </w:pPr>
      <w:r w:rsidRPr="008B029F">
        <w:rPr>
          <w:lang w:val="en-AU"/>
        </w:rPr>
        <w:t>In patients receiving STRIDE, immune-mediated type 1 diabetes mellitus was not observed.</w:t>
      </w:r>
      <w:bookmarkEnd w:id="41"/>
    </w:p>
    <w:p w14:paraId="7320B8CE" w14:textId="7615D27A" w:rsidR="007B2A0D" w:rsidRPr="008B029F" w:rsidRDefault="00BB1D09" w:rsidP="00681ADE">
      <w:pPr>
        <w:pStyle w:val="Heading5unnumbered"/>
        <w:rPr>
          <w:lang w:val="en-AU"/>
        </w:rPr>
      </w:pPr>
      <w:r w:rsidRPr="008B029F">
        <w:rPr>
          <w:lang w:val="en-AU"/>
        </w:rPr>
        <w:t>Immune-mediated h</w:t>
      </w:r>
      <w:r w:rsidR="007B2A0D" w:rsidRPr="008B029F">
        <w:rPr>
          <w:lang w:val="en-AU"/>
        </w:rPr>
        <w:t>ypophysitis</w:t>
      </w:r>
      <w:r w:rsidR="004E76D3" w:rsidRPr="008B029F">
        <w:rPr>
          <w:lang w:val="en-AU"/>
        </w:rPr>
        <w:t>/</w:t>
      </w:r>
      <w:r w:rsidRPr="008B029F">
        <w:rPr>
          <w:lang w:val="en-AU"/>
        </w:rPr>
        <w:t>h</w:t>
      </w:r>
      <w:r w:rsidR="004E76D3" w:rsidRPr="008B029F">
        <w:rPr>
          <w:lang w:val="en-AU"/>
        </w:rPr>
        <w:t>ypopituitarism</w:t>
      </w:r>
    </w:p>
    <w:p w14:paraId="495EB444" w14:textId="0B3B8B29" w:rsidR="007B2A0D" w:rsidRPr="008B029F" w:rsidRDefault="007B2A0D" w:rsidP="00A4206F">
      <w:pPr>
        <w:pStyle w:val="Paragraph"/>
        <w:rPr>
          <w:lang w:val="en-AU"/>
        </w:rPr>
      </w:pPr>
      <w:r w:rsidRPr="008B029F">
        <w:rPr>
          <w:lang w:val="en-AU"/>
        </w:rPr>
        <w:t xml:space="preserve">In </w:t>
      </w:r>
      <w:r w:rsidR="00BB1D09" w:rsidRPr="008B029F">
        <w:rPr>
          <w:lang w:val="en-AU"/>
        </w:rPr>
        <w:t xml:space="preserve">patients receiving </w:t>
      </w:r>
      <w:r w:rsidRPr="008B029F">
        <w:rPr>
          <w:lang w:val="en-AU"/>
        </w:rPr>
        <w:t xml:space="preserve">IMFINZI monotherapy, immune-mediated </w:t>
      </w:r>
      <w:r w:rsidR="00D07DBF" w:rsidRPr="008B029F">
        <w:rPr>
          <w:lang w:val="en-AU"/>
        </w:rPr>
        <w:t>hypophysitis/</w:t>
      </w:r>
      <w:r w:rsidRPr="008B029F">
        <w:rPr>
          <w:lang w:val="en-AU"/>
        </w:rPr>
        <w:t xml:space="preserve">hypopituitarism occurred in </w:t>
      </w:r>
      <w:r w:rsidR="00D07DBF" w:rsidRPr="008B029F">
        <w:rPr>
          <w:lang w:val="en-AU"/>
        </w:rPr>
        <w:t>2</w:t>
      </w:r>
      <w:r w:rsidRPr="008B029F">
        <w:rPr>
          <w:lang w:val="en-AU"/>
        </w:rPr>
        <w:t xml:space="preserve"> (&lt;0.1%) patient</w:t>
      </w:r>
      <w:r w:rsidR="00D07DBF" w:rsidRPr="008B029F">
        <w:rPr>
          <w:lang w:val="en-AU"/>
        </w:rPr>
        <w:t>s</w:t>
      </w:r>
      <w:r w:rsidRPr="008B029F">
        <w:rPr>
          <w:lang w:val="en-AU"/>
        </w:rPr>
        <w:t xml:space="preserve"> </w:t>
      </w:r>
      <w:r w:rsidR="00D07DBF" w:rsidRPr="008B029F">
        <w:rPr>
          <w:lang w:val="en-AU"/>
        </w:rPr>
        <w:t xml:space="preserve">both </w:t>
      </w:r>
      <w:r w:rsidRPr="008B029F">
        <w:rPr>
          <w:lang w:val="en-AU"/>
        </w:rPr>
        <w:t xml:space="preserve">Grade 3. </w:t>
      </w:r>
      <w:r w:rsidR="00D07DBF" w:rsidRPr="008B029F">
        <w:rPr>
          <w:lang w:val="en-AU"/>
        </w:rPr>
        <w:t>The time to onset for the events was 44 days and 50</w:t>
      </w:r>
      <w:r w:rsidR="00681ADE" w:rsidRPr="008B029F">
        <w:rPr>
          <w:lang w:val="en-AU"/>
        </w:rPr>
        <w:t> </w:t>
      </w:r>
      <w:r w:rsidR="00D07DBF" w:rsidRPr="008B029F">
        <w:rPr>
          <w:lang w:val="en-AU"/>
        </w:rPr>
        <w:t>days. Both</w:t>
      </w:r>
      <w:r w:rsidRPr="008B029F">
        <w:rPr>
          <w:lang w:val="en-AU"/>
        </w:rPr>
        <w:t xml:space="preserve"> patient</w:t>
      </w:r>
      <w:r w:rsidR="00D07DBF" w:rsidRPr="008B029F">
        <w:rPr>
          <w:lang w:val="en-AU"/>
        </w:rPr>
        <w:t>s</w:t>
      </w:r>
      <w:r w:rsidRPr="008B029F">
        <w:rPr>
          <w:lang w:val="en-AU"/>
        </w:rPr>
        <w:t xml:space="preserve"> received high-dose corticosteroid treatment (at least 40</w:t>
      </w:r>
      <w:r w:rsidR="000D3D49" w:rsidRPr="008B029F">
        <w:rPr>
          <w:lang w:val="en-AU"/>
        </w:rPr>
        <w:t> </w:t>
      </w:r>
      <w:r w:rsidRPr="008B029F">
        <w:rPr>
          <w:lang w:val="en-AU"/>
        </w:rPr>
        <w:t xml:space="preserve">mg prednisone or equivalent per day) and </w:t>
      </w:r>
      <w:r w:rsidR="00D07DBF" w:rsidRPr="008B029F">
        <w:rPr>
          <w:lang w:val="en-AU"/>
        </w:rPr>
        <w:t>one patient</w:t>
      </w:r>
      <w:r w:rsidRPr="008B029F">
        <w:rPr>
          <w:lang w:val="en-AU"/>
        </w:rPr>
        <w:t xml:space="preserve"> discontinue</w:t>
      </w:r>
      <w:r w:rsidR="00D07DBF" w:rsidRPr="008B029F">
        <w:rPr>
          <w:lang w:val="en-AU"/>
        </w:rPr>
        <w:t>d</w:t>
      </w:r>
      <w:r w:rsidRPr="008B029F">
        <w:rPr>
          <w:lang w:val="en-AU"/>
        </w:rPr>
        <w:t xml:space="preserve"> IMFINZI</w:t>
      </w:r>
      <w:r w:rsidR="00D07DBF" w:rsidRPr="008B029F">
        <w:rPr>
          <w:lang w:val="en-AU"/>
        </w:rPr>
        <w:t xml:space="preserve"> due to immune-mediated hypophysitis/hypopituitarism.</w:t>
      </w:r>
    </w:p>
    <w:p w14:paraId="7D53F0EA" w14:textId="77777777" w:rsidR="000D3D49" w:rsidRPr="008B029F" w:rsidRDefault="000D3D49" w:rsidP="000D3D49">
      <w:pPr>
        <w:pStyle w:val="Heading6unnumbered"/>
        <w:rPr>
          <w:lang w:val="en-AU"/>
        </w:rPr>
      </w:pPr>
      <w:r w:rsidRPr="008B029F">
        <w:rPr>
          <w:lang w:val="en-AU"/>
        </w:rPr>
        <w:t>IMFINZI + tremelimumab pan-tumour pool</w:t>
      </w:r>
    </w:p>
    <w:p w14:paraId="184E30A7" w14:textId="11020A4B" w:rsidR="000D3D49" w:rsidRPr="008B029F" w:rsidRDefault="000D3D49" w:rsidP="000D3D49">
      <w:pPr>
        <w:pStyle w:val="Paragraph"/>
        <w:rPr>
          <w:lang w:val="en-AU"/>
        </w:rPr>
      </w:pPr>
      <w:r w:rsidRPr="008B029F">
        <w:rPr>
          <w:lang w:val="en-AU"/>
        </w:rPr>
        <w:t>In patients receiving IMFINZI in combination with tremelimumab, immune-mediated hypophysitis/hypopituitarism occurred in 16 (0.7%) patients, including Grade 3 in 8 (0.4%) patients. The median time to onset was 123 days (range: 63-388 days). All patients received systemic corticosteroids, and 8 of the 16 patients received high-dose corticosteroid treatment (at least 40 mg prednisone or equivalent per day). Four patients also required endocrine therapy. Treatment was discontinued in 2 patients. Resolution occurred in 7 patients.</w:t>
      </w:r>
    </w:p>
    <w:p w14:paraId="0AAD4306" w14:textId="77777777" w:rsidR="000D3D49" w:rsidRPr="008B029F" w:rsidRDefault="000D3D49" w:rsidP="000D3D49">
      <w:pPr>
        <w:pStyle w:val="Heading6unnumbered"/>
        <w:rPr>
          <w:lang w:val="en-AU"/>
        </w:rPr>
      </w:pPr>
      <w:r w:rsidRPr="008B029F">
        <w:rPr>
          <w:lang w:val="en-AU"/>
        </w:rPr>
        <w:t>HCC pool</w:t>
      </w:r>
    </w:p>
    <w:p w14:paraId="7B4CFC9D" w14:textId="7C85ED66" w:rsidR="000D3D49" w:rsidRPr="008B029F" w:rsidRDefault="000D3D49" w:rsidP="00A4206F">
      <w:pPr>
        <w:pStyle w:val="Paragraph"/>
        <w:rPr>
          <w:lang w:val="en-AU"/>
        </w:rPr>
      </w:pPr>
      <w:r w:rsidRPr="008B029F">
        <w:rPr>
          <w:lang w:val="en-AU"/>
        </w:rPr>
        <w:t>In patients receiving STRIDE, immune-mediated hypophysitis/hypopituitarism occurred in 5 (1.1%) patients. The median time to onset for the events was 149 days (range: 27-242 days). Four patients received systemic corticosteroids, and 1 of the 4 patients received high-dose corticosteroid treatment (at least 40 mg prednisone or equivalent per day). Three patients also required endocrine therapy. Resolution occurred in 2 patients.</w:t>
      </w:r>
    </w:p>
    <w:p w14:paraId="5136713D" w14:textId="77777777" w:rsidR="007B2A0D" w:rsidRPr="008B029F" w:rsidRDefault="007B2A0D" w:rsidP="00681ADE">
      <w:pPr>
        <w:pStyle w:val="Heading4Unnumbered"/>
        <w:rPr>
          <w:lang w:val="en-AU"/>
        </w:rPr>
      </w:pPr>
      <w:r w:rsidRPr="008B029F">
        <w:rPr>
          <w:lang w:val="en-AU"/>
        </w:rPr>
        <w:lastRenderedPageBreak/>
        <w:t>Immune-</w:t>
      </w:r>
      <w:r w:rsidR="00D57A45" w:rsidRPr="008B029F">
        <w:rPr>
          <w:lang w:val="en-AU"/>
        </w:rPr>
        <w:t>m</w:t>
      </w:r>
      <w:r w:rsidRPr="008B029F">
        <w:rPr>
          <w:lang w:val="en-AU"/>
        </w:rPr>
        <w:t xml:space="preserve">ediated </w:t>
      </w:r>
      <w:r w:rsidR="00D57A45" w:rsidRPr="008B029F">
        <w:rPr>
          <w:lang w:val="en-AU"/>
        </w:rPr>
        <w:t>n</w:t>
      </w:r>
      <w:r w:rsidRPr="008B029F">
        <w:rPr>
          <w:lang w:val="en-AU"/>
        </w:rPr>
        <w:t xml:space="preserve">ephritis </w:t>
      </w:r>
    </w:p>
    <w:p w14:paraId="7BC9DB12" w14:textId="1F1DA378" w:rsidR="007B2A0D" w:rsidRPr="008B029F" w:rsidRDefault="007B2A0D" w:rsidP="00A4206F">
      <w:pPr>
        <w:pStyle w:val="Paragraph"/>
        <w:rPr>
          <w:lang w:val="en-AU"/>
        </w:rPr>
      </w:pPr>
      <w:r w:rsidRPr="008B029F">
        <w:rPr>
          <w:lang w:val="en-AU"/>
        </w:rPr>
        <w:t>In</w:t>
      </w:r>
      <w:r w:rsidR="00727FD3" w:rsidRPr="008B029F">
        <w:rPr>
          <w:lang w:val="en-AU"/>
        </w:rPr>
        <w:t xml:space="preserve"> patients receiving</w:t>
      </w:r>
      <w:r w:rsidRPr="008B029F">
        <w:rPr>
          <w:lang w:val="en-AU"/>
        </w:rPr>
        <w:t xml:space="preserve"> IMFINZI monotherapy, immune-mediated nephritis occurred in </w:t>
      </w:r>
      <w:r w:rsidR="00727FD3" w:rsidRPr="008B029F">
        <w:rPr>
          <w:lang w:val="en-AU"/>
        </w:rPr>
        <w:t>14</w:t>
      </w:r>
      <w:r w:rsidRPr="008B029F">
        <w:rPr>
          <w:lang w:val="en-AU"/>
        </w:rPr>
        <w:t xml:space="preserve"> (0.</w:t>
      </w:r>
      <w:r w:rsidR="00727FD3" w:rsidRPr="008B029F">
        <w:rPr>
          <w:lang w:val="en-AU"/>
        </w:rPr>
        <w:t>5</w:t>
      </w:r>
      <w:r w:rsidRPr="008B029F">
        <w:rPr>
          <w:lang w:val="en-AU"/>
        </w:rPr>
        <w:t xml:space="preserve">%) patients, including Grade 3 in </w:t>
      </w:r>
      <w:r w:rsidR="00727FD3" w:rsidRPr="008B029F">
        <w:rPr>
          <w:lang w:val="en-AU"/>
        </w:rPr>
        <w:t>2</w:t>
      </w:r>
      <w:r w:rsidRPr="008B029F">
        <w:rPr>
          <w:lang w:val="en-AU"/>
        </w:rPr>
        <w:t xml:space="preserve"> (&lt;0.1%) patient</w:t>
      </w:r>
      <w:r w:rsidR="00727FD3" w:rsidRPr="008B029F">
        <w:rPr>
          <w:lang w:val="en-AU"/>
        </w:rPr>
        <w:t>s</w:t>
      </w:r>
      <w:r w:rsidRPr="008B029F">
        <w:rPr>
          <w:lang w:val="en-AU"/>
        </w:rPr>
        <w:t xml:space="preserve">. The median time to onset was </w:t>
      </w:r>
      <w:r w:rsidR="00727FD3" w:rsidRPr="008B029F">
        <w:rPr>
          <w:lang w:val="en-AU"/>
        </w:rPr>
        <w:t>71</w:t>
      </w:r>
      <w:r w:rsidRPr="008B029F">
        <w:rPr>
          <w:lang w:val="en-AU"/>
        </w:rPr>
        <w:t xml:space="preserve"> days (range:</w:t>
      </w:r>
      <w:r w:rsidR="000D3D49" w:rsidRPr="008B029F">
        <w:rPr>
          <w:lang w:val="en-AU"/>
        </w:rPr>
        <w:t> </w:t>
      </w:r>
      <w:r w:rsidR="00727FD3" w:rsidRPr="008B029F">
        <w:rPr>
          <w:lang w:val="en-AU"/>
        </w:rPr>
        <w:t>4</w:t>
      </w:r>
      <w:r w:rsidR="00681ADE" w:rsidRPr="008B029F">
        <w:rPr>
          <w:lang w:val="en-AU"/>
        </w:rPr>
        <w:noBreakHyphen/>
      </w:r>
      <w:r w:rsidR="00727FD3" w:rsidRPr="008B029F">
        <w:rPr>
          <w:lang w:val="en-AU"/>
        </w:rPr>
        <w:t>393</w:t>
      </w:r>
      <w:r w:rsidRPr="008B029F">
        <w:rPr>
          <w:lang w:val="en-AU"/>
        </w:rPr>
        <w:t xml:space="preserve"> days). </w:t>
      </w:r>
      <w:r w:rsidR="00727FD3" w:rsidRPr="008B029F">
        <w:rPr>
          <w:lang w:val="en-AU"/>
        </w:rPr>
        <w:t>Nine</w:t>
      </w:r>
      <w:r w:rsidRPr="008B029F">
        <w:rPr>
          <w:lang w:val="en-AU"/>
        </w:rPr>
        <w:t xml:space="preserve"> patients received high-dose corticosteroid treatment (at least 40</w:t>
      </w:r>
      <w:r w:rsidR="000D3D49" w:rsidRPr="008B029F">
        <w:rPr>
          <w:lang w:val="en-AU"/>
        </w:rPr>
        <w:t> </w:t>
      </w:r>
      <w:r w:rsidRPr="008B029F">
        <w:rPr>
          <w:lang w:val="en-AU"/>
        </w:rPr>
        <w:t>mg prednisone or equivalent per day)</w:t>
      </w:r>
      <w:r w:rsidR="00727FD3" w:rsidRPr="008B029F">
        <w:rPr>
          <w:lang w:val="en-AU"/>
        </w:rPr>
        <w:t xml:space="preserve"> and 1 patient also received mycophenolate</w:t>
      </w:r>
      <w:r w:rsidRPr="008B029F">
        <w:rPr>
          <w:lang w:val="en-AU"/>
        </w:rPr>
        <w:t xml:space="preserve">. IMFINZI was discontinued in </w:t>
      </w:r>
      <w:r w:rsidR="00727FD3" w:rsidRPr="008B029F">
        <w:rPr>
          <w:lang w:val="en-AU"/>
        </w:rPr>
        <w:t>5</w:t>
      </w:r>
      <w:r w:rsidR="00BC23F9" w:rsidRPr="008B029F">
        <w:rPr>
          <w:lang w:val="en-AU"/>
        </w:rPr>
        <w:t xml:space="preserve"> </w:t>
      </w:r>
      <w:r w:rsidRPr="008B029F">
        <w:rPr>
          <w:lang w:val="en-AU"/>
        </w:rPr>
        <w:t xml:space="preserve">patients. Resolution occurred in </w:t>
      </w:r>
      <w:r w:rsidR="00727FD3" w:rsidRPr="008B029F">
        <w:rPr>
          <w:lang w:val="en-AU"/>
        </w:rPr>
        <w:t>8</w:t>
      </w:r>
      <w:r w:rsidRPr="008B029F">
        <w:rPr>
          <w:lang w:val="en-AU"/>
        </w:rPr>
        <w:t xml:space="preserve"> patients.</w:t>
      </w:r>
    </w:p>
    <w:p w14:paraId="66DC94BB" w14:textId="77777777" w:rsidR="000D3D49" w:rsidRPr="008B029F" w:rsidRDefault="000D3D49" w:rsidP="000D3D49">
      <w:pPr>
        <w:pStyle w:val="Heading6unnumbered"/>
        <w:rPr>
          <w:lang w:val="en-AU"/>
        </w:rPr>
      </w:pPr>
      <w:r w:rsidRPr="008B029F">
        <w:rPr>
          <w:lang w:val="en-AU"/>
        </w:rPr>
        <w:t>IMFINZI + tremelimumab pan-tumour pool</w:t>
      </w:r>
    </w:p>
    <w:p w14:paraId="3742B7C8" w14:textId="38F1591E" w:rsidR="000D3D49" w:rsidRPr="008B029F" w:rsidRDefault="000D3D49" w:rsidP="000D3D49">
      <w:pPr>
        <w:pStyle w:val="Paragraph"/>
        <w:rPr>
          <w:lang w:val="en-AU"/>
        </w:rPr>
      </w:pPr>
      <w:r w:rsidRPr="008B029F">
        <w:rPr>
          <w:lang w:val="en-AU"/>
        </w:rPr>
        <w:t>In patients receiving IMFINZI in combination with tremelimumab, immune-mediated nephritis occurred in 9 (0.4%) patients, including Grade 3 in 1 (&lt;0.1%) patient. The median time to onset was 79 days (range: 39-183 days). All patients received systemic corticosteroids, and 7 patients received high-dose corticosteroid treatment (at least 40 mg prednisone or equivalent per day). Treatment was discontinued in 3 patients. Resolution occurred in 5 patients.</w:t>
      </w:r>
      <w:bookmarkStart w:id="42" w:name="_Hlk89960272"/>
    </w:p>
    <w:p w14:paraId="15913213" w14:textId="77777777" w:rsidR="000D3D49" w:rsidRPr="008B029F" w:rsidRDefault="000D3D49" w:rsidP="000D3D49">
      <w:pPr>
        <w:pStyle w:val="Heading6unnumbered"/>
        <w:rPr>
          <w:lang w:val="en-AU"/>
        </w:rPr>
      </w:pPr>
      <w:r w:rsidRPr="008B029F">
        <w:rPr>
          <w:lang w:val="en-AU"/>
        </w:rPr>
        <w:t>HCC pool</w:t>
      </w:r>
    </w:p>
    <w:p w14:paraId="6C066A72" w14:textId="1DF49F81" w:rsidR="000D3D49" w:rsidRPr="008B029F" w:rsidRDefault="000D3D49" w:rsidP="00A4206F">
      <w:pPr>
        <w:pStyle w:val="Paragraph"/>
        <w:rPr>
          <w:lang w:val="en-AU"/>
        </w:rPr>
      </w:pPr>
      <w:r w:rsidRPr="008B029F">
        <w:rPr>
          <w:lang w:val="en-AU"/>
        </w:rPr>
        <w:t>In patients receiving STRIDE, immune-mediated nephritis occurred in 4 (0.9%) patients, including Grade 3 in 2 (0.4%) patients. The median time to onset was 53 days (range: 26-242 days). All patients received systemic corticosteroids, and 3 of the 4 received high-dose corticosteroid treatment (at least 40 mg prednisone or equivalent per day). Treatment was discontinued in 2 patients. Resolution occurred in 3 patients.</w:t>
      </w:r>
      <w:bookmarkEnd w:id="42"/>
    </w:p>
    <w:p w14:paraId="09E6439E" w14:textId="77777777" w:rsidR="007B2A0D" w:rsidRPr="008B029F" w:rsidRDefault="007B2A0D" w:rsidP="00681ADE">
      <w:pPr>
        <w:pStyle w:val="Heading4Unnumbered"/>
        <w:rPr>
          <w:lang w:val="en-AU"/>
        </w:rPr>
      </w:pPr>
      <w:r w:rsidRPr="008B029F">
        <w:rPr>
          <w:lang w:val="en-AU"/>
        </w:rPr>
        <w:t>Immune-mediated rash</w:t>
      </w:r>
    </w:p>
    <w:p w14:paraId="21C9C852" w14:textId="19E8528A" w:rsidR="007B2A0D" w:rsidRPr="008B029F" w:rsidRDefault="007B2A0D" w:rsidP="00A4206F">
      <w:pPr>
        <w:pStyle w:val="Paragraph"/>
        <w:rPr>
          <w:lang w:val="en-AU"/>
        </w:rPr>
      </w:pPr>
      <w:r w:rsidRPr="008B029F">
        <w:rPr>
          <w:lang w:val="en-AU"/>
        </w:rPr>
        <w:t xml:space="preserve">In </w:t>
      </w:r>
      <w:r w:rsidR="007F0408" w:rsidRPr="008B029F">
        <w:rPr>
          <w:lang w:val="en-AU"/>
        </w:rPr>
        <w:t xml:space="preserve">patients receiving </w:t>
      </w:r>
      <w:r w:rsidRPr="008B029F">
        <w:rPr>
          <w:lang w:val="en-AU"/>
        </w:rPr>
        <w:t>IMFINZI monotherapy, immune-mediated rash or dermatitis</w:t>
      </w:r>
      <w:r w:rsidR="007F0408" w:rsidRPr="008B029F">
        <w:rPr>
          <w:lang w:val="en-AU"/>
        </w:rPr>
        <w:t xml:space="preserve"> (including pemphigoid)</w:t>
      </w:r>
      <w:r w:rsidRPr="008B029F">
        <w:rPr>
          <w:lang w:val="en-AU"/>
        </w:rPr>
        <w:t xml:space="preserve"> occurred in </w:t>
      </w:r>
      <w:r w:rsidR="007F0408" w:rsidRPr="008B029F">
        <w:rPr>
          <w:lang w:val="en-AU"/>
        </w:rPr>
        <w:t>5</w:t>
      </w:r>
      <w:r w:rsidRPr="008B029F">
        <w:rPr>
          <w:lang w:val="en-AU"/>
        </w:rPr>
        <w:t>0 (1.</w:t>
      </w:r>
      <w:r w:rsidR="007F0408" w:rsidRPr="008B029F">
        <w:rPr>
          <w:lang w:val="en-AU"/>
        </w:rPr>
        <w:t>7</w:t>
      </w:r>
      <w:r w:rsidRPr="008B029F">
        <w:rPr>
          <w:lang w:val="en-AU"/>
        </w:rPr>
        <w:t xml:space="preserve">%) patients, including Grade 3 in </w:t>
      </w:r>
      <w:r w:rsidR="007F0408" w:rsidRPr="008B029F">
        <w:rPr>
          <w:lang w:val="en-AU"/>
        </w:rPr>
        <w:t>12</w:t>
      </w:r>
      <w:r w:rsidRPr="008B029F">
        <w:rPr>
          <w:lang w:val="en-AU"/>
        </w:rPr>
        <w:t xml:space="preserve"> (0.4%) patients. The median time to onset was </w:t>
      </w:r>
      <w:r w:rsidR="00517885" w:rsidRPr="008B029F">
        <w:rPr>
          <w:lang w:val="en-AU"/>
        </w:rPr>
        <w:t>43</w:t>
      </w:r>
      <w:r w:rsidRPr="008B029F">
        <w:rPr>
          <w:lang w:val="en-AU"/>
        </w:rPr>
        <w:t xml:space="preserve"> days (range: </w:t>
      </w:r>
      <w:r w:rsidR="00517885" w:rsidRPr="008B029F">
        <w:rPr>
          <w:lang w:val="en-AU"/>
        </w:rPr>
        <w:t>4</w:t>
      </w:r>
      <w:r w:rsidRPr="008B029F">
        <w:rPr>
          <w:lang w:val="en-AU"/>
        </w:rPr>
        <w:t>-3</w:t>
      </w:r>
      <w:r w:rsidR="00517885" w:rsidRPr="008B029F">
        <w:rPr>
          <w:lang w:val="en-AU"/>
        </w:rPr>
        <w:t>33</w:t>
      </w:r>
      <w:r w:rsidRPr="008B029F">
        <w:rPr>
          <w:lang w:val="en-AU"/>
        </w:rPr>
        <w:t xml:space="preserve"> days). </w:t>
      </w:r>
      <w:r w:rsidR="00517885" w:rsidRPr="008B029F">
        <w:rPr>
          <w:lang w:val="en-AU"/>
        </w:rPr>
        <w:t>Twenty-four</w:t>
      </w:r>
      <w:r w:rsidRPr="008B029F">
        <w:rPr>
          <w:lang w:val="en-AU"/>
        </w:rPr>
        <w:t xml:space="preserve"> of the </w:t>
      </w:r>
      <w:r w:rsidR="00517885" w:rsidRPr="008B029F">
        <w:rPr>
          <w:lang w:val="en-AU"/>
        </w:rPr>
        <w:t>5</w:t>
      </w:r>
      <w:r w:rsidRPr="008B029F">
        <w:rPr>
          <w:lang w:val="en-AU"/>
        </w:rPr>
        <w:t xml:space="preserve">0 patients received high-dose corticosteroid treatment (at least 40 mg prednisone or equivalent per day). IMFINZI was discontinued in </w:t>
      </w:r>
      <w:r w:rsidR="00517885" w:rsidRPr="008B029F">
        <w:rPr>
          <w:lang w:val="en-AU"/>
        </w:rPr>
        <w:t>3</w:t>
      </w:r>
      <w:r w:rsidRPr="008B029F">
        <w:rPr>
          <w:lang w:val="en-AU"/>
        </w:rPr>
        <w:t xml:space="preserve"> patients. Resolution occurred in </w:t>
      </w:r>
      <w:r w:rsidR="00517885" w:rsidRPr="008B029F">
        <w:rPr>
          <w:lang w:val="en-AU"/>
        </w:rPr>
        <w:t>31</w:t>
      </w:r>
      <w:r w:rsidRPr="008B029F">
        <w:rPr>
          <w:lang w:val="en-AU"/>
        </w:rPr>
        <w:t xml:space="preserve"> patients.</w:t>
      </w:r>
    </w:p>
    <w:p w14:paraId="5298B5B6" w14:textId="77777777" w:rsidR="000D3D49" w:rsidRPr="008B029F" w:rsidRDefault="000D3D49" w:rsidP="000D3D49">
      <w:pPr>
        <w:pStyle w:val="Heading6unnumbered"/>
        <w:rPr>
          <w:lang w:val="en-AU"/>
        </w:rPr>
      </w:pPr>
      <w:r w:rsidRPr="008B029F">
        <w:rPr>
          <w:lang w:val="en-AU"/>
        </w:rPr>
        <w:t>IMFINZI + tremelimumab pan-tumour pool</w:t>
      </w:r>
    </w:p>
    <w:p w14:paraId="477FE18E" w14:textId="200DB07F" w:rsidR="000D3D49" w:rsidRPr="008B029F" w:rsidRDefault="000D3D49" w:rsidP="000D3D49">
      <w:pPr>
        <w:pStyle w:val="Paragraph"/>
        <w:rPr>
          <w:lang w:val="en-AU"/>
        </w:rPr>
      </w:pPr>
      <w:r w:rsidRPr="008B029F">
        <w:rPr>
          <w:lang w:val="en-AU"/>
        </w:rPr>
        <w:t>In patients receiving IMFINZI in combination with tremelimumab, immune-mediated rash or dermatitis (including pemphigoid), occurred in 112 (4.9%) patients, including Grade 3 in 17 (0.7%) patients. The median time to onset was 35 days (range: 1-778 days). All patients received systemic corticosteroids, and 57 of the 112 patients received high-dose corticosteroid treatment (at least 40 mg prednisone or equivalent per day). Treatment was discontinued in 10 patients. Resolution occurred in 65 patients.</w:t>
      </w:r>
      <w:bookmarkStart w:id="43" w:name="_Hlk89960288"/>
    </w:p>
    <w:p w14:paraId="0FFCE7A5" w14:textId="77777777" w:rsidR="000D3D49" w:rsidRPr="008B029F" w:rsidRDefault="000D3D49" w:rsidP="000D3D49">
      <w:pPr>
        <w:pStyle w:val="Heading6unnumbered"/>
        <w:rPr>
          <w:lang w:val="en-AU"/>
        </w:rPr>
      </w:pPr>
      <w:r w:rsidRPr="008B029F">
        <w:rPr>
          <w:lang w:val="en-AU"/>
        </w:rPr>
        <w:t>HCC pool</w:t>
      </w:r>
    </w:p>
    <w:p w14:paraId="00B3391A" w14:textId="4838C623" w:rsidR="000D3D49" w:rsidRPr="008B029F" w:rsidRDefault="000D3D49" w:rsidP="00A4206F">
      <w:pPr>
        <w:pStyle w:val="Paragraph"/>
        <w:rPr>
          <w:lang w:val="en-AU"/>
        </w:rPr>
      </w:pPr>
      <w:r w:rsidRPr="008B029F">
        <w:rPr>
          <w:lang w:val="en-AU"/>
        </w:rPr>
        <w:t>In patients receiving STRIDE, immune-mediated rash or dermatitis (including pemphigoid) occurred in 26 (5.6%) patients, including Grade 3 in 9 (1.9%) patients and Grade 4 in 1 (0.2%) patient. The median time to onset was 25 days (range: 2-933 days). All patients received systemic corticosteroids and 14 of the 26 patients received high-dose corticosteroid treatment (at least 40 mg prednisone or equivalent per day). One patient received other immunosuppressants. Treatment was discontinued in 3 patients. Resolution occurred in 19 patients.</w:t>
      </w:r>
      <w:bookmarkEnd w:id="43"/>
    </w:p>
    <w:p w14:paraId="085F09C4" w14:textId="14CA7D35" w:rsidR="00D7695C" w:rsidRPr="008B029F" w:rsidRDefault="00D7695C" w:rsidP="00681ADE">
      <w:pPr>
        <w:pStyle w:val="Heading4Unnumbered"/>
        <w:rPr>
          <w:lang w:val="en-AU"/>
        </w:rPr>
      </w:pPr>
      <w:r w:rsidRPr="008B029F">
        <w:rPr>
          <w:lang w:val="en-AU"/>
        </w:rPr>
        <w:t>Immune-mediated neurological adverse events in ongoing and completed trials</w:t>
      </w:r>
    </w:p>
    <w:p w14:paraId="6A4946A0" w14:textId="0951738C" w:rsidR="00D7695C" w:rsidRPr="008B029F" w:rsidRDefault="00D7695C" w:rsidP="00A4206F">
      <w:pPr>
        <w:pStyle w:val="Paragraph"/>
        <w:rPr>
          <w:lang w:val="en-AU"/>
        </w:rPr>
      </w:pPr>
      <w:r w:rsidRPr="00194782">
        <w:rPr>
          <w:lang w:val="en-AU"/>
        </w:rPr>
        <w:t>Meningitis</w:t>
      </w:r>
    </w:p>
    <w:p w14:paraId="5516C961" w14:textId="77777777" w:rsidR="007B2A0D" w:rsidRPr="008B029F" w:rsidRDefault="007B2A0D" w:rsidP="00681ADE">
      <w:pPr>
        <w:pStyle w:val="Heading4Unnumbered"/>
        <w:rPr>
          <w:lang w:val="en-AU"/>
        </w:rPr>
      </w:pPr>
      <w:r w:rsidRPr="008B029F">
        <w:rPr>
          <w:lang w:val="en-AU"/>
        </w:rPr>
        <w:lastRenderedPageBreak/>
        <w:t>Infusion</w:t>
      </w:r>
      <w:r w:rsidR="00D477C5" w:rsidRPr="008B029F">
        <w:rPr>
          <w:lang w:val="en-AU"/>
        </w:rPr>
        <w:t>-</w:t>
      </w:r>
      <w:r w:rsidRPr="008B029F">
        <w:rPr>
          <w:lang w:val="en-AU"/>
        </w:rPr>
        <w:t>related reactions</w:t>
      </w:r>
    </w:p>
    <w:p w14:paraId="6638750A" w14:textId="19CC1DB0" w:rsidR="00446EDD" w:rsidRPr="008B029F" w:rsidRDefault="007B2A0D" w:rsidP="00A4206F">
      <w:pPr>
        <w:pStyle w:val="Paragraph"/>
        <w:rPr>
          <w:lang w:val="en-AU"/>
        </w:rPr>
      </w:pPr>
      <w:r w:rsidRPr="008B029F">
        <w:rPr>
          <w:lang w:val="en-AU"/>
        </w:rPr>
        <w:t>In</w:t>
      </w:r>
      <w:r w:rsidR="00C83651" w:rsidRPr="008B029F">
        <w:rPr>
          <w:lang w:val="en-AU"/>
        </w:rPr>
        <w:t xml:space="preserve"> patients receiving</w:t>
      </w:r>
      <w:r w:rsidRPr="008B029F">
        <w:rPr>
          <w:lang w:val="en-AU"/>
        </w:rPr>
        <w:t xml:space="preserve"> IMFINZI monotherapy, infusion related reactions occurred in </w:t>
      </w:r>
      <w:r w:rsidR="00C83651" w:rsidRPr="008B029F">
        <w:rPr>
          <w:lang w:val="en-AU"/>
        </w:rPr>
        <w:t>49</w:t>
      </w:r>
      <w:r w:rsidRPr="008B029F">
        <w:rPr>
          <w:lang w:val="en-AU"/>
        </w:rPr>
        <w:t xml:space="preserve"> (1.</w:t>
      </w:r>
      <w:r w:rsidR="00C83651" w:rsidRPr="008B029F">
        <w:rPr>
          <w:lang w:val="en-AU"/>
        </w:rPr>
        <w:t>6</w:t>
      </w:r>
      <w:r w:rsidRPr="008B029F">
        <w:rPr>
          <w:lang w:val="en-AU"/>
        </w:rPr>
        <w:t>%) patients,</w:t>
      </w:r>
      <w:r w:rsidRPr="008B029F">
        <w:rPr>
          <w:vertAlign w:val="superscript"/>
          <w:lang w:val="en-AU"/>
        </w:rPr>
        <w:t xml:space="preserve"> </w:t>
      </w:r>
      <w:r w:rsidRPr="008B029F">
        <w:rPr>
          <w:lang w:val="en-AU"/>
        </w:rPr>
        <w:t>including Grade 3 in 5 (0.</w:t>
      </w:r>
      <w:r w:rsidR="00C83651" w:rsidRPr="008B029F">
        <w:rPr>
          <w:lang w:val="en-AU"/>
        </w:rPr>
        <w:t>2</w:t>
      </w:r>
      <w:r w:rsidRPr="008B029F">
        <w:rPr>
          <w:lang w:val="en-AU"/>
        </w:rPr>
        <w:t>%) patients. There were no Grade 4 or 5 events.</w:t>
      </w:r>
    </w:p>
    <w:p w14:paraId="63638D7D" w14:textId="77777777" w:rsidR="000D3D49" w:rsidRPr="008B029F" w:rsidRDefault="000D3D49" w:rsidP="000D3D49">
      <w:pPr>
        <w:pStyle w:val="Heading6unnumbered"/>
        <w:rPr>
          <w:lang w:val="en-AU"/>
        </w:rPr>
      </w:pPr>
      <w:r w:rsidRPr="008B029F">
        <w:rPr>
          <w:lang w:val="en-AU"/>
        </w:rPr>
        <w:t>IMFINZI + tremelimumab pan-tumour pool</w:t>
      </w:r>
    </w:p>
    <w:p w14:paraId="7D37D0B8" w14:textId="37320856" w:rsidR="000D3D49" w:rsidRPr="008B029F" w:rsidRDefault="000D3D49" w:rsidP="000D3D49">
      <w:pPr>
        <w:pStyle w:val="Paragraph"/>
        <w:rPr>
          <w:lang w:val="en-AU"/>
        </w:rPr>
      </w:pPr>
      <w:r w:rsidRPr="008B029F">
        <w:rPr>
          <w:lang w:val="en-AU"/>
        </w:rPr>
        <w:t>In patients receiving IMFINZI in combination with tremelimumab, infusion-related reactions occurred in 45 patients (2.0%), including Grade 3 in 2 (&lt;0.1%) patients. There were no Grade 4 or 5 events.</w:t>
      </w:r>
    </w:p>
    <w:p w14:paraId="614F1AA7" w14:textId="77777777" w:rsidR="000D3D49" w:rsidRPr="008B029F" w:rsidRDefault="000D3D49" w:rsidP="000D3D49">
      <w:pPr>
        <w:pStyle w:val="Heading6unnumbered"/>
        <w:rPr>
          <w:lang w:val="en-AU"/>
        </w:rPr>
      </w:pPr>
      <w:r w:rsidRPr="008B029F">
        <w:rPr>
          <w:lang w:val="en-AU"/>
        </w:rPr>
        <w:t>HCC pool</w:t>
      </w:r>
    </w:p>
    <w:p w14:paraId="469BAB66" w14:textId="01FB9B93" w:rsidR="000D3D49" w:rsidRPr="008B029F" w:rsidRDefault="000D3D49" w:rsidP="00A4206F">
      <w:pPr>
        <w:pStyle w:val="Paragraph"/>
        <w:rPr>
          <w:lang w:val="en-AU"/>
        </w:rPr>
      </w:pPr>
      <w:r w:rsidRPr="008B029F">
        <w:rPr>
          <w:lang w:val="en-AU"/>
        </w:rPr>
        <w:t>In patients receiving STRIDE, infusion-related reactions occurred in 13 (2.8%) patients.</w:t>
      </w:r>
    </w:p>
    <w:p w14:paraId="1EEEE291" w14:textId="77777777" w:rsidR="00DF3302" w:rsidRPr="008B029F" w:rsidRDefault="00DF3302" w:rsidP="00681ADE">
      <w:pPr>
        <w:pStyle w:val="Heading3Unnumbered"/>
        <w:rPr>
          <w:lang w:val="en-AU"/>
        </w:rPr>
      </w:pPr>
      <w:r w:rsidRPr="008B029F">
        <w:rPr>
          <w:lang w:val="en-AU"/>
        </w:rPr>
        <w:t>Reporting of suspected adverse reactions</w:t>
      </w:r>
    </w:p>
    <w:p w14:paraId="2F781964" w14:textId="157699EB" w:rsidR="0043542F" w:rsidRPr="008B029F" w:rsidRDefault="00DF3302" w:rsidP="00446EDD">
      <w:pPr>
        <w:pStyle w:val="Paragraph"/>
        <w:rPr>
          <w:lang w:val="en-AU"/>
        </w:rPr>
      </w:pPr>
      <w:r w:rsidRPr="008B029F">
        <w:rPr>
          <w:lang w:val="en-AU"/>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r w:rsidR="003D6307" w:rsidRPr="008B029F">
        <w:rPr>
          <w:lang w:val="en-AU"/>
        </w:rPr>
        <w:t>www.tga.gov.au/reporting-problems</w:t>
      </w:r>
      <w:r w:rsidRPr="008B029F">
        <w:rPr>
          <w:lang w:val="en-AU"/>
        </w:rPr>
        <w:t>.</w:t>
      </w:r>
    </w:p>
    <w:p w14:paraId="59A51711" w14:textId="77777777" w:rsidR="001A3992" w:rsidRPr="008B029F" w:rsidRDefault="001A3992" w:rsidP="00EE3AC8">
      <w:pPr>
        <w:pStyle w:val="Heading2"/>
        <w:rPr>
          <w:lang w:val="en-AU"/>
        </w:rPr>
      </w:pPr>
      <w:r w:rsidRPr="008B029F">
        <w:rPr>
          <w:lang w:val="en-AU"/>
        </w:rPr>
        <w:t>Overdose</w:t>
      </w:r>
    </w:p>
    <w:p w14:paraId="2D72DDDD" w14:textId="77777777" w:rsidR="00CF0000" w:rsidRPr="008B029F" w:rsidRDefault="00CF0000" w:rsidP="00CF0000">
      <w:pPr>
        <w:pStyle w:val="Paragraph"/>
        <w:rPr>
          <w:lang w:val="en-AU"/>
        </w:rPr>
      </w:pPr>
      <w:r w:rsidRPr="008B029F">
        <w:rPr>
          <w:lang w:val="en-AU"/>
        </w:rPr>
        <w:t>There is no specific treatment in the event of durvalumab overdose, and symptoms of overdose are not established. In the event of an overdose, physicians should follow general supportive measures and should treat symptomatically.</w:t>
      </w:r>
    </w:p>
    <w:p w14:paraId="729631CE" w14:textId="2C1F44DE" w:rsidR="008E4E4F" w:rsidRDefault="00D87298" w:rsidP="00CF0000">
      <w:pPr>
        <w:pStyle w:val="Paragraph"/>
        <w:rPr>
          <w:lang w:val="en-AU"/>
        </w:rPr>
      </w:pPr>
      <w:r w:rsidRPr="008B029F">
        <w:rPr>
          <w:lang w:val="en-AU"/>
        </w:rPr>
        <w:t>For information on the management of overdose, contact the Poison Information Centre on 131126 (Australia).</w:t>
      </w:r>
    </w:p>
    <w:p w14:paraId="2B4F4CEC" w14:textId="20F2D8C2" w:rsidR="001A3992" w:rsidRPr="008B029F" w:rsidRDefault="001A3992" w:rsidP="00881EA6">
      <w:pPr>
        <w:pStyle w:val="Heading1"/>
        <w:keepNext w:val="0"/>
        <w:rPr>
          <w:lang w:val="en-AU"/>
        </w:rPr>
      </w:pPr>
      <w:r w:rsidRPr="008B029F">
        <w:rPr>
          <w:lang w:val="en-AU"/>
        </w:rPr>
        <w:t>Pharmacological properties</w:t>
      </w:r>
    </w:p>
    <w:p w14:paraId="1C46BEBF" w14:textId="77777777" w:rsidR="001A3992" w:rsidRPr="008B029F" w:rsidRDefault="007403BD" w:rsidP="00EE3AC8">
      <w:pPr>
        <w:pStyle w:val="Heading2"/>
        <w:rPr>
          <w:lang w:val="en-AU"/>
        </w:rPr>
      </w:pPr>
      <w:bookmarkStart w:id="44" w:name="_Ref121909874"/>
      <w:bookmarkStart w:id="45" w:name="_Hlk508791892"/>
      <w:r w:rsidRPr="008B029F">
        <w:rPr>
          <w:lang w:val="en-AU"/>
        </w:rPr>
        <w:t>Pharmacodynamic properties</w:t>
      </w:r>
      <w:bookmarkEnd w:id="44"/>
    </w:p>
    <w:bookmarkEnd w:id="45"/>
    <w:p w14:paraId="61106406" w14:textId="77777777" w:rsidR="001A3992" w:rsidRPr="008B029F" w:rsidRDefault="001A3992" w:rsidP="005B79A8">
      <w:pPr>
        <w:pStyle w:val="Heading3Unnumbered"/>
        <w:rPr>
          <w:lang w:val="en-AU"/>
        </w:rPr>
      </w:pPr>
      <w:r w:rsidRPr="008B029F">
        <w:rPr>
          <w:lang w:val="en-AU"/>
        </w:rPr>
        <w:t>Mechanism of action</w:t>
      </w:r>
    </w:p>
    <w:p w14:paraId="4CDA34B0" w14:textId="4331764B" w:rsidR="007A012A" w:rsidRPr="008B029F" w:rsidRDefault="007A012A" w:rsidP="007A012A">
      <w:pPr>
        <w:pStyle w:val="Paragraph"/>
        <w:rPr>
          <w:lang w:val="en-AU"/>
        </w:rPr>
      </w:pPr>
      <w:r w:rsidRPr="008B029F">
        <w:rPr>
          <w:lang w:val="en-AU"/>
        </w:rPr>
        <w:t>Expression of programmed cell death ligand-1 (PD-L1) protein is an adaptive immune response that helps tumours evade detection and elimination by the immune system. PD-L1 expression can be induced by inflammatory signals (e.g. IFN-gamma) and can be expressed on both tumour cells and tumour-associated immune cells in tumour microenvironment. PD-L1 blocks T-cell function and activation through interaction with PD-1 and CD80 (B7.1). By binding to its receptors, PD-L1 reduces cytotoxic T-cell activity, proliferation, and cytokine production.</w:t>
      </w:r>
    </w:p>
    <w:p w14:paraId="6A241D1A" w14:textId="77777777" w:rsidR="007A012A" w:rsidRPr="008B029F" w:rsidRDefault="007A012A" w:rsidP="007A012A">
      <w:pPr>
        <w:pStyle w:val="Paragraph"/>
        <w:rPr>
          <w:lang w:val="en-AU"/>
        </w:rPr>
      </w:pPr>
      <w:r w:rsidRPr="008B029F">
        <w:rPr>
          <w:lang w:val="en-AU"/>
        </w:rPr>
        <w:t>Durvalumab is a fully human, high affinity, immunoglobulin G1 kappa (IgG1κ) monoclonal antibody that blocks the interaction of PD-L1 with PD-1 and CD80 (B7.1). Durvalumab does not induce antibody dependent cell-mediated cytotoxicity (ADCC). Blockade of PD-L1/PD-1 and PD-L1/CD80 interactions enhances antitumour immune responses. These antitumour responses may result in tumour elimination.</w:t>
      </w:r>
    </w:p>
    <w:p w14:paraId="067D4E22" w14:textId="60FE7C68" w:rsidR="007403BD" w:rsidRPr="008B029F" w:rsidRDefault="007A012A" w:rsidP="007A012A">
      <w:pPr>
        <w:pStyle w:val="Paragraph"/>
        <w:rPr>
          <w:lang w:val="en-AU"/>
        </w:rPr>
      </w:pPr>
      <w:r w:rsidRPr="008B029F">
        <w:rPr>
          <w:lang w:val="en-AU"/>
        </w:rPr>
        <w:t>In preclinical studies, PD-L1 blockade by durvalumab led to increased T-cell activation and decreased tumour size in xenograft mouse models of human melanoma and/or pancreatic cancer cells as well as mouse syngeneic colorectal cancer.</w:t>
      </w:r>
    </w:p>
    <w:p w14:paraId="1DF78058" w14:textId="45D05CB7" w:rsidR="00390E36" w:rsidRPr="008B029F" w:rsidRDefault="00390E36" w:rsidP="007A012A">
      <w:pPr>
        <w:pStyle w:val="Paragraph"/>
        <w:rPr>
          <w:lang w:val="en-AU"/>
        </w:rPr>
      </w:pPr>
      <w:r w:rsidRPr="008B029F">
        <w:rPr>
          <w:lang w:val="en-AU"/>
        </w:rPr>
        <w:lastRenderedPageBreak/>
        <w:t xml:space="preserve">The combination of durvalumab, a PD-L1 inhibitor, and tremelimumab, a CTLA-4 inhibitor functions to enhance anti-tumour T-cell activation and function at multiple stages of the immune response, maximizing anti-tumour immunity. </w:t>
      </w:r>
    </w:p>
    <w:p w14:paraId="102B201B" w14:textId="77777777" w:rsidR="001A3992" w:rsidRPr="008B029F" w:rsidRDefault="001A3992" w:rsidP="005B79A8">
      <w:pPr>
        <w:pStyle w:val="Heading3Unnumbered"/>
        <w:rPr>
          <w:lang w:val="en-AU"/>
        </w:rPr>
      </w:pPr>
      <w:r w:rsidRPr="008B029F">
        <w:rPr>
          <w:lang w:val="en-AU"/>
        </w:rPr>
        <w:t>Clinical trials</w:t>
      </w:r>
    </w:p>
    <w:p w14:paraId="39416918" w14:textId="2A61E155" w:rsidR="006F6C51" w:rsidRPr="008B029F" w:rsidRDefault="006F6C51" w:rsidP="006F6C51">
      <w:pPr>
        <w:pStyle w:val="Paragraph"/>
        <w:rPr>
          <w:lang w:val="en-AU"/>
        </w:rPr>
      </w:pPr>
      <w:r w:rsidRPr="008B029F">
        <w:rPr>
          <w:lang w:val="en-AU"/>
        </w:rPr>
        <w:t>Durvalumab doses of 10 mg/kg every 2 weeks or 1500 mg every 4 weeks were evaluated in NSCLC and ES-SCLC clinical studies. Based on the modelling and simulation of exposure, exposure-safety relationships and exposure-efficacy data comparisons, there are no anticipated clinically significant differences in efficacy and safety between durvalumab doses of 10 mg/kg every 2 weeks or 1500 mg every 4 weeks.</w:t>
      </w:r>
    </w:p>
    <w:p w14:paraId="302A4E01" w14:textId="59B622E4" w:rsidR="00F65B45" w:rsidRPr="008B029F" w:rsidRDefault="008B16B3" w:rsidP="00EB701E">
      <w:pPr>
        <w:pStyle w:val="Heading4Unnumbered"/>
        <w:rPr>
          <w:lang w:val="en-AU"/>
        </w:rPr>
      </w:pPr>
      <w:r w:rsidRPr="008B029F">
        <w:rPr>
          <w:lang w:val="en-AU"/>
        </w:rPr>
        <w:t>Non-</w:t>
      </w:r>
      <w:r w:rsidR="00F65B45" w:rsidRPr="008B029F">
        <w:rPr>
          <w:lang w:val="en-AU"/>
        </w:rPr>
        <w:t>small cell lung cancer</w:t>
      </w:r>
      <w:r w:rsidR="00D506B5" w:rsidRPr="008B029F">
        <w:rPr>
          <w:lang w:val="en-AU"/>
        </w:rPr>
        <w:t xml:space="preserve"> </w:t>
      </w:r>
      <w:r w:rsidR="00F65B45" w:rsidRPr="008B029F">
        <w:rPr>
          <w:lang w:val="en-AU"/>
        </w:rPr>
        <w:t>(</w:t>
      </w:r>
      <w:r w:rsidR="00D506B5" w:rsidRPr="008B029F">
        <w:rPr>
          <w:lang w:val="en-AU"/>
        </w:rPr>
        <w:t>NSCLC</w:t>
      </w:r>
      <w:r w:rsidR="00F65B45" w:rsidRPr="008B029F">
        <w:rPr>
          <w:lang w:val="en-AU"/>
        </w:rPr>
        <w:t>)</w:t>
      </w:r>
    </w:p>
    <w:p w14:paraId="61FF49EA" w14:textId="77777777" w:rsidR="00D506B5" w:rsidRPr="008B029F" w:rsidRDefault="003738FE" w:rsidP="00681ADE">
      <w:pPr>
        <w:pStyle w:val="Heading5unnumbered"/>
        <w:rPr>
          <w:lang w:val="en-AU"/>
        </w:rPr>
      </w:pPr>
      <w:r w:rsidRPr="008B029F">
        <w:rPr>
          <w:lang w:val="en-AU"/>
        </w:rPr>
        <w:t xml:space="preserve">Randomised, </w:t>
      </w:r>
      <w:r w:rsidR="00F65B45" w:rsidRPr="008B029F">
        <w:rPr>
          <w:lang w:val="en-AU"/>
        </w:rPr>
        <w:t xml:space="preserve">placebo-controlled </w:t>
      </w:r>
      <w:r w:rsidRPr="008B029F">
        <w:rPr>
          <w:lang w:val="en-AU"/>
        </w:rPr>
        <w:t xml:space="preserve">phase 3 </w:t>
      </w:r>
      <w:r w:rsidR="00F65B45" w:rsidRPr="008B029F">
        <w:rPr>
          <w:lang w:val="en-AU"/>
        </w:rPr>
        <w:t xml:space="preserve">study in patients with </w:t>
      </w:r>
      <w:r w:rsidR="00B52441" w:rsidRPr="008B029F">
        <w:rPr>
          <w:lang w:val="en-AU"/>
        </w:rPr>
        <w:t>locally advanced,</w:t>
      </w:r>
      <w:r w:rsidR="00F65B45" w:rsidRPr="008B029F">
        <w:rPr>
          <w:lang w:val="en-AU"/>
        </w:rPr>
        <w:t xml:space="preserve"> unresectable NSCLC after chemoradiation (</w:t>
      </w:r>
      <w:r w:rsidR="00D506B5" w:rsidRPr="008B029F">
        <w:rPr>
          <w:lang w:val="en-AU"/>
        </w:rPr>
        <w:t>PACIFIC</w:t>
      </w:r>
      <w:r w:rsidR="00F65B45" w:rsidRPr="008B029F">
        <w:rPr>
          <w:lang w:val="en-AU"/>
        </w:rPr>
        <w:t xml:space="preserve"> s</w:t>
      </w:r>
      <w:r w:rsidR="00D506B5" w:rsidRPr="008B029F">
        <w:rPr>
          <w:lang w:val="en-AU"/>
        </w:rPr>
        <w:t>tudy</w:t>
      </w:r>
      <w:r w:rsidR="00F65B45" w:rsidRPr="008B029F">
        <w:rPr>
          <w:lang w:val="en-AU"/>
        </w:rPr>
        <w:t>)</w:t>
      </w:r>
    </w:p>
    <w:p w14:paraId="19C36FC6" w14:textId="77777777" w:rsidR="00D506B5" w:rsidRPr="008B029F" w:rsidRDefault="00D506B5" w:rsidP="005030C7">
      <w:pPr>
        <w:pStyle w:val="Paragraph"/>
        <w:rPr>
          <w:lang w:val="en-AU"/>
        </w:rPr>
      </w:pPr>
      <w:r w:rsidRPr="008B029F">
        <w:rPr>
          <w:lang w:val="en-AU"/>
        </w:rPr>
        <w:t>The efficacy of IMFINZI was evaluated in the PACIFIC study, a randomi</w:t>
      </w:r>
      <w:r w:rsidR="003738FE" w:rsidRPr="008B029F">
        <w:rPr>
          <w:lang w:val="en-AU"/>
        </w:rPr>
        <w:t>s</w:t>
      </w:r>
      <w:r w:rsidRPr="008B029F">
        <w:rPr>
          <w:lang w:val="en-AU"/>
        </w:rPr>
        <w:t xml:space="preserve">ed, double-blind, placebo-controlled, multicentre study in 713 patients with histologically or cytologically confirmed locally advanced, unresectable NSCLC. Patients had completed </w:t>
      </w:r>
      <w:r w:rsidR="006E704D" w:rsidRPr="008B029F">
        <w:rPr>
          <w:lang w:val="en-AU"/>
        </w:rPr>
        <w:t xml:space="preserve">at least 2 cycles of </w:t>
      </w:r>
      <w:r w:rsidRPr="008B029F">
        <w:rPr>
          <w:lang w:val="en-AU"/>
        </w:rPr>
        <w:t>definitive platinum-based chemo</w:t>
      </w:r>
      <w:r w:rsidR="006E704D" w:rsidRPr="008B029F">
        <w:rPr>
          <w:lang w:val="en-AU"/>
        </w:rPr>
        <w:t xml:space="preserve">therapy with </w:t>
      </w:r>
      <w:r w:rsidRPr="008B029F">
        <w:rPr>
          <w:lang w:val="en-AU"/>
        </w:rPr>
        <w:t xml:space="preserve">radiation </w:t>
      </w:r>
      <w:r w:rsidR="006E704D" w:rsidRPr="008B029F">
        <w:rPr>
          <w:lang w:val="en-AU"/>
        </w:rPr>
        <w:t xml:space="preserve">therapy </w:t>
      </w:r>
      <w:r w:rsidRPr="008B029F">
        <w:rPr>
          <w:lang w:val="en-AU"/>
        </w:rPr>
        <w:t xml:space="preserve">within 1 to 42 days prior to initiation of the study and had an ECOG performance status of 0 or 1. Ninety-two percent of patients had received a total dose of 54 to 66 Gy of radiation. The study excluded patients who had progressed following chemoradiation therapy, </w:t>
      </w:r>
      <w:r w:rsidR="006E704D" w:rsidRPr="008B029F">
        <w:rPr>
          <w:lang w:val="en-AU"/>
        </w:rPr>
        <w:t xml:space="preserve">patients with prior exposure to any anti-PD-1 or anti-PD-L1 antibody, </w:t>
      </w:r>
      <w:r w:rsidRPr="008B029F">
        <w:rPr>
          <w:lang w:val="en-AU"/>
        </w:rPr>
        <w:t>patients with active or prior documented autoimmune disease within 2 years of initiation of the study; a history of immunodeficiency; a history of severe immune-mediated adverse reactions; medical conditions that required systemic immunosuppression</w:t>
      </w:r>
      <w:r w:rsidR="006E704D" w:rsidRPr="008B029F">
        <w:rPr>
          <w:lang w:val="en-AU"/>
        </w:rPr>
        <w:t>(</w:t>
      </w:r>
      <w:r w:rsidRPr="008B029F">
        <w:rPr>
          <w:lang w:val="en-AU"/>
        </w:rPr>
        <w:t>except physiological dose of systemic corticosteroids</w:t>
      </w:r>
      <w:r w:rsidR="006E704D" w:rsidRPr="008B029F">
        <w:rPr>
          <w:lang w:val="en-AU"/>
        </w:rPr>
        <w:t>)</w:t>
      </w:r>
      <w:r w:rsidRPr="008B029F">
        <w:rPr>
          <w:lang w:val="en-AU"/>
        </w:rPr>
        <w:t>; active tuberculosis or hepatitis B or C or HIV infection or patients receiving live attenuated vaccine within 30 days before or after the start of IMFINZI. Patients were randomised 2:1 to receive 10 mg/kg IMFINZI (n=476) or 10 mg/kg placebo (n=237) via intravenous infusion every 2 weeks for up to 12 months or until unacceptable toxicity or confirmed disease progression. Randomisation was stratified by gender, age (&lt;65 years vs. ≥ 65 years) and smoking status (smoker vs. non- smoker). Patients with disease control at 12 months were given the option to be re-treated upon disease progression. Tumour assessments were conducted every 8 weeks for the first 12 months and then every 12 weeks thereafter.</w:t>
      </w:r>
    </w:p>
    <w:p w14:paraId="79A3C9A1" w14:textId="77777777" w:rsidR="00CF47B4" w:rsidRPr="008B029F" w:rsidRDefault="00CF47B4" w:rsidP="005030C7">
      <w:pPr>
        <w:pStyle w:val="Paragraph"/>
        <w:rPr>
          <w:lang w:val="en-AU"/>
        </w:rPr>
      </w:pPr>
      <w:r w:rsidRPr="008B029F">
        <w:rPr>
          <w:lang w:val="en-AU"/>
        </w:rPr>
        <w:t xml:space="preserve">Patients were enrolled regardless of their tumour PD-L1 expression level. Where available, archival tumour tissue specimens taken prior to chemoradiation therapy were retrospectively tested for PD-L1 expression on tumour cells (TC) using the VENTANA PD-L1 (SP263) IHC assay. Of the 713 patients randomised, 63% of patients provided a tissue sample of sufficient quality and quantity to determine PD-L1 expression and 37% were unknown. </w:t>
      </w:r>
    </w:p>
    <w:p w14:paraId="1B7B295D" w14:textId="77777777" w:rsidR="00D506B5" w:rsidRPr="008B029F" w:rsidRDefault="00D506B5" w:rsidP="005030C7">
      <w:pPr>
        <w:pStyle w:val="Paragraph"/>
        <w:rPr>
          <w:lang w:val="en-AU"/>
        </w:rPr>
      </w:pPr>
      <w:r w:rsidRPr="008B029F">
        <w:rPr>
          <w:lang w:val="en-AU"/>
        </w:rPr>
        <w:t>The demographics and baseline disease characteristics were well balanced between study arms. Baseline demographics of the overall study population were as follows: male (70%), age ≥ 65 years (45%), white (69%), Asian (27%), other (4%), current smoker (16%), past-smoker (75%), and never smoker (9%), WHO/ECOG PS 0 (49%), WHO/ECOG PS 1 (51%). Disease characteristics were as follows: Stage IIIA (53%), Stage IIIB (45%), histological sub-groups of squamous (46%), non-squamous (54%)</w:t>
      </w:r>
      <w:r w:rsidR="00CF47B4" w:rsidRPr="008B029F">
        <w:rPr>
          <w:lang w:val="en-AU"/>
        </w:rPr>
        <w:t>.</w:t>
      </w:r>
      <w:r w:rsidR="00E46B54" w:rsidRPr="008B029F">
        <w:rPr>
          <w:lang w:val="en-AU"/>
        </w:rPr>
        <w:t xml:space="preserve"> Of 451 patients with PD L1 expression available, 67% were TC ≥ 1% [PD-L1 TC 1-24% (32%), PD L1 TC ≥ 25% (35%)] and 33% were TC &lt; 1%.</w:t>
      </w:r>
    </w:p>
    <w:p w14:paraId="5EEEA2A2" w14:textId="77777777" w:rsidR="00D506B5" w:rsidRPr="008B029F" w:rsidRDefault="00D506B5" w:rsidP="005030C7">
      <w:pPr>
        <w:pStyle w:val="Paragraph"/>
        <w:rPr>
          <w:lang w:val="en-AU"/>
        </w:rPr>
      </w:pPr>
      <w:r w:rsidRPr="008B029F">
        <w:rPr>
          <w:lang w:val="en-AU"/>
        </w:rPr>
        <w:t xml:space="preserve">The </w:t>
      </w:r>
      <w:r w:rsidR="00CE3FA4" w:rsidRPr="008B029F">
        <w:rPr>
          <w:lang w:val="en-AU"/>
        </w:rPr>
        <w:t xml:space="preserve">two </w:t>
      </w:r>
      <w:r w:rsidRPr="008B029F">
        <w:rPr>
          <w:lang w:val="en-AU"/>
        </w:rPr>
        <w:t>primary endpoints of the study were progression-free survival (PFS) and overall survival (OS) of IMFINZI vs. placebo. Secondary efficacy endpoints included PFS at 12 months (PFS 12) and 18 months (PFS 18) from randomisation</w:t>
      </w:r>
      <w:r w:rsidR="00E46B54" w:rsidRPr="008B029F">
        <w:rPr>
          <w:lang w:val="en-AU"/>
        </w:rPr>
        <w:t xml:space="preserve"> and Time from Randomisation to Second Progression </w:t>
      </w:r>
      <w:r w:rsidR="00E46B54" w:rsidRPr="008B029F">
        <w:rPr>
          <w:lang w:val="en-AU"/>
        </w:rPr>
        <w:lastRenderedPageBreak/>
        <w:t>(PFS2)</w:t>
      </w:r>
      <w:r w:rsidRPr="008B029F">
        <w:rPr>
          <w:lang w:val="en-AU"/>
        </w:rPr>
        <w:t xml:space="preserve">. PFS </w:t>
      </w:r>
      <w:r w:rsidR="00E46B54" w:rsidRPr="008B029F">
        <w:rPr>
          <w:lang w:val="en-AU"/>
        </w:rPr>
        <w:t>was</w:t>
      </w:r>
      <w:r w:rsidRPr="008B029F">
        <w:rPr>
          <w:lang w:val="en-AU"/>
        </w:rPr>
        <w:t xml:space="preserve"> assessed by Blinded Independent Central Review (BICR) according to RECIST 1.1. </w:t>
      </w:r>
    </w:p>
    <w:p w14:paraId="03E2167E" w14:textId="69250063" w:rsidR="00D506B5" w:rsidRPr="008B029F" w:rsidRDefault="00E46B54" w:rsidP="0052272C">
      <w:pPr>
        <w:pStyle w:val="Paragraph"/>
        <w:rPr>
          <w:lang w:val="en-AU"/>
        </w:rPr>
      </w:pPr>
      <w:r w:rsidRPr="008B029F">
        <w:rPr>
          <w:lang w:val="en-AU"/>
        </w:rPr>
        <w:t>T</w:t>
      </w:r>
      <w:r w:rsidR="00D506B5" w:rsidRPr="008B029F">
        <w:rPr>
          <w:lang w:val="en-AU"/>
        </w:rPr>
        <w:t>he study demonstrated a statistically significant improvement in PFS</w:t>
      </w:r>
      <w:r w:rsidRPr="008B029F">
        <w:rPr>
          <w:lang w:val="en-AU"/>
        </w:rPr>
        <w:t xml:space="preserve"> and OS</w:t>
      </w:r>
      <w:r w:rsidR="00D506B5" w:rsidRPr="008B029F">
        <w:rPr>
          <w:lang w:val="en-AU"/>
        </w:rPr>
        <w:t xml:space="preserve"> in the IMFINZI-treated group compared with the placebo group</w:t>
      </w:r>
      <w:r w:rsidR="008B16B3" w:rsidRPr="008B029F">
        <w:rPr>
          <w:lang w:val="en-AU"/>
        </w:rPr>
        <w:t xml:space="preserve"> </w:t>
      </w:r>
      <w:r w:rsidRPr="008B029F">
        <w:rPr>
          <w:lang w:val="en-AU"/>
        </w:rPr>
        <w:t>(s</w:t>
      </w:r>
      <w:r w:rsidR="00D506B5" w:rsidRPr="008B029F">
        <w:rPr>
          <w:lang w:val="en-AU"/>
        </w:rPr>
        <w:t>ee</w:t>
      </w:r>
      <w:r w:rsidR="00CF7C7F" w:rsidRPr="008B029F">
        <w:rPr>
          <w:lang w:val="en-AU"/>
        </w:rPr>
        <w:t xml:space="preserve"> </w:t>
      </w:r>
      <w:r w:rsidR="008979A6" w:rsidRPr="008B029F">
        <w:rPr>
          <w:color w:val="2B579A"/>
          <w:shd w:val="clear" w:color="auto" w:fill="E6E6E6"/>
          <w:lang w:val="en-AU"/>
        </w:rPr>
        <w:fldChar w:fldCharType="begin"/>
      </w:r>
      <w:r w:rsidR="008979A6" w:rsidRPr="008B029F">
        <w:rPr>
          <w:lang w:val="en-AU"/>
        </w:rPr>
        <w:instrText xml:space="preserve"> REF _Ref120539871 \h </w:instrText>
      </w:r>
      <w:r w:rsidR="003D6307" w:rsidRPr="008B029F">
        <w:rPr>
          <w:color w:val="2B579A"/>
          <w:shd w:val="clear" w:color="auto" w:fill="E6E6E6"/>
          <w:lang w:val="en-AU"/>
        </w:rPr>
        <w:instrText xml:space="preserve"> \* MERGEFORMAT </w:instrText>
      </w:r>
      <w:r w:rsidR="008979A6" w:rsidRPr="008B029F">
        <w:rPr>
          <w:color w:val="2B579A"/>
          <w:shd w:val="clear" w:color="auto" w:fill="E6E6E6"/>
          <w:lang w:val="en-AU"/>
        </w:rPr>
      </w:r>
      <w:r w:rsidR="008979A6"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16</w:t>
      </w:r>
      <w:r w:rsidR="008979A6" w:rsidRPr="008B029F">
        <w:rPr>
          <w:color w:val="2B579A"/>
          <w:shd w:val="clear" w:color="auto" w:fill="E6E6E6"/>
          <w:lang w:val="en-AU"/>
        </w:rPr>
        <w:fldChar w:fldCharType="end"/>
      </w:r>
      <w:r w:rsidR="008979A6" w:rsidRPr="008B029F">
        <w:rPr>
          <w:lang w:val="en-AU"/>
        </w:rPr>
        <w:t xml:space="preserve"> </w:t>
      </w:r>
      <w:r w:rsidR="00D506B5" w:rsidRPr="008B029F">
        <w:rPr>
          <w:lang w:val="en-AU"/>
        </w:rPr>
        <w:t xml:space="preserve">and </w:t>
      </w:r>
      <w:r w:rsidR="00E91470" w:rsidRPr="008B029F">
        <w:rPr>
          <w:color w:val="2B579A"/>
          <w:shd w:val="clear" w:color="auto" w:fill="E6E6E6"/>
          <w:lang w:val="en-AU"/>
        </w:rPr>
        <w:fldChar w:fldCharType="begin"/>
      </w:r>
      <w:r w:rsidR="00E91470" w:rsidRPr="008B029F">
        <w:rPr>
          <w:lang w:val="en-AU"/>
        </w:rPr>
        <w:instrText xml:space="preserve"> REF _Ref57379701 \h </w:instrText>
      </w:r>
      <w:r w:rsidR="00B64932" w:rsidRPr="008B029F">
        <w:rPr>
          <w:color w:val="2B579A"/>
          <w:shd w:val="clear" w:color="auto" w:fill="E6E6E6"/>
          <w:lang w:val="en-AU"/>
        </w:rPr>
        <w:instrText xml:space="preserve"> \* MERGEFORMAT </w:instrText>
      </w:r>
      <w:r w:rsidR="00E91470" w:rsidRPr="008B029F">
        <w:rPr>
          <w:color w:val="2B579A"/>
          <w:shd w:val="clear" w:color="auto" w:fill="E6E6E6"/>
          <w:lang w:val="en-AU"/>
        </w:rPr>
      </w:r>
      <w:r w:rsidR="00E91470" w:rsidRPr="008B029F">
        <w:rPr>
          <w:color w:val="2B579A"/>
          <w:shd w:val="clear" w:color="auto" w:fill="E6E6E6"/>
          <w:lang w:val="en-AU"/>
        </w:rPr>
        <w:fldChar w:fldCharType="separate"/>
      </w:r>
      <w:r w:rsidR="009773EE" w:rsidRPr="008B029F">
        <w:rPr>
          <w:lang w:val="en-AU"/>
        </w:rPr>
        <w:t>Figure </w:t>
      </w:r>
      <w:r w:rsidR="009773EE" w:rsidRPr="008B029F">
        <w:rPr>
          <w:noProof/>
          <w:lang w:val="en-AU"/>
        </w:rPr>
        <w:t>1</w:t>
      </w:r>
      <w:r w:rsidR="00E91470" w:rsidRPr="008B029F">
        <w:rPr>
          <w:color w:val="2B579A"/>
          <w:shd w:val="clear" w:color="auto" w:fill="E6E6E6"/>
          <w:lang w:val="en-AU"/>
        </w:rPr>
        <w:fldChar w:fldCharType="end"/>
      </w:r>
      <w:r w:rsidR="00E91470" w:rsidRPr="008B029F">
        <w:rPr>
          <w:lang w:val="en-AU"/>
        </w:rPr>
        <w:t xml:space="preserve"> </w:t>
      </w:r>
      <w:r w:rsidR="00AA341B" w:rsidRPr="008B029F">
        <w:rPr>
          <w:lang w:val="en-AU"/>
        </w:rPr>
        <w:t>and</w:t>
      </w:r>
      <w:r w:rsidR="0052272C" w:rsidRPr="008B029F">
        <w:rPr>
          <w:lang w:val="en-AU"/>
        </w:rPr>
        <w:t xml:space="preserve"> </w:t>
      </w:r>
      <w:r w:rsidR="0052272C" w:rsidRPr="008B029F">
        <w:rPr>
          <w:color w:val="2B579A"/>
          <w:shd w:val="clear" w:color="auto" w:fill="E6E6E6"/>
          <w:lang w:val="en-AU"/>
        </w:rPr>
        <w:fldChar w:fldCharType="begin"/>
      </w:r>
      <w:r w:rsidR="0052272C" w:rsidRPr="008B029F">
        <w:rPr>
          <w:lang w:val="en-AU"/>
        </w:rPr>
        <w:instrText xml:space="preserve"> REF _Ref123633245 \h </w:instrText>
      </w:r>
      <w:r w:rsidR="00B64932" w:rsidRPr="008B029F">
        <w:rPr>
          <w:color w:val="2B579A"/>
          <w:shd w:val="clear" w:color="auto" w:fill="E6E6E6"/>
          <w:lang w:val="en-AU"/>
        </w:rPr>
        <w:instrText xml:space="preserve"> \* MERGEFORMAT </w:instrText>
      </w:r>
      <w:r w:rsidR="0052272C" w:rsidRPr="008B029F">
        <w:rPr>
          <w:color w:val="2B579A"/>
          <w:shd w:val="clear" w:color="auto" w:fill="E6E6E6"/>
          <w:lang w:val="en-AU"/>
        </w:rPr>
      </w:r>
      <w:r w:rsidR="0052272C" w:rsidRPr="008B029F">
        <w:rPr>
          <w:color w:val="2B579A"/>
          <w:shd w:val="clear" w:color="auto" w:fill="E6E6E6"/>
          <w:lang w:val="en-AU"/>
        </w:rPr>
        <w:fldChar w:fldCharType="separate"/>
      </w:r>
      <w:r w:rsidR="009773EE" w:rsidRPr="008B029F">
        <w:rPr>
          <w:lang w:val="en-AU"/>
        </w:rPr>
        <w:t>Figure </w:t>
      </w:r>
      <w:r w:rsidR="009773EE" w:rsidRPr="008B029F">
        <w:rPr>
          <w:noProof/>
          <w:lang w:val="en-AU"/>
        </w:rPr>
        <w:t>2</w:t>
      </w:r>
      <w:r w:rsidR="0052272C" w:rsidRPr="008B029F">
        <w:rPr>
          <w:color w:val="2B579A"/>
          <w:shd w:val="clear" w:color="auto" w:fill="E6E6E6"/>
          <w:lang w:val="en-AU"/>
        </w:rPr>
        <w:fldChar w:fldCharType="end"/>
      </w:r>
      <w:r w:rsidRPr="008B029F">
        <w:rPr>
          <w:lang w:val="en-AU"/>
        </w:rPr>
        <w:t>)</w:t>
      </w:r>
      <w:r w:rsidR="00D506B5" w:rsidRPr="008B029F">
        <w:rPr>
          <w:lang w:val="en-AU"/>
        </w:rPr>
        <w:t>.</w:t>
      </w:r>
    </w:p>
    <w:p w14:paraId="3088E7F2" w14:textId="4302F990" w:rsidR="005030C7" w:rsidRPr="008B029F" w:rsidRDefault="008979A6" w:rsidP="00681ADE">
      <w:pPr>
        <w:pStyle w:val="TableTitle"/>
        <w:rPr>
          <w:rFonts w:eastAsia="PMingLiU"/>
          <w:lang w:val="en-AU"/>
        </w:rPr>
      </w:pPr>
      <w:bookmarkStart w:id="46" w:name="_Ref120539871"/>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16</w:t>
      </w:r>
      <w:r w:rsidRPr="008B029F">
        <w:rPr>
          <w:color w:val="2B579A"/>
          <w:shd w:val="clear" w:color="auto" w:fill="E6E6E6"/>
          <w:lang w:val="en-AU"/>
        </w:rPr>
        <w:fldChar w:fldCharType="end"/>
      </w:r>
      <w:bookmarkEnd w:id="46"/>
      <w:r w:rsidR="005030C7" w:rsidRPr="008B029F">
        <w:rPr>
          <w:lang w:val="en-AU"/>
        </w:rPr>
        <w:tab/>
        <w:t xml:space="preserve">Efficacy </w:t>
      </w:r>
      <w:r w:rsidR="00390E36" w:rsidRPr="008B029F">
        <w:rPr>
          <w:lang w:val="en-AU"/>
        </w:rPr>
        <w:t>r</w:t>
      </w:r>
      <w:r w:rsidR="005030C7" w:rsidRPr="008B029F">
        <w:rPr>
          <w:lang w:val="en-AU"/>
        </w:rPr>
        <w:t xml:space="preserve">esults for the PACIFIC </w:t>
      </w:r>
      <w:r w:rsidR="00390E36" w:rsidRPr="008B029F">
        <w:rPr>
          <w:lang w:val="en-AU"/>
        </w:rPr>
        <w:t>s</w:t>
      </w:r>
      <w:r w:rsidR="005030C7" w:rsidRPr="008B029F">
        <w:rPr>
          <w:lang w:val="en-AU"/>
        </w:rPr>
        <w:t>tudy</w:t>
      </w:r>
      <w:r w:rsidR="0033727B">
        <w:rPr>
          <w:lang w:val="en-AU"/>
        </w:rPr>
        <w:t xml:space="preserve"> </w:t>
      </w:r>
      <w:r w:rsidR="005030C7" w:rsidRPr="008B029F">
        <w:rPr>
          <w:vertAlign w:val="superscript"/>
          <w:lang w:val="en-AU"/>
        </w:rPr>
        <w:t>a</w:t>
      </w:r>
    </w:p>
    <w:tbl>
      <w:tblPr>
        <w:tblW w:w="5000" w:type="pct"/>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top w:w="7" w:type="dxa"/>
          <w:left w:w="58" w:type="dxa"/>
          <w:right w:w="115" w:type="dxa"/>
        </w:tblCellMar>
        <w:tblLook w:val="04A0" w:firstRow="1" w:lastRow="0" w:firstColumn="1" w:lastColumn="0" w:noHBand="0" w:noVBand="1"/>
      </w:tblPr>
      <w:tblGrid>
        <w:gridCol w:w="4107"/>
        <w:gridCol w:w="2836"/>
        <w:gridCol w:w="2689"/>
      </w:tblGrid>
      <w:tr w:rsidR="00E51AF7" w:rsidRPr="008B029F" w14:paraId="610DF765" w14:textId="77777777" w:rsidTr="00C318B7">
        <w:trPr>
          <w:cantSplit/>
          <w:tblHeader/>
        </w:trPr>
        <w:tc>
          <w:tcPr>
            <w:tcW w:w="2132" w:type="pct"/>
            <w:shd w:val="clear" w:color="auto" w:fill="auto"/>
          </w:tcPr>
          <w:p w14:paraId="07718449" w14:textId="77777777" w:rsidR="00E51AF7" w:rsidRPr="008B029F" w:rsidRDefault="00E51AF7" w:rsidP="00681ADE">
            <w:pPr>
              <w:pStyle w:val="TableHead"/>
              <w:rPr>
                <w:rFonts w:eastAsia="Calibri"/>
                <w:lang w:val="en-AU"/>
              </w:rPr>
            </w:pPr>
          </w:p>
        </w:tc>
        <w:tc>
          <w:tcPr>
            <w:tcW w:w="1472" w:type="pct"/>
            <w:shd w:val="clear" w:color="auto" w:fill="auto"/>
          </w:tcPr>
          <w:p w14:paraId="28ECA449" w14:textId="77777777" w:rsidR="00E51AF7" w:rsidRPr="008B029F" w:rsidRDefault="00E51AF7" w:rsidP="00681ADE">
            <w:pPr>
              <w:pStyle w:val="TableHead"/>
              <w:rPr>
                <w:rFonts w:eastAsia="Calibri"/>
                <w:lang w:val="en-AU"/>
              </w:rPr>
            </w:pPr>
            <w:r w:rsidRPr="008B029F">
              <w:rPr>
                <w:rFonts w:eastAsia="TimesNewRoman"/>
                <w:lang w:val="en-AU"/>
              </w:rPr>
              <w:t>IMFINZI</w:t>
            </w:r>
            <w:r w:rsidRPr="008B029F">
              <w:rPr>
                <w:rFonts w:eastAsia="Calibri"/>
                <w:lang w:val="en-AU"/>
              </w:rPr>
              <w:t xml:space="preserve"> </w:t>
            </w:r>
          </w:p>
          <w:p w14:paraId="19674E1A" w14:textId="0E47987A" w:rsidR="00E51AF7" w:rsidRPr="008B029F" w:rsidRDefault="00E51AF7" w:rsidP="00681ADE">
            <w:pPr>
              <w:pStyle w:val="TableHead"/>
              <w:rPr>
                <w:rFonts w:eastAsia="Calibri"/>
                <w:lang w:val="en-AU"/>
              </w:rPr>
            </w:pPr>
            <w:r w:rsidRPr="008B029F">
              <w:rPr>
                <w:rFonts w:eastAsia="Calibri"/>
                <w:lang w:val="en-AU"/>
              </w:rPr>
              <w:t>(n=</w:t>
            </w:r>
            <w:r w:rsidRPr="008B029F">
              <w:rPr>
                <w:lang w:val="en-AU"/>
              </w:rPr>
              <w:t> </w:t>
            </w:r>
            <w:r w:rsidRPr="008B029F">
              <w:rPr>
                <w:rFonts w:eastAsia="Calibri"/>
                <w:lang w:val="en-AU"/>
              </w:rPr>
              <w:t>476)</w:t>
            </w:r>
          </w:p>
        </w:tc>
        <w:tc>
          <w:tcPr>
            <w:tcW w:w="1396" w:type="pct"/>
            <w:shd w:val="clear" w:color="auto" w:fill="auto"/>
          </w:tcPr>
          <w:p w14:paraId="2B2BFD29" w14:textId="77777777" w:rsidR="00E51AF7" w:rsidRPr="008B029F" w:rsidRDefault="00E51AF7" w:rsidP="00681ADE">
            <w:pPr>
              <w:pStyle w:val="TableHead"/>
              <w:rPr>
                <w:rFonts w:eastAsia="Calibri"/>
                <w:lang w:val="en-AU"/>
              </w:rPr>
            </w:pPr>
            <w:r w:rsidRPr="008B029F">
              <w:rPr>
                <w:rFonts w:eastAsia="Calibri"/>
                <w:lang w:val="en-AU"/>
              </w:rPr>
              <w:t>Placebo</w:t>
            </w:r>
          </w:p>
          <w:p w14:paraId="519BCCD5" w14:textId="6BB13F08" w:rsidR="00E51AF7" w:rsidRPr="008B029F" w:rsidRDefault="00E51AF7" w:rsidP="00681ADE">
            <w:pPr>
              <w:pStyle w:val="TableHead"/>
              <w:rPr>
                <w:rFonts w:eastAsia="Calibri"/>
                <w:lang w:val="en-AU"/>
              </w:rPr>
            </w:pPr>
            <w:r w:rsidRPr="008B029F">
              <w:rPr>
                <w:rFonts w:eastAsia="Calibri"/>
                <w:lang w:val="en-AU"/>
              </w:rPr>
              <w:t>(n=</w:t>
            </w:r>
            <w:r w:rsidRPr="008B029F">
              <w:rPr>
                <w:lang w:val="en-AU"/>
              </w:rPr>
              <w:t> </w:t>
            </w:r>
            <w:r w:rsidRPr="008B029F">
              <w:rPr>
                <w:rFonts w:eastAsia="Calibri"/>
                <w:lang w:val="en-AU"/>
              </w:rPr>
              <w:t>237)</w:t>
            </w:r>
          </w:p>
        </w:tc>
      </w:tr>
      <w:tr w:rsidR="00E51AF7" w:rsidRPr="008B029F" w14:paraId="6B33297A" w14:textId="77777777" w:rsidTr="005030C7">
        <w:trPr>
          <w:cantSplit/>
        </w:trPr>
        <w:tc>
          <w:tcPr>
            <w:tcW w:w="5000" w:type="pct"/>
            <w:gridSpan w:val="3"/>
            <w:shd w:val="clear" w:color="auto" w:fill="auto"/>
          </w:tcPr>
          <w:p w14:paraId="6FD8CCBC" w14:textId="77777777" w:rsidR="00E51AF7" w:rsidRPr="008B029F" w:rsidRDefault="00E51AF7" w:rsidP="00681ADE">
            <w:pPr>
              <w:pStyle w:val="TableLeft"/>
              <w:rPr>
                <w:rFonts w:eastAsia="Calibri"/>
                <w:b/>
                <w:bCs w:val="0"/>
                <w:lang w:val="en-AU"/>
              </w:rPr>
            </w:pPr>
            <w:r w:rsidRPr="008B029F">
              <w:rPr>
                <w:rFonts w:eastAsia="Calibri"/>
                <w:b/>
                <w:bCs w:val="0"/>
                <w:lang w:val="en-AU"/>
              </w:rPr>
              <w:t>OS</w:t>
            </w:r>
          </w:p>
        </w:tc>
      </w:tr>
      <w:tr w:rsidR="00E51AF7" w:rsidRPr="008B029F" w14:paraId="50D46E87" w14:textId="77777777" w:rsidTr="00C318B7">
        <w:trPr>
          <w:cantSplit/>
        </w:trPr>
        <w:tc>
          <w:tcPr>
            <w:tcW w:w="2132" w:type="pct"/>
            <w:shd w:val="clear" w:color="auto" w:fill="auto"/>
          </w:tcPr>
          <w:p w14:paraId="24CB1DCA" w14:textId="77777777" w:rsidR="00E51AF7" w:rsidRPr="008B029F" w:rsidRDefault="00E51AF7" w:rsidP="00681ADE">
            <w:pPr>
              <w:pStyle w:val="TableLeft"/>
              <w:rPr>
                <w:rFonts w:eastAsia="Calibri"/>
                <w:lang w:val="en-AU"/>
              </w:rPr>
            </w:pPr>
            <w:r w:rsidRPr="008B029F">
              <w:rPr>
                <w:rFonts w:eastAsia="Calibri"/>
                <w:lang w:val="en-AU"/>
              </w:rPr>
              <w:t xml:space="preserve">Number of deaths </w:t>
            </w:r>
            <w:r w:rsidRPr="008B029F">
              <w:rPr>
                <w:rFonts w:eastAsia="TimesNewRoman"/>
                <w:lang w:val="en-AU" w:eastAsia="en-GB"/>
              </w:rPr>
              <w:t>(%)</w:t>
            </w:r>
          </w:p>
        </w:tc>
        <w:tc>
          <w:tcPr>
            <w:tcW w:w="1472" w:type="pct"/>
            <w:shd w:val="clear" w:color="auto" w:fill="auto"/>
          </w:tcPr>
          <w:p w14:paraId="1F429A96" w14:textId="77777777" w:rsidR="00E51AF7" w:rsidRPr="008B029F" w:rsidRDefault="00E51AF7" w:rsidP="00681ADE">
            <w:pPr>
              <w:pStyle w:val="TableCenter"/>
              <w:rPr>
                <w:rFonts w:eastAsia="TimesNewRoman"/>
                <w:lang w:val="en-AU"/>
              </w:rPr>
            </w:pPr>
            <w:r w:rsidRPr="008B029F">
              <w:rPr>
                <w:rFonts w:eastAsia="TimesNewRoman"/>
                <w:lang w:val="en-AU"/>
              </w:rPr>
              <w:t>183 (38.4%)</w:t>
            </w:r>
          </w:p>
        </w:tc>
        <w:tc>
          <w:tcPr>
            <w:tcW w:w="1396" w:type="pct"/>
            <w:shd w:val="clear" w:color="auto" w:fill="auto"/>
          </w:tcPr>
          <w:p w14:paraId="59313BEA" w14:textId="77777777" w:rsidR="00E51AF7" w:rsidRPr="008B029F" w:rsidRDefault="00E51AF7" w:rsidP="00681ADE">
            <w:pPr>
              <w:pStyle w:val="TableCenter"/>
              <w:rPr>
                <w:rFonts w:eastAsia="Calibri"/>
                <w:lang w:val="en-AU"/>
              </w:rPr>
            </w:pPr>
            <w:r w:rsidRPr="008B029F">
              <w:rPr>
                <w:rFonts w:eastAsia="TimesNewRoman"/>
                <w:lang w:val="en-AU"/>
              </w:rPr>
              <w:t>116 (48.9%)</w:t>
            </w:r>
          </w:p>
        </w:tc>
      </w:tr>
      <w:tr w:rsidR="00E51AF7" w:rsidRPr="008B029F" w14:paraId="1617E102" w14:textId="77777777" w:rsidTr="00C318B7">
        <w:trPr>
          <w:cantSplit/>
        </w:trPr>
        <w:tc>
          <w:tcPr>
            <w:tcW w:w="2132" w:type="pct"/>
            <w:shd w:val="clear" w:color="auto" w:fill="auto"/>
          </w:tcPr>
          <w:p w14:paraId="3CB57714" w14:textId="28EB8566" w:rsidR="00E51AF7" w:rsidRPr="008B029F" w:rsidRDefault="00E51AF7" w:rsidP="00C318B7">
            <w:pPr>
              <w:pStyle w:val="TableLeft"/>
              <w:rPr>
                <w:rFonts w:eastAsia="Calibri"/>
                <w:lang w:val="en-AU"/>
              </w:rPr>
            </w:pPr>
            <w:r w:rsidRPr="008B029F">
              <w:rPr>
                <w:rFonts w:eastAsia="Times New Roman,Calibri"/>
                <w:b/>
                <w:lang w:val="en-AU"/>
              </w:rPr>
              <w:t>Median (months) (95% CI)</w:t>
            </w:r>
          </w:p>
        </w:tc>
        <w:tc>
          <w:tcPr>
            <w:tcW w:w="1472" w:type="pct"/>
            <w:shd w:val="clear" w:color="auto" w:fill="auto"/>
          </w:tcPr>
          <w:p w14:paraId="32E0352A" w14:textId="5C9040E2" w:rsidR="00E51AF7" w:rsidRPr="008B029F" w:rsidRDefault="00E51AF7" w:rsidP="00C318B7">
            <w:pPr>
              <w:pStyle w:val="TableCenter"/>
              <w:rPr>
                <w:rFonts w:eastAsia="TimesNewRoman"/>
                <w:lang w:val="en-AU"/>
              </w:rPr>
            </w:pPr>
            <w:r w:rsidRPr="008B029F">
              <w:rPr>
                <w:rFonts w:eastAsia="Calibri"/>
                <w:lang w:val="en-AU"/>
              </w:rPr>
              <w:t>NR</w:t>
            </w:r>
            <w:r w:rsidR="00C318B7" w:rsidRPr="008B029F">
              <w:rPr>
                <w:rFonts w:eastAsia="Calibri"/>
                <w:lang w:val="en-AU"/>
              </w:rPr>
              <w:t xml:space="preserve"> </w:t>
            </w:r>
            <w:r w:rsidRPr="008B029F">
              <w:rPr>
                <w:rFonts w:eastAsia="Calibri"/>
                <w:lang w:val="en-AU"/>
              </w:rPr>
              <w:t xml:space="preserve">(34.7, NR) </w:t>
            </w:r>
          </w:p>
        </w:tc>
        <w:tc>
          <w:tcPr>
            <w:tcW w:w="1396" w:type="pct"/>
            <w:shd w:val="clear" w:color="auto" w:fill="auto"/>
          </w:tcPr>
          <w:p w14:paraId="4DC19257" w14:textId="5776A2FB" w:rsidR="00E51AF7" w:rsidRPr="008B029F" w:rsidRDefault="00E51AF7" w:rsidP="00C318B7">
            <w:pPr>
              <w:pStyle w:val="TableCenter"/>
              <w:rPr>
                <w:rFonts w:eastAsia="Calibri"/>
                <w:lang w:val="en-AU"/>
              </w:rPr>
            </w:pPr>
            <w:r w:rsidRPr="008B029F">
              <w:rPr>
                <w:rFonts w:eastAsia="Calibri"/>
                <w:lang w:val="en-AU"/>
              </w:rPr>
              <w:t>28.7</w:t>
            </w:r>
            <w:r w:rsidR="00C318B7" w:rsidRPr="008B029F">
              <w:rPr>
                <w:rFonts w:eastAsia="Calibri"/>
                <w:lang w:val="en-AU"/>
              </w:rPr>
              <w:t xml:space="preserve"> </w:t>
            </w:r>
            <w:r w:rsidRPr="008B029F">
              <w:rPr>
                <w:rFonts w:eastAsia="Calibri"/>
                <w:lang w:val="en-AU"/>
              </w:rPr>
              <w:t>(22.9, NR)</w:t>
            </w:r>
          </w:p>
        </w:tc>
      </w:tr>
      <w:tr w:rsidR="00E51AF7" w:rsidRPr="008B029F" w14:paraId="5F9FED2A" w14:textId="77777777" w:rsidTr="00C318B7">
        <w:trPr>
          <w:cantSplit/>
        </w:trPr>
        <w:tc>
          <w:tcPr>
            <w:tcW w:w="2132" w:type="pct"/>
            <w:shd w:val="clear" w:color="auto" w:fill="auto"/>
          </w:tcPr>
          <w:p w14:paraId="2D1FD58E" w14:textId="642CE7F2" w:rsidR="00E51AF7" w:rsidRPr="008B029F" w:rsidRDefault="00E51AF7" w:rsidP="00681ADE">
            <w:pPr>
              <w:pStyle w:val="TableLeft"/>
              <w:rPr>
                <w:rFonts w:eastAsia="Calibri"/>
                <w:lang w:val="en-AU"/>
              </w:rPr>
            </w:pPr>
            <w:r w:rsidRPr="008B029F">
              <w:rPr>
                <w:rFonts w:eastAsia="Times New Roman,Calibri"/>
                <w:lang w:val="en-AU"/>
              </w:rPr>
              <w:t xml:space="preserve">HR (95% CI) </w:t>
            </w:r>
          </w:p>
        </w:tc>
        <w:tc>
          <w:tcPr>
            <w:tcW w:w="2868" w:type="pct"/>
            <w:gridSpan w:val="2"/>
            <w:shd w:val="clear" w:color="auto" w:fill="auto"/>
          </w:tcPr>
          <w:p w14:paraId="39507B88" w14:textId="77777777" w:rsidR="00E51AF7" w:rsidRPr="008B029F" w:rsidRDefault="00E51AF7" w:rsidP="00681ADE">
            <w:pPr>
              <w:pStyle w:val="TableCenter"/>
              <w:rPr>
                <w:rFonts w:eastAsia="Calibri"/>
                <w:lang w:val="en-AU"/>
              </w:rPr>
            </w:pPr>
            <w:r w:rsidRPr="008B029F">
              <w:rPr>
                <w:rFonts w:eastAsia="Times New Roman,Times New Roman"/>
                <w:lang w:val="en-AU"/>
              </w:rPr>
              <w:t>0.68 (0.53, 0.87)</w:t>
            </w:r>
          </w:p>
        </w:tc>
      </w:tr>
      <w:tr w:rsidR="00E51AF7" w:rsidRPr="008B029F" w14:paraId="29DB3EBD" w14:textId="77777777" w:rsidTr="00C318B7">
        <w:trPr>
          <w:cantSplit/>
        </w:trPr>
        <w:tc>
          <w:tcPr>
            <w:tcW w:w="2132" w:type="pct"/>
            <w:shd w:val="clear" w:color="auto" w:fill="auto"/>
          </w:tcPr>
          <w:p w14:paraId="155A5F85" w14:textId="29CB1891" w:rsidR="00E51AF7" w:rsidRPr="008B029F" w:rsidRDefault="00E51AF7" w:rsidP="00681ADE">
            <w:pPr>
              <w:pStyle w:val="TableLeft"/>
              <w:rPr>
                <w:rFonts w:eastAsia="Calibri"/>
                <w:lang w:val="en-AU"/>
              </w:rPr>
            </w:pPr>
            <w:r w:rsidRPr="008B029F">
              <w:rPr>
                <w:rFonts w:eastAsia="Times New Roman,Times New Roman"/>
                <w:lang w:val="en-AU"/>
              </w:rPr>
              <w:t xml:space="preserve">2- sided p-value </w:t>
            </w:r>
          </w:p>
        </w:tc>
        <w:tc>
          <w:tcPr>
            <w:tcW w:w="2868" w:type="pct"/>
            <w:gridSpan w:val="2"/>
            <w:shd w:val="clear" w:color="auto" w:fill="auto"/>
          </w:tcPr>
          <w:p w14:paraId="470F1D13" w14:textId="77777777" w:rsidR="00E51AF7" w:rsidRPr="008B029F" w:rsidRDefault="00E51AF7" w:rsidP="00681ADE">
            <w:pPr>
              <w:pStyle w:val="TableCenter"/>
              <w:rPr>
                <w:rFonts w:eastAsia="Calibri"/>
                <w:lang w:val="en-AU"/>
              </w:rPr>
            </w:pPr>
            <w:r w:rsidRPr="008B029F">
              <w:rPr>
                <w:rFonts w:eastAsia="Times New Roman,Times New Roman"/>
                <w:lang w:val="en-AU"/>
              </w:rPr>
              <w:t>0.00251</w:t>
            </w:r>
          </w:p>
        </w:tc>
      </w:tr>
      <w:tr w:rsidR="00E51AF7" w:rsidRPr="008B029F" w14:paraId="77CEBAEA" w14:textId="77777777" w:rsidTr="00C318B7">
        <w:trPr>
          <w:cantSplit/>
        </w:trPr>
        <w:tc>
          <w:tcPr>
            <w:tcW w:w="2132" w:type="pct"/>
            <w:shd w:val="clear" w:color="auto" w:fill="auto"/>
          </w:tcPr>
          <w:p w14:paraId="11D446AF" w14:textId="6F7A2A7F" w:rsidR="00E51AF7" w:rsidRPr="008B029F" w:rsidRDefault="00E51AF7" w:rsidP="00C318B7">
            <w:pPr>
              <w:pStyle w:val="TableLeft"/>
              <w:rPr>
                <w:rFonts w:eastAsia="Calibri"/>
                <w:lang w:val="en-AU"/>
              </w:rPr>
            </w:pPr>
            <w:r w:rsidRPr="008B029F">
              <w:rPr>
                <w:rFonts w:eastAsia="Times New Roman,Calibri"/>
                <w:b/>
                <w:lang w:val="en-AU"/>
              </w:rPr>
              <w:t>OS at 24 months (%)</w:t>
            </w:r>
            <w:r w:rsidR="00C318B7" w:rsidRPr="008B029F">
              <w:rPr>
                <w:rFonts w:eastAsia="Times New Roman,Calibri"/>
                <w:b/>
                <w:lang w:val="en-AU"/>
              </w:rPr>
              <w:t xml:space="preserve"> (</w:t>
            </w:r>
            <w:r w:rsidRPr="008B029F">
              <w:rPr>
                <w:rFonts w:eastAsia="Times New Roman,Calibri"/>
                <w:b/>
                <w:lang w:val="en-AU"/>
              </w:rPr>
              <w:t>95% CI)</w:t>
            </w:r>
          </w:p>
        </w:tc>
        <w:tc>
          <w:tcPr>
            <w:tcW w:w="1472" w:type="pct"/>
            <w:shd w:val="clear" w:color="auto" w:fill="auto"/>
          </w:tcPr>
          <w:p w14:paraId="313B2D93" w14:textId="7E533807" w:rsidR="00E51AF7" w:rsidRPr="008B029F" w:rsidRDefault="00E51AF7" w:rsidP="00C318B7">
            <w:pPr>
              <w:pStyle w:val="TableCenter"/>
              <w:rPr>
                <w:rFonts w:eastAsia="TimesNewRoman"/>
                <w:lang w:val="en-AU"/>
              </w:rPr>
            </w:pPr>
            <w:r w:rsidRPr="008B029F">
              <w:rPr>
                <w:rFonts w:eastAsia="Times New Roman,Times New Roman"/>
                <w:lang w:val="en-AU"/>
              </w:rPr>
              <w:t>66.3%</w:t>
            </w:r>
            <w:r w:rsidR="00C318B7" w:rsidRPr="008B029F">
              <w:rPr>
                <w:rFonts w:eastAsia="Times New Roman,Times New Roman"/>
                <w:lang w:val="en-AU"/>
              </w:rPr>
              <w:t xml:space="preserve"> </w:t>
            </w:r>
            <w:r w:rsidRPr="008B029F">
              <w:rPr>
                <w:rFonts w:eastAsia="Calibri"/>
                <w:lang w:val="en-AU"/>
              </w:rPr>
              <w:t>(61.7%, 70.4%)</w:t>
            </w:r>
          </w:p>
        </w:tc>
        <w:tc>
          <w:tcPr>
            <w:tcW w:w="1396" w:type="pct"/>
            <w:shd w:val="clear" w:color="auto" w:fill="auto"/>
          </w:tcPr>
          <w:p w14:paraId="0FBA43FB" w14:textId="6A482153" w:rsidR="00E51AF7" w:rsidRPr="008B029F" w:rsidRDefault="00E51AF7" w:rsidP="00C318B7">
            <w:pPr>
              <w:pStyle w:val="TableCenter"/>
              <w:rPr>
                <w:rFonts w:eastAsia="Calibri"/>
                <w:lang w:val="en-AU"/>
              </w:rPr>
            </w:pPr>
            <w:r w:rsidRPr="008B029F">
              <w:rPr>
                <w:rFonts w:eastAsia="Times New Roman,Times New Roman"/>
                <w:lang w:val="en-AU"/>
              </w:rPr>
              <w:t>55.6%</w:t>
            </w:r>
            <w:r w:rsidR="00C318B7" w:rsidRPr="008B029F">
              <w:rPr>
                <w:rFonts w:eastAsia="Times New Roman,Times New Roman"/>
                <w:lang w:val="en-AU"/>
              </w:rPr>
              <w:t xml:space="preserve"> </w:t>
            </w:r>
            <w:r w:rsidR="00CA7D46" w:rsidRPr="008B029F">
              <w:rPr>
                <w:rFonts w:eastAsia="Calibri"/>
                <w:lang w:val="en-AU"/>
              </w:rPr>
              <w:t>(48.9%, 61.8</w:t>
            </w:r>
            <w:r w:rsidRPr="008B029F">
              <w:rPr>
                <w:rFonts w:eastAsia="Calibri"/>
                <w:lang w:val="en-AU"/>
              </w:rPr>
              <w:t>%)</w:t>
            </w:r>
          </w:p>
        </w:tc>
      </w:tr>
      <w:tr w:rsidR="00E51AF7" w:rsidRPr="008B029F" w14:paraId="0C1CEDE3" w14:textId="77777777" w:rsidTr="00C318B7">
        <w:trPr>
          <w:cantSplit/>
        </w:trPr>
        <w:tc>
          <w:tcPr>
            <w:tcW w:w="2132" w:type="pct"/>
            <w:shd w:val="clear" w:color="auto" w:fill="auto"/>
          </w:tcPr>
          <w:p w14:paraId="50E58ED4" w14:textId="3CBD3057" w:rsidR="00E51AF7" w:rsidRPr="008B029F" w:rsidRDefault="00E51AF7" w:rsidP="00681ADE">
            <w:pPr>
              <w:pStyle w:val="TableLeft"/>
              <w:rPr>
                <w:rFonts w:eastAsia="Times New Roman,Times New Roman"/>
                <w:b/>
                <w:lang w:val="en-AU"/>
              </w:rPr>
            </w:pPr>
            <w:r w:rsidRPr="008B029F">
              <w:rPr>
                <w:rFonts w:eastAsia="Times New Roman,Times New Roman"/>
                <w:lang w:val="en-AU"/>
              </w:rPr>
              <w:t>p-value</w:t>
            </w:r>
          </w:p>
        </w:tc>
        <w:tc>
          <w:tcPr>
            <w:tcW w:w="2868" w:type="pct"/>
            <w:gridSpan w:val="2"/>
            <w:shd w:val="clear" w:color="auto" w:fill="auto"/>
          </w:tcPr>
          <w:p w14:paraId="11A5438B" w14:textId="77777777" w:rsidR="00E51AF7" w:rsidRPr="008B029F" w:rsidRDefault="00E51AF7" w:rsidP="00681ADE">
            <w:pPr>
              <w:pStyle w:val="TableCenter"/>
              <w:rPr>
                <w:rFonts w:eastAsia="Times New Roman,Times New Roman"/>
                <w:lang w:val="en-AU"/>
              </w:rPr>
            </w:pPr>
            <w:r w:rsidRPr="008B029F">
              <w:rPr>
                <w:rFonts w:eastAsia="Times New Roman,Times New Roman"/>
                <w:lang w:val="en-AU"/>
              </w:rPr>
              <w:t>0.005</w:t>
            </w:r>
          </w:p>
        </w:tc>
      </w:tr>
      <w:tr w:rsidR="00E51AF7" w:rsidRPr="008B029F" w14:paraId="1AA0C39F" w14:textId="77777777" w:rsidTr="005030C7">
        <w:trPr>
          <w:cantSplit/>
        </w:trPr>
        <w:tc>
          <w:tcPr>
            <w:tcW w:w="5000" w:type="pct"/>
            <w:gridSpan w:val="3"/>
            <w:shd w:val="clear" w:color="auto" w:fill="auto"/>
          </w:tcPr>
          <w:p w14:paraId="4CDECE64" w14:textId="77777777" w:rsidR="00E51AF7" w:rsidRPr="008B029F" w:rsidRDefault="00E51AF7" w:rsidP="00681ADE">
            <w:pPr>
              <w:pStyle w:val="TableLeft"/>
              <w:rPr>
                <w:rFonts w:eastAsia="Times New Roman,Times New Roman"/>
                <w:b/>
                <w:bCs w:val="0"/>
                <w:lang w:val="en-AU"/>
              </w:rPr>
            </w:pPr>
            <w:r w:rsidRPr="008B029F">
              <w:rPr>
                <w:rFonts w:eastAsia="Times New Roman,Times New Roman"/>
                <w:b/>
                <w:bCs w:val="0"/>
                <w:lang w:val="en-AU"/>
              </w:rPr>
              <w:t>PFS</w:t>
            </w:r>
          </w:p>
        </w:tc>
      </w:tr>
      <w:tr w:rsidR="00E51AF7" w:rsidRPr="008B029F" w14:paraId="404D7D60" w14:textId="77777777" w:rsidTr="00C318B7">
        <w:trPr>
          <w:cantSplit/>
        </w:trPr>
        <w:tc>
          <w:tcPr>
            <w:tcW w:w="2132" w:type="pct"/>
            <w:shd w:val="clear" w:color="auto" w:fill="auto"/>
          </w:tcPr>
          <w:p w14:paraId="247D76D1" w14:textId="77777777" w:rsidR="00E51AF7" w:rsidRPr="008B029F" w:rsidRDefault="00E51AF7" w:rsidP="00681ADE">
            <w:pPr>
              <w:pStyle w:val="TableLeft"/>
              <w:rPr>
                <w:rFonts w:eastAsia="Times New Roman,Calibri"/>
                <w:lang w:val="en-AU"/>
              </w:rPr>
            </w:pPr>
            <w:r w:rsidRPr="008B029F">
              <w:rPr>
                <w:rFonts w:eastAsia="Times New Roman,Times New Roman"/>
                <w:lang w:val="en-AU"/>
              </w:rPr>
              <w:t>Number of events (%)</w:t>
            </w:r>
          </w:p>
        </w:tc>
        <w:tc>
          <w:tcPr>
            <w:tcW w:w="1472" w:type="pct"/>
            <w:shd w:val="clear" w:color="auto" w:fill="auto"/>
          </w:tcPr>
          <w:p w14:paraId="7C43F169" w14:textId="77777777" w:rsidR="00E51AF7" w:rsidRPr="008B029F" w:rsidRDefault="00E51AF7" w:rsidP="00681ADE">
            <w:pPr>
              <w:pStyle w:val="TableCenter"/>
              <w:rPr>
                <w:rFonts w:eastAsia="Calibri"/>
                <w:lang w:val="en-AU"/>
              </w:rPr>
            </w:pPr>
            <w:r w:rsidRPr="008B029F">
              <w:rPr>
                <w:lang w:val="en-AU"/>
              </w:rPr>
              <w:t>214 (45.0%)</w:t>
            </w:r>
          </w:p>
        </w:tc>
        <w:tc>
          <w:tcPr>
            <w:tcW w:w="1396" w:type="pct"/>
            <w:shd w:val="clear" w:color="auto" w:fill="auto"/>
          </w:tcPr>
          <w:p w14:paraId="55913FE8" w14:textId="77777777" w:rsidR="00E51AF7" w:rsidRPr="008B029F" w:rsidRDefault="00E51AF7" w:rsidP="00681ADE">
            <w:pPr>
              <w:pStyle w:val="TableCenter"/>
              <w:rPr>
                <w:rFonts w:eastAsia="Calibri"/>
                <w:lang w:val="en-AU"/>
              </w:rPr>
            </w:pPr>
            <w:r w:rsidRPr="008B029F">
              <w:rPr>
                <w:rFonts w:eastAsia="Calibri"/>
                <w:lang w:val="en-AU"/>
              </w:rPr>
              <w:t>157 (66.2%)</w:t>
            </w:r>
          </w:p>
        </w:tc>
      </w:tr>
      <w:tr w:rsidR="00E51AF7" w:rsidRPr="008B029F" w14:paraId="7281B75D" w14:textId="77777777" w:rsidTr="00C318B7">
        <w:trPr>
          <w:cantSplit/>
        </w:trPr>
        <w:tc>
          <w:tcPr>
            <w:tcW w:w="2132" w:type="pct"/>
            <w:shd w:val="clear" w:color="auto" w:fill="auto"/>
          </w:tcPr>
          <w:p w14:paraId="726322AE" w14:textId="6C335D8B" w:rsidR="00E51AF7" w:rsidRPr="008B029F" w:rsidRDefault="00E51AF7" w:rsidP="00C318B7">
            <w:pPr>
              <w:pStyle w:val="TableLeft"/>
              <w:rPr>
                <w:rFonts w:eastAsia="Times New Roman,Calibri"/>
                <w:lang w:val="en-AU"/>
              </w:rPr>
            </w:pPr>
            <w:r w:rsidRPr="008B029F">
              <w:rPr>
                <w:rFonts w:eastAsia="Times New Roman,Times New Roman"/>
                <w:b/>
                <w:lang w:val="en-AU"/>
              </w:rPr>
              <w:t>Median PFS (months) (95% CI)</w:t>
            </w:r>
          </w:p>
        </w:tc>
        <w:tc>
          <w:tcPr>
            <w:tcW w:w="1472" w:type="pct"/>
            <w:shd w:val="clear" w:color="auto" w:fill="auto"/>
          </w:tcPr>
          <w:p w14:paraId="1E870181" w14:textId="09988906" w:rsidR="00E51AF7" w:rsidRPr="008B029F" w:rsidRDefault="00E51AF7" w:rsidP="00C318B7">
            <w:pPr>
              <w:pStyle w:val="TableCenter"/>
              <w:rPr>
                <w:rFonts w:eastAsia="Calibri"/>
                <w:lang w:val="en-AU"/>
              </w:rPr>
            </w:pPr>
            <w:r w:rsidRPr="008B029F">
              <w:rPr>
                <w:rFonts w:eastAsia="Calibri"/>
                <w:lang w:val="en-AU"/>
              </w:rPr>
              <w:t xml:space="preserve">16.8 (13.0, 18.1) </w:t>
            </w:r>
          </w:p>
        </w:tc>
        <w:tc>
          <w:tcPr>
            <w:tcW w:w="1396" w:type="pct"/>
            <w:shd w:val="clear" w:color="auto" w:fill="auto"/>
          </w:tcPr>
          <w:p w14:paraId="1CEE06A5" w14:textId="3BCD5178" w:rsidR="00E51AF7" w:rsidRPr="008B029F" w:rsidRDefault="00E51AF7" w:rsidP="00C318B7">
            <w:pPr>
              <w:pStyle w:val="TableCenter"/>
              <w:rPr>
                <w:rFonts w:eastAsia="Calibri"/>
                <w:lang w:val="en-AU"/>
              </w:rPr>
            </w:pPr>
            <w:r w:rsidRPr="008B029F">
              <w:rPr>
                <w:rFonts w:eastAsia="Calibri"/>
                <w:lang w:val="en-AU"/>
              </w:rPr>
              <w:t>5.6 (4.6, 7.8)</w:t>
            </w:r>
          </w:p>
        </w:tc>
      </w:tr>
      <w:tr w:rsidR="00E51AF7" w:rsidRPr="008B029F" w14:paraId="3F859845" w14:textId="77777777" w:rsidTr="00C318B7">
        <w:trPr>
          <w:cantSplit/>
        </w:trPr>
        <w:tc>
          <w:tcPr>
            <w:tcW w:w="2132" w:type="pct"/>
            <w:shd w:val="clear" w:color="auto" w:fill="auto"/>
          </w:tcPr>
          <w:p w14:paraId="7564594D" w14:textId="4D87E5E1" w:rsidR="00E51AF7" w:rsidRPr="008B029F" w:rsidRDefault="00E51AF7" w:rsidP="00681ADE">
            <w:pPr>
              <w:pStyle w:val="TableLeft"/>
              <w:rPr>
                <w:rFonts w:eastAsia="Times New Roman,Times New Roman"/>
                <w:lang w:val="en-AU"/>
              </w:rPr>
            </w:pPr>
            <w:r w:rsidRPr="008B029F">
              <w:rPr>
                <w:rFonts w:eastAsia="Times New Roman,Times New Roman"/>
                <w:lang w:val="en-AU"/>
              </w:rPr>
              <w:t>HR (95% CI)</w:t>
            </w:r>
            <w:r w:rsidRPr="008B029F">
              <w:rPr>
                <w:rFonts w:eastAsia="Times New Roman,Calibri"/>
                <w:lang w:val="en-AU"/>
              </w:rPr>
              <w:t xml:space="preserve"> </w:t>
            </w:r>
          </w:p>
        </w:tc>
        <w:tc>
          <w:tcPr>
            <w:tcW w:w="2868" w:type="pct"/>
            <w:gridSpan w:val="2"/>
            <w:shd w:val="clear" w:color="auto" w:fill="auto"/>
          </w:tcPr>
          <w:p w14:paraId="25C2DC2E" w14:textId="77777777" w:rsidR="00E51AF7" w:rsidRPr="008B029F" w:rsidRDefault="00E51AF7" w:rsidP="00681ADE">
            <w:pPr>
              <w:pStyle w:val="TableCenter"/>
              <w:rPr>
                <w:rFonts w:eastAsia="Times New Roman,Times New Roman"/>
                <w:lang w:val="en-AU"/>
              </w:rPr>
            </w:pPr>
            <w:r w:rsidRPr="008B029F">
              <w:rPr>
                <w:rFonts w:eastAsia="Times New Roman,Times New Roman"/>
                <w:lang w:val="en-AU"/>
              </w:rPr>
              <w:t>0.52 (0.42, 0.65)</w:t>
            </w:r>
          </w:p>
        </w:tc>
      </w:tr>
      <w:tr w:rsidR="00E51AF7" w:rsidRPr="008B029F" w14:paraId="0A8246E3" w14:textId="77777777" w:rsidTr="00C318B7">
        <w:trPr>
          <w:cantSplit/>
        </w:trPr>
        <w:tc>
          <w:tcPr>
            <w:tcW w:w="2132" w:type="pct"/>
            <w:shd w:val="clear" w:color="auto" w:fill="auto"/>
          </w:tcPr>
          <w:p w14:paraId="032F5474" w14:textId="718AC738" w:rsidR="00E51AF7" w:rsidRPr="008B029F" w:rsidRDefault="00E51AF7" w:rsidP="00681ADE">
            <w:pPr>
              <w:pStyle w:val="TableLeft"/>
              <w:rPr>
                <w:rFonts w:eastAsia="Times New Roman,Times New Roman"/>
                <w:lang w:val="en-AU"/>
              </w:rPr>
            </w:pPr>
            <w:r w:rsidRPr="008B029F">
              <w:rPr>
                <w:rFonts w:eastAsia="Times New Roman,Times New Roman"/>
                <w:lang w:val="en-AU"/>
              </w:rPr>
              <w:t>p</w:t>
            </w:r>
            <w:r w:rsidRPr="008B029F">
              <w:rPr>
                <w:rFonts w:eastAsia="Times New Roman,Times New Roman"/>
                <w:lang w:val="en-AU"/>
              </w:rPr>
              <w:noBreakHyphen/>
              <w:t xml:space="preserve">value </w:t>
            </w:r>
          </w:p>
        </w:tc>
        <w:tc>
          <w:tcPr>
            <w:tcW w:w="2868" w:type="pct"/>
            <w:gridSpan w:val="2"/>
            <w:shd w:val="clear" w:color="auto" w:fill="auto"/>
          </w:tcPr>
          <w:p w14:paraId="49C7A142" w14:textId="77777777" w:rsidR="00E51AF7" w:rsidRPr="008B029F" w:rsidRDefault="00E51AF7" w:rsidP="00681ADE">
            <w:pPr>
              <w:pStyle w:val="TableCenter"/>
              <w:rPr>
                <w:rFonts w:eastAsia="Times New Roman,Times New Roman"/>
                <w:lang w:val="en-AU"/>
              </w:rPr>
            </w:pPr>
            <w:r w:rsidRPr="008B029F">
              <w:rPr>
                <w:rFonts w:eastAsia="Times New Roman,Times New Roman"/>
                <w:lang w:val="en-AU"/>
              </w:rPr>
              <w:t>p</w:t>
            </w:r>
            <w:r w:rsidRPr="008B029F">
              <w:rPr>
                <w:lang w:val="en-AU"/>
              </w:rPr>
              <w:t> </w:t>
            </w:r>
            <w:r w:rsidRPr="008B029F">
              <w:rPr>
                <w:rFonts w:eastAsia="Times New Roman,Times New Roman"/>
                <w:lang w:val="en-AU"/>
              </w:rPr>
              <w:t>&lt;</w:t>
            </w:r>
            <w:r w:rsidRPr="008B029F">
              <w:rPr>
                <w:lang w:val="en-AU"/>
              </w:rPr>
              <w:t> </w:t>
            </w:r>
            <w:r w:rsidRPr="008B029F">
              <w:rPr>
                <w:rFonts w:eastAsia="Times New Roman,Times New Roman"/>
                <w:lang w:val="en-AU"/>
              </w:rPr>
              <w:t>0.0001</w:t>
            </w:r>
          </w:p>
        </w:tc>
      </w:tr>
      <w:tr w:rsidR="00E51AF7" w:rsidRPr="008B029F" w14:paraId="1703AF97" w14:textId="77777777" w:rsidTr="00C318B7">
        <w:trPr>
          <w:cantSplit/>
        </w:trPr>
        <w:tc>
          <w:tcPr>
            <w:tcW w:w="2132" w:type="pct"/>
            <w:shd w:val="clear" w:color="auto" w:fill="auto"/>
          </w:tcPr>
          <w:p w14:paraId="102B18AB" w14:textId="7FE51A05" w:rsidR="00E51AF7" w:rsidRPr="008B029F" w:rsidRDefault="00E51AF7" w:rsidP="00C318B7">
            <w:pPr>
              <w:pStyle w:val="TableLeft"/>
              <w:rPr>
                <w:rFonts w:eastAsia="Times New Roman,Times New Roman"/>
                <w:lang w:val="en-AU"/>
              </w:rPr>
            </w:pPr>
            <w:r w:rsidRPr="008B029F">
              <w:rPr>
                <w:rFonts w:eastAsia="Times New Roman,Times New Roman"/>
                <w:b/>
                <w:lang w:val="en-AU"/>
              </w:rPr>
              <w:t>PFS at 12 months (%)</w:t>
            </w:r>
            <w:r w:rsidR="00C318B7" w:rsidRPr="008B029F">
              <w:rPr>
                <w:rFonts w:eastAsia="Times New Roman,Times New Roman"/>
                <w:b/>
                <w:lang w:val="en-AU"/>
              </w:rPr>
              <w:t xml:space="preserve"> </w:t>
            </w:r>
            <w:r w:rsidRPr="008B029F">
              <w:rPr>
                <w:rFonts w:eastAsia="Times New Roman,Times New Roman"/>
                <w:b/>
                <w:lang w:val="en-AU"/>
              </w:rPr>
              <w:t>(95% CI)</w:t>
            </w:r>
          </w:p>
        </w:tc>
        <w:tc>
          <w:tcPr>
            <w:tcW w:w="1472" w:type="pct"/>
            <w:shd w:val="clear" w:color="auto" w:fill="auto"/>
          </w:tcPr>
          <w:p w14:paraId="149C0AFD" w14:textId="6E801CE9" w:rsidR="00E51AF7" w:rsidRPr="008B029F" w:rsidRDefault="00E51AF7" w:rsidP="00C318B7">
            <w:pPr>
              <w:pStyle w:val="TableCenter"/>
              <w:rPr>
                <w:rFonts w:eastAsia="Times New Roman,Times New Roman"/>
                <w:lang w:val="en-AU"/>
              </w:rPr>
            </w:pPr>
            <w:r w:rsidRPr="008B029F">
              <w:rPr>
                <w:rFonts w:eastAsia="Times New Roman,Times New Roman"/>
                <w:lang w:val="en-AU"/>
              </w:rPr>
              <w:t>55.9%</w:t>
            </w:r>
            <w:r w:rsidR="00C318B7" w:rsidRPr="008B029F">
              <w:rPr>
                <w:rFonts w:eastAsia="Times New Roman,Times New Roman"/>
                <w:lang w:val="en-AU"/>
              </w:rPr>
              <w:t xml:space="preserve"> </w:t>
            </w:r>
            <w:r w:rsidRPr="008B029F">
              <w:rPr>
                <w:rFonts w:eastAsia="Calibri"/>
                <w:lang w:val="en-AU"/>
              </w:rPr>
              <w:t>(51.0%, 60.4%)</w:t>
            </w:r>
          </w:p>
        </w:tc>
        <w:tc>
          <w:tcPr>
            <w:tcW w:w="1396" w:type="pct"/>
            <w:shd w:val="clear" w:color="auto" w:fill="auto"/>
          </w:tcPr>
          <w:p w14:paraId="5798ABCD" w14:textId="4ECDAB9E" w:rsidR="00E51AF7" w:rsidRPr="008B029F" w:rsidRDefault="00E51AF7" w:rsidP="00C318B7">
            <w:pPr>
              <w:pStyle w:val="TableCenter"/>
              <w:rPr>
                <w:rFonts w:eastAsia="Times New Roman,Times New Roman"/>
                <w:lang w:val="en-AU"/>
              </w:rPr>
            </w:pPr>
            <w:r w:rsidRPr="008B029F">
              <w:rPr>
                <w:rFonts w:eastAsia="Times New Roman,Times New Roman"/>
                <w:lang w:val="en-AU"/>
              </w:rPr>
              <w:t>35.3%</w:t>
            </w:r>
            <w:r w:rsidR="00C318B7" w:rsidRPr="008B029F">
              <w:rPr>
                <w:rFonts w:eastAsia="Times New Roman,Times New Roman"/>
                <w:lang w:val="en-AU"/>
              </w:rPr>
              <w:t xml:space="preserve"> </w:t>
            </w:r>
            <w:r w:rsidRPr="008B029F">
              <w:rPr>
                <w:rFonts w:eastAsia="Calibri"/>
                <w:lang w:val="en-AU"/>
              </w:rPr>
              <w:t xml:space="preserve">(29.0%, 41.7%) </w:t>
            </w:r>
          </w:p>
        </w:tc>
      </w:tr>
      <w:tr w:rsidR="00E51AF7" w:rsidRPr="008B029F" w14:paraId="1A8CDFBD" w14:textId="77777777" w:rsidTr="00C318B7">
        <w:trPr>
          <w:cantSplit/>
        </w:trPr>
        <w:tc>
          <w:tcPr>
            <w:tcW w:w="2132" w:type="pct"/>
            <w:shd w:val="clear" w:color="auto" w:fill="auto"/>
          </w:tcPr>
          <w:p w14:paraId="13FF5134" w14:textId="2F27E372" w:rsidR="00E51AF7" w:rsidRPr="008B029F" w:rsidRDefault="00E51AF7" w:rsidP="00C318B7">
            <w:pPr>
              <w:pStyle w:val="TableLeft"/>
              <w:rPr>
                <w:rFonts w:eastAsia="Times New Roman,Times New Roman"/>
                <w:lang w:val="en-AU"/>
              </w:rPr>
            </w:pPr>
            <w:r w:rsidRPr="008B029F">
              <w:rPr>
                <w:rFonts w:eastAsia="Times New Roman,Times New Roman"/>
                <w:b/>
                <w:lang w:val="en-AU"/>
              </w:rPr>
              <w:t>PFS at 18 months (%)</w:t>
            </w:r>
            <w:r w:rsidR="00C318B7" w:rsidRPr="008B029F">
              <w:rPr>
                <w:rFonts w:eastAsia="Times New Roman,Times New Roman"/>
                <w:b/>
                <w:lang w:val="en-AU"/>
              </w:rPr>
              <w:t xml:space="preserve"> </w:t>
            </w:r>
            <w:r w:rsidRPr="008B029F">
              <w:rPr>
                <w:rFonts w:eastAsia="Times New Roman,Times New Roman"/>
                <w:b/>
                <w:lang w:val="en-AU"/>
              </w:rPr>
              <w:t>(95% CI)</w:t>
            </w:r>
          </w:p>
        </w:tc>
        <w:tc>
          <w:tcPr>
            <w:tcW w:w="1472" w:type="pct"/>
            <w:shd w:val="clear" w:color="auto" w:fill="auto"/>
          </w:tcPr>
          <w:p w14:paraId="203BE787" w14:textId="3A6D1367" w:rsidR="00E51AF7" w:rsidRPr="008B029F" w:rsidRDefault="00E51AF7" w:rsidP="00C318B7">
            <w:pPr>
              <w:pStyle w:val="TableCenter"/>
              <w:rPr>
                <w:rFonts w:eastAsia="Times New Roman,Times New Roman"/>
                <w:lang w:val="en-AU"/>
              </w:rPr>
            </w:pPr>
            <w:r w:rsidRPr="008B029F">
              <w:rPr>
                <w:rFonts w:eastAsia="Times New Roman,Times New Roman"/>
                <w:lang w:val="en-AU"/>
              </w:rPr>
              <w:t>44.2%</w:t>
            </w:r>
            <w:r w:rsidR="00C318B7" w:rsidRPr="008B029F">
              <w:rPr>
                <w:rFonts w:eastAsia="Times New Roman,Times New Roman"/>
                <w:lang w:val="en-AU"/>
              </w:rPr>
              <w:t xml:space="preserve"> </w:t>
            </w:r>
            <w:r w:rsidRPr="008B029F">
              <w:rPr>
                <w:rFonts w:eastAsia="Calibri"/>
                <w:lang w:val="en-AU"/>
              </w:rPr>
              <w:t>(37.7%, 50.5%)</w:t>
            </w:r>
          </w:p>
        </w:tc>
        <w:tc>
          <w:tcPr>
            <w:tcW w:w="1396" w:type="pct"/>
            <w:shd w:val="clear" w:color="auto" w:fill="auto"/>
          </w:tcPr>
          <w:p w14:paraId="3AF31582" w14:textId="372C7033" w:rsidR="00E51AF7" w:rsidRPr="008B029F" w:rsidRDefault="00E51AF7" w:rsidP="00C318B7">
            <w:pPr>
              <w:pStyle w:val="TableCenter"/>
              <w:rPr>
                <w:rFonts w:eastAsia="Times New Roman,Times New Roman"/>
                <w:lang w:val="en-AU"/>
              </w:rPr>
            </w:pPr>
            <w:r w:rsidRPr="008B029F">
              <w:rPr>
                <w:rFonts w:eastAsia="Times New Roman,Times New Roman"/>
                <w:lang w:val="en-AU"/>
              </w:rPr>
              <w:t>27.0</w:t>
            </w:r>
            <w:r w:rsidRPr="008B029F">
              <w:rPr>
                <w:rFonts w:eastAsia="Calibri"/>
                <w:lang w:val="en-AU"/>
              </w:rPr>
              <w:t>%</w:t>
            </w:r>
            <w:r w:rsidR="00C318B7" w:rsidRPr="008B029F">
              <w:rPr>
                <w:rFonts w:eastAsia="Calibri"/>
                <w:lang w:val="en-AU"/>
              </w:rPr>
              <w:t xml:space="preserve"> </w:t>
            </w:r>
            <w:r w:rsidRPr="008B029F">
              <w:rPr>
                <w:rFonts w:eastAsia="Calibri"/>
                <w:lang w:val="en-AU"/>
              </w:rPr>
              <w:t>(19.9%, 34.5%)</w:t>
            </w:r>
          </w:p>
        </w:tc>
      </w:tr>
      <w:tr w:rsidR="00E51AF7" w:rsidRPr="008B029F" w14:paraId="4DE409CE" w14:textId="77777777" w:rsidTr="005030C7">
        <w:trPr>
          <w:cantSplit/>
        </w:trPr>
        <w:tc>
          <w:tcPr>
            <w:tcW w:w="5000" w:type="pct"/>
            <w:gridSpan w:val="3"/>
            <w:shd w:val="clear" w:color="auto" w:fill="auto"/>
          </w:tcPr>
          <w:p w14:paraId="29702263" w14:textId="0C9371DB" w:rsidR="00E51AF7" w:rsidRPr="008B029F" w:rsidRDefault="00E51AF7" w:rsidP="00681ADE">
            <w:pPr>
              <w:pStyle w:val="TableLeft"/>
              <w:rPr>
                <w:rFonts w:eastAsia="Times New Roman,Times New Roman"/>
                <w:lang w:val="en-AU"/>
              </w:rPr>
            </w:pPr>
            <w:r w:rsidRPr="008B029F">
              <w:rPr>
                <w:rFonts w:eastAsia="Times New Roman,Times New Roman"/>
                <w:lang w:val="en-AU"/>
              </w:rPr>
              <w:t>PFS2</w:t>
            </w:r>
          </w:p>
        </w:tc>
      </w:tr>
      <w:tr w:rsidR="00E51AF7" w:rsidRPr="008B029F" w14:paraId="01AB8D4F" w14:textId="77777777" w:rsidTr="00C318B7">
        <w:trPr>
          <w:cantSplit/>
        </w:trPr>
        <w:tc>
          <w:tcPr>
            <w:tcW w:w="2132" w:type="pct"/>
            <w:shd w:val="clear" w:color="auto" w:fill="auto"/>
          </w:tcPr>
          <w:p w14:paraId="2FCF559E" w14:textId="28FAAA2E" w:rsidR="00E51AF7" w:rsidRPr="008B029F" w:rsidRDefault="00E51AF7" w:rsidP="00C318B7">
            <w:pPr>
              <w:pStyle w:val="TableLeft"/>
              <w:rPr>
                <w:rFonts w:eastAsia="Times New Roman,Times New Roman"/>
                <w:lang w:val="en-AU"/>
              </w:rPr>
            </w:pPr>
            <w:r w:rsidRPr="008B029F">
              <w:rPr>
                <w:rFonts w:eastAsia="Times New Roman,Times New Roman"/>
                <w:b/>
                <w:lang w:val="en-AU"/>
              </w:rPr>
              <w:t>Median PFS2</w:t>
            </w:r>
            <w:r w:rsidRPr="008B029F">
              <w:rPr>
                <w:rFonts w:eastAsia="Times New Roman,Times New Roman"/>
                <w:b/>
                <w:vertAlign w:val="superscript"/>
                <w:lang w:val="en-AU"/>
              </w:rPr>
              <w:t>b</w:t>
            </w:r>
            <w:r w:rsidRPr="008B029F">
              <w:rPr>
                <w:rFonts w:eastAsia="Times New Roman,Times New Roman"/>
                <w:b/>
                <w:lang w:val="en-AU"/>
              </w:rPr>
              <w:t xml:space="preserve"> (months)</w:t>
            </w:r>
            <w:r w:rsidR="00C318B7" w:rsidRPr="008B029F">
              <w:rPr>
                <w:rFonts w:eastAsia="Times New Roman,Times New Roman"/>
                <w:b/>
                <w:lang w:val="en-AU"/>
              </w:rPr>
              <w:t xml:space="preserve"> </w:t>
            </w:r>
            <w:r w:rsidRPr="008B029F">
              <w:rPr>
                <w:rFonts w:eastAsia="Times New Roman,Times New Roman"/>
                <w:b/>
                <w:lang w:val="en-AU"/>
              </w:rPr>
              <w:t>(95% CI)</w:t>
            </w:r>
          </w:p>
        </w:tc>
        <w:tc>
          <w:tcPr>
            <w:tcW w:w="1472" w:type="pct"/>
            <w:shd w:val="clear" w:color="auto" w:fill="auto"/>
          </w:tcPr>
          <w:p w14:paraId="683231E0" w14:textId="70DF1DE2" w:rsidR="00E51AF7" w:rsidRPr="008B029F" w:rsidRDefault="00E51AF7" w:rsidP="00C318B7">
            <w:pPr>
              <w:pStyle w:val="TableCenter"/>
              <w:rPr>
                <w:rFonts w:eastAsia="Times New Roman,Times New Roman"/>
                <w:lang w:val="en-AU"/>
              </w:rPr>
            </w:pPr>
            <w:r w:rsidRPr="008B029F">
              <w:rPr>
                <w:rFonts w:eastAsia="Times New Roman,Times New Roman"/>
                <w:lang w:val="en-AU"/>
              </w:rPr>
              <w:t>28.3</w:t>
            </w:r>
            <w:r w:rsidR="00C318B7" w:rsidRPr="008B029F">
              <w:rPr>
                <w:rFonts w:eastAsia="Times New Roman,Times New Roman"/>
                <w:lang w:val="en-AU"/>
              </w:rPr>
              <w:t xml:space="preserve"> </w:t>
            </w:r>
            <w:r w:rsidRPr="008B029F">
              <w:rPr>
                <w:rFonts w:eastAsia="Times New Roman,Times New Roman"/>
                <w:lang w:val="en-AU"/>
              </w:rPr>
              <w:t>(25.1, 34.7)</w:t>
            </w:r>
          </w:p>
        </w:tc>
        <w:tc>
          <w:tcPr>
            <w:tcW w:w="1396" w:type="pct"/>
            <w:shd w:val="clear" w:color="auto" w:fill="auto"/>
          </w:tcPr>
          <w:p w14:paraId="4F155D5D" w14:textId="6B59451E" w:rsidR="00E51AF7" w:rsidRPr="008B029F" w:rsidRDefault="00E51AF7" w:rsidP="00C318B7">
            <w:pPr>
              <w:pStyle w:val="TableCenter"/>
              <w:rPr>
                <w:rFonts w:eastAsia="Times New Roman,Times New Roman"/>
                <w:lang w:val="en-AU"/>
              </w:rPr>
            </w:pPr>
            <w:r w:rsidRPr="008B029F">
              <w:rPr>
                <w:rFonts w:eastAsia="Times New Roman,Times New Roman"/>
                <w:lang w:val="en-AU"/>
              </w:rPr>
              <w:t>17.1</w:t>
            </w:r>
            <w:r w:rsidR="00C318B7" w:rsidRPr="008B029F">
              <w:rPr>
                <w:rFonts w:eastAsia="Times New Roman,Times New Roman"/>
                <w:lang w:val="en-AU"/>
              </w:rPr>
              <w:t xml:space="preserve"> </w:t>
            </w:r>
            <w:r w:rsidRPr="008B029F">
              <w:rPr>
                <w:rFonts w:eastAsia="Times New Roman,Times New Roman"/>
                <w:lang w:val="en-AU"/>
              </w:rPr>
              <w:t>(14.5, 20.7)</w:t>
            </w:r>
          </w:p>
        </w:tc>
      </w:tr>
      <w:tr w:rsidR="00E51AF7" w:rsidRPr="008B029F" w14:paraId="58C9F155" w14:textId="77777777" w:rsidTr="00C318B7">
        <w:trPr>
          <w:cantSplit/>
        </w:trPr>
        <w:tc>
          <w:tcPr>
            <w:tcW w:w="2132" w:type="pct"/>
            <w:shd w:val="clear" w:color="auto" w:fill="auto"/>
          </w:tcPr>
          <w:p w14:paraId="2D58BEFB" w14:textId="77777777" w:rsidR="00E51AF7" w:rsidRPr="008B029F" w:rsidRDefault="00E51AF7" w:rsidP="00681ADE">
            <w:pPr>
              <w:pStyle w:val="TableLeft"/>
              <w:rPr>
                <w:rFonts w:eastAsia="Times New Roman,Times New Roman"/>
                <w:lang w:val="en-AU"/>
              </w:rPr>
            </w:pPr>
            <w:r w:rsidRPr="008B029F">
              <w:rPr>
                <w:rFonts w:eastAsia="Times New Roman,Times New Roman"/>
                <w:lang w:val="en-AU"/>
              </w:rPr>
              <w:t>HR (95% CI)</w:t>
            </w:r>
          </w:p>
        </w:tc>
        <w:tc>
          <w:tcPr>
            <w:tcW w:w="2868" w:type="pct"/>
            <w:gridSpan w:val="2"/>
            <w:shd w:val="clear" w:color="auto" w:fill="auto"/>
          </w:tcPr>
          <w:p w14:paraId="40A36E44" w14:textId="77777777" w:rsidR="00E51AF7" w:rsidRPr="008B029F" w:rsidRDefault="00E51AF7" w:rsidP="00681ADE">
            <w:pPr>
              <w:pStyle w:val="TableCenter"/>
              <w:rPr>
                <w:rFonts w:eastAsia="Times New Roman,Times New Roman"/>
                <w:lang w:val="en-AU"/>
              </w:rPr>
            </w:pPr>
            <w:r w:rsidRPr="008B029F">
              <w:rPr>
                <w:rFonts w:eastAsia="Times New Roman,Times New Roman"/>
                <w:lang w:val="en-AU"/>
              </w:rPr>
              <w:t>0.58 (0.46, 0.73)</w:t>
            </w:r>
          </w:p>
        </w:tc>
      </w:tr>
      <w:tr w:rsidR="00E51AF7" w:rsidRPr="008B029F" w14:paraId="3B993D27" w14:textId="77777777" w:rsidTr="00C318B7">
        <w:trPr>
          <w:cantSplit/>
        </w:trPr>
        <w:tc>
          <w:tcPr>
            <w:tcW w:w="2132" w:type="pct"/>
            <w:shd w:val="clear" w:color="auto" w:fill="auto"/>
          </w:tcPr>
          <w:p w14:paraId="563C206C" w14:textId="77777777" w:rsidR="00E51AF7" w:rsidRPr="008B029F" w:rsidRDefault="00E51AF7" w:rsidP="00681ADE">
            <w:pPr>
              <w:pStyle w:val="TableLeft"/>
              <w:rPr>
                <w:rFonts w:eastAsia="Times New Roman,Times New Roman"/>
                <w:lang w:val="en-AU"/>
              </w:rPr>
            </w:pPr>
            <w:r w:rsidRPr="008B029F">
              <w:rPr>
                <w:rFonts w:eastAsia="Times New Roman,Times New Roman"/>
                <w:lang w:val="en-AU"/>
              </w:rPr>
              <w:t>p-value</w:t>
            </w:r>
          </w:p>
        </w:tc>
        <w:tc>
          <w:tcPr>
            <w:tcW w:w="2868" w:type="pct"/>
            <w:gridSpan w:val="2"/>
            <w:shd w:val="clear" w:color="auto" w:fill="auto"/>
          </w:tcPr>
          <w:p w14:paraId="5BB4A134" w14:textId="77777777" w:rsidR="00E51AF7" w:rsidRPr="008B029F" w:rsidRDefault="00E51AF7" w:rsidP="00681ADE">
            <w:pPr>
              <w:pStyle w:val="TableCenter"/>
              <w:rPr>
                <w:rFonts w:eastAsia="Times New Roman,Times New Roman"/>
                <w:lang w:val="en-AU"/>
              </w:rPr>
            </w:pPr>
            <w:r w:rsidRPr="008B029F">
              <w:rPr>
                <w:rFonts w:eastAsia="Times New Roman,Times New Roman"/>
                <w:lang w:val="en-AU"/>
              </w:rPr>
              <w:t>p</w:t>
            </w:r>
            <w:r w:rsidRPr="008B029F">
              <w:rPr>
                <w:lang w:val="en-AU"/>
              </w:rPr>
              <w:t> </w:t>
            </w:r>
            <w:r w:rsidRPr="008B029F">
              <w:rPr>
                <w:rFonts w:eastAsia="Times New Roman,Times New Roman"/>
                <w:lang w:val="en-AU"/>
              </w:rPr>
              <w:t>&lt;</w:t>
            </w:r>
            <w:r w:rsidRPr="008B029F">
              <w:rPr>
                <w:lang w:val="en-AU"/>
              </w:rPr>
              <w:t> </w:t>
            </w:r>
            <w:r w:rsidRPr="008B029F">
              <w:rPr>
                <w:rFonts w:eastAsia="Times New Roman,Times New Roman"/>
                <w:lang w:val="en-AU"/>
              </w:rPr>
              <w:t>0.0001</w:t>
            </w:r>
          </w:p>
        </w:tc>
      </w:tr>
    </w:tbl>
    <w:p w14:paraId="00CBE547" w14:textId="2BAF4765" w:rsidR="00E51AF7" w:rsidRPr="008B029F" w:rsidRDefault="00E51AF7" w:rsidP="005D4A03">
      <w:pPr>
        <w:pStyle w:val="TableFootnoteLetter"/>
        <w:numPr>
          <w:ilvl w:val="0"/>
          <w:numId w:val="44"/>
        </w:numPr>
        <w:rPr>
          <w:lang w:val="en-AU"/>
        </w:rPr>
      </w:pPr>
      <w:bookmarkStart w:id="47" w:name="_Hlk518563600"/>
      <w:r w:rsidRPr="008B029F">
        <w:rPr>
          <w:lang w:val="en-AU"/>
        </w:rPr>
        <w:t>The analysis of OS was performed approximately 13 months after the primary analysis of PFS</w:t>
      </w:r>
      <w:bookmarkEnd w:id="47"/>
      <w:r w:rsidRPr="008B029F">
        <w:rPr>
          <w:lang w:val="en-AU"/>
        </w:rPr>
        <w:t>.</w:t>
      </w:r>
    </w:p>
    <w:p w14:paraId="11CA96A9" w14:textId="77777777" w:rsidR="00C70C98" w:rsidRPr="008B029F" w:rsidRDefault="00E51AF7" w:rsidP="00C70C98">
      <w:pPr>
        <w:pStyle w:val="TableFootnoteLetter"/>
        <w:rPr>
          <w:lang w:val="en-AU"/>
        </w:rPr>
      </w:pPr>
      <w:r w:rsidRPr="008B029F">
        <w:rPr>
          <w:lang w:val="en-AU"/>
        </w:rPr>
        <w:t>PFS2 is defined as the time from the date of randomisation until the date of second progression (defined by local</w:t>
      </w:r>
      <w:r w:rsidR="005030C7" w:rsidRPr="008B029F">
        <w:rPr>
          <w:lang w:val="en-AU"/>
        </w:rPr>
        <w:t xml:space="preserve"> </w:t>
      </w:r>
      <w:r w:rsidRPr="008B029F">
        <w:rPr>
          <w:lang w:val="en-AU"/>
        </w:rPr>
        <w:t>standard clinical practice) or death.</w:t>
      </w:r>
    </w:p>
    <w:p w14:paraId="6AC0A677" w14:textId="36C63056" w:rsidR="00E51AF7" w:rsidRPr="008B029F" w:rsidRDefault="00E51AF7" w:rsidP="00C70C98">
      <w:pPr>
        <w:pStyle w:val="TableFootnoteLetter"/>
        <w:numPr>
          <w:ilvl w:val="0"/>
          <w:numId w:val="0"/>
        </w:numPr>
        <w:ind w:left="425"/>
        <w:rPr>
          <w:lang w:val="en-AU"/>
        </w:rPr>
      </w:pPr>
      <w:r w:rsidRPr="008B029F">
        <w:rPr>
          <w:lang w:val="en-AU"/>
        </w:rPr>
        <w:t>NR: Not Reached</w:t>
      </w:r>
    </w:p>
    <w:p w14:paraId="6C391F97" w14:textId="77777777" w:rsidR="00500E3C" w:rsidRPr="008B029F" w:rsidRDefault="00500E3C" w:rsidP="00B37B61">
      <w:pPr>
        <w:pStyle w:val="Paragraph"/>
        <w:rPr>
          <w:lang w:val="en-AU"/>
        </w:rPr>
      </w:pPr>
    </w:p>
    <w:p w14:paraId="01BDC7DF" w14:textId="07FEC4A5" w:rsidR="005030C7" w:rsidRPr="008B029F" w:rsidRDefault="005030C7" w:rsidP="005030C7">
      <w:pPr>
        <w:pStyle w:val="FigureTitle"/>
        <w:rPr>
          <w:lang w:val="en-AU"/>
        </w:rPr>
      </w:pPr>
      <w:bookmarkStart w:id="48" w:name="_Ref57379701"/>
      <w:r w:rsidRPr="008B029F">
        <w:rPr>
          <w:lang w:val="en-AU"/>
        </w:rPr>
        <w:lastRenderedPageBreak/>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1</w:t>
      </w:r>
      <w:r w:rsidRPr="008B029F">
        <w:rPr>
          <w:color w:val="2B579A"/>
          <w:shd w:val="clear" w:color="auto" w:fill="E6E6E6"/>
          <w:lang w:val="en-AU"/>
        </w:rPr>
        <w:fldChar w:fldCharType="end"/>
      </w:r>
      <w:bookmarkEnd w:id="48"/>
      <w:r w:rsidRPr="008B029F">
        <w:rPr>
          <w:lang w:val="en-AU"/>
        </w:rPr>
        <w:tab/>
        <w:t>Kaplan-Meier curve of OS (PACIFIC study)</w:t>
      </w:r>
    </w:p>
    <w:p w14:paraId="11372CC0" w14:textId="1B4002F2" w:rsidR="001C55A4" w:rsidRPr="008B029F" w:rsidRDefault="00684519" w:rsidP="00387635">
      <w:pPr>
        <w:pStyle w:val="Paragraph"/>
        <w:rPr>
          <w:rFonts w:cs="Arial"/>
          <w:b/>
          <w:bCs/>
          <w:iCs/>
          <w:szCs w:val="26"/>
          <w:lang w:val="en-AU"/>
        </w:rPr>
      </w:pPr>
      <w:r w:rsidRPr="008B029F">
        <w:rPr>
          <w:noProof/>
          <w:color w:val="2B579A"/>
          <w:shd w:val="clear" w:color="auto" w:fill="E6E6E6"/>
          <w:lang w:val="en-AU" w:eastAsia="en-AU"/>
        </w:rPr>
        <mc:AlternateContent>
          <mc:Choice Requires="wps">
            <w:drawing>
              <wp:anchor distT="45720" distB="45720" distL="114300" distR="114300" simplePos="0" relativeHeight="251658243" behindDoc="0" locked="0" layoutInCell="1" allowOverlap="1" wp14:anchorId="7FB4ED17" wp14:editId="0391D65F">
                <wp:simplePos x="0" y="0"/>
                <wp:positionH relativeFrom="margin">
                  <wp:posOffset>3283585</wp:posOffset>
                </wp:positionH>
                <wp:positionV relativeFrom="paragraph">
                  <wp:posOffset>6096</wp:posOffset>
                </wp:positionV>
                <wp:extent cx="2459181" cy="755073"/>
                <wp:effectExtent l="0" t="0" r="17780" b="260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181" cy="755073"/>
                        </a:xfrm>
                        <a:prstGeom prst="rect">
                          <a:avLst/>
                        </a:prstGeom>
                        <a:noFill/>
                        <a:ln w="9525">
                          <a:solidFill>
                            <a:srgbClr val="000000"/>
                          </a:solidFill>
                          <a:miter lim="800000"/>
                          <a:headEnd/>
                          <a:tailEnd/>
                        </a:ln>
                      </wps:spPr>
                      <wps:txbx>
                        <w:txbxContent>
                          <w:p w14:paraId="4F004828" w14:textId="77777777" w:rsidR="00B37054" w:rsidRPr="004F7532" w:rsidRDefault="00B37054" w:rsidP="00E00EE9">
                            <w:pPr>
                              <w:tabs>
                                <w:tab w:val="left" w:pos="567"/>
                              </w:tabs>
                              <w:spacing w:after="0" w:line="260" w:lineRule="exact"/>
                              <w:rPr>
                                <w:sz w:val="16"/>
                                <w:szCs w:val="16"/>
                              </w:rPr>
                            </w:pPr>
                            <w:r>
                              <w:rPr>
                                <w:sz w:val="16"/>
                                <w:szCs w:val="16"/>
                              </w:rPr>
                              <w:tab/>
                            </w:r>
                            <w:r>
                              <w:rPr>
                                <w:sz w:val="16"/>
                                <w:szCs w:val="16"/>
                              </w:rPr>
                              <w:tab/>
                            </w:r>
                            <w:r>
                              <w:rPr>
                                <w:sz w:val="16"/>
                                <w:szCs w:val="16"/>
                              </w:rPr>
                              <w:tab/>
                            </w:r>
                            <w:r>
                              <w:rPr>
                                <w:sz w:val="16"/>
                                <w:szCs w:val="16"/>
                              </w:rPr>
                              <w:tab/>
                            </w:r>
                            <w:r w:rsidRPr="004F7532">
                              <w:rPr>
                                <w:sz w:val="16"/>
                                <w:szCs w:val="16"/>
                              </w:rPr>
                              <w:t xml:space="preserve">Median </w:t>
                            </w:r>
                            <w:r>
                              <w:rPr>
                                <w:sz w:val="16"/>
                                <w:szCs w:val="16"/>
                              </w:rPr>
                              <w:t>OS</w:t>
                            </w:r>
                            <w:r w:rsidRPr="004F7532">
                              <w:rPr>
                                <w:sz w:val="16"/>
                                <w:szCs w:val="16"/>
                              </w:rPr>
                              <w:t xml:space="preserve"> (95% CI)</w:t>
                            </w:r>
                          </w:p>
                          <w:p w14:paraId="58DD0D42" w14:textId="77777777" w:rsidR="00B37054" w:rsidRPr="004F7532" w:rsidRDefault="00B37054" w:rsidP="00E00EE9">
                            <w:pPr>
                              <w:tabs>
                                <w:tab w:val="left" w:pos="567"/>
                              </w:tabs>
                              <w:spacing w:after="0" w:line="260" w:lineRule="exact"/>
                              <w:rPr>
                                <w:sz w:val="16"/>
                                <w:szCs w:val="16"/>
                              </w:rPr>
                            </w:pPr>
                            <w:r w:rsidRPr="004F7532">
                              <w:rPr>
                                <w:sz w:val="16"/>
                                <w:szCs w:val="16"/>
                              </w:rPr>
                              <w:t xml:space="preserve">     </w:t>
                            </w:r>
                            <w:r>
                              <w:rPr>
                                <w:sz w:val="16"/>
                                <w:szCs w:val="16"/>
                              </w:rPr>
                              <w:t xml:space="preserve">     </w:t>
                            </w:r>
                            <w:r w:rsidRPr="004F7532">
                              <w:rPr>
                                <w:sz w:val="16"/>
                                <w:szCs w:val="16"/>
                              </w:rPr>
                              <w:t xml:space="preserve">   </w:t>
                            </w:r>
                            <w:r>
                              <w:rPr>
                                <w:sz w:val="16"/>
                                <w:szCs w:val="16"/>
                              </w:rPr>
                              <w:t>IMFINZI</w:t>
                            </w:r>
                            <w:r w:rsidRPr="004F7532">
                              <w:rPr>
                                <w:sz w:val="16"/>
                                <w:szCs w:val="16"/>
                              </w:rPr>
                              <w:tab/>
                              <w:t xml:space="preserve">    </w:t>
                            </w:r>
                            <w:r w:rsidRPr="004F7532">
                              <w:rPr>
                                <w:sz w:val="16"/>
                                <w:szCs w:val="16"/>
                              </w:rPr>
                              <w:tab/>
                              <w:t xml:space="preserve">     </w:t>
                            </w:r>
                            <w:r>
                              <w:rPr>
                                <w:sz w:val="16"/>
                                <w:szCs w:val="16"/>
                              </w:rPr>
                              <w:t>NR</w:t>
                            </w:r>
                            <w:r w:rsidRPr="004F7532">
                              <w:rPr>
                                <w:sz w:val="16"/>
                                <w:szCs w:val="16"/>
                              </w:rPr>
                              <w:t xml:space="preserve"> (</w:t>
                            </w:r>
                            <w:r>
                              <w:rPr>
                                <w:sz w:val="16"/>
                                <w:szCs w:val="16"/>
                              </w:rPr>
                              <w:t>34.7, NR</w:t>
                            </w:r>
                            <w:r w:rsidRPr="004F7532">
                              <w:rPr>
                                <w:sz w:val="16"/>
                                <w:szCs w:val="16"/>
                              </w:rPr>
                              <w:t>)</w:t>
                            </w:r>
                          </w:p>
                          <w:p w14:paraId="335277F1" w14:textId="77777777" w:rsidR="00B37054" w:rsidRPr="004F7532" w:rsidRDefault="00B37054" w:rsidP="00E00EE9">
                            <w:pPr>
                              <w:tabs>
                                <w:tab w:val="left" w:pos="567"/>
                              </w:tabs>
                              <w:spacing w:after="0" w:line="260" w:lineRule="exact"/>
                              <w:rPr>
                                <w:sz w:val="16"/>
                                <w:szCs w:val="16"/>
                              </w:rPr>
                            </w:pPr>
                            <w:r w:rsidRPr="004F7532">
                              <w:rPr>
                                <w:sz w:val="16"/>
                                <w:szCs w:val="16"/>
                              </w:rPr>
                              <w:tab/>
                              <w:t xml:space="preserve">Placebo </w:t>
                            </w:r>
                            <w:r w:rsidRPr="004F7532">
                              <w:rPr>
                                <w:sz w:val="16"/>
                                <w:szCs w:val="16"/>
                              </w:rPr>
                              <w:tab/>
                            </w:r>
                            <w:r w:rsidRPr="004F7532">
                              <w:rPr>
                                <w:sz w:val="16"/>
                                <w:szCs w:val="16"/>
                              </w:rPr>
                              <w:tab/>
                              <w:t xml:space="preserve">       </w:t>
                            </w:r>
                            <w:r>
                              <w:rPr>
                                <w:sz w:val="16"/>
                                <w:szCs w:val="16"/>
                              </w:rPr>
                              <w:t>28.7</w:t>
                            </w:r>
                            <w:r w:rsidRPr="004F7532">
                              <w:rPr>
                                <w:sz w:val="16"/>
                                <w:szCs w:val="16"/>
                              </w:rPr>
                              <w:t xml:space="preserve"> (</w:t>
                            </w:r>
                            <w:r>
                              <w:rPr>
                                <w:sz w:val="16"/>
                                <w:szCs w:val="16"/>
                              </w:rPr>
                              <w:t>22.9, NR</w:t>
                            </w:r>
                            <w:r w:rsidRPr="004F7532">
                              <w:rPr>
                                <w:sz w:val="16"/>
                                <w:szCs w:val="16"/>
                              </w:rPr>
                              <w:t xml:space="preserve">) </w:t>
                            </w:r>
                          </w:p>
                          <w:p w14:paraId="7DD01FA7" w14:textId="77777777" w:rsidR="00B37054" w:rsidRPr="004F7532" w:rsidRDefault="00B37054" w:rsidP="00E00EE9">
                            <w:pPr>
                              <w:tabs>
                                <w:tab w:val="left" w:pos="567"/>
                              </w:tabs>
                              <w:spacing w:after="0" w:line="260" w:lineRule="exact"/>
                              <w:rPr>
                                <w:sz w:val="16"/>
                                <w:szCs w:val="16"/>
                              </w:rPr>
                            </w:pPr>
                            <w:r w:rsidRPr="004F7532">
                              <w:rPr>
                                <w:sz w:val="16"/>
                                <w:szCs w:val="16"/>
                              </w:rPr>
                              <w:t>Hazard ratio (95% CI):</w:t>
                            </w:r>
                            <w:r w:rsidRPr="004F7532">
                              <w:rPr>
                                <w:sz w:val="16"/>
                                <w:szCs w:val="16"/>
                              </w:rPr>
                              <w:tab/>
                              <w:t xml:space="preserve">     0.</w:t>
                            </w:r>
                            <w:r>
                              <w:rPr>
                                <w:sz w:val="16"/>
                                <w:szCs w:val="16"/>
                              </w:rPr>
                              <w:t>68</w:t>
                            </w:r>
                            <w:r w:rsidRPr="004F7532">
                              <w:rPr>
                                <w:sz w:val="16"/>
                                <w:szCs w:val="16"/>
                              </w:rPr>
                              <w:t xml:space="preserve"> (0.</w:t>
                            </w:r>
                            <w:r>
                              <w:rPr>
                                <w:sz w:val="16"/>
                                <w:szCs w:val="16"/>
                              </w:rPr>
                              <w:t>53</w:t>
                            </w:r>
                            <w:r w:rsidRPr="004F7532">
                              <w:rPr>
                                <w:sz w:val="16"/>
                                <w:szCs w:val="16"/>
                              </w:rPr>
                              <w:t>, 0.</w:t>
                            </w:r>
                            <w:r>
                              <w:rPr>
                                <w:sz w:val="16"/>
                                <w:szCs w:val="16"/>
                              </w:rPr>
                              <w:t>87</w:t>
                            </w:r>
                            <w:r w:rsidRPr="004F7532">
                              <w:rPr>
                                <w:sz w:val="16"/>
                                <w:szCs w:val="16"/>
                              </w:rPr>
                              <w:t>)</w:t>
                            </w:r>
                          </w:p>
                          <w:p w14:paraId="345B5855" w14:textId="77777777" w:rsidR="00B37054" w:rsidRDefault="00B37054" w:rsidP="00E00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4ED17" id="Text Box 11" o:spid="_x0000_s1027" type="#_x0000_t202" style="position:absolute;margin-left:258.55pt;margin-top:.5pt;width:193.65pt;height:59.4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" filled="f">
                <v:textbox>
                  <w:txbxContent>
                    <w:p w14:paraId="4F004828" w14:textId="77777777" w:rsidR="00B37054" w:rsidRPr="004F7532" w:rsidRDefault="00B37054" w:rsidP="00E00EE9">
                      <w:pPr>
                        <w:tabs>
                          <w:tab w:val="left" w:pos="567"/>
                        </w:tabs>
                        <w:spacing w:after="0" w:line="260" w:lineRule="exact"/>
                        <w:rPr>
                          <w:sz w:val="16"/>
                          <w:szCs w:val="16"/>
                        </w:rPr>
                      </w:pPr>
                      <w:r>
                        <w:rPr>
                          <w:sz w:val="16"/>
                          <w:szCs w:val="16"/>
                        </w:rPr>
                        <w:tab/>
                      </w:r>
                      <w:r>
                        <w:rPr>
                          <w:sz w:val="16"/>
                          <w:szCs w:val="16"/>
                        </w:rPr>
                        <w:tab/>
                      </w:r>
                      <w:r>
                        <w:rPr>
                          <w:sz w:val="16"/>
                          <w:szCs w:val="16"/>
                        </w:rPr>
                        <w:tab/>
                      </w:r>
                      <w:r>
                        <w:rPr>
                          <w:sz w:val="16"/>
                          <w:szCs w:val="16"/>
                        </w:rPr>
                        <w:tab/>
                      </w:r>
                      <w:r w:rsidRPr="004F7532">
                        <w:rPr>
                          <w:sz w:val="16"/>
                          <w:szCs w:val="16"/>
                        </w:rPr>
                        <w:t xml:space="preserve">Median </w:t>
                      </w:r>
                      <w:r>
                        <w:rPr>
                          <w:sz w:val="16"/>
                          <w:szCs w:val="16"/>
                        </w:rPr>
                        <w:t>OS</w:t>
                      </w:r>
                      <w:r w:rsidRPr="004F7532">
                        <w:rPr>
                          <w:sz w:val="16"/>
                          <w:szCs w:val="16"/>
                        </w:rPr>
                        <w:t xml:space="preserve"> (95% CI)</w:t>
                      </w:r>
                    </w:p>
                    <w:p w14:paraId="58DD0D42" w14:textId="77777777" w:rsidR="00B37054" w:rsidRPr="004F7532" w:rsidRDefault="00B37054" w:rsidP="00E00EE9">
                      <w:pPr>
                        <w:tabs>
                          <w:tab w:val="left" w:pos="567"/>
                        </w:tabs>
                        <w:spacing w:after="0" w:line="260" w:lineRule="exact"/>
                        <w:rPr>
                          <w:sz w:val="16"/>
                          <w:szCs w:val="16"/>
                        </w:rPr>
                      </w:pPr>
                      <w:r w:rsidRPr="004F7532">
                        <w:rPr>
                          <w:sz w:val="16"/>
                          <w:szCs w:val="16"/>
                        </w:rPr>
                        <w:t xml:space="preserve">     </w:t>
                      </w:r>
                      <w:r>
                        <w:rPr>
                          <w:sz w:val="16"/>
                          <w:szCs w:val="16"/>
                        </w:rPr>
                        <w:t xml:space="preserve">     </w:t>
                      </w:r>
                      <w:r w:rsidRPr="004F7532">
                        <w:rPr>
                          <w:sz w:val="16"/>
                          <w:szCs w:val="16"/>
                        </w:rPr>
                        <w:t xml:space="preserve">   </w:t>
                      </w:r>
                      <w:r>
                        <w:rPr>
                          <w:sz w:val="16"/>
                          <w:szCs w:val="16"/>
                        </w:rPr>
                        <w:t>IMFINZI</w:t>
                      </w:r>
                      <w:r w:rsidRPr="004F7532">
                        <w:rPr>
                          <w:sz w:val="16"/>
                          <w:szCs w:val="16"/>
                        </w:rPr>
                        <w:tab/>
                        <w:t xml:space="preserve">    </w:t>
                      </w:r>
                      <w:r w:rsidRPr="004F7532">
                        <w:rPr>
                          <w:sz w:val="16"/>
                          <w:szCs w:val="16"/>
                        </w:rPr>
                        <w:tab/>
                        <w:t xml:space="preserve">     </w:t>
                      </w:r>
                      <w:r>
                        <w:rPr>
                          <w:sz w:val="16"/>
                          <w:szCs w:val="16"/>
                        </w:rPr>
                        <w:t>NR</w:t>
                      </w:r>
                      <w:r w:rsidRPr="004F7532">
                        <w:rPr>
                          <w:sz w:val="16"/>
                          <w:szCs w:val="16"/>
                        </w:rPr>
                        <w:t xml:space="preserve"> (</w:t>
                      </w:r>
                      <w:r>
                        <w:rPr>
                          <w:sz w:val="16"/>
                          <w:szCs w:val="16"/>
                        </w:rPr>
                        <w:t>34.7, NR</w:t>
                      </w:r>
                      <w:r w:rsidRPr="004F7532">
                        <w:rPr>
                          <w:sz w:val="16"/>
                          <w:szCs w:val="16"/>
                        </w:rPr>
                        <w:t>)</w:t>
                      </w:r>
                    </w:p>
                    <w:p w14:paraId="335277F1" w14:textId="77777777" w:rsidR="00B37054" w:rsidRPr="004F7532" w:rsidRDefault="00B37054" w:rsidP="00E00EE9">
                      <w:pPr>
                        <w:tabs>
                          <w:tab w:val="left" w:pos="567"/>
                        </w:tabs>
                        <w:spacing w:after="0" w:line="260" w:lineRule="exact"/>
                        <w:rPr>
                          <w:sz w:val="16"/>
                          <w:szCs w:val="16"/>
                        </w:rPr>
                      </w:pPr>
                      <w:r w:rsidRPr="004F7532">
                        <w:rPr>
                          <w:sz w:val="16"/>
                          <w:szCs w:val="16"/>
                        </w:rPr>
                        <w:tab/>
                        <w:t xml:space="preserve">Placebo </w:t>
                      </w:r>
                      <w:r w:rsidRPr="004F7532">
                        <w:rPr>
                          <w:sz w:val="16"/>
                          <w:szCs w:val="16"/>
                        </w:rPr>
                        <w:tab/>
                      </w:r>
                      <w:r w:rsidRPr="004F7532">
                        <w:rPr>
                          <w:sz w:val="16"/>
                          <w:szCs w:val="16"/>
                        </w:rPr>
                        <w:tab/>
                        <w:t xml:space="preserve">       </w:t>
                      </w:r>
                      <w:r>
                        <w:rPr>
                          <w:sz w:val="16"/>
                          <w:szCs w:val="16"/>
                        </w:rPr>
                        <w:t>28.7</w:t>
                      </w:r>
                      <w:r w:rsidRPr="004F7532">
                        <w:rPr>
                          <w:sz w:val="16"/>
                          <w:szCs w:val="16"/>
                        </w:rPr>
                        <w:t xml:space="preserve"> (</w:t>
                      </w:r>
                      <w:r>
                        <w:rPr>
                          <w:sz w:val="16"/>
                          <w:szCs w:val="16"/>
                        </w:rPr>
                        <w:t>22.9, NR</w:t>
                      </w:r>
                      <w:r w:rsidRPr="004F7532">
                        <w:rPr>
                          <w:sz w:val="16"/>
                          <w:szCs w:val="16"/>
                        </w:rPr>
                        <w:t xml:space="preserve">) </w:t>
                      </w:r>
                    </w:p>
                    <w:p w14:paraId="7DD01FA7" w14:textId="77777777" w:rsidR="00B37054" w:rsidRPr="004F7532" w:rsidRDefault="00B37054" w:rsidP="00E00EE9">
                      <w:pPr>
                        <w:tabs>
                          <w:tab w:val="left" w:pos="567"/>
                        </w:tabs>
                        <w:spacing w:after="0" w:line="260" w:lineRule="exact"/>
                        <w:rPr>
                          <w:sz w:val="16"/>
                          <w:szCs w:val="16"/>
                        </w:rPr>
                      </w:pPr>
                      <w:r w:rsidRPr="004F7532">
                        <w:rPr>
                          <w:sz w:val="16"/>
                          <w:szCs w:val="16"/>
                        </w:rPr>
                        <w:t>Hazard ratio (95% CI):</w:t>
                      </w:r>
                      <w:r w:rsidRPr="004F7532">
                        <w:rPr>
                          <w:sz w:val="16"/>
                          <w:szCs w:val="16"/>
                        </w:rPr>
                        <w:tab/>
                        <w:t xml:space="preserve">     0.</w:t>
                      </w:r>
                      <w:r>
                        <w:rPr>
                          <w:sz w:val="16"/>
                          <w:szCs w:val="16"/>
                        </w:rPr>
                        <w:t>68</w:t>
                      </w:r>
                      <w:r w:rsidRPr="004F7532">
                        <w:rPr>
                          <w:sz w:val="16"/>
                          <w:szCs w:val="16"/>
                        </w:rPr>
                        <w:t xml:space="preserve"> (0.</w:t>
                      </w:r>
                      <w:r>
                        <w:rPr>
                          <w:sz w:val="16"/>
                          <w:szCs w:val="16"/>
                        </w:rPr>
                        <w:t>53</w:t>
                      </w:r>
                      <w:r w:rsidRPr="004F7532">
                        <w:rPr>
                          <w:sz w:val="16"/>
                          <w:szCs w:val="16"/>
                        </w:rPr>
                        <w:t>, 0.</w:t>
                      </w:r>
                      <w:r>
                        <w:rPr>
                          <w:sz w:val="16"/>
                          <w:szCs w:val="16"/>
                        </w:rPr>
                        <w:t>87</w:t>
                      </w:r>
                      <w:r w:rsidRPr="004F7532">
                        <w:rPr>
                          <w:sz w:val="16"/>
                          <w:szCs w:val="16"/>
                        </w:rPr>
                        <w:t>)</w:t>
                      </w:r>
                    </w:p>
                    <w:p w14:paraId="345B5855" w14:textId="77777777" w:rsidR="00B37054" w:rsidRDefault="00B37054" w:rsidP="00E00EE9"/>
                  </w:txbxContent>
                </v:textbox>
                <w10:wrap anchorx="margin"/>
              </v:shape>
            </w:pict>
          </mc:Fallback>
        </mc:AlternateContent>
      </w:r>
      <w:r w:rsidR="00FD7D8A" w:rsidRPr="008B029F">
        <w:rPr>
          <w:noProof/>
          <w:color w:val="2B579A"/>
          <w:shd w:val="clear" w:color="auto" w:fill="E6E6E6"/>
          <w:lang w:val="en-AU" w:eastAsia="en-AU"/>
        </w:rPr>
        <mc:AlternateContent>
          <mc:Choice Requires="wps">
            <w:drawing>
              <wp:anchor distT="45720" distB="45720" distL="114300" distR="114300" simplePos="0" relativeHeight="251658245" behindDoc="0" locked="0" layoutInCell="1" allowOverlap="1" wp14:anchorId="7372DB7D" wp14:editId="62811664">
                <wp:simplePos x="0" y="0"/>
                <wp:positionH relativeFrom="leftMargin">
                  <wp:posOffset>465128</wp:posOffset>
                </wp:positionH>
                <wp:positionV relativeFrom="paragraph">
                  <wp:posOffset>1013537</wp:posOffset>
                </wp:positionV>
                <wp:extent cx="457200" cy="1052008"/>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52008"/>
                        </a:xfrm>
                        <a:prstGeom prst="rect">
                          <a:avLst/>
                        </a:prstGeom>
                        <a:noFill/>
                        <a:ln w="9525">
                          <a:noFill/>
                          <a:miter lim="800000"/>
                          <a:headEnd/>
                          <a:tailEnd/>
                        </a:ln>
                      </wps:spPr>
                      <wps:txbx>
                        <w:txbxContent>
                          <w:p w14:paraId="258A0416" w14:textId="77777777" w:rsidR="00B37054" w:rsidRPr="00446880" w:rsidRDefault="00B37054" w:rsidP="00FD7D8A">
                            <w:pPr>
                              <w:rPr>
                                <w:sz w:val="18"/>
                                <w:szCs w:val="18"/>
                              </w:rPr>
                            </w:pPr>
                            <w:r w:rsidRPr="00446880">
                              <w:rPr>
                                <w:sz w:val="18"/>
                                <w:szCs w:val="18"/>
                              </w:rPr>
                              <w:t xml:space="preserve">Probability of </w:t>
                            </w:r>
                            <w:r>
                              <w:rPr>
                                <w:sz w:val="18"/>
                                <w:szCs w:val="18"/>
                              </w:rPr>
                              <w:t>OS</w:t>
                            </w:r>
                          </w:p>
                          <w:p w14:paraId="3ACB970F" w14:textId="77777777" w:rsidR="00B37054" w:rsidRPr="00446880" w:rsidRDefault="00B37054" w:rsidP="00FD7D8A">
                            <w:pPr>
                              <w:rPr>
                                <w:sz w:val="18"/>
                                <w:szCs w:val="1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2DB7D" id="Text Box 7" o:spid="_x0000_s1028" type="#_x0000_t202" style="position:absolute;margin-left:36.6pt;margin-top:79.8pt;width:36pt;height:82.85pt;z-index:251658245;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" filled="f" stroked="f">
                <v:textbox style="layout-flow:vertical;mso-layout-flow-alt:bottom-to-top">
                  <w:txbxContent>
                    <w:p w14:paraId="258A0416" w14:textId="77777777" w:rsidR="00B37054" w:rsidRPr="00446880" w:rsidRDefault="00B37054" w:rsidP="00FD7D8A">
                      <w:pPr>
                        <w:rPr>
                          <w:sz w:val="18"/>
                          <w:szCs w:val="18"/>
                        </w:rPr>
                      </w:pPr>
                      <w:r w:rsidRPr="00446880">
                        <w:rPr>
                          <w:sz w:val="18"/>
                          <w:szCs w:val="18"/>
                        </w:rPr>
                        <w:t xml:space="preserve">Probability of </w:t>
                      </w:r>
                      <w:r>
                        <w:rPr>
                          <w:sz w:val="18"/>
                          <w:szCs w:val="18"/>
                        </w:rPr>
                        <w:t>OS</w:t>
                      </w:r>
                    </w:p>
                    <w:p w14:paraId="3ACB970F" w14:textId="77777777" w:rsidR="00B37054" w:rsidRPr="00446880" w:rsidRDefault="00B37054" w:rsidP="00FD7D8A">
                      <w:pPr>
                        <w:rPr>
                          <w:sz w:val="18"/>
                          <w:szCs w:val="18"/>
                        </w:rPr>
                      </w:pPr>
                    </w:p>
                  </w:txbxContent>
                </v:textbox>
                <w10:wrap anchorx="margin"/>
              </v:shape>
            </w:pict>
          </mc:Fallback>
        </mc:AlternateContent>
      </w:r>
      <w:r w:rsidR="00306726" w:rsidRPr="008B029F">
        <w:rPr>
          <w:noProof/>
          <w:color w:val="2B579A"/>
          <w:sz w:val="18"/>
          <w:szCs w:val="18"/>
          <w:shd w:val="clear" w:color="auto" w:fill="E6E6E6"/>
          <w:lang w:val="en-AU" w:eastAsia="en-AU"/>
        </w:rPr>
        <mc:AlternateContent>
          <mc:Choice Requires="wps">
            <w:drawing>
              <wp:anchor distT="45720" distB="45720" distL="114300" distR="114300" simplePos="0" relativeHeight="251658240" behindDoc="0" locked="0" layoutInCell="1" allowOverlap="1" wp14:anchorId="092C0003" wp14:editId="780924FD">
                <wp:simplePos x="0" y="0"/>
                <wp:positionH relativeFrom="column">
                  <wp:posOffset>2233715</wp:posOffset>
                </wp:positionH>
                <wp:positionV relativeFrom="paragraph">
                  <wp:posOffset>2781563</wp:posOffset>
                </wp:positionV>
                <wp:extent cx="1857375"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noFill/>
                        <a:ln w="9525">
                          <a:noFill/>
                          <a:miter lim="800000"/>
                          <a:headEnd/>
                          <a:tailEnd/>
                        </a:ln>
                      </wps:spPr>
                      <wps:txbx>
                        <w:txbxContent>
                          <w:p w14:paraId="728204DC" w14:textId="77777777" w:rsidR="00B37054" w:rsidRPr="00F15E3A" w:rsidRDefault="00B37054" w:rsidP="00306726">
                            <w:pPr>
                              <w:keepNext/>
                              <w:spacing w:after="0"/>
                              <w:rPr>
                                <w:sz w:val="18"/>
                                <w:szCs w:val="18"/>
                              </w:rPr>
                            </w:pPr>
                            <w:r w:rsidRPr="00F15E3A">
                              <w:rPr>
                                <w:sz w:val="18"/>
                                <w:szCs w:val="18"/>
                              </w:rPr>
                              <w:t>Time from randomisation</w:t>
                            </w:r>
                            <w:r>
                              <w:rPr>
                                <w:sz w:val="18"/>
                                <w:szCs w:val="18"/>
                              </w:rPr>
                              <w:t xml:space="preserve">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C0003" id="Text Box 10" o:spid="_x0000_s1029" type="#_x0000_t202" style="position:absolute;margin-left:175.9pt;margin-top:219pt;width:146.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" filled="f" stroked="f">
                <v:textbox style="mso-fit-shape-to-text:t">
                  <w:txbxContent>
                    <w:p w14:paraId="728204DC" w14:textId="77777777" w:rsidR="00B37054" w:rsidRPr="00F15E3A" w:rsidRDefault="00B37054" w:rsidP="00306726">
                      <w:pPr>
                        <w:keepNext/>
                        <w:spacing w:after="0"/>
                        <w:rPr>
                          <w:sz w:val="18"/>
                          <w:szCs w:val="18"/>
                        </w:rPr>
                      </w:pPr>
                      <w:r w:rsidRPr="00F15E3A">
                        <w:rPr>
                          <w:sz w:val="18"/>
                          <w:szCs w:val="18"/>
                        </w:rPr>
                        <w:t>Time from randomisation</w:t>
                      </w:r>
                      <w:r>
                        <w:rPr>
                          <w:sz w:val="18"/>
                          <w:szCs w:val="18"/>
                        </w:rPr>
                        <w:t xml:space="preserve"> (months)</w:t>
                      </w:r>
                    </w:p>
                  </w:txbxContent>
                </v:textbox>
              </v:shape>
            </w:pict>
          </mc:Fallback>
        </mc:AlternateContent>
      </w:r>
      <w:r w:rsidR="001C55A4" w:rsidRPr="008B029F">
        <w:rPr>
          <w:noProof/>
          <w:color w:val="2B579A"/>
          <w:shd w:val="clear" w:color="auto" w:fill="E6E6E6"/>
          <w:lang w:val="en-AU" w:eastAsia="en-AU"/>
        </w:rPr>
        <w:drawing>
          <wp:inline distT="0" distB="0" distL="0" distR="0" wp14:anchorId="11DCFD11" wp14:editId="65E53217">
            <wp:extent cx="6120130" cy="294374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943749"/>
                    </a:xfrm>
                    <a:prstGeom prst="rect">
                      <a:avLst/>
                    </a:prstGeom>
                    <a:noFill/>
                    <a:ln>
                      <a:noFill/>
                    </a:ln>
                  </pic:spPr>
                </pic:pic>
              </a:graphicData>
            </a:graphic>
          </wp:inline>
        </w:drawing>
      </w:r>
    </w:p>
    <w:tbl>
      <w:tblPr>
        <w:tblW w:w="4992" w:type="pct"/>
        <w:jc w:val="center"/>
        <w:tblLayout w:type="fixed"/>
        <w:tblLook w:val="04A0" w:firstRow="1" w:lastRow="0" w:firstColumn="1" w:lastColumn="0" w:noHBand="0" w:noVBand="1"/>
      </w:tblPr>
      <w:tblGrid>
        <w:gridCol w:w="1028"/>
        <w:gridCol w:w="526"/>
        <w:gridCol w:w="526"/>
        <w:gridCol w:w="526"/>
        <w:gridCol w:w="526"/>
        <w:gridCol w:w="526"/>
        <w:gridCol w:w="526"/>
        <w:gridCol w:w="525"/>
        <w:gridCol w:w="525"/>
        <w:gridCol w:w="525"/>
        <w:gridCol w:w="525"/>
        <w:gridCol w:w="525"/>
        <w:gridCol w:w="525"/>
        <w:gridCol w:w="525"/>
        <w:gridCol w:w="525"/>
        <w:gridCol w:w="525"/>
        <w:gridCol w:w="665"/>
        <w:gridCol w:w="49"/>
      </w:tblGrid>
      <w:tr w:rsidR="001D2B1B" w:rsidRPr="008B029F" w14:paraId="355A1EB3" w14:textId="77777777" w:rsidTr="00684519">
        <w:trPr>
          <w:trHeight w:val="287"/>
          <w:jc w:val="center"/>
        </w:trPr>
        <w:tc>
          <w:tcPr>
            <w:tcW w:w="9623" w:type="dxa"/>
            <w:gridSpan w:val="18"/>
            <w:shd w:val="clear" w:color="auto" w:fill="auto"/>
          </w:tcPr>
          <w:p w14:paraId="0CBC7827" w14:textId="77777777" w:rsidR="00306726" w:rsidRPr="008B029F" w:rsidRDefault="00306726" w:rsidP="00E47A48">
            <w:pPr>
              <w:keepNext/>
              <w:spacing w:after="0"/>
              <w:jc w:val="both"/>
              <w:rPr>
                <w:sz w:val="18"/>
                <w:szCs w:val="18"/>
                <w:lang w:val="en-AU"/>
              </w:rPr>
            </w:pPr>
            <w:r w:rsidRPr="008B029F">
              <w:rPr>
                <w:sz w:val="18"/>
                <w:szCs w:val="18"/>
                <w:lang w:val="en-AU"/>
              </w:rPr>
              <w:t>Number of patients at risk</w:t>
            </w:r>
          </w:p>
        </w:tc>
      </w:tr>
      <w:tr w:rsidR="001D2B1B" w:rsidRPr="008B029F" w14:paraId="4D7A87EC" w14:textId="77777777" w:rsidTr="00684519">
        <w:trPr>
          <w:gridAfter w:val="1"/>
          <w:wAfter w:w="49" w:type="dxa"/>
          <w:trHeight w:val="287"/>
          <w:jc w:val="center"/>
        </w:trPr>
        <w:tc>
          <w:tcPr>
            <w:tcW w:w="1028" w:type="dxa"/>
            <w:tcBorders>
              <w:bottom w:val="single" w:sz="4" w:space="0" w:color="auto"/>
            </w:tcBorders>
            <w:shd w:val="clear" w:color="auto" w:fill="auto"/>
          </w:tcPr>
          <w:p w14:paraId="5D588B26" w14:textId="77777777" w:rsidR="00306726" w:rsidRPr="008B029F" w:rsidRDefault="00306726" w:rsidP="00E47A48">
            <w:pPr>
              <w:keepNext/>
              <w:spacing w:after="0"/>
              <w:jc w:val="both"/>
              <w:rPr>
                <w:sz w:val="18"/>
                <w:szCs w:val="18"/>
                <w:lang w:val="en-AU"/>
              </w:rPr>
            </w:pPr>
            <w:r w:rsidRPr="008B029F">
              <w:rPr>
                <w:sz w:val="18"/>
                <w:szCs w:val="18"/>
                <w:lang w:val="en-AU"/>
              </w:rPr>
              <w:t>Month</w:t>
            </w:r>
          </w:p>
        </w:tc>
        <w:tc>
          <w:tcPr>
            <w:tcW w:w="526" w:type="dxa"/>
            <w:tcBorders>
              <w:bottom w:val="single" w:sz="4" w:space="0" w:color="auto"/>
            </w:tcBorders>
            <w:shd w:val="clear" w:color="auto" w:fill="auto"/>
          </w:tcPr>
          <w:p w14:paraId="28DF0DA5" w14:textId="77777777" w:rsidR="00306726" w:rsidRPr="008B029F" w:rsidRDefault="00306726" w:rsidP="00E47A48">
            <w:pPr>
              <w:spacing w:after="0"/>
              <w:jc w:val="both"/>
              <w:rPr>
                <w:sz w:val="18"/>
                <w:szCs w:val="18"/>
                <w:lang w:val="en-AU"/>
              </w:rPr>
            </w:pPr>
            <w:r w:rsidRPr="008B029F">
              <w:rPr>
                <w:sz w:val="18"/>
                <w:szCs w:val="18"/>
                <w:lang w:val="en-AU"/>
              </w:rPr>
              <w:t>0</w:t>
            </w:r>
          </w:p>
        </w:tc>
        <w:tc>
          <w:tcPr>
            <w:tcW w:w="526" w:type="dxa"/>
            <w:tcBorders>
              <w:bottom w:val="single" w:sz="4" w:space="0" w:color="auto"/>
            </w:tcBorders>
            <w:shd w:val="clear" w:color="auto" w:fill="auto"/>
          </w:tcPr>
          <w:p w14:paraId="101B2872" w14:textId="77777777" w:rsidR="00306726" w:rsidRPr="008B029F" w:rsidRDefault="00306726" w:rsidP="00E47A48">
            <w:pPr>
              <w:spacing w:after="0"/>
              <w:jc w:val="both"/>
              <w:rPr>
                <w:sz w:val="18"/>
                <w:szCs w:val="18"/>
                <w:lang w:val="en-AU"/>
              </w:rPr>
            </w:pPr>
            <w:r w:rsidRPr="008B029F">
              <w:rPr>
                <w:sz w:val="18"/>
                <w:szCs w:val="18"/>
                <w:lang w:val="en-AU"/>
              </w:rPr>
              <w:t>3</w:t>
            </w:r>
          </w:p>
        </w:tc>
        <w:tc>
          <w:tcPr>
            <w:tcW w:w="526" w:type="dxa"/>
            <w:tcBorders>
              <w:bottom w:val="single" w:sz="4" w:space="0" w:color="auto"/>
            </w:tcBorders>
            <w:shd w:val="clear" w:color="auto" w:fill="auto"/>
          </w:tcPr>
          <w:p w14:paraId="7CEB450C" w14:textId="77777777" w:rsidR="00306726" w:rsidRPr="008B029F" w:rsidRDefault="00306726" w:rsidP="00E47A48">
            <w:pPr>
              <w:spacing w:after="0"/>
              <w:jc w:val="both"/>
              <w:rPr>
                <w:sz w:val="18"/>
                <w:szCs w:val="18"/>
                <w:lang w:val="en-AU"/>
              </w:rPr>
            </w:pPr>
            <w:r w:rsidRPr="008B029F">
              <w:rPr>
                <w:sz w:val="18"/>
                <w:szCs w:val="18"/>
                <w:lang w:val="en-AU"/>
              </w:rPr>
              <w:t>6</w:t>
            </w:r>
          </w:p>
        </w:tc>
        <w:tc>
          <w:tcPr>
            <w:tcW w:w="526" w:type="dxa"/>
            <w:tcBorders>
              <w:bottom w:val="single" w:sz="4" w:space="0" w:color="auto"/>
            </w:tcBorders>
            <w:shd w:val="clear" w:color="auto" w:fill="auto"/>
          </w:tcPr>
          <w:p w14:paraId="68C4E0EE" w14:textId="77777777" w:rsidR="00306726" w:rsidRPr="008B029F" w:rsidRDefault="00306726" w:rsidP="00E47A48">
            <w:pPr>
              <w:spacing w:after="0"/>
              <w:jc w:val="both"/>
              <w:rPr>
                <w:sz w:val="18"/>
                <w:szCs w:val="18"/>
                <w:lang w:val="en-AU"/>
              </w:rPr>
            </w:pPr>
            <w:r w:rsidRPr="008B029F">
              <w:rPr>
                <w:sz w:val="18"/>
                <w:szCs w:val="18"/>
                <w:lang w:val="en-AU"/>
              </w:rPr>
              <w:t>9</w:t>
            </w:r>
          </w:p>
        </w:tc>
        <w:tc>
          <w:tcPr>
            <w:tcW w:w="526" w:type="dxa"/>
            <w:tcBorders>
              <w:bottom w:val="single" w:sz="4" w:space="0" w:color="auto"/>
            </w:tcBorders>
            <w:shd w:val="clear" w:color="auto" w:fill="auto"/>
          </w:tcPr>
          <w:p w14:paraId="63F6092A" w14:textId="77777777" w:rsidR="00306726" w:rsidRPr="008B029F" w:rsidRDefault="00306726" w:rsidP="00E47A48">
            <w:pPr>
              <w:spacing w:after="0"/>
              <w:jc w:val="both"/>
              <w:rPr>
                <w:sz w:val="18"/>
                <w:szCs w:val="18"/>
                <w:lang w:val="en-AU"/>
              </w:rPr>
            </w:pPr>
            <w:r w:rsidRPr="008B029F">
              <w:rPr>
                <w:sz w:val="18"/>
                <w:szCs w:val="18"/>
                <w:lang w:val="en-AU"/>
              </w:rPr>
              <w:t>12</w:t>
            </w:r>
          </w:p>
        </w:tc>
        <w:tc>
          <w:tcPr>
            <w:tcW w:w="526" w:type="dxa"/>
            <w:tcBorders>
              <w:bottom w:val="single" w:sz="4" w:space="0" w:color="auto"/>
            </w:tcBorders>
            <w:shd w:val="clear" w:color="auto" w:fill="auto"/>
          </w:tcPr>
          <w:p w14:paraId="70CA7003" w14:textId="77777777" w:rsidR="00306726" w:rsidRPr="008B029F" w:rsidRDefault="00306726" w:rsidP="00E47A48">
            <w:pPr>
              <w:spacing w:after="0"/>
              <w:jc w:val="both"/>
              <w:rPr>
                <w:sz w:val="18"/>
                <w:szCs w:val="18"/>
                <w:lang w:val="en-AU"/>
              </w:rPr>
            </w:pPr>
            <w:r w:rsidRPr="008B029F">
              <w:rPr>
                <w:sz w:val="18"/>
                <w:szCs w:val="18"/>
                <w:lang w:val="en-AU"/>
              </w:rPr>
              <w:t>15</w:t>
            </w:r>
          </w:p>
        </w:tc>
        <w:tc>
          <w:tcPr>
            <w:tcW w:w="525" w:type="dxa"/>
            <w:tcBorders>
              <w:bottom w:val="single" w:sz="4" w:space="0" w:color="auto"/>
            </w:tcBorders>
            <w:shd w:val="clear" w:color="auto" w:fill="auto"/>
          </w:tcPr>
          <w:p w14:paraId="2138288A" w14:textId="77777777" w:rsidR="00306726" w:rsidRPr="008B029F" w:rsidRDefault="00306726" w:rsidP="00E47A48">
            <w:pPr>
              <w:spacing w:after="0"/>
              <w:jc w:val="both"/>
              <w:rPr>
                <w:sz w:val="18"/>
                <w:szCs w:val="18"/>
                <w:lang w:val="en-AU"/>
              </w:rPr>
            </w:pPr>
            <w:r w:rsidRPr="008B029F">
              <w:rPr>
                <w:sz w:val="18"/>
                <w:szCs w:val="18"/>
                <w:lang w:val="en-AU"/>
              </w:rPr>
              <w:t>18</w:t>
            </w:r>
          </w:p>
        </w:tc>
        <w:tc>
          <w:tcPr>
            <w:tcW w:w="525" w:type="dxa"/>
            <w:tcBorders>
              <w:bottom w:val="single" w:sz="4" w:space="0" w:color="auto"/>
            </w:tcBorders>
            <w:shd w:val="clear" w:color="auto" w:fill="auto"/>
          </w:tcPr>
          <w:p w14:paraId="0277FCF2" w14:textId="77777777" w:rsidR="00306726" w:rsidRPr="008B029F" w:rsidRDefault="00306726" w:rsidP="00E47A48">
            <w:pPr>
              <w:spacing w:after="0"/>
              <w:jc w:val="both"/>
              <w:rPr>
                <w:sz w:val="18"/>
                <w:szCs w:val="18"/>
                <w:lang w:val="en-AU"/>
              </w:rPr>
            </w:pPr>
            <w:r w:rsidRPr="008B029F">
              <w:rPr>
                <w:sz w:val="18"/>
                <w:szCs w:val="18"/>
                <w:lang w:val="en-AU"/>
              </w:rPr>
              <w:t>21</w:t>
            </w:r>
          </w:p>
        </w:tc>
        <w:tc>
          <w:tcPr>
            <w:tcW w:w="525" w:type="dxa"/>
            <w:tcBorders>
              <w:bottom w:val="single" w:sz="4" w:space="0" w:color="auto"/>
            </w:tcBorders>
            <w:shd w:val="clear" w:color="auto" w:fill="auto"/>
          </w:tcPr>
          <w:p w14:paraId="502F75FA" w14:textId="77777777" w:rsidR="00306726" w:rsidRPr="008B029F" w:rsidRDefault="00306726" w:rsidP="00E47A48">
            <w:pPr>
              <w:spacing w:after="0"/>
              <w:jc w:val="both"/>
              <w:rPr>
                <w:sz w:val="18"/>
                <w:szCs w:val="18"/>
                <w:lang w:val="en-AU"/>
              </w:rPr>
            </w:pPr>
            <w:r w:rsidRPr="008B029F">
              <w:rPr>
                <w:sz w:val="18"/>
                <w:szCs w:val="18"/>
                <w:lang w:val="en-AU"/>
              </w:rPr>
              <w:t>24</w:t>
            </w:r>
          </w:p>
        </w:tc>
        <w:tc>
          <w:tcPr>
            <w:tcW w:w="525" w:type="dxa"/>
            <w:tcBorders>
              <w:bottom w:val="single" w:sz="4" w:space="0" w:color="auto"/>
            </w:tcBorders>
            <w:shd w:val="clear" w:color="auto" w:fill="auto"/>
          </w:tcPr>
          <w:p w14:paraId="47CDDC27" w14:textId="77777777" w:rsidR="00306726" w:rsidRPr="008B029F" w:rsidRDefault="00306726" w:rsidP="00E47A48">
            <w:pPr>
              <w:spacing w:after="0"/>
              <w:jc w:val="both"/>
              <w:rPr>
                <w:sz w:val="18"/>
                <w:szCs w:val="18"/>
                <w:lang w:val="en-AU"/>
              </w:rPr>
            </w:pPr>
            <w:r w:rsidRPr="008B029F">
              <w:rPr>
                <w:sz w:val="18"/>
                <w:szCs w:val="18"/>
                <w:lang w:val="en-AU"/>
              </w:rPr>
              <w:t>27</w:t>
            </w:r>
          </w:p>
        </w:tc>
        <w:tc>
          <w:tcPr>
            <w:tcW w:w="525" w:type="dxa"/>
            <w:tcBorders>
              <w:bottom w:val="single" w:sz="4" w:space="0" w:color="auto"/>
            </w:tcBorders>
            <w:shd w:val="clear" w:color="auto" w:fill="auto"/>
          </w:tcPr>
          <w:p w14:paraId="3F8396F7" w14:textId="77777777" w:rsidR="00306726" w:rsidRPr="008B029F" w:rsidRDefault="00306726" w:rsidP="00E47A48">
            <w:pPr>
              <w:spacing w:after="0"/>
              <w:jc w:val="both"/>
              <w:rPr>
                <w:sz w:val="18"/>
                <w:szCs w:val="18"/>
                <w:lang w:val="en-AU"/>
              </w:rPr>
            </w:pPr>
            <w:r w:rsidRPr="008B029F">
              <w:rPr>
                <w:sz w:val="18"/>
                <w:szCs w:val="18"/>
                <w:lang w:val="en-AU"/>
              </w:rPr>
              <w:t>30</w:t>
            </w:r>
          </w:p>
        </w:tc>
        <w:tc>
          <w:tcPr>
            <w:tcW w:w="525" w:type="dxa"/>
            <w:tcBorders>
              <w:bottom w:val="single" w:sz="4" w:space="0" w:color="auto"/>
            </w:tcBorders>
          </w:tcPr>
          <w:p w14:paraId="3643508E" w14:textId="77777777" w:rsidR="00306726" w:rsidRPr="008B029F" w:rsidRDefault="00306726" w:rsidP="00E47A48">
            <w:pPr>
              <w:spacing w:after="0"/>
              <w:jc w:val="both"/>
              <w:rPr>
                <w:sz w:val="18"/>
                <w:szCs w:val="18"/>
                <w:lang w:val="en-AU"/>
              </w:rPr>
            </w:pPr>
            <w:r w:rsidRPr="008B029F">
              <w:rPr>
                <w:sz w:val="18"/>
                <w:szCs w:val="18"/>
                <w:lang w:val="en-AU"/>
              </w:rPr>
              <w:t>33</w:t>
            </w:r>
          </w:p>
        </w:tc>
        <w:tc>
          <w:tcPr>
            <w:tcW w:w="525" w:type="dxa"/>
            <w:tcBorders>
              <w:bottom w:val="single" w:sz="4" w:space="0" w:color="auto"/>
            </w:tcBorders>
          </w:tcPr>
          <w:p w14:paraId="4F7634B9" w14:textId="77777777" w:rsidR="00306726" w:rsidRPr="008B029F" w:rsidRDefault="00306726" w:rsidP="00E47A48">
            <w:pPr>
              <w:spacing w:after="0"/>
              <w:jc w:val="both"/>
              <w:rPr>
                <w:sz w:val="18"/>
                <w:szCs w:val="18"/>
                <w:lang w:val="en-AU"/>
              </w:rPr>
            </w:pPr>
            <w:r w:rsidRPr="008B029F">
              <w:rPr>
                <w:sz w:val="18"/>
                <w:szCs w:val="18"/>
                <w:lang w:val="en-AU"/>
              </w:rPr>
              <w:t>36</w:t>
            </w:r>
          </w:p>
        </w:tc>
        <w:tc>
          <w:tcPr>
            <w:tcW w:w="525" w:type="dxa"/>
            <w:tcBorders>
              <w:bottom w:val="single" w:sz="4" w:space="0" w:color="auto"/>
            </w:tcBorders>
          </w:tcPr>
          <w:p w14:paraId="04D16E95" w14:textId="77777777" w:rsidR="00306726" w:rsidRPr="008B029F" w:rsidRDefault="00306726" w:rsidP="00E47A48">
            <w:pPr>
              <w:spacing w:after="0"/>
              <w:jc w:val="both"/>
              <w:rPr>
                <w:sz w:val="18"/>
                <w:szCs w:val="18"/>
                <w:lang w:val="en-AU"/>
              </w:rPr>
            </w:pPr>
            <w:r w:rsidRPr="008B029F">
              <w:rPr>
                <w:sz w:val="18"/>
                <w:szCs w:val="18"/>
                <w:lang w:val="en-AU"/>
              </w:rPr>
              <w:t>39</w:t>
            </w:r>
          </w:p>
        </w:tc>
        <w:tc>
          <w:tcPr>
            <w:tcW w:w="525" w:type="dxa"/>
            <w:tcBorders>
              <w:bottom w:val="single" w:sz="4" w:space="0" w:color="auto"/>
            </w:tcBorders>
          </w:tcPr>
          <w:p w14:paraId="718C07A4" w14:textId="77777777" w:rsidR="00306726" w:rsidRPr="008B029F" w:rsidRDefault="00306726" w:rsidP="00E47A48">
            <w:pPr>
              <w:spacing w:after="0"/>
              <w:jc w:val="both"/>
              <w:rPr>
                <w:sz w:val="18"/>
                <w:szCs w:val="18"/>
                <w:lang w:val="en-AU"/>
              </w:rPr>
            </w:pPr>
            <w:r w:rsidRPr="008B029F">
              <w:rPr>
                <w:sz w:val="18"/>
                <w:szCs w:val="18"/>
                <w:lang w:val="en-AU"/>
              </w:rPr>
              <w:t>42</w:t>
            </w:r>
          </w:p>
        </w:tc>
        <w:tc>
          <w:tcPr>
            <w:tcW w:w="665" w:type="dxa"/>
            <w:tcBorders>
              <w:bottom w:val="single" w:sz="4" w:space="0" w:color="auto"/>
            </w:tcBorders>
          </w:tcPr>
          <w:p w14:paraId="240E23A7" w14:textId="77777777" w:rsidR="00306726" w:rsidRPr="008B029F" w:rsidRDefault="00306726" w:rsidP="00E47A48">
            <w:pPr>
              <w:spacing w:after="0"/>
              <w:jc w:val="both"/>
              <w:rPr>
                <w:sz w:val="18"/>
                <w:szCs w:val="18"/>
                <w:lang w:val="en-AU"/>
              </w:rPr>
            </w:pPr>
            <w:r w:rsidRPr="008B029F">
              <w:rPr>
                <w:sz w:val="18"/>
                <w:szCs w:val="18"/>
                <w:lang w:val="en-AU"/>
              </w:rPr>
              <w:t>45</w:t>
            </w:r>
          </w:p>
        </w:tc>
      </w:tr>
      <w:tr w:rsidR="001D2B1B" w:rsidRPr="008B029F" w14:paraId="52AC38F9" w14:textId="77777777" w:rsidTr="00684519">
        <w:trPr>
          <w:gridAfter w:val="1"/>
          <w:wAfter w:w="49" w:type="dxa"/>
          <w:trHeight w:val="296"/>
          <w:jc w:val="center"/>
        </w:trPr>
        <w:tc>
          <w:tcPr>
            <w:tcW w:w="1028" w:type="dxa"/>
            <w:tcBorders>
              <w:top w:val="single" w:sz="4" w:space="0" w:color="auto"/>
            </w:tcBorders>
            <w:shd w:val="clear" w:color="auto" w:fill="auto"/>
          </w:tcPr>
          <w:p w14:paraId="70BD42CC" w14:textId="77777777" w:rsidR="00306726" w:rsidRPr="008B029F" w:rsidRDefault="00306726" w:rsidP="00E47A48">
            <w:pPr>
              <w:keepNext/>
              <w:spacing w:after="0"/>
              <w:jc w:val="both"/>
              <w:rPr>
                <w:sz w:val="18"/>
                <w:szCs w:val="18"/>
                <w:lang w:val="en-AU"/>
              </w:rPr>
            </w:pPr>
            <w:r w:rsidRPr="008B029F">
              <w:rPr>
                <w:sz w:val="18"/>
                <w:szCs w:val="18"/>
                <w:lang w:val="en-AU"/>
              </w:rPr>
              <w:t>IMFINZI</w:t>
            </w:r>
          </w:p>
        </w:tc>
        <w:tc>
          <w:tcPr>
            <w:tcW w:w="526" w:type="dxa"/>
            <w:tcBorders>
              <w:top w:val="single" w:sz="4" w:space="0" w:color="auto"/>
            </w:tcBorders>
            <w:shd w:val="clear" w:color="auto" w:fill="auto"/>
          </w:tcPr>
          <w:p w14:paraId="27B872B0" w14:textId="77777777" w:rsidR="00306726" w:rsidRPr="008B029F" w:rsidRDefault="00306726" w:rsidP="00E47A48">
            <w:pPr>
              <w:spacing w:after="0"/>
              <w:jc w:val="both"/>
              <w:rPr>
                <w:sz w:val="18"/>
                <w:szCs w:val="18"/>
                <w:lang w:val="en-AU"/>
              </w:rPr>
            </w:pPr>
            <w:r w:rsidRPr="008B029F">
              <w:rPr>
                <w:sz w:val="18"/>
                <w:szCs w:val="18"/>
                <w:lang w:val="en-AU"/>
              </w:rPr>
              <w:t>476</w:t>
            </w:r>
          </w:p>
        </w:tc>
        <w:tc>
          <w:tcPr>
            <w:tcW w:w="526" w:type="dxa"/>
            <w:tcBorders>
              <w:top w:val="single" w:sz="4" w:space="0" w:color="auto"/>
            </w:tcBorders>
            <w:shd w:val="clear" w:color="auto" w:fill="auto"/>
          </w:tcPr>
          <w:p w14:paraId="6A149709" w14:textId="77777777" w:rsidR="00306726" w:rsidRPr="008B029F" w:rsidRDefault="00306726" w:rsidP="00E47A48">
            <w:pPr>
              <w:spacing w:after="0"/>
              <w:jc w:val="both"/>
              <w:rPr>
                <w:sz w:val="18"/>
                <w:szCs w:val="18"/>
                <w:lang w:val="en-AU"/>
              </w:rPr>
            </w:pPr>
            <w:r w:rsidRPr="008B029F">
              <w:rPr>
                <w:sz w:val="18"/>
                <w:szCs w:val="18"/>
                <w:lang w:val="en-AU"/>
              </w:rPr>
              <w:t>464</w:t>
            </w:r>
          </w:p>
        </w:tc>
        <w:tc>
          <w:tcPr>
            <w:tcW w:w="526" w:type="dxa"/>
            <w:tcBorders>
              <w:top w:val="single" w:sz="4" w:space="0" w:color="auto"/>
            </w:tcBorders>
            <w:shd w:val="clear" w:color="auto" w:fill="auto"/>
          </w:tcPr>
          <w:p w14:paraId="32F330F4" w14:textId="77777777" w:rsidR="00306726" w:rsidRPr="008B029F" w:rsidRDefault="00306726" w:rsidP="00E47A48">
            <w:pPr>
              <w:spacing w:after="0"/>
              <w:jc w:val="both"/>
              <w:rPr>
                <w:sz w:val="18"/>
                <w:szCs w:val="18"/>
                <w:lang w:val="en-AU"/>
              </w:rPr>
            </w:pPr>
            <w:r w:rsidRPr="008B029F">
              <w:rPr>
                <w:sz w:val="18"/>
                <w:szCs w:val="18"/>
                <w:lang w:val="en-AU"/>
              </w:rPr>
              <w:t>431</w:t>
            </w:r>
          </w:p>
        </w:tc>
        <w:tc>
          <w:tcPr>
            <w:tcW w:w="526" w:type="dxa"/>
            <w:tcBorders>
              <w:top w:val="single" w:sz="4" w:space="0" w:color="auto"/>
            </w:tcBorders>
            <w:shd w:val="clear" w:color="auto" w:fill="auto"/>
          </w:tcPr>
          <w:p w14:paraId="36A9BDB5" w14:textId="77777777" w:rsidR="00306726" w:rsidRPr="008B029F" w:rsidRDefault="00306726" w:rsidP="00E47A48">
            <w:pPr>
              <w:spacing w:after="0"/>
              <w:jc w:val="both"/>
              <w:rPr>
                <w:sz w:val="18"/>
                <w:szCs w:val="18"/>
                <w:lang w:val="en-AU"/>
              </w:rPr>
            </w:pPr>
            <w:r w:rsidRPr="008B029F">
              <w:rPr>
                <w:sz w:val="18"/>
                <w:szCs w:val="18"/>
                <w:lang w:val="en-AU"/>
              </w:rPr>
              <w:t>415</w:t>
            </w:r>
          </w:p>
        </w:tc>
        <w:tc>
          <w:tcPr>
            <w:tcW w:w="526" w:type="dxa"/>
            <w:tcBorders>
              <w:top w:val="single" w:sz="4" w:space="0" w:color="auto"/>
            </w:tcBorders>
            <w:shd w:val="clear" w:color="auto" w:fill="auto"/>
          </w:tcPr>
          <w:p w14:paraId="28DFA405" w14:textId="77777777" w:rsidR="00306726" w:rsidRPr="008B029F" w:rsidRDefault="00306726" w:rsidP="00E47A48">
            <w:pPr>
              <w:spacing w:after="0"/>
              <w:jc w:val="both"/>
              <w:rPr>
                <w:sz w:val="18"/>
                <w:szCs w:val="18"/>
                <w:lang w:val="en-AU"/>
              </w:rPr>
            </w:pPr>
            <w:r w:rsidRPr="008B029F">
              <w:rPr>
                <w:sz w:val="18"/>
                <w:szCs w:val="18"/>
                <w:lang w:val="en-AU"/>
              </w:rPr>
              <w:t>385</w:t>
            </w:r>
          </w:p>
        </w:tc>
        <w:tc>
          <w:tcPr>
            <w:tcW w:w="526" w:type="dxa"/>
            <w:tcBorders>
              <w:top w:val="single" w:sz="4" w:space="0" w:color="auto"/>
            </w:tcBorders>
            <w:shd w:val="clear" w:color="auto" w:fill="auto"/>
          </w:tcPr>
          <w:p w14:paraId="26A4106F" w14:textId="77777777" w:rsidR="00306726" w:rsidRPr="008B029F" w:rsidRDefault="00306726" w:rsidP="00E47A48">
            <w:pPr>
              <w:spacing w:after="0"/>
              <w:jc w:val="both"/>
              <w:rPr>
                <w:sz w:val="18"/>
                <w:szCs w:val="18"/>
                <w:lang w:val="en-AU"/>
              </w:rPr>
            </w:pPr>
            <w:r w:rsidRPr="008B029F">
              <w:rPr>
                <w:sz w:val="18"/>
                <w:szCs w:val="18"/>
                <w:lang w:val="en-AU"/>
              </w:rPr>
              <w:t>364</w:t>
            </w:r>
          </w:p>
        </w:tc>
        <w:tc>
          <w:tcPr>
            <w:tcW w:w="525" w:type="dxa"/>
            <w:tcBorders>
              <w:top w:val="single" w:sz="4" w:space="0" w:color="auto"/>
            </w:tcBorders>
            <w:shd w:val="clear" w:color="auto" w:fill="auto"/>
          </w:tcPr>
          <w:p w14:paraId="7F174A23" w14:textId="77777777" w:rsidR="00306726" w:rsidRPr="008B029F" w:rsidRDefault="00306726" w:rsidP="00E47A48">
            <w:pPr>
              <w:spacing w:after="0"/>
              <w:jc w:val="both"/>
              <w:rPr>
                <w:sz w:val="18"/>
                <w:szCs w:val="18"/>
                <w:lang w:val="en-AU"/>
              </w:rPr>
            </w:pPr>
            <w:r w:rsidRPr="008B029F">
              <w:rPr>
                <w:sz w:val="18"/>
                <w:szCs w:val="18"/>
                <w:lang w:val="en-AU"/>
              </w:rPr>
              <w:t>343</w:t>
            </w:r>
          </w:p>
        </w:tc>
        <w:tc>
          <w:tcPr>
            <w:tcW w:w="525" w:type="dxa"/>
            <w:tcBorders>
              <w:top w:val="single" w:sz="4" w:space="0" w:color="auto"/>
            </w:tcBorders>
            <w:shd w:val="clear" w:color="auto" w:fill="auto"/>
          </w:tcPr>
          <w:p w14:paraId="3B841C6C" w14:textId="77777777" w:rsidR="00306726" w:rsidRPr="008B029F" w:rsidRDefault="00306726" w:rsidP="00E47A48">
            <w:pPr>
              <w:spacing w:after="0"/>
              <w:jc w:val="both"/>
              <w:rPr>
                <w:sz w:val="18"/>
                <w:szCs w:val="18"/>
                <w:lang w:val="en-AU"/>
              </w:rPr>
            </w:pPr>
            <w:r w:rsidRPr="008B029F">
              <w:rPr>
                <w:sz w:val="18"/>
                <w:szCs w:val="18"/>
                <w:lang w:val="en-AU"/>
              </w:rPr>
              <w:t>319</w:t>
            </w:r>
          </w:p>
        </w:tc>
        <w:tc>
          <w:tcPr>
            <w:tcW w:w="525" w:type="dxa"/>
            <w:tcBorders>
              <w:top w:val="single" w:sz="4" w:space="0" w:color="auto"/>
            </w:tcBorders>
            <w:shd w:val="clear" w:color="auto" w:fill="auto"/>
          </w:tcPr>
          <w:p w14:paraId="564330E0" w14:textId="77777777" w:rsidR="00306726" w:rsidRPr="008B029F" w:rsidRDefault="00306726" w:rsidP="00E47A48">
            <w:pPr>
              <w:spacing w:after="0"/>
              <w:jc w:val="both"/>
              <w:rPr>
                <w:sz w:val="18"/>
                <w:szCs w:val="18"/>
                <w:lang w:val="en-AU"/>
              </w:rPr>
            </w:pPr>
            <w:r w:rsidRPr="008B029F">
              <w:rPr>
                <w:sz w:val="18"/>
                <w:szCs w:val="18"/>
                <w:lang w:val="en-AU"/>
              </w:rPr>
              <w:t>274</w:t>
            </w:r>
          </w:p>
        </w:tc>
        <w:tc>
          <w:tcPr>
            <w:tcW w:w="525" w:type="dxa"/>
            <w:tcBorders>
              <w:top w:val="single" w:sz="4" w:space="0" w:color="auto"/>
            </w:tcBorders>
            <w:shd w:val="clear" w:color="auto" w:fill="auto"/>
          </w:tcPr>
          <w:p w14:paraId="6AB6F2D0" w14:textId="77777777" w:rsidR="00306726" w:rsidRPr="008B029F" w:rsidRDefault="00306726" w:rsidP="00E47A48">
            <w:pPr>
              <w:spacing w:after="0"/>
              <w:jc w:val="both"/>
              <w:rPr>
                <w:sz w:val="18"/>
                <w:szCs w:val="18"/>
                <w:lang w:val="en-AU"/>
              </w:rPr>
            </w:pPr>
            <w:r w:rsidRPr="008B029F">
              <w:rPr>
                <w:sz w:val="18"/>
                <w:szCs w:val="18"/>
                <w:lang w:val="en-AU"/>
              </w:rPr>
              <w:t>210</w:t>
            </w:r>
          </w:p>
        </w:tc>
        <w:tc>
          <w:tcPr>
            <w:tcW w:w="525" w:type="dxa"/>
            <w:tcBorders>
              <w:top w:val="single" w:sz="4" w:space="0" w:color="auto"/>
            </w:tcBorders>
            <w:shd w:val="clear" w:color="auto" w:fill="auto"/>
          </w:tcPr>
          <w:p w14:paraId="078E15EB" w14:textId="77777777" w:rsidR="00306726" w:rsidRPr="008B029F" w:rsidRDefault="00306726" w:rsidP="00E47A48">
            <w:pPr>
              <w:spacing w:after="0"/>
              <w:jc w:val="both"/>
              <w:rPr>
                <w:sz w:val="18"/>
                <w:szCs w:val="18"/>
                <w:lang w:val="en-AU"/>
              </w:rPr>
            </w:pPr>
            <w:r w:rsidRPr="008B029F">
              <w:rPr>
                <w:sz w:val="18"/>
                <w:szCs w:val="18"/>
                <w:lang w:val="en-AU"/>
              </w:rPr>
              <w:t>115</w:t>
            </w:r>
          </w:p>
        </w:tc>
        <w:tc>
          <w:tcPr>
            <w:tcW w:w="525" w:type="dxa"/>
            <w:tcBorders>
              <w:top w:val="single" w:sz="4" w:space="0" w:color="auto"/>
            </w:tcBorders>
          </w:tcPr>
          <w:p w14:paraId="70EB919D" w14:textId="77777777" w:rsidR="00306726" w:rsidRPr="008B029F" w:rsidRDefault="00306726" w:rsidP="00E47A48">
            <w:pPr>
              <w:spacing w:after="0"/>
              <w:jc w:val="both"/>
              <w:rPr>
                <w:sz w:val="18"/>
                <w:szCs w:val="18"/>
                <w:lang w:val="en-AU"/>
              </w:rPr>
            </w:pPr>
            <w:r w:rsidRPr="008B029F">
              <w:rPr>
                <w:sz w:val="18"/>
                <w:szCs w:val="18"/>
                <w:lang w:val="en-AU"/>
              </w:rPr>
              <w:t>57</w:t>
            </w:r>
          </w:p>
        </w:tc>
        <w:tc>
          <w:tcPr>
            <w:tcW w:w="525" w:type="dxa"/>
            <w:tcBorders>
              <w:top w:val="single" w:sz="4" w:space="0" w:color="auto"/>
            </w:tcBorders>
          </w:tcPr>
          <w:p w14:paraId="183E2B8C" w14:textId="77777777" w:rsidR="00306726" w:rsidRPr="008B029F" w:rsidRDefault="00306726" w:rsidP="00E47A48">
            <w:pPr>
              <w:spacing w:after="0"/>
              <w:jc w:val="both"/>
              <w:rPr>
                <w:sz w:val="18"/>
                <w:szCs w:val="18"/>
                <w:lang w:val="en-AU"/>
              </w:rPr>
            </w:pPr>
            <w:r w:rsidRPr="008B029F">
              <w:rPr>
                <w:sz w:val="18"/>
                <w:szCs w:val="18"/>
                <w:lang w:val="en-AU"/>
              </w:rPr>
              <w:t>23</w:t>
            </w:r>
          </w:p>
        </w:tc>
        <w:tc>
          <w:tcPr>
            <w:tcW w:w="525" w:type="dxa"/>
            <w:tcBorders>
              <w:top w:val="single" w:sz="4" w:space="0" w:color="auto"/>
            </w:tcBorders>
          </w:tcPr>
          <w:p w14:paraId="241968E9" w14:textId="77777777" w:rsidR="00306726" w:rsidRPr="008B029F" w:rsidRDefault="00306726" w:rsidP="00E47A48">
            <w:pPr>
              <w:spacing w:after="0"/>
              <w:jc w:val="both"/>
              <w:rPr>
                <w:sz w:val="18"/>
                <w:szCs w:val="18"/>
                <w:lang w:val="en-AU"/>
              </w:rPr>
            </w:pPr>
            <w:r w:rsidRPr="008B029F">
              <w:rPr>
                <w:sz w:val="18"/>
                <w:szCs w:val="18"/>
                <w:lang w:val="en-AU"/>
              </w:rPr>
              <w:t>2</w:t>
            </w:r>
          </w:p>
        </w:tc>
        <w:tc>
          <w:tcPr>
            <w:tcW w:w="525" w:type="dxa"/>
            <w:tcBorders>
              <w:top w:val="single" w:sz="4" w:space="0" w:color="auto"/>
            </w:tcBorders>
          </w:tcPr>
          <w:p w14:paraId="7DDA7E52" w14:textId="77777777" w:rsidR="00306726" w:rsidRPr="008B029F" w:rsidRDefault="00306726" w:rsidP="00E47A48">
            <w:pPr>
              <w:spacing w:after="0"/>
              <w:jc w:val="both"/>
              <w:rPr>
                <w:sz w:val="18"/>
                <w:szCs w:val="18"/>
                <w:lang w:val="en-AU"/>
              </w:rPr>
            </w:pPr>
            <w:r w:rsidRPr="008B029F">
              <w:rPr>
                <w:sz w:val="18"/>
                <w:szCs w:val="18"/>
                <w:lang w:val="en-AU"/>
              </w:rPr>
              <w:t>0</w:t>
            </w:r>
          </w:p>
        </w:tc>
        <w:tc>
          <w:tcPr>
            <w:tcW w:w="665" w:type="dxa"/>
            <w:tcBorders>
              <w:top w:val="single" w:sz="4" w:space="0" w:color="auto"/>
            </w:tcBorders>
          </w:tcPr>
          <w:p w14:paraId="422CFB29" w14:textId="77777777" w:rsidR="00306726" w:rsidRPr="008B029F" w:rsidRDefault="00306726" w:rsidP="00E47A48">
            <w:pPr>
              <w:spacing w:after="0"/>
              <w:jc w:val="both"/>
              <w:rPr>
                <w:sz w:val="18"/>
                <w:szCs w:val="18"/>
                <w:lang w:val="en-AU"/>
              </w:rPr>
            </w:pPr>
            <w:r w:rsidRPr="008B029F">
              <w:rPr>
                <w:sz w:val="18"/>
                <w:szCs w:val="18"/>
                <w:lang w:val="en-AU"/>
              </w:rPr>
              <w:t>0</w:t>
            </w:r>
          </w:p>
        </w:tc>
      </w:tr>
      <w:tr w:rsidR="001D2B1B" w:rsidRPr="008B029F" w14:paraId="05A7C6EB" w14:textId="77777777" w:rsidTr="00684519">
        <w:trPr>
          <w:gridAfter w:val="1"/>
          <w:wAfter w:w="49" w:type="dxa"/>
          <w:trHeight w:val="287"/>
          <w:jc w:val="center"/>
        </w:trPr>
        <w:tc>
          <w:tcPr>
            <w:tcW w:w="1028" w:type="dxa"/>
            <w:shd w:val="clear" w:color="auto" w:fill="auto"/>
          </w:tcPr>
          <w:p w14:paraId="34128392" w14:textId="77777777" w:rsidR="00306726" w:rsidRPr="008B029F" w:rsidRDefault="00306726" w:rsidP="00E47A48">
            <w:pPr>
              <w:spacing w:after="0"/>
              <w:jc w:val="both"/>
              <w:rPr>
                <w:sz w:val="18"/>
                <w:szCs w:val="18"/>
                <w:lang w:val="en-AU"/>
              </w:rPr>
            </w:pPr>
            <w:r w:rsidRPr="008B029F">
              <w:rPr>
                <w:sz w:val="18"/>
                <w:szCs w:val="18"/>
                <w:lang w:val="en-AU"/>
              </w:rPr>
              <w:t>Placebo</w:t>
            </w:r>
          </w:p>
        </w:tc>
        <w:tc>
          <w:tcPr>
            <w:tcW w:w="526" w:type="dxa"/>
            <w:shd w:val="clear" w:color="auto" w:fill="auto"/>
          </w:tcPr>
          <w:p w14:paraId="454E4D15" w14:textId="77777777" w:rsidR="00306726" w:rsidRPr="008B029F" w:rsidRDefault="00306726" w:rsidP="00E47A48">
            <w:pPr>
              <w:spacing w:after="0"/>
              <w:jc w:val="both"/>
              <w:rPr>
                <w:sz w:val="18"/>
                <w:szCs w:val="18"/>
                <w:lang w:val="en-AU"/>
              </w:rPr>
            </w:pPr>
            <w:r w:rsidRPr="008B029F">
              <w:rPr>
                <w:sz w:val="18"/>
                <w:szCs w:val="18"/>
                <w:lang w:val="en-AU"/>
              </w:rPr>
              <w:t>237</w:t>
            </w:r>
          </w:p>
        </w:tc>
        <w:tc>
          <w:tcPr>
            <w:tcW w:w="526" w:type="dxa"/>
            <w:shd w:val="clear" w:color="auto" w:fill="auto"/>
          </w:tcPr>
          <w:p w14:paraId="67EFFEAF" w14:textId="77777777" w:rsidR="00306726" w:rsidRPr="008B029F" w:rsidRDefault="00306726" w:rsidP="00E47A48">
            <w:pPr>
              <w:spacing w:after="0"/>
              <w:jc w:val="both"/>
              <w:rPr>
                <w:sz w:val="18"/>
                <w:szCs w:val="18"/>
                <w:lang w:val="en-AU"/>
              </w:rPr>
            </w:pPr>
            <w:r w:rsidRPr="008B029F">
              <w:rPr>
                <w:sz w:val="18"/>
                <w:szCs w:val="18"/>
                <w:lang w:val="en-AU"/>
              </w:rPr>
              <w:t>220</w:t>
            </w:r>
          </w:p>
        </w:tc>
        <w:tc>
          <w:tcPr>
            <w:tcW w:w="526" w:type="dxa"/>
            <w:shd w:val="clear" w:color="auto" w:fill="auto"/>
          </w:tcPr>
          <w:p w14:paraId="7D0A7A87" w14:textId="77777777" w:rsidR="00306726" w:rsidRPr="008B029F" w:rsidRDefault="00306726" w:rsidP="00E47A48">
            <w:pPr>
              <w:spacing w:after="0"/>
              <w:jc w:val="both"/>
              <w:rPr>
                <w:sz w:val="18"/>
                <w:szCs w:val="18"/>
                <w:lang w:val="en-AU"/>
              </w:rPr>
            </w:pPr>
            <w:r w:rsidRPr="008B029F">
              <w:rPr>
                <w:sz w:val="18"/>
                <w:szCs w:val="18"/>
                <w:lang w:val="en-AU"/>
              </w:rPr>
              <w:t>198</w:t>
            </w:r>
          </w:p>
        </w:tc>
        <w:tc>
          <w:tcPr>
            <w:tcW w:w="526" w:type="dxa"/>
            <w:shd w:val="clear" w:color="auto" w:fill="auto"/>
          </w:tcPr>
          <w:p w14:paraId="160B9005" w14:textId="77777777" w:rsidR="00306726" w:rsidRPr="008B029F" w:rsidRDefault="00306726" w:rsidP="00E47A48">
            <w:pPr>
              <w:spacing w:after="0"/>
              <w:jc w:val="both"/>
              <w:rPr>
                <w:sz w:val="18"/>
                <w:szCs w:val="18"/>
                <w:lang w:val="en-AU"/>
              </w:rPr>
            </w:pPr>
            <w:r w:rsidRPr="008B029F">
              <w:rPr>
                <w:sz w:val="18"/>
                <w:szCs w:val="18"/>
                <w:lang w:val="en-AU"/>
              </w:rPr>
              <w:t>178</w:t>
            </w:r>
          </w:p>
        </w:tc>
        <w:tc>
          <w:tcPr>
            <w:tcW w:w="526" w:type="dxa"/>
            <w:shd w:val="clear" w:color="auto" w:fill="auto"/>
          </w:tcPr>
          <w:p w14:paraId="54A0D6C6" w14:textId="77777777" w:rsidR="00306726" w:rsidRPr="008B029F" w:rsidRDefault="00306726" w:rsidP="00E47A48">
            <w:pPr>
              <w:spacing w:after="0"/>
              <w:jc w:val="both"/>
              <w:rPr>
                <w:sz w:val="18"/>
                <w:szCs w:val="18"/>
                <w:lang w:val="en-AU"/>
              </w:rPr>
            </w:pPr>
            <w:r w:rsidRPr="008B029F">
              <w:rPr>
                <w:sz w:val="18"/>
                <w:szCs w:val="18"/>
                <w:lang w:val="en-AU"/>
              </w:rPr>
              <w:t>170</w:t>
            </w:r>
          </w:p>
        </w:tc>
        <w:tc>
          <w:tcPr>
            <w:tcW w:w="526" w:type="dxa"/>
            <w:shd w:val="clear" w:color="auto" w:fill="auto"/>
          </w:tcPr>
          <w:p w14:paraId="395C444B" w14:textId="77777777" w:rsidR="00306726" w:rsidRPr="008B029F" w:rsidRDefault="00306726" w:rsidP="00E47A48">
            <w:pPr>
              <w:spacing w:after="0"/>
              <w:jc w:val="both"/>
              <w:rPr>
                <w:sz w:val="18"/>
                <w:szCs w:val="18"/>
                <w:lang w:val="en-AU"/>
              </w:rPr>
            </w:pPr>
            <w:r w:rsidRPr="008B029F">
              <w:rPr>
                <w:sz w:val="18"/>
                <w:szCs w:val="18"/>
                <w:lang w:val="en-AU"/>
              </w:rPr>
              <w:t>155</w:t>
            </w:r>
          </w:p>
        </w:tc>
        <w:tc>
          <w:tcPr>
            <w:tcW w:w="525" w:type="dxa"/>
            <w:shd w:val="clear" w:color="auto" w:fill="auto"/>
          </w:tcPr>
          <w:p w14:paraId="23B4CD56" w14:textId="77777777" w:rsidR="00306726" w:rsidRPr="008B029F" w:rsidRDefault="00306726" w:rsidP="00E47A48">
            <w:pPr>
              <w:spacing w:after="0"/>
              <w:jc w:val="both"/>
              <w:rPr>
                <w:sz w:val="18"/>
                <w:szCs w:val="18"/>
                <w:lang w:val="en-AU"/>
              </w:rPr>
            </w:pPr>
            <w:r w:rsidRPr="008B029F">
              <w:rPr>
                <w:sz w:val="18"/>
                <w:szCs w:val="18"/>
                <w:lang w:val="en-AU"/>
              </w:rPr>
              <w:t>141</w:t>
            </w:r>
          </w:p>
        </w:tc>
        <w:tc>
          <w:tcPr>
            <w:tcW w:w="525" w:type="dxa"/>
            <w:shd w:val="clear" w:color="auto" w:fill="auto"/>
          </w:tcPr>
          <w:p w14:paraId="6A3618C8" w14:textId="77777777" w:rsidR="00306726" w:rsidRPr="008B029F" w:rsidRDefault="00306726" w:rsidP="00E47A48">
            <w:pPr>
              <w:spacing w:after="0"/>
              <w:jc w:val="both"/>
              <w:rPr>
                <w:sz w:val="18"/>
                <w:szCs w:val="18"/>
                <w:lang w:val="en-AU"/>
              </w:rPr>
            </w:pPr>
            <w:r w:rsidRPr="008B029F">
              <w:rPr>
                <w:sz w:val="18"/>
                <w:szCs w:val="18"/>
                <w:lang w:val="en-AU"/>
              </w:rPr>
              <w:t>130</w:t>
            </w:r>
          </w:p>
        </w:tc>
        <w:tc>
          <w:tcPr>
            <w:tcW w:w="525" w:type="dxa"/>
            <w:shd w:val="clear" w:color="auto" w:fill="auto"/>
          </w:tcPr>
          <w:p w14:paraId="3861A7DE" w14:textId="77777777" w:rsidR="00306726" w:rsidRPr="008B029F" w:rsidRDefault="00306726" w:rsidP="00E47A48">
            <w:pPr>
              <w:spacing w:after="0"/>
              <w:jc w:val="both"/>
              <w:rPr>
                <w:sz w:val="18"/>
                <w:szCs w:val="18"/>
                <w:lang w:val="en-AU"/>
              </w:rPr>
            </w:pPr>
            <w:r w:rsidRPr="008B029F">
              <w:rPr>
                <w:sz w:val="18"/>
                <w:szCs w:val="18"/>
                <w:lang w:val="en-AU"/>
              </w:rPr>
              <w:t>117</w:t>
            </w:r>
          </w:p>
        </w:tc>
        <w:tc>
          <w:tcPr>
            <w:tcW w:w="525" w:type="dxa"/>
            <w:shd w:val="clear" w:color="auto" w:fill="auto"/>
          </w:tcPr>
          <w:p w14:paraId="1571C91E" w14:textId="77777777" w:rsidR="00306726" w:rsidRPr="008B029F" w:rsidRDefault="00306726" w:rsidP="00E47A48">
            <w:pPr>
              <w:spacing w:after="0"/>
              <w:jc w:val="both"/>
              <w:rPr>
                <w:sz w:val="18"/>
                <w:szCs w:val="18"/>
                <w:lang w:val="en-AU"/>
              </w:rPr>
            </w:pPr>
            <w:r w:rsidRPr="008B029F">
              <w:rPr>
                <w:sz w:val="18"/>
                <w:szCs w:val="18"/>
                <w:lang w:val="en-AU"/>
              </w:rPr>
              <w:t>78</w:t>
            </w:r>
          </w:p>
        </w:tc>
        <w:tc>
          <w:tcPr>
            <w:tcW w:w="525" w:type="dxa"/>
            <w:shd w:val="clear" w:color="auto" w:fill="auto"/>
          </w:tcPr>
          <w:p w14:paraId="493D32BA" w14:textId="77777777" w:rsidR="00306726" w:rsidRPr="008B029F" w:rsidRDefault="00306726" w:rsidP="00E47A48">
            <w:pPr>
              <w:spacing w:after="0"/>
              <w:jc w:val="both"/>
              <w:rPr>
                <w:sz w:val="18"/>
                <w:szCs w:val="18"/>
                <w:lang w:val="en-AU"/>
              </w:rPr>
            </w:pPr>
            <w:r w:rsidRPr="008B029F">
              <w:rPr>
                <w:sz w:val="18"/>
                <w:szCs w:val="18"/>
                <w:lang w:val="en-AU"/>
              </w:rPr>
              <w:t>42</w:t>
            </w:r>
          </w:p>
        </w:tc>
        <w:tc>
          <w:tcPr>
            <w:tcW w:w="525" w:type="dxa"/>
          </w:tcPr>
          <w:p w14:paraId="4BCFF791" w14:textId="77777777" w:rsidR="00306726" w:rsidRPr="008B029F" w:rsidRDefault="00306726" w:rsidP="00E47A48">
            <w:pPr>
              <w:spacing w:after="0"/>
              <w:jc w:val="both"/>
              <w:rPr>
                <w:sz w:val="18"/>
                <w:szCs w:val="18"/>
                <w:lang w:val="en-AU"/>
              </w:rPr>
            </w:pPr>
            <w:r w:rsidRPr="008B029F">
              <w:rPr>
                <w:sz w:val="18"/>
                <w:szCs w:val="18"/>
                <w:lang w:val="en-AU"/>
              </w:rPr>
              <w:t>21</w:t>
            </w:r>
          </w:p>
        </w:tc>
        <w:tc>
          <w:tcPr>
            <w:tcW w:w="525" w:type="dxa"/>
          </w:tcPr>
          <w:p w14:paraId="04594208" w14:textId="77777777" w:rsidR="00306726" w:rsidRPr="008B029F" w:rsidRDefault="00306726" w:rsidP="00E47A48">
            <w:pPr>
              <w:spacing w:after="0"/>
              <w:jc w:val="both"/>
              <w:rPr>
                <w:sz w:val="18"/>
                <w:szCs w:val="18"/>
                <w:lang w:val="en-AU"/>
              </w:rPr>
            </w:pPr>
            <w:r w:rsidRPr="008B029F">
              <w:rPr>
                <w:sz w:val="18"/>
                <w:szCs w:val="18"/>
                <w:lang w:val="en-AU"/>
              </w:rPr>
              <w:t>9</w:t>
            </w:r>
          </w:p>
        </w:tc>
        <w:tc>
          <w:tcPr>
            <w:tcW w:w="525" w:type="dxa"/>
          </w:tcPr>
          <w:p w14:paraId="6F46E3E7" w14:textId="77777777" w:rsidR="00306726" w:rsidRPr="008B029F" w:rsidRDefault="00306726" w:rsidP="00E47A48">
            <w:pPr>
              <w:spacing w:after="0"/>
              <w:jc w:val="both"/>
              <w:rPr>
                <w:sz w:val="18"/>
                <w:szCs w:val="18"/>
                <w:lang w:val="en-AU"/>
              </w:rPr>
            </w:pPr>
            <w:r w:rsidRPr="008B029F">
              <w:rPr>
                <w:sz w:val="18"/>
                <w:szCs w:val="18"/>
                <w:lang w:val="en-AU"/>
              </w:rPr>
              <w:t>3</w:t>
            </w:r>
          </w:p>
        </w:tc>
        <w:tc>
          <w:tcPr>
            <w:tcW w:w="525" w:type="dxa"/>
          </w:tcPr>
          <w:p w14:paraId="0DA1FB33" w14:textId="77777777" w:rsidR="00306726" w:rsidRPr="008B029F" w:rsidRDefault="00306726" w:rsidP="00E47A48">
            <w:pPr>
              <w:spacing w:after="0"/>
              <w:jc w:val="both"/>
              <w:rPr>
                <w:sz w:val="18"/>
                <w:szCs w:val="18"/>
                <w:lang w:val="en-AU"/>
              </w:rPr>
            </w:pPr>
            <w:r w:rsidRPr="008B029F">
              <w:rPr>
                <w:sz w:val="18"/>
                <w:szCs w:val="18"/>
                <w:lang w:val="en-AU"/>
              </w:rPr>
              <w:t>1</w:t>
            </w:r>
          </w:p>
        </w:tc>
        <w:tc>
          <w:tcPr>
            <w:tcW w:w="665" w:type="dxa"/>
          </w:tcPr>
          <w:p w14:paraId="1A2E84C2" w14:textId="77777777" w:rsidR="00306726" w:rsidRPr="008B029F" w:rsidRDefault="00306726" w:rsidP="00E47A48">
            <w:pPr>
              <w:spacing w:after="0"/>
              <w:jc w:val="both"/>
              <w:rPr>
                <w:sz w:val="18"/>
                <w:szCs w:val="18"/>
                <w:lang w:val="en-AU"/>
              </w:rPr>
            </w:pPr>
            <w:r w:rsidRPr="008B029F">
              <w:rPr>
                <w:sz w:val="18"/>
                <w:szCs w:val="18"/>
                <w:lang w:val="en-AU"/>
              </w:rPr>
              <w:t>0</w:t>
            </w:r>
          </w:p>
        </w:tc>
      </w:tr>
    </w:tbl>
    <w:p w14:paraId="36323C7D" w14:textId="77777777" w:rsidR="00841B1A" w:rsidRPr="008B029F" w:rsidRDefault="00841B1A" w:rsidP="00841B1A">
      <w:pPr>
        <w:pStyle w:val="Paragraph"/>
        <w:rPr>
          <w:lang w:val="en-AU"/>
        </w:rPr>
      </w:pPr>
      <w:bookmarkStart w:id="49" w:name="_Ref57379713"/>
    </w:p>
    <w:p w14:paraId="6CBCFEAF" w14:textId="28CA907F" w:rsidR="005030C7" w:rsidRPr="008B029F" w:rsidRDefault="005030C7" w:rsidP="005030C7">
      <w:pPr>
        <w:pStyle w:val="FigureTitle"/>
        <w:rPr>
          <w:lang w:val="en-AU"/>
        </w:rPr>
      </w:pPr>
      <w:bookmarkStart w:id="50" w:name="_Ref123633245"/>
      <w:r w:rsidRPr="008B029F">
        <w:rPr>
          <w:lang w:val="en-AU"/>
        </w:rPr>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2</w:t>
      </w:r>
      <w:r w:rsidRPr="008B029F">
        <w:rPr>
          <w:color w:val="2B579A"/>
          <w:shd w:val="clear" w:color="auto" w:fill="E6E6E6"/>
          <w:lang w:val="en-AU"/>
        </w:rPr>
        <w:fldChar w:fldCharType="end"/>
      </w:r>
      <w:bookmarkEnd w:id="49"/>
      <w:bookmarkEnd w:id="50"/>
      <w:r w:rsidRPr="008B029F">
        <w:rPr>
          <w:lang w:val="en-AU"/>
        </w:rPr>
        <w:tab/>
        <w:t>Kaplan-Meier curve of PFS (PACIFIC study)</w:t>
      </w:r>
    </w:p>
    <w:p w14:paraId="4D45D5BD" w14:textId="44420C8E" w:rsidR="00CB29C1" w:rsidRPr="008B029F" w:rsidRDefault="00B6049C" w:rsidP="00387635">
      <w:pPr>
        <w:pStyle w:val="Paragraph"/>
        <w:rPr>
          <w:rFonts w:cs="Arial"/>
          <w:b/>
          <w:bCs/>
          <w:iCs/>
          <w:szCs w:val="26"/>
          <w:lang w:val="en-AU"/>
        </w:rPr>
      </w:pPr>
      <w:r w:rsidRPr="008B029F">
        <w:rPr>
          <w:noProof/>
          <w:color w:val="2B579A"/>
          <w:sz w:val="18"/>
          <w:szCs w:val="18"/>
          <w:shd w:val="clear" w:color="auto" w:fill="E6E6E6"/>
          <w:lang w:val="en-AU" w:eastAsia="en-AU"/>
        </w:rPr>
        <mc:AlternateContent>
          <mc:Choice Requires="wps">
            <w:drawing>
              <wp:anchor distT="45720" distB="45720" distL="114300" distR="114300" simplePos="0" relativeHeight="251658244" behindDoc="0" locked="0" layoutInCell="1" allowOverlap="1" wp14:anchorId="509DF869" wp14:editId="1C057EF6">
                <wp:simplePos x="0" y="0"/>
                <wp:positionH relativeFrom="column">
                  <wp:posOffset>1627251</wp:posOffset>
                </wp:positionH>
                <wp:positionV relativeFrom="paragraph">
                  <wp:posOffset>2981071</wp:posOffset>
                </wp:positionV>
                <wp:extent cx="1857375"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noFill/>
                        <a:ln w="9525">
                          <a:noFill/>
                          <a:miter lim="800000"/>
                          <a:headEnd/>
                          <a:tailEnd/>
                        </a:ln>
                      </wps:spPr>
                      <wps:txbx>
                        <w:txbxContent>
                          <w:p w14:paraId="138FF840" w14:textId="77777777" w:rsidR="00B37054" w:rsidRPr="00F15E3A" w:rsidRDefault="00B37054" w:rsidP="00FD7D8A">
                            <w:pPr>
                              <w:keepNext/>
                              <w:spacing w:after="0"/>
                              <w:rPr>
                                <w:sz w:val="18"/>
                                <w:szCs w:val="18"/>
                              </w:rPr>
                            </w:pPr>
                            <w:r w:rsidRPr="00F15E3A">
                              <w:rPr>
                                <w:sz w:val="18"/>
                                <w:szCs w:val="18"/>
                              </w:rPr>
                              <w:t>Time from randomisation</w:t>
                            </w:r>
                            <w:r>
                              <w:rPr>
                                <w:sz w:val="18"/>
                                <w:szCs w:val="18"/>
                              </w:rPr>
                              <w:t xml:space="preserve">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DF869" id="Text Box 6" o:spid="_x0000_s1030" type="#_x0000_t202" style="position:absolute;margin-left:128.15pt;margin-top:234.75pt;width:146.2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Qa/wEAANUDAAAOAAAAZHJzL2Uyb0RvYy54bWysU11v2yAUfZ+0/4B4X+xkTpNaIVXXLtOk&#10;7kNq9wMIxjEacBmQ2Nmv3wWnabS9VfMDAl/uufece1jdDEaTg/RBgWV0OikpkVZAo+yO0R9Pm3d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" filled="f" stroked="f">
                <v:textbox style="mso-fit-shape-to-text:t">
                  <w:txbxContent>
                    <w:p w14:paraId="138FF840" w14:textId="77777777" w:rsidR="00B37054" w:rsidRPr="00F15E3A" w:rsidRDefault="00B37054" w:rsidP="00FD7D8A">
                      <w:pPr>
                        <w:keepNext/>
                        <w:spacing w:after="0"/>
                        <w:rPr>
                          <w:sz w:val="18"/>
                          <w:szCs w:val="18"/>
                        </w:rPr>
                      </w:pPr>
                      <w:r w:rsidRPr="00F15E3A">
                        <w:rPr>
                          <w:sz w:val="18"/>
                          <w:szCs w:val="18"/>
                        </w:rPr>
                        <w:t>Time from randomisation</w:t>
                      </w:r>
                      <w:r>
                        <w:rPr>
                          <w:sz w:val="18"/>
                          <w:szCs w:val="18"/>
                        </w:rPr>
                        <w:t xml:space="preserve"> (months)</w:t>
                      </w:r>
                    </w:p>
                  </w:txbxContent>
                </v:textbox>
              </v:shape>
            </w:pict>
          </mc:Fallback>
        </mc:AlternateContent>
      </w:r>
      <w:r w:rsidRPr="008B029F">
        <w:rPr>
          <w:noProof/>
          <w:color w:val="2B579A"/>
          <w:shd w:val="clear" w:color="auto" w:fill="E6E6E6"/>
          <w:lang w:val="en-AU" w:eastAsia="en-AU"/>
        </w:rPr>
        <mc:AlternateContent>
          <mc:Choice Requires="wps">
            <w:drawing>
              <wp:anchor distT="45720" distB="45720" distL="114300" distR="114300" simplePos="0" relativeHeight="251658242" behindDoc="0" locked="0" layoutInCell="1" allowOverlap="1" wp14:anchorId="273429D3" wp14:editId="0B0450CD">
                <wp:simplePos x="0" y="0"/>
                <wp:positionH relativeFrom="margin">
                  <wp:posOffset>2119376</wp:posOffset>
                </wp:positionH>
                <wp:positionV relativeFrom="paragraph">
                  <wp:posOffset>65024</wp:posOffset>
                </wp:positionV>
                <wp:extent cx="2481852" cy="790575"/>
                <wp:effectExtent l="0" t="0" r="1397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852" cy="790575"/>
                        </a:xfrm>
                        <a:prstGeom prst="rect">
                          <a:avLst/>
                        </a:prstGeom>
                        <a:noFill/>
                        <a:ln w="9525">
                          <a:solidFill>
                            <a:srgbClr val="000000"/>
                          </a:solidFill>
                          <a:miter lim="800000"/>
                          <a:headEnd/>
                          <a:tailEnd/>
                        </a:ln>
                      </wps:spPr>
                      <wps:txbx>
                        <w:txbxContent>
                          <w:p w14:paraId="6FE3854A" w14:textId="77777777" w:rsidR="00B37054" w:rsidRPr="004F7532" w:rsidRDefault="00B37054" w:rsidP="00E00EE9">
                            <w:pPr>
                              <w:tabs>
                                <w:tab w:val="left" w:pos="567"/>
                              </w:tabs>
                              <w:spacing w:after="0" w:line="260" w:lineRule="exact"/>
                              <w:rPr>
                                <w:sz w:val="16"/>
                                <w:szCs w:val="16"/>
                              </w:rPr>
                            </w:pPr>
                            <w:r>
                              <w:rPr>
                                <w:sz w:val="16"/>
                                <w:szCs w:val="16"/>
                              </w:rPr>
                              <w:tab/>
                            </w:r>
                            <w:r>
                              <w:rPr>
                                <w:sz w:val="16"/>
                                <w:szCs w:val="16"/>
                              </w:rPr>
                              <w:tab/>
                            </w:r>
                            <w:r>
                              <w:rPr>
                                <w:sz w:val="16"/>
                                <w:szCs w:val="16"/>
                              </w:rPr>
                              <w:tab/>
                            </w:r>
                            <w:r>
                              <w:rPr>
                                <w:sz w:val="16"/>
                                <w:szCs w:val="16"/>
                              </w:rPr>
                              <w:tab/>
                            </w:r>
                            <w:r w:rsidRPr="004F7532">
                              <w:rPr>
                                <w:sz w:val="16"/>
                                <w:szCs w:val="16"/>
                              </w:rPr>
                              <w:t>Median PFS (95% CI)</w:t>
                            </w:r>
                          </w:p>
                          <w:p w14:paraId="067D69E3" w14:textId="77777777" w:rsidR="00B37054" w:rsidRPr="004F7532" w:rsidRDefault="00B37054" w:rsidP="00E00EE9">
                            <w:pPr>
                              <w:tabs>
                                <w:tab w:val="left" w:pos="567"/>
                              </w:tabs>
                              <w:spacing w:after="0" w:line="260" w:lineRule="exact"/>
                              <w:rPr>
                                <w:sz w:val="16"/>
                                <w:szCs w:val="16"/>
                              </w:rPr>
                            </w:pPr>
                            <w:r w:rsidRPr="004F7532">
                              <w:rPr>
                                <w:sz w:val="16"/>
                                <w:szCs w:val="16"/>
                              </w:rPr>
                              <w:t xml:space="preserve">     </w:t>
                            </w:r>
                            <w:r>
                              <w:rPr>
                                <w:sz w:val="16"/>
                                <w:szCs w:val="16"/>
                              </w:rPr>
                              <w:t xml:space="preserve">     </w:t>
                            </w:r>
                            <w:r w:rsidRPr="004F7532">
                              <w:rPr>
                                <w:sz w:val="16"/>
                                <w:szCs w:val="16"/>
                              </w:rPr>
                              <w:t xml:space="preserve">   </w:t>
                            </w:r>
                            <w:r>
                              <w:rPr>
                                <w:sz w:val="16"/>
                                <w:szCs w:val="16"/>
                              </w:rPr>
                              <w:t>IMFINZI</w:t>
                            </w:r>
                            <w:r w:rsidRPr="004F7532">
                              <w:rPr>
                                <w:sz w:val="16"/>
                                <w:szCs w:val="16"/>
                              </w:rPr>
                              <w:tab/>
                              <w:t xml:space="preserve">    </w:t>
                            </w:r>
                            <w:r w:rsidRPr="004F7532">
                              <w:rPr>
                                <w:sz w:val="16"/>
                                <w:szCs w:val="16"/>
                              </w:rPr>
                              <w:tab/>
                              <w:t xml:space="preserve">     16.8 (13.0, 18.1)</w:t>
                            </w:r>
                          </w:p>
                          <w:p w14:paraId="1453E2A3" w14:textId="77777777" w:rsidR="00B37054" w:rsidRPr="004F7532" w:rsidRDefault="00B37054" w:rsidP="00E00EE9">
                            <w:pPr>
                              <w:tabs>
                                <w:tab w:val="left" w:pos="567"/>
                              </w:tabs>
                              <w:spacing w:after="0" w:line="260" w:lineRule="exact"/>
                              <w:rPr>
                                <w:sz w:val="16"/>
                                <w:szCs w:val="16"/>
                              </w:rPr>
                            </w:pPr>
                            <w:r w:rsidRPr="004F7532">
                              <w:rPr>
                                <w:sz w:val="16"/>
                                <w:szCs w:val="16"/>
                              </w:rPr>
                              <w:tab/>
                              <w:t xml:space="preserve">Placebo </w:t>
                            </w:r>
                            <w:r w:rsidRPr="004F7532">
                              <w:rPr>
                                <w:sz w:val="16"/>
                                <w:szCs w:val="16"/>
                              </w:rPr>
                              <w:tab/>
                            </w:r>
                            <w:r w:rsidRPr="004F7532">
                              <w:rPr>
                                <w:sz w:val="16"/>
                                <w:szCs w:val="16"/>
                              </w:rPr>
                              <w:tab/>
                              <w:t xml:space="preserve">       5.6 (4.6, 7.8) </w:t>
                            </w:r>
                          </w:p>
                          <w:p w14:paraId="712A5164" w14:textId="77777777" w:rsidR="00B37054" w:rsidRPr="004F7532" w:rsidRDefault="00B37054" w:rsidP="00E00EE9">
                            <w:pPr>
                              <w:tabs>
                                <w:tab w:val="left" w:pos="567"/>
                              </w:tabs>
                              <w:spacing w:after="0" w:line="260" w:lineRule="exact"/>
                              <w:rPr>
                                <w:sz w:val="16"/>
                                <w:szCs w:val="16"/>
                              </w:rPr>
                            </w:pPr>
                            <w:r w:rsidRPr="004F7532">
                              <w:rPr>
                                <w:sz w:val="16"/>
                                <w:szCs w:val="16"/>
                              </w:rPr>
                              <w:t>Hazard ratio (95% CI):</w:t>
                            </w:r>
                            <w:r w:rsidRPr="004F7532">
                              <w:rPr>
                                <w:sz w:val="16"/>
                                <w:szCs w:val="16"/>
                              </w:rPr>
                              <w:tab/>
                              <w:t xml:space="preserve">     0.52 (0.42, 0.65)</w:t>
                            </w:r>
                          </w:p>
                          <w:p w14:paraId="7F8162C9" w14:textId="77777777" w:rsidR="00B37054" w:rsidRDefault="00B37054" w:rsidP="00E00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429D3" id="Text Box 24" o:spid="_x0000_s1031" type="#_x0000_t202" style="position:absolute;margin-left:166.9pt;margin-top:5.1pt;width:195.4pt;height:6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" filled="f">
                <v:textbox>
                  <w:txbxContent>
                    <w:p w14:paraId="6FE3854A" w14:textId="77777777" w:rsidR="00B37054" w:rsidRPr="004F7532" w:rsidRDefault="00B37054" w:rsidP="00E00EE9">
                      <w:pPr>
                        <w:tabs>
                          <w:tab w:val="left" w:pos="567"/>
                        </w:tabs>
                        <w:spacing w:after="0" w:line="260" w:lineRule="exact"/>
                        <w:rPr>
                          <w:sz w:val="16"/>
                          <w:szCs w:val="16"/>
                        </w:rPr>
                      </w:pPr>
                      <w:r>
                        <w:rPr>
                          <w:sz w:val="16"/>
                          <w:szCs w:val="16"/>
                        </w:rPr>
                        <w:tab/>
                      </w:r>
                      <w:r>
                        <w:rPr>
                          <w:sz w:val="16"/>
                          <w:szCs w:val="16"/>
                        </w:rPr>
                        <w:tab/>
                      </w:r>
                      <w:r>
                        <w:rPr>
                          <w:sz w:val="16"/>
                          <w:szCs w:val="16"/>
                        </w:rPr>
                        <w:tab/>
                      </w:r>
                      <w:r>
                        <w:rPr>
                          <w:sz w:val="16"/>
                          <w:szCs w:val="16"/>
                        </w:rPr>
                        <w:tab/>
                      </w:r>
                      <w:r w:rsidRPr="004F7532">
                        <w:rPr>
                          <w:sz w:val="16"/>
                          <w:szCs w:val="16"/>
                        </w:rPr>
                        <w:t>Median PFS (95% CI)</w:t>
                      </w:r>
                    </w:p>
                    <w:p w14:paraId="067D69E3" w14:textId="77777777" w:rsidR="00B37054" w:rsidRPr="004F7532" w:rsidRDefault="00B37054" w:rsidP="00E00EE9">
                      <w:pPr>
                        <w:tabs>
                          <w:tab w:val="left" w:pos="567"/>
                        </w:tabs>
                        <w:spacing w:after="0" w:line="260" w:lineRule="exact"/>
                        <w:rPr>
                          <w:sz w:val="16"/>
                          <w:szCs w:val="16"/>
                        </w:rPr>
                      </w:pPr>
                      <w:r w:rsidRPr="004F7532">
                        <w:rPr>
                          <w:sz w:val="16"/>
                          <w:szCs w:val="16"/>
                        </w:rPr>
                        <w:t xml:space="preserve">     </w:t>
                      </w:r>
                      <w:r>
                        <w:rPr>
                          <w:sz w:val="16"/>
                          <w:szCs w:val="16"/>
                        </w:rPr>
                        <w:t xml:space="preserve">     </w:t>
                      </w:r>
                      <w:r w:rsidRPr="004F7532">
                        <w:rPr>
                          <w:sz w:val="16"/>
                          <w:szCs w:val="16"/>
                        </w:rPr>
                        <w:t xml:space="preserve">   </w:t>
                      </w:r>
                      <w:r>
                        <w:rPr>
                          <w:sz w:val="16"/>
                          <w:szCs w:val="16"/>
                        </w:rPr>
                        <w:t>IMFINZI</w:t>
                      </w:r>
                      <w:r w:rsidRPr="004F7532">
                        <w:rPr>
                          <w:sz w:val="16"/>
                          <w:szCs w:val="16"/>
                        </w:rPr>
                        <w:tab/>
                        <w:t xml:space="preserve">    </w:t>
                      </w:r>
                      <w:r w:rsidRPr="004F7532">
                        <w:rPr>
                          <w:sz w:val="16"/>
                          <w:szCs w:val="16"/>
                        </w:rPr>
                        <w:tab/>
                        <w:t xml:space="preserve">     16.8 (13.0, 18.1)</w:t>
                      </w:r>
                    </w:p>
                    <w:p w14:paraId="1453E2A3" w14:textId="77777777" w:rsidR="00B37054" w:rsidRPr="004F7532" w:rsidRDefault="00B37054" w:rsidP="00E00EE9">
                      <w:pPr>
                        <w:tabs>
                          <w:tab w:val="left" w:pos="567"/>
                        </w:tabs>
                        <w:spacing w:after="0" w:line="260" w:lineRule="exact"/>
                        <w:rPr>
                          <w:sz w:val="16"/>
                          <w:szCs w:val="16"/>
                        </w:rPr>
                      </w:pPr>
                      <w:r w:rsidRPr="004F7532">
                        <w:rPr>
                          <w:sz w:val="16"/>
                          <w:szCs w:val="16"/>
                        </w:rPr>
                        <w:tab/>
                        <w:t xml:space="preserve">Placebo </w:t>
                      </w:r>
                      <w:r w:rsidRPr="004F7532">
                        <w:rPr>
                          <w:sz w:val="16"/>
                          <w:szCs w:val="16"/>
                        </w:rPr>
                        <w:tab/>
                      </w:r>
                      <w:r w:rsidRPr="004F7532">
                        <w:rPr>
                          <w:sz w:val="16"/>
                          <w:szCs w:val="16"/>
                        </w:rPr>
                        <w:tab/>
                        <w:t xml:space="preserve">       5.6 (4.6, 7.8) </w:t>
                      </w:r>
                    </w:p>
                    <w:p w14:paraId="712A5164" w14:textId="77777777" w:rsidR="00B37054" w:rsidRPr="004F7532" w:rsidRDefault="00B37054" w:rsidP="00E00EE9">
                      <w:pPr>
                        <w:tabs>
                          <w:tab w:val="left" w:pos="567"/>
                        </w:tabs>
                        <w:spacing w:after="0" w:line="260" w:lineRule="exact"/>
                        <w:rPr>
                          <w:sz w:val="16"/>
                          <w:szCs w:val="16"/>
                        </w:rPr>
                      </w:pPr>
                      <w:r w:rsidRPr="004F7532">
                        <w:rPr>
                          <w:sz w:val="16"/>
                          <w:szCs w:val="16"/>
                        </w:rPr>
                        <w:t>Hazard ratio (95% CI):</w:t>
                      </w:r>
                      <w:r w:rsidRPr="004F7532">
                        <w:rPr>
                          <w:sz w:val="16"/>
                          <w:szCs w:val="16"/>
                        </w:rPr>
                        <w:tab/>
                        <w:t xml:space="preserve">     0.52 (0.42, 0.65)</w:t>
                      </w:r>
                    </w:p>
                    <w:p w14:paraId="7F8162C9" w14:textId="77777777" w:rsidR="00B37054" w:rsidRDefault="00B37054" w:rsidP="00E00EE9"/>
                  </w:txbxContent>
                </v:textbox>
                <w10:wrap anchorx="margin"/>
              </v:shape>
            </w:pict>
          </mc:Fallback>
        </mc:AlternateContent>
      </w:r>
      <w:r w:rsidR="00FD7D8A" w:rsidRPr="008B029F">
        <w:rPr>
          <w:noProof/>
          <w:color w:val="2B579A"/>
          <w:shd w:val="clear" w:color="auto" w:fill="E6E6E6"/>
          <w:lang w:val="en-AU" w:eastAsia="en-AU"/>
        </w:rPr>
        <mc:AlternateContent>
          <mc:Choice Requires="wps">
            <w:drawing>
              <wp:anchor distT="45720" distB="45720" distL="114300" distR="114300" simplePos="0" relativeHeight="251658241" behindDoc="0" locked="0" layoutInCell="1" allowOverlap="1" wp14:anchorId="24BF900C" wp14:editId="17FF62C2">
                <wp:simplePos x="0" y="0"/>
                <wp:positionH relativeFrom="leftMargin">
                  <wp:posOffset>512280</wp:posOffset>
                </wp:positionH>
                <wp:positionV relativeFrom="paragraph">
                  <wp:posOffset>857286</wp:posOffset>
                </wp:positionV>
                <wp:extent cx="457200" cy="10731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73150"/>
                        </a:xfrm>
                        <a:prstGeom prst="rect">
                          <a:avLst/>
                        </a:prstGeom>
                        <a:noFill/>
                        <a:ln w="9525">
                          <a:noFill/>
                          <a:miter lim="800000"/>
                          <a:headEnd/>
                          <a:tailEnd/>
                        </a:ln>
                      </wps:spPr>
                      <wps:txbx>
                        <w:txbxContent>
                          <w:p w14:paraId="2C36B50D" w14:textId="77777777" w:rsidR="00B37054" w:rsidRPr="00446880" w:rsidRDefault="00B37054" w:rsidP="00D506B5">
                            <w:pPr>
                              <w:rPr>
                                <w:sz w:val="18"/>
                                <w:szCs w:val="18"/>
                              </w:rPr>
                            </w:pPr>
                            <w:r w:rsidRPr="00446880">
                              <w:rPr>
                                <w:sz w:val="18"/>
                                <w:szCs w:val="18"/>
                              </w:rPr>
                              <w:t xml:space="preserve">Probability of </w:t>
                            </w:r>
                            <w:r>
                              <w:rPr>
                                <w:sz w:val="18"/>
                                <w:szCs w:val="18"/>
                              </w:rPr>
                              <w:t>PFS</w:t>
                            </w:r>
                          </w:p>
                          <w:p w14:paraId="49CC6D45" w14:textId="77777777" w:rsidR="00B37054" w:rsidRPr="00446880" w:rsidRDefault="00B37054" w:rsidP="00D506B5">
                            <w:pPr>
                              <w:rPr>
                                <w:sz w:val="18"/>
                                <w:szCs w:val="1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900C" id="Text Box 9" o:spid="_x0000_s1032" type="#_x0000_t202" style="position:absolute;margin-left:40.35pt;margin-top:67.5pt;width:36pt;height:84.5pt;z-index:25165824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" filled="f" stroked="f">
                <v:textbox style="layout-flow:vertical;mso-layout-flow-alt:bottom-to-top">
                  <w:txbxContent>
                    <w:p w14:paraId="2C36B50D" w14:textId="77777777" w:rsidR="00B37054" w:rsidRPr="00446880" w:rsidRDefault="00B37054" w:rsidP="00D506B5">
                      <w:pPr>
                        <w:rPr>
                          <w:sz w:val="18"/>
                          <w:szCs w:val="18"/>
                        </w:rPr>
                      </w:pPr>
                      <w:r w:rsidRPr="00446880">
                        <w:rPr>
                          <w:sz w:val="18"/>
                          <w:szCs w:val="18"/>
                        </w:rPr>
                        <w:t xml:space="preserve">Probability of </w:t>
                      </w:r>
                      <w:r>
                        <w:rPr>
                          <w:sz w:val="18"/>
                          <w:szCs w:val="18"/>
                        </w:rPr>
                        <w:t>PFS</w:t>
                      </w:r>
                    </w:p>
                    <w:p w14:paraId="49CC6D45" w14:textId="77777777" w:rsidR="00B37054" w:rsidRPr="00446880" w:rsidRDefault="00B37054" w:rsidP="00D506B5">
                      <w:pPr>
                        <w:rPr>
                          <w:sz w:val="18"/>
                          <w:szCs w:val="18"/>
                        </w:rPr>
                      </w:pPr>
                    </w:p>
                  </w:txbxContent>
                </v:textbox>
                <w10:wrap anchorx="margin"/>
              </v:shape>
            </w:pict>
          </mc:Fallback>
        </mc:AlternateContent>
      </w:r>
      <w:r w:rsidR="00CB29C1" w:rsidRPr="008B029F">
        <w:rPr>
          <w:noProof/>
          <w:color w:val="2B579A"/>
          <w:shd w:val="clear" w:color="auto" w:fill="E6E6E6"/>
          <w:lang w:val="en-AU" w:eastAsia="en-AU"/>
        </w:rPr>
        <w:drawing>
          <wp:inline distT="0" distB="0" distL="0" distR="0" wp14:anchorId="717F286A" wp14:editId="0B42DC5C">
            <wp:extent cx="4780345" cy="3101340"/>
            <wp:effectExtent l="0" t="0" r="127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0345" cy="3101340"/>
                    </a:xfrm>
                    <a:prstGeom prst="rect">
                      <a:avLst/>
                    </a:prstGeom>
                  </pic:spPr>
                </pic:pic>
              </a:graphicData>
            </a:graphic>
          </wp:inline>
        </w:drawing>
      </w:r>
    </w:p>
    <w:tbl>
      <w:tblPr>
        <w:tblW w:w="4524" w:type="pct"/>
        <w:tblLayout w:type="fixed"/>
        <w:tblLook w:val="04A0" w:firstRow="1" w:lastRow="0" w:firstColumn="1" w:lastColumn="0" w:noHBand="0" w:noVBand="1"/>
      </w:tblPr>
      <w:tblGrid>
        <w:gridCol w:w="1421"/>
        <w:gridCol w:w="667"/>
        <w:gridCol w:w="667"/>
        <w:gridCol w:w="666"/>
        <w:gridCol w:w="666"/>
        <w:gridCol w:w="664"/>
        <w:gridCol w:w="664"/>
        <w:gridCol w:w="664"/>
        <w:gridCol w:w="664"/>
        <w:gridCol w:w="664"/>
        <w:gridCol w:w="664"/>
        <w:gridCol w:w="630"/>
        <w:gridCol w:w="19"/>
      </w:tblGrid>
      <w:tr w:rsidR="00D506B5" w:rsidRPr="008B029F" w14:paraId="39144BCC" w14:textId="77777777" w:rsidTr="00AB5EAD">
        <w:trPr>
          <w:gridAfter w:val="1"/>
          <w:wAfter w:w="11" w:type="pct"/>
        </w:trPr>
        <w:tc>
          <w:tcPr>
            <w:tcW w:w="4989" w:type="pct"/>
            <w:gridSpan w:val="12"/>
            <w:shd w:val="clear" w:color="auto" w:fill="auto"/>
          </w:tcPr>
          <w:p w14:paraId="0B2582B7" w14:textId="77777777" w:rsidR="00D506B5" w:rsidRPr="008B029F" w:rsidRDefault="00D506B5" w:rsidP="00D506B5">
            <w:pPr>
              <w:tabs>
                <w:tab w:val="left" w:pos="567"/>
              </w:tabs>
              <w:spacing w:after="0" w:line="260" w:lineRule="exact"/>
              <w:rPr>
                <w:sz w:val="18"/>
                <w:szCs w:val="18"/>
                <w:lang w:val="en-AU"/>
              </w:rPr>
            </w:pPr>
            <w:r w:rsidRPr="008B029F">
              <w:rPr>
                <w:sz w:val="18"/>
                <w:szCs w:val="18"/>
                <w:lang w:val="en-AU"/>
              </w:rPr>
              <w:t>Number of patients at risk</w:t>
            </w:r>
          </w:p>
        </w:tc>
      </w:tr>
      <w:tr w:rsidR="001D2B1B" w:rsidRPr="008B029F" w14:paraId="57CCF824" w14:textId="77777777" w:rsidTr="00B6049C">
        <w:tc>
          <w:tcPr>
            <w:tcW w:w="814" w:type="pct"/>
            <w:tcBorders>
              <w:bottom w:val="single" w:sz="4" w:space="0" w:color="auto"/>
            </w:tcBorders>
            <w:shd w:val="clear" w:color="auto" w:fill="auto"/>
          </w:tcPr>
          <w:p w14:paraId="5AAC961E"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Month</w:t>
            </w:r>
          </w:p>
        </w:tc>
        <w:tc>
          <w:tcPr>
            <w:tcW w:w="382" w:type="pct"/>
            <w:tcBorders>
              <w:bottom w:val="single" w:sz="4" w:space="0" w:color="auto"/>
            </w:tcBorders>
            <w:shd w:val="clear" w:color="auto" w:fill="auto"/>
          </w:tcPr>
          <w:p w14:paraId="2A07E1E7"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0</w:t>
            </w:r>
          </w:p>
        </w:tc>
        <w:tc>
          <w:tcPr>
            <w:tcW w:w="382" w:type="pct"/>
            <w:tcBorders>
              <w:bottom w:val="single" w:sz="4" w:space="0" w:color="auto"/>
            </w:tcBorders>
            <w:shd w:val="clear" w:color="auto" w:fill="auto"/>
          </w:tcPr>
          <w:p w14:paraId="0B722F11"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3</w:t>
            </w:r>
          </w:p>
        </w:tc>
        <w:tc>
          <w:tcPr>
            <w:tcW w:w="382" w:type="pct"/>
            <w:tcBorders>
              <w:bottom w:val="single" w:sz="4" w:space="0" w:color="auto"/>
            </w:tcBorders>
            <w:shd w:val="clear" w:color="auto" w:fill="auto"/>
          </w:tcPr>
          <w:p w14:paraId="368451FA"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6</w:t>
            </w:r>
          </w:p>
        </w:tc>
        <w:tc>
          <w:tcPr>
            <w:tcW w:w="382" w:type="pct"/>
            <w:tcBorders>
              <w:bottom w:val="single" w:sz="4" w:space="0" w:color="auto"/>
            </w:tcBorders>
            <w:shd w:val="clear" w:color="auto" w:fill="auto"/>
          </w:tcPr>
          <w:p w14:paraId="0D49C382"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9</w:t>
            </w:r>
          </w:p>
        </w:tc>
        <w:tc>
          <w:tcPr>
            <w:tcW w:w="381" w:type="pct"/>
            <w:tcBorders>
              <w:bottom w:val="single" w:sz="4" w:space="0" w:color="auto"/>
            </w:tcBorders>
            <w:shd w:val="clear" w:color="auto" w:fill="auto"/>
          </w:tcPr>
          <w:p w14:paraId="61DE03FA"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12</w:t>
            </w:r>
          </w:p>
        </w:tc>
        <w:tc>
          <w:tcPr>
            <w:tcW w:w="381" w:type="pct"/>
            <w:tcBorders>
              <w:bottom w:val="single" w:sz="4" w:space="0" w:color="auto"/>
            </w:tcBorders>
            <w:shd w:val="clear" w:color="auto" w:fill="auto"/>
          </w:tcPr>
          <w:p w14:paraId="1D4B7F0A"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15</w:t>
            </w:r>
          </w:p>
        </w:tc>
        <w:tc>
          <w:tcPr>
            <w:tcW w:w="381" w:type="pct"/>
            <w:tcBorders>
              <w:bottom w:val="single" w:sz="4" w:space="0" w:color="auto"/>
            </w:tcBorders>
            <w:shd w:val="clear" w:color="auto" w:fill="auto"/>
          </w:tcPr>
          <w:p w14:paraId="745567B7"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18</w:t>
            </w:r>
          </w:p>
        </w:tc>
        <w:tc>
          <w:tcPr>
            <w:tcW w:w="381" w:type="pct"/>
            <w:tcBorders>
              <w:bottom w:val="single" w:sz="4" w:space="0" w:color="auto"/>
            </w:tcBorders>
            <w:shd w:val="clear" w:color="auto" w:fill="auto"/>
          </w:tcPr>
          <w:p w14:paraId="0B78C375"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21</w:t>
            </w:r>
          </w:p>
        </w:tc>
        <w:tc>
          <w:tcPr>
            <w:tcW w:w="381" w:type="pct"/>
            <w:tcBorders>
              <w:bottom w:val="single" w:sz="4" w:space="0" w:color="auto"/>
            </w:tcBorders>
            <w:shd w:val="clear" w:color="auto" w:fill="auto"/>
          </w:tcPr>
          <w:p w14:paraId="32EF093D"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24</w:t>
            </w:r>
          </w:p>
        </w:tc>
        <w:tc>
          <w:tcPr>
            <w:tcW w:w="381" w:type="pct"/>
            <w:tcBorders>
              <w:bottom w:val="single" w:sz="4" w:space="0" w:color="auto"/>
            </w:tcBorders>
            <w:shd w:val="clear" w:color="auto" w:fill="auto"/>
          </w:tcPr>
          <w:p w14:paraId="174249AC"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27</w:t>
            </w:r>
          </w:p>
        </w:tc>
        <w:tc>
          <w:tcPr>
            <w:tcW w:w="373" w:type="pct"/>
            <w:gridSpan w:val="2"/>
            <w:tcBorders>
              <w:bottom w:val="single" w:sz="4" w:space="0" w:color="auto"/>
            </w:tcBorders>
            <w:shd w:val="clear" w:color="auto" w:fill="auto"/>
          </w:tcPr>
          <w:p w14:paraId="6510FD29"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30</w:t>
            </w:r>
          </w:p>
        </w:tc>
      </w:tr>
      <w:tr w:rsidR="001D2B1B" w:rsidRPr="008B029F" w14:paraId="01B05F4C" w14:textId="77777777" w:rsidTr="00B6049C">
        <w:tc>
          <w:tcPr>
            <w:tcW w:w="814" w:type="pct"/>
            <w:tcBorders>
              <w:top w:val="single" w:sz="4" w:space="0" w:color="auto"/>
            </w:tcBorders>
            <w:shd w:val="clear" w:color="auto" w:fill="auto"/>
          </w:tcPr>
          <w:p w14:paraId="6D586CA5"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IMFINZI</w:t>
            </w:r>
          </w:p>
        </w:tc>
        <w:tc>
          <w:tcPr>
            <w:tcW w:w="382" w:type="pct"/>
            <w:tcBorders>
              <w:top w:val="single" w:sz="4" w:space="0" w:color="auto"/>
            </w:tcBorders>
            <w:shd w:val="clear" w:color="auto" w:fill="auto"/>
          </w:tcPr>
          <w:p w14:paraId="744CE189"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476</w:t>
            </w:r>
          </w:p>
        </w:tc>
        <w:tc>
          <w:tcPr>
            <w:tcW w:w="382" w:type="pct"/>
            <w:tcBorders>
              <w:top w:val="single" w:sz="4" w:space="0" w:color="auto"/>
            </w:tcBorders>
            <w:shd w:val="clear" w:color="auto" w:fill="auto"/>
          </w:tcPr>
          <w:p w14:paraId="44753EAE"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377</w:t>
            </w:r>
          </w:p>
        </w:tc>
        <w:tc>
          <w:tcPr>
            <w:tcW w:w="382" w:type="pct"/>
            <w:tcBorders>
              <w:top w:val="single" w:sz="4" w:space="0" w:color="auto"/>
            </w:tcBorders>
            <w:shd w:val="clear" w:color="auto" w:fill="auto"/>
          </w:tcPr>
          <w:p w14:paraId="60F26111"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301</w:t>
            </w:r>
          </w:p>
        </w:tc>
        <w:tc>
          <w:tcPr>
            <w:tcW w:w="382" w:type="pct"/>
            <w:tcBorders>
              <w:top w:val="single" w:sz="4" w:space="0" w:color="auto"/>
            </w:tcBorders>
            <w:shd w:val="clear" w:color="auto" w:fill="auto"/>
          </w:tcPr>
          <w:p w14:paraId="4D82AA6F"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264</w:t>
            </w:r>
          </w:p>
        </w:tc>
        <w:tc>
          <w:tcPr>
            <w:tcW w:w="381" w:type="pct"/>
            <w:tcBorders>
              <w:top w:val="single" w:sz="4" w:space="0" w:color="auto"/>
            </w:tcBorders>
            <w:shd w:val="clear" w:color="auto" w:fill="auto"/>
          </w:tcPr>
          <w:p w14:paraId="28D13553"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159</w:t>
            </w:r>
          </w:p>
        </w:tc>
        <w:tc>
          <w:tcPr>
            <w:tcW w:w="381" w:type="pct"/>
            <w:tcBorders>
              <w:top w:val="single" w:sz="4" w:space="0" w:color="auto"/>
            </w:tcBorders>
            <w:shd w:val="clear" w:color="auto" w:fill="auto"/>
          </w:tcPr>
          <w:p w14:paraId="7CF77230"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86</w:t>
            </w:r>
          </w:p>
        </w:tc>
        <w:tc>
          <w:tcPr>
            <w:tcW w:w="381" w:type="pct"/>
            <w:tcBorders>
              <w:top w:val="single" w:sz="4" w:space="0" w:color="auto"/>
            </w:tcBorders>
            <w:shd w:val="clear" w:color="auto" w:fill="auto"/>
          </w:tcPr>
          <w:p w14:paraId="3BE48EC1"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44</w:t>
            </w:r>
          </w:p>
        </w:tc>
        <w:tc>
          <w:tcPr>
            <w:tcW w:w="381" w:type="pct"/>
            <w:tcBorders>
              <w:top w:val="single" w:sz="4" w:space="0" w:color="auto"/>
            </w:tcBorders>
            <w:shd w:val="clear" w:color="auto" w:fill="auto"/>
          </w:tcPr>
          <w:p w14:paraId="4A454A92"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21</w:t>
            </w:r>
          </w:p>
        </w:tc>
        <w:tc>
          <w:tcPr>
            <w:tcW w:w="381" w:type="pct"/>
            <w:tcBorders>
              <w:top w:val="single" w:sz="4" w:space="0" w:color="auto"/>
            </w:tcBorders>
            <w:shd w:val="clear" w:color="auto" w:fill="auto"/>
          </w:tcPr>
          <w:p w14:paraId="5F4A8F51"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4</w:t>
            </w:r>
          </w:p>
        </w:tc>
        <w:tc>
          <w:tcPr>
            <w:tcW w:w="381" w:type="pct"/>
            <w:tcBorders>
              <w:top w:val="single" w:sz="4" w:space="0" w:color="auto"/>
            </w:tcBorders>
            <w:shd w:val="clear" w:color="auto" w:fill="auto"/>
          </w:tcPr>
          <w:p w14:paraId="4A68ECD1"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w:t>
            </w:r>
          </w:p>
        </w:tc>
        <w:tc>
          <w:tcPr>
            <w:tcW w:w="373" w:type="pct"/>
            <w:gridSpan w:val="2"/>
            <w:tcBorders>
              <w:top w:val="single" w:sz="4" w:space="0" w:color="auto"/>
            </w:tcBorders>
            <w:shd w:val="clear" w:color="auto" w:fill="auto"/>
          </w:tcPr>
          <w:p w14:paraId="3651F853"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0</w:t>
            </w:r>
          </w:p>
        </w:tc>
      </w:tr>
      <w:tr w:rsidR="00AB5EAD" w:rsidRPr="008B029F" w14:paraId="3C72535B" w14:textId="77777777" w:rsidTr="00FD7D8A">
        <w:tc>
          <w:tcPr>
            <w:tcW w:w="814" w:type="pct"/>
            <w:shd w:val="clear" w:color="auto" w:fill="auto"/>
          </w:tcPr>
          <w:p w14:paraId="6644A399"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Placebo</w:t>
            </w:r>
          </w:p>
        </w:tc>
        <w:tc>
          <w:tcPr>
            <w:tcW w:w="382" w:type="pct"/>
            <w:shd w:val="clear" w:color="auto" w:fill="auto"/>
          </w:tcPr>
          <w:p w14:paraId="72451F3D"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237</w:t>
            </w:r>
          </w:p>
        </w:tc>
        <w:tc>
          <w:tcPr>
            <w:tcW w:w="382" w:type="pct"/>
            <w:shd w:val="clear" w:color="auto" w:fill="auto"/>
          </w:tcPr>
          <w:p w14:paraId="60CC6543"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163</w:t>
            </w:r>
          </w:p>
        </w:tc>
        <w:tc>
          <w:tcPr>
            <w:tcW w:w="382" w:type="pct"/>
            <w:shd w:val="clear" w:color="auto" w:fill="auto"/>
          </w:tcPr>
          <w:p w14:paraId="1C55B028"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106</w:t>
            </w:r>
          </w:p>
        </w:tc>
        <w:tc>
          <w:tcPr>
            <w:tcW w:w="382" w:type="pct"/>
            <w:shd w:val="clear" w:color="auto" w:fill="auto"/>
          </w:tcPr>
          <w:p w14:paraId="1E53A8D4"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87</w:t>
            </w:r>
          </w:p>
        </w:tc>
        <w:tc>
          <w:tcPr>
            <w:tcW w:w="381" w:type="pct"/>
            <w:shd w:val="clear" w:color="auto" w:fill="auto"/>
          </w:tcPr>
          <w:p w14:paraId="0A808CA2"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52</w:t>
            </w:r>
          </w:p>
        </w:tc>
        <w:tc>
          <w:tcPr>
            <w:tcW w:w="381" w:type="pct"/>
            <w:shd w:val="clear" w:color="auto" w:fill="auto"/>
          </w:tcPr>
          <w:p w14:paraId="009FDE80"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28</w:t>
            </w:r>
          </w:p>
        </w:tc>
        <w:tc>
          <w:tcPr>
            <w:tcW w:w="381" w:type="pct"/>
            <w:shd w:val="clear" w:color="auto" w:fill="auto"/>
          </w:tcPr>
          <w:p w14:paraId="10277818"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15</w:t>
            </w:r>
          </w:p>
        </w:tc>
        <w:tc>
          <w:tcPr>
            <w:tcW w:w="381" w:type="pct"/>
            <w:shd w:val="clear" w:color="auto" w:fill="auto"/>
          </w:tcPr>
          <w:p w14:paraId="5536EEE9"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4</w:t>
            </w:r>
          </w:p>
        </w:tc>
        <w:tc>
          <w:tcPr>
            <w:tcW w:w="381" w:type="pct"/>
            <w:shd w:val="clear" w:color="auto" w:fill="auto"/>
          </w:tcPr>
          <w:p w14:paraId="37783CD8"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3</w:t>
            </w:r>
          </w:p>
        </w:tc>
        <w:tc>
          <w:tcPr>
            <w:tcW w:w="381" w:type="pct"/>
            <w:shd w:val="clear" w:color="auto" w:fill="auto"/>
          </w:tcPr>
          <w:p w14:paraId="1AC304AF"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0</w:t>
            </w:r>
          </w:p>
        </w:tc>
        <w:tc>
          <w:tcPr>
            <w:tcW w:w="373" w:type="pct"/>
            <w:gridSpan w:val="2"/>
            <w:shd w:val="clear" w:color="auto" w:fill="auto"/>
          </w:tcPr>
          <w:p w14:paraId="46977BB9" w14:textId="77777777" w:rsidR="00D506B5" w:rsidRPr="008B029F" w:rsidRDefault="00D506B5" w:rsidP="00D506B5">
            <w:pPr>
              <w:tabs>
                <w:tab w:val="left" w:pos="567"/>
              </w:tabs>
              <w:spacing w:after="0" w:line="260" w:lineRule="exact"/>
              <w:jc w:val="both"/>
              <w:rPr>
                <w:sz w:val="18"/>
                <w:szCs w:val="18"/>
                <w:lang w:val="en-AU"/>
              </w:rPr>
            </w:pPr>
            <w:r w:rsidRPr="008B029F">
              <w:rPr>
                <w:sz w:val="18"/>
                <w:szCs w:val="18"/>
                <w:lang w:val="en-AU"/>
              </w:rPr>
              <w:t>0</w:t>
            </w:r>
          </w:p>
        </w:tc>
      </w:tr>
    </w:tbl>
    <w:p w14:paraId="7CA308ED" w14:textId="0565A228" w:rsidR="00C70C98" w:rsidRPr="008B029F" w:rsidRDefault="00C70C98" w:rsidP="00C318B7">
      <w:pPr>
        <w:pStyle w:val="Paragraph"/>
      </w:pPr>
    </w:p>
    <w:p w14:paraId="2ACAD10A" w14:textId="76CD9E1F" w:rsidR="00D506B5" w:rsidRPr="008B029F" w:rsidRDefault="00D506B5" w:rsidP="005030C7">
      <w:pPr>
        <w:pStyle w:val="Paragraph"/>
        <w:rPr>
          <w:lang w:val="en-AU"/>
        </w:rPr>
      </w:pPr>
      <w:r w:rsidRPr="008B029F">
        <w:rPr>
          <w:lang w:val="en-AU"/>
        </w:rPr>
        <w:lastRenderedPageBreak/>
        <w:t>The improvements in PFS</w:t>
      </w:r>
      <w:r w:rsidR="00091CA2" w:rsidRPr="008B029F">
        <w:rPr>
          <w:lang w:val="en-AU"/>
        </w:rPr>
        <w:t xml:space="preserve"> and OS</w:t>
      </w:r>
      <w:r w:rsidRPr="008B029F">
        <w:rPr>
          <w:lang w:val="en-AU"/>
        </w:rPr>
        <w:t xml:space="preserve"> in favour of patients receiving IMFINZI compared to those receiving placebo were consistently observed in all predefined subgroups analysed, including ethnicity, age, gender, smoking history, EGFR mutation status</w:t>
      </w:r>
      <w:r w:rsidR="00091CA2" w:rsidRPr="008B029F">
        <w:rPr>
          <w:lang w:val="en-AU"/>
        </w:rPr>
        <w:t xml:space="preserve"> and histology</w:t>
      </w:r>
      <w:r w:rsidRPr="008B029F">
        <w:rPr>
          <w:lang w:val="en-AU"/>
        </w:rPr>
        <w:t xml:space="preserve">. </w:t>
      </w:r>
      <w:r w:rsidR="00DB5049" w:rsidRPr="008B029F">
        <w:rPr>
          <w:lang w:val="en-AU"/>
        </w:rPr>
        <w:t xml:space="preserve">ALK mutation </w:t>
      </w:r>
      <w:r w:rsidR="00CF0023" w:rsidRPr="008B029F">
        <w:rPr>
          <w:lang w:val="en-AU"/>
        </w:rPr>
        <w:t xml:space="preserve">status </w:t>
      </w:r>
      <w:r w:rsidR="00DB5049" w:rsidRPr="008B029F">
        <w:rPr>
          <w:lang w:val="en-AU"/>
        </w:rPr>
        <w:t>was not analysed in this study.</w:t>
      </w:r>
    </w:p>
    <w:p w14:paraId="41C244AC" w14:textId="77777777" w:rsidR="00EB3914" w:rsidRPr="008B029F" w:rsidRDefault="00EB3914" w:rsidP="00681ADE">
      <w:pPr>
        <w:pStyle w:val="Heading5unnumbered"/>
        <w:rPr>
          <w:lang w:val="en-AU" w:eastAsia="en-GB"/>
        </w:rPr>
      </w:pPr>
      <w:r w:rsidRPr="008B029F">
        <w:rPr>
          <w:lang w:val="en-AU" w:eastAsia="en-GB"/>
        </w:rPr>
        <w:t>Post-hoc subgroup analysis by PD-L1 expression</w:t>
      </w:r>
    </w:p>
    <w:p w14:paraId="54D164BB" w14:textId="17E54878" w:rsidR="00407E75" w:rsidRPr="008B029F" w:rsidRDefault="00EB3914" w:rsidP="005030C7">
      <w:pPr>
        <w:pStyle w:val="Paragraph"/>
        <w:rPr>
          <w:lang w:val="en-AU"/>
        </w:rPr>
      </w:pPr>
      <w:r w:rsidRPr="008B029F">
        <w:rPr>
          <w:lang w:val="en-AU"/>
        </w:rPr>
        <w:t xml:space="preserve">Additional subgroup analyses were conducted to evaluate the efficacy by tumour PD-L1 expression (≥ 25%, 1-24%, ≥ 1%, &lt; 1%) and for patients whose PD-L1 status </w:t>
      </w:r>
      <w:r w:rsidR="00407E75" w:rsidRPr="008B029F">
        <w:rPr>
          <w:lang w:val="en-AU"/>
        </w:rPr>
        <w:t>could not</w:t>
      </w:r>
      <w:r w:rsidRPr="008B029F">
        <w:rPr>
          <w:lang w:val="en-AU"/>
        </w:rPr>
        <w:t xml:space="preserve"> be established (PD-L1 unknown</w:t>
      </w:r>
      <w:r w:rsidR="00722E41" w:rsidRPr="008B029F">
        <w:rPr>
          <w:lang w:val="en-AU"/>
        </w:rPr>
        <w:t>).</w:t>
      </w:r>
      <w:r w:rsidR="00FD7D8A" w:rsidRPr="008B029F">
        <w:rPr>
          <w:lang w:val="en-AU"/>
        </w:rPr>
        <w:t xml:space="preserve"> </w:t>
      </w:r>
      <w:r w:rsidR="009B60CA" w:rsidRPr="008B029F">
        <w:rPr>
          <w:lang w:val="en-AU"/>
        </w:rPr>
        <w:t xml:space="preserve">PFS and OS results are summarised in </w:t>
      </w:r>
      <w:r w:rsidR="00254638" w:rsidRPr="008B029F">
        <w:rPr>
          <w:color w:val="2B579A"/>
          <w:shd w:val="clear" w:color="auto" w:fill="E6E6E6"/>
          <w:lang w:val="en-AU"/>
        </w:rPr>
        <w:fldChar w:fldCharType="begin"/>
      </w:r>
      <w:r w:rsidR="00254638" w:rsidRPr="008B029F">
        <w:rPr>
          <w:lang w:val="en-AU"/>
        </w:rPr>
        <w:instrText xml:space="preserve"> REF _Ref57380444 \h </w:instrText>
      </w:r>
      <w:r w:rsidR="008B029F">
        <w:rPr>
          <w:color w:val="2B579A"/>
          <w:shd w:val="clear" w:color="auto" w:fill="E6E6E6"/>
          <w:lang w:val="en-AU"/>
        </w:rPr>
        <w:instrText xml:space="preserve"> \* MERGEFORMAT </w:instrText>
      </w:r>
      <w:r w:rsidR="00254638" w:rsidRPr="008B029F">
        <w:rPr>
          <w:color w:val="2B579A"/>
          <w:shd w:val="clear" w:color="auto" w:fill="E6E6E6"/>
          <w:lang w:val="en-AU"/>
        </w:rPr>
      </w:r>
      <w:r w:rsidR="00254638" w:rsidRPr="008B029F">
        <w:rPr>
          <w:color w:val="2B579A"/>
          <w:shd w:val="clear" w:color="auto" w:fill="E6E6E6"/>
          <w:lang w:val="en-AU"/>
        </w:rPr>
        <w:fldChar w:fldCharType="separate"/>
      </w:r>
      <w:r w:rsidR="009773EE" w:rsidRPr="008B029F">
        <w:rPr>
          <w:lang w:val="en-AU"/>
        </w:rPr>
        <w:t>Figure </w:t>
      </w:r>
      <w:r w:rsidR="009773EE" w:rsidRPr="008B029F">
        <w:rPr>
          <w:noProof/>
          <w:lang w:val="en-AU"/>
        </w:rPr>
        <w:t>3</w:t>
      </w:r>
      <w:r w:rsidR="00254638" w:rsidRPr="008B029F">
        <w:rPr>
          <w:color w:val="2B579A"/>
          <w:shd w:val="clear" w:color="auto" w:fill="E6E6E6"/>
          <w:lang w:val="en-AU"/>
        </w:rPr>
        <w:fldChar w:fldCharType="end"/>
      </w:r>
      <w:r w:rsidR="00254638" w:rsidRPr="008B029F">
        <w:rPr>
          <w:lang w:val="en-AU"/>
        </w:rPr>
        <w:t xml:space="preserve"> </w:t>
      </w:r>
      <w:r w:rsidR="009B60CA" w:rsidRPr="008B029F">
        <w:rPr>
          <w:lang w:val="en-AU"/>
        </w:rPr>
        <w:t xml:space="preserve">and </w:t>
      </w:r>
      <w:r w:rsidR="00254638" w:rsidRPr="008B029F">
        <w:rPr>
          <w:color w:val="2B579A"/>
          <w:shd w:val="clear" w:color="auto" w:fill="E6E6E6"/>
          <w:lang w:val="en-AU"/>
        </w:rPr>
        <w:fldChar w:fldCharType="begin"/>
      </w:r>
      <w:r w:rsidR="00254638" w:rsidRPr="008B029F">
        <w:rPr>
          <w:lang w:val="en-AU"/>
        </w:rPr>
        <w:instrText xml:space="preserve"> REF _Ref57380452 \h </w:instrText>
      </w:r>
      <w:r w:rsidR="008B029F">
        <w:rPr>
          <w:color w:val="2B579A"/>
          <w:shd w:val="clear" w:color="auto" w:fill="E6E6E6"/>
          <w:lang w:val="en-AU"/>
        </w:rPr>
        <w:instrText xml:space="preserve"> \* MERGEFORMAT </w:instrText>
      </w:r>
      <w:r w:rsidR="00254638" w:rsidRPr="008B029F">
        <w:rPr>
          <w:color w:val="2B579A"/>
          <w:shd w:val="clear" w:color="auto" w:fill="E6E6E6"/>
          <w:lang w:val="en-AU"/>
        </w:rPr>
      </w:r>
      <w:r w:rsidR="00254638" w:rsidRPr="008B029F">
        <w:rPr>
          <w:color w:val="2B579A"/>
          <w:shd w:val="clear" w:color="auto" w:fill="E6E6E6"/>
          <w:lang w:val="en-AU"/>
        </w:rPr>
        <w:fldChar w:fldCharType="separate"/>
      </w:r>
      <w:r w:rsidR="009773EE" w:rsidRPr="008B029F">
        <w:rPr>
          <w:lang w:val="en-AU"/>
        </w:rPr>
        <w:t>Figure </w:t>
      </w:r>
      <w:r w:rsidR="009773EE" w:rsidRPr="008B029F">
        <w:rPr>
          <w:noProof/>
          <w:lang w:val="en-AU"/>
        </w:rPr>
        <w:t>4</w:t>
      </w:r>
      <w:r w:rsidR="00254638" w:rsidRPr="008B029F">
        <w:rPr>
          <w:color w:val="2B579A"/>
          <w:shd w:val="clear" w:color="auto" w:fill="E6E6E6"/>
          <w:lang w:val="en-AU"/>
        </w:rPr>
        <w:fldChar w:fldCharType="end"/>
      </w:r>
      <w:r w:rsidR="009B60CA" w:rsidRPr="008B029F">
        <w:rPr>
          <w:lang w:val="en-AU"/>
        </w:rPr>
        <w:t>. Overall the safety profile of durvalumab in PD-L1</w:t>
      </w:r>
      <w:r w:rsidR="00C31726" w:rsidRPr="008B029F">
        <w:rPr>
          <w:lang w:val="en-AU"/>
        </w:rPr>
        <w:t xml:space="preserve"> TC ≥</w:t>
      </w:r>
      <w:r w:rsidR="009B60CA" w:rsidRPr="008B029F">
        <w:rPr>
          <w:lang w:val="en-AU"/>
        </w:rPr>
        <w:t>1% subgroup was consistent with the intent to treat population, as was the PD</w:t>
      </w:r>
      <w:r w:rsidR="00C31726" w:rsidRPr="008B029F">
        <w:rPr>
          <w:lang w:val="en-AU"/>
        </w:rPr>
        <w:noBreakHyphen/>
      </w:r>
      <w:r w:rsidR="009B60CA" w:rsidRPr="008B029F">
        <w:rPr>
          <w:lang w:val="en-AU"/>
        </w:rPr>
        <w:t>L1</w:t>
      </w:r>
      <w:r w:rsidR="00C31726" w:rsidRPr="008B029F">
        <w:rPr>
          <w:lang w:val="en-AU"/>
        </w:rPr>
        <w:t> </w:t>
      </w:r>
      <w:r w:rsidR="009B60CA" w:rsidRPr="008B029F">
        <w:rPr>
          <w:lang w:val="en-AU"/>
        </w:rPr>
        <w:t>TC</w:t>
      </w:r>
      <w:r w:rsidR="00C31726" w:rsidRPr="008B029F">
        <w:rPr>
          <w:lang w:val="en-AU"/>
        </w:rPr>
        <w:t> </w:t>
      </w:r>
      <w:r w:rsidR="009B60CA" w:rsidRPr="008B029F">
        <w:rPr>
          <w:lang w:val="en-AU"/>
        </w:rPr>
        <w:t xml:space="preserve">&lt;1% </w:t>
      </w:r>
      <w:r w:rsidR="00C71683" w:rsidRPr="008B029F">
        <w:rPr>
          <w:lang w:val="en-AU"/>
        </w:rPr>
        <w:t>subgroup.</w:t>
      </w:r>
      <w:r w:rsidR="009B60CA" w:rsidRPr="008B029F">
        <w:rPr>
          <w:lang w:val="en-AU"/>
        </w:rPr>
        <w:t xml:space="preserve"> </w:t>
      </w:r>
    </w:p>
    <w:p w14:paraId="1B76F55A" w14:textId="495EC085" w:rsidR="005030C7" w:rsidRPr="008B029F" w:rsidRDefault="005030C7" w:rsidP="005030C7">
      <w:pPr>
        <w:pStyle w:val="FigureTitle"/>
        <w:rPr>
          <w:rFonts w:cs="Arial"/>
          <w:bCs/>
          <w:iCs/>
          <w:szCs w:val="26"/>
          <w:lang w:val="en-AU"/>
        </w:rPr>
      </w:pPr>
      <w:bookmarkStart w:id="51" w:name="_Ref57380444"/>
      <w:r w:rsidRPr="008B029F">
        <w:rPr>
          <w:lang w:val="en-AU"/>
        </w:rPr>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3</w:t>
      </w:r>
      <w:r w:rsidRPr="008B029F">
        <w:rPr>
          <w:color w:val="2B579A"/>
          <w:shd w:val="clear" w:color="auto" w:fill="E6E6E6"/>
          <w:lang w:val="en-AU"/>
        </w:rPr>
        <w:fldChar w:fldCharType="end"/>
      </w:r>
      <w:bookmarkEnd w:id="51"/>
      <w:r w:rsidRPr="008B029F">
        <w:rPr>
          <w:lang w:val="en-AU"/>
        </w:rPr>
        <w:tab/>
        <w:t>Forest plot of OS by PD-L1 expression (PACIFIC study</w:t>
      </w:r>
      <w:r w:rsidR="00C70C98" w:rsidRPr="008B029F">
        <w:rPr>
          <w:lang w:val="en-AU"/>
        </w:rPr>
        <w:t>)</w:t>
      </w:r>
    </w:p>
    <w:p w14:paraId="1CC2398C" w14:textId="4855B7BF" w:rsidR="00F0250F" w:rsidRPr="008B029F" w:rsidRDefault="00F0250F" w:rsidP="00681ADE">
      <w:pPr>
        <w:rPr>
          <w:rFonts w:cs="Arial"/>
          <w:b/>
          <w:bCs/>
          <w:iCs/>
          <w:szCs w:val="26"/>
          <w:lang w:val="en-AU"/>
        </w:rPr>
      </w:pPr>
      <w:r w:rsidRPr="008B029F">
        <w:rPr>
          <w:noProof/>
          <w:color w:val="2B579A"/>
          <w:shd w:val="clear" w:color="auto" w:fill="E6E6E6"/>
          <w:lang w:val="en-AU"/>
        </w:rPr>
        <w:drawing>
          <wp:inline distT="0" distB="0" distL="0" distR="0" wp14:anchorId="351328DF" wp14:editId="49DADBCE">
            <wp:extent cx="6120130" cy="37846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784600"/>
                    </a:xfrm>
                    <a:prstGeom prst="rect">
                      <a:avLst/>
                    </a:prstGeom>
                  </pic:spPr>
                </pic:pic>
              </a:graphicData>
            </a:graphic>
          </wp:inline>
        </w:drawing>
      </w:r>
    </w:p>
    <w:p w14:paraId="30BC1A80" w14:textId="1CF69379" w:rsidR="005030C7" w:rsidRPr="008B029F" w:rsidRDefault="005030C7" w:rsidP="005030C7">
      <w:pPr>
        <w:pStyle w:val="FigureTitle"/>
        <w:rPr>
          <w:rFonts w:cs="Arial"/>
          <w:bCs/>
          <w:iCs/>
          <w:szCs w:val="26"/>
          <w:lang w:val="en-AU"/>
        </w:rPr>
      </w:pPr>
      <w:bookmarkStart w:id="52" w:name="_Ref57380452"/>
      <w:r w:rsidRPr="008B029F">
        <w:rPr>
          <w:lang w:val="en-AU"/>
        </w:rPr>
        <w:lastRenderedPageBreak/>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4</w:t>
      </w:r>
      <w:r w:rsidRPr="008B029F">
        <w:rPr>
          <w:color w:val="2B579A"/>
          <w:shd w:val="clear" w:color="auto" w:fill="E6E6E6"/>
          <w:lang w:val="en-AU"/>
        </w:rPr>
        <w:fldChar w:fldCharType="end"/>
      </w:r>
      <w:bookmarkEnd w:id="52"/>
      <w:r w:rsidRPr="008B029F">
        <w:rPr>
          <w:lang w:val="en-AU"/>
        </w:rPr>
        <w:tab/>
        <w:t>Forest plot of PFS by PD-L1 expression (PACIFIC study)</w:t>
      </w:r>
    </w:p>
    <w:p w14:paraId="3DE5C619" w14:textId="3AB35F58" w:rsidR="00C318B7" w:rsidRPr="008B029F" w:rsidRDefault="00F0250F" w:rsidP="00EB3914">
      <w:pPr>
        <w:rPr>
          <w:rFonts w:cs="Arial"/>
          <w:b/>
          <w:bCs/>
          <w:iCs/>
          <w:szCs w:val="26"/>
          <w:lang w:val="en-AU"/>
        </w:rPr>
      </w:pPr>
      <w:r w:rsidRPr="008B029F">
        <w:rPr>
          <w:noProof/>
          <w:color w:val="2B579A"/>
          <w:shd w:val="clear" w:color="auto" w:fill="E6E6E6"/>
          <w:lang w:val="en-AU"/>
        </w:rPr>
        <w:drawing>
          <wp:inline distT="0" distB="0" distL="0" distR="0" wp14:anchorId="12CE59E8" wp14:editId="02323811">
            <wp:extent cx="6120130" cy="36760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676015"/>
                    </a:xfrm>
                    <a:prstGeom prst="rect">
                      <a:avLst/>
                    </a:prstGeom>
                  </pic:spPr>
                </pic:pic>
              </a:graphicData>
            </a:graphic>
          </wp:inline>
        </w:drawing>
      </w:r>
    </w:p>
    <w:p w14:paraId="08C55BB1" w14:textId="3423A885" w:rsidR="00D506B5" w:rsidRPr="008B029F" w:rsidRDefault="00D506B5" w:rsidP="00681ADE">
      <w:pPr>
        <w:pStyle w:val="Heading5unnumbered"/>
        <w:rPr>
          <w:lang w:val="en-AU"/>
        </w:rPr>
      </w:pPr>
      <w:r w:rsidRPr="008B029F">
        <w:rPr>
          <w:lang w:val="en-AU"/>
        </w:rPr>
        <w:t xml:space="preserve">Patient </w:t>
      </w:r>
      <w:r w:rsidR="009B4E0D" w:rsidRPr="008B029F">
        <w:rPr>
          <w:lang w:val="en-AU"/>
        </w:rPr>
        <w:t>r</w:t>
      </w:r>
      <w:r w:rsidRPr="008B029F">
        <w:rPr>
          <w:lang w:val="en-AU"/>
        </w:rPr>
        <w:t xml:space="preserve">eported </w:t>
      </w:r>
      <w:r w:rsidR="009B4E0D" w:rsidRPr="008B029F">
        <w:rPr>
          <w:lang w:val="en-AU"/>
        </w:rPr>
        <w:t>o</w:t>
      </w:r>
      <w:r w:rsidRPr="008B029F">
        <w:rPr>
          <w:lang w:val="en-AU"/>
        </w:rPr>
        <w:t>utcomes</w:t>
      </w:r>
    </w:p>
    <w:p w14:paraId="165B5897" w14:textId="77777777" w:rsidR="00D506B5" w:rsidRPr="008B029F" w:rsidRDefault="00D506B5" w:rsidP="005030C7">
      <w:pPr>
        <w:pStyle w:val="Paragraph"/>
        <w:rPr>
          <w:lang w:val="en-AU"/>
        </w:rPr>
      </w:pPr>
      <w:r w:rsidRPr="008B029F">
        <w:rPr>
          <w:lang w:val="en-AU"/>
        </w:rPr>
        <w:t>Patient-reported symptoms, function and health-related quality of life (HRQoL) were collected using the EORTC QLQ-C30 and its lung cancer module (EORTC QLQ-LC13). The LC13 and C30 were assessed at baseline</w:t>
      </w:r>
      <w:r w:rsidR="00506F21" w:rsidRPr="008B029F">
        <w:rPr>
          <w:lang w:val="en-AU"/>
        </w:rPr>
        <w:t xml:space="preserve"> and</w:t>
      </w:r>
      <w:r w:rsidRPr="008B029F">
        <w:rPr>
          <w:lang w:val="en-AU"/>
        </w:rPr>
        <w:t xml:space="preserve"> every 4 weeks for the first 8 weeks, </w:t>
      </w:r>
      <w:r w:rsidR="00506F21" w:rsidRPr="008B029F">
        <w:rPr>
          <w:lang w:val="en-AU"/>
        </w:rPr>
        <w:t>then</w:t>
      </w:r>
      <w:r w:rsidRPr="008B029F">
        <w:rPr>
          <w:lang w:val="en-AU"/>
        </w:rPr>
        <w:t xml:space="preserve"> every 8 weeks until completion of the treatment period or discontinuation of study drug due to toxicity or disease progression. Compliance was similar between the IMFINZI and placebo treatment groups</w:t>
      </w:r>
      <w:r w:rsidR="00506F21" w:rsidRPr="008B029F">
        <w:rPr>
          <w:lang w:val="en-AU"/>
        </w:rPr>
        <w:t xml:space="preserve"> (83% vs 85.1% overall of evaluable forms completed)</w:t>
      </w:r>
      <w:r w:rsidRPr="008B029F">
        <w:rPr>
          <w:lang w:val="en-AU"/>
        </w:rPr>
        <w:t>.</w:t>
      </w:r>
    </w:p>
    <w:p w14:paraId="496250AD" w14:textId="2BBEACD3" w:rsidR="00D506B5" w:rsidRPr="008B029F" w:rsidRDefault="00D506B5" w:rsidP="005030C7">
      <w:pPr>
        <w:pStyle w:val="Paragraph"/>
        <w:rPr>
          <w:lang w:val="en-AU"/>
        </w:rPr>
      </w:pPr>
      <w:r w:rsidRPr="008B029F">
        <w:rPr>
          <w:lang w:val="en-AU"/>
        </w:rPr>
        <w:t xml:space="preserve">At baseline, no differences in patient reported symptoms, function </w:t>
      </w:r>
      <w:r w:rsidR="00DE3663" w:rsidRPr="008B029F">
        <w:rPr>
          <w:lang w:val="en-AU"/>
        </w:rPr>
        <w:t>or</w:t>
      </w:r>
      <w:r w:rsidRPr="008B029F">
        <w:rPr>
          <w:lang w:val="en-AU"/>
        </w:rPr>
        <w:t xml:space="preserve"> HRQoL were observed between IMFINZI and placebo groups. Throughout the duration of the study to week 48, there was no clinically meaningful difference between IMFINZI and placebo groups in symptoms, functioning and HRQoL (as assessed by a difference of greater than or equal to 10 points).</w:t>
      </w:r>
    </w:p>
    <w:p w14:paraId="55535BFA" w14:textId="730EEF09" w:rsidR="00100A9B" w:rsidRPr="008B029F" w:rsidRDefault="00100A9B" w:rsidP="00EB701E">
      <w:pPr>
        <w:pStyle w:val="Heading4Unnumbered"/>
        <w:rPr>
          <w:lang w:val="en-AU"/>
        </w:rPr>
      </w:pPr>
      <w:r w:rsidRPr="008B029F">
        <w:rPr>
          <w:lang w:val="en-AU"/>
        </w:rPr>
        <w:t>S</w:t>
      </w:r>
      <w:r w:rsidR="00B966B2" w:rsidRPr="008B029F">
        <w:rPr>
          <w:lang w:val="en-AU"/>
        </w:rPr>
        <w:t xml:space="preserve">mall </w:t>
      </w:r>
      <w:r w:rsidR="00390E36" w:rsidRPr="008B029F">
        <w:rPr>
          <w:lang w:val="en-AU"/>
        </w:rPr>
        <w:t>c</w:t>
      </w:r>
      <w:r w:rsidR="00B966B2" w:rsidRPr="008B029F">
        <w:rPr>
          <w:lang w:val="en-AU"/>
        </w:rPr>
        <w:t xml:space="preserve">ell </w:t>
      </w:r>
      <w:r w:rsidR="00390E36" w:rsidRPr="008B029F">
        <w:rPr>
          <w:lang w:val="en-AU"/>
        </w:rPr>
        <w:t>l</w:t>
      </w:r>
      <w:r w:rsidR="00B966B2" w:rsidRPr="008B029F">
        <w:rPr>
          <w:lang w:val="en-AU"/>
        </w:rPr>
        <w:t xml:space="preserve">ung </w:t>
      </w:r>
      <w:r w:rsidR="00390E36" w:rsidRPr="008B029F">
        <w:rPr>
          <w:lang w:val="en-AU"/>
        </w:rPr>
        <w:t>c</w:t>
      </w:r>
      <w:r w:rsidR="00B966B2" w:rsidRPr="008B029F">
        <w:rPr>
          <w:lang w:val="en-AU"/>
        </w:rPr>
        <w:t>ancer (SCLC)</w:t>
      </w:r>
    </w:p>
    <w:p w14:paraId="10CE160F" w14:textId="77777777" w:rsidR="00390E36" w:rsidRPr="008B029F" w:rsidRDefault="00390E36" w:rsidP="00390E36">
      <w:pPr>
        <w:pStyle w:val="Heading5unnumbered"/>
        <w:rPr>
          <w:lang w:val="en-AU"/>
        </w:rPr>
      </w:pPr>
      <w:r w:rsidRPr="008B029F">
        <w:rPr>
          <w:lang w:val="en-AU"/>
        </w:rPr>
        <w:t>CASPIAN study</w:t>
      </w:r>
    </w:p>
    <w:p w14:paraId="79FC6666" w14:textId="5AEB6BAB" w:rsidR="00100A9B" w:rsidRPr="008B029F" w:rsidRDefault="00C51027" w:rsidP="00967CF9">
      <w:pPr>
        <w:pStyle w:val="Paragraph"/>
        <w:rPr>
          <w:lang w:val="en-AU"/>
        </w:rPr>
      </w:pPr>
      <w:r w:rsidRPr="008B029F">
        <w:rPr>
          <w:lang w:val="en-AU"/>
        </w:rPr>
        <w:t xml:space="preserve">The efficacy of IMFINZI in combination with etoposide and either carboplatin or cisplatin in previously untreated ES-SCLC </w:t>
      </w:r>
      <w:r w:rsidR="004F44EF" w:rsidRPr="008B029F">
        <w:rPr>
          <w:lang w:val="en-AU"/>
        </w:rPr>
        <w:t xml:space="preserve">patients </w:t>
      </w:r>
      <w:r w:rsidRPr="008B029F">
        <w:rPr>
          <w:lang w:val="en-AU"/>
        </w:rPr>
        <w:t xml:space="preserve">was investigated in </w:t>
      </w:r>
      <w:r w:rsidR="00100A9B" w:rsidRPr="008B029F">
        <w:rPr>
          <w:lang w:val="en-AU"/>
        </w:rPr>
        <w:t>CASPIAN</w:t>
      </w:r>
      <w:r w:rsidR="004F44EF" w:rsidRPr="008B029F">
        <w:rPr>
          <w:lang w:val="en-AU"/>
        </w:rPr>
        <w:t>,</w:t>
      </w:r>
      <w:r w:rsidR="00100A9B" w:rsidRPr="008B029F">
        <w:rPr>
          <w:lang w:val="en-AU"/>
        </w:rPr>
        <w:t xml:space="preserve"> a randomi</w:t>
      </w:r>
      <w:r w:rsidR="005D528B" w:rsidRPr="008B029F">
        <w:rPr>
          <w:lang w:val="en-AU"/>
        </w:rPr>
        <w:t>s</w:t>
      </w:r>
      <w:r w:rsidR="00100A9B" w:rsidRPr="008B029F">
        <w:rPr>
          <w:lang w:val="en-AU"/>
        </w:rPr>
        <w:t xml:space="preserve">ed, open-label, </w:t>
      </w:r>
      <w:r w:rsidR="002D1665" w:rsidRPr="008B029F">
        <w:rPr>
          <w:lang w:val="en-AU"/>
        </w:rPr>
        <w:t>multicentre</w:t>
      </w:r>
      <w:r w:rsidR="00100A9B" w:rsidRPr="008B029F">
        <w:rPr>
          <w:lang w:val="en-AU"/>
        </w:rPr>
        <w:t xml:space="preserve"> study in treatment naïve ES-SCLC patients with WHO/ECOG </w:t>
      </w:r>
      <w:r w:rsidR="004F44EF" w:rsidRPr="008B029F">
        <w:rPr>
          <w:lang w:val="en-AU"/>
        </w:rPr>
        <w:t>p</w:t>
      </w:r>
      <w:r w:rsidR="00100A9B" w:rsidRPr="008B029F">
        <w:rPr>
          <w:lang w:val="en-AU"/>
        </w:rPr>
        <w:t>erformance status of</w:t>
      </w:r>
      <w:r w:rsidR="00AE12A4" w:rsidRPr="008B029F">
        <w:rPr>
          <w:lang w:val="en-AU"/>
        </w:rPr>
        <w:t xml:space="preserve"> </w:t>
      </w:r>
      <w:r w:rsidR="00100A9B" w:rsidRPr="008B029F">
        <w:rPr>
          <w:lang w:val="en-AU"/>
        </w:rPr>
        <w:t>0</w:t>
      </w:r>
      <w:r w:rsidR="00681ADE" w:rsidRPr="008B029F">
        <w:rPr>
          <w:lang w:val="en-AU"/>
        </w:rPr>
        <w:t> </w:t>
      </w:r>
      <w:r w:rsidR="00100A9B" w:rsidRPr="008B029F">
        <w:rPr>
          <w:lang w:val="en-AU"/>
        </w:rPr>
        <w:t>or</w:t>
      </w:r>
      <w:r w:rsidR="00681ADE" w:rsidRPr="008B029F">
        <w:rPr>
          <w:lang w:val="en-AU"/>
        </w:rPr>
        <w:t> </w:t>
      </w:r>
      <w:r w:rsidR="00100A9B" w:rsidRPr="008B029F">
        <w:rPr>
          <w:lang w:val="en-AU"/>
        </w:rPr>
        <w:t>1</w:t>
      </w:r>
      <w:r w:rsidR="004F44EF" w:rsidRPr="008B029F">
        <w:rPr>
          <w:lang w:val="en-AU"/>
        </w:rPr>
        <w:t>. Patients in the trial were</w:t>
      </w:r>
      <w:r w:rsidR="00100A9B" w:rsidRPr="008B029F">
        <w:rPr>
          <w:lang w:val="en-AU"/>
        </w:rPr>
        <w:t xml:space="preserve"> </w:t>
      </w:r>
      <w:r w:rsidR="004F44EF" w:rsidRPr="008B029F">
        <w:rPr>
          <w:lang w:val="en-AU"/>
        </w:rPr>
        <w:t>eligible</w:t>
      </w:r>
      <w:r w:rsidR="00100A9B" w:rsidRPr="008B029F">
        <w:rPr>
          <w:lang w:val="en-AU"/>
        </w:rPr>
        <w:t xml:space="preserve"> to receive a platinum-based chemotherapy regimen as first-line treatment for SCLC, with life expectancy ≥12 weeks, at least one target lesion by RECIST 1.1 and adequate organ and bone marrow function. </w:t>
      </w:r>
      <w:bookmarkStart w:id="53" w:name="_Hlk14869678"/>
      <w:r w:rsidR="00F66477" w:rsidRPr="008B029F">
        <w:rPr>
          <w:lang w:val="en-AU"/>
        </w:rPr>
        <w:t>Patients with asymptomatic or treated brain metastases w</w:t>
      </w:r>
      <w:r w:rsidR="00F466C9" w:rsidRPr="008B029F">
        <w:rPr>
          <w:lang w:val="en-AU"/>
        </w:rPr>
        <w:t>ere</w:t>
      </w:r>
      <w:r w:rsidR="00F66477" w:rsidRPr="008B029F">
        <w:rPr>
          <w:lang w:val="en-AU"/>
        </w:rPr>
        <w:t xml:space="preserve"> permitted. </w:t>
      </w:r>
      <w:r w:rsidR="00100A9B" w:rsidRPr="008B029F">
        <w:rPr>
          <w:lang w:val="en-AU"/>
        </w:rPr>
        <w:t xml:space="preserve">The study excluded patients with a history of chest radiation therapy; a history of active primary immunodeficiency; autoimmune disorders including paraneoplastic syndrome (PNS); active or prior documented autoimmune or inflammatory disorders; use of systemic immunosuppressants within 14 days before the first dose of the treatment except physiological dose of systemic corticosteroids; active tuberculosis or hepatitis B or C or HIV </w:t>
      </w:r>
      <w:r w:rsidR="00100A9B" w:rsidRPr="008B029F">
        <w:rPr>
          <w:lang w:val="en-AU"/>
        </w:rPr>
        <w:lastRenderedPageBreak/>
        <w:t>infection; or patients receiving live attenuated vaccine within 30 days before or after the start of IMFINZI.</w:t>
      </w:r>
    </w:p>
    <w:bookmarkEnd w:id="53"/>
    <w:p w14:paraId="62F15C6D" w14:textId="77777777" w:rsidR="00100A9B" w:rsidRPr="008B029F" w:rsidRDefault="00100A9B" w:rsidP="005030C7">
      <w:pPr>
        <w:pStyle w:val="Paragraph"/>
        <w:rPr>
          <w:lang w:val="en-AU"/>
        </w:rPr>
      </w:pPr>
      <w:r w:rsidRPr="008B029F">
        <w:rPr>
          <w:lang w:val="en-AU"/>
        </w:rPr>
        <w:t>Randomisation was stratified by the planned platinum-based therapy in cycle 1 (carboplatin or cisplatin).</w:t>
      </w:r>
    </w:p>
    <w:p w14:paraId="38071DE2" w14:textId="4B8EE2A8" w:rsidR="00100A9B" w:rsidRPr="008B029F" w:rsidRDefault="002D5F98" w:rsidP="00C70C98">
      <w:pPr>
        <w:pStyle w:val="ListBullet"/>
        <w:rPr>
          <w:lang w:val="en-AU" w:eastAsia="en-GB"/>
        </w:rPr>
      </w:pPr>
      <w:r w:rsidRPr="008B029F">
        <w:rPr>
          <w:lang w:val="en-AU"/>
        </w:rPr>
        <w:t>The evaluation of efficacy for ES-SCLC relied on comparison between:</w:t>
      </w:r>
      <w:r w:rsidR="00A265BF" w:rsidRPr="008B029F">
        <w:rPr>
          <w:lang w:val="en-AU"/>
        </w:rPr>
        <w:t xml:space="preserve"> </w:t>
      </w:r>
      <w:r w:rsidR="00100A9B" w:rsidRPr="008B029F">
        <w:rPr>
          <w:lang w:val="en-AU" w:eastAsia="en-GB"/>
        </w:rPr>
        <w:t xml:space="preserve">Arm </w:t>
      </w:r>
      <w:r w:rsidR="000670C6" w:rsidRPr="008B029F">
        <w:rPr>
          <w:lang w:val="en-AU" w:eastAsia="en-GB"/>
        </w:rPr>
        <w:t>1</w:t>
      </w:r>
      <w:r w:rsidR="00100A9B" w:rsidRPr="008B029F">
        <w:rPr>
          <w:lang w:val="en-AU" w:eastAsia="en-GB"/>
        </w:rPr>
        <w:t xml:space="preserve">: IMFINZI 1500 mg + etoposide </w:t>
      </w:r>
      <w:r w:rsidR="00D05809" w:rsidRPr="008B029F">
        <w:rPr>
          <w:lang w:val="en-AU" w:eastAsia="en-GB"/>
        </w:rPr>
        <w:t>(80-100 mg/m</w:t>
      </w:r>
      <w:r w:rsidR="00D05809" w:rsidRPr="008B029F">
        <w:rPr>
          <w:vertAlign w:val="superscript"/>
          <w:lang w:val="en-AU" w:eastAsia="en-GB"/>
        </w:rPr>
        <w:t>2</w:t>
      </w:r>
      <w:r w:rsidR="00D05809" w:rsidRPr="008B029F">
        <w:rPr>
          <w:lang w:val="en-AU" w:eastAsia="en-GB"/>
        </w:rPr>
        <w:t xml:space="preserve">) </w:t>
      </w:r>
      <w:r w:rsidR="00100A9B" w:rsidRPr="008B029F">
        <w:rPr>
          <w:lang w:val="en-AU" w:eastAsia="en-GB"/>
        </w:rPr>
        <w:t xml:space="preserve">and either carboplatin </w:t>
      </w:r>
      <w:r w:rsidR="00D05809" w:rsidRPr="008B029F">
        <w:rPr>
          <w:lang w:val="en-AU" w:eastAsia="en-GB"/>
        </w:rPr>
        <w:t xml:space="preserve">(AUC 5 or 6 mg/mL/min) </w:t>
      </w:r>
      <w:r w:rsidR="00100A9B" w:rsidRPr="008B029F">
        <w:rPr>
          <w:lang w:val="en-AU" w:eastAsia="en-GB"/>
        </w:rPr>
        <w:t>or cisplatin</w:t>
      </w:r>
      <w:r w:rsidR="00D05809" w:rsidRPr="008B029F">
        <w:rPr>
          <w:lang w:val="en-AU" w:eastAsia="en-GB"/>
        </w:rPr>
        <w:t xml:space="preserve"> (75-80 mg/m</w:t>
      </w:r>
      <w:r w:rsidR="00D05809" w:rsidRPr="008B029F">
        <w:rPr>
          <w:vertAlign w:val="superscript"/>
          <w:lang w:val="en-AU" w:eastAsia="en-GB"/>
        </w:rPr>
        <w:t>2</w:t>
      </w:r>
      <w:r w:rsidR="00D05809" w:rsidRPr="008B029F">
        <w:rPr>
          <w:lang w:val="en-AU" w:eastAsia="en-GB"/>
        </w:rPr>
        <w:t>)</w:t>
      </w:r>
    </w:p>
    <w:p w14:paraId="474A3DA7" w14:textId="7D3CA16F" w:rsidR="00100A9B" w:rsidRPr="008B029F" w:rsidRDefault="00100A9B" w:rsidP="00C70C98">
      <w:pPr>
        <w:pStyle w:val="ListBullet"/>
        <w:rPr>
          <w:lang w:val="en-AU" w:eastAsia="en-GB"/>
        </w:rPr>
      </w:pPr>
      <w:r w:rsidRPr="008B029F">
        <w:rPr>
          <w:lang w:val="en-AU" w:eastAsia="en-GB"/>
        </w:rPr>
        <w:t xml:space="preserve">Arm </w:t>
      </w:r>
      <w:r w:rsidR="000670C6" w:rsidRPr="008B029F">
        <w:rPr>
          <w:lang w:val="en-AU" w:eastAsia="en-GB"/>
        </w:rPr>
        <w:t>2</w:t>
      </w:r>
      <w:r w:rsidRPr="008B029F">
        <w:rPr>
          <w:lang w:val="en-AU" w:eastAsia="en-GB"/>
        </w:rPr>
        <w:t>: Either carboplatin (AUC 5 or 6 mg/mL/min) or cisplatin (75-80 mg/m</w:t>
      </w:r>
      <w:r w:rsidRPr="008B029F">
        <w:rPr>
          <w:vertAlign w:val="superscript"/>
          <w:lang w:val="en-AU" w:eastAsia="en-GB"/>
        </w:rPr>
        <w:t>2</w:t>
      </w:r>
      <w:r w:rsidRPr="008B029F">
        <w:rPr>
          <w:lang w:val="en-AU" w:eastAsia="en-GB"/>
        </w:rPr>
        <w:t>) on Day 1 and etoposide (80-100 mg/m</w:t>
      </w:r>
      <w:r w:rsidRPr="008B029F">
        <w:rPr>
          <w:vertAlign w:val="superscript"/>
          <w:lang w:val="en-AU" w:eastAsia="en-GB"/>
        </w:rPr>
        <w:t>2</w:t>
      </w:r>
      <w:r w:rsidRPr="008B029F">
        <w:rPr>
          <w:lang w:val="en-AU" w:eastAsia="en-GB"/>
        </w:rPr>
        <w:t xml:space="preserve">) intravenously on Days 1, 2, and 3 of each 21-day cycle for between 4 </w:t>
      </w:r>
      <w:r w:rsidR="001A47E7" w:rsidRPr="008B029F">
        <w:rPr>
          <w:lang w:val="en-AU" w:eastAsia="en-GB"/>
        </w:rPr>
        <w:t>and</w:t>
      </w:r>
      <w:r w:rsidRPr="008B029F">
        <w:rPr>
          <w:lang w:val="en-AU" w:eastAsia="en-GB"/>
        </w:rPr>
        <w:t xml:space="preserve"> 6 cycles.</w:t>
      </w:r>
    </w:p>
    <w:p w14:paraId="59975762" w14:textId="77777777" w:rsidR="00E60AAF" w:rsidRPr="008B029F" w:rsidRDefault="00E60AAF" w:rsidP="00B37B61">
      <w:pPr>
        <w:pStyle w:val="Paragraph"/>
        <w:rPr>
          <w:lang w:val="en-AU" w:eastAsia="en-GB"/>
        </w:rPr>
      </w:pPr>
    </w:p>
    <w:p w14:paraId="062BF85A" w14:textId="14EFAA97" w:rsidR="00100A9B" w:rsidRPr="008B029F" w:rsidRDefault="00100A9B" w:rsidP="00301820">
      <w:pPr>
        <w:pStyle w:val="Paragraph"/>
        <w:rPr>
          <w:lang w:val="en-AU"/>
        </w:rPr>
      </w:pPr>
      <w:bookmarkStart w:id="54" w:name="_Hlk39829426"/>
      <w:r w:rsidRPr="008B029F">
        <w:rPr>
          <w:lang w:val="en-AU"/>
        </w:rPr>
        <w:t>For patients randomised to Arm</w:t>
      </w:r>
      <w:r w:rsidR="00BB013A" w:rsidRPr="008B029F">
        <w:rPr>
          <w:lang w:val="en-AU"/>
        </w:rPr>
        <w:t xml:space="preserve"> 1</w:t>
      </w:r>
      <w:r w:rsidRPr="008B029F">
        <w:rPr>
          <w:lang w:val="en-AU"/>
        </w:rPr>
        <w:t>, etoposide and either carboplatin or cisplatin was limited to 4 cycles every 3 week</w:t>
      </w:r>
      <w:r w:rsidR="001A47E7" w:rsidRPr="008B029F">
        <w:rPr>
          <w:lang w:val="en-AU"/>
        </w:rPr>
        <w:t>s</w:t>
      </w:r>
      <w:r w:rsidRPr="008B029F">
        <w:rPr>
          <w:lang w:val="en-AU"/>
        </w:rPr>
        <w:t xml:space="preserve"> subsequent to randomisation</w:t>
      </w:r>
      <w:bookmarkEnd w:id="54"/>
      <w:r w:rsidRPr="008B029F">
        <w:rPr>
          <w:lang w:val="en-AU"/>
        </w:rPr>
        <w:t>. IMFINZI monotherapy continued until disease progression or unacceptable toxicity. Administration of IMFINZI monotherapy was permitted beyond disease progression if the patient was clinically stable and deriving clinical benefit as determined by the investigator.</w:t>
      </w:r>
    </w:p>
    <w:p w14:paraId="2E6E44FC" w14:textId="76733B16" w:rsidR="00100A9B" w:rsidRPr="008B029F" w:rsidRDefault="00100A9B" w:rsidP="00301820">
      <w:pPr>
        <w:pStyle w:val="Paragraph"/>
        <w:rPr>
          <w:lang w:val="en-AU"/>
        </w:rPr>
      </w:pPr>
      <w:r w:rsidRPr="008B029F">
        <w:rPr>
          <w:lang w:val="en-AU"/>
        </w:rPr>
        <w:t xml:space="preserve">Patients randomised to Arm </w:t>
      </w:r>
      <w:r w:rsidR="000670C6" w:rsidRPr="008B029F">
        <w:rPr>
          <w:lang w:val="en-AU"/>
        </w:rPr>
        <w:t>2</w:t>
      </w:r>
      <w:r w:rsidRPr="008B029F">
        <w:rPr>
          <w:lang w:val="en-AU"/>
        </w:rPr>
        <w:t xml:space="preserve">, were permitted to receive a total of up to 6 cycles of etoposide and either carboplatin or cisplatin. After completion of chemotherapy, prophylactic cranial irradiation (PCI) was permitted only in Arm </w:t>
      </w:r>
      <w:r w:rsidR="000670C6" w:rsidRPr="008B029F">
        <w:rPr>
          <w:lang w:val="en-AU"/>
        </w:rPr>
        <w:t>2</w:t>
      </w:r>
      <w:r w:rsidRPr="008B029F">
        <w:rPr>
          <w:lang w:val="en-AU"/>
        </w:rPr>
        <w:t xml:space="preserve"> per investigator discretion.</w:t>
      </w:r>
    </w:p>
    <w:p w14:paraId="57593CB4" w14:textId="522AACA7" w:rsidR="00100A9B" w:rsidRPr="008B029F" w:rsidRDefault="00100A9B" w:rsidP="00301820">
      <w:pPr>
        <w:pStyle w:val="Paragraph"/>
        <w:rPr>
          <w:lang w:val="en-AU"/>
        </w:rPr>
      </w:pPr>
      <w:r w:rsidRPr="008B029F">
        <w:rPr>
          <w:lang w:val="en-AU"/>
        </w:rPr>
        <w:t>Tumo</w:t>
      </w:r>
      <w:r w:rsidR="003E646C" w:rsidRPr="008B029F">
        <w:rPr>
          <w:lang w:val="en-AU"/>
        </w:rPr>
        <w:t>u</w:t>
      </w:r>
      <w:r w:rsidRPr="008B029F">
        <w:rPr>
          <w:lang w:val="en-AU"/>
        </w:rPr>
        <w:t>r assessments were conducted at Week 6 and Week 12 from the date of randomi</w:t>
      </w:r>
      <w:r w:rsidR="00E16631" w:rsidRPr="008B029F">
        <w:rPr>
          <w:lang w:val="en-AU"/>
        </w:rPr>
        <w:t>s</w:t>
      </w:r>
      <w:r w:rsidRPr="008B029F">
        <w:rPr>
          <w:lang w:val="en-AU"/>
        </w:rPr>
        <w:t>ation, and then every 8 weeks until confirmed objective disease progression. Survival assessments were conducted every 2 months following treatment discontinuation.</w:t>
      </w:r>
    </w:p>
    <w:p w14:paraId="1FFE60C9" w14:textId="3693C82A" w:rsidR="00100A9B" w:rsidRPr="008B029F" w:rsidRDefault="00100A9B" w:rsidP="00301820">
      <w:pPr>
        <w:pStyle w:val="Paragraph"/>
        <w:rPr>
          <w:lang w:val="en-AU"/>
        </w:rPr>
      </w:pPr>
      <w:r w:rsidRPr="008B029F">
        <w:rPr>
          <w:lang w:val="en-AU"/>
        </w:rPr>
        <w:t xml:space="preserve">The primary endpoints of the study were OS of IMFINZI + chemotherapy (Arm </w:t>
      </w:r>
      <w:r w:rsidR="000670C6" w:rsidRPr="008B029F">
        <w:rPr>
          <w:lang w:val="en-AU"/>
        </w:rPr>
        <w:t>1</w:t>
      </w:r>
      <w:r w:rsidRPr="008B029F">
        <w:rPr>
          <w:lang w:val="en-AU"/>
        </w:rPr>
        <w:t xml:space="preserve">) vs. chemotherapy alone (Arm </w:t>
      </w:r>
      <w:r w:rsidR="000670C6" w:rsidRPr="008B029F">
        <w:rPr>
          <w:lang w:val="en-AU"/>
        </w:rPr>
        <w:t>2</w:t>
      </w:r>
      <w:r w:rsidRPr="008B029F">
        <w:rPr>
          <w:lang w:val="en-AU"/>
        </w:rPr>
        <w:t>). The key secondary endpoint was PFS. Other secondary endpoints were ORR, OS and PFS landmarks and Patient Reported Outcomes (PRO). PFS and ORR were assessed using Investigator assessments according to RECIST v1.1.</w:t>
      </w:r>
    </w:p>
    <w:p w14:paraId="7CD3B291" w14:textId="08866EA6" w:rsidR="00100A9B" w:rsidRPr="008B029F" w:rsidRDefault="00100A9B" w:rsidP="00301820">
      <w:pPr>
        <w:pStyle w:val="Paragraph"/>
        <w:rPr>
          <w:lang w:val="en-AU"/>
        </w:rPr>
      </w:pPr>
      <w:r w:rsidRPr="008B029F">
        <w:rPr>
          <w:lang w:val="en-AU"/>
        </w:rPr>
        <w:t xml:space="preserve">At a planned interim analysis, IMFINZI + chemotherapy (Arm </w:t>
      </w:r>
      <w:r w:rsidR="00242734" w:rsidRPr="008B029F">
        <w:rPr>
          <w:lang w:val="en-AU"/>
        </w:rPr>
        <w:t>1</w:t>
      </w:r>
      <w:r w:rsidRPr="008B029F">
        <w:rPr>
          <w:lang w:val="en-AU"/>
        </w:rPr>
        <w:t xml:space="preserve">) vs chemotherapy (Arm </w:t>
      </w:r>
      <w:r w:rsidR="00242734" w:rsidRPr="008B029F">
        <w:rPr>
          <w:lang w:val="en-AU"/>
        </w:rPr>
        <w:t>2</w:t>
      </w:r>
      <w:r w:rsidRPr="008B029F">
        <w:rPr>
          <w:lang w:val="en-AU"/>
        </w:rPr>
        <w:t>) met the efficacy boundary of the primary endpoint of OS</w:t>
      </w:r>
      <w:r w:rsidR="00142563" w:rsidRPr="008B029F">
        <w:rPr>
          <w:lang w:val="en-AU"/>
        </w:rPr>
        <w:t xml:space="preserve"> and at a planned follow-up OS analysis IMFINZI + chemotherapy (Arm </w:t>
      </w:r>
      <w:r w:rsidR="008D66D7" w:rsidRPr="008B029F">
        <w:rPr>
          <w:lang w:val="en-AU"/>
        </w:rPr>
        <w:t>1</w:t>
      </w:r>
      <w:r w:rsidR="00142563" w:rsidRPr="008B029F">
        <w:rPr>
          <w:lang w:val="en-AU"/>
        </w:rPr>
        <w:t xml:space="preserve">) vs chemotherapy (Arm </w:t>
      </w:r>
      <w:r w:rsidR="008D66D7" w:rsidRPr="008B029F">
        <w:rPr>
          <w:lang w:val="en-AU"/>
        </w:rPr>
        <w:t>2</w:t>
      </w:r>
      <w:r w:rsidR="00142563" w:rsidRPr="008B029F">
        <w:rPr>
          <w:lang w:val="en-AU"/>
        </w:rPr>
        <w:t>) continued to demonstrate improved OS.</w:t>
      </w:r>
      <w:r w:rsidRPr="008B029F">
        <w:rPr>
          <w:lang w:val="en-AU"/>
        </w:rPr>
        <w:t xml:space="preserve"> The results are summarised below.</w:t>
      </w:r>
    </w:p>
    <w:p w14:paraId="38DADF8E" w14:textId="3605FA34" w:rsidR="00100A9B" w:rsidRPr="008B029F" w:rsidRDefault="00100A9B" w:rsidP="00301820">
      <w:pPr>
        <w:pStyle w:val="Paragraph"/>
        <w:rPr>
          <w:lang w:val="en-AU"/>
        </w:rPr>
      </w:pPr>
      <w:r w:rsidRPr="008B029F">
        <w:rPr>
          <w:lang w:val="en-AU"/>
        </w:rPr>
        <w:t xml:space="preserve">The demographics and baseline disease characteristics were well balanced between the study arms (268 patients in Arm </w:t>
      </w:r>
      <w:r w:rsidR="008D66D7" w:rsidRPr="008B029F">
        <w:rPr>
          <w:lang w:val="en-AU"/>
        </w:rPr>
        <w:t>1</w:t>
      </w:r>
      <w:r w:rsidRPr="008B029F">
        <w:rPr>
          <w:lang w:val="en-AU"/>
        </w:rPr>
        <w:t xml:space="preserve"> and 269 patients in Arm </w:t>
      </w:r>
      <w:r w:rsidR="008D66D7" w:rsidRPr="008B029F">
        <w:rPr>
          <w:lang w:val="en-AU"/>
        </w:rPr>
        <w:t>2</w:t>
      </w:r>
      <w:r w:rsidRPr="008B029F">
        <w:rPr>
          <w:lang w:val="en-AU"/>
        </w:rPr>
        <w:t>). Baseline demographics of the overall study population were as follows: male (69.6%), age ≥ 65 years (39.6%), median age 63 years (range: 28 to 82 years), white (83.8%), Asian (14.5%), black or African American (0.9%), other (0.6 %), non</w:t>
      </w:r>
      <w:r w:rsidRPr="008B029F">
        <w:rPr>
          <w:lang w:val="en-AU"/>
        </w:rPr>
        <w:noBreakHyphen/>
        <w:t xml:space="preserve">Hispanic or Latino (96.1%), current or past-smoker (93.1%), never smoker (6.9%), WHO/ECOG PS 0 (35.2%), WHO/ECOG PS 1 (64.8%), Stage IV 90.3%, 24.6% of the patients received cisplatin and 74.1% of the patients received carboplatin. </w:t>
      </w:r>
      <w:r w:rsidR="00CB699C" w:rsidRPr="008B029F">
        <w:rPr>
          <w:lang w:val="en-AU"/>
        </w:rPr>
        <w:t xml:space="preserve">In Arm </w:t>
      </w:r>
      <w:r w:rsidR="008D66D7" w:rsidRPr="008B029F">
        <w:rPr>
          <w:lang w:val="en-AU"/>
        </w:rPr>
        <w:t>1</w:t>
      </w:r>
      <w:r w:rsidR="00CB699C" w:rsidRPr="008B029F">
        <w:rPr>
          <w:lang w:val="en-AU"/>
        </w:rPr>
        <w:t xml:space="preserve">, 1.1% of the patients received </w:t>
      </w:r>
      <w:r w:rsidR="00DF5E7B" w:rsidRPr="008B029F">
        <w:rPr>
          <w:lang w:val="en-AU"/>
        </w:rPr>
        <w:t>≥</w:t>
      </w:r>
      <w:r w:rsidR="00CB699C" w:rsidRPr="008B029F">
        <w:rPr>
          <w:lang w:val="en-AU"/>
        </w:rPr>
        <w:t xml:space="preserve">5 cycles of chemotherapy and 0.4% of the patients received ≥6 cycles of chemotherapy based on etoposide exposure. In Arm </w:t>
      </w:r>
      <w:r w:rsidR="008D66D7" w:rsidRPr="008B029F">
        <w:rPr>
          <w:lang w:val="en-AU"/>
        </w:rPr>
        <w:t>2</w:t>
      </w:r>
      <w:r w:rsidR="00CB699C" w:rsidRPr="008B029F">
        <w:rPr>
          <w:lang w:val="en-AU"/>
        </w:rPr>
        <w:t xml:space="preserve">, 62.8% of the patients received ≥5 treatment cycles, 56.8% of </w:t>
      </w:r>
      <w:r w:rsidR="00CD48CC" w:rsidRPr="008B029F">
        <w:rPr>
          <w:lang w:val="en-AU"/>
        </w:rPr>
        <w:t xml:space="preserve">the </w:t>
      </w:r>
      <w:r w:rsidR="00CB699C" w:rsidRPr="008B029F">
        <w:rPr>
          <w:lang w:val="en-AU"/>
        </w:rPr>
        <w:t>patients received the maximum of 6 treatment cycles based on etoposide exposure</w:t>
      </w:r>
      <w:r w:rsidRPr="008B029F">
        <w:rPr>
          <w:lang w:val="en-AU"/>
        </w:rPr>
        <w:t xml:space="preserve"> and 7.8% of the patients received PCI</w:t>
      </w:r>
      <w:r w:rsidR="00F66477" w:rsidRPr="008B029F">
        <w:rPr>
          <w:lang w:val="en-AU"/>
        </w:rPr>
        <w:t xml:space="preserve"> after chemotherapy</w:t>
      </w:r>
      <w:r w:rsidRPr="008B029F">
        <w:rPr>
          <w:lang w:val="en-AU"/>
        </w:rPr>
        <w:t>.</w:t>
      </w:r>
      <w:r w:rsidR="00842192" w:rsidRPr="008B029F">
        <w:rPr>
          <w:lang w:val="en-AU"/>
        </w:rPr>
        <w:t xml:space="preserve"> </w:t>
      </w:r>
    </w:p>
    <w:p w14:paraId="515C9DC7" w14:textId="13602596" w:rsidR="00174137" w:rsidRPr="008B029F" w:rsidRDefault="00100A9B" w:rsidP="00C70C98">
      <w:pPr>
        <w:pStyle w:val="Paragraph"/>
        <w:rPr>
          <w:lang w:val="en-AU"/>
        </w:rPr>
      </w:pPr>
      <w:r w:rsidRPr="008B029F">
        <w:rPr>
          <w:lang w:val="en-AU"/>
        </w:rPr>
        <w:lastRenderedPageBreak/>
        <w:t>The study demonstrated a statistically significant</w:t>
      </w:r>
      <w:r w:rsidR="00F66477" w:rsidRPr="008B029F">
        <w:rPr>
          <w:lang w:val="en-AU"/>
        </w:rPr>
        <w:t xml:space="preserve"> </w:t>
      </w:r>
      <w:r w:rsidRPr="008B029F">
        <w:rPr>
          <w:lang w:val="en-AU"/>
        </w:rPr>
        <w:t>and clinically meaningful improvement in OS</w:t>
      </w:r>
      <w:r w:rsidR="006C4318" w:rsidRPr="008B029F">
        <w:rPr>
          <w:lang w:val="en-AU"/>
        </w:rPr>
        <w:t xml:space="preserve"> at the planned interim analysis</w:t>
      </w:r>
      <w:r w:rsidRPr="008B029F">
        <w:rPr>
          <w:lang w:val="en-AU"/>
        </w:rPr>
        <w:t xml:space="preserve"> with IMFINZI + chemotherapy (Arm </w:t>
      </w:r>
      <w:r w:rsidR="00BB013A" w:rsidRPr="008B029F">
        <w:rPr>
          <w:lang w:val="en-AU"/>
        </w:rPr>
        <w:t>1</w:t>
      </w:r>
      <w:r w:rsidRPr="008B029F">
        <w:rPr>
          <w:lang w:val="en-AU"/>
        </w:rPr>
        <w:t xml:space="preserve">) vs. chemotherapy alone (Arm </w:t>
      </w:r>
      <w:r w:rsidR="00BB013A" w:rsidRPr="008B029F">
        <w:rPr>
          <w:lang w:val="en-AU"/>
        </w:rPr>
        <w:t>2</w:t>
      </w:r>
      <w:r w:rsidRPr="008B029F">
        <w:rPr>
          <w:lang w:val="en-AU"/>
        </w:rPr>
        <w:t xml:space="preserve">) [HR=0.73 (95% CI: 0.591, 0.909), p=0.0047]. IMFINZI + chemotherapy demonstrated an improvement in PFS vs. chemotherapy alone [HR=0.78 (95% CI: 0.645, 0.936)]. </w:t>
      </w:r>
    </w:p>
    <w:p w14:paraId="41720BB0" w14:textId="71E30FE7" w:rsidR="00100A9B" w:rsidRPr="008B029F" w:rsidRDefault="006C4318" w:rsidP="00301820">
      <w:pPr>
        <w:pStyle w:val="Paragraph"/>
        <w:rPr>
          <w:lang w:val="en-AU" w:eastAsia="en-GB"/>
        </w:rPr>
      </w:pPr>
      <w:r w:rsidRPr="008B029F">
        <w:rPr>
          <w:lang w:val="en-AU"/>
        </w:rPr>
        <w:t>In the planned follow-up OS analysis (median: 25.</w:t>
      </w:r>
      <w:r w:rsidR="00214150" w:rsidRPr="008B029F">
        <w:rPr>
          <w:lang w:val="en-AU"/>
        </w:rPr>
        <w:t>1</w:t>
      </w:r>
      <w:r w:rsidRPr="008B029F">
        <w:rPr>
          <w:lang w:val="en-AU"/>
        </w:rPr>
        <w:t xml:space="preserve"> months), the median OS for Arm </w:t>
      </w:r>
      <w:r w:rsidR="00BB013A" w:rsidRPr="008B029F">
        <w:rPr>
          <w:lang w:val="en-AU"/>
        </w:rPr>
        <w:t>1</w:t>
      </w:r>
      <w:r w:rsidRPr="008B029F">
        <w:rPr>
          <w:lang w:val="en-AU"/>
        </w:rPr>
        <w:t xml:space="preserve"> and Arm </w:t>
      </w:r>
      <w:r w:rsidR="00BB013A" w:rsidRPr="008B029F">
        <w:rPr>
          <w:lang w:val="en-AU"/>
        </w:rPr>
        <w:t>2</w:t>
      </w:r>
      <w:r w:rsidRPr="008B029F">
        <w:rPr>
          <w:lang w:val="en-AU"/>
        </w:rPr>
        <w:t xml:space="preserve"> was </w:t>
      </w:r>
      <w:r w:rsidR="000E4F31" w:rsidRPr="008B029F">
        <w:rPr>
          <w:lang w:val="en-AU"/>
        </w:rPr>
        <w:t xml:space="preserve">consistent with </w:t>
      </w:r>
      <w:r w:rsidRPr="008B029F">
        <w:rPr>
          <w:lang w:val="en-AU"/>
        </w:rPr>
        <w:t xml:space="preserve">the OS interim analysis. The PFS, ORR and </w:t>
      </w:r>
      <w:r w:rsidR="00390E36" w:rsidRPr="008B029F">
        <w:rPr>
          <w:lang w:val="en-AU"/>
        </w:rPr>
        <w:t xml:space="preserve">Duration of </w:t>
      </w:r>
      <w:r w:rsidR="00000810" w:rsidRPr="008B029F">
        <w:rPr>
          <w:lang w:val="en-AU"/>
        </w:rPr>
        <w:t>r</w:t>
      </w:r>
      <w:r w:rsidR="00390E36" w:rsidRPr="008B029F">
        <w:rPr>
          <w:lang w:val="en-AU"/>
        </w:rPr>
        <w:t>esponse (</w:t>
      </w:r>
      <w:r w:rsidRPr="008B029F">
        <w:rPr>
          <w:lang w:val="en-AU"/>
        </w:rPr>
        <w:t>DoR</w:t>
      </w:r>
      <w:r w:rsidR="00390E36" w:rsidRPr="008B029F">
        <w:rPr>
          <w:lang w:val="en-AU"/>
        </w:rPr>
        <w:t>)</w:t>
      </w:r>
      <w:r w:rsidRPr="008B029F">
        <w:rPr>
          <w:lang w:val="en-AU"/>
        </w:rPr>
        <w:t xml:space="preserve"> results from the planned interim analysis as well as the planned follow-up OS analysis results are summari</w:t>
      </w:r>
      <w:r w:rsidR="00E46175" w:rsidRPr="008B029F">
        <w:rPr>
          <w:lang w:val="en-AU"/>
        </w:rPr>
        <w:t>s</w:t>
      </w:r>
      <w:r w:rsidRPr="008B029F">
        <w:rPr>
          <w:lang w:val="en-AU"/>
        </w:rPr>
        <w:t xml:space="preserve">ed in </w:t>
      </w:r>
      <w:r w:rsidR="008979A6" w:rsidRPr="008B029F">
        <w:rPr>
          <w:color w:val="2B579A"/>
          <w:shd w:val="clear" w:color="auto" w:fill="E6E6E6"/>
          <w:lang w:val="en-AU"/>
        </w:rPr>
        <w:fldChar w:fldCharType="begin"/>
      </w:r>
      <w:r w:rsidR="008979A6" w:rsidRPr="008B029F">
        <w:rPr>
          <w:lang w:val="en-AU"/>
        </w:rPr>
        <w:instrText xml:space="preserve"> REF _Ref120539903 \h </w:instrText>
      </w:r>
      <w:r w:rsidR="003D6307" w:rsidRPr="008B029F">
        <w:rPr>
          <w:color w:val="2B579A"/>
          <w:shd w:val="clear" w:color="auto" w:fill="E6E6E6"/>
          <w:lang w:val="en-AU"/>
        </w:rPr>
        <w:instrText xml:space="preserve"> \* MERGEFORMAT </w:instrText>
      </w:r>
      <w:r w:rsidR="008979A6" w:rsidRPr="008B029F">
        <w:rPr>
          <w:color w:val="2B579A"/>
          <w:shd w:val="clear" w:color="auto" w:fill="E6E6E6"/>
          <w:lang w:val="en-AU"/>
        </w:rPr>
      </w:r>
      <w:r w:rsidR="008979A6"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17</w:t>
      </w:r>
      <w:r w:rsidR="008979A6" w:rsidRPr="008B029F">
        <w:rPr>
          <w:color w:val="2B579A"/>
          <w:shd w:val="clear" w:color="auto" w:fill="E6E6E6"/>
          <w:lang w:val="en-AU"/>
        </w:rPr>
        <w:fldChar w:fldCharType="end"/>
      </w:r>
      <w:r w:rsidRPr="008B029F">
        <w:rPr>
          <w:lang w:val="en-AU"/>
        </w:rPr>
        <w:t xml:space="preserve">. Kaplan-Meier curves for </w:t>
      </w:r>
      <w:r w:rsidR="002E1B18" w:rsidRPr="008B029F">
        <w:rPr>
          <w:lang w:val="en-AU"/>
        </w:rPr>
        <w:t xml:space="preserve">the planned follow-up </w:t>
      </w:r>
      <w:r w:rsidRPr="008B029F">
        <w:rPr>
          <w:lang w:val="en-AU"/>
        </w:rPr>
        <w:t xml:space="preserve">OS and </w:t>
      </w:r>
      <w:r w:rsidR="002E1B18" w:rsidRPr="008B029F">
        <w:rPr>
          <w:lang w:val="en-AU"/>
        </w:rPr>
        <w:t xml:space="preserve">the interim analysis </w:t>
      </w:r>
      <w:r w:rsidRPr="008B029F">
        <w:rPr>
          <w:lang w:val="en-AU"/>
        </w:rPr>
        <w:t xml:space="preserve">PFS are presented in </w:t>
      </w:r>
      <w:r w:rsidR="00C70C98" w:rsidRPr="008B029F">
        <w:rPr>
          <w:color w:val="2B579A"/>
          <w:shd w:val="clear" w:color="auto" w:fill="E6E6E6"/>
          <w:lang w:val="en-AU"/>
        </w:rPr>
        <w:fldChar w:fldCharType="begin"/>
      </w:r>
      <w:r w:rsidR="00C70C98" w:rsidRPr="008B029F">
        <w:rPr>
          <w:lang w:val="en-AU"/>
        </w:rPr>
        <w:instrText xml:space="preserve"> REF _Ref57373032 \h </w:instrText>
      </w:r>
      <w:r w:rsidR="00B64932" w:rsidRPr="008B029F">
        <w:rPr>
          <w:color w:val="2B579A"/>
          <w:shd w:val="clear" w:color="auto" w:fill="E6E6E6"/>
          <w:lang w:val="en-AU"/>
        </w:rPr>
        <w:instrText xml:space="preserve"> \* MERGEFORMAT </w:instrText>
      </w:r>
      <w:r w:rsidR="00C70C98" w:rsidRPr="008B029F">
        <w:rPr>
          <w:color w:val="2B579A"/>
          <w:shd w:val="clear" w:color="auto" w:fill="E6E6E6"/>
          <w:lang w:val="en-AU"/>
        </w:rPr>
      </w:r>
      <w:r w:rsidR="00C70C98" w:rsidRPr="008B029F">
        <w:rPr>
          <w:color w:val="2B579A"/>
          <w:shd w:val="clear" w:color="auto" w:fill="E6E6E6"/>
          <w:lang w:val="en-AU"/>
        </w:rPr>
        <w:fldChar w:fldCharType="separate"/>
      </w:r>
      <w:r w:rsidR="009773EE" w:rsidRPr="008B029F">
        <w:rPr>
          <w:lang w:val="en-AU"/>
        </w:rPr>
        <w:t>Figure </w:t>
      </w:r>
      <w:r w:rsidR="009773EE" w:rsidRPr="008B029F">
        <w:rPr>
          <w:noProof/>
          <w:lang w:val="en-AU"/>
        </w:rPr>
        <w:t>5</w:t>
      </w:r>
      <w:r w:rsidR="00C70C98" w:rsidRPr="008B029F">
        <w:rPr>
          <w:color w:val="2B579A"/>
          <w:shd w:val="clear" w:color="auto" w:fill="E6E6E6"/>
          <w:lang w:val="en-AU"/>
        </w:rPr>
        <w:fldChar w:fldCharType="end"/>
      </w:r>
      <w:r w:rsidR="00C70C98" w:rsidRPr="008B029F">
        <w:rPr>
          <w:lang w:val="en-AU"/>
        </w:rPr>
        <w:t xml:space="preserve"> </w:t>
      </w:r>
      <w:r w:rsidRPr="008B029F">
        <w:rPr>
          <w:lang w:val="en-AU"/>
        </w:rPr>
        <w:t xml:space="preserve">and </w:t>
      </w:r>
      <w:r w:rsidR="00C70C98" w:rsidRPr="008B029F">
        <w:rPr>
          <w:color w:val="2B579A"/>
          <w:shd w:val="clear" w:color="auto" w:fill="E6E6E6"/>
          <w:lang w:val="en-AU"/>
        </w:rPr>
        <w:fldChar w:fldCharType="begin"/>
      </w:r>
      <w:r w:rsidR="00C70C98" w:rsidRPr="008B029F">
        <w:rPr>
          <w:lang w:val="en-AU"/>
        </w:rPr>
        <w:instrText xml:space="preserve"> REF _Ref57373054 \h </w:instrText>
      </w:r>
      <w:r w:rsidR="00B64932" w:rsidRPr="008B029F">
        <w:rPr>
          <w:color w:val="2B579A"/>
          <w:shd w:val="clear" w:color="auto" w:fill="E6E6E6"/>
          <w:lang w:val="en-AU"/>
        </w:rPr>
        <w:instrText xml:space="preserve"> \* MERGEFORMAT </w:instrText>
      </w:r>
      <w:r w:rsidR="00C70C98" w:rsidRPr="008B029F">
        <w:rPr>
          <w:color w:val="2B579A"/>
          <w:shd w:val="clear" w:color="auto" w:fill="E6E6E6"/>
          <w:lang w:val="en-AU"/>
        </w:rPr>
      </w:r>
      <w:r w:rsidR="00C70C98" w:rsidRPr="008B029F">
        <w:rPr>
          <w:color w:val="2B579A"/>
          <w:shd w:val="clear" w:color="auto" w:fill="E6E6E6"/>
          <w:lang w:val="en-AU"/>
        </w:rPr>
        <w:fldChar w:fldCharType="separate"/>
      </w:r>
      <w:r w:rsidR="009773EE" w:rsidRPr="008B029F">
        <w:rPr>
          <w:lang w:val="en-AU"/>
        </w:rPr>
        <w:t>Figure </w:t>
      </w:r>
      <w:r w:rsidR="009773EE" w:rsidRPr="008B029F">
        <w:rPr>
          <w:noProof/>
          <w:lang w:val="en-AU"/>
        </w:rPr>
        <w:t>6</w:t>
      </w:r>
      <w:r w:rsidR="00C70C98" w:rsidRPr="008B029F">
        <w:rPr>
          <w:color w:val="2B579A"/>
          <w:shd w:val="clear" w:color="auto" w:fill="E6E6E6"/>
          <w:lang w:val="en-AU"/>
        </w:rPr>
        <w:fldChar w:fldCharType="end"/>
      </w:r>
      <w:r w:rsidRPr="008B029F">
        <w:rPr>
          <w:lang w:val="en-AU"/>
        </w:rPr>
        <w:t>.</w:t>
      </w:r>
    </w:p>
    <w:p w14:paraId="14EE9A80" w14:textId="03BB909B" w:rsidR="00301820" w:rsidRPr="008B029F" w:rsidRDefault="008979A6" w:rsidP="00681ADE">
      <w:pPr>
        <w:pStyle w:val="TableTitle"/>
        <w:rPr>
          <w:lang w:val="en-AU" w:eastAsia="en-GB"/>
        </w:rPr>
      </w:pPr>
      <w:bookmarkStart w:id="55" w:name="_Ref120539903"/>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17</w:t>
      </w:r>
      <w:r w:rsidRPr="008B029F">
        <w:rPr>
          <w:color w:val="2B579A"/>
          <w:shd w:val="clear" w:color="auto" w:fill="E6E6E6"/>
          <w:lang w:val="en-AU"/>
        </w:rPr>
        <w:fldChar w:fldCharType="end"/>
      </w:r>
      <w:bookmarkEnd w:id="55"/>
      <w:r w:rsidR="00301820" w:rsidRPr="008B029F">
        <w:rPr>
          <w:lang w:val="en-AU"/>
        </w:rPr>
        <w:tab/>
        <w:t xml:space="preserve">Efficacy </w:t>
      </w:r>
      <w:r w:rsidR="00000810" w:rsidRPr="008B029F">
        <w:rPr>
          <w:lang w:val="en-AU"/>
        </w:rPr>
        <w:t>r</w:t>
      </w:r>
      <w:r w:rsidR="00301820" w:rsidRPr="008B029F">
        <w:rPr>
          <w:lang w:val="en-AU"/>
        </w:rPr>
        <w:t xml:space="preserve">esults for the CASPIAN </w:t>
      </w:r>
      <w:r w:rsidR="00000810" w:rsidRPr="008B029F">
        <w:rPr>
          <w:lang w:val="en-AU"/>
        </w:rPr>
        <w:t>s</w:t>
      </w:r>
      <w:r w:rsidR="00301820" w:rsidRPr="008B029F">
        <w:rPr>
          <w:lang w:val="en-AU"/>
        </w:rPr>
        <w:t xml:space="preserve">tudy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98"/>
        <w:gridCol w:w="3121"/>
        <w:gridCol w:w="3113"/>
      </w:tblGrid>
      <w:tr w:rsidR="00100A9B" w:rsidRPr="008B029F" w14:paraId="42E5E132" w14:textId="77777777" w:rsidTr="000C7318">
        <w:trPr>
          <w:cantSplit/>
          <w:tblHeader/>
        </w:trPr>
        <w:tc>
          <w:tcPr>
            <w:tcW w:w="1764" w:type="pct"/>
            <w:shd w:val="clear" w:color="auto" w:fill="auto"/>
          </w:tcPr>
          <w:p w14:paraId="1061D440" w14:textId="77777777" w:rsidR="00100A9B" w:rsidRPr="008B029F" w:rsidRDefault="00100A9B" w:rsidP="00301820">
            <w:pPr>
              <w:pStyle w:val="TableHead"/>
              <w:jc w:val="left"/>
              <w:rPr>
                <w:lang w:val="en-AU" w:eastAsia="en-GB"/>
              </w:rPr>
            </w:pPr>
          </w:p>
        </w:tc>
        <w:tc>
          <w:tcPr>
            <w:tcW w:w="1620" w:type="pct"/>
            <w:shd w:val="clear" w:color="auto" w:fill="auto"/>
          </w:tcPr>
          <w:p w14:paraId="14185E17" w14:textId="2ED54C33" w:rsidR="00100A9B" w:rsidRPr="008B029F" w:rsidRDefault="00100A9B" w:rsidP="00301820">
            <w:pPr>
              <w:pStyle w:val="TableHead"/>
              <w:rPr>
                <w:lang w:val="en-AU" w:eastAsia="en-GB"/>
              </w:rPr>
            </w:pPr>
            <w:r w:rsidRPr="008B029F">
              <w:rPr>
                <w:lang w:val="en-AU" w:eastAsia="en-GB"/>
              </w:rPr>
              <w:t xml:space="preserve">Arm </w:t>
            </w:r>
            <w:r w:rsidR="00BB013A" w:rsidRPr="008B029F">
              <w:rPr>
                <w:lang w:val="en-AU" w:eastAsia="en-GB"/>
              </w:rPr>
              <w:t>1</w:t>
            </w:r>
            <w:r w:rsidRPr="008B029F">
              <w:rPr>
                <w:lang w:val="en-AU" w:eastAsia="en-GB"/>
              </w:rPr>
              <w:t>: IMFINZI + etoposide and either car</w:t>
            </w:r>
            <w:r w:rsidR="00B6276F" w:rsidRPr="008B029F">
              <w:rPr>
                <w:lang w:val="en-AU" w:eastAsia="en-GB"/>
              </w:rPr>
              <w:t>b</w:t>
            </w:r>
            <w:r w:rsidRPr="008B029F">
              <w:rPr>
                <w:lang w:val="en-AU" w:eastAsia="en-GB"/>
              </w:rPr>
              <w:t>oplatin or cisplatin</w:t>
            </w:r>
          </w:p>
          <w:p w14:paraId="05DE4CBC" w14:textId="77777777" w:rsidR="00100A9B" w:rsidRPr="008B029F" w:rsidRDefault="00100A9B" w:rsidP="00301820">
            <w:pPr>
              <w:pStyle w:val="TableHead"/>
              <w:rPr>
                <w:lang w:val="en-AU" w:eastAsia="en-GB"/>
              </w:rPr>
            </w:pPr>
            <w:r w:rsidRPr="008B029F">
              <w:rPr>
                <w:lang w:val="en-AU" w:eastAsia="en-GB"/>
              </w:rPr>
              <w:t>(n=268)</w:t>
            </w:r>
          </w:p>
        </w:tc>
        <w:tc>
          <w:tcPr>
            <w:tcW w:w="1616" w:type="pct"/>
            <w:shd w:val="clear" w:color="auto" w:fill="auto"/>
          </w:tcPr>
          <w:p w14:paraId="3C327A80" w14:textId="6CE6F010" w:rsidR="00100A9B" w:rsidRPr="008B029F" w:rsidRDefault="00100A9B" w:rsidP="00301820">
            <w:pPr>
              <w:pStyle w:val="TableHead"/>
              <w:rPr>
                <w:lang w:val="en-AU" w:eastAsia="en-GB"/>
              </w:rPr>
            </w:pPr>
            <w:r w:rsidRPr="008B029F">
              <w:rPr>
                <w:lang w:val="en-AU" w:eastAsia="en-GB"/>
              </w:rPr>
              <w:t xml:space="preserve">Arm </w:t>
            </w:r>
            <w:r w:rsidR="00BB013A" w:rsidRPr="008B029F">
              <w:rPr>
                <w:lang w:val="en-AU" w:eastAsia="en-GB"/>
              </w:rPr>
              <w:t>2</w:t>
            </w:r>
            <w:r w:rsidRPr="008B029F">
              <w:rPr>
                <w:lang w:val="en-AU" w:eastAsia="en-GB"/>
              </w:rPr>
              <w:t>: etoposide and either car</w:t>
            </w:r>
            <w:r w:rsidR="00B6276F" w:rsidRPr="008B029F">
              <w:rPr>
                <w:lang w:val="en-AU" w:eastAsia="en-GB"/>
              </w:rPr>
              <w:t>b</w:t>
            </w:r>
            <w:r w:rsidRPr="008B029F">
              <w:rPr>
                <w:lang w:val="en-AU" w:eastAsia="en-GB"/>
              </w:rPr>
              <w:t>oplatin or cisplatin</w:t>
            </w:r>
          </w:p>
          <w:p w14:paraId="77924ECC" w14:textId="77777777" w:rsidR="00100A9B" w:rsidRPr="008B029F" w:rsidRDefault="00100A9B" w:rsidP="00301820">
            <w:pPr>
              <w:pStyle w:val="TableHead"/>
              <w:rPr>
                <w:lang w:val="en-AU" w:eastAsia="en-GB"/>
              </w:rPr>
            </w:pPr>
            <w:r w:rsidRPr="008B029F">
              <w:rPr>
                <w:lang w:val="en-AU" w:eastAsia="en-GB"/>
              </w:rPr>
              <w:t>(n=269)</w:t>
            </w:r>
          </w:p>
        </w:tc>
      </w:tr>
      <w:tr w:rsidR="00100A9B" w:rsidRPr="008B029F" w14:paraId="42C781E6" w14:textId="77777777" w:rsidTr="000C7318">
        <w:trPr>
          <w:cantSplit/>
        </w:trPr>
        <w:tc>
          <w:tcPr>
            <w:tcW w:w="1764" w:type="pct"/>
            <w:shd w:val="clear" w:color="auto" w:fill="auto"/>
          </w:tcPr>
          <w:p w14:paraId="07FD0306" w14:textId="7A9E5DC7" w:rsidR="00100A9B" w:rsidRPr="008B029F" w:rsidRDefault="00100A9B" w:rsidP="00301820">
            <w:pPr>
              <w:pStyle w:val="TableLeft"/>
              <w:rPr>
                <w:b/>
                <w:bCs w:val="0"/>
                <w:lang w:val="en-AU" w:eastAsia="en-GB"/>
              </w:rPr>
            </w:pPr>
            <w:r w:rsidRPr="008B029F">
              <w:rPr>
                <w:b/>
                <w:bCs w:val="0"/>
                <w:lang w:val="en-AU" w:eastAsia="en-GB"/>
              </w:rPr>
              <w:t>OS</w:t>
            </w:r>
            <w:r w:rsidR="00C41A5B" w:rsidRPr="008B029F">
              <w:rPr>
                <w:b/>
                <w:bCs w:val="0"/>
                <w:vertAlign w:val="superscript"/>
                <w:lang w:val="en-AU"/>
              </w:rPr>
              <w:t>a</w:t>
            </w:r>
          </w:p>
        </w:tc>
        <w:tc>
          <w:tcPr>
            <w:tcW w:w="3236" w:type="pct"/>
            <w:gridSpan w:val="2"/>
            <w:shd w:val="clear" w:color="auto" w:fill="auto"/>
          </w:tcPr>
          <w:p w14:paraId="1069B814" w14:textId="77777777" w:rsidR="00100A9B" w:rsidRPr="008B029F" w:rsidRDefault="00100A9B" w:rsidP="00301820">
            <w:pPr>
              <w:pStyle w:val="TableCenter"/>
              <w:rPr>
                <w:lang w:val="en-AU"/>
              </w:rPr>
            </w:pPr>
          </w:p>
        </w:tc>
      </w:tr>
      <w:tr w:rsidR="00100A9B" w:rsidRPr="008B029F" w14:paraId="66AEA038" w14:textId="77777777" w:rsidTr="000C7318">
        <w:trPr>
          <w:cantSplit/>
        </w:trPr>
        <w:tc>
          <w:tcPr>
            <w:tcW w:w="1764" w:type="pct"/>
            <w:shd w:val="clear" w:color="auto" w:fill="auto"/>
          </w:tcPr>
          <w:p w14:paraId="7ACF3BF4" w14:textId="453550F4" w:rsidR="00100A9B" w:rsidRPr="008B029F" w:rsidRDefault="00100A9B" w:rsidP="003B55CC">
            <w:pPr>
              <w:pStyle w:val="TableLeft"/>
              <w:ind w:left="171"/>
              <w:rPr>
                <w:lang w:val="en-AU" w:eastAsia="en-GB"/>
              </w:rPr>
            </w:pPr>
            <w:r w:rsidRPr="008B029F">
              <w:rPr>
                <w:lang w:val="en-AU" w:eastAsia="en-GB"/>
              </w:rPr>
              <w:t>Number of deaths (%)</w:t>
            </w:r>
          </w:p>
        </w:tc>
        <w:tc>
          <w:tcPr>
            <w:tcW w:w="1620" w:type="pct"/>
            <w:shd w:val="clear" w:color="auto" w:fill="auto"/>
          </w:tcPr>
          <w:p w14:paraId="7B3BF2F4" w14:textId="46384CA3" w:rsidR="00100A9B" w:rsidRPr="008B029F" w:rsidRDefault="006C4318" w:rsidP="00301820">
            <w:pPr>
              <w:pStyle w:val="TableCenter"/>
              <w:rPr>
                <w:lang w:val="en-AU" w:eastAsia="en-GB"/>
              </w:rPr>
            </w:pPr>
            <w:r w:rsidRPr="008B029F">
              <w:rPr>
                <w:lang w:val="en-AU"/>
              </w:rPr>
              <w:t>210</w:t>
            </w:r>
            <w:r w:rsidR="00100A9B" w:rsidRPr="008B029F">
              <w:rPr>
                <w:lang w:val="en-AU"/>
              </w:rPr>
              <w:t xml:space="preserve"> (</w:t>
            </w:r>
            <w:r w:rsidRPr="008B029F">
              <w:rPr>
                <w:lang w:val="en-AU"/>
              </w:rPr>
              <w:t>78.4</w:t>
            </w:r>
            <w:r w:rsidR="00100A9B" w:rsidRPr="008B029F">
              <w:rPr>
                <w:lang w:val="en-AU"/>
              </w:rPr>
              <w:t>)</w:t>
            </w:r>
          </w:p>
        </w:tc>
        <w:tc>
          <w:tcPr>
            <w:tcW w:w="1616" w:type="pct"/>
            <w:shd w:val="clear" w:color="auto" w:fill="auto"/>
          </w:tcPr>
          <w:p w14:paraId="45E46976" w14:textId="6FEA9AF3" w:rsidR="00100A9B" w:rsidRPr="008B029F" w:rsidRDefault="006C4318" w:rsidP="00301820">
            <w:pPr>
              <w:pStyle w:val="TableCenter"/>
              <w:rPr>
                <w:lang w:val="en-AU" w:eastAsia="en-GB"/>
              </w:rPr>
            </w:pPr>
            <w:r w:rsidRPr="008B029F">
              <w:rPr>
                <w:lang w:val="en-AU"/>
              </w:rPr>
              <w:t>231</w:t>
            </w:r>
            <w:r w:rsidR="00100A9B" w:rsidRPr="008B029F">
              <w:rPr>
                <w:lang w:val="en-AU"/>
              </w:rPr>
              <w:t xml:space="preserve"> (</w:t>
            </w:r>
            <w:r w:rsidRPr="008B029F">
              <w:rPr>
                <w:lang w:val="en-AU"/>
              </w:rPr>
              <w:t>85</w:t>
            </w:r>
            <w:r w:rsidR="00100A9B" w:rsidRPr="008B029F">
              <w:rPr>
                <w:lang w:val="en-AU"/>
              </w:rPr>
              <w:t>.</w:t>
            </w:r>
            <w:r w:rsidRPr="008B029F">
              <w:rPr>
                <w:lang w:val="en-AU"/>
              </w:rPr>
              <w:t>9</w:t>
            </w:r>
            <w:r w:rsidR="00100A9B" w:rsidRPr="008B029F">
              <w:rPr>
                <w:lang w:val="en-AU"/>
              </w:rPr>
              <w:t>)</w:t>
            </w:r>
          </w:p>
        </w:tc>
      </w:tr>
      <w:tr w:rsidR="00100A9B" w:rsidRPr="008B029F" w14:paraId="3E59B218" w14:textId="77777777" w:rsidTr="000C7318">
        <w:trPr>
          <w:cantSplit/>
        </w:trPr>
        <w:tc>
          <w:tcPr>
            <w:tcW w:w="1764" w:type="pct"/>
            <w:shd w:val="clear" w:color="auto" w:fill="auto"/>
          </w:tcPr>
          <w:p w14:paraId="04C21CAC" w14:textId="722AD499" w:rsidR="00100A9B" w:rsidRPr="008B029F" w:rsidRDefault="00100A9B" w:rsidP="003B55CC">
            <w:pPr>
              <w:pStyle w:val="TableLeft"/>
              <w:ind w:left="171"/>
              <w:rPr>
                <w:lang w:val="en-AU" w:eastAsia="en-GB"/>
              </w:rPr>
            </w:pPr>
            <w:r w:rsidRPr="008B029F">
              <w:rPr>
                <w:b/>
                <w:bCs w:val="0"/>
                <w:lang w:val="en-AU" w:eastAsia="en-GB"/>
              </w:rPr>
              <w:t>Median OS (months)</w:t>
            </w:r>
            <w:r w:rsidR="003B55CC" w:rsidRPr="008B029F">
              <w:rPr>
                <w:b/>
                <w:bCs w:val="0"/>
                <w:lang w:val="en-AU" w:eastAsia="en-GB"/>
              </w:rPr>
              <w:t xml:space="preserve"> </w:t>
            </w:r>
            <w:r w:rsidRPr="008B029F">
              <w:rPr>
                <w:b/>
                <w:bCs w:val="0"/>
                <w:lang w:val="en-AU" w:eastAsia="en-GB"/>
              </w:rPr>
              <w:t>(95% CI)</w:t>
            </w:r>
          </w:p>
        </w:tc>
        <w:tc>
          <w:tcPr>
            <w:tcW w:w="1620" w:type="pct"/>
            <w:shd w:val="clear" w:color="auto" w:fill="auto"/>
          </w:tcPr>
          <w:p w14:paraId="1CDC840D" w14:textId="702ADC6D" w:rsidR="00100A9B" w:rsidRPr="008B029F" w:rsidRDefault="00100A9B" w:rsidP="003B55CC">
            <w:pPr>
              <w:pStyle w:val="TableCenter"/>
              <w:rPr>
                <w:lang w:val="en-AU" w:eastAsia="en-GB"/>
              </w:rPr>
            </w:pPr>
            <w:r w:rsidRPr="008B029F">
              <w:rPr>
                <w:lang w:val="en-AU" w:eastAsia="en-GB"/>
              </w:rPr>
              <w:t>1</w:t>
            </w:r>
            <w:r w:rsidR="006C4318" w:rsidRPr="008B029F">
              <w:rPr>
                <w:lang w:val="en-AU" w:eastAsia="en-GB"/>
              </w:rPr>
              <w:t>2</w:t>
            </w:r>
            <w:r w:rsidRPr="008B029F">
              <w:rPr>
                <w:lang w:val="en-AU" w:eastAsia="en-GB"/>
              </w:rPr>
              <w:t>.</w:t>
            </w:r>
            <w:r w:rsidR="006C4318" w:rsidRPr="008B029F">
              <w:rPr>
                <w:lang w:val="en-AU" w:eastAsia="en-GB"/>
              </w:rPr>
              <w:t>9</w:t>
            </w:r>
            <w:r w:rsidRPr="008B029F">
              <w:rPr>
                <w:lang w:val="en-AU" w:eastAsia="en-GB"/>
              </w:rPr>
              <w:t xml:space="preserve"> (11.</w:t>
            </w:r>
            <w:r w:rsidR="006C4318" w:rsidRPr="008B029F">
              <w:rPr>
                <w:lang w:val="en-AU" w:eastAsia="en-GB"/>
              </w:rPr>
              <w:t>3</w:t>
            </w:r>
            <w:r w:rsidRPr="008B029F">
              <w:rPr>
                <w:lang w:val="en-AU" w:eastAsia="en-GB"/>
              </w:rPr>
              <w:t>, 14.</w:t>
            </w:r>
            <w:r w:rsidR="006C4318" w:rsidRPr="008B029F">
              <w:rPr>
                <w:lang w:val="en-AU" w:eastAsia="en-GB"/>
              </w:rPr>
              <w:t>7</w:t>
            </w:r>
            <w:r w:rsidRPr="008B029F">
              <w:rPr>
                <w:lang w:val="en-AU" w:eastAsia="en-GB"/>
              </w:rPr>
              <w:t>)</w:t>
            </w:r>
          </w:p>
        </w:tc>
        <w:tc>
          <w:tcPr>
            <w:tcW w:w="1616" w:type="pct"/>
            <w:shd w:val="clear" w:color="auto" w:fill="auto"/>
          </w:tcPr>
          <w:p w14:paraId="1076F31F" w14:textId="29A6A5AB" w:rsidR="00100A9B" w:rsidRPr="008B029F" w:rsidRDefault="00100A9B" w:rsidP="003B55CC">
            <w:pPr>
              <w:pStyle w:val="TableCenter"/>
              <w:rPr>
                <w:lang w:val="en-AU" w:eastAsia="en-GB"/>
              </w:rPr>
            </w:pPr>
            <w:r w:rsidRPr="008B029F">
              <w:rPr>
                <w:lang w:val="en-AU" w:eastAsia="en-GB"/>
              </w:rPr>
              <w:t>10.</w:t>
            </w:r>
            <w:r w:rsidR="006C4318" w:rsidRPr="008B029F">
              <w:rPr>
                <w:lang w:val="en-AU" w:eastAsia="en-GB"/>
              </w:rPr>
              <w:t>5</w:t>
            </w:r>
            <w:r w:rsidR="003B55CC" w:rsidRPr="008B029F">
              <w:rPr>
                <w:lang w:val="en-AU" w:eastAsia="en-GB"/>
              </w:rPr>
              <w:t xml:space="preserve"> </w:t>
            </w:r>
            <w:r w:rsidRPr="008B029F">
              <w:rPr>
                <w:lang w:val="en-AU" w:eastAsia="en-GB"/>
              </w:rPr>
              <w:t>(9.3, 11.2)</w:t>
            </w:r>
          </w:p>
        </w:tc>
      </w:tr>
      <w:tr w:rsidR="00100A9B" w:rsidRPr="008B029F" w14:paraId="3F88C3F8" w14:textId="77777777" w:rsidTr="000C7318">
        <w:trPr>
          <w:cantSplit/>
        </w:trPr>
        <w:tc>
          <w:tcPr>
            <w:tcW w:w="1764" w:type="pct"/>
            <w:shd w:val="clear" w:color="auto" w:fill="auto"/>
          </w:tcPr>
          <w:p w14:paraId="121227A6" w14:textId="7AD60F4A" w:rsidR="00100A9B" w:rsidRPr="008B029F" w:rsidRDefault="00F54D21" w:rsidP="003B55CC">
            <w:pPr>
              <w:pStyle w:val="TableLeft"/>
              <w:ind w:left="171"/>
              <w:rPr>
                <w:lang w:val="en-AU" w:eastAsia="en-GB"/>
              </w:rPr>
            </w:pPr>
            <w:r w:rsidRPr="008B029F">
              <w:rPr>
                <w:lang w:val="en-AU" w:eastAsia="en-GB"/>
              </w:rPr>
              <w:tab/>
            </w:r>
            <w:r w:rsidR="00100A9B" w:rsidRPr="008B029F">
              <w:rPr>
                <w:lang w:val="en-AU" w:eastAsia="en-GB"/>
              </w:rPr>
              <w:t>HR (95% CI)</w:t>
            </w:r>
            <w:r w:rsidR="007C1655" w:rsidRPr="008B029F">
              <w:rPr>
                <w:vertAlign w:val="superscript"/>
                <w:lang w:val="en-AU"/>
              </w:rPr>
              <w:t>b</w:t>
            </w:r>
          </w:p>
        </w:tc>
        <w:tc>
          <w:tcPr>
            <w:tcW w:w="3236" w:type="pct"/>
            <w:gridSpan w:val="2"/>
            <w:shd w:val="clear" w:color="auto" w:fill="auto"/>
          </w:tcPr>
          <w:p w14:paraId="5D87D87B" w14:textId="5DAB7E21" w:rsidR="00100A9B" w:rsidRPr="008B029F" w:rsidRDefault="00100A9B" w:rsidP="00301820">
            <w:pPr>
              <w:pStyle w:val="TableCenter"/>
              <w:rPr>
                <w:lang w:val="en-AU" w:eastAsia="en-GB"/>
              </w:rPr>
            </w:pPr>
            <w:r w:rsidRPr="008B029F">
              <w:rPr>
                <w:lang w:val="en-AU" w:eastAsia="en-GB"/>
              </w:rPr>
              <w:t>0.7</w:t>
            </w:r>
            <w:r w:rsidR="006C4318" w:rsidRPr="008B029F">
              <w:rPr>
                <w:lang w:val="en-AU" w:eastAsia="en-GB"/>
              </w:rPr>
              <w:t>5</w:t>
            </w:r>
            <w:r w:rsidRPr="008B029F">
              <w:rPr>
                <w:lang w:val="en-AU" w:eastAsia="en-GB"/>
              </w:rPr>
              <w:t xml:space="preserve"> (0.</w:t>
            </w:r>
            <w:r w:rsidR="006C4318" w:rsidRPr="008B029F">
              <w:rPr>
                <w:lang w:val="en-AU" w:eastAsia="en-GB"/>
              </w:rPr>
              <w:t>625</w:t>
            </w:r>
            <w:r w:rsidRPr="008B029F">
              <w:rPr>
                <w:lang w:val="en-AU" w:eastAsia="en-GB"/>
              </w:rPr>
              <w:t>, 0.9</w:t>
            </w:r>
            <w:r w:rsidR="006C4318" w:rsidRPr="008B029F">
              <w:rPr>
                <w:lang w:val="en-AU" w:eastAsia="en-GB"/>
              </w:rPr>
              <w:t>10</w:t>
            </w:r>
            <w:r w:rsidRPr="008B029F">
              <w:rPr>
                <w:lang w:val="en-AU" w:eastAsia="en-GB"/>
              </w:rPr>
              <w:t>)</w:t>
            </w:r>
          </w:p>
        </w:tc>
      </w:tr>
      <w:tr w:rsidR="00100A9B" w:rsidRPr="008B029F" w14:paraId="786A179E" w14:textId="77777777" w:rsidTr="000C7318">
        <w:trPr>
          <w:cantSplit/>
        </w:trPr>
        <w:tc>
          <w:tcPr>
            <w:tcW w:w="1764" w:type="pct"/>
            <w:shd w:val="clear" w:color="auto" w:fill="auto"/>
          </w:tcPr>
          <w:p w14:paraId="7CD2E066" w14:textId="01157D5A" w:rsidR="00100A9B" w:rsidRPr="008B029F" w:rsidRDefault="00F54D21" w:rsidP="003B55CC">
            <w:pPr>
              <w:pStyle w:val="TableLeft"/>
              <w:ind w:left="171"/>
              <w:rPr>
                <w:lang w:val="en-AU" w:eastAsia="en-GB"/>
              </w:rPr>
            </w:pPr>
            <w:r w:rsidRPr="008B029F">
              <w:rPr>
                <w:lang w:val="en-AU" w:eastAsia="en-GB"/>
              </w:rPr>
              <w:tab/>
            </w:r>
            <w:r w:rsidR="00100A9B" w:rsidRPr="008B029F">
              <w:rPr>
                <w:lang w:val="en-AU" w:eastAsia="en-GB"/>
              </w:rPr>
              <w:t>p-value</w:t>
            </w:r>
            <w:r w:rsidR="00100A9B" w:rsidRPr="008B029F">
              <w:rPr>
                <w:vertAlign w:val="superscript"/>
                <w:lang w:val="en-AU"/>
              </w:rPr>
              <w:t>c</w:t>
            </w:r>
          </w:p>
        </w:tc>
        <w:tc>
          <w:tcPr>
            <w:tcW w:w="3236" w:type="pct"/>
            <w:gridSpan w:val="2"/>
            <w:shd w:val="clear" w:color="auto" w:fill="auto"/>
          </w:tcPr>
          <w:p w14:paraId="40F7AB0E" w14:textId="1712B14D" w:rsidR="00100A9B" w:rsidRPr="008B029F" w:rsidRDefault="00100A9B" w:rsidP="00301820">
            <w:pPr>
              <w:pStyle w:val="TableCenter"/>
              <w:rPr>
                <w:lang w:val="en-AU" w:eastAsia="en-GB"/>
              </w:rPr>
            </w:pPr>
            <w:r w:rsidRPr="008B029F">
              <w:rPr>
                <w:lang w:val="en-AU" w:eastAsia="en-GB"/>
              </w:rPr>
              <w:t>0.00</w:t>
            </w:r>
            <w:r w:rsidR="006C4318" w:rsidRPr="008B029F">
              <w:rPr>
                <w:lang w:val="en-AU" w:eastAsia="en-GB"/>
              </w:rPr>
              <w:t>32</w:t>
            </w:r>
          </w:p>
        </w:tc>
      </w:tr>
      <w:tr w:rsidR="00100A9B" w:rsidRPr="008B029F" w14:paraId="3CDAC685" w14:textId="77777777" w:rsidTr="000C7318">
        <w:trPr>
          <w:cantSplit/>
        </w:trPr>
        <w:tc>
          <w:tcPr>
            <w:tcW w:w="1764" w:type="pct"/>
            <w:shd w:val="clear" w:color="auto" w:fill="auto"/>
          </w:tcPr>
          <w:p w14:paraId="1918F8F2" w14:textId="505AC49B" w:rsidR="00100A9B" w:rsidRPr="008B029F" w:rsidRDefault="00100A9B" w:rsidP="003B55CC">
            <w:pPr>
              <w:pStyle w:val="TableLeft"/>
              <w:ind w:left="171"/>
              <w:rPr>
                <w:b/>
                <w:bCs w:val="0"/>
                <w:lang w:val="en-AU" w:eastAsia="en-GB"/>
              </w:rPr>
            </w:pPr>
            <w:r w:rsidRPr="008B029F">
              <w:rPr>
                <w:b/>
                <w:bCs w:val="0"/>
                <w:lang w:val="en-AU" w:eastAsia="en-GB"/>
              </w:rPr>
              <w:t>OS at 12 months (%) (95% CI)</w:t>
            </w:r>
          </w:p>
        </w:tc>
        <w:tc>
          <w:tcPr>
            <w:tcW w:w="1620" w:type="pct"/>
            <w:shd w:val="clear" w:color="auto" w:fill="auto"/>
          </w:tcPr>
          <w:p w14:paraId="6B454C61" w14:textId="041AD8EF" w:rsidR="00100A9B" w:rsidRPr="008B029F" w:rsidRDefault="00100A9B" w:rsidP="003B55CC">
            <w:pPr>
              <w:pStyle w:val="TableCenter"/>
              <w:rPr>
                <w:lang w:val="en-AU" w:eastAsia="en-GB"/>
              </w:rPr>
            </w:pPr>
            <w:r w:rsidRPr="008B029F">
              <w:rPr>
                <w:lang w:val="en-AU"/>
              </w:rPr>
              <w:t>5</w:t>
            </w:r>
            <w:r w:rsidR="006C4318" w:rsidRPr="008B029F">
              <w:rPr>
                <w:lang w:val="en-AU"/>
              </w:rPr>
              <w:t>2</w:t>
            </w:r>
            <w:r w:rsidRPr="008B029F">
              <w:rPr>
                <w:lang w:val="en-AU"/>
              </w:rPr>
              <w:t>.</w:t>
            </w:r>
            <w:r w:rsidR="006C4318" w:rsidRPr="008B029F">
              <w:rPr>
                <w:lang w:val="en-AU"/>
              </w:rPr>
              <w:t>8</w:t>
            </w:r>
            <w:r w:rsidR="003B55CC" w:rsidRPr="008B029F">
              <w:rPr>
                <w:lang w:val="en-AU"/>
              </w:rPr>
              <w:t xml:space="preserve"> </w:t>
            </w:r>
            <w:r w:rsidRPr="008B029F">
              <w:rPr>
                <w:lang w:val="en-AU" w:eastAsia="en-GB"/>
              </w:rPr>
              <w:t>(4</w:t>
            </w:r>
            <w:r w:rsidR="006C4318" w:rsidRPr="008B029F">
              <w:rPr>
                <w:lang w:val="en-AU" w:eastAsia="en-GB"/>
              </w:rPr>
              <w:t>6</w:t>
            </w:r>
            <w:r w:rsidRPr="008B029F">
              <w:rPr>
                <w:lang w:val="en-AU" w:eastAsia="en-GB"/>
              </w:rPr>
              <w:t>.</w:t>
            </w:r>
            <w:r w:rsidR="006C4318" w:rsidRPr="008B029F">
              <w:rPr>
                <w:lang w:val="en-AU" w:eastAsia="en-GB"/>
              </w:rPr>
              <w:t>6</w:t>
            </w:r>
            <w:r w:rsidRPr="008B029F">
              <w:rPr>
                <w:lang w:val="en-AU" w:eastAsia="en-GB"/>
              </w:rPr>
              <w:t>, 5</w:t>
            </w:r>
            <w:r w:rsidR="006C4318" w:rsidRPr="008B029F">
              <w:rPr>
                <w:lang w:val="en-AU" w:eastAsia="en-GB"/>
              </w:rPr>
              <w:t>8</w:t>
            </w:r>
            <w:r w:rsidRPr="008B029F">
              <w:rPr>
                <w:lang w:val="en-AU" w:eastAsia="en-GB"/>
              </w:rPr>
              <w:t>.5)</w:t>
            </w:r>
          </w:p>
        </w:tc>
        <w:tc>
          <w:tcPr>
            <w:tcW w:w="1616" w:type="pct"/>
            <w:shd w:val="clear" w:color="auto" w:fill="auto"/>
          </w:tcPr>
          <w:p w14:paraId="1DC8D687" w14:textId="5F3B45E8" w:rsidR="00100A9B" w:rsidRPr="008B029F" w:rsidRDefault="00100A9B" w:rsidP="003B55CC">
            <w:pPr>
              <w:pStyle w:val="TableCenter"/>
              <w:rPr>
                <w:lang w:val="en-AU" w:eastAsia="en-GB"/>
              </w:rPr>
            </w:pPr>
            <w:r w:rsidRPr="008B029F">
              <w:rPr>
                <w:lang w:val="en-AU"/>
              </w:rPr>
              <w:t>39.</w:t>
            </w:r>
            <w:r w:rsidR="006C4318" w:rsidRPr="008B029F">
              <w:rPr>
                <w:lang w:val="en-AU"/>
              </w:rPr>
              <w:t>3</w:t>
            </w:r>
            <w:r w:rsidR="003B55CC" w:rsidRPr="008B029F">
              <w:rPr>
                <w:lang w:val="en-AU"/>
              </w:rPr>
              <w:t xml:space="preserve"> </w:t>
            </w:r>
            <w:r w:rsidRPr="008B029F">
              <w:rPr>
                <w:lang w:val="en-AU" w:eastAsia="en-GB"/>
              </w:rPr>
              <w:t>(33.</w:t>
            </w:r>
            <w:r w:rsidR="006C4318" w:rsidRPr="008B029F">
              <w:rPr>
                <w:lang w:val="en-AU" w:eastAsia="en-GB"/>
              </w:rPr>
              <w:t>4</w:t>
            </w:r>
            <w:r w:rsidRPr="008B029F">
              <w:rPr>
                <w:lang w:val="en-AU" w:eastAsia="en-GB"/>
              </w:rPr>
              <w:t>, 45.</w:t>
            </w:r>
            <w:r w:rsidR="006C4318" w:rsidRPr="008B029F">
              <w:rPr>
                <w:lang w:val="en-AU" w:eastAsia="en-GB"/>
              </w:rPr>
              <w:t>1</w:t>
            </w:r>
            <w:r w:rsidRPr="008B029F">
              <w:rPr>
                <w:lang w:val="en-AU" w:eastAsia="en-GB"/>
              </w:rPr>
              <w:t>)</w:t>
            </w:r>
          </w:p>
        </w:tc>
      </w:tr>
      <w:tr w:rsidR="00100A9B" w:rsidRPr="008B029F" w14:paraId="3B9366D5" w14:textId="77777777" w:rsidTr="000C7318">
        <w:trPr>
          <w:cantSplit/>
        </w:trPr>
        <w:tc>
          <w:tcPr>
            <w:tcW w:w="1764" w:type="pct"/>
            <w:shd w:val="clear" w:color="auto" w:fill="auto"/>
          </w:tcPr>
          <w:p w14:paraId="2FFEAF1D" w14:textId="77777777" w:rsidR="00100A9B" w:rsidRPr="008B029F" w:rsidRDefault="00100A9B" w:rsidP="003B55CC">
            <w:pPr>
              <w:pStyle w:val="TableLeft"/>
              <w:ind w:left="171"/>
              <w:rPr>
                <w:b/>
                <w:bCs w:val="0"/>
                <w:lang w:val="en-AU" w:eastAsia="en-GB"/>
              </w:rPr>
            </w:pPr>
            <w:r w:rsidRPr="008B029F">
              <w:rPr>
                <w:b/>
                <w:bCs w:val="0"/>
                <w:lang w:val="en-AU" w:eastAsia="en-GB"/>
              </w:rPr>
              <w:t>OS at 18 months (%) (95% CI)</w:t>
            </w:r>
          </w:p>
        </w:tc>
        <w:tc>
          <w:tcPr>
            <w:tcW w:w="1620" w:type="pct"/>
            <w:shd w:val="clear" w:color="auto" w:fill="auto"/>
          </w:tcPr>
          <w:p w14:paraId="434A388F" w14:textId="100401A9" w:rsidR="00100A9B" w:rsidRPr="008B029F" w:rsidRDefault="00100A9B" w:rsidP="003B55CC">
            <w:pPr>
              <w:pStyle w:val="TableCenter"/>
              <w:rPr>
                <w:lang w:val="en-AU" w:eastAsia="en-GB"/>
              </w:rPr>
            </w:pPr>
            <w:r w:rsidRPr="008B029F">
              <w:rPr>
                <w:lang w:val="en-AU" w:eastAsia="en-GB"/>
              </w:rPr>
              <w:t>3</w:t>
            </w:r>
            <w:r w:rsidR="006C4318" w:rsidRPr="008B029F">
              <w:rPr>
                <w:lang w:val="en-AU" w:eastAsia="en-GB"/>
              </w:rPr>
              <w:t>2</w:t>
            </w:r>
            <w:r w:rsidRPr="008B029F">
              <w:rPr>
                <w:lang w:val="en-AU" w:eastAsia="en-GB"/>
              </w:rPr>
              <w:t>.</w:t>
            </w:r>
            <w:r w:rsidR="006C4318" w:rsidRPr="008B029F">
              <w:rPr>
                <w:lang w:val="en-AU" w:eastAsia="en-GB"/>
              </w:rPr>
              <w:t>0</w:t>
            </w:r>
            <w:r w:rsidR="003B55CC" w:rsidRPr="008B029F">
              <w:rPr>
                <w:lang w:val="en-AU" w:eastAsia="en-GB"/>
              </w:rPr>
              <w:t xml:space="preserve"> </w:t>
            </w:r>
            <w:r w:rsidRPr="008B029F">
              <w:rPr>
                <w:lang w:val="en-AU" w:eastAsia="en-GB"/>
              </w:rPr>
              <w:t>(26.</w:t>
            </w:r>
            <w:r w:rsidR="006C4318" w:rsidRPr="008B029F">
              <w:rPr>
                <w:lang w:val="en-AU" w:eastAsia="en-GB"/>
              </w:rPr>
              <w:t>5</w:t>
            </w:r>
            <w:r w:rsidRPr="008B029F">
              <w:rPr>
                <w:lang w:val="en-AU" w:eastAsia="en-GB"/>
              </w:rPr>
              <w:t xml:space="preserve">, </w:t>
            </w:r>
            <w:r w:rsidR="006C4318" w:rsidRPr="008B029F">
              <w:rPr>
                <w:lang w:val="en-AU" w:eastAsia="en-GB"/>
              </w:rPr>
              <w:t>37</w:t>
            </w:r>
            <w:r w:rsidRPr="008B029F">
              <w:rPr>
                <w:lang w:val="en-AU" w:eastAsia="en-GB"/>
              </w:rPr>
              <w:t>.</w:t>
            </w:r>
            <w:r w:rsidR="006C4318" w:rsidRPr="008B029F">
              <w:rPr>
                <w:lang w:val="en-AU" w:eastAsia="en-GB"/>
              </w:rPr>
              <w:t>7</w:t>
            </w:r>
            <w:r w:rsidRPr="008B029F">
              <w:rPr>
                <w:lang w:val="en-AU" w:eastAsia="en-GB"/>
              </w:rPr>
              <w:t>)</w:t>
            </w:r>
          </w:p>
        </w:tc>
        <w:tc>
          <w:tcPr>
            <w:tcW w:w="1616" w:type="pct"/>
            <w:shd w:val="clear" w:color="auto" w:fill="auto"/>
          </w:tcPr>
          <w:p w14:paraId="748208AA" w14:textId="6470ABEC" w:rsidR="00100A9B" w:rsidRPr="008B029F" w:rsidRDefault="00100A9B" w:rsidP="003B55CC">
            <w:pPr>
              <w:pStyle w:val="TableCenter"/>
              <w:rPr>
                <w:lang w:val="en-AU" w:eastAsia="en-GB"/>
              </w:rPr>
            </w:pPr>
            <w:r w:rsidRPr="008B029F">
              <w:rPr>
                <w:lang w:val="en-AU" w:eastAsia="en-GB"/>
              </w:rPr>
              <w:t>24.</w:t>
            </w:r>
            <w:r w:rsidR="006C4318" w:rsidRPr="008B029F">
              <w:rPr>
                <w:lang w:val="en-AU" w:eastAsia="en-GB"/>
              </w:rPr>
              <w:t>8</w:t>
            </w:r>
            <w:r w:rsidR="003B55CC" w:rsidRPr="008B029F">
              <w:rPr>
                <w:lang w:val="en-AU" w:eastAsia="en-GB"/>
              </w:rPr>
              <w:t xml:space="preserve"> </w:t>
            </w:r>
            <w:r w:rsidRPr="008B029F">
              <w:rPr>
                <w:lang w:val="en-AU" w:eastAsia="en-GB"/>
              </w:rPr>
              <w:t>(1</w:t>
            </w:r>
            <w:r w:rsidR="006C4318" w:rsidRPr="008B029F">
              <w:rPr>
                <w:lang w:val="en-AU" w:eastAsia="en-GB"/>
              </w:rPr>
              <w:t>9</w:t>
            </w:r>
            <w:r w:rsidRPr="008B029F">
              <w:rPr>
                <w:lang w:val="en-AU" w:eastAsia="en-GB"/>
              </w:rPr>
              <w:t>.</w:t>
            </w:r>
            <w:r w:rsidR="006C4318" w:rsidRPr="008B029F">
              <w:rPr>
                <w:lang w:val="en-AU" w:eastAsia="en-GB"/>
              </w:rPr>
              <w:t>7</w:t>
            </w:r>
            <w:r w:rsidRPr="008B029F">
              <w:rPr>
                <w:lang w:val="en-AU" w:eastAsia="en-GB"/>
              </w:rPr>
              <w:t>, 3</w:t>
            </w:r>
            <w:r w:rsidR="006C4318" w:rsidRPr="008B029F">
              <w:rPr>
                <w:lang w:val="en-AU" w:eastAsia="en-GB"/>
              </w:rPr>
              <w:t>0</w:t>
            </w:r>
            <w:r w:rsidRPr="008B029F">
              <w:rPr>
                <w:lang w:val="en-AU" w:eastAsia="en-GB"/>
              </w:rPr>
              <w:t>.</w:t>
            </w:r>
            <w:r w:rsidR="006C4318" w:rsidRPr="008B029F">
              <w:rPr>
                <w:lang w:val="en-AU" w:eastAsia="en-GB"/>
              </w:rPr>
              <w:t>1</w:t>
            </w:r>
            <w:r w:rsidRPr="008B029F">
              <w:rPr>
                <w:lang w:val="en-AU" w:eastAsia="en-GB"/>
              </w:rPr>
              <w:t>)</w:t>
            </w:r>
          </w:p>
        </w:tc>
      </w:tr>
      <w:tr w:rsidR="00100A9B" w:rsidRPr="008B029F" w14:paraId="40B8B296" w14:textId="77777777" w:rsidTr="000C7318">
        <w:trPr>
          <w:cantSplit/>
        </w:trPr>
        <w:tc>
          <w:tcPr>
            <w:tcW w:w="1764" w:type="pct"/>
            <w:shd w:val="clear" w:color="auto" w:fill="auto"/>
          </w:tcPr>
          <w:p w14:paraId="20DCC3A3" w14:textId="04F5AE89" w:rsidR="00100A9B" w:rsidRPr="008B029F" w:rsidRDefault="00100A9B" w:rsidP="00301820">
            <w:pPr>
              <w:pStyle w:val="TableLeft"/>
              <w:rPr>
                <w:b/>
                <w:bCs w:val="0"/>
                <w:lang w:val="en-AU" w:eastAsia="en-GB"/>
              </w:rPr>
            </w:pPr>
            <w:r w:rsidRPr="008B029F">
              <w:rPr>
                <w:b/>
                <w:bCs w:val="0"/>
                <w:lang w:val="en-AU" w:eastAsia="en-GB"/>
              </w:rPr>
              <w:t>PFS</w:t>
            </w:r>
            <w:r w:rsidR="001C4DF8" w:rsidRPr="008B029F">
              <w:rPr>
                <w:b/>
                <w:bCs w:val="0"/>
                <w:vertAlign w:val="superscript"/>
                <w:lang w:val="en-AU" w:eastAsia="en-GB"/>
              </w:rPr>
              <w:t>d</w:t>
            </w:r>
          </w:p>
        </w:tc>
        <w:tc>
          <w:tcPr>
            <w:tcW w:w="3236" w:type="pct"/>
            <w:gridSpan w:val="2"/>
            <w:shd w:val="clear" w:color="auto" w:fill="auto"/>
          </w:tcPr>
          <w:p w14:paraId="5049F7EA" w14:textId="77777777" w:rsidR="00100A9B" w:rsidRPr="008B029F" w:rsidRDefault="00100A9B" w:rsidP="00301820">
            <w:pPr>
              <w:pStyle w:val="TableCenter"/>
              <w:rPr>
                <w:lang w:val="en-AU" w:eastAsia="en-GB"/>
              </w:rPr>
            </w:pPr>
          </w:p>
        </w:tc>
      </w:tr>
      <w:tr w:rsidR="00100A9B" w:rsidRPr="008B029F" w14:paraId="283D0897" w14:textId="77777777" w:rsidTr="000C7318">
        <w:trPr>
          <w:cantSplit/>
        </w:trPr>
        <w:tc>
          <w:tcPr>
            <w:tcW w:w="1764" w:type="pct"/>
            <w:shd w:val="clear" w:color="auto" w:fill="auto"/>
          </w:tcPr>
          <w:p w14:paraId="08A7F186" w14:textId="77777777" w:rsidR="00100A9B" w:rsidRPr="008B029F" w:rsidRDefault="00100A9B" w:rsidP="003B55CC">
            <w:pPr>
              <w:pStyle w:val="TableLeft"/>
              <w:ind w:left="171"/>
              <w:rPr>
                <w:lang w:val="en-AU" w:eastAsia="en-GB"/>
              </w:rPr>
            </w:pPr>
            <w:r w:rsidRPr="008B029F">
              <w:rPr>
                <w:lang w:val="en-AU" w:eastAsia="en-GB"/>
              </w:rPr>
              <w:t>Number of events (%)</w:t>
            </w:r>
          </w:p>
        </w:tc>
        <w:tc>
          <w:tcPr>
            <w:tcW w:w="1620" w:type="pct"/>
            <w:shd w:val="clear" w:color="auto" w:fill="auto"/>
          </w:tcPr>
          <w:p w14:paraId="2DE94AAB" w14:textId="77777777" w:rsidR="00100A9B" w:rsidRPr="008B029F" w:rsidRDefault="00100A9B" w:rsidP="00301820">
            <w:pPr>
              <w:pStyle w:val="TableCenter"/>
              <w:rPr>
                <w:lang w:val="en-AU" w:eastAsia="en-GB"/>
              </w:rPr>
            </w:pPr>
            <w:r w:rsidRPr="008B029F">
              <w:rPr>
                <w:lang w:val="en-AU" w:eastAsia="en-GB"/>
              </w:rPr>
              <w:t>226 (84.3)</w:t>
            </w:r>
          </w:p>
        </w:tc>
        <w:tc>
          <w:tcPr>
            <w:tcW w:w="1616" w:type="pct"/>
            <w:shd w:val="clear" w:color="auto" w:fill="auto"/>
          </w:tcPr>
          <w:p w14:paraId="69E2434E" w14:textId="77777777" w:rsidR="00100A9B" w:rsidRPr="008B029F" w:rsidRDefault="00100A9B" w:rsidP="00301820">
            <w:pPr>
              <w:pStyle w:val="TableCenter"/>
              <w:rPr>
                <w:lang w:val="en-AU" w:eastAsia="en-GB"/>
              </w:rPr>
            </w:pPr>
            <w:r w:rsidRPr="008B029F">
              <w:rPr>
                <w:lang w:val="en-AU" w:eastAsia="en-GB"/>
              </w:rPr>
              <w:t>233 (86.6)</w:t>
            </w:r>
          </w:p>
        </w:tc>
      </w:tr>
      <w:tr w:rsidR="00100A9B" w:rsidRPr="008B029F" w14:paraId="7620D6A6" w14:textId="77777777" w:rsidTr="000C7318">
        <w:trPr>
          <w:cantSplit/>
        </w:trPr>
        <w:tc>
          <w:tcPr>
            <w:tcW w:w="1764" w:type="pct"/>
            <w:shd w:val="clear" w:color="auto" w:fill="auto"/>
          </w:tcPr>
          <w:p w14:paraId="562024B2" w14:textId="5AB6B715" w:rsidR="00100A9B" w:rsidRPr="008B029F" w:rsidRDefault="00100A9B" w:rsidP="003B55CC">
            <w:pPr>
              <w:pStyle w:val="TableLeft"/>
              <w:ind w:left="171"/>
              <w:rPr>
                <w:lang w:val="en-AU" w:eastAsia="en-GB"/>
              </w:rPr>
            </w:pPr>
            <w:r w:rsidRPr="008B029F">
              <w:rPr>
                <w:b/>
                <w:bCs w:val="0"/>
                <w:lang w:val="en-AU" w:eastAsia="en-GB"/>
              </w:rPr>
              <w:t>Median PFS (months)</w:t>
            </w:r>
            <w:r w:rsidR="003B55CC" w:rsidRPr="008B029F">
              <w:rPr>
                <w:b/>
                <w:bCs w:val="0"/>
                <w:lang w:val="en-AU" w:eastAsia="en-GB"/>
              </w:rPr>
              <w:t xml:space="preserve"> </w:t>
            </w:r>
            <w:r w:rsidRPr="008B029F">
              <w:rPr>
                <w:b/>
                <w:bCs w:val="0"/>
                <w:lang w:val="en-AU" w:eastAsia="en-GB"/>
              </w:rPr>
              <w:t>(95% CI)</w:t>
            </w:r>
          </w:p>
        </w:tc>
        <w:tc>
          <w:tcPr>
            <w:tcW w:w="1620" w:type="pct"/>
            <w:shd w:val="clear" w:color="auto" w:fill="auto"/>
          </w:tcPr>
          <w:p w14:paraId="0B3BC388" w14:textId="46A5331F" w:rsidR="00100A9B" w:rsidRPr="008B029F" w:rsidRDefault="00100A9B" w:rsidP="003B55CC">
            <w:pPr>
              <w:pStyle w:val="TableCenter"/>
              <w:rPr>
                <w:lang w:val="en-AU" w:eastAsia="en-GB"/>
              </w:rPr>
            </w:pPr>
            <w:r w:rsidRPr="008B029F">
              <w:rPr>
                <w:lang w:val="en-AU" w:eastAsia="en-GB"/>
              </w:rPr>
              <w:t>5.1</w:t>
            </w:r>
            <w:r w:rsidR="003B55CC" w:rsidRPr="008B029F">
              <w:rPr>
                <w:lang w:val="en-AU" w:eastAsia="en-GB"/>
              </w:rPr>
              <w:t xml:space="preserve"> </w:t>
            </w:r>
            <w:r w:rsidRPr="008B029F">
              <w:rPr>
                <w:lang w:val="en-AU" w:eastAsia="en-GB"/>
              </w:rPr>
              <w:t>(4.7, 6.2)</w:t>
            </w:r>
          </w:p>
        </w:tc>
        <w:tc>
          <w:tcPr>
            <w:tcW w:w="1616" w:type="pct"/>
            <w:shd w:val="clear" w:color="auto" w:fill="auto"/>
          </w:tcPr>
          <w:p w14:paraId="4DBD66E2" w14:textId="0559DCD8" w:rsidR="00100A9B" w:rsidRPr="008B029F" w:rsidRDefault="00100A9B" w:rsidP="003B55CC">
            <w:pPr>
              <w:pStyle w:val="TableCenter"/>
              <w:rPr>
                <w:lang w:val="en-AU" w:eastAsia="en-GB"/>
              </w:rPr>
            </w:pPr>
            <w:r w:rsidRPr="008B029F">
              <w:rPr>
                <w:lang w:val="en-AU" w:eastAsia="en-GB"/>
              </w:rPr>
              <w:t>5.4</w:t>
            </w:r>
            <w:r w:rsidR="003B55CC" w:rsidRPr="008B029F">
              <w:rPr>
                <w:lang w:val="en-AU" w:eastAsia="en-GB"/>
              </w:rPr>
              <w:t xml:space="preserve"> </w:t>
            </w:r>
            <w:r w:rsidRPr="008B029F">
              <w:rPr>
                <w:lang w:val="en-AU" w:eastAsia="en-GB"/>
              </w:rPr>
              <w:t>(4.8, 6.2)</w:t>
            </w:r>
          </w:p>
        </w:tc>
      </w:tr>
      <w:tr w:rsidR="00100A9B" w:rsidRPr="008B029F" w14:paraId="10951E66" w14:textId="77777777" w:rsidTr="000C7318">
        <w:trPr>
          <w:cantSplit/>
        </w:trPr>
        <w:tc>
          <w:tcPr>
            <w:tcW w:w="1764" w:type="pct"/>
            <w:shd w:val="clear" w:color="auto" w:fill="auto"/>
          </w:tcPr>
          <w:p w14:paraId="64D78362" w14:textId="6BE0C68A" w:rsidR="00100A9B" w:rsidRPr="008B029F" w:rsidRDefault="003B55CC" w:rsidP="003B55CC">
            <w:pPr>
              <w:pStyle w:val="TableLeft"/>
              <w:ind w:left="171"/>
              <w:rPr>
                <w:lang w:val="en-AU" w:eastAsia="en-GB"/>
              </w:rPr>
            </w:pPr>
            <w:r w:rsidRPr="008B029F">
              <w:rPr>
                <w:lang w:val="en-AU" w:eastAsia="en-GB"/>
              </w:rPr>
              <w:tab/>
            </w:r>
            <w:r w:rsidR="00100A9B" w:rsidRPr="008B029F">
              <w:rPr>
                <w:lang w:val="en-AU" w:eastAsia="en-GB"/>
              </w:rPr>
              <w:t>HR (95% CI)</w:t>
            </w:r>
            <w:r w:rsidR="007C1655" w:rsidRPr="008B029F">
              <w:rPr>
                <w:vertAlign w:val="superscript"/>
                <w:lang w:val="en-AU"/>
              </w:rPr>
              <w:t>b</w:t>
            </w:r>
          </w:p>
        </w:tc>
        <w:tc>
          <w:tcPr>
            <w:tcW w:w="3236" w:type="pct"/>
            <w:gridSpan w:val="2"/>
            <w:shd w:val="clear" w:color="auto" w:fill="auto"/>
          </w:tcPr>
          <w:p w14:paraId="3AD821CA" w14:textId="77777777" w:rsidR="00100A9B" w:rsidRPr="008B029F" w:rsidRDefault="00100A9B" w:rsidP="00301820">
            <w:pPr>
              <w:pStyle w:val="TableCenter"/>
              <w:rPr>
                <w:lang w:val="en-AU" w:eastAsia="en-GB"/>
              </w:rPr>
            </w:pPr>
            <w:r w:rsidRPr="008B029F">
              <w:rPr>
                <w:lang w:val="en-AU" w:eastAsia="en-GB"/>
              </w:rPr>
              <w:t>0.78 (0.645, 0.936)</w:t>
            </w:r>
          </w:p>
        </w:tc>
      </w:tr>
      <w:tr w:rsidR="00100A9B" w:rsidRPr="008B029F" w14:paraId="71CAFE3D" w14:textId="77777777" w:rsidTr="000C7318">
        <w:trPr>
          <w:cantSplit/>
        </w:trPr>
        <w:tc>
          <w:tcPr>
            <w:tcW w:w="1764" w:type="pct"/>
            <w:shd w:val="clear" w:color="auto" w:fill="auto"/>
          </w:tcPr>
          <w:p w14:paraId="6443ADEF" w14:textId="77777777" w:rsidR="00100A9B" w:rsidRPr="008B029F" w:rsidRDefault="00100A9B" w:rsidP="003B55CC">
            <w:pPr>
              <w:pStyle w:val="TableLeft"/>
              <w:ind w:left="171"/>
              <w:rPr>
                <w:b/>
                <w:bCs w:val="0"/>
                <w:lang w:val="en-AU" w:eastAsia="en-GB"/>
              </w:rPr>
            </w:pPr>
            <w:r w:rsidRPr="008B029F">
              <w:rPr>
                <w:b/>
                <w:bCs w:val="0"/>
                <w:lang w:val="en-AU" w:eastAsia="en-GB"/>
              </w:rPr>
              <w:t>PFS at 6 months (%) (95% CI)</w:t>
            </w:r>
          </w:p>
        </w:tc>
        <w:tc>
          <w:tcPr>
            <w:tcW w:w="1620" w:type="pct"/>
            <w:shd w:val="clear" w:color="auto" w:fill="auto"/>
          </w:tcPr>
          <w:p w14:paraId="7847DE4A" w14:textId="517AB5AD" w:rsidR="00100A9B" w:rsidRPr="008B029F" w:rsidRDefault="00100A9B" w:rsidP="003B55CC">
            <w:pPr>
              <w:pStyle w:val="TableCenter"/>
              <w:rPr>
                <w:b/>
                <w:lang w:val="en-AU" w:eastAsia="en-GB"/>
              </w:rPr>
            </w:pPr>
            <w:r w:rsidRPr="008B029F">
              <w:rPr>
                <w:lang w:val="en-AU"/>
              </w:rPr>
              <w:t>45.4</w:t>
            </w:r>
            <w:r w:rsidR="003B55CC" w:rsidRPr="008B029F">
              <w:rPr>
                <w:lang w:val="en-AU"/>
              </w:rPr>
              <w:t xml:space="preserve"> </w:t>
            </w:r>
            <w:r w:rsidRPr="008B029F">
              <w:rPr>
                <w:lang w:val="en-AU"/>
              </w:rPr>
              <w:t>(39.3, 51.3)</w:t>
            </w:r>
          </w:p>
        </w:tc>
        <w:tc>
          <w:tcPr>
            <w:tcW w:w="1616" w:type="pct"/>
            <w:shd w:val="clear" w:color="auto" w:fill="auto"/>
          </w:tcPr>
          <w:p w14:paraId="24F8A47C" w14:textId="53D4110B" w:rsidR="00100A9B" w:rsidRPr="008B029F" w:rsidRDefault="00100A9B" w:rsidP="003B55CC">
            <w:pPr>
              <w:pStyle w:val="TableCenter"/>
              <w:rPr>
                <w:b/>
                <w:lang w:val="en-AU" w:eastAsia="en-GB"/>
              </w:rPr>
            </w:pPr>
            <w:r w:rsidRPr="008B029F">
              <w:rPr>
                <w:lang w:val="en-AU"/>
              </w:rPr>
              <w:t>45.6</w:t>
            </w:r>
            <w:r w:rsidR="003B55CC" w:rsidRPr="008B029F">
              <w:rPr>
                <w:lang w:val="en-AU"/>
              </w:rPr>
              <w:t xml:space="preserve"> </w:t>
            </w:r>
            <w:r w:rsidRPr="008B029F">
              <w:rPr>
                <w:lang w:val="en-AU"/>
              </w:rPr>
              <w:t>(39.3, 51.7)</w:t>
            </w:r>
          </w:p>
        </w:tc>
      </w:tr>
      <w:tr w:rsidR="00100A9B" w:rsidRPr="008B029F" w14:paraId="2C740A9F" w14:textId="77777777" w:rsidTr="000C7318">
        <w:trPr>
          <w:cantSplit/>
        </w:trPr>
        <w:tc>
          <w:tcPr>
            <w:tcW w:w="1764" w:type="pct"/>
            <w:shd w:val="clear" w:color="auto" w:fill="auto"/>
          </w:tcPr>
          <w:p w14:paraId="13885828" w14:textId="77777777" w:rsidR="00100A9B" w:rsidRPr="008B029F" w:rsidRDefault="00100A9B" w:rsidP="003B55CC">
            <w:pPr>
              <w:pStyle w:val="TableLeft"/>
              <w:ind w:left="171"/>
              <w:rPr>
                <w:b/>
                <w:bCs w:val="0"/>
                <w:lang w:val="en-AU" w:eastAsia="en-GB"/>
              </w:rPr>
            </w:pPr>
            <w:r w:rsidRPr="008B029F">
              <w:rPr>
                <w:b/>
                <w:bCs w:val="0"/>
                <w:lang w:val="en-AU" w:eastAsia="en-GB"/>
              </w:rPr>
              <w:t>PFS at 12 months (%) (95% CI)</w:t>
            </w:r>
          </w:p>
        </w:tc>
        <w:tc>
          <w:tcPr>
            <w:tcW w:w="1620" w:type="pct"/>
            <w:shd w:val="clear" w:color="auto" w:fill="auto"/>
          </w:tcPr>
          <w:p w14:paraId="62033576" w14:textId="271FE201" w:rsidR="00100A9B" w:rsidRPr="008B029F" w:rsidRDefault="00100A9B" w:rsidP="003B55CC">
            <w:pPr>
              <w:pStyle w:val="TableCenter"/>
              <w:rPr>
                <w:b/>
                <w:lang w:val="en-AU" w:eastAsia="en-GB"/>
              </w:rPr>
            </w:pPr>
            <w:r w:rsidRPr="008B029F">
              <w:rPr>
                <w:lang w:val="en-AU"/>
              </w:rPr>
              <w:t>17.5</w:t>
            </w:r>
            <w:r w:rsidR="003B55CC" w:rsidRPr="008B029F">
              <w:rPr>
                <w:lang w:val="en-AU"/>
              </w:rPr>
              <w:t xml:space="preserve"> </w:t>
            </w:r>
            <w:r w:rsidRPr="008B029F">
              <w:rPr>
                <w:lang w:val="en-AU"/>
              </w:rPr>
              <w:t>(13.1, 22.5)</w:t>
            </w:r>
          </w:p>
        </w:tc>
        <w:tc>
          <w:tcPr>
            <w:tcW w:w="1616" w:type="pct"/>
            <w:shd w:val="clear" w:color="auto" w:fill="auto"/>
          </w:tcPr>
          <w:p w14:paraId="5CF7E0B3" w14:textId="37B987BA" w:rsidR="00100A9B" w:rsidRPr="008B029F" w:rsidRDefault="00100A9B" w:rsidP="003B55CC">
            <w:pPr>
              <w:pStyle w:val="TableCenter"/>
              <w:rPr>
                <w:b/>
                <w:lang w:val="en-AU" w:eastAsia="en-GB"/>
              </w:rPr>
            </w:pPr>
            <w:r w:rsidRPr="008B029F">
              <w:rPr>
                <w:lang w:val="en-AU"/>
              </w:rPr>
              <w:t>4.7</w:t>
            </w:r>
            <w:r w:rsidR="003B55CC" w:rsidRPr="008B029F">
              <w:rPr>
                <w:lang w:val="en-AU"/>
              </w:rPr>
              <w:t xml:space="preserve"> </w:t>
            </w:r>
            <w:r w:rsidRPr="008B029F">
              <w:rPr>
                <w:lang w:val="en-AU"/>
              </w:rPr>
              <w:t>(2.4, 8.0)</w:t>
            </w:r>
          </w:p>
        </w:tc>
      </w:tr>
      <w:tr w:rsidR="00100A9B" w:rsidRPr="008B029F" w14:paraId="3029C4D1" w14:textId="77777777" w:rsidTr="000C7318">
        <w:trPr>
          <w:cantSplit/>
        </w:trPr>
        <w:tc>
          <w:tcPr>
            <w:tcW w:w="1764" w:type="pct"/>
            <w:shd w:val="clear" w:color="auto" w:fill="auto"/>
          </w:tcPr>
          <w:p w14:paraId="7AC83632" w14:textId="021B624D" w:rsidR="00100A9B" w:rsidRPr="008B029F" w:rsidRDefault="00100A9B" w:rsidP="00301820">
            <w:pPr>
              <w:pStyle w:val="TableLeft"/>
              <w:rPr>
                <w:b/>
                <w:bCs w:val="0"/>
                <w:lang w:val="en-AU" w:eastAsia="en-GB"/>
              </w:rPr>
            </w:pPr>
            <w:r w:rsidRPr="008B029F">
              <w:rPr>
                <w:b/>
                <w:bCs w:val="0"/>
                <w:lang w:val="en-AU" w:eastAsia="en-GB"/>
              </w:rPr>
              <w:t>ORR n (%)</w:t>
            </w:r>
            <w:r w:rsidR="001C4DF8" w:rsidRPr="008B029F">
              <w:rPr>
                <w:b/>
                <w:bCs w:val="0"/>
                <w:vertAlign w:val="superscript"/>
                <w:lang w:val="en-AU" w:eastAsia="en-GB"/>
              </w:rPr>
              <w:t>d,</w:t>
            </w:r>
            <w:r w:rsidR="00440C93" w:rsidRPr="008B029F">
              <w:rPr>
                <w:b/>
                <w:bCs w:val="0"/>
                <w:vertAlign w:val="superscript"/>
                <w:lang w:val="en-AU" w:eastAsia="en-GB"/>
              </w:rPr>
              <w:t>e</w:t>
            </w:r>
          </w:p>
        </w:tc>
        <w:tc>
          <w:tcPr>
            <w:tcW w:w="1620" w:type="pct"/>
            <w:shd w:val="clear" w:color="auto" w:fill="auto"/>
          </w:tcPr>
          <w:p w14:paraId="6DD42475" w14:textId="77777777" w:rsidR="00100A9B" w:rsidRPr="008B029F" w:rsidRDefault="00100A9B" w:rsidP="00301820">
            <w:pPr>
              <w:pStyle w:val="TableCenter"/>
              <w:rPr>
                <w:lang w:val="en-AU" w:eastAsia="en-GB"/>
              </w:rPr>
            </w:pPr>
            <w:r w:rsidRPr="008B029F">
              <w:rPr>
                <w:lang w:val="en-AU" w:eastAsia="en-GB"/>
              </w:rPr>
              <w:t>182 (67.9)</w:t>
            </w:r>
          </w:p>
        </w:tc>
        <w:tc>
          <w:tcPr>
            <w:tcW w:w="1616" w:type="pct"/>
            <w:shd w:val="clear" w:color="auto" w:fill="auto"/>
          </w:tcPr>
          <w:p w14:paraId="7E8785ED" w14:textId="77777777" w:rsidR="00100A9B" w:rsidRPr="008B029F" w:rsidRDefault="00100A9B" w:rsidP="00301820">
            <w:pPr>
              <w:pStyle w:val="TableCenter"/>
              <w:rPr>
                <w:lang w:val="en-AU" w:eastAsia="en-GB"/>
              </w:rPr>
            </w:pPr>
            <w:r w:rsidRPr="008B029F">
              <w:rPr>
                <w:lang w:val="en-AU" w:eastAsia="en-GB"/>
              </w:rPr>
              <w:t>155 (57.6)</w:t>
            </w:r>
          </w:p>
        </w:tc>
      </w:tr>
      <w:tr w:rsidR="00100A9B" w:rsidRPr="008B029F" w14:paraId="2080A896" w14:textId="77777777" w:rsidTr="000C7318">
        <w:trPr>
          <w:cantSplit/>
        </w:trPr>
        <w:tc>
          <w:tcPr>
            <w:tcW w:w="1764" w:type="pct"/>
            <w:shd w:val="clear" w:color="auto" w:fill="auto"/>
          </w:tcPr>
          <w:p w14:paraId="4D70592C" w14:textId="77777777" w:rsidR="00100A9B" w:rsidRPr="008B029F" w:rsidRDefault="00100A9B" w:rsidP="003B55CC">
            <w:pPr>
              <w:pStyle w:val="TableLeft"/>
              <w:ind w:left="171"/>
              <w:rPr>
                <w:lang w:val="en-AU" w:eastAsia="en-GB"/>
              </w:rPr>
            </w:pPr>
            <w:r w:rsidRPr="008B029F">
              <w:rPr>
                <w:lang w:val="en-AU" w:eastAsia="en-GB"/>
              </w:rPr>
              <w:t>Complete Response n (%)</w:t>
            </w:r>
          </w:p>
        </w:tc>
        <w:tc>
          <w:tcPr>
            <w:tcW w:w="1620" w:type="pct"/>
            <w:shd w:val="clear" w:color="auto" w:fill="auto"/>
          </w:tcPr>
          <w:p w14:paraId="6A19BF41" w14:textId="77777777" w:rsidR="00100A9B" w:rsidRPr="008B029F" w:rsidRDefault="00100A9B" w:rsidP="00301820">
            <w:pPr>
              <w:pStyle w:val="TableCenter"/>
              <w:rPr>
                <w:lang w:val="en-AU" w:eastAsia="en-GB"/>
              </w:rPr>
            </w:pPr>
            <w:r w:rsidRPr="008B029F">
              <w:rPr>
                <w:lang w:val="en-AU" w:eastAsia="en-GB"/>
              </w:rPr>
              <w:t>6 (2.2)</w:t>
            </w:r>
          </w:p>
        </w:tc>
        <w:tc>
          <w:tcPr>
            <w:tcW w:w="1616" w:type="pct"/>
            <w:shd w:val="clear" w:color="auto" w:fill="auto"/>
          </w:tcPr>
          <w:p w14:paraId="78CB0B62" w14:textId="77777777" w:rsidR="00100A9B" w:rsidRPr="008B029F" w:rsidRDefault="00100A9B" w:rsidP="00301820">
            <w:pPr>
              <w:pStyle w:val="TableCenter"/>
              <w:rPr>
                <w:lang w:val="en-AU" w:eastAsia="en-GB"/>
              </w:rPr>
            </w:pPr>
            <w:r w:rsidRPr="008B029F">
              <w:rPr>
                <w:lang w:val="en-AU" w:eastAsia="en-GB"/>
              </w:rPr>
              <w:t>2 (0.7)</w:t>
            </w:r>
          </w:p>
        </w:tc>
      </w:tr>
      <w:tr w:rsidR="00100A9B" w:rsidRPr="008B029F" w14:paraId="5A522A3E" w14:textId="77777777" w:rsidTr="000C7318">
        <w:trPr>
          <w:cantSplit/>
        </w:trPr>
        <w:tc>
          <w:tcPr>
            <w:tcW w:w="1764" w:type="pct"/>
            <w:shd w:val="clear" w:color="auto" w:fill="auto"/>
          </w:tcPr>
          <w:p w14:paraId="02D0513F" w14:textId="77777777" w:rsidR="00100A9B" w:rsidRPr="008B029F" w:rsidRDefault="00100A9B" w:rsidP="003B55CC">
            <w:pPr>
              <w:pStyle w:val="TableLeft"/>
              <w:ind w:left="171"/>
              <w:rPr>
                <w:lang w:val="en-AU" w:eastAsia="en-GB"/>
              </w:rPr>
            </w:pPr>
            <w:r w:rsidRPr="008B029F">
              <w:rPr>
                <w:lang w:val="en-AU" w:eastAsia="en-GB"/>
              </w:rPr>
              <w:t>Partial Response n (%)</w:t>
            </w:r>
          </w:p>
        </w:tc>
        <w:tc>
          <w:tcPr>
            <w:tcW w:w="1620" w:type="pct"/>
            <w:shd w:val="clear" w:color="auto" w:fill="auto"/>
          </w:tcPr>
          <w:p w14:paraId="0CC98DB2" w14:textId="77777777" w:rsidR="00100A9B" w:rsidRPr="008B029F" w:rsidRDefault="00100A9B" w:rsidP="00301820">
            <w:pPr>
              <w:pStyle w:val="TableCenter"/>
              <w:rPr>
                <w:lang w:val="en-AU" w:eastAsia="en-GB"/>
              </w:rPr>
            </w:pPr>
            <w:r w:rsidRPr="008B029F">
              <w:rPr>
                <w:lang w:val="en-AU" w:eastAsia="en-GB"/>
              </w:rPr>
              <w:t>176 (65.7)</w:t>
            </w:r>
          </w:p>
        </w:tc>
        <w:tc>
          <w:tcPr>
            <w:tcW w:w="1616" w:type="pct"/>
            <w:shd w:val="clear" w:color="auto" w:fill="auto"/>
          </w:tcPr>
          <w:p w14:paraId="2B4D94CC" w14:textId="77777777" w:rsidR="00100A9B" w:rsidRPr="008B029F" w:rsidRDefault="00100A9B" w:rsidP="00301820">
            <w:pPr>
              <w:pStyle w:val="TableCenter"/>
              <w:rPr>
                <w:lang w:val="en-AU" w:eastAsia="en-GB"/>
              </w:rPr>
            </w:pPr>
            <w:r w:rsidRPr="008B029F">
              <w:rPr>
                <w:lang w:val="en-AU" w:eastAsia="en-GB"/>
              </w:rPr>
              <w:t>153 (56.9)</w:t>
            </w:r>
          </w:p>
        </w:tc>
      </w:tr>
      <w:tr w:rsidR="00100A9B" w:rsidRPr="008B029F" w14:paraId="7B3FE714" w14:textId="77777777" w:rsidTr="000C7318">
        <w:trPr>
          <w:cantSplit/>
        </w:trPr>
        <w:tc>
          <w:tcPr>
            <w:tcW w:w="1764" w:type="pct"/>
            <w:shd w:val="clear" w:color="auto" w:fill="auto"/>
          </w:tcPr>
          <w:p w14:paraId="1D2B7CCE" w14:textId="458A3CFC" w:rsidR="00100A9B" w:rsidRPr="008B029F" w:rsidRDefault="00100A9B" w:rsidP="003B55CC">
            <w:pPr>
              <w:pStyle w:val="TableLeft"/>
              <w:ind w:left="171"/>
              <w:rPr>
                <w:lang w:val="en-AU" w:eastAsia="en-GB"/>
              </w:rPr>
            </w:pPr>
            <w:r w:rsidRPr="008B029F">
              <w:rPr>
                <w:lang w:val="en-AU" w:eastAsia="en-GB"/>
              </w:rPr>
              <w:t>Odds ratio (95% CI)</w:t>
            </w:r>
            <w:r w:rsidR="00440C93" w:rsidRPr="008B029F">
              <w:rPr>
                <w:vertAlign w:val="superscript"/>
                <w:lang w:val="en-AU"/>
              </w:rPr>
              <w:t>f</w:t>
            </w:r>
          </w:p>
        </w:tc>
        <w:tc>
          <w:tcPr>
            <w:tcW w:w="3236" w:type="pct"/>
            <w:gridSpan w:val="2"/>
            <w:shd w:val="clear" w:color="auto" w:fill="auto"/>
          </w:tcPr>
          <w:p w14:paraId="285FB8C3" w14:textId="77777777" w:rsidR="00100A9B" w:rsidRPr="008B029F" w:rsidRDefault="00100A9B" w:rsidP="00301820">
            <w:pPr>
              <w:pStyle w:val="TableCenter"/>
              <w:rPr>
                <w:lang w:val="en-AU" w:eastAsia="en-GB"/>
              </w:rPr>
            </w:pPr>
            <w:r w:rsidRPr="008B029F">
              <w:rPr>
                <w:lang w:val="en-AU" w:eastAsia="en-GB"/>
              </w:rPr>
              <w:t>1.56 (1.095, 2.218)</w:t>
            </w:r>
          </w:p>
        </w:tc>
      </w:tr>
      <w:tr w:rsidR="00100A9B" w:rsidRPr="008B029F" w14:paraId="2606D182" w14:textId="77777777" w:rsidTr="000C7318">
        <w:trPr>
          <w:cantSplit/>
        </w:trPr>
        <w:tc>
          <w:tcPr>
            <w:tcW w:w="1764" w:type="pct"/>
            <w:shd w:val="clear" w:color="auto" w:fill="auto"/>
          </w:tcPr>
          <w:p w14:paraId="0B9014FE" w14:textId="6C04398C" w:rsidR="00100A9B" w:rsidRPr="008B029F" w:rsidRDefault="00100A9B" w:rsidP="003B55CC">
            <w:pPr>
              <w:pStyle w:val="TableLeft"/>
              <w:rPr>
                <w:lang w:val="en-AU" w:eastAsia="en-GB"/>
              </w:rPr>
            </w:pPr>
            <w:r w:rsidRPr="008B029F">
              <w:rPr>
                <w:b/>
                <w:bCs w:val="0"/>
                <w:lang w:val="en-AU"/>
              </w:rPr>
              <w:t>Median DoR (months)</w:t>
            </w:r>
            <w:r w:rsidR="003B55CC" w:rsidRPr="008B029F">
              <w:rPr>
                <w:b/>
                <w:bCs w:val="0"/>
                <w:lang w:val="en-AU"/>
              </w:rPr>
              <w:t xml:space="preserve"> </w:t>
            </w:r>
            <w:r w:rsidRPr="008B029F">
              <w:rPr>
                <w:rFonts w:eastAsia="Times New Roman,Calibri"/>
                <w:b/>
                <w:bCs w:val="0"/>
                <w:lang w:val="en-AU"/>
              </w:rPr>
              <w:t>(95% CI)</w:t>
            </w:r>
            <w:r w:rsidR="001C4DF8" w:rsidRPr="008B029F">
              <w:rPr>
                <w:b/>
                <w:bCs w:val="0"/>
                <w:vertAlign w:val="superscript"/>
                <w:lang w:val="en-AU" w:eastAsia="en-GB"/>
              </w:rPr>
              <w:t xml:space="preserve"> d,</w:t>
            </w:r>
            <w:r w:rsidR="0069370F" w:rsidRPr="008B029F">
              <w:rPr>
                <w:b/>
                <w:bCs w:val="0"/>
                <w:vertAlign w:val="superscript"/>
                <w:lang w:val="en-AU" w:eastAsia="en-GB"/>
              </w:rPr>
              <w:t>f</w:t>
            </w:r>
          </w:p>
        </w:tc>
        <w:tc>
          <w:tcPr>
            <w:tcW w:w="1620" w:type="pct"/>
            <w:shd w:val="clear" w:color="auto" w:fill="auto"/>
          </w:tcPr>
          <w:p w14:paraId="6276392E" w14:textId="73A5E4FD" w:rsidR="00100A9B" w:rsidRPr="008B029F" w:rsidRDefault="00100A9B" w:rsidP="003B55CC">
            <w:pPr>
              <w:pStyle w:val="TableCenter"/>
              <w:rPr>
                <w:lang w:val="en-AU" w:eastAsia="en-GB"/>
              </w:rPr>
            </w:pPr>
            <w:r w:rsidRPr="008B029F">
              <w:rPr>
                <w:lang w:val="en-AU" w:eastAsia="en-GB"/>
              </w:rPr>
              <w:t>5.1</w:t>
            </w:r>
            <w:r w:rsidR="003B55CC" w:rsidRPr="008B029F">
              <w:rPr>
                <w:lang w:val="en-AU" w:eastAsia="en-GB"/>
              </w:rPr>
              <w:t xml:space="preserve"> </w:t>
            </w:r>
            <w:r w:rsidRPr="008B029F">
              <w:rPr>
                <w:lang w:val="en-AU" w:eastAsia="en-GB"/>
              </w:rPr>
              <w:t>(4.9, 5.3)</w:t>
            </w:r>
          </w:p>
        </w:tc>
        <w:tc>
          <w:tcPr>
            <w:tcW w:w="1616" w:type="pct"/>
            <w:shd w:val="clear" w:color="auto" w:fill="auto"/>
          </w:tcPr>
          <w:p w14:paraId="028E3EAB" w14:textId="6F10E292" w:rsidR="00100A9B" w:rsidRPr="008B029F" w:rsidRDefault="00100A9B" w:rsidP="003B55CC">
            <w:pPr>
              <w:pStyle w:val="TableCenter"/>
              <w:rPr>
                <w:lang w:val="en-AU" w:eastAsia="en-GB"/>
              </w:rPr>
            </w:pPr>
            <w:r w:rsidRPr="008B029F">
              <w:rPr>
                <w:lang w:val="en-AU" w:eastAsia="en-GB"/>
              </w:rPr>
              <w:t>5.1</w:t>
            </w:r>
            <w:r w:rsidR="003B55CC" w:rsidRPr="008B029F">
              <w:rPr>
                <w:lang w:val="en-AU" w:eastAsia="en-GB"/>
              </w:rPr>
              <w:t xml:space="preserve"> </w:t>
            </w:r>
            <w:r w:rsidRPr="008B029F">
              <w:rPr>
                <w:lang w:val="en-AU" w:eastAsia="en-GB"/>
              </w:rPr>
              <w:t>(4.8, 5.3)</w:t>
            </w:r>
          </w:p>
        </w:tc>
      </w:tr>
      <w:tr w:rsidR="00100A9B" w:rsidRPr="008B029F" w14:paraId="37AEA431" w14:textId="77777777" w:rsidTr="000C7318">
        <w:trPr>
          <w:cantSplit/>
        </w:trPr>
        <w:tc>
          <w:tcPr>
            <w:tcW w:w="1764" w:type="pct"/>
            <w:shd w:val="clear" w:color="auto" w:fill="auto"/>
          </w:tcPr>
          <w:p w14:paraId="6EA02239" w14:textId="355CC8F1" w:rsidR="00100A9B" w:rsidRPr="008B029F" w:rsidRDefault="00100A9B" w:rsidP="003B55CC">
            <w:pPr>
              <w:pStyle w:val="TableLeft"/>
              <w:ind w:left="171"/>
              <w:rPr>
                <w:b/>
                <w:bCs w:val="0"/>
                <w:lang w:val="en-AU"/>
              </w:rPr>
            </w:pPr>
            <w:r w:rsidRPr="008B029F">
              <w:rPr>
                <w:b/>
                <w:bCs w:val="0"/>
                <w:lang w:val="en-AU" w:eastAsia="en-GB"/>
              </w:rPr>
              <w:t>DoR at 12 months (%)</w:t>
            </w:r>
            <w:r w:rsidR="001C4DF8" w:rsidRPr="008B029F">
              <w:rPr>
                <w:b/>
                <w:bCs w:val="0"/>
                <w:vertAlign w:val="superscript"/>
                <w:lang w:val="en-AU" w:eastAsia="en-GB"/>
              </w:rPr>
              <w:t>d,</w:t>
            </w:r>
            <w:r w:rsidR="0069370F" w:rsidRPr="008B029F">
              <w:rPr>
                <w:b/>
                <w:bCs w:val="0"/>
                <w:vertAlign w:val="superscript"/>
                <w:lang w:val="en-AU" w:eastAsia="en-GB"/>
              </w:rPr>
              <w:t>f</w:t>
            </w:r>
          </w:p>
        </w:tc>
        <w:tc>
          <w:tcPr>
            <w:tcW w:w="1620" w:type="pct"/>
            <w:shd w:val="clear" w:color="auto" w:fill="auto"/>
          </w:tcPr>
          <w:p w14:paraId="104DC5D1" w14:textId="77777777" w:rsidR="00100A9B" w:rsidRPr="008B029F" w:rsidRDefault="00100A9B" w:rsidP="00301820">
            <w:pPr>
              <w:pStyle w:val="TableCenter"/>
              <w:rPr>
                <w:lang w:val="en-AU" w:eastAsia="en-GB"/>
              </w:rPr>
            </w:pPr>
            <w:r w:rsidRPr="008B029F">
              <w:rPr>
                <w:lang w:val="en-AU" w:eastAsia="en-GB"/>
              </w:rPr>
              <w:t>22.7</w:t>
            </w:r>
          </w:p>
        </w:tc>
        <w:tc>
          <w:tcPr>
            <w:tcW w:w="1616" w:type="pct"/>
            <w:shd w:val="clear" w:color="auto" w:fill="auto"/>
          </w:tcPr>
          <w:p w14:paraId="12AAA5FD" w14:textId="77777777" w:rsidR="00100A9B" w:rsidRPr="008B029F" w:rsidRDefault="00100A9B" w:rsidP="00301820">
            <w:pPr>
              <w:pStyle w:val="TableCenter"/>
              <w:rPr>
                <w:lang w:val="en-AU" w:eastAsia="en-GB"/>
              </w:rPr>
            </w:pPr>
            <w:r w:rsidRPr="008B029F">
              <w:rPr>
                <w:lang w:val="en-AU" w:eastAsia="en-GB"/>
              </w:rPr>
              <w:t>6.3</w:t>
            </w:r>
          </w:p>
        </w:tc>
      </w:tr>
    </w:tbl>
    <w:p w14:paraId="32FF7585" w14:textId="5E9068DB" w:rsidR="00C41A5B" w:rsidRPr="008B029F" w:rsidRDefault="00C41A5B" w:rsidP="00010609">
      <w:pPr>
        <w:pStyle w:val="TableFootnoteLetter"/>
        <w:numPr>
          <w:ilvl w:val="0"/>
          <w:numId w:val="29"/>
        </w:numPr>
        <w:rPr>
          <w:lang w:val="en-AU"/>
        </w:rPr>
      </w:pPr>
      <w:r w:rsidRPr="008B029F">
        <w:rPr>
          <w:lang w:val="en-AU"/>
        </w:rPr>
        <w:t>Follow-up OS analysis at clinical cut-off 27 January 2020.</w:t>
      </w:r>
    </w:p>
    <w:p w14:paraId="3BB11F9C" w14:textId="7AC6654C" w:rsidR="007C1655" w:rsidRPr="008B029F" w:rsidRDefault="007C1655" w:rsidP="00010609">
      <w:pPr>
        <w:pStyle w:val="TableFootnoteLetter"/>
        <w:rPr>
          <w:lang w:val="en-AU"/>
        </w:rPr>
      </w:pPr>
      <w:r w:rsidRPr="008B029F">
        <w:rPr>
          <w:lang w:val="en-AU"/>
        </w:rPr>
        <w:t>The analysis was performed using the stratified log-rank test, adjusting for planned platinum therapy in Cycle 1 (carboplatin or</w:t>
      </w:r>
      <w:r w:rsidR="00522DEE" w:rsidRPr="008B029F">
        <w:rPr>
          <w:lang w:val="en-AU"/>
        </w:rPr>
        <w:t xml:space="preserve"> </w:t>
      </w:r>
      <w:r w:rsidRPr="008B029F">
        <w:rPr>
          <w:lang w:val="en-AU"/>
        </w:rPr>
        <w:t>cisplatin), and using the rank tests of association approach. </w:t>
      </w:r>
    </w:p>
    <w:p w14:paraId="0B2B868B" w14:textId="28291F3A" w:rsidR="00100A9B" w:rsidRPr="008B029F" w:rsidRDefault="00993055" w:rsidP="00010609">
      <w:pPr>
        <w:pStyle w:val="TableFootnoteLetter"/>
        <w:rPr>
          <w:lang w:val="en-AU"/>
        </w:rPr>
      </w:pPr>
      <w:r w:rsidRPr="008B029F">
        <w:rPr>
          <w:lang w:val="en-AU"/>
        </w:rPr>
        <w:t>At the interim analysis (data cut-off 11 March 2019) the OS p-value was 0.0047, which met the boundary for declaring statistical</w:t>
      </w:r>
      <w:r w:rsidR="00522DEE" w:rsidRPr="008B029F">
        <w:rPr>
          <w:lang w:val="en-AU"/>
        </w:rPr>
        <w:t xml:space="preserve"> </w:t>
      </w:r>
      <w:r w:rsidRPr="008B029F">
        <w:rPr>
          <w:lang w:val="en-AU"/>
        </w:rPr>
        <w:t xml:space="preserve">significance of 0.0178 for a 4% overall 2-sided alpha, based on a </w:t>
      </w:r>
      <w:bookmarkStart w:id="56" w:name="_Hlk50394385"/>
      <w:r w:rsidRPr="008B029F">
        <w:rPr>
          <w:lang w:val="en-AU"/>
        </w:rPr>
        <w:t xml:space="preserve">Lan-DeMets </w:t>
      </w:r>
      <w:bookmarkEnd w:id="56"/>
      <w:r w:rsidRPr="008B029F">
        <w:rPr>
          <w:lang w:val="en-AU"/>
        </w:rPr>
        <w:t>alpha spending function with O'Brien Fleming type boundary with the actual number of events observed. </w:t>
      </w:r>
    </w:p>
    <w:p w14:paraId="2A67A014" w14:textId="4C9FCF68" w:rsidR="001C4DF8" w:rsidRPr="008B029F" w:rsidRDefault="001C4DF8" w:rsidP="00010609">
      <w:pPr>
        <w:pStyle w:val="TableFootnoteLetter"/>
        <w:rPr>
          <w:lang w:val="en-AU"/>
        </w:rPr>
      </w:pPr>
      <w:r w:rsidRPr="008B029F">
        <w:rPr>
          <w:lang w:val="en-AU"/>
        </w:rPr>
        <w:t>PFS, ORR and DoR analyses at clinical cut-off 11 March 2019.</w:t>
      </w:r>
    </w:p>
    <w:p w14:paraId="79E4B45E" w14:textId="29E4B2BB" w:rsidR="007C1655" w:rsidRPr="008B029F" w:rsidRDefault="007C1655" w:rsidP="00010609">
      <w:pPr>
        <w:pStyle w:val="TableFootnoteLetter"/>
        <w:rPr>
          <w:strike/>
          <w:lang w:val="en-AU"/>
        </w:rPr>
      </w:pPr>
      <w:r w:rsidRPr="008B029F">
        <w:rPr>
          <w:lang w:val="en-AU"/>
        </w:rPr>
        <w:t>Confirmed Objective Response.</w:t>
      </w:r>
    </w:p>
    <w:p w14:paraId="5111684D" w14:textId="6C1A1285" w:rsidR="00100A9B" w:rsidRPr="008B029F" w:rsidRDefault="00100A9B" w:rsidP="00010609">
      <w:pPr>
        <w:pStyle w:val="TableFootnoteLetter"/>
        <w:rPr>
          <w:lang w:val="en-AU"/>
        </w:rPr>
      </w:pPr>
      <w:r w:rsidRPr="008B029F">
        <w:rPr>
          <w:lang w:val="en-AU"/>
        </w:rPr>
        <w:t>The analysis was performed using a logistic regression model adjusting for planned platinum therapy in Cycle 1 (carboplatin or cisplatin) with 95% CI calculated by profile likelihood.</w:t>
      </w:r>
    </w:p>
    <w:p w14:paraId="3F455B5F" w14:textId="62CF2A72" w:rsidR="00010609" w:rsidRPr="008B029F" w:rsidRDefault="00010609" w:rsidP="000C3440">
      <w:pPr>
        <w:pStyle w:val="Paragraph"/>
        <w:rPr>
          <w:lang w:val="en-AU"/>
        </w:rPr>
      </w:pPr>
    </w:p>
    <w:p w14:paraId="148B37A2" w14:textId="635C69A0" w:rsidR="00010609" w:rsidRPr="008B029F" w:rsidRDefault="00010609" w:rsidP="00010609">
      <w:pPr>
        <w:pStyle w:val="FigureTitle"/>
        <w:rPr>
          <w:lang w:val="en-AU"/>
        </w:rPr>
      </w:pPr>
      <w:bookmarkStart w:id="57" w:name="_Ref57373032"/>
      <w:bookmarkStart w:id="58" w:name="_Ref57373027"/>
      <w:r w:rsidRPr="008B029F">
        <w:rPr>
          <w:lang w:val="en-AU"/>
        </w:rPr>
        <w:lastRenderedPageBreak/>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5</w:t>
      </w:r>
      <w:r w:rsidRPr="008B029F">
        <w:rPr>
          <w:color w:val="2B579A"/>
          <w:shd w:val="clear" w:color="auto" w:fill="E6E6E6"/>
          <w:lang w:val="en-AU"/>
        </w:rPr>
        <w:fldChar w:fldCharType="end"/>
      </w:r>
      <w:bookmarkEnd w:id="57"/>
      <w:r w:rsidRPr="008B029F">
        <w:rPr>
          <w:lang w:val="en-AU"/>
        </w:rPr>
        <w:tab/>
        <w:t>Kaplan-Meier curve of OS</w:t>
      </w:r>
      <w:bookmarkEnd w:id="58"/>
      <w:r w:rsidRPr="008B029F">
        <w:rPr>
          <w:lang w:val="en-AU"/>
        </w:rPr>
        <w:t xml:space="preserve"> </w:t>
      </w:r>
      <w:r w:rsidR="00000810" w:rsidRPr="008B029F">
        <w:rPr>
          <w:lang w:val="en-AU"/>
        </w:rPr>
        <w:t>(CASPIAN study)</w:t>
      </w:r>
    </w:p>
    <w:p w14:paraId="0D711B6A" w14:textId="132B8D36" w:rsidR="007B1C26" w:rsidRPr="008B029F" w:rsidRDefault="00C92DB6" w:rsidP="007B1C26">
      <w:pPr>
        <w:pStyle w:val="ListParagraph"/>
        <w:ind w:left="170" w:hanging="170"/>
        <w:rPr>
          <w:noProof/>
          <w:lang w:val="en-AU"/>
        </w:rPr>
      </w:pPr>
      <w:r w:rsidRPr="008B029F">
        <w:rPr>
          <w:noProof/>
          <w:color w:val="2B579A"/>
          <w:shd w:val="clear" w:color="auto" w:fill="E6E6E6"/>
          <w:lang w:val="en-AU" w:eastAsia="en-AU"/>
        </w:rPr>
        <mc:AlternateContent>
          <mc:Choice Requires="wps">
            <w:drawing>
              <wp:anchor distT="45720" distB="45720" distL="114300" distR="114300" simplePos="0" relativeHeight="251658246" behindDoc="0" locked="0" layoutInCell="1" allowOverlap="1" wp14:anchorId="2A7A5A46" wp14:editId="2E2FB6A0">
                <wp:simplePos x="0" y="0"/>
                <wp:positionH relativeFrom="margin">
                  <wp:posOffset>-452671</wp:posOffset>
                </wp:positionH>
                <wp:positionV relativeFrom="paragraph">
                  <wp:posOffset>2955337</wp:posOffset>
                </wp:positionV>
                <wp:extent cx="6737230" cy="690113"/>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230" cy="690113"/>
                        </a:xfrm>
                        <a:prstGeom prst="rect">
                          <a:avLst/>
                        </a:prstGeom>
                        <a:noFill/>
                        <a:ln w="9525">
                          <a:noFill/>
                          <a:miter lim="800000"/>
                          <a:headEnd/>
                          <a:tailEnd/>
                        </a:ln>
                      </wps:spPr>
                      <wps:txbx>
                        <w:txbxContent>
                          <w:tbl>
                            <w:tblPr>
                              <w:tblW w:w="10332" w:type="dxa"/>
                              <w:tblLayout w:type="fixed"/>
                              <w:tblCellMar>
                                <w:left w:w="0" w:type="dxa"/>
                                <w:right w:w="0" w:type="dxa"/>
                              </w:tblCellMar>
                              <w:tblLook w:val="0000" w:firstRow="0" w:lastRow="0" w:firstColumn="0" w:lastColumn="0" w:noHBand="0" w:noVBand="0"/>
                            </w:tblPr>
                            <w:tblGrid>
                              <w:gridCol w:w="2223"/>
                              <w:gridCol w:w="901"/>
                              <w:gridCol w:w="901"/>
                              <w:gridCol w:w="901"/>
                              <w:gridCol w:w="901"/>
                              <w:gridCol w:w="901"/>
                              <w:gridCol w:w="901"/>
                              <w:gridCol w:w="901"/>
                              <w:gridCol w:w="901"/>
                              <w:gridCol w:w="901"/>
                            </w:tblGrid>
                            <w:tr w:rsidR="00B37054" w:rsidRPr="00D92C94" w14:paraId="2DD72A69" w14:textId="77777777" w:rsidTr="00163F98">
                              <w:trPr>
                                <w:cantSplit/>
                                <w:trHeight w:val="302"/>
                                <w:tblHeader/>
                              </w:trPr>
                              <w:tc>
                                <w:tcPr>
                                  <w:tcW w:w="2223" w:type="dxa"/>
                                  <w:tcBorders>
                                    <w:top w:val="nil"/>
                                    <w:left w:val="nil"/>
                                    <w:bottom w:val="single" w:sz="4" w:space="0" w:color="000000"/>
                                    <w:right w:val="nil"/>
                                  </w:tcBorders>
                                  <w:shd w:val="clear" w:color="auto" w:fill="FFFFFF"/>
                                  <w:tcMar>
                                    <w:left w:w="10" w:type="dxa"/>
                                    <w:right w:w="10" w:type="dxa"/>
                                  </w:tcMar>
                                  <w:vAlign w:val="bottom"/>
                                </w:tcPr>
                                <w:p w14:paraId="00BFEDAB" w14:textId="77777777" w:rsidR="00B37054" w:rsidRPr="00D92C94" w:rsidRDefault="00B37054" w:rsidP="00100E55">
                                  <w:pPr>
                                    <w:keepNext/>
                                    <w:adjustRightInd w:val="0"/>
                                    <w:spacing w:before="10" w:after="10"/>
                                    <w:rPr>
                                      <w:color w:val="000000"/>
                                      <w:sz w:val="18"/>
                                      <w:szCs w:val="16"/>
                                    </w:rPr>
                                  </w:pPr>
                                  <w:r w:rsidRPr="00D92C94">
                                    <w:rPr>
                                      <w:color w:val="000000"/>
                                      <w:sz w:val="18"/>
                                      <w:szCs w:val="16"/>
                                    </w:rPr>
                                    <w:t>Number of patients at risk</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5E0D579E"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0</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40E71F77"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3</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7DAF0014"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6</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3DA2F607"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9</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2FC540A3"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12</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3D4D7BBD"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15</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6090E949"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18</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32527761"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21</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20BA8042"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24</w:t>
                                  </w:r>
                                </w:p>
                              </w:tc>
                            </w:tr>
                            <w:tr w:rsidR="00B37054" w:rsidRPr="00D92C94" w14:paraId="72783062" w14:textId="77777777" w:rsidTr="00163F98">
                              <w:trPr>
                                <w:cantSplit/>
                                <w:trHeight w:val="302"/>
                              </w:trPr>
                              <w:tc>
                                <w:tcPr>
                                  <w:tcW w:w="2223" w:type="dxa"/>
                                  <w:tcBorders>
                                    <w:top w:val="nil"/>
                                    <w:left w:val="nil"/>
                                    <w:bottom w:val="nil"/>
                                    <w:right w:val="nil"/>
                                  </w:tcBorders>
                                  <w:shd w:val="clear" w:color="auto" w:fill="FFFFFF"/>
                                  <w:tcMar>
                                    <w:left w:w="10" w:type="dxa"/>
                                    <w:right w:w="10" w:type="dxa"/>
                                  </w:tcMar>
                                </w:tcPr>
                                <w:p w14:paraId="3282CE18" w14:textId="77777777" w:rsidR="00B37054" w:rsidRPr="00D92C94" w:rsidRDefault="00B37054" w:rsidP="00100E55">
                                  <w:pPr>
                                    <w:keepNext/>
                                    <w:adjustRightInd w:val="0"/>
                                    <w:spacing w:before="10" w:after="10"/>
                                    <w:rPr>
                                      <w:color w:val="000000"/>
                                      <w:sz w:val="18"/>
                                      <w:szCs w:val="16"/>
                                    </w:rPr>
                                  </w:pPr>
                                  <w:r w:rsidRPr="00D92C94">
                                    <w:rPr>
                                      <w:color w:val="000000"/>
                                      <w:sz w:val="18"/>
                                      <w:szCs w:val="16"/>
                                    </w:rPr>
                                    <w:t>IMFINZI + chemotherapy</w:t>
                                  </w:r>
                                </w:p>
                              </w:tc>
                              <w:tc>
                                <w:tcPr>
                                  <w:tcW w:w="901" w:type="dxa"/>
                                  <w:tcBorders>
                                    <w:top w:val="nil"/>
                                    <w:left w:val="nil"/>
                                    <w:bottom w:val="nil"/>
                                    <w:right w:val="nil"/>
                                  </w:tcBorders>
                                  <w:shd w:val="clear" w:color="auto" w:fill="FFFFFF"/>
                                  <w:tcMar>
                                    <w:left w:w="10" w:type="dxa"/>
                                    <w:right w:w="10" w:type="dxa"/>
                                  </w:tcMar>
                                </w:tcPr>
                                <w:p w14:paraId="5F29414A"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268</w:t>
                                  </w:r>
                                </w:p>
                              </w:tc>
                              <w:tc>
                                <w:tcPr>
                                  <w:tcW w:w="901" w:type="dxa"/>
                                  <w:tcBorders>
                                    <w:top w:val="nil"/>
                                    <w:left w:val="nil"/>
                                    <w:bottom w:val="nil"/>
                                    <w:right w:val="nil"/>
                                  </w:tcBorders>
                                  <w:shd w:val="clear" w:color="auto" w:fill="FFFFFF"/>
                                  <w:tcMar>
                                    <w:left w:w="10" w:type="dxa"/>
                                    <w:right w:w="10" w:type="dxa"/>
                                  </w:tcMar>
                                </w:tcPr>
                                <w:p w14:paraId="4CBA942A"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244</w:t>
                                  </w:r>
                                </w:p>
                              </w:tc>
                              <w:tc>
                                <w:tcPr>
                                  <w:tcW w:w="901" w:type="dxa"/>
                                  <w:tcBorders>
                                    <w:top w:val="nil"/>
                                    <w:left w:val="nil"/>
                                    <w:bottom w:val="nil"/>
                                    <w:right w:val="nil"/>
                                  </w:tcBorders>
                                  <w:shd w:val="clear" w:color="auto" w:fill="FFFFFF"/>
                                  <w:tcMar>
                                    <w:left w:w="10" w:type="dxa"/>
                                    <w:right w:w="10" w:type="dxa"/>
                                  </w:tcMar>
                                </w:tcPr>
                                <w:p w14:paraId="2CD2F8C2"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214</w:t>
                                  </w:r>
                                </w:p>
                              </w:tc>
                              <w:tc>
                                <w:tcPr>
                                  <w:tcW w:w="901" w:type="dxa"/>
                                  <w:tcBorders>
                                    <w:top w:val="nil"/>
                                    <w:left w:val="nil"/>
                                    <w:bottom w:val="nil"/>
                                    <w:right w:val="nil"/>
                                  </w:tcBorders>
                                  <w:shd w:val="clear" w:color="auto" w:fill="FFFFFF"/>
                                  <w:tcMar>
                                    <w:left w:w="10" w:type="dxa"/>
                                    <w:right w:w="10" w:type="dxa"/>
                                  </w:tcMar>
                                </w:tcPr>
                                <w:p w14:paraId="349DFABA"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177</w:t>
                                  </w:r>
                                </w:p>
                              </w:tc>
                              <w:tc>
                                <w:tcPr>
                                  <w:tcW w:w="901" w:type="dxa"/>
                                  <w:tcBorders>
                                    <w:top w:val="nil"/>
                                    <w:left w:val="nil"/>
                                    <w:bottom w:val="nil"/>
                                    <w:right w:val="nil"/>
                                  </w:tcBorders>
                                  <w:shd w:val="clear" w:color="auto" w:fill="FFFFFF"/>
                                  <w:tcMar>
                                    <w:left w:w="10" w:type="dxa"/>
                                    <w:right w:w="10" w:type="dxa"/>
                                  </w:tcMar>
                                </w:tcPr>
                                <w:p w14:paraId="2BA879A7"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w:t>
                                  </w:r>
                                  <w:r>
                                    <w:rPr>
                                      <w:color w:val="000000"/>
                                      <w:sz w:val="18"/>
                                      <w:szCs w:val="16"/>
                                    </w:rPr>
                                    <w:t>40</w:t>
                                  </w:r>
                                </w:p>
                              </w:tc>
                              <w:tc>
                                <w:tcPr>
                                  <w:tcW w:w="901" w:type="dxa"/>
                                  <w:tcBorders>
                                    <w:top w:val="nil"/>
                                    <w:left w:val="nil"/>
                                    <w:bottom w:val="nil"/>
                                    <w:right w:val="nil"/>
                                  </w:tcBorders>
                                  <w:shd w:val="clear" w:color="auto" w:fill="FFFFFF"/>
                                  <w:tcMar>
                                    <w:left w:w="10" w:type="dxa"/>
                                    <w:right w:w="10" w:type="dxa"/>
                                  </w:tcMar>
                                </w:tcPr>
                                <w:p w14:paraId="794FCB77"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109</w:t>
                                  </w:r>
                                </w:p>
                              </w:tc>
                              <w:tc>
                                <w:tcPr>
                                  <w:tcW w:w="901" w:type="dxa"/>
                                  <w:tcBorders>
                                    <w:top w:val="nil"/>
                                    <w:left w:val="nil"/>
                                    <w:bottom w:val="nil"/>
                                    <w:right w:val="nil"/>
                                  </w:tcBorders>
                                  <w:shd w:val="clear" w:color="auto" w:fill="FFFFFF"/>
                                  <w:tcMar>
                                    <w:left w:w="10" w:type="dxa"/>
                                    <w:right w:w="10" w:type="dxa"/>
                                  </w:tcMar>
                                </w:tcPr>
                                <w:p w14:paraId="053D7F3B"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85</w:t>
                                  </w:r>
                                </w:p>
                              </w:tc>
                              <w:tc>
                                <w:tcPr>
                                  <w:tcW w:w="901" w:type="dxa"/>
                                  <w:tcBorders>
                                    <w:top w:val="nil"/>
                                    <w:left w:val="nil"/>
                                    <w:bottom w:val="nil"/>
                                    <w:right w:val="nil"/>
                                  </w:tcBorders>
                                  <w:shd w:val="clear" w:color="auto" w:fill="FFFFFF"/>
                                  <w:tcMar>
                                    <w:left w:w="10" w:type="dxa"/>
                                    <w:right w:w="10" w:type="dxa"/>
                                  </w:tcMar>
                                </w:tcPr>
                                <w:p w14:paraId="2346BC99"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66</w:t>
                                  </w:r>
                                </w:p>
                              </w:tc>
                              <w:tc>
                                <w:tcPr>
                                  <w:tcW w:w="901" w:type="dxa"/>
                                  <w:tcBorders>
                                    <w:top w:val="nil"/>
                                    <w:left w:val="nil"/>
                                    <w:bottom w:val="nil"/>
                                    <w:right w:val="nil"/>
                                  </w:tcBorders>
                                  <w:shd w:val="clear" w:color="auto" w:fill="FFFFFF"/>
                                  <w:tcMar>
                                    <w:left w:w="10" w:type="dxa"/>
                                    <w:right w:w="10" w:type="dxa"/>
                                  </w:tcMar>
                                </w:tcPr>
                                <w:p w14:paraId="6BBDFBF7"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41</w:t>
                                  </w:r>
                                </w:p>
                              </w:tc>
                            </w:tr>
                            <w:tr w:rsidR="00B37054" w:rsidRPr="00D92C94" w14:paraId="0D42D597" w14:textId="77777777" w:rsidTr="00163F98">
                              <w:trPr>
                                <w:cantSplit/>
                                <w:trHeight w:val="302"/>
                              </w:trPr>
                              <w:tc>
                                <w:tcPr>
                                  <w:tcW w:w="2223" w:type="dxa"/>
                                  <w:tcBorders>
                                    <w:top w:val="nil"/>
                                    <w:left w:val="nil"/>
                                    <w:bottom w:val="nil"/>
                                    <w:right w:val="nil"/>
                                  </w:tcBorders>
                                  <w:shd w:val="clear" w:color="auto" w:fill="FFFFFF"/>
                                  <w:tcMar>
                                    <w:left w:w="10" w:type="dxa"/>
                                    <w:right w:w="10" w:type="dxa"/>
                                  </w:tcMar>
                                </w:tcPr>
                                <w:p w14:paraId="07E510F9" w14:textId="77777777" w:rsidR="00B37054" w:rsidRPr="00D92C94" w:rsidRDefault="00B37054" w:rsidP="00100E55">
                                  <w:pPr>
                                    <w:adjustRightInd w:val="0"/>
                                    <w:spacing w:before="10" w:after="10"/>
                                    <w:rPr>
                                      <w:color w:val="000000"/>
                                      <w:sz w:val="18"/>
                                      <w:szCs w:val="16"/>
                                    </w:rPr>
                                  </w:pPr>
                                  <w:r w:rsidRPr="00D92C94">
                                    <w:rPr>
                                      <w:color w:val="000000"/>
                                      <w:sz w:val="18"/>
                                      <w:szCs w:val="16"/>
                                    </w:rPr>
                                    <w:t>chemotherapy</w:t>
                                  </w:r>
                                </w:p>
                              </w:tc>
                              <w:tc>
                                <w:tcPr>
                                  <w:tcW w:w="901" w:type="dxa"/>
                                  <w:tcBorders>
                                    <w:top w:val="nil"/>
                                    <w:left w:val="nil"/>
                                    <w:bottom w:val="nil"/>
                                    <w:right w:val="nil"/>
                                  </w:tcBorders>
                                  <w:shd w:val="clear" w:color="auto" w:fill="FFFFFF"/>
                                  <w:tcMar>
                                    <w:left w:w="10" w:type="dxa"/>
                                    <w:right w:w="10" w:type="dxa"/>
                                  </w:tcMar>
                                </w:tcPr>
                                <w:p w14:paraId="79C8CD30"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269</w:t>
                                  </w:r>
                                </w:p>
                              </w:tc>
                              <w:tc>
                                <w:tcPr>
                                  <w:tcW w:w="901" w:type="dxa"/>
                                  <w:tcBorders>
                                    <w:top w:val="nil"/>
                                    <w:left w:val="nil"/>
                                    <w:bottom w:val="nil"/>
                                    <w:right w:val="nil"/>
                                  </w:tcBorders>
                                  <w:shd w:val="clear" w:color="auto" w:fill="FFFFFF"/>
                                  <w:tcMar>
                                    <w:left w:w="10" w:type="dxa"/>
                                    <w:right w:w="10" w:type="dxa"/>
                                  </w:tcMar>
                                </w:tcPr>
                                <w:p w14:paraId="27749523"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24</w:t>
                                  </w:r>
                                  <w:r>
                                    <w:rPr>
                                      <w:color w:val="000000"/>
                                      <w:sz w:val="18"/>
                                      <w:szCs w:val="16"/>
                                    </w:rPr>
                                    <w:t>3</w:t>
                                  </w:r>
                                </w:p>
                              </w:tc>
                              <w:tc>
                                <w:tcPr>
                                  <w:tcW w:w="901" w:type="dxa"/>
                                  <w:tcBorders>
                                    <w:top w:val="nil"/>
                                    <w:left w:val="nil"/>
                                    <w:bottom w:val="nil"/>
                                    <w:right w:val="nil"/>
                                  </w:tcBorders>
                                  <w:shd w:val="clear" w:color="auto" w:fill="FFFFFF"/>
                                  <w:tcMar>
                                    <w:left w:w="10" w:type="dxa"/>
                                    <w:right w:w="10" w:type="dxa"/>
                                  </w:tcMar>
                                </w:tcPr>
                                <w:p w14:paraId="3E8A2C5E"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2</w:t>
                                  </w:r>
                                  <w:r>
                                    <w:rPr>
                                      <w:color w:val="000000"/>
                                      <w:sz w:val="18"/>
                                      <w:szCs w:val="16"/>
                                    </w:rPr>
                                    <w:t>12</w:t>
                                  </w:r>
                                </w:p>
                              </w:tc>
                              <w:tc>
                                <w:tcPr>
                                  <w:tcW w:w="901" w:type="dxa"/>
                                  <w:tcBorders>
                                    <w:top w:val="nil"/>
                                    <w:left w:val="nil"/>
                                    <w:bottom w:val="nil"/>
                                    <w:right w:val="nil"/>
                                  </w:tcBorders>
                                  <w:shd w:val="clear" w:color="auto" w:fill="FFFFFF"/>
                                  <w:tcMar>
                                    <w:left w:w="10" w:type="dxa"/>
                                    <w:right w:w="10" w:type="dxa"/>
                                  </w:tcMar>
                                </w:tcPr>
                                <w:p w14:paraId="55D4E505"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15</w:t>
                                  </w:r>
                                  <w:r>
                                    <w:rPr>
                                      <w:color w:val="000000"/>
                                      <w:sz w:val="18"/>
                                      <w:szCs w:val="16"/>
                                    </w:rPr>
                                    <w:t>6</w:t>
                                  </w:r>
                                </w:p>
                              </w:tc>
                              <w:tc>
                                <w:tcPr>
                                  <w:tcW w:w="901" w:type="dxa"/>
                                  <w:tcBorders>
                                    <w:top w:val="nil"/>
                                    <w:left w:val="nil"/>
                                    <w:bottom w:val="nil"/>
                                    <w:right w:val="nil"/>
                                  </w:tcBorders>
                                  <w:shd w:val="clear" w:color="auto" w:fill="FFFFFF"/>
                                  <w:tcMar>
                                    <w:left w:w="10" w:type="dxa"/>
                                    <w:right w:w="10" w:type="dxa"/>
                                  </w:tcMar>
                                </w:tcPr>
                                <w:p w14:paraId="6362C69C" w14:textId="77777777" w:rsidR="00B37054" w:rsidRPr="00D92C94" w:rsidRDefault="00B37054" w:rsidP="00100E55">
                                  <w:pPr>
                                    <w:adjustRightInd w:val="0"/>
                                    <w:spacing w:before="10" w:after="10"/>
                                    <w:jc w:val="center"/>
                                    <w:rPr>
                                      <w:color w:val="000000"/>
                                      <w:sz w:val="18"/>
                                      <w:szCs w:val="16"/>
                                    </w:rPr>
                                  </w:pPr>
                                  <w:r>
                                    <w:rPr>
                                      <w:color w:val="000000"/>
                                      <w:sz w:val="18"/>
                                      <w:szCs w:val="16"/>
                                    </w:rPr>
                                    <w:t>104</w:t>
                                  </w:r>
                                </w:p>
                              </w:tc>
                              <w:tc>
                                <w:tcPr>
                                  <w:tcW w:w="901" w:type="dxa"/>
                                  <w:tcBorders>
                                    <w:top w:val="nil"/>
                                    <w:left w:val="nil"/>
                                    <w:bottom w:val="nil"/>
                                    <w:right w:val="nil"/>
                                  </w:tcBorders>
                                  <w:shd w:val="clear" w:color="auto" w:fill="FFFFFF"/>
                                  <w:tcMar>
                                    <w:left w:w="10" w:type="dxa"/>
                                    <w:right w:w="10" w:type="dxa"/>
                                  </w:tcMar>
                                </w:tcPr>
                                <w:p w14:paraId="5F6A27AF" w14:textId="77777777" w:rsidR="00B37054" w:rsidRPr="00D92C94" w:rsidRDefault="00B37054" w:rsidP="00100E55">
                                  <w:pPr>
                                    <w:adjustRightInd w:val="0"/>
                                    <w:spacing w:before="10" w:after="10"/>
                                    <w:jc w:val="center"/>
                                    <w:rPr>
                                      <w:color w:val="000000"/>
                                      <w:sz w:val="18"/>
                                      <w:szCs w:val="16"/>
                                    </w:rPr>
                                  </w:pPr>
                                  <w:r>
                                    <w:rPr>
                                      <w:color w:val="000000"/>
                                      <w:sz w:val="18"/>
                                      <w:szCs w:val="16"/>
                                    </w:rPr>
                                    <w:t>82</w:t>
                                  </w:r>
                                </w:p>
                              </w:tc>
                              <w:tc>
                                <w:tcPr>
                                  <w:tcW w:w="901" w:type="dxa"/>
                                  <w:tcBorders>
                                    <w:top w:val="nil"/>
                                    <w:left w:val="nil"/>
                                    <w:bottom w:val="nil"/>
                                    <w:right w:val="nil"/>
                                  </w:tcBorders>
                                  <w:shd w:val="clear" w:color="auto" w:fill="FFFFFF"/>
                                  <w:tcMar>
                                    <w:left w:w="10" w:type="dxa"/>
                                    <w:right w:w="10" w:type="dxa"/>
                                  </w:tcMar>
                                </w:tcPr>
                                <w:p w14:paraId="06815CB0" w14:textId="77777777" w:rsidR="00B37054" w:rsidRPr="00D92C94" w:rsidRDefault="00B37054" w:rsidP="00100E55">
                                  <w:pPr>
                                    <w:adjustRightInd w:val="0"/>
                                    <w:spacing w:before="10" w:after="10"/>
                                    <w:jc w:val="center"/>
                                    <w:rPr>
                                      <w:color w:val="000000"/>
                                      <w:sz w:val="18"/>
                                      <w:szCs w:val="16"/>
                                    </w:rPr>
                                  </w:pPr>
                                  <w:r>
                                    <w:rPr>
                                      <w:color w:val="000000"/>
                                      <w:sz w:val="18"/>
                                      <w:szCs w:val="16"/>
                                    </w:rPr>
                                    <w:t>64</w:t>
                                  </w:r>
                                </w:p>
                              </w:tc>
                              <w:tc>
                                <w:tcPr>
                                  <w:tcW w:w="901" w:type="dxa"/>
                                  <w:tcBorders>
                                    <w:top w:val="nil"/>
                                    <w:left w:val="nil"/>
                                    <w:bottom w:val="nil"/>
                                    <w:right w:val="nil"/>
                                  </w:tcBorders>
                                  <w:shd w:val="clear" w:color="auto" w:fill="FFFFFF"/>
                                  <w:tcMar>
                                    <w:left w:w="10" w:type="dxa"/>
                                    <w:right w:w="10" w:type="dxa"/>
                                  </w:tcMar>
                                </w:tcPr>
                                <w:p w14:paraId="2BCD85EF" w14:textId="77777777" w:rsidR="00B37054" w:rsidRPr="00D92C94" w:rsidRDefault="00B37054" w:rsidP="00100E55">
                                  <w:pPr>
                                    <w:adjustRightInd w:val="0"/>
                                    <w:spacing w:before="10" w:after="10"/>
                                    <w:jc w:val="center"/>
                                    <w:rPr>
                                      <w:color w:val="000000"/>
                                      <w:sz w:val="18"/>
                                      <w:szCs w:val="16"/>
                                    </w:rPr>
                                  </w:pPr>
                                  <w:r>
                                    <w:rPr>
                                      <w:color w:val="000000"/>
                                      <w:sz w:val="18"/>
                                      <w:szCs w:val="16"/>
                                    </w:rPr>
                                    <w:t>48</w:t>
                                  </w:r>
                                </w:p>
                              </w:tc>
                              <w:tc>
                                <w:tcPr>
                                  <w:tcW w:w="901" w:type="dxa"/>
                                  <w:tcBorders>
                                    <w:top w:val="nil"/>
                                    <w:left w:val="nil"/>
                                    <w:bottom w:val="nil"/>
                                    <w:right w:val="nil"/>
                                  </w:tcBorders>
                                  <w:shd w:val="clear" w:color="auto" w:fill="FFFFFF"/>
                                  <w:tcMar>
                                    <w:left w:w="10" w:type="dxa"/>
                                    <w:right w:w="10" w:type="dxa"/>
                                  </w:tcMar>
                                </w:tcPr>
                                <w:p w14:paraId="0697EBEF" w14:textId="77777777" w:rsidR="00B37054" w:rsidRPr="00D92C94" w:rsidRDefault="00B37054" w:rsidP="00100E55">
                                  <w:pPr>
                                    <w:adjustRightInd w:val="0"/>
                                    <w:spacing w:before="10" w:after="10"/>
                                    <w:jc w:val="center"/>
                                    <w:rPr>
                                      <w:color w:val="000000"/>
                                      <w:sz w:val="18"/>
                                      <w:szCs w:val="16"/>
                                    </w:rPr>
                                  </w:pPr>
                                  <w:r>
                                    <w:rPr>
                                      <w:color w:val="000000"/>
                                      <w:sz w:val="18"/>
                                      <w:szCs w:val="16"/>
                                    </w:rPr>
                                    <w:t>24</w:t>
                                  </w:r>
                                </w:p>
                              </w:tc>
                            </w:tr>
                          </w:tbl>
                          <w:p w14:paraId="5808CA4F" w14:textId="77777777" w:rsidR="00B37054" w:rsidRDefault="00B37054" w:rsidP="007B1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5A46" id="Text Box 149" o:spid="_x0000_s1033" type="#_x0000_t202" style="position:absolute;left:0;text-align:left;margin-left:-35.65pt;margin-top:232.7pt;width:530.5pt;height:54.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" filled="f" stroked="f">
                <v:textbox>
                  <w:txbxContent>
                    <w:tbl>
                      <w:tblPr>
                        <w:tblW w:w="10332" w:type="dxa"/>
                        <w:tblLayout w:type="fixed"/>
                        <w:tblCellMar>
                          <w:left w:w="0" w:type="dxa"/>
                          <w:right w:w="0" w:type="dxa"/>
                        </w:tblCellMar>
                        <w:tblLook w:val="0000" w:firstRow="0" w:lastRow="0" w:firstColumn="0" w:lastColumn="0" w:noHBand="0" w:noVBand="0"/>
                      </w:tblPr>
                      <w:tblGrid>
                        <w:gridCol w:w="2223"/>
                        <w:gridCol w:w="901"/>
                        <w:gridCol w:w="901"/>
                        <w:gridCol w:w="901"/>
                        <w:gridCol w:w="901"/>
                        <w:gridCol w:w="901"/>
                        <w:gridCol w:w="901"/>
                        <w:gridCol w:w="901"/>
                        <w:gridCol w:w="901"/>
                        <w:gridCol w:w="901"/>
                      </w:tblGrid>
                      <w:tr w:rsidR="00B37054" w:rsidRPr="00D92C94" w14:paraId="2DD72A69" w14:textId="77777777" w:rsidTr="00163F98">
                        <w:trPr>
                          <w:cantSplit/>
                          <w:trHeight w:val="302"/>
                          <w:tblHeader/>
                        </w:trPr>
                        <w:tc>
                          <w:tcPr>
                            <w:tcW w:w="2223" w:type="dxa"/>
                            <w:tcBorders>
                              <w:top w:val="nil"/>
                              <w:left w:val="nil"/>
                              <w:bottom w:val="single" w:sz="4" w:space="0" w:color="000000"/>
                              <w:right w:val="nil"/>
                            </w:tcBorders>
                            <w:shd w:val="clear" w:color="auto" w:fill="FFFFFF"/>
                            <w:tcMar>
                              <w:left w:w="10" w:type="dxa"/>
                              <w:right w:w="10" w:type="dxa"/>
                            </w:tcMar>
                            <w:vAlign w:val="bottom"/>
                          </w:tcPr>
                          <w:p w14:paraId="00BFEDAB" w14:textId="77777777" w:rsidR="00B37054" w:rsidRPr="00D92C94" w:rsidRDefault="00B37054" w:rsidP="00100E55">
                            <w:pPr>
                              <w:keepNext/>
                              <w:adjustRightInd w:val="0"/>
                              <w:spacing w:before="10" w:after="10"/>
                              <w:rPr>
                                <w:color w:val="000000"/>
                                <w:sz w:val="18"/>
                                <w:szCs w:val="16"/>
                              </w:rPr>
                            </w:pPr>
                            <w:r w:rsidRPr="00D92C94">
                              <w:rPr>
                                <w:color w:val="000000"/>
                                <w:sz w:val="18"/>
                                <w:szCs w:val="16"/>
                              </w:rPr>
                              <w:t>Number of patients at risk</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5E0D579E"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0</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40E71F77"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3</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7DAF0014"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6</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3DA2F607"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9</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2FC540A3"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12</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3D4D7BBD"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15</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6090E949"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18</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32527761"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21</w:t>
                            </w:r>
                          </w:p>
                        </w:tc>
                        <w:tc>
                          <w:tcPr>
                            <w:tcW w:w="901" w:type="dxa"/>
                            <w:tcBorders>
                              <w:top w:val="nil"/>
                              <w:left w:val="nil"/>
                              <w:bottom w:val="single" w:sz="4" w:space="0" w:color="000000"/>
                              <w:right w:val="nil"/>
                            </w:tcBorders>
                            <w:shd w:val="clear" w:color="auto" w:fill="FFFFFF"/>
                            <w:tcMar>
                              <w:left w:w="10" w:type="dxa"/>
                              <w:right w:w="10" w:type="dxa"/>
                            </w:tcMar>
                            <w:vAlign w:val="bottom"/>
                          </w:tcPr>
                          <w:p w14:paraId="20BA8042"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24</w:t>
                            </w:r>
                          </w:p>
                        </w:tc>
                      </w:tr>
                      <w:tr w:rsidR="00B37054" w:rsidRPr="00D92C94" w14:paraId="72783062" w14:textId="77777777" w:rsidTr="00163F98">
                        <w:trPr>
                          <w:cantSplit/>
                          <w:trHeight w:val="302"/>
                        </w:trPr>
                        <w:tc>
                          <w:tcPr>
                            <w:tcW w:w="2223" w:type="dxa"/>
                            <w:tcBorders>
                              <w:top w:val="nil"/>
                              <w:left w:val="nil"/>
                              <w:bottom w:val="nil"/>
                              <w:right w:val="nil"/>
                            </w:tcBorders>
                            <w:shd w:val="clear" w:color="auto" w:fill="FFFFFF"/>
                            <w:tcMar>
                              <w:left w:w="10" w:type="dxa"/>
                              <w:right w:w="10" w:type="dxa"/>
                            </w:tcMar>
                          </w:tcPr>
                          <w:p w14:paraId="3282CE18" w14:textId="77777777" w:rsidR="00B37054" w:rsidRPr="00D92C94" w:rsidRDefault="00B37054" w:rsidP="00100E55">
                            <w:pPr>
                              <w:keepNext/>
                              <w:adjustRightInd w:val="0"/>
                              <w:spacing w:before="10" w:after="10"/>
                              <w:rPr>
                                <w:color w:val="000000"/>
                                <w:sz w:val="18"/>
                                <w:szCs w:val="16"/>
                              </w:rPr>
                            </w:pPr>
                            <w:r w:rsidRPr="00D92C94">
                              <w:rPr>
                                <w:color w:val="000000"/>
                                <w:sz w:val="18"/>
                                <w:szCs w:val="16"/>
                              </w:rPr>
                              <w:t>IMFINZI + chemotherapy</w:t>
                            </w:r>
                          </w:p>
                        </w:tc>
                        <w:tc>
                          <w:tcPr>
                            <w:tcW w:w="901" w:type="dxa"/>
                            <w:tcBorders>
                              <w:top w:val="nil"/>
                              <w:left w:val="nil"/>
                              <w:bottom w:val="nil"/>
                              <w:right w:val="nil"/>
                            </w:tcBorders>
                            <w:shd w:val="clear" w:color="auto" w:fill="FFFFFF"/>
                            <w:tcMar>
                              <w:left w:w="10" w:type="dxa"/>
                              <w:right w:w="10" w:type="dxa"/>
                            </w:tcMar>
                          </w:tcPr>
                          <w:p w14:paraId="5F29414A"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268</w:t>
                            </w:r>
                          </w:p>
                        </w:tc>
                        <w:tc>
                          <w:tcPr>
                            <w:tcW w:w="901" w:type="dxa"/>
                            <w:tcBorders>
                              <w:top w:val="nil"/>
                              <w:left w:val="nil"/>
                              <w:bottom w:val="nil"/>
                              <w:right w:val="nil"/>
                            </w:tcBorders>
                            <w:shd w:val="clear" w:color="auto" w:fill="FFFFFF"/>
                            <w:tcMar>
                              <w:left w:w="10" w:type="dxa"/>
                              <w:right w:w="10" w:type="dxa"/>
                            </w:tcMar>
                          </w:tcPr>
                          <w:p w14:paraId="4CBA942A"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244</w:t>
                            </w:r>
                          </w:p>
                        </w:tc>
                        <w:tc>
                          <w:tcPr>
                            <w:tcW w:w="901" w:type="dxa"/>
                            <w:tcBorders>
                              <w:top w:val="nil"/>
                              <w:left w:val="nil"/>
                              <w:bottom w:val="nil"/>
                              <w:right w:val="nil"/>
                            </w:tcBorders>
                            <w:shd w:val="clear" w:color="auto" w:fill="FFFFFF"/>
                            <w:tcMar>
                              <w:left w:w="10" w:type="dxa"/>
                              <w:right w:w="10" w:type="dxa"/>
                            </w:tcMar>
                          </w:tcPr>
                          <w:p w14:paraId="2CD2F8C2"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214</w:t>
                            </w:r>
                          </w:p>
                        </w:tc>
                        <w:tc>
                          <w:tcPr>
                            <w:tcW w:w="901" w:type="dxa"/>
                            <w:tcBorders>
                              <w:top w:val="nil"/>
                              <w:left w:val="nil"/>
                              <w:bottom w:val="nil"/>
                              <w:right w:val="nil"/>
                            </w:tcBorders>
                            <w:shd w:val="clear" w:color="auto" w:fill="FFFFFF"/>
                            <w:tcMar>
                              <w:left w:w="10" w:type="dxa"/>
                              <w:right w:w="10" w:type="dxa"/>
                            </w:tcMar>
                          </w:tcPr>
                          <w:p w14:paraId="349DFABA"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177</w:t>
                            </w:r>
                          </w:p>
                        </w:tc>
                        <w:tc>
                          <w:tcPr>
                            <w:tcW w:w="901" w:type="dxa"/>
                            <w:tcBorders>
                              <w:top w:val="nil"/>
                              <w:left w:val="nil"/>
                              <w:bottom w:val="nil"/>
                              <w:right w:val="nil"/>
                            </w:tcBorders>
                            <w:shd w:val="clear" w:color="auto" w:fill="FFFFFF"/>
                            <w:tcMar>
                              <w:left w:w="10" w:type="dxa"/>
                              <w:right w:w="10" w:type="dxa"/>
                            </w:tcMar>
                          </w:tcPr>
                          <w:p w14:paraId="2BA879A7" w14:textId="77777777" w:rsidR="00B37054" w:rsidRPr="00D92C94" w:rsidRDefault="00B37054" w:rsidP="00100E55">
                            <w:pPr>
                              <w:keepNext/>
                              <w:adjustRightInd w:val="0"/>
                              <w:spacing w:before="10" w:after="10"/>
                              <w:jc w:val="center"/>
                              <w:rPr>
                                <w:color w:val="000000"/>
                                <w:sz w:val="18"/>
                                <w:szCs w:val="16"/>
                              </w:rPr>
                            </w:pPr>
                            <w:r w:rsidRPr="00D92C94">
                              <w:rPr>
                                <w:color w:val="000000"/>
                                <w:sz w:val="18"/>
                                <w:szCs w:val="16"/>
                              </w:rPr>
                              <w:t>1</w:t>
                            </w:r>
                            <w:r>
                              <w:rPr>
                                <w:color w:val="000000"/>
                                <w:sz w:val="18"/>
                                <w:szCs w:val="16"/>
                              </w:rPr>
                              <w:t>40</w:t>
                            </w:r>
                          </w:p>
                        </w:tc>
                        <w:tc>
                          <w:tcPr>
                            <w:tcW w:w="901" w:type="dxa"/>
                            <w:tcBorders>
                              <w:top w:val="nil"/>
                              <w:left w:val="nil"/>
                              <w:bottom w:val="nil"/>
                              <w:right w:val="nil"/>
                            </w:tcBorders>
                            <w:shd w:val="clear" w:color="auto" w:fill="FFFFFF"/>
                            <w:tcMar>
                              <w:left w:w="10" w:type="dxa"/>
                              <w:right w:w="10" w:type="dxa"/>
                            </w:tcMar>
                          </w:tcPr>
                          <w:p w14:paraId="794FCB77"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109</w:t>
                            </w:r>
                          </w:p>
                        </w:tc>
                        <w:tc>
                          <w:tcPr>
                            <w:tcW w:w="901" w:type="dxa"/>
                            <w:tcBorders>
                              <w:top w:val="nil"/>
                              <w:left w:val="nil"/>
                              <w:bottom w:val="nil"/>
                              <w:right w:val="nil"/>
                            </w:tcBorders>
                            <w:shd w:val="clear" w:color="auto" w:fill="FFFFFF"/>
                            <w:tcMar>
                              <w:left w:w="10" w:type="dxa"/>
                              <w:right w:w="10" w:type="dxa"/>
                            </w:tcMar>
                          </w:tcPr>
                          <w:p w14:paraId="053D7F3B"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85</w:t>
                            </w:r>
                          </w:p>
                        </w:tc>
                        <w:tc>
                          <w:tcPr>
                            <w:tcW w:w="901" w:type="dxa"/>
                            <w:tcBorders>
                              <w:top w:val="nil"/>
                              <w:left w:val="nil"/>
                              <w:bottom w:val="nil"/>
                              <w:right w:val="nil"/>
                            </w:tcBorders>
                            <w:shd w:val="clear" w:color="auto" w:fill="FFFFFF"/>
                            <w:tcMar>
                              <w:left w:w="10" w:type="dxa"/>
                              <w:right w:w="10" w:type="dxa"/>
                            </w:tcMar>
                          </w:tcPr>
                          <w:p w14:paraId="2346BC99"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66</w:t>
                            </w:r>
                          </w:p>
                        </w:tc>
                        <w:tc>
                          <w:tcPr>
                            <w:tcW w:w="901" w:type="dxa"/>
                            <w:tcBorders>
                              <w:top w:val="nil"/>
                              <w:left w:val="nil"/>
                              <w:bottom w:val="nil"/>
                              <w:right w:val="nil"/>
                            </w:tcBorders>
                            <w:shd w:val="clear" w:color="auto" w:fill="FFFFFF"/>
                            <w:tcMar>
                              <w:left w:w="10" w:type="dxa"/>
                              <w:right w:w="10" w:type="dxa"/>
                            </w:tcMar>
                          </w:tcPr>
                          <w:p w14:paraId="6BBDFBF7" w14:textId="77777777" w:rsidR="00B37054" w:rsidRPr="00D92C94" w:rsidRDefault="00B37054" w:rsidP="00100E55">
                            <w:pPr>
                              <w:keepNext/>
                              <w:adjustRightInd w:val="0"/>
                              <w:spacing w:before="10" w:after="10"/>
                              <w:jc w:val="center"/>
                              <w:rPr>
                                <w:color w:val="000000"/>
                                <w:sz w:val="18"/>
                                <w:szCs w:val="16"/>
                              </w:rPr>
                            </w:pPr>
                            <w:r>
                              <w:rPr>
                                <w:color w:val="000000"/>
                                <w:sz w:val="18"/>
                                <w:szCs w:val="16"/>
                              </w:rPr>
                              <w:t>41</w:t>
                            </w:r>
                          </w:p>
                        </w:tc>
                      </w:tr>
                      <w:tr w:rsidR="00B37054" w:rsidRPr="00D92C94" w14:paraId="0D42D597" w14:textId="77777777" w:rsidTr="00163F98">
                        <w:trPr>
                          <w:cantSplit/>
                          <w:trHeight w:val="302"/>
                        </w:trPr>
                        <w:tc>
                          <w:tcPr>
                            <w:tcW w:w="2223" w:type="dxa"/>
                            <w:tcBorders>
                              <w:top w:val="nil"/>
                              <w:left w:val="nil"/>
                              <w:bottom w:val="nil"/>
                              <w:right w:val="nil"/>
                            </w:tcBorders>
                            <w:shd w:val="clear" w:color="auto" w:fill="FFFFFF"/>
                            <w:tcMar>
                              <w:left w:w="10" w:type="dxa"/>
                              <w:right w:w="10" w:type="dxa"/>
                            </w:tcMar>
                          </w:tcPr>
                          <w:p w14:paraId="07E510F9" w14:textId="77777777" w:rsidR="00B37054" w:rsidRPr="00D92C94" w:rsidRDefault="00B37054" w:rsidP="00100E55">
                            <w:pPr>
                              <w:adjustRightInd w:val="0"/>
                              <w:spacing w:before="10" w:after="10"/>
                              <w:rPr>
                                <w:color w:val="000000"/>
                                <w:sz w:val="18"/>
                                <w:szCs w:val="16"/>
                              </w:rPr>
                            </w:pPr>
                            <w:r w:rsidRPr="00D92C94">
                              <w:rPr>
                                <w:color w:val="000000"/>
                                <w:sz w:val="18"/>
                                <w:szCs w:val="16"/>
                              </w:rPr>
                              <w:t>chemotherapy</w:t>
                            </w:r>
                          </w:p>
                        </w:tc>
                        <w:tc>
                          <w:tcPr>
                            <w:tcW w:w="901" w:type="dxa"/>
                            <w:tcBorders>
                              <w:top w:val="nil"/>
                              <w:left w:val="nil"/>
                              <w:bottom w:val="nil"/>
                              <w:right w:val="nil"/>
                            </w:tcBorders>
                            <w:shd w:val="clear" w:color="auto" w:fill="FFFFFF"/>
                            <w:tcMar>
                              <w:left w:w="10" w:type="dxa"/>
                              <w:right w:w="10" w:type="dxa"/>
                            </w:tcMar>
                          </w:tcPr>
                          <w:p w14:paraId="79C8CD30"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269</w:t>
                            </w:r>
                          </w:p>
                        </w:tc>
                        <w:tc>
                          <w:tcPr>
                            <w:tcW w:w="901" w:type="dxa"/>
                            <w:tcBorders>
                              <w:top w:val="nil"/>
                              <w:left w:val="nil"/>
                              <w:bottom w:val="nil"/>
                              <w:right w:val="nil"/>
                            </w:tcBorders>
                            <w:shd w:val="clear" w:color="auto" w:fill="FFFFFF"/>
                            <w:tcMar>
                              <w:left w:w="10" w:type="dxa"/>
                              <w:right w:w="10" w:type="dxa"/>
                            </w:tcMar>
                          </w:tcPr>
                          <w:p w14:paraId="27749523"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24</w:t>
                            </w:r>
                            <w:r>
                              <w:rPr>
                                <w:color w:val="000000"/>
                                <w:sz w:val="18"/>
                                <w:szCs w:val="16"/>
                              </w:rPr>
                              <w:t>3</w:t>
                            </w:r>
                          </w:p>
                        </w:tc>
                        <w:tc>
                          <w:tcPr>
                            <w:tcW w:w="901" w:type="dxa"/>
                            <w:tcBorders>
                              <w:top w:val="nil"/>
                              <w:left w:val="nil"/>
                              <w:bottom w:val="nil"/>
                              <w:right w:val="nil"/>
                            </w:tcBorders>
                            <w:shd w:val="clear" w:color="auto" w:fill="FFFFFF"/>
                            <w:tcMar>
                              <w:left w:w="10" w:type="dxa"/>
                              <w:right w:w="10" w:type="dxa"/>
                            </w:tcMar>
                          </w:tcPr>
                          <w:p w14:paraId="3E8A2C5E"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2</w:t>
                            </w:r>
                            <w:r>
                              <w:rPr>
                                <w:color w:val="000000"/>
                                <w:sz w:val="18"/>
                                <w:szCs w:val="16"/>
                              </w:rPr>
                              <w:t>12</w:t>
                            </w:r>
                          </w:p>
                        </w:tc>
                        <w:tc>
                          <w:tcPr>
                            <w:tcW w:w="901" w:type="dxa"/>
                            <w:tcBorders>
                              <w:top w:val="nil"/>
                              <w:left w:val="nil"/>
                              <w:bottom w:val="nil"/>
                              <w:right w:val="nil"/>
                            </w:tcBorders>
                            <w:shd w:val="clear" w:color="auto" w:fill="FFFFFF"/>
                            <w:tcMar>
                              <w:left w:w="10" w:type="dxa"/>
                              <w:right w:w="10" w:type="dxa"/>
                            </w:tcMar>
                          </w:tcPr>
                          <w:p w14:paraId="55D4E505" w14:textId="77777777" w:rsidR="00B37054" w:rsidRPr="00D92C94" w:rsidRDefault="00B37054" w:rsidP="00100E55">
                            <w:pPr>
                              <w:adjustRightInd w:val="0"/>
                              <w:spacing w:before="10" w:after="10"/>
                              <w:jc w:val="center"/>
                              <w:rPr>
                                <w:color w:val="000000"/>
                                <w:sz w:val="18"/>
                                <w:szCs w:val="16"/>
                              </w:rPr>
                            </w:pPr>
                            <w:r w:rsidRPr="00D92C94">
                              <w:rPr>
                                <w:color w:val="000000"/>
                                <w:sz w:val="18"/>
                                <w:szCs w:val="16"/>
                              </w:rPr>
                              <w:t>15</w:t>
                            </w:r>
                            <w:r>
                              <w:rPr>
                                <w:color w:val="000000"/>
                                <w:sz w:val="18"/>
                                <w:szCs w:val="16"/>
                              </w:rPr>
                              <w:t>6</w:t>
                            </w:r>
                          </w:p>
                        </w:tc>
                        <w:tc>
                          <w:tcPr>
                            <w:tcW w:w="901" w:type="dxa"/>
                            <w:tcBorders>
                              <w:top w:val="nil"/>
                              <w:left w:val="nil"/>
                              <w:bottom w:val="nil"/>
                              <w:right w:val="nil"/>
                            </w:tcBorders>
                            <w:shd w:val="clear" w:color="auto" w:fill="FFFFFF"/>
                            <w:tcMar>
                              <w:left w:w="10" w:type="dxa"/>
                              <w:right w:w="10" w:type="dxa"/>
                            </w:tcMar>
                          </w:tcPr>
                          <w:p w14:paraId="6362C69C" w14:textId="77777777" w:rsidR="00B37054" w:rsidRPr="00D92C94" w:rsidRDefault="00B37054" w:rsidP="00100E55">
                            <w:pPr>
                              <w:adjustRightInd w:val="0"/>
                              <w:spacing w:before="10" w:after="10"/>
                              <w:jc w:val="center"/>
                              <w:rPr>
                                <w:color w:val="000000"/>
                                <w:sz w:val="18"/>
                                <w:szCs w:val="16"/>
                              </w:rPr>
                            </w:pPr>
                            <w:r>
                              <w:rPr>
                                <w:color w:val="000000"/>
                                <w:sz w:val="18"/>
                                <w:szCs w:val="16"/>
                              </w:rPr>
                              <w:t>104</w:t>
                            </w:r>
                          </w:p>
                        </w:tc>
                        <w:tc>
                          <w:tcPr>
                            <w:tcW w:w="901" w:type="dxa"/>
                            <w:tcBorders>
                              <w:top w:val="nil"/>
                              <w:left w:val="nil"/>
                              <w:bottom w:val="nil"/>
                              <w:right w:val="nil"/>
                            </w:tcBorders>
                            <w:shd w:val="clear" w:color="auto" w:fill="FFFFFF"/>
                            <w:tcMar>
                              <w:left w:w="10" w:type="dxa"/>
                              <w:right w:w="10" w:type="dxa"/>
                            </w:tcMar>
                          </w:tcPr>
                          <w:p w14:paraId="5F6A27AF" w14:textId="77777777" w:rsidR="00B37054" w:rsidRPr="00D92C94" w:rsidRDefault="00B37054" w:rsidP="00100E55">
                            <w:pPr>
                              <w:adjustRightInd w:val="0"/>
                              <w:spacing w:before="10" w:after="10"/>
                              <w:jc w:val="center"/>
                              <w:rPr>
                                <w:color w:val="000000"/>
                                <w:sz w:val="18"/>
                                <w:szCs w:val="16"/>
                              </w:rPr>
                            </w:pPr>
                            <w:r>
                              <w:rPr>
                                <w:color w:val="000000"/>
                                <w:sz w:val="18"/>
                                <w:szCs w:val="16"/>
                              </w:rPr>
                              <w:t>82</w:t>
                            </w:r>
                          </w:p>
                        </w:tc>
                        <w:tc>
                          <w:tcPr>
                            <w:tcW w:w="901" w:type="dxa"/>
                            <w:tcBorders>
                              <w:top w:val="nil"/>
                              <w:left w:val="nil"/>
                              <w:bottom w:val="nil"/>
                              <w:right w:val="nil"/>
                            </w:tcBorders>
                            <w:shd w:val="clear" w:color="auto" w:fill="FFFFFF"/>
                            <w:tcMar>
                              <w:left w:w="10" w:type="dxa"/>
                              <w:right w:w="10" w:type="dxa"/>
                            </w:tcMar>
                          </w:tcPr>
                          <w:p w14:paraId="06815CB0" w14:textId="77777777" w:rsidR="00B37054" w:rsidRPr="00D92C94" w:rsidRDefault="00B37054" w:rsidP="00100E55">
                            <w:pPr>
                              <w:adjustRightInd w:val="0"/>
                              <w:spacing w:before="10" w:after="10"/>
                              <w:jc w:val="center"/>
                              <w:rPr>
                                <w:color w:val="000000"/>
                                <w:sz w:val="18"/>
                                <w:szCs w:val="16"/>
                              </w:rPr>
                            </w:pPr>
                            <w:r>
                              <w:rPr>
                                <w:color w:val="000000"/>
                                <w:sz w:val="18"/>
                                <w:szCs w:val="16"/>
                              </w:rPr>
                              <w:t>64</w:t>
                            </w:r>
                          </w:p>
                        </w:tc>
                        <w:tc>
                          <w:tcPr>
                            <w:tcW w:w="901" w:type="dxa"/>
                            <w:tcBorders>
                              <w:top w:val="nil"/>
                              <w:left w:val="nil"/>
                              <w:bottom w:val="nil"/>
                              <w:right w:val="nil"/>
                            </w:tcBorders>
                            <w:shd w:val="clear" w:color="auto" w:fill="FFFFFF"/>
                            <w:tcMar>
                              <w:left w:w="10" w:type="dxa"/>
                              <w:right w:w="10" w:type="dxa"/>
                            </w:tcMar>
                          </w:tcPr>
                          <w:p w14:paraId="2BCD85EF" w14:textId="77777777" w:rsidR="00B37054" w:rsidRPr="00D92C94" w:rsidRDefault="00B37054" w:rsidP="00100E55">
                            <w:pPr>
                              <w:adjustRightInd w:val="0"/>
                              <w:spacing w:before="10" w:after="10"/>
                              <w:jc w:val="center"/>
                              <w:rPr>
                                <w:color w:val="000000"/>
                                <w:sz w:val="18"/>
                                <w:szCs w:val="16"/>
                              </w:rPr>
                            </w:pPr>
                            <w:r>
                              <w:rPr>
                                <w:color w:val="000000"/>
                                <w:sz w:val="18"/>
                                <w:szCs w:val="16"/>
                              </w:rPr>
                              <w:t>48</w:t>
                            </w:r>
                          </w:p>
                        </w:tc>
                        <w:tc>
                          <w:tcPr>
                            <w:tcW w:w="901" w:type="dxa"/>
                            <w:tcBorders>
                              <w:top w:val="nil"/>
                              <w:left w:val="nil"/>
                              <w:bottom w:val="nil"/>
                              <w:right w:val="nil"/>
                            </w:tcBorders>
                            <w:shd w:val="clear" w:color="auto" w:fill="FFFFFF"/>
                            <w:tcMar>
                              <w:left w:w="10" w:type="dxa"/>
                              <w:right w:w="10" w:type="dxa"/>
                            </w:tcMar>
                          </w:tcPr>
                          <w:p w14:paraId="0697EBEF" w14:textId="77777777" w:rsidR="00B37054" w:rsidRPr="00D92C94" w:rsidRDefault="00B37054" w:rsidP="00100E55">
                            <w:pPr>
                              <w:adjustRightInd w:val="0"/>
                              <w:spacing w:before="10" w:after="10"/>
                              <w:jc w:val="center"/>
                              <w:rPr>
                                <w:color w:val="000000"/>
                                <w:sz w:val="18"/>
                                <w:szCs w:val="16"/>
                              </w:rPr>
                            </w:pPr>
                            <w:r>
                              <w:rPr>
                                <w:color w:val="000000"/>
                                <w:sz w:val="18"/>
                                <w:szCs w:val="16"/>
                              </w:rPr>
                              <w:t>24</w:t>
                            </w:r>
                          </w:p>
                        </w:tc>
                      </w:tr>
                    </w:tbl>
                    <w:p w14:paraId="5808CA4F" w14:textId="77777777" w:rsidR="00B37054" w:rsidRDefault="00B37054" w:rsidP="007B1C26"/>
                  </w:txbxContent>
                </v:textbox>
                <w10:wrap anchorx="margin"/>
              </v:shape>
            </w:pict>
          </mc:Fallback>
        </mc:AlternateContent>
      </w:r>
      <w:r w:rsidRPr="008B029F">
        <w:rPr>
          <w:noProof/>
          <w:color w:val="2B579A"/>
          <w:shd w:val="clear" w:color="auto" w:fill="E6E6E6"/>
          <w:lang w:val="en-AU"/>
        </w:rPr>
        <w:drawing>
          <wp:inline distT="0" distB="0" distL="0" distR="0" wp14:anchorId="69B977CD" wp14:editId="28C6CCD2">
            <wp:extent cx="6120130" cy="2905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05760"/>
                    </a:xfrm>
                    <a:prstGeom prst="rect">
                      <a:avLst/>
                    </a:prstGeom>
                  </pic:spPr>
                </pic:pic>
              </a:graphicData>
            </a:graphic>
          </wp:inline>
        </w:drawing>
      </w:r>
    </w:p>
    <w:p w14:paraId="0036EA3B" w14:textId="55C47CE0" w:rsidR="00C92DB6" w:rsidRPr="008B029F" w:rsidRDefault="00C92DB6" w:rsidP="007B1C26">
      <w:pPr>
        <w:pStyle w:val="ListParagraph"/>
        <w:ind w:left="170" w:hanging="170"/>
        <w:rPr>
          <w:noProof/>
          <w:lang w:val="en-AU"/>
        </w:rPr>
      </w:pPr>
    </w:p>
    <w:p w14:paraId="6DF773FE" w14:textId="4929BE99" w:rsidR="00C92DB6" w:rsidRPr="008B029F" w:rsidRDefault="00C92DB6" w:rsidP="007B1C26">
      <w:pPr>
        <w:pStyle w:val="ListParagraph"/>
        <w:ind w:left="170" w:hanging="170"/>
        <w:rPr>
          <w:noProof/>
          <w:lang w:val="en-AU"/>
        </w:rPr>
      </w:pPr>
    </w:p>
    <w:p w14:paraId="6181E000" w14:textId="2D6852BD" w:rsidR="00C92DB6" w:rsidRPr="008B029F" w:rsidRDefault="00C92DB6" w:rsidP="007B1C26">
      <w:pPr>
        <w:pStyle w:val="ListParagraph"/>
        <w:ind w:left="170" w:hanging="170"/>
        <w:rPr>
          <w:noProof/>
          <w:lang w:val="en-AU"/>
        </w:rPr>
      </w:pPr>
    </w:p>
    <w:p w14:paraId="163AE352" w14:textId="77777777" w:rsidR="00C92DB6" w:rsidRPr="008B029F" w:rsidRDefault="00C92DB6" w:rsidP="007B1C26">
      <w:pPr>
        <w:pStyle w:val="ListParagraph"/>
        <w:ind w:left="170" w:hanging="170"/>
        <w:rPr>
          <w:noProof/>
          <w:lang w:val="en-AU"/>
        </w:rPr>
      </w:pPr>
    </w:p>
    <w:p w14:paraId="71AEB868" w14:textId="117B8AF8" w:rsidR="00010609" w:rsidRPr="008B029F" w:rsidRDefault="00010609" w:rsidP="00010609">
      <w:pPr>
        <w:pStyle w:val="FigureTitle"/>
        <w:rPr>
          <w:lang w:val="en-AU" w:eastAsia="en-GB"/>
        </w:rPr>
      </w:pPr>
      <w:bookmarkStart w:id="59" w:name="_Ref57373054"/>
      <w:r w:rsidRPr="008B029F">
        <w:rPr>
          <w:lang w:val="en-AU"/>
        </w:rPr>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6</w:t>
      </w:r>
      <w:r w:rsidRPr="008B029F">
        <w:rPr>
          <w:color w:val="2B579A"/>
          <w:shd w:val="clear" w:color="auto" w:fill="E6E6E6"/>
          <w:lang w:val="en-AU"/>
        </w:rPr>
        <w:fldChar w:fldCharType="end"/>
      </w:r>
      <w:bookmarkEnd w:id="59"/>
      <w:r w:rsidRPr="008B029F">
        <w:rPr>
          <w:lang w:val="en-AU"/>
        </w:rPr>
        <w:tab/>
        <w:t>Kaplan-Meier curve of PFS</w:t>
      </w:r>
      <w:r w:rsidR="00000810" w:rsidRPr="008B029F">
        <w:rPr>
          <w:lang w:val="en-AU"/>
        </w:rPr>
        <w:t xml:space="preserve"> (CASPIAN study)</w:t>
      </w:r>
    </w:p>
    <w:tbl>
      <w:tblPr>
        <w:tblpPr w:leftFromText="180" w:rightFromText="180" w:vertAnchor="text" w:horzAnchor="margin" w:tblpXSpec="center" w:tblpY="4437"/>
        <w:tblW w:w="10569" w:type="dxa"/>
        <w:tblLayout w:type="fixed"/>
        <w:tblCellMar>
          <w:left w:w="0" w:type="dxa"/>
          <w:right w:w="0" w:type="dxa"/>
        </w:tblCellMar>
        <w:tblLook w:val="0000" w:firstRow="0" w:lastRow="0" w:firstColumn="0" w:lastColumn="0" w:noHBand="0" w:noVBand="0"/>
      </w:tblPr>
      <w:tblGrid>
        <w:gridCol w:w="2277"/>
        <w:gridCol w:w="922"/>
        <w:gridCol w:w="922"/>
        <w:gridCol w:w="922"/>
        <w:gridCol w:w="921"/>
        <w:gridCol w:w="921"/>
        <w:gridCol w:w="921"/>
        <w:gridCol w:w="921"/>
        <w:gridCol w:w="921"/>
        <w:gridCol w:w="921"/>
      </w:tblGrid>
      <w:tr w:rsidR="001D2B1B" w:rsidRPr="008B029F" w14:paraId="689FEBE7" w14:textId="77777777" w:rsidTr="00C92DB6">
        <w:trPr>
          <w:cantSplit/>
          <w:tblHeader/>
        </w:trPr>
        <w:tc>
          <w:tcPr>
            <w:tcW w:w="2102" w:type="dxa"/>
            <w:tcBorders>
              <w:top w:val="nil"/>
              <w:left w:val="nil"/>
              <w:bottom w:val="single" w:sz="4" w:space="0" w:color="000000"/>
              <w:right w:val="nil"/>
            </w:tcBorders>
            <w:shd w:val="clear" w:color="auto" w:fill="FFFFFF"/>
            <w:tcMar>
              <w:left w:w="10" w:type="dxa"/>
              <w:right w:w="10" w:type="dxa"/>
            </w:tcMar>
            <w:vAlign w:val="bottom"/>
          </w:tcPr>
          <w:p w14:paraId="3C818203" w14:textId="77777777" w:rsidR="00AE12A4" w:rsidRPr="008B029F" w:rsidRDefault="00AE12A4" w:rsidP="00AE12A4">
            <w:pPr>
              <w:keepNext/>
              <w:adjustRightInd w:val="0"/>
              <w:spacing w:before="10" w:after="10"/>
              <w:rPr>
                <w:sz w:val="18"/>
                <w:szCs w:val="18"/>
                <w:lang w:val="en-AU"/>
              </w:rPr>
            </w:pPr>
            <w:r w:rsidRPr="008B029F">
              <w:rPr>
                <w:sz w:val="18"/>
                <w:szCs w:val="18"/>
                <w:lang w:val="en-AU"/>
              </w:rPr>
              <w:t>Number of patients at risk</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4F659311"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0</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06C7D530"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3</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3B4A3607"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6</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29078F19"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9</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220982C8"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12</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61EAFE2F"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15</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0F262E83"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18</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46D31E79"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21</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2C44DB5B"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24</w:t>
            </w:r>
          </w:p>
        </w:tc>
      </w:tr>
      <w:tr w:rsidR="001D2B1B" w:rsidRPr="008B029F" w14:paraId="4ED9AF2C" w14:textId="77777777" w:rsidTr="00C92DB6">
        <w:trPr>
          <w:cantSplit/>
        </w:trPr>
        <w:tc>
          <w:tcPr>
            <w:tcW w:w="2102" w:type="dxa"/>
            <w:tcBorders>
              <w:top w:val="nil"/>
              <w:left w:val="nil"/>
              <w:bottom w:val="nil"/>
              <w:right w:val="nil"/>
            </w:tcBorders>
            <w:shd w:val="clear" w:color="auto" w:fill="FFFFFF"/>
            <w:tcMar>
              <w:left w:w="10" w:type="dxa"/>
              <w:right w:w="10" w:type="dxa"/>
            </w:tcMar>
          </w:tcPr>
          <w:p w14:paraId="5A29DF73" w14:textId="77777777" w:rsidR="00AE12A4" w:rsidRPr="008B029F" w:rsidRDefault="00AE12A4" w:rsidP="00AE12A4">
            <w:pPr>
              <w:keepNext/>
              <w:adjustRightInd w:val="0"/>
              <w:spacing w:before="10" w:after="10"/>
              <w:rPr>
                <w:sz w:val="18"/>
                <w:szCs w:val="18"/>
                <w:lang w:val="en-AU"/>
              </w:rPr>
            </w:pPr>
            <w:r w:rsidRPr="008B029F">
              <w:rPr>
                <w:sz w:val="18"/>
                <w:szCs w:val="18"/>
                <w:lang w:val="en-AU"/>
              </w:rPr>
              <w:t>IMFINZI + chemotherapy</w:t>
            </w:r>
          </w:p>
        </w:tc>
        <w:tc>
          <w:tcPr>
            <w:tcW w:w="851" w:type="dxa"/>
            <w:tcBorders>
              <w:top w:val="nil"/>
              <w:left w:val="nil"/>
              <w:bottom w:val="nil"/>
              <w:right w:val="nil"/>
            </w:tcBorders>
            <w:shd w:val="clear" w:color="auto" w:fill="FFFFFF"/>
            <w:tcMar>
              <w:left w:w="10" w:type="dxa"/>
              <w:right w:w="10" w:type="dxa"/>
            </w:tcMar>
          </w:tcPr>
          <w:p w14:paraId="136E1326"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268</w:t>
            </w:r>
          </w:p>
        </w:tc>
        <w:tc>
          <w:tcPr>
            <w:tcW w:w="851" w:type="dxa"/>
            <w:tcBorders>
              <w:top w:val="nil"/>
              <w:left w:val="nil"/>
              <w:bottom w:val="nil"/>
              <w:right w:val="nil"/>
            </w:tcBorders>
            <w:shd w:val="clear" w:color="auto" w:fill="FFFFFF"/>
            <w:tcMar>
              <w:left w:w="10" w:type="dxa"/>
              <w:right w:w="10" w:type="dxa"/>
            </w:tcMar>
          </w:tcPr>
          <w:p w14:paraId="00E16084"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220</w:t>
            </w:r>
          </w:p>
        </w:tc>
        <w:tc>
          <w:tcPr>
            <w:tcW w:w="851" w:type="dxa"/>
            <w:tcBorders>
              <w:top w:val="nil"/>
              <w:left w:val="nil"/>
              <w:bottom w:val="nil"/>
              <w:right w:val="nil"/>
            </w:tcBorders>
            <w:shd w:val="clear" w:color="auto" w:fill="FFFFFF"/>
            <w:tcMar>
              <w:left w:w="10" w:type="dxa"/>
              <w:right w:w="10" w:type="dxa"/>
            </w:tcMar>
          </w:tcPr>
          <w:p w14:paraId="614054E9"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119</w:t>
            </w:r>
          </w:p>
        </w:tc>
        <w:tc>
          <w:tcPr>
            <w:tcW w:w="851" w:type="dxa"/>
            <w:tcBorders>
              <w:top w:val="nil"/>
              <w:left w:val="nil"/>
              <w:bottom w:val="nil"/>
              <w:right w:val="nil"/>
            </w:tcBorders>
            <w:shd w:val="clear" w:color="auto" w:fill="FFFFFF"/>
            <w:tcMar>
              <w:left w:w="10" w:type="dxa"/>
              <w:right w:w="10" w:type="dxa"/>
            </w:tcMar>
          </w:tcPr>
          <w:p w14:paraId="7C0647E2"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54</w:t>
            </w:r>
          </w:p>
        </w:tc>
        <w:tc>
          <w:tcPr>
            <w:tcW w:w="851" w:type="dxa"/>
            <w:tcBorders>
              <w:top w:val="nil"/>
              <w:left w:val="nil"/>
              <w:bottom w:val="nil"/>
              <w:right w:val="nil"/>
            </w:tcBorders>
            <w:shd w:val="clear" w:color="auto" w:fill="FFFFFF"/>
            <w:tcMar>
              <w:left w:w="10" w:type="dxa"/>
              <w:right w:w="10" w:type="dxa"/>
            </w:tcMar>
          </w:tcPr>
          <w:p w14:paraId="18009B38"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34</w:t>
            </w:r>
          </w:p>
        </w:tc>
        <w:tc>
          <w:tcPr>
            <w:tcW w:w="851" w:type="dxa"/>
            <w:tcBorders>
              <w:top w:val="nil"/>
              <w:left w:val="nil"/>
              <w:bottom w:val="nil"/>
              <w:right w:val="nil"/>
            </w:tcBorders>
            <w:shd w:val="clear" w:color="auto" w:fill="FFFFFF"/>
            <w:tcMar>
              <w:left w:w="10" w:type="dxa"/>
              <w:right w:w="10" w:type="dxa"/>
            </w:tcMar>
          </w:tcPr>
          <w:p w14:paraId="6A4F7F65"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22</w:t>
            </w:r>
          </w:p>
        </w:tc>
        <w:tc>
          <w:tcPr>
            <w:tcW w:w="851" w:type="dxa"/>
            <w:tcBorders>
              <w:top w:val="nil"/>
              <w:left w:val="nil"/>
              <w:bottom w:val="nil"/>
              <w:right w:val="nil"/>
            </w:tcBorders>
            <w:shd w:val="clear" w:color="auto" w:fill="FFFFFF"/>
            <w:tcMar>
              <w:left w:w="10" w:type="dxa"/>
              <w:right w:w="10" w:type="dxa"/>
            </w:tcMar>
          </w:tcPr>
          <w:p w14:paraId="06D72D8C"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10</w:t>
            </w:r>
          </w:p>
        </w:tc>
        <w:tc>
          <w:tcPr>
            <w:tcW w:w="851" w:type="dxa"/>
            <w:tcBorders>
              <w:top w:val="nil"/>
              <w:left w:val="nil"/>
              <w:bottom w:val="nil"/>
              <w:right w:val="nil"/>
            </w:tcBorders>
            <w:shd w:val="clear" w:color="auto" w:fill="FFFFFF"/>
            <w:tcMar>
              <w:left w:w="10" w:type="dxa"/>
              <w:right w:w="10" w:type="dxa"/>
            </w:tcMar>
          </w:tcPr>
          <w:p w14:paraId="07FAFDE6"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0</w:t>
            </w:r>
          </w:p>
        </w:tc>
        <w:tc>
          <w:tcPr>
            <w:tcW w:w="851" w:type="dxa"/>
            <w:tcBorders>
              <w:top w:val="nil"/>
              <w:left w:val="nil"/>
              <w:bottom w:val="nil"/>
              <w:right w:val="nil"/>
            </w:tcBorders>
            <w:shd w:val="clear" w:color="auto" w:fill="FFFFFF"/>
            <w:tcMar>
              <w:left w:w="10" w:type="dxa"/>
              <w:right w:w="10" w:type="dxa"/>
            </w:tcMar>
          </w:tcPr>
          <w:p w14:paraId="42EB1036" w14:textId="77777777" w:rsidR="00AE12A4" w:rsidRPr="008B029F" w:rsidRDefault="00AE12A4" w:rsidP="00AE12A4">
            <w:pPr>
              <w:keepNext/>
              <w:adjustRightInd w:val="0"/>
              <w:spacing w:before="10" w:after="10"/>
              <w:jc w:val="center"/>
              <w:rPr>
                <w:sz w:val="18"/>
                <w:szCs w:val="18"/>
                <w:lang w:val="en-AU"/>
              </w:rPr>
            </w:pPr>
            <w:r w:rsidRPr="008B029F">
              <w:rPr>
                <w:sz w:val="18"/>
                <w:szCs w:val="18"/>
                <w:lang w:val="en-AU"/>
              </w:rPr>
              <w:t>0</w:t>
            </w:r>
          </w:p>
        </w:tc>
      </w:tr>
      <w:tr w:rsidR="001D2B1B" w:rsidRPr="008B029F" w14:paraId="17075E17" w14:textId="77777777" w:rsidTr="00C92DB6">
        <w:trPr>
          <w:cantSplit/>
        </w:trPr>
        <w:tc>
          <w:tcPr>
            <w:tcW w:w="2102" w:type="dxa"/>
            <w:tcBorders>
              <w:top w:val="nil"/>
              <w:left w:val="nil"/>
              <w:bottom w:val="nil"/>
              <w:right w:val="nil"/>
            </w:tcBorders>
            <w:shd w:val="clear" w:color="auto" w:fill="FFFFFF"/>
            <w:tcMar>
              <w:left w:w="10" w:type="dxa"/>
              <w:right w:w="10" w:type="dxa"/>
            </w:tcMar>
          </w:tcPr>
          <w:p w14:paraId="102216BC" w14:textId="77777777" w:rsidR="00AE12A4" w:rsidRPr="008B029F" w:rsidRDefault="00AE12A4" w:rsidP="00AE12A4">
            <w:pPr>
              <w:adjustRightInd w:val="0"/>
              <w:spacing w:before="10" w:after="10"/>
              <w:rPr>
                <w:sz w:val="18"/>
                <w:szCs w:val="18"/>
                <w:lang w:val="en-AU"/>
              </w:rPr>
            </w:pPr>
            <w:r w:rsidRPr="008B029F">
              <w:rPr>
                <w:sz w:val="18"/>
                <w:szCs w:val="18"/>
                <w:lang w:val="en-AU"/>
              </w:rPr>
              <w:t>chemotherapy</w:t>
            </w:r>
          </w:p>
        </w:tc>
        <w:tc>
          <w:tcPr>
            <w:tcW w:w="851" w:type="dxa"/>
            <w:tcBorders>
              <w:top w:val="nil"/>
              <w:left w:val="nil"/>
              <w:bottom w:val="nil"/>
              <w:right w:val="nil"/>
            </w:tcBorders>
            <w:shd w:val="clear" w:color="auto" w:fill="FFFFFF"/>
            <w:tcMar>
              <w:left w:w="10" w:type="dxa"/>
              <w:right w:w="10" w:type="dxa"/>
            </w:tcMar>
          </w:tcPr>
          <w:p w14:paraId="06CEE56B"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269</w:t>
            </w:r>
          </w:p>
        </w:tc>
        <w:tc>
          <w:tcPr>
            <w:tcW w:w="851" w:type="dxa"/>
            <w:tcBorders>
              <w:top w:val="nil"/>
              <w:left w:val="nil"/>
              <w:bottom w:val="nil"/>
              <w:right w:val="nil"/>
            </w:tcBorders>
            <w:shd w:val="clear" w:color="auto" w:fill="FFFFFF"/>
            <w:tcMar>
              <w:left w:w="10" w:type="dxa"/>
              <w:right w:w="10" w:type="dxa"/>
            </w:tcMar>
          </w:tcPr>
          <w:p w14:paraId="4A43F969"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194</w:t>
            </w:r>
          </w:p>
        </w:tc>
        <w:tc>
          <w:tcPr>
            <w:tcW w:w="851" w:type="dxa"/>
            <w:tcBorders>
              <w:top w:val="nil"/>
              <w:left w:val="nil"/>
              <w:bottom w:val="nil"/>
              <w:right w:val="nil"/>
            </w:tcBorders>
            <w:shd w:val="clear" w:color="auto" w:fill="FFFFFF"/>
            <w:tcMar>
              <w:left w:w="10" w:type="dxa"/>
              <w:right w:w="10" w:type="dxa"/>
            </w:tcMar>
          </w:tcPr>
          <w:p w14:paraId="2CC40C2F"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109</w:t>
            </w:r>
          </w:p>
        </w:tc>
        <w:tc>
          <w:tcPr>
            <w:tcW w:w="851" w:type="dxa"/>
            <w:tcBorders>
              <w:top w:val="nil"/>
              <w:left w:val="nil"/>
              <w:bottom w:val="nil"/>
              <w:right w:val="nil"/>
            </w:tcBorders>
            <w:shd w:val="clear" w:color="auto" w:fill="FFFFFF"/>
            <w:tcMar>
              <w:left w:w="10" w:type="dxa"/>
              <w:right w:w="10" w:type="dxa"/>
            </w:tcMar>
          </w:tcPr>
          <w:p w14:paraId="78143525"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30</w:t>
            </w:r>
          </w:p>
        </w:tc>
        <w:tc>
          <w:tcPr>
            <w:tcW w:w="851" w:type="dxa"/>
            <w:tcBorders>
              <w:top w:val="nil"/>
              <w:left w:val="nil"/>
              <w:bottom w:val="nil"/>
              <w:right w:val="nil"/>
            </w:tcBorders>
            <w:shd w:val="clear" w:color="auto" w:fill="FFFFFF"/>
            <w:tcMar>
              <w:left w:w="10" w:type="dxa"/>
              <w:right w:w="10" w:type="dxa"/>
            </w:tcMar>
          </w:tcPr>
          <w:p w14:paraId="3A47D6FC"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9</w:t>
            </w:r>
          </w:p>
        </w:tc>
        <w:tc>
          <w:tcPr>
            <w:tcW w:w="851" w:type="dxa"/>
            <w:tcBorders>
              <w:top w:val="nil"/>
              <w:left w:val="nil"/>
              <w:bottom w:val="nil"/>
              <w:right w:val="nil"/>
            </w:tcBorders>
            <w:shd w:val="clear" w:color="auto" w:fill="FFFFFF"/>
            <w:tcMar>
              <w:left w:w="10" w:type="dxa"/>
              <w:right w:w="10" w:type="dxa"/>
            </w:tcMar>
          </w:tcPr>
          <w:p w14:paraId="710F55D7"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7</w:t>
            </w:r>
          </w:p>
        </w:tc>
        <w:tc>
          <w:tcPr>
            <w:tcW w:w="851" w:type="dxa"/>
            <w:tcBorders>
              <w:top w:val="nil"/>
              <w:left w:val="nil"/>
              <w:bottom w:val="nil"/>
              <w:right w:val="nil"/>
            </w:tcBorders>
            <w:shd w:val="clear" w:color="auto" w:fill="FFFFFF"/>
            <w:tcMar>
              <w:left w:w="10" w:type="dxa"/>
              <w:right w:w="10" w:type="dxa"/>
            </w:tcMar>
          </w:tcPr>
          <w:p w14:paraId="745D0034"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0</w:t>
            </w:r>
          </w:p>
        </w:tc>
        <w:tc>
          <w:tcPr>
            <w:tcW w:w="851" w:type="dxa"/>
            <w:tcBorders>
              <w:top w:val="nil"/>
              <w:left w:val="nil"/>
              <w:bottom w:val="nil"/>
              <w:right w:val="nil"/>
            </w:tcBorders>
            <w:shd w:val="clear" w:color="auto" w:fill="FFFFFF"/>
            <w:tcMar>
              <w:left w:w="10" w:type="dxa"/>
              <w:right w:w="10" w:type="dxa"/>
            </w:tcMar>
          </w:tcPr>
          <w:p w14:paraId="2EDDC8B2"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0</w:t>
            </w:r>
          </w:p>
        </w:tc>
        <w:tc>
          <w:tcPr>
            <w:tcW w:w="851" w:type="dxa"/>
            <w:tcBorders>
              <w:top w:val="nil"/>
              <w:left w:val="nil"/>
              <w:bottom w:val="nil"/>
              <w:right w:val="nil"/>
            </w:tcBorders>
            <w:shd w:val="clear" w:color="auto" w:fill="FFFFFF"/>
            <w:tcMar>
              <w:left w:w="10" w:type="dxa"/>
              <w:right w:w="10" w:type="dxa"/>
            </w:tcMar>
          </w:tcPr>
          <w:p w14:paraId="0D692D9B" w14:textId="77777777" w:rsidR="00AE12A4" w:rsidRPr="008B029F" w:rsidRDefault="00AE12A4" w:rsidP="00AE12A4">
            <w:pPr>
              <w:adjustRightInd w:val="0"/>
              <w:spacing w:before="10" w:after="10"/>
              <w:jc w:val="center"/>
              <w:rPr>
                <w:sz w:val="18"/>
                <w:szCs w:val="18"/>
                <w:lang w:val="en-AU"/>
              </w:rPr>
            </w:pPr>
            <w:r w:rsidRPr="008B029F">
              <w:rPr>
                <w:sz w:val="18"/>
                <w:szCs w:val="18"/>
                <w:lang w:val="en-AU"/>
              </w:rPr>
              <w:t>0</w:t>
            </w:r>
          </w:p>
        </w:tc>
      </w:tr>
    </w:tbl>
    <w:p w14:paraId="10457FD1" w14:textId="39390D96" w:rsidR="00AE12A4" w:rsidRPr="008B029F" w:rsidRDefault="00AE12A4" w:rsidP="00100A9B">
      <w:pPr>
        <w:keepNext/>
        <w:autoSpaceDE w:val="0"/>
        <w:autoSpaceDN w:val="0"/>
        <w:adjustRightInd w:val="0"/>
        <w:rPr>
          <w:lang w:val="en-AU" w:eastAsia="en-GB"/>
        </w:rPr>
      </w:pPr>
      <w:r w:rsidRPr="008B029F">
        <w:rPr>
          <w:noProof/>
          <w:color w:val="2B579A"/>
          <w:shd w:val="clear" w:color="auto" w:fill="E6E6E6"/>
          <w:lang w:val="en-AU"/>
        </w:rPr>
        <w:drawing>
          <wp:inline distT="0" distB="0" distL="0" distR="0" wp14:anchorId="40461731" wp14:editId="411E0F2D">
            <wp:extent cx="6234430" cy="2712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6928" cy="2717718"/>
                    </a:xfrm>
                    <a:prstGeom prst="rect">
                      <a:avLst/>
                    </a:prstGeom>
                  </pic:spPr>
                </pic:pic>
              </a:graphicData>
            </a:graphic>
          </wp:inline>
        </w:drawing>
      </w:r>
    </w:p>
    <w:p w14:paraId="7580A5F4" w14:textId="77777777" w:rsidR="00C92DB6" w:rsidRPr="008B029F" w:rsidRDefault="00C92DB6" w:rsidP="00EB701E">
      <w:pPr>
        <w:pStyle w:val="Paragraph"/>
        <w:rPr>
          <w:i/>
          <w:lang w:val="en-AU"/>
        </w:rPr>
      </w:pPr>
    </w:p>
    <w:p w14:paraId="096DE8BE" w14:textId="4B8A9C58" w:rsidR="00100A9B" w:rsidRPr="008B029F" w:rsidRDefault="00100A9B" w:rsidP="000C7318">
      <w:pPr>
        <w:pStyle w:val="Heading5unnumbered"/>
        <w:rPr>
          <w:lang w:val="en-AU"/>
        </w:rPr>
      </w:pPr>
      <w:r w:rsidRPr="008B029F">
        <w:rPr>
          <w:lang w:val="en-AU"/>
        </w:rPr>
        <w:t>Subgroup analysis</w:t>
      </w:r>
    </w:p>
    <w:p w14:paraId="588666F0" w14:textId="20D5893A" w:rsidR="00100A9B" w:rsidRPr="008B029F" w:rsidRDefault="00100A9B" w:rsidP="000C7318">
      <w:pPr>
        <w:pStyle w:val="Paragraph"/>
        <w:rPr>
          <w:lang w:val="en-AU"/>
        </w:rPr>
      </w:pPr>
      <w:r w:rsidRPr="008B029F">
        <w:rPr>
          <w:lang w:val="en-AU"/>
        </w:rPr>
        <w:t xml:space="preserve">The improvements in OS in </w:t>
      </w:r>
      <w:r w:rsidR="00242F61" w:rsidRPr="008B029F">
        <w:rPr>
          <w:lang w:val="en-AU"/>
        </w:rPr>
        <w:t>favour</w:t>
      </w:r>
      <w:r w:rsidRPr="008B029F">
        <w:rPr>
          <w:lang w:val="en-AU"/>
        </w:rPr>
        <w:t xml:space="preserve"> of patients receiving IMFINZI + chemotherapy compared to those receiving chemotherapy alone, were consistently observed across the prespecified subgroups </w:t>
      </w:r>
      <w:r w:rsidRPr="008B029F">
        <w:rPr>
          <w:lang w:val="en-AU"/>
        </w:rPr>
        <w:lastRenderedPageBreak/>
        <w:t>based on demographics, geographical region, carboplatin or cisplatin use and disease characteristics.</w:t>
      </w:r>
    </w:p>
    <w:p w14:paraId="1C08D532" w14:textId="1F9CB7FC" w:rsidR="00100A9B" w:rsidRPr="008B029F" w:rsidRDefault="00100A9B" w:rsidP="000C7318">
      <w:pPr>
        <w:pStyle w:val="Heading5unnumbered"/>
        <w:rPr>
          <w:lang w:val="en-AU"/>
        </w:rPr>
      </w:pPr>
      <w:r w:rsidRPr="008B029F">
        <w:rPr>
          <w:lang w:val="en-AU"/>
        </w:rPr>
        <w:t>Change from baseline in lung cancer symptoms over 12 months (mixed model for repeated measures)</w:t>
      </w:r>
    </w:p>
    <w:p w14:paraId="19E7981D" w14:textId="0F7A022E" w:rsidR="00100A9B" w:rsidRPr="008B029F" w:rsidRDefault="00100A9B" w:rsidP="000C7318">
      <w:pPr>
        <w:pStyle w:val="Paragraph"/>
        <w:rPr>
          <w:lang w:val="en-AU"/>
        </w:rPr>
      </w:pPr>
      <w:r w:rsidRPr="008B029F">
        <w:rPr>
          <w:lang w:val="en-AU"/>
        </w:rPr>
        <w:t>IMFINZI + chemotherapy improved appetite loss by demonstrating a statistically significant difference in mean change from baseline versus chemotherapy alone during the overall time period from randomi</w:t>
      </w:r>
      <w:r w:rsidR="00962129" w:rsidRPr="008B029F">
        <w:rPr>
          <w:lang w:val="en-AU"/>
        </w:rPr>
        <w:t>s</w:t>
      </w:r>
      <w:r w:rsidRPr="008B029F">
        <w:rPr>
          <w:lang w:val="en-AU"/>
        </w:rPr>
        <w:t xml:space="preserve">ation until 12 months (Estimated mean difference -4.5; 99% CI -9.04, -0.04; p=0.009). Both treatment arms demonstrated numerical symptom reduction in cough, chest pain, </w:t>
      </w:r>
      <w:r w:rsidR="00962129" w:rsidRPr="008B029F">
        <w:rPr>
          <w:lang w:val="en-AU"/>
        </w:rPr>
        <w:t>dyspnoea</w:t>
      </w:r>
      <w:r w:rsidRPr="008B029F">
        <w:rPr>
          <w:lang w:val="en-AU"/>
        </w:rPr>
        <w:t xml:space="preserve"> and fatigue over the same time period.</w:t>
      </w:r>
    </w:p>
    <w:p w14:paraId="64C345CF" w14:textId="7A11DD5D" w:rsidR="00100A9B" w:rsidRPr="008B029F" w:rsidRDefault="00100A9B" w:rsidP="000C7318">
      <w:pPr>
        <w:pStyle w:val="Paragraph"/>
        <w:rPr>
          <w:lang w:val="en-AU"/>
        </w:rPr>
      </w:pPr>
      <w:r w:rsidRPr="008B029F">
        <w:rPr>
          <w:lang w:val="en-AU"/>
        </w:rPr>
        <w:t>Patient-reported outcome results should be interpreted in the context of the open-label study design.</w:t>
      </w:r>
    </w:p>
    <w:p w14:paraId="1A663C36" w14:textId="1ABE1AEB" w:rsidR="001A5E36" w:rsidRPr="008B029F" w:rsidRDefault="001A5E36" w:rsidP="000C7318">
      <w:pPr>
        <w:pStyle w:val="Paragraph"/>
        <w:rPr>
          <w:lang w:val="en-AU"/>
        </w:rPr>
      </w:pPr>
      <w:r w:rsidRPr="008B029F">
        <w:rPr>
          <w:lang w:val="en-AU"/>
        </w:rPr>
        <w:t xml:space="preserve">In the exploratory subgroup analyses of OS based on the planned platinum chemotherapy received at cycle 1, the HR was 0.70 (95% CI 0.55, 0.89) in patients who received carboplatin, and the HR was 0.88 (95% CI 0.55, 1.41) in patients who received cisplatin. </w:t>
      </w:r>
    </w:p>
    <w:p w14:paraId="7CC1F000" w14:textId="3D4319F7" w:rsidR="00024A01" w:rsidRPr="008B029F" w:rsidRDefault="00454C76" w:rsidP="00024A01">
      <w:pPr>
        <w:pStyle w:val="Heading4Unnumbered"/>
        <w:rPr>
          <w:lang w:val="en-AU"/>
        </w:rPr>
      </w:pPr>
      <w:r w:rsidRPr="008B029F">
        <w:rPr>
          <w:lang w:val="en-AU"/>
        </w:rPr>
        <w:t xml:space="preserve">Malignant </w:t>
      </w:r>
      <w:r w:rsidR="00000810" w:rsidRPr="008B029F">
        <w:rPr>
          <w:lang w:val="en-AU"/>
        </w:rPr>
        <w:t>p</w:t>
      </w:r>
      <w:r w:rsidRPr="008B029F">
        <w:rPr>
          <w:lang w:val="en-AU"/>
        </w:rPr>
        <w:t xml:space="preserve">leural </w:t>
      </w:r>
      <w:r w:rsidR="00000810" w:rsidRPr="008B029F">
        <w:rPr>
          <w:lang w:val="en-AU"/>
        </w:rPr>
        <w:t>m</w:t>
      </w:r>
      <w:r w:rsidRPr="008B029F">
        <w:rPr>
          <w:lang w:val="en-AU"/>
        </w:rPr>
        <w:t>esothelioma (MPM)</w:t>
      </w:r>
    </w:p>
    <w:p w14:paraId="228904CF" w14:textId="77777777" w:rsidR="00454C76" w:rsidRPr="008B029F" w:rsidRDefault="00454C76" w:rsidP="000C7318">
      <w:pPr>
        <w:pStyle w:val="Heading5unnumbered"/>
        <w:rPr>
          <w:lang w:val="en-AU"/>
        </w:rPr>
      </w:pPr>
      <w:r w:rsidRPr="008B029F">
        <w:rPr>
          <w:lang w:val="en-AU"/>
        </w:rPr>
        <w:t>PrE0505 study</w:t>
      </w:r>
    </w:p>
    <w:p w14:paraId="7D8A4480" w14:textId="5247F87D" w:rsidR="00454C76" w:rsidRPr="008B029F" w:rsidRDefault="00454C76" w:rsidP="002718E0">
      <w:pPr>
        <w:pStyle w:val="Paragraph"/>
        <w:rPr>
          <w:lang w:val="en-AU"/>
        </w:rPr>
      </w:pPr>
      <w:bookmarkStart w:id="60" w:name="_Hlk76633553"/>
      <w:bookmarkStart w:id="61" w:name="_Hlk76564470"/>
      <w:r w:rsidRPr="008B029F">
        <w:rPr>
          <w:lang w:val="en-AU"/>
        </w:rPr>
        <w:t xml:space="preserve">The efficacy of IMFINZI in combination with pemetrexed and cisplatin or carboplatin was evaluated in the PrE0505 </w:t>
      </w:r>
      <w:r w:rsidR="00000810" w:rsidRPr="008B029F">
        <w:rPr>
          <w:lang w:val="en-AU"/>
        </w:rPr>
        <w:t>s</w:t>
      </w:r>
      <w:r w:rsidRPr="008B029F">
        <w:rPr>
          <w:lang w:val="en-AU"/>
        </w:rPr>
        <w:t>tudy; an open-label, single arm, multicent</w:t>
      </w:r>
      <w:r w:rsidR="000C7318" w:rsidRPr="008B029F">
        <w:rPr>
          <w:lang w:val="en-AU"/>
        </w:rPr>
        <w:t>re</w:t>
      </w:r>
      <w:r w:rsidRPr="008B029F">
        <w:rPr>
          <w:lang w:val="en-AU"/>
        </w:rPr>
        <w:t xml:space="preserve"> Phase II study in 55 treatment naïve patients with surgically unresectable MPM. </w:t>
      </w:r>
    </w:p>
    <w:p w14:paraId="3C72D165" w14:textId="402DF1A2" w:rsidR="00454C76" w:rsidRPr="008B029F" w:rsidRDefault="00454C76" w:rsidP="00454C76">
      <w:pPr>
        <w:pStyle w:val="Paragraph"/>
        <w:rPr>
          <w:lang w:val="en-AU"/>
        </w:rPr>
      </w:pPr>
      <w:r w:rsidRPr="008B029F">
        <w:rPr>
          <w:lang w:val="en-AU"/>
        </w:rPr>
        <w:t xml:space="preserve">Patients with measurable disease, ECOG performance status of 0 or 1, adequate organ function and baseline tumour specimen were included. All histological subtypes were eligible. </w:t>
      </w:r>
    </w:p>
    <w:p w14:paraId="1BD7E2F0" w14:textId="2E14B27F" w:rsidR="00454C76" w:rsidRPr="008B029F" w:rsidRDefault="00454C76" w:rsidP="002718E0">
      <w:pPr>
        <w:pStyle w:val="Paragraph"/>
        <w:rPr>
          <w:lang w:val="en-AU"/>
        </w:rPr>
      </w:pPr>
      <w:r w:rsidRPr="008B029F">
        <w:rPr>
          <w:lang w:val="en-AU"/>
        </w:rPr>
        <w:t>The study excluded patients with prior chemotherapy or other systemic anti-cancer or immunotherapy for MPM; active, known or suspected autoimmune disease; any condition requiring systemic treatment with either corticosteroids (&gt;10</w:t>
      </w:r>
      <w:r w:rsidR="00000810" w:rsidRPr="008B029F">
        <w:rPr>
          <w:lang w:val="en-AU"/>
        </w:rPr>
        <w:t> </w:t>
      </w:r>
      <w:r w:rsidRPr="008B029F">
        <w:rPr>
          <w:lang w:val="en-AU"/>
        </w:rPr>
        <w:t>mg daily prednisone or equivalent dose of an alternative corticosteroid) or other immunosuppressive medications within 28 days of</w:t>
      </w:r>
      <w:r w:rsidR="003B55CC" w:rsidRPr="008B029F">
        <w:rPr>
          <w:lang w:val="en-AU"/>
        </w:rPr>
        <w:t xml:space="preserve"> </w:t>
      </w:r>
      <w:r w:rsidRPr="008B029F">
        <w:rPr>
          <w:lang w:val="en-AU"/>
        </w:rPr>
        <w:t>durvalumab</w:t>
      </w:r>
      <w:r w:rsidR="003B55CC" w:rsidRPr="008B029F">
        <w:rPr>
          <w:lang w:val="en-AU"/>
        </w:rPr>
        <w:t xml:space="preserve"> </w:t>
      </w:r>
      <w:r w:rsidRPr="008B029F">
        <w:rPr>
          <w:lang w:val="en-AU"/>
        </w:rPr>
        <w:t>administration;</w:t>
      </w:r>
      <w:r w:rsidR="003B55CC" w:rsidRPr="008B029F">
        <w:rPr>
          <w:lang w:val="en-AU"/>
        </w:rPr>
        <w:t xml:space="preserve"> </w:t>
      </w:r>
      <w:r w:rsidRPr="008B029F">
        <w:rPr>
          <w:lang w:val="en-AU"/>
        </w:rPr>
        <w:t xml:space="preserve">symptomatic or uncontrolled brain metastases or leptomeningeal disease. </w:t>
      </w:r>
    </w:p>
    <w:p w14:paraId="1607EA48" w14:textId="6B1078DE" w:rsidR="00454C76" w:rsidRPr="008B029F" w:rsidRDefault="00454C76" w:rsidP="002718E0">
      <w:pPr>
        <w:pStyle w:val="Paragraph"/>
        <w:rPr>
          <w:lang w:val="en-AU"/>
        </w:rPr>
      </w:pPr>
      <w:r w:rsidRPr="008B029F">
        <w:rPr>
          <w:lang w:val="en-AU"/>
        </w:rPr>
        <w:t>Patients received durvalumab (1120</w:t>
      </w:r>
      <w:r w:rsidR="00000810" w:rsidRPr="008B029F">
        <w:rPr>
          <w:lang w:val="en-AU"/>
        </w:rPr>
        <w:t> </w:t>
      </w:r>
      <w:r w:rsidRPr="008B029F">
        <w:rPr>
          <w:lang w:val="en-AU"/>
        </w:rPr>
        <w:t>mg), cisplatin (75</w:t>
      </w:r>
      <w:r w:rsidR="00000810" w:rsidRPr="008B029F">
        <w:rPr>
          <w:lang w:val="en-AU"/>
        </w:rPr>
        <w:t> </w:t>
      </w:r>
      <w:r w:rsidRPr="008B029F">
        <w:rPr>
          <w:lang w:val="en-AU"/>
        </w:rPr>
        <w:t>mg/m</w:t>
      </w:r>
      <w:r w:rsidRPr="008B029F">
        <w:rPr>
          <w:vertAlign w:val="superscript"/>
          <w:lang w:val="en-AU"/>
        </w:rPr>
        <w:t>2</w:t>
      </w:r>
      <w:r w:rsidRPr="008B029F">
        <w:rPr>
          <w:lang w:val="en-AU"/>
        </w:rPr>
        <w:t>) and pemetrexed (500</w:t>
      </w:r>
      <w:r w:rsidR="00000810" w:rsidRPr="008B029F">
        <w:rPr>
          <w:lang w:val="en-AU"/>
        </w:rPr>
        <w:t> </w:t>
      </w:r>
      <w:r w:rsidRPr="008B029F">
        <w:rPr>
          <w:lang w:val="en-AU"/>
        </w:rPr>
        <w:t>mg/m</w:t>
      </w:r>
      <w:r w:rsidRPr="008B029F">
        <w:rPr>
          <w:vertAlign w:val="superscript"/>
          <w:lang w:val="en-AU"/>
        </w:rPr>
        <w:t>2</w:t>
      </w:r>
      <w:r w:rsidRPr="008B029F">
        <w:rPr>
          <w:lang w:val="en-AU"/>
        </w:rPr>
        <w:t>) 3-weekly for a maximum of 6 cycles, followed by durvalumab alone (1120</w:t>
      </w:r>
      <w:r w:rsidR="00000810" w:rsidRPr="008B029F">
        <w:rPr>
          <w:lang w:val="en-AU"/>
        </w:rPr>
        <w:t> </w:t>
      </w:r>
      <w:r w:rsidRPr="008B029F">
        <w:rPr>
          <w:lang w:val="en-AU"/>
        </w:rPr>
        <w:t>mg 3-weekly) until progression, unacceptable toxicity or up to 12 months total therapy. Use of carboplatin (AUC 5) in place of cisplatin was permitted for patients with baseline hearing or renal impairment or, for patients experiencing cisplatin related toxicity. The initial 6 patients were monitored for dose-limiting toxicities and an interim safety analysis on the first 15 patients who completed 2 cycles of therapy was also completed.</w:t>
      </w:r>
    </w:p>
    <w:p w14:paraId="2845A642" w14:textId="77777777" w:rsidR="00454C76" w:rsidRPr="008B029F" w:rsidRDefault="00454C76" w:rsidP="002718E0">
      <w:pPr>
        <w:pStyle w:val="Paragraph"/>
        <w:rPr>
          <w:lang w:val="en-AU"/>
        </w:rPr>
      </w:pPr>
      <w:r w:rsidRPr="008B029F">
        <w:rPr>
          <w:lang w:val="en-AU"/>
        </w:rPr>
        <w:t>Tumour assessments were conducted every 6 weeks when IMFINZI + chemotherapy was administered and then every 9 weeks until confirmed objective disease progression. Survival assessments were conducted every 3 months following treatment discontinuation.</w:t>
      </w:r>
    </w:p>
    <w:bookmarkEnd w:id="60"/>
    <w:p w14:paraId="362D48EF" w14:textId="16B04329" w:rsidR="00454C76" w:rsidRPr="008B029F" w:rsidRDefault="00454C76" w:rsidP="002718E0">
      <w:pPr>
        <w:pStyle w:val="Paragraph"/>
        <w:rPr>
          <w:lang w:val="en-AU"/>
        </w:rPr>
      </w:pPr>
      <w:r w:rsidRPr="008B029F">
        <w:rPr>
          <w:lang w:val="en-AU"/>
        </w:rPr>
        <w:t>The primary endpoint of the study was OS. The secondary endpoints included (PFS, ORR and DoR. PFS and ORR were assessed using Investigator assessments according to modified RECIST for mesothelioma.</w:t>
      </w:r>
    </w:p>
    <w:p w14:paraId="663864BF" w14:textId="77777777" w:rsidR="00454C76" w:rsidRPr="008B029F" w:rsidRDefault="00454C76" w:rsidP="002718E0">
      <w:pPr>
        <w:pStyle w:val="Paragraph"/>
        <w:rPr>
          <w:lang w:val="en-AU"/>
        </w:rPr>
      </w:pPr>
      <w:r w:rsidRPr="008B029F">
        <w:rPr>
          <w:lang w:val="en-AU"/>
        </w:rPr>
        <w:lastRenderedPageBreak/>
        <w:t>The baseline demographics of the overall study population were as follows: male (81.8%), median age 70 years (range: 35 to 83 years), ECOG PS 0 (40%), ECOG PS 1 (60%), epithelioid histology (74.5%), sarcomatoid histology (12.7%), biphasic histology (10.9%) and other histology (1.8%).</w:t>
      </w:r>
    </w:p>
    <w:p w14:paraId="21F7AA15" w14:textId="77777777" w:rsidR="00454C76" w:rsidRPr="008B029F" w:rsidRDefault="00454C76" w:rsidP="002718E0">
      <w:pPr>
        <w:pStyle w:val="Paragraph"/>
        <w:rPr>
          <w:lang w:val="en-AU"/>
        </w:rPr>
      </w:pPr>
      <w:r w:rsidRPr="008B029F">
        <w:rPr>
          <w:lang w:val="en-AU"/>
        </w:rPr>
        <w:t xml:space="preserve">Although patients with non-epithelioid histology were enrolled in the trial, IMFINZI is not indicated in non-epithelioid patients. </w:t>
      </w:r>
    </w:p>
    <w:p w14:paraId="3544B063" w14:textId="6C7BE333" w:rsidR="00AD01EC" w:rsidRPr="008B029F" w:rsidRDefault="00454C76" w:rsidP="002718E0">
      <w:pPr>
        <w:pStyle w:val="Paragraph"/>
        <w:rPr>
          <w:lang w:val="en-AU"/>
        </w:rPr>
      </w:pPr>
      <w:r w:rsidRPr="008B029F">
        <w:rPr>
          <w:lang w:val="en-AU"/>
        </w:rPr>
        <w:t>The study met its primary endpoint in the ITT population with a median OS of 20.4 months (95% CI: 13.0, 28.5) and a p-value of 0.0014 when compared to the historical control (12.1 months, Vogelzang et al, 2003). In the epithelioid histology subgroup, a median OS of 24.3 months (95% CI: 18.4, NR) was observed. Efficacy results for the epithelioid subgroup are summarised in</w:t>
      </w:r>
      <w:r w:rsidR="005C3540" w:rsidRPr="008B029F">
        <w:rPr>
          <w:lang w:val="en-AU"/>
        </w:rPr>
        <w:t xml:space="preserve"> </w:t>
      </w:r>
      <w:r w:rsidR="008979A6" w:rsidRPr="008B029F">
        <w:rPr>
          <w:color w:val="2B579A"/>
          <w:shd w:val="clear" w:color="auto" w:fill="E6E6E6"/>
          <w:lang w:val="en-AU"/>
        </w:rPr>
        <w:fldChar w:fldCharType="begin"/>
      </w:r>
      <w:r w:rsidR="008979A6" w:rsidRPr="008B029F">
        <w:rPr>
          <w:lang w:val="en-AU"/>
        </w:rPr>
        <w:instrText xml:space="preserve"> REF _Ref120539923 \h </w:instrText>
      </w:r>
      <w:r w:rsidR="002718E0" w:rsidRPr="008B029F">
        <w:rPr>
          <w:lang w:val="en-AU"/>
        </w:rPr>
        <w:instrText xml:space="preserve"> \* MERGEFORMAT </w:instrText>
      </w:r>
      <w:r w:rsidR="008979A6" w:rsidRPr="008B029F">
        <w:rPr>
          <w:color w:val="2B579A"/>
          <w:shd w:val="clear" w:color="auto" w:fill="E6E6E6"/>
          <w:lang w:val="en-AU"/>
        </w:rPr>
      </w:r>
      <w:r w:rsidR="008979A6" w:rsidRPr="008B029F">
        <w:rPr>
          <w:color w:val="2B579A"/>
          <w:shd w:val="clear" w:color="auto" w:fill="E6E6E6"/>
          <w:lang w:val="en-AU"/>
        </w:rPr>
        <w:fldChar w:fldCharType="separate"/>
      </w:r>
      <w:r w:rsidR="009773EE" w:rsidRPr="008B029F">
        <w:rPr>
          <w:lang w:val="en-AU"/>
        </w:rPr>
        <w:t>Table 18</w:t>
      </w:r>
      <w:r w:rsidR="008979A6" w:rsidRPr="008B029F">
        <w:rPr>
          <w:color w:val="2B579A"/>
          <w:shd w:val="clear" w:color="auto" w:fill="E6E6E6"/>
          <w:lang w:val="en-AU"/>
        </w:rPr>
        <w:fldChar w:fldCharType="end"/>
      </w:r>
      <w:r w:rsidRPr="008B029F">
        <w:rPr>
          <w:lang w:val="en-AU"/>
        </w:rPr>
        <w:t>. The Kaplan-Meier curve for OS and PFS for the epithelioid subgroup are prese</w:t>
      </w:r>
      <w:r w:rsidR="005C3540" w:rsidRPr="008B029F">
        <w:rPr>
          <w:lang w:val="en-AU"/>
        </w:rPr>
        <w:t xml:space="preserve">nted in </w:t>
      </w:r>
      <w:r w:rsidR="005C3540" w:rsidRPr="008B029F">
        <w:rPr>
          <w:color w:val="2B579A"/>
          <w:shd w:val="clear" w:color="auto" w:fill="E6E6E6"/>
          <w:lang w:val="en-AU"/>
        </w:rPr>
        <w:fldChar w:fldCharType="begin"/>
      </w:r>
      <w:r w:rsidR="005C3540" w:rsidRPr="008B029F">
        <w:rPr>
          <w:lang w:val="en-AU"/>
        </w:rPr>
        <w:instrText xml:space="preserve"> REF _Ref77673721 \h </w:instrText>
      </w:r>
      <w:r w:rsidR="00B64932" w:rsidRPr="008B029F">
        <w:rPr>
          <w:color w:val="2B579A"/>
          <w:shd w:val="clear" w:color="auto" w:fill="E6E6E6"/>
          <w:lang w:val="en-AU"/>
        </w:rPr>
        <w:instrText xml:space="preserve"> \* MERGEFORMAT </w:instrText>
      </w:r>
      <w:r w:rsidR="005C3540" w:rsidRPr="008B029F">
        <w:rPr>
          <w:color w:val="2B579A"/>
          <w:shd w:val="clear" w:color="auto" w:fill="E6E6E6"/>
          <w:lang w:val="en-AU"/>
        </w:rPr>
      </w:r>
      <w:r w:rsidR="005C3540" w:rsidRPr="008B029F">
        <w:rPr>
          <w:color w:val="2B579A"/>
          <w:shd w:val="clear" w:color="auto" w:fill="E6E6E6"/>
          <w:lang w:val="en-AU"/>
        </w:rPr>
        <w:fldChar w:fldCharType="separate"/>
      </w:r>
      <w:r w:rsidR="009773EE" w:rsidRPr="008B029F">
        <w:rPr>
          <w:lang w:val="en-AU"/>
        </w:rPr>
        <w:t xml:space="preserve">Figure </w:t>
      </w:r>
      <w:r w:rsidR="009773EE" w:rsidRPr="008B029F">
        <w:rPr>
          <w:noProof/>
          <w:lang w:val="en-AU"/>
        </w:rPr>
        <w:t>7</w:t>
      </w:r>
      <w:r w:rsidR="005C3540" w:rsidRPr="008B029F">
        <w:rPr>
          <w:color w:val="2B579A"/>
          <w:shd w:val="clear" w:color="auto" w:fill="E6E6E6"/>
          <w:lang w:val="en-AU"/>
        </w:rPr>
        <w:fldChar w:fldCharType="end"/>
      </w:r>
      <w:r w:rsidR="005C3540" w:rsidRPr="008B029F">
        <w:rPr>
          <w:lang w:val="en-AU"/>
        </w:rPr>
        <w:t xml:space="preserve"> and </w:t>
      </w:r>
      <w:r w:rsidR="005C3540" w:rsidRPr="008B029F">
        <w:rPr>
          <w:color w:val="2B579A"/>
          <w:shd w:val="clear" w:color="auto" w:fill="E6E6E6"/>
          <w:lang w:val="en-AU"/>
        </w:rPr>
        <w:fldChar w:fldCharType="begin"/>
      </w:r>
      <w:r w:rsidR="005C3540" w:rsidRPr="008B029F">
        <w:rPr>
          <w:lang w:val="en-AU"/>
        </w:rPr>
        <w:instrText xml:space="preserve"> REF _Ref120616308 \h </w:instrText>
      </w:r>
      <w:r w:rsidR="00B64932" w:rsidRPr="008B029F">
        <w:rPr>
          <w:color w:val="2B579A"/>
          <w:shd w:val="clear" w:color="auto" w:fill="E6E6E6"/>
          <w:lang w:val="en-AU"/>
        </w:rPr>
        <w:instrText xml:space="preserve"> \* MERGEFORMAT </w:instrText>
      </w:r>
      <w:r w:rsidR="005C3540" w:rsidRPr="008B029F">
        <w:rPr>
          <w:color w:val="2B579A"/>
          <w:shd w:val="clear" w:color="auto" w:fill="E6E6E6"/>
          <w:lang w:val="en-AU"/>
        </w:rPr>
      </w:r>
      <w:r w:rsidR="005C3540" w:rsidRPr="008B029F">
        <w:rPr>
          <w:color w:val="2B579A"/>
          <w:shd w:val="clear" w:color="auto" w:fill="E6E6E6"/>
          <w:lang w:val="en-AU"/>
        </w:rPr>
        <w:fldChar w:fldCharType="separate"/>
      </w:r>
      <w:r w:rsidR="009773EE" w:rsidRPr="008B029F">
        <w:rPr>
          <w:lang w:val="en-AU"/>
        </w:rPr>
        <w:t xml:space="preserve">Figure </w:t>
      </w:r>
      <w:r w:rsidR="009773EE" w:rsidRPr="008B029F">
        <w:rPr>
          <w:noProof/>
          <w:lang w:val="en-AU"/>
        </w:rPr>
        <w:t>8</w:t>
      </w:r>
      <w:r w:rsidR="005C3540" w:rsidRPr="008B029F">
        <w:rPr>
          <w:color w:val="2B579A"/>
          <w:shd w:val="clear" w:color="auto" w:fill="E6E6E6"/>
          <w:lang w:val="en-AU"/>
        </w:rPr>
        <w:fldChar w:fldCharType="end"/>
      </w:r>
      <w:r w:rsidR="005C3540" w:rsidRPr="008B029F">
        <w:rPr>
          <w:lang w:val="en-AU"/>
        </w:rPr>
        <w:t>.</w:t>
      </w:r>
    </w:p>
    <w:p w14:paraId="272F87C1" w14:textId="3F673AF9" w:rsidR="00454C76" w:rsidRPr="008B029F" w:rsidRDefault="008979A6" w:rsidP="000C7318">
      <w:pPr>
        <w:pStyle w:val="TableTitle"/>
        <w:rPr>
          <w:lang w:val="en-AU" w:eastAsia="en-GB"/>
        </w:rPr>
      </w:pPr>
      <w:bookmarkStart w:id="62" w:name="_Ref120539923"/>
      <w:bookmarkStart w:id="63" w:name="_Hlk77605543"/>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18</w:t>
      </w:r>
      <w:r w:rsidRPr="008B029F">
        <w:rPr>
          <w:color w:val="2B579A"/>
          <w:shd w:val="clear" w:color="auto" w:fill="E6E6E6"/>
          <w:lang w:val="en-AU"/>
        </w:rPr>
        <w:fldChar w:fldCharType="end"/>
      </w:r>
      <w:bookmarkEnd w:id="62"/>
      <w:r w:rsidR="00454C76" w:rsidRPr="008B029F">
        <w:rPr>
          <w:lang w:val="en-AU"/>
        </w:rPr>
        <w:tab/>
      </w:r>
      <w:r w:rsidR="00454C76" w:rsidRPr="008B029F">
        <w:rPr>
          <w:lang w:val="en-AU" w:eastAsia="en-GB"/>
        </w:rPr>
        <w:t xml:space="preserve">Efficacy </w:t>
      </w:r>
      <w:r w:rsidR="00000810" w:rsidRPr="008B029F">
        <w:rPr>
          <w:lang w:val="en-AU" w:eastAsia="en-GB"/>
        </w:rPr>
        <w:t>r</w:t>
      </w:r>
      <w:r w:rsidR="00454C76" w:rsidRPr="008B029F">
        <w:rPr>
          <w:lang w:val="en-AU" w:eastAsia="en-GB"/>
        </w:rPr>
        <w:t>esults for PrE0505 for the epithelioid subgroup</w:t>
      </w:r>
    </w:p>
    <w:tbl>
      <w:tblPr>
        <w:tblStyle w:val="TableGrid"/>
        <w:tblW w:w="9918" w:type="dxa"/>
        <w:tblLook w:val="04A0" w:firstRow="1" w:lastRow="0" w:firstColumn="1" w:lastColumn="0" w:noHBand="0" w:noVBand="1"/>
      </w:tblPr>
      <w:tblGrid>
        <w:gridCol w:w="4957"/>
        <w:gridCol w:w="4961"/>
      </w:tblGrid>
      <w:tr w:rsidR="00454C76" w:rsidRPr="008B029F" w14:paraId="0B0DB98A" w14:textId="77777777" w:rsidTr="000C7318">
        <w:trPr>
          <w:tblHeader/>
        </w:trPr>
        <w:tc>
          <w:tcPr>
            <w:tcW w:w="4957" w:type="dxa"/>
          </w:tcPr>
          <w:p w14:paraId="6577BD05" w14:textId="77777777" w:rsidR="00454C76" w:rsidRPr="008B029F" w:rsidRDefault="00454C76" w:rsidP="000C7318">
            <w:pPr>
              <w:pStyle w:val="TableLeft"/>
              <w:rPr>
                <w:lang w:val="en-AU" w:eastAsia="en-GB"/>
              </w:rPr>
            </w:pPr>
          </w:p>
        </w:tc>
        <w:tc>
          <w:tcPr>
            <w:tcW w:w="4961" w:type="dxa"/>
          </w:tcPr>
          <w:p w14:paraId="3D9B54B7" w14:textId="77777777" w:rsidR="00454C76" w:rsidRPr="008B029F" w:rsidRDefault="00454C76" w:rsidP="000C7318">
            <w:pPr>
              <w:pStyle w:val="TableHead"/>
              <w:rPr>
                <w:lang w:val="en-AU" w:eastAsia="en-GB"/>
              </w:rPr>
            </w:pPr>
            <w:r w:rsidRPr="008B029F">
              <w:rPr>
                <w:lang w:val="en-AU" w:eastAsia="en-GB"/>
              </w:rPr>
              <w:t>N=41</w:t>
            </w:r>
          </w:p>
        </w:tc>
      </w:tr>
      <w:tr w:rsidR="00454C76" w:rsidRPr="008B029F" w14:paraId="419849C0" w14:textId="77777777" w:rsidTr="000C7318">
        <w:trPr>
          <w:tblHeader/>
        </w:trPr>
        <w:tc>
          <w:tcPr>
            <w:tcW w:w="9918" w:type="dxa"/>
            <w:gridSpan w:val="2"/>
          </w:tcPr>
          <w:p w14:paraId="28939A6F" w14:textId="77777777" w:rsidR="00454C76" w:rsidRPr="008B029F" w:rsidRDefault="00454C76" w:rsidP="000C7318">
            <w:pPr>
              <w:pStyle w:val="TableLeft"/>
              <w:rPr>
                <w:b/>
                <w:bCs w:val="0"/>
                <w:lang w:val="en-AU" w:eastAsia="en-GB"/>
              </w:rPr>
            </w:pPr>
            <w:r w:rsidRPr="008B029F">
              <w:rPr>
                <w:b/>
                <w:bCs w:val="0"/>
                <w:lang w:val="en-AU" w:eastAsia="en-GB"/>
              </w:rPr>
              <w:t>OS</w:t>
            </w:r>
          </w:p>
        </w:tc>
      </w:tr>
      <w:tr w:rsidR="00454C76" w:rsidRPr="008B029F" w14:paraId="35F5EFE0" w14:textId="77777777" w:rsidTr="000C7318">
        <w:trPr>
          <w:tblHeader/>
        </w:trPr>
        <w:tc>
          <w:tcPr>
            <w:tcW w:w="4957" w:type="dxa"/>
          </w:tcPr>
          <w:p w14:paraId="0A5211C9" w14:textId="77777777" w:rsidR="00454C76" w:rsidRPr="008B029F" w:rsidRDefault="00454C76" w:rsidP="000C7318">
            <w:pPr>
              <w:pStyle w:val="TableLeft"/>
              <w:rPr>
                <w:lang w:val="en-AU" w:eastAsia="en-GB"/>
              </w:rPr>
            </w:pPr>
            <w:r w:rsidRPr="008B029F">
              <w:rPr>
                <w:lang w:val="en-AU" w:eastAsia="en-GB"/>
              </w:rPr>
              <w:t xml:space="preserve">  Number of deaths (%)</w:t>
            </w:r>
          </w:p>
        </w:tc>
        <w:tc>
          <w:tcPr>
            <w:tcW w:w="4961" w:type="dxa"/>
          </w:tcPr>
          <w:p w14:paraId="098106FE" w14:textId="77777777" w:rsidR="00454C76" w:rsidRPr="008B029F" w:rsidRDefault="00454C76" w:rsidP="000C7318">
            <w:pPr>
              <w:pStyle w:val="TableCenter"/>
              <w:rPr>
                <w:lang w:val="en-AU" w:eastAsia="en-GB"/>
              </w:rPr>
            </w:pPr>
            <w:r w:rsidRPr="008B029F">
              <w:rPr>
                <w:lang w:val="en-AU" w:eastAsia="en-GB"/>
              </w:rPr>
              <w:t>21 (51.2)</w:t>
            </w:r>
          </w:p>
        </w:tc>
      </w:tr>
      <w:tr w:rsidR="00454C76" w:rsidRPr="008B029F" w14:paraId="77A51F47" w14:textId="77777777" w:rsidTr="000C7318">
        <w:trPr>
          <w:tblHeader/>
        </w:trPr>
        <w:tc>
          <w:tcPr>
            <w:tcW w:w="4957" w:type="dxa"/>
          </w:tcPr>
          <w:p w14:paraId="370047A8" w14:textId="77777777" w:rsidR="00454C76" w:rsidRPr="008B029F" w:rsidRDefault="00454C76" w:rsidP="000C7318">
            <w:pPr>
              <w:pStyle w:val="TableLeft"/>
              <w:rPr>
                <w:lang w:val="en-AU" w:eastAsia="en-GB"/>
              </w:rPr>
            </w:pPr>
            <w:r w:rsidRPr="008B029F">
              <w:rPr>
                <w:lang w:val="en-AU"/>
              </w:rPr>
              <w:t xml:space="preserve">  Median OS (months) (95% CI)</w:t>
            </w:r>
            <w:r w:rsidRPr="008B029F">
              <w:rPr>
                <w:vertAlign w:val="superscript"/>
                <w:lang w:val="en-AU"/>
              </w:rPr>
              <w:t>a</w:t>
            </w:r>
          </w:p>
        </w:tc>
        <w:tc>
          <w:tcPr>
            <w:tcW w:w="4961" w:type="dxa"/>
          </w:tcPr>
          <w:p w14:paraId="20C9C55C" w14:textId="77777777" w:rsidR="00454C76" w:rsidRPr="008B029F" w:rsidRDefault="00454C76" w:rsidP="000C7318">
            <w:pPr>
              <w:pStyle w:val="TableCenter"/>
              <w:rPr>
                <w:lang w:val="en-AU" w:eastAsia="en-GB"/>
              </w:rPr>
            </w:pPr>
            <w:r w:rsidRPr="008B029F">
              <w:rPr>
                <w:lang w:val="en-AU"/>
              </w:rPr>
              <w:t xml:space="preserve">24.3 (18.4, NR) </w:t>
            </w:r>
          </w:p>
        </w:tc>
      </w:tr>
      <w:tr w:rsidR="00454C76" w:rsidRPr="008B029F" w14:paraId="59029FE0" w14:textId="77777777" w:rsidTr="000C7318">
        <w:trPr>
          <w:tblHeader/>
        </w:trPr>
        <w:tc>
          <w:tcPr>
            <w:tcW w:w="4957" w:type="dxa"/>
          </w:tcPr>
          <w:p w14:paraId="14ADE43A" w14:textId="77777777" w:rsidR="00454C76" w:rsidRPr="008B029F" w:rsidRDefault="00454C76" w:rsidP="000C7318">
            <w:pPr>
              <w:pStyle w:val="TableLeft"/>
              <w:rPr>
                <w:lang w:val="en-AU" w:eastAsia="en-GB"/>
              </w:rPr>
            </w:pPr>
            <w:r w:rsidRPr="008B029F">
              <w:rPr>
                <w:lang w:val="en-AU"/>
              </w:rPr>
              <w:t xml:space="preserve">  OS at 6 months (%) (95% CI)</w:t>
            </w:r>
            <w:r w:rsidRPr="008B029F">
              <w:rPr>
                <w:vertAlign w:val="superscript"/>
                <w:lang w:val="en-AU"/>
              </w:rPr>
              <w:t>a</w:t>
            </w:r>
          </w:p>
        </w:tc>
        <w:tc>
          <w:tcPr>
            <w:tcW w:w="4961" w:type="dxa"/>
          </w:tcPr>
          <w:p w14:paraId="6E193B3E" w14:textId="77777777" w:rsidR="00454C76" w:rsidRPr="008B029F" w:rsidRDefault="00454C76" w:rsidP="000C7318">
            <w:pPr>
              <w:pStyle w:val="TableCenter"/>
              <w:rPr>
                <w:lang w:val="en-AU" w:eastAsia="en-GB"/>
              </w:rPr>
            </w:pPr>
            <w:r w:rsidRPr="008B029F">
              <w:rPr>
                <w:lang w:val="en-AU"/>
              </w:rPr>
              <w:t xml:space="preserve">92.7 (79.0, 97.6) </w:t>
            </w:r>
          </w:p>
        </w:tc>
      </w:tr>
      <w:tr w:rsidR="00454C76" w:rsidRPr="008B029F" w14:paraId="6B56EA0F" w14:textId="77777777" w:rsidTr="000C7318">
        <w:trPr>
          <w:tblHeader/>
        </w:trPr>
        <w:tc>
          <w:tcPr>
            <w:tcW w:w="4957" w:type="dxa"/>
          </w:tcPr>
          <w:p w14:paraId="54BC3302" w14:textId="77777777" w:rsidR="00454C76" w:rsidRPr="008B029F" w:rsidRDefault="00454C76" w:rsidP="000C7318">
            <w:pPr>
              <w:pStyle w:val="TableLeft"/>
              <w:rPr>
                <w:lang w:val="en-AU" w:eastAsia="en-GB"/>
              </w:rPr>
            </w:pPr>
            <w:r w:rsidRPr="008B029F">
              <w:rPr>
                <w:lang w:val="en-AU"/>
              </w:rPr>
              <w:t xml:space="preserve">  OS at 12 months (%) (95% CI)</w:t>
            </w:r>
            <w:r w:rsidRPr="008B029F">
              <w:rPr>
                <w:vertAlign w:val="superscript"/>
                <w:lang w:val="en-AU"/>
              </w:rPr>
              <w:t>a</w:t>
            </w:r>
          </w:p>
        </w:tc>
        <w:tc>
          <w:tcPr>
            <w:tcW w:w="4961" w:type="dxa"/>
          </w:tcPr>
          <w:p w14:paraId="52FDBD60" w14:textId="77777777" w:rsidR="00454C76" w:rsidRPr="008B029F" w:rsidRDefault="00454C76" w:rsidP="000C7318">
            <w:pPr>
              <w:pStyle w:val="TableCenter"/>
              <w:rPr>
                <w:lang w:val="en-AU" w:eastAsia="en-GB"/>
              </w:rPr>
            </w:pPr>
            <w:r w:rsidRPr="008B029F">
              <w:rPr>
                <w:lang w:val="en-AU"/>
              </w:rPr>
              <w:t xml:space="preserve">85.3 (70.2, 93.1) </w:t>
            </w:r>
          </w:p>
        </w:tc>
      </w:tr>
      <w:tr w:rsidR="00454C76" w:rsidRPr="008B029F" w14:paraId="7B75DBEF" w14:textId="77777777" w:rsidTr="000C7318">
        <w:trPr>
          <w:tblHeader/>
        </w:trPr>
        <w:tc>
          <w:tcPr>
            <w:tcW w:w="4957" w:type="dxa"/>
          </w:tcPr>
          <w:p w14:paraId="005E27A8" w14:textId="77777777" w:rsidR="00454C76" w:rsidRPr="008B029F" w:rsidRDefault="00454C76" w:rsidP="000C7318">
            <w:pPr>
              <w:pStyle w:val="TableLeft"/>
              <w:rPr>
                <w:lang w:val="en-AU" w:eastAsia="en-GB"/>
              </w:rPr>
            </w:pPr>
            <w:r w:rsidRPr="008B029F">
              <w:rPr>
                <w:lang w:val="en-AU"/>
              </w:rPr>
              <w:t xml:space="preserve">  OS at 24 months (%) (95% CI)</w:t>
            </w:r>
            <w:r w:rsidRPr="008B029F">
              <w:rPr>
                <w:vertAlign w:val="superscript"/>
                <w:lang w:val="en-AU"/>
              </w:rPr>
              <w:t>a</w:t>
            </w:r>
          </w:p>
        </w:tc>
        <w:tc>
          <w:tcPr>
            <w:tcW w:w="4961" w:type="dxa"/>
          </w:tcPr>
          <w:p w14:paraId="37240237" w14:textId="77777777" w:rsidR="00454C76" w:rsidRPr="008B029F" w:rsidRDefault="00454C76" w:rsidP="000C7318">
            <w:pPr>
              <w:pStyle w:val="TableCenter"/>
              <w:rPr>
                <w:lang w:val="en-AU" w:eastAsia="en-GB"/>
              </w:rPr>
            </w:pPr>
            <w:r w:rsidRPr="008B029F">
              <w:rPr>
                <w:lang w:val="en-AU"/>
              </w:rPr>
              <w:t xml:space="preserve">53.5 (36.4, 67.9) </w:t>
            </w:r>
          </w:p>
        </w:tc>
      </w:tr>
      <w:tr w:rsidR="00454C76" w:rsidRPr="008B029F" w14:paraId="1036133E" w14:textId="77777777" w:rsidTr="000C7318">
        <w:trPr>
          <w:tblHeader/>
        </w:trPr>
        <w:tc>
          <w:tcPr>
            <w:tcW w:w="9918" w:type="dxa"/>
            <w:gridSpan w:val="2"/>
          </w:tcPr>
          <w:p w14:paraId="738353E3" w14:textId="77777777" w:rsidR="00454C76" w:rsidRPr="008B029F" w:rsidRDefault="00454C76" w:rsidP="000C7318">
            <w:pPr>
              <w:pStyle w:val="TableLeft"/>
              <w:rPr>
                <w:b/>
                <w:bCs w:val="0"/>
                <w:lang w:val="en-AU" w:eastAsia="en-GB"/>
              </w:rPr>
            </w:pPr>
            <w:r w:rsidRPr="008B029F">
              <w:rPr>
                <w:b/>
                <w:bCs w:val="0"/>
                <w:lang w:val="en-AU" w:eastAsia="en-GB"/>
              </w:rPr>
              <w:t>PFS</w:t>
            </w:r>
          </w:p>
        </w:tc>
      </w:tr>
      <w:tr w:rsidR="00454C76" w:rsidRPr="008B029F" w14:paraId="3662F5BB" w14:textId="77777777" w:rsidTr="000C7318">
        <w:trPr>
          <w:tblHeader/>
        </w:trPr>
        <w:tc>
          <w:tcPr>
            <w:tcW w:w="4957" w:type="dxa"/>
          </w:tcPr>
          <w:p w14:paraId="058CFB08" w14:textId="77777777" w:rsidR="00454C76" w:rsidRPr="008B029F" w:rsidRDefault="00454C76" w:rsidP="000C7318">
            <w:pPr>
              <w:pStyle w:val="TableLeft"/>
              <w:rPr>
                <w:lang w:val="en-AU" w:eastAsia="en-GB"/>
              </w:rPr>
            </w:pPr>
            <w:r w:rsidRPr="008B029F">
              <w:rPr>
                <w:lang w:val="en-AU" w:eastAsia="en-GB"/>
              </w:rPr>
              <w:t xml:space="preserve">  Number of events (%)</w:t>
            </w:r>
          </w:p>
        </w:tc>
        <w:tc>
          <w:tcPr>
            <w:tcW w:w="4961" w:type="dxa"/>
          </w:tcPr>
          <w:p w14:paraId="0C871CA7" w14:textId="77777777" w:rsidR="00454C76" w:rsidRPr="008B029F" w:rsidRDefault="00454C76" w:rsidP="000C7318">
            <w:pPr>
              <w:pStyle w:val="TableCenter"/>
              <w:rPr>
                <w:lang w:val="en-AU" w:eastAsia="en-GB"/>
              </w:rPr>
            </w:pPr>
            <w:r w:rsidRPr="008B029F">
              <w:rPr>
                <w:lang w:val="en-AU" w:eastAsia="en-GB"/>
              </w:rPr>
              <w:t>38 (92.7)</w:t>
            </w:r>
          </w:p>
        </w:tc>
      </w:tr>
      <w:tr w:rsidR="00454C76" w:rsidRPr="008B029F" w14:paraId="4468CC80" w14:textId="77777777" w:rsidTr="000C7318">
        <w:trPr>
          <w:tblHeader/>
        </w:trPr>
        <w:tc>
          <w:tcPr>
            <w:tcW w:w="4957" w:type="dxa"/>
          </w:tcPr>
          <w:p w14:paraId="0D79D038" w14:textId="77777777" w:rsidR="00454C76" w:rsidRPr="008B029F" w:rsidRDefault="00454C76" w:rsidP="000C7318">
            <w:pPr>
              <w:pStyle w:val="TableLeft"/>
              <w:rPr>
                <w:lang w:val="en-AU"/>
              </w:rPr>
            </w:pPr>
            <w:r w:rsidRPr="008B029F">
              <w:rPr>
                <w:lang w:val="en-AU"/>
              </w:rPr>
              <w:t xml:space="preserve">  Median PFS (months) (95% CI)</w:t>
            </w:r>
            <w:r w:rsidRPr="008B029F">
              <w:rPr>
                <w:vertAlign w:val="superscript"/>
                <w:lang w:val="en-AU"/>
              </w:rPr>
              <w:t>a</w:t>
            </w:r>
          </w:p>
        </w:tc>
        <w:tc>
          <w:tcPr>
            <w:tcW w:w="4961" w:type="dxa"/>
          </w:tcPr>
          <w:p w14:paraId="15359A2F" w14:textId="77777777" w:rsidR="00454C76" w:rsidRPr="008B029F" w:rsidRDefault="00454C76" w:rsidP="000C7318">
            <w:pPr>
              <w:pStyle w:val="TableCenter"/>
              <w:rPr>
                <w:lang w:val="en-AU" w:eastAsia="en-GB"/>
              </w:rPr>
            </w:pPr>
            <w:r w:rsidRPr="008B029F">
              <w:rPr>
                <w:lang w:val="en-AU"/>
              </w:rPr>
              <w:t>8.3 (6.4, 9.7)</w:t>
            </w:r>
          </w:p>
        </w:tc>
      </w:tr>
      <w:tr w:rsidR="00454C76" w:rsidRPr="008B029F" w14:paraId="648EB1FC" w14:textId="77777777" w:rsidTr="000C7318">
        <w:trPr>
          <w:trHeight w:val="268"/>
          <w:tblHeader/>
        </w:trPr>
        <w:tc>
          <w:tcPr>
            <w:tcW w:w="4957" w:type="dxa"/>
          </w:tcPr>
          <w:p w14:paraId="037A12A9" w14:textId="77777777" w:rsidR="00454C76" w:rsidRPr="008B029F" w:rsidRDefault="00454C76" w:rsidP="000C7318">
            <w:pPr>
              <w:pStyle w:val="TableLeft"/>
              <w:rPr>
                <w:lang w:val="en-AU" w:eastAsia="en-GB"/>
              </w:rPr>
            </w:pPr>
            <w:r w:rsidRPr="008B029F">
              <w:rPr>
                <w:lang w:val="en-AU"/>
              </w:rPr>
              <w:t xml:space="preserve">  PFS at 6 months (%) (95% CI)</w:t>
            </w:r>
            <w:r w:rsidRPr="008B029F">
              <w:rPr>
                <w:vertAlign w:val="superscript"/>
                <w:lang w:val="en-AU"/>
              </w:rPr>
              <w:t>a</w:t>
            </w:r>
          </w:p>
        </w:tc>
        <w:tc>
          <w:tcPr>
            <w:tcW w:w="4961" w:type="dxa"/>
          </w:tcPr>
          <w:p w14:paraId="7D2A8DCB" w14:textId="77777777" w:rsidR="00454C76" w:rsidRPr="008B029F" w:rsidRDefault="00454C76" w:rsidP="000C7318">
            <w:pPr>
              <w:pStyle w:val="TableCenter"/>
              <w:rPr>
                <w:bCs/>
                <w:lang w:val="en-AU" w:eastAsia="en-GB"/>
              </w:rPr>
            </w:pPr>
            <w:r w:rsidRPr="008B029F">
              <w:rPr>
                <w:lang w:val="en-AU"/>
              </w:rPr>
              <w:t xml:space="preserve">82.9 (67.5, 91.5) </w:t>
            </w:r>
          </w:p>
        </w:tc>
      </w:tr>
      <w:tr w:rsidR="00454C76" w:rsidRPr="008B029F" w14:paraId="42423985" w14:textId="77777777" w:rsidTr="000C7318">
        <w:trPr>
          <w:trHeight w:val="132"/>
          <w:tblHeader/>
        </w:trPr>
        <w:tc>
          <w:tcPr>
            <w:tcW w:w="4957" w:type="dxa"/>
          </w:tcPr>
          <w:p w14:paraId="514EF985" w14:textId="77777777" w:rsidR="00454C76" w:rsidRPr="008B029F" w:rsidRDefault="00454C76" w:rsidP="000C7318">
            <w:pPr>
              <w:pStyle w:val="TableLeft"/>
              <w:rPr>
                <w:lang w:val="en-AU" w:eastAsia="en-GB"/>
              </w:rPr>
            </w:pPr>
            <w:r w:rsidRPr="008B029F">
              <w:rPr>
                <w:lang w:val="en-AU" w:eastAsia="en-GB"/>
              </w:rPr>
              <w:t>ORR n (%)</w:t>
            </w:r>
            <w:r w:rsidRPr="008B029F">
              <w:rPr>
                <w:vertAlign w:val="superscript"/>
                <w:lang w:val="en-AU"/>
              </w:rPr>
              <w:t xml:space="preserve">a,b </w:t>
            </w:r>
            <w:r w:rsidRPr="008B029F">
              <w:rPr>
                <w:lang w:val="en-AU"/>
              </w:rPr>
              <w:t>(95% CI), all partial responses</w:t>
            </w:r>
          </w:p>
        </w:tc>
        <w:tc>
          <w:tcPr>
            <w:tcW w:w="4961" w:type="dxa"/>
          </w:tcPr>
          <w:p w14:paraId="5DC74F83" w14:textId="77777777" w:rsidR="00454C76" w:rsidRPr="008B029F" w:rsidRDefault="00454C76" w:rsidP="000C7318">
            <w:pPr>
              <w:pStyle w:val="TableCenter"/>
              <w:rPr>
                <w:bCs/>
                <w:lang w:val="en-AU" w:eastAsia="en-GB"/>
              </w:rPr>
            </w:pPr>
            <w:r w:rsidRPr="008B029F">
              <w:rPr>
                <w:lang w:val="en-AU" w:eastAsia="en-GB"/>
              </w:rPr>
              <w:t>20 (48.8) (32.9, 64.9)</w:t>
            </w:r>
          </w:p>
        </w:tc>
      </w:tr>
      <w:tr w:rsidR="00454C76" w:rsidRPr="008B029F" w14:paraId="2A8671C3" w14:textId="77777777" w:rsidTr="000C7318">
        <w:trPr>
          <w:tblHeader/>
        </w:trPr>
        <w:tc>
          <w:tcPr>
            <w:tcW w:w="4957" w:type="dxa"/>
          </w:tcPr>
          <w:p w14:paraId="01A5707F" w14:textId="77777777" w:rsidR="00454C76" w:rsidRPr="008B029F" w:rsidRDefault="00454C76" w:rsidP="000C7318">
            <w:pPr>
              <w:pStyle w:val="TableLeft"/>
              <w:rPr>
                <w:lang w:val="en-AU" w:eastAsia="en-GB"/>
              </w:rPr>
            </w:pPr>
            <w:r w:rsidRPr="008B029F">
              <w:rPr>
                <w:lang w:val="en-AU" w:eastAsia="en-GB"/>
              </w:rPr>
              <w:t>Median duration of response</w:t>
            </w:r>
            <w:r w:rsidRPr="008B029F">
              <w:rPr>
                <w:vertAlign w:val="superscript"/>
                <w:lang w:val="en-AU"/>
              </w:rPr>
              <w:t xml:space="preserve"> a,c,d</w:t>
            </w:r>
            <w:r w:rsidRPr="008B029F">
              <w:rPr>
                <w:lang w:val="en-AU" w:eastAsia="en-GB"/>
              </w:rPr>
              <w:t>, months (95% CI)</w:t>
            </w:r>
            <w:r w:rsidRPr="008B029F">
              <w:rPr>
                <w:vertAlign w:val="superscript"/>
                <w:lang w:val="en-AU"/>
              </w:rPr>
              <w:t xml:space="preserve"> </w:t>
            </w:r>
          </w:p>
        </w:tc>
        <w:tc>
          <w:tcPr>
            <w:tcW w:w="4961" w:type="dxa"/>
          </w:tcPr>
          <w:p w14:paraId="42D96F0F" w14:textId="77777777" w:rsidR="00454C76" w:rsidRPr="008B029F" w:rsidRDefault="00454C76" w:rsidP="000C7318">
            <w:pPr>
              <w:pStyle w:val="TableCenter"/>
              <w:rPr>
                <w:lang w:val="en-AU" w:eastAsia="en-GB"/>
              </w:rPr>
            </w:pPr>
            <w:r w:rsidRPr="008B029F">
              <w:rPr>
                <w:lang w:val="en-AU" w:eastAsia="en-GB"/>
              </w:rPr>
              <w:t xml:space="preserve">6.6 (4.9-8.3) </w:t>
            </w:r>
          </w:p>
        </w:tc>
      </w:tr>
    </w:tbl>
    <w:p w14:paraId="02C70695" w14:textId="4EA7ADCC" w:rsidR="00454C76" w:rsidRPr="008B029F" w:rsidRDefault="00454C76" w:rsidP="003B55CC">
      <w:pPr>
        <w:pStyle w:val="TableFootnoteLetter"/>
        <w:numPr>
          <w:ilvl w:val="0"/>
          <w:numId w:val="39"/>
        </w:numPr>
      </w:pPr>
      <w:r w:rsidRPr="008B029F">
        <w:t>Calculated using the Kaplan-Meier method.</w:t>
      </w:r>
    </w:p>
    <w:p w14:paraId="28543335" w14:textId="0B66EDE2" w:rsidR="00454C76" w:rsidRPr="008B029F" w:rsidRDefault="00454C76" w:rsidP="003B55CC">
      <w:pPr>
        <w:pStyle w:val="TableFootnoteLetter"/>
        <w:numPr>
          <w:ilvl w:val="0"/>
          <w:numId w:val="39"/>
        </w:numPr>
      </w:pPr>
      <w:r w:rsidRPr="008B029F">
        <w:t>Confirmed objective response rate</w:t>
      </w:r>
    </w:p>
    <w:p w14:paraId="413D511F" w14:textId="29E96F98" w:rsidR="00454C76" w:rsidRPr="008B029F" w:rsidRDefault="00454C76" w:rsidP="003B55CC">
      <w:pPr>
        <w:pStyle w:val="TableFootnoteLetter"/>
        <w:numPr>
          <w:ilvl w:val="0"/>
          <w:numId w:val="39"/>
        </w:numPr>
      </w:pPr>
      <w:r w:rsidRPr="008B029F">
        <w:t>Post-hoc analysis</w:t>
      </w:r>
    </w:p>
    <w:p w14:paraId="685DED13" w14:textId="4C536C79" w:rsidR="00454C76" w:rsidRPr="008B029F" w:rsidRDefault="00454C76" w:rsidP="003B55CC">
      <w:pPr>
        <w:pStyle w:val="TableFootnoteLetter"/>
        <w:numPr>
          <w:ilvl w:val="0"/>
          <w:numId w:val="39"/>
        </w:numPr>
      </w:pPr>
      <w:r w:rsidRPr="008B029F">
        <w:t>Duration of response based on confirmed objective response rate</w:t>
      </w:r>
    </w:p>
    <w:p w14:paraId="765CD16F" w14:textId="77777777" w:rsidR="00454C76" w:rsidRPr="008B029F" w:rsidRDefault="00454C76" w:rsidP="003B55CC">
      <w:pPr>
        <w:pStyle w:val="TableFootnoteInfo"/>
      </w:pPr>
      <w:r w:rsidRPr="008B029F">
        <w:t>CI, confidence interval</w:t>
      </w:r>
    </w:p>
    <w:p w14:paraId="61DB7FDD" w14:textId="77777777" w:rsidR="00454C76" w:rsidRPr="008B029F" w:rsidRDefault="00454C76" w:rsidP="003B55CC">
      <w:pPr>
        <w:pStyle w:val="TableFootnoteInfo"/>
      </w:pPr>
      <w:r w:rsidRPr="008B029F">
        <w:t xml:space="preserve">NR: not reached </w:t>
      </w:r>
    </w:p>
    <w:p w14:paraId="3CC53AE5" w14:textId="154F9469" w:rsidR="00454C76" w:rsidRPr="008B029F" w:rsidRDefault="00454C76" w:rsidP="000C3440">
      <w:pPr>
        <w:pStyle w:val="Paragraph"/>
        <w:rPr>
          <w:lang w:val="en-AU"/>
        </w:rPr>
      </w:pPr>
    </w:p>
    <w:p w14:paraId="131CDAA5" w14:textId="4E97E1D5" w:rsidR="00454C76" w:rsidRPr="008B029F" w:rsidRDefault="00454C76" w:rsidP="000C7318">
      <w:pPr>
        <w:pStyle w:val="FigureTitle"/>
        <w:rPr>
          <w:lang w:val="en-AU"/>
        </w:rPr>
      </w:pPr>
      <w:bookmarkStart w:id="64" w:name="_Ref77673721"/>
      <w:bookmarkStart w:id="65" w:name="_Ref77673714"/>
      <w:bookmarkEnd w:id="63"/>
      <w:r w:rsidRPr="008B029F">
        <w:rPr>
          <w:lang w:val="en-AU"/>
        </w:rPr>
        <w:lastRenderedPageBreak/>
        <w:t xml:space="preserve">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7</w:t>
      </w:r>
      <w:r w:rsidRPr="008B029F">
        <w:rPr>
          <w:color w:val="2B579A"/>
          <w:shd w:val="clear" w:color="auto" w:fill="E6E6E6"/>
          <w:lang w:val="en-AU"/>
        </w:rPr>
        <w:fldChar w:fldCharType="end"/>
      </w:r>
      <w:bookmarkEnd w:id="64"/>
      <w:r w:rsidRPr="008B029F">
        <w:rPr>
          <w:lang w:val="en-AU"/>
        </w:rPr>
        <w:tab/>
        <w:t>Kaplan-Meier curve of OS</w:t>
      </w:r>
      <w:bookmarkEnd w:id="65"/>
      <w:r w:rsidRPr="008B029F">
        <w:rPr>
          <w:lang w:val="en-AU" w:eastAsia="en-GB"/>
        </w:rPr>
        <w:t xml:space="preserve"> for the epithelioid subgroup</w:t>
      </w:r>
      <w:r w:rsidR="00000810" w:rsidRPr="008B029F">
        <w:rPr>
          <w:lang w:val="en-AU" w:eastAsia="en-GB"/>
        </w:rPr>
        <w:t xml:space="preserve"> (PrE0505 study)</w:t>
      </w:r>
    </w:p>
    <w:p w14:paraId="54FC9946" w14:textId="77777777" w:rsidR="00454C76" w:rsidRPr="008B029F" w:rsidRDefault="00454C76" w:rsidP="00454C76">
      <w:pPr>
        <w:rPr>
          <w:lang w:val="en-AU"/>
        </w:rPr>
      </w:pPr>
      <w:r w:rsidRPr="008B029F">
        <w:rPr>
          <w:noProof/>
          <w:color w:val="2B579A"/>
          <w:shd w:val="clear" w:color="auto" w:fill="E6E6E6"/>
          <w:lang w:val="en-AU"/>
        </w:rPr>
        <w:drawing>
          <wp:inline distT="0" distB="0" distL="0" distR="0" wp14:anchorId="5BD46238" wp14:editId="7DC8DBA0">
            <wp:extent cx="5308600" cy="3600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229" b="2470"/>
                    <a:stretch/>
                  </pic:blipFill>
                  <pic:spPr bwMode="auto">
                    <a:xfrm>
                      <a:off x="0" y="0"/>
                      <a:ext cx="5337968" cy="3620368"/>
                    </a:xfrm>
                    <a:prstGeom prst="rect">
                      <a:avLst/>
                    </a:prstGeom>
                    <a:ln>
                      <a:noFill/>
                    </a:ln>
                    <a:extLst>
                      <a:ext uri="{53640926-AAD7-44D8-BBD7-CCE9431645EC}">
                        <a14:shadowObscured xmlns:a14="http://schemas.microsoft.com/office/drawing/2010/main"/>
                      </a:ext>
                    </a:extLst>
                  </pic:spPr>
                </pic:pic>
              </a:graphicData>
            </a:graphic>
          </wp:inline>
        </w:drawing>
      </w:r>
    </w:p>
    <w:p w14:paraId="4726CBDA" w14:textId="77822470" w:rsidR="00454C76" w:rsidRPr="008B029F" w:rsidRDefault="00454C76" w:rsidP="000C7318">
      <w:pPr>
        <w:pStyle w:val="FigureTitle"/>
        <w:rPr>
          <w:lang w:val="en-AU" w:eastAsia="en-GB"/>
        </w:rPr>
      </w:pPr>
      <w:bookmarkStart w:id="66" w:name="_Ref77673724"/>
      <w:bookmarkStart w:id="67" w:name="_Ref120616308"/>
      <w:r w:rsidRPr="008B029F">
        <w:rPr>
          <w:lang w:val="en-AU"/>
        </w:rPr>
        <w:t xml:space="preserve">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8</w:t>
      </w:r>
      <w:r w:rsidRPr="008B029F">
        <w:rPr>
          <w:color w:val="2B579A"/>
          <w:shd w:val="clear" w:color="auto" w:fill="E6E6E6"/>
          <w:lang w:val="en-AU"/>
        </w:rPr>
        <w:fldChar w:fldCharType="end"/>
      </w:r>
      <w:bookmarkEnd w:id="66"/>
      <w:bookmarkEnd w:id="67"/>
      <w:r w:rsidRPr="008B029F">
        <w:rPr>
          <w:lang w:val="en-AU"/>
        </w:rPr>
        <w:tab/>
        <w:t>Kaplan-Meier curve of PFS</w:t>
      </w:r>
      <w:r w:rsidRPr="008B029F">
        <w:rPr>
          <w:lang w:val="en-AU" w:eastAsia="en-GB"/>
        </w:rPr>
        <w:t xml:space="preserve"> for the epithelioid subgroup</w:t>
      </w:r>
      <w:r w:rsidR="00000810" w:rsidRPr="008B029F">
        <w:rPr>
          <w:lang w:val="en-AU" w:eastAsia="en-GB"/>
        </w:rPr>
        <w:t xml:space="preserve"> (PrE0505 study)</w:t>
      </w:r>
    </w:p>
    <w:bookmarkEnd w:id="61"/>
    <w:p w14:paraId="36674024" w14:textId="77777777" w:rsidR="00454C76" w:rsidRPr="008B029F" w:rsidRDefault="00454C76" w:rsidP="00454C76">
      <w:pPr>
        <w:spacing w:after="0"/>
        <w:rPr>
          <w:i/>
          <w:iCs/>
          <w:u w:val="single"/>
          <w:lang w:val="en-AU"/>
        </w:rPr>
      </w:pPr>
      <w:r w:rsidRPr="008B029F">
        <w:rPr>
          <w:noProof/>
          <w:color w:val="2B579A"/>
          <w:shd w:val="clear" w:color="auto" w:fill="E6E6E6"/>
          <w:lang w:val="en-AU"/>
        </w:rPr>
        <w:drawing>
          <wp:inline distT="0" distB="0" distL="0" distR="0" wp14:anchorId="1D9E8ECD" wp14:editId="66D903BF">
            <wp:extent cx="5335215" cy="3594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80"/>
                    <a:stretch/>
                  </pic:blipFill>
                  <pic:spPr bwMode="auto">
                    <a:xfrm>
                      <a:off x="0" y="0"/>
                      <a:ext cx="5352668" cy="3605857"/>
                    </a:xfrm>
                    <a:prstGeom prst="rect">
                      <a:avLst/>
                    </a:prstGeom>
                    <a:ln>
                      <a:noFill/>
                    </a:ln>
                    <a:extLst>
                      <a:ext uri="{53640926-AAD7-44D8-BBD7-CCE9431645EC}">
                        <a14:shadowObscured xmlns:a14="http://schemas.microsoft.com/office/drawing/2010/main"/>
                      </a:ext>
                    </a:extLst>
                  </pic:spPr>
                </pic:pic>
              </a:graphicData>
            </a:graphic>
          </wp:inline>
        </w:drawing>
      </w:r>
    </w:p>
    <w:p w14:paraId="321465AB" w14:textId="77777777" w:rsidR="00454C76" w:rsidRPr="008B029F" w:rsidRDefault="00454C76" w:rsidP="00454C76">
      <w:pPr>
        <w:spacing w:after="0"/>
        <w:rPr>
          <w:i/>
          <w:iCs/>
          <w:lang w:val="en-AU"/>
        </w:rPr>
      </w:pPr>
    </w:p>
    <w:p w14:paraId="538D1AA0" w14:textId="777DF196" w:rsidR="00454C76" w:rsidRPr="008B029F" w:rsidRDefault="00454C76" w:rsidP="000C7318">
      <w:pPr>
        <w:pStyle w:val="Heading5unnumbered"/>
        <w:rPr>
          <w:lang w:val="en-AU"/>
        </w:rPr>
      </w:pPr>
      <w:r w:rsidRPr="008B029F">
        <w:rPr>
          <w:lang w:val="en-AU"/>
        </w:rPr>
        <w:lastRenderedPageBreak/>
        <w:t>DREAM study</w:t>
      </w:r>
    </w:p>
    <w:p w14:paraId="1BF6B9DC" w14:textId="51B79C40" w:rsidR="00454C76" w:rsidRPr="008B029F" w:rsidRDefault="00454C76" w:rsidP="000C3440">
      <w:pPr>
        <w:pStyle w:val="Paragraph"/>
        <w:rPr>
          <w:lang w:val="en-AU"/>
        </w:rPr>
      </w:pPr>
      <w:bookmarkStart w:id="68" w:name="_Hlk76633574"/>
      <w:r w:rsidRPr="008B029F">
        <w:rPr>
          <w:lang w:val="en-AU"/>
        </w:rPr>
        <w:t xml:space="preserve">The efficacy of IMFINZI in combination with pemetrexed and cisplatin or carboplatin was evaluated in the DREAM </w:t>
      </w:r>
      <w:r w:rsidR="00C04B7D" w:rsidRPr="008B029F">
        <w:rPr>
          <w:lang w:val="en-AU"/>
        </w:rPr>
        <w:t>s</w:t>
      </w:r>
      <w:r w:rsidRPr="008B029F">
        <w:rPr>
          <w:lang w:val="en-AU"/>
        </w:rPr>
        <w:t>tudy; an open-label, single-arm multicent</w:t>
      </w:r>
      <w:r w:rsidR="000C7318" w:rsidRPr="008B029F">
        <w:rPr>
          <w:lang w:val="en-AU"/>
        </w:rPr>
        <w:t>re</w:t>
      </w:r>
      <w:r w:rsidRPr="008B029F">
        <w:rPr>
          <w:lang w:val="en-AU"/>
        </w:rPr>
        <w:t xml:space="preserve"> Phase II study in 54 treatment naïve patients with surgically unresectable MPM.</w:t>
      </w:r>
    </w:p>
    <w:p w14:paraId="6344F633" w14:textId="70577A84" w:rsidR="00454C76" w:rsidRPr="008B029F" w:rsidRDefault="00454C76" w:rsidP="000C7318">
      <w:pPr>
        <w:pStyle w:val="Paragraph"/>
        <w:rPr>
          <w:lang w:val="en-AU"/>
        </w:rPr>
      </w:pPr>
      <w:r w:rsidRPr="008B029F">
        <w:rPr>
          <w:lang w:val="en-AU"/>
        </w:rPr>
        <w:t xml:space="preserve">Patients were included if considered unsuitable for cancer-directed surgery, had ECOG performance status of 0 or 1 and measurable disease. All histological subtypes were eligible. </w:t>
      </w:r>
    </w:p>
    <w:p w14:paraId="67A5F517" w14:textId="2C74B1E5" w:rsidR="00454C76" w:rsidRPr="008B029F" w:rsidRDefault="00454C76" w:rsidP="000C7318">
      <w:pPr>
        <w:pStyle w:val="Paragraph"/>
        <w:rPr>
          <w:lang w:val="en-AU"/>
        </w:rPr>
      </w:pPr>
      <w:r w:rsidRPr="008B029F">
        <w:rPr>
          <w:lang w:val="en-AU"/>
        </w:rPr>
        <w:t>The study excluded patients with prior chemotherapy or other systemic anti-cancer or immunotherapy for MPM; active, known or suspected autoimmune disease; any condition requiring systemic treatment with either corticosteroids (&gt;10</w:t>
      </w:r>
      <w:r w:rsidR="000C7318" w:rsidRPr="008B029F">
        <w:rPr>
          <w:lang w:val="en-AU"/>
        </w:rPr>
        <w:t> </w:t>
      </w:r>
      <w:r w:rsidRPr="008B029F">
        <w:rPr>
          <w:lang w:val="en-AU"/>
        </w:rPr>
        <w:t>mg daily prednisone or equivalent dose of an alternative corticosteroid) or other immunosuppressive medications within 28 days of durvalumab administration; symptomatic or uncontrolled brain metastases or leptomeningeal disease.</w:t>
      </w:r>
    </w:p>
    <w:p w14:paraId="64B86924" w14:textId="545A029E" w:rsidR="00454C76" w:rsidRPr="008B029F" w:rsidRDefault="00454C76" w:rsidP="000C7318">
      <w:pPr>
        <w:pStyle w:val="Paragraph"/>
        <w:rPr>
          <w:lang w:val="en-AU"/>
        </w:rPr>
      </w:pPr>
      <w:r w:rsidRPr="008B029F">
        <w:rPr>
          <w:lang w:val="en-AU"/>
        </w:rPr>
        <w:t>Patients received durvalumab (1125</w:t>
      </w:r>
      <w:r w:rsidR="000C7318" w:rsidRPr="008B029F">
        <w:rPr>
          <w:lang w:val="en-AU"/>
        </w:rPr>
        <w:t> </w:t>
      </w:r>
      <w:r w:rsidRPr="008B029F">
        <w:rPr>
          <w:lang w:val="en-AU"/>
        </w:rPr>
        <w:t>mg), cisplatin (75</w:t>
      </w:r>
      <w:r w:rsidR="00C04B7D" w:rsidRPr="008B029F">
        <w:rPr>
          <w:lang w:val="en-AU"/>
        </w:rPr>
        <w:t> </w:t>
      </w:r>
      <w:r w:rsidRPr="008B029F">
        <w:rPr>
          <w:lang w:val="en-AU"/>
        </w:rPr>
        <w:t>mg/m</w:t>
      </w:r>
      <w:r w:rsidRPr="008B029F">
        <w:rPr>
          <w:vertAlign w:val="superscript"/>
          <w:lang w:val="en-AU"/>
        </w:rPr>
        <w:t>2</w:t>
      </w:r>
      <w:r w:rsidRPr="008B029F">
        <w:rPr>
          <w:lang w:val="en-AU"/>
        </w:rPr>
        <w:t>) and pemetrexed (500</w:t>
      </w:r>
      <w:r w:rsidR="00C04B7D" w:rsidRPr="008B029F">
        <w:rPr>
          <w:lang w:val="en-AU"/>
        </w:rPr>
        <w:t> </w:t>
      </w:r>
      <w:r w:rsidRPr="008B029F">
        <w:rPr>
          <w:lang w:val="en-AU"/>
        </w:rPr>
        <w:t>mg/m</w:t>
      </w:r>
      <w:r w:rsidRPr="008B029F">
        <w:rPr>
          <w:vertAlign w:val="superscript"/>
          <w:lang w:val="en-AU"/>
        </w:rPr>
        <w:t>2</w:t>
      </w:r>
      <w:r w:rsidRPr="008B029F">
        <w:rPr>
          <w:lang w:val="en-AU"/>
        </w:rPr>
        <w:t>) 3</w:t>
      </w:r>
      <w:r w:rsidR="000C7318" w:rsidRPr="008B029F">
        <w:rPr>
          <w:lang w:val="en-AU"/>
        </w:rPr>
        <w:noBreakHyphen/>
      </w:r>
      <w:r w:rsidRPr="008B029F">
        <w:rPr>
          <w:lang w:val="en-AU"/>
        </w:rPr>
        <w:t>weekly for a maximum of 6 cycles, followed by durvalumab alone (1125</w:t>
      </w:r>
      <w:r w:rsidR="000C7318" w:rsidRPr="008B029F">
        <w:rPr>
          <w:lang w:val="en-AU"/>
        </w:rPr>
        <w:t> </w:t>
      </w:r>
      <w:r w:rsidRPr="008B029F">
        <w:rPr>
          <w:lang w:val="en-AU"/>
        </w:rPr>
        <w:t>mg 3</w:t>
      </w:r>
      <w:r w:rsidR="000C7318" w:rsidRPr="008B029F">
        <w:rPr>
          <w:lang w:val="en-AU"/>
        </w:rPr>
        <w:noBreakHyphen/>
      </w:r>
      <w:r w:rsidRPr="008B029F">
        <w:rPr>
          <w:lang w:val="en-AU"/>
        </w:rPr>
        <w:t>weekly) until progression, unacceptable toxicity or for up to 12 months total therapy. Use of carboplatin (AUC 5) in place of cisplatin was permitted for patients developing cisplatin-induced hearing loss, Grade 3 nausea or vomiting, renal impairment, peripheral neuropathy or hypersensitivity. The first 6 patients were monitored for dose-limiting toxicities</w:t>
      </w:r>
      <w:bookmarkEnd w:id="68"/>
      <w:r w:rsidRPr="008B029F">
        <w:rPr>
          <w:lang w:val="en-AU"/>
        </w:rPr>
        <w:t>.</w:t>
      </w:r>
    </w:p>
    <w:p w14:paraId="11A6789A" w14:textId="77777777" w:rsidR="00454C76" w:rsidRPr="008B029F" w:rsidRDefault="00454C76" w:rsidP="000C7318">
      <w:pPr>
        <w:pStyle w:val="Paragraph"/>
        <w:rPr>
          <w:lang w:val="en-AU"/>
        </w:rPr>
      </w:pPr>
      <w:r w:rsidRPr="008B029F">
        <w:rPr>
          <w:lang w:val="en-AU"/>
        </w:rPr>
        <w:t>Tumour assessments were conducted every 6 weeks until Week 30 from date of registration, then at week 39 and 48 and then every 12 weeks (± 1 week) until confirmed objective disease progression. Survival assessments were conducted every 12 weeks (± 14 days) after progression.</w:t>
      </w:r>
    </w:p>
    <w:p w14:paraId="107CA936" w14:textId="330EBF0E" w:rsidR="00454C76" w:rsidRPr="008B029F" w:rsidRDefault="00454C76" w:rsidP="000C3440">
      <w:pPr>
        <w:pStyle w:val="Paragraph"/>
        <w:rPr>
          <w:lang w:val="en-AU" w:eastAsia="en-GB"/>
        </w:rPr>
      </w:pPr>
      <w:r w:rsidRPr="008B029F">
        <w:rPr>
          <w:lang w:val="en-AU" w:eastAsia="en-GB"/>
        </w:rPr>
        <w:t>The primary endpoint of the study was PFS at 6 months. The secondary endpoints included OS, ORR and DoR. PFS and ORR were assessed according to modified RECIST for mesothelioma.</w:t>
      </w:r>
    </w:p>
    <w:p w14:paraId="1BA7A066" w14:textId="77777777" w:rsidR="00454C76" w:rsidRPr="008B029F" w:rsidRDefault="00454C76" w:rsidP="000C3440">
      <w:pPr>
        <w:pStyle w:val="Paragraph"/>
        <w:rPr>
          <w:lang w:val="en-AU"/>
        </w:rPr>
      </w:pPr>
      <w:bookmarkStart w:id="69" w:name="_Hlk77088504"/>
      <w:r w:rsidRPr="008B029F">
        <w:rPr>
          <w:lang w:val="en-AU" w:eastAsia="en-GB"/>
        </w:rPr>
        <w:t>The baseline demographics of the overall study population were as follows: male (83.3%), median age 68 years (range: 42 to 82 years)</w:t>
      </w:r>
      <w:r w:rsidRPr="008B029F">
        <w:rPr>
          <w:lang w:val="en-AU"/>
        </w:rPr>
        <w:t xml:space="preserve">, </w:t>
      </w:r>
      <w:r w:rsidRPr="008B029F">
        <w:rPr>
          <w:lang w:val="en-AU" w:eastAsia="en-GB"/>
        </w:rPr>
        <w:t xml:space="preserve">ECOG PS 0 (59.3%), ECOG PS 1 (40.7%), </w:t>
      </w:r>
      <w:r w:rsidRPr="008B029F">
        <w:rPr>
          <w:lang w:val="en-AU"/>
        </w:rPr>
        <w:t xml:space="preserve">epithelioid (83.3%), biphasic (11.1%), desmoplastic (3.7%) and sarcomatoid histology (1.9%). </w:t>
      </w:r>
    </w:p>
    <w:p w14:paraId="75B7E4D2" w14:textId="77777777" w:rsidR="00454C76" w:rsidRPr="008B029F" w:rsidRDefault="00454C76" w:rsidP="000C3440">
      <w:pPr>
        <w:pStyle w:val="Paragraph"/>
        <w:rPr>
          <w:rFonts w:eastAsiaTheme="minorEastAsia"/>
          <w:lang w:val="en-AU"/>
        </w:rPr>
      </w:pPr>
      <w:r w:rsidRPr="008B029F">
        <w:rPr>
          <w:rFonts w:eastAsiaTheme="minorEastAsia"/>
          <w:lang w:val="en-AU"/>
        </w:rPr>
        <w:t xml:space="preserve">Although patients with non-epithelioid histology were enrolled in the trial, IMFINZI is not indicated in non-epithelioid patients. </w:t>
      </w:r>
    </w:p>
    <w:p w14:paraId="40D55C59" w14:textId="1E94DFA4" w:rsidR="00163F98" w:rsidRPr="008B029F" w:rsidRDefault="00454C76" w:rsidP="000C3440">
      <w:pPr>
        <w:pStyle w:val="Paragraph"/>
        <w:rPr>
          <w:lang w:val="en-AU" w:eastAsia="en-GB"/>
        </w:rPr>
      </w:pPr>
      <w:r w:rsidRPr="008B029F">
        <w:rPr>
          <w:lang w:val="en-AU" w:eastAsia="en-GB"/>
        </w:rPr>
        <w:t>The study met its primary endpoint in the ITT population with a PFS6 of 57.4% (95% CI 43.2, 69.3). In the epithelioid histology subgroup, a PFS6 of 62.2% (46.5, 74.6) was observed. Efficacy results for the epithelioid subgroup are summarised in</w:t>
      </w:r>
      <w:r w:rsidR="008979A6" w:rsidRPr="008B029F">
        <w:rPr>
          <w:lang w:val="en-AU" w:eastAsia="en-GB"/>
        </w:rPr>
        <w:t xml:space="preserve"> </w:t>
      </w:r>
      <w:r w:rsidR="008979A6" w:rsidRPr="008B029F">
        <w:rPr>
          <w:color w:val="2B579A"/>
          <w:shd w:val="clear" w:color="auto" w:fill="E6E6E6"/>
          <w:lang w:val="en-AU" w:eastAsia="en-GB"/>
        </w:rPr>
        <w:fldChar w:fldCharType="begin"/>
      </w:r>
      <w:r w:rsidR="008979A6" w:rsidRPr="008B029F">
        <w:rPr>
          <w:lang w:val="en-AU" w:eastAsia="en-GB"/>
        </w:rPr>
        <w:instrText xml:space="preserve"> REF _Ref120539943 \h </w:instrText>
      </w:r>
      <w:r w:rsidR="000C3440" w:rsidRPr="008B029F">
        <w:rPr>
          <w:lang w:val="en-AU" w:eastAsia="en-GB"/>
        </w:rPr>
        <w:instrText xml:space="preserve"> \* MERGEFORMAT </w:instrText>
      </w:r>
      <w:r w:rsidR="008979A6" w:rsidRPr="008B029F">
        <w:rPr>
          <w:color w:val="2B579A"/>
          <w:shd w:val="clear" w:color="auto" w:fill="E6E6E6"/>
          <w:lang w:val="en-AU" w:eastAsia="en-GB"/>
        </w:rPr>
      </w:r>
      <w:r w:rsidR="008979A6" w:rsidRPr="008B029F">
        <w:rPr>
          <w:color w:val="2B579A"/>
          <w:shd w:val="clear" w:color="auto" w:fill="E6E6E6"/>
          <w:lang w:val="en-AU" w:eastAsia="en-GB"/>
        </w:rPr>
        <w:fldChar w:fldCharType="separate"/>
      </w:r>
      <w:r w:rsidR="009773EE" w:rsidRPr="008B029F">
        <w:rPr>
          <w:lang w:val="en-AU"/>
        </w:rPr>
        <w:t xml:space="preserve">Table </w:t>
      </w:r>
      <w:r w:rsidR="009773EE" w:rsidRPr="008B029F">
        <w:rPr>
          <w:noProof/>
          <w:lang w:val="en-AU"/>
        </w:rPr>
        <w:t>19</w:t>
      </w:r>
      <w:r w:rsidR="008979A6" w:rsidRPr="008B029F">
        <w:rPr>
          <w:color w:val="2B579A"/>
          <w:shd w:val="clear" w:color="auto" w:fill="E6E6E6"/>
          <w:lang w:val="en-AU" w:eastAsia="en-GB"/>
        </w:rPr>
        <w:fldChar w:fldCharType="end"/>
      </w:r>
      <w:r w:rsidRPr="008B029F">
        <w:rPr>
          <w:lang w:val="en-AU" w:eastAsia="en-GB"/>
        </w:rPr>
        <w:t>. The Kaplan-Meier curve for PFS and OS for the epithelioid subgroup</w:t>
      </w:r>
      <w:r w:rsidRPr="008B029F">
        <w:rPr>
          <w:rFonts w:eastAsiaTheme="minorEastAsia"/>
          <w:lang w:val="en-AU"/>
        </w:rPr>
        <w:t xml:space="preserve"> </w:t>
      </w:r>
      <w:r w:rsidRPr="008B029F">
        <w:rPr>
          <w:lang w:val="en-AU" w:eastAsia="en-GB"/>
        </w:rPr>
        <w:t xml:space="preserve">are presented in </w:t>
      </w:r>
      <w:r w:rsidRPr="008B029F">
        <w:rPr>
          <w:color w:val="2B579A"/>
          <w:shd w:val="clear" w:color="auto" w:fill="E6E6E6"/>
          <w:lang w:val="en-AU" w:eastAsia="en-GB"/>
        </w:rPr>
        <w:fldChar w:fldCharType="begin"/>
      </w:r>
      <w:r w:rsidRPr="008B029F">
        <w:rPr>
          <w:lang w:val="en-AU" w:eastAsia="en-GB"/>
        </w:rPr>
        <w:instrText xml:space="preserve"> REF _Ref77673783 \h </w:instrText>
      </w:r>
      <w:r w:rsidRPr="008B029F">
        <w:rPr>
          <w:color w:val="2B579A"/>
          <w:shd w:val="clear" w:color="auto" w:fill="E6E6E6"/>
          <w:lang w:val="en-AU" w:eastAsia="en-GB"/>
        </w:rPr>
        <w:instrText xml:space="preserve"> \* MERGEFORMAT </w:instrText>
      </w:r>
      <w:r w:rsidRPr="008B029F">
        <w:rPr>
          <w:color w:val="2B579A"/>
          <w:shd w:val="clear" w:color="auto" w:fill="E6E6E6"/>
          <w:lang w:val="en-AU" w:eastAsia="en-GB"/>
        </w:rPr>
      </w:r>
      <w:r w:rsidRPr="008B029F">
        <w:rPr>
          <w:color w:val="2B579A"/>
          <w:shd w:val="clear" w:color="auto" w:fill="E6E6E6"/>
          <w:lang w:val="en-AU" w:eastAsia="en-GB"/>
        </w:rPr>
        <w:fldChar w:fldCharType="separate"/>
      </w:r>
      <w:r w:rsidR="009773EE" w:rsidRPr="008B029F">
        <w:rPr>
          <w:lang w:val="en-AU"/>
        </w:rPr>
        <w:t xml:space="preserve">Figure </w:t>
      </w:r>
      <w:r w:rsidR="009773EE" w:rsidRPr="008B029F">
        <w:rPr>
          <w:noProof/>
          <w:lang w:val="en-AU"/>
        </w:rPr>
        <w:t>9</w:t>
      </w:r>
      <w:r w:rsidRPr="008B029F">
        <w:rPr>
          <w:color w:val="2B579A"/>
          <w:shd w:val="clear" w:color="auto" w:fill="E6E6E6"/>
          <w:lang w:val="en-AU" w:eastAsia="en-GB"/>
        </w:rPr>
        <w:fldChar w:fldCharType="end"/>
      </w:r>
      <w:r w:rsidRPr="008B029F">
        <w:rPr>
          <w:lang w:val="en-AU" w:eastAsia="en-GB"/>
        </w:rPr>
        <w:t xml:space="preserve"> and </w:t>
      </w:r>
      <w:r w:rsidRPr="008B029F">
        <w:rPr>
          <w:color w:val="2B579A"/>
          <w:shd w:val="clear" w:color="auto" w:fill="E6E6E6"/>
          <w:lang w:val="en-AU" w:eastAsia="en-GB"/>
        </w:rPr>
        <w:fldChar w:fldCharType="begin"/>
      </w:r>
      <w:r w:rsidRPr="008B029F">
        <w:rPr>
          <w:lang w:val="en-AU" w:eastAsia="en-GB"/>
        </w:rPr>
        <w:instrText xml:space="preserve"> REF _Ref77673785 \h </w:instrText>
      </w:r>
      <w:r w:rsidRPr="008B029F">
        <w:rPr>
          <w:color w:val="2B579A"/>
          <w:shd w:val="clear" w:color="auto" w:fill="E6E6E6"/>
          <w:lang w:val="en-AU" w:eastAsia="en-GB"/>
        </w:rPr>
        <w:instrText xml:space="preserve"> \* MERGEFORMAT </w:instrText>
      </w:r>
      <w:r w:rsidRPr="008B029F">
        <w:rPr>
          <w:color w:val="2B579A"/>
          <w:shd w:val="clear" w:color="auto" w:fill="E6E6E6"/>
          <w:lang w:val="en-AU" w:eastAsia="en-GB"/>
        </w:rPr>
      </w:r>
      <w:r w:rsidRPr="008B029F">
        <w:rPr>
          <w:color w:val="2B579A"/>
          <w:shd w:val="clear" w:color="auto" w:fill="E6E6E6"/>
          <w:lang w:val="en-AU" w:eastAsia="en-GB"/>
        </w:rPr>
        <w:fldChar w:fldCharType="separate"/>
      </w:r>
      <w:r w:rsidR="009773EE" w:rsidRPr="008B029F">
        <w:rPr>
          <w:lang w:val="en-AU"/>
        </w:rPr>
        <w:t xml:space="preserve">Figure </w:t>
      </w:r>
      <w:r w:rsidR="009773EE" w:rsidRPr="008B029F">
        <w:rPr>
          <w:noProof/>
          <w:lang w:val="en-AU"/>
        </w:rPr>
        <w:t>10</w:t>
      </w:r>
      <w:r w:rsidRPr="008B029F">
        <w:rPr>
          <w:color w:val="2B579A"/>
          <w:shd w:val="clear" w:color="auto" w:fill="E6E6E6"/>
          <w:lang w:val="en-AU" w:eastAsia="en-GB"/>
        </w:rPr>
        <w:fldChar w:fldCharType="end"/>
      </w:r>
      <w:r w:rsidRPr="008B029F">
        <w:rPr>
          <w:lang w:val="en-AU" w:eastAsia="en-GB"/>
        </w:rPr>
        <w:t>.</w:t>
      </w:r>
    </w:p>
    <w:p w14:paraId="1E9E4CEC" w14:textId="7BABD398" w:rsidR="00454C76" w:rsidRPr="008B029F" w:rsidRDefault="008979A6" w:rsidP="000C7318">
      <w:pPr>
        <w:pStyle w:val="TableTitle"/>
        <w:rPr>
          <w:lang w:val="en-AU" w:eastAsia="en-GB"/>
        </w:rPr>
      </w:pPr>
      <w:bookmarkStart w:id="70" w:name="_Ref120539943"/>
      <w:bookmarkEnd w:id="69"/>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19</w:t>
      </w:r>
      <w:r w:rsidRPr="008B029F">
        <w:rPr>
          <w:color w:val="2B579A"/>
          <w:shd w:val="clear" w:color="auto" w:fill="E6E6E6"/>
          <w:lang w:val="en-AU"/>
        </w:rPr>
        <w:fldChar w:fldCharType="end"/>
      </w:r>
      <w:bookmarkEnd w:id="70"/>
      <w:r w:rsidR="00454C76" w:rsidRPr="008B029F">
        <w:rPr>
          <w:lang w:val="en-AU"/>
        </w:rPr>
        <w:tab/>
      </w:r>
      <w:r w:rsidR="00454C76" w:rsidRPr="008B029F">
        <w:rPr>
          <w:lang w:val="en-AU" w:eastAsia="en-GB"/>
        </w:rPr>
        <w:t xml:space="preserve">Efficacy </w:t>
      </w:r>
      <w:r w:rsidR="008A3535" w:rsidRPr="008B029F">
        <w:rPr>
          <w:lang w:val="en-AU" w:eastAsia="en-GB"/>
        </w:rPr>
        <w:t>r</w:t>
      </w:r>
      <w:r w:rsidR="00454C76" w:rsidRPr="008B029F">
        <w:rPr>
          <w:lang w:val="en-AU" w:eastAsia="en-GB"/>
        </w:rPr>
        <w:t>esults for DREAM for the epithelioid subgroup</w:t>
      </w:r>
    </w:p>
    <w:tbl>
      <w:tblPr>
        <w:tblStyle w:val="TableGrid"/>
        <w:tblW w:w="5000" w:type="pct"/>
        <w:tblLook w:val="04A0" w:firstRow="1" w:lastRow="0" w:firstColumn="1" w:lastColumn="0" w:noHBand="0" w:noVBand="1"/>
      </w:tblPr>
      <w:tblGrid>
        <w:gridCol w:w="4956"/>
        <w:gridCol w:w="4672"/>
      </w:tblGrid>
      <w:tr w:rsidR="00454C76" w:rsidRPr="008B029F" w14:paraId="1482AEEB" w14:textId="77777777" w:rsidTr="00B37054">
        <w:tc>
          <w:tcPr>
            <w:tcW w:w="2574" w:type="pct"/>
          </w:tcPr>
          <w:p w14:paraId="39F9B0E2" w14:textId="77777777" w:rsidR="00454C76" w:rsidRPr="008B029F" w:rsidRDefault="00454C76" w:rsidP="000C7318">
            <w:pPr>
              <w:pStyle w:val="TableHead"/>
              <w:rPr>
                <w:lang w:val="en-AU" w:eastAsia="en-GB"/>
              </w:rPr>
            </w:pPr>
            <w:bookmarkStart w:id="71" w:name="_Hlk77605918"/>
          </w:p>
        </w:tc>
        <w:tc>
          <w:tcPr>
            <w:tcW w:w="2426" w:type="pct"/>
          </w:tcPr>
          <w:p w14:paraId="3B039BF4" w14:textId="77777777" w:rsidR="00454C76" w:rsidRPr="008B029F" w:rsidRDefault="00454C76" w:rsidP="000C7318">
            <w:pPr>
              <w:pStyle w:val="TableHead"/>
              <w:rPr>
                <w:lang w:val="en-AU" w:eastAsia="en-GB"/>
              </w:rPr>
            </w:pPr>
            <w:r w:rsidRPr="008B029F">
              <w:rPr>
                <w:lang w:val="en-AU" w:eastAsia="en-GB"/>
              </w:rPr>
              <w:t>N=45</w:t>
            </w:r>
          </w:p>
        </w:tc>
      </w:tr>
      <w:tr w:rsidR="00454C76" w:rsidRPr="008B029F" w14:paraId="0064AADE" w14:textId="77777777" w:rsidTr="00B37054">
        <w:tc>
          <w:tcPr>
            <w:tcW w:w="5000" w:type="pct"/>
            <w:gridSpan w:val="2"/>
          </w:tcPr>
          <w:p w14:paraId="747D2796" w14:textId="77777777" w:rsidR="00454C76" w:rsidRPr="008B029F" w:rsidRDefault="00454C76" w:rsidP="000C7318">
            <w:pPr>
              <w:pStyle w:val="TableLeft"/>
              <w:rPr>
                <w:b/>
                <w:bCs w:val="0"/>
                <w:lang w:val="en-AU" w:eastAsia="en-GB"/>
              </w:rPr>
            </w:pPr>
            <w:r w:rsidRPr="008B029F">
              <w:rPr>
                <w:b/>
                <w:bCs w:val="0"/>
                <w:lang w:val="en-AU" w:eastAsia="en-GB"/>
              </w:rPr>
              <w:t>PFS</w:t>
            </w:r>
          </w:p>
        </w:tc>
      </w:tr>
      <w:tr w:rsidR="00454C76" w:rsidRPr="008B029F" w14:paraId="46DF3474" w14:textId="77777777" w:rsidTr="00B37054">
        <w:tc>
          <w:tcPr>
            <w:tcW w:w="2574" w:type="pct"/>
          </w:tcPr>
          <w:p w14:paraId="30FBC66A" w14:textId="77777777" w:rsidR="00454C76" w:rsidRPr="008B029F" w:rsidRDefault="00454C76" w:rsidP="000C7318">
            <w:pPr>
              <w:pStyle w:val="TableLeft"/>
              <w:rPr>
                <w:lang w:val="en-AU" w:eastAsia="en-GB"/>
              </w:rPr>
            </w:pPr>
            <w:r w:rsidRPr="008B029F">
              <w:rPr>
                <w:lang w:val="en-AU" w:eastAsia="en-GB"/>
              </w:rPr>
              <w:t>Number of events (%)</w:t>
            </w:r>
          </w:p>
        </w:tc>
        <w:tc>
          <w:tcPr>
            <w:tcW w:w="2426" w:type="pct"/>
          </w:tcPr>
          <w:p w14:paraId="45F79A17" w14:textId="77777777" w:rsidR="00454C76" w:rsidRPr="008B029F" w:rsidRDefault="00454C76" w:rsidP="000C7318">
            <w:pPr>
              <w:pStyle w:val="TableCenter"/>
              <w:rPr>
                <w:lang w:val="en-AU" w:eastAsia="en-GB"/>
              </w:rPr>
            </w:pPr>
            <w:r w:rsidRPr="008B029F">
              <w:rPr>
                <w:lang w:val="en-AU" w:eastAsia="en-GB"/>
              </w:rPr>
              <w:t>43 (95.6)</w:t>
            </w:r>
          </w:p>
        </w:tc>
      </w:tr>
      <w:tr w:rsidR="00454C76" w:rsidRPr="008B029F" w14:paraId="0F95C84C" w14:textId="77777777" w:rsidTr="00B37054">
        <w:tc>
          <w:tcPr>
            <w:tcW w:w="2574" w:type="pct"/>
          </w:tcPr>
          <w:p w14:paraId="7BEC26A5" w14:textId="77777777" w:rsidR="00454C76" w:rsidRPr="008B029F" w:rsidRDefault="00454C76" w:rsidP="000C7318">
            <w:pPr>
              <w:pStyle w:val="TableLeft"/>
              <w:ind w:left="164"/>
              <w:rPr>
                <w:lang w:val="en-AU" w:eastAsia="en-GB"/>
              </w:rPr>
            </w:pPr>
            <w:r w:rsidRPr="008B029F">
              <w:rPr>
                <w:lang w:val="en-AU" w:eastAsia="en-GB"/>
              </w:rPr>
              <w:t>Median PFS (months) (95% CI)</w:t>
            </w:r>
            <w:r w:rsidRPr="008B029F">
              <w:rPr>
                <w:vertAlign w:val="superscript"/>
                <w:lang w:val="en-AU" w:eastAsia="en-GB"/>
              </w:rPr>
              <w:t xml:space="preserve"> a</w:t>
            </w:r>
          </w:p>
        </w:tc>
        <w:tc>
          <w:tcPr>
            <w:tcW w:w="2426" w:type="pct"/>
          </w:tcPr>
          <w:p w14:paraId="2D938659" w14:textId="77777777" w:rsidR="00454C76" w:rsidRPr="008B029F" w:rsidRDefault="00454C76" w:rsidP="000C7318">
            <w:pPr>
              <w:pStyle w:val="TableCenter"/>
              <w:rPr>
                <w:lang w:val="en-AU" w:eastAsia="en-GB"/>
              </w:rPr>
            </w:pPr>
            <w:r w:rsidRPr="008B029F">
              <w:rPr>
                <w:lang w:val="en-AU" w:eastAsia="en-GB"/>
              </w:rPr>
              <w:t xml:space="preserve">7.5 (5.7, 9.0) </w:t>
            </w:r>
          </w:p>
        </w:tc>
      </w:tr>
      <w:tr w:rsidR="00454C76" w:rsidRPr="008B029F" w14:paraId="24E57741" w14:textId="77777777" w:rsidTr="00B37054">
        <w:tc>
          <w:tcPr>
            <w:tcW w:w="2574" w:type="pct"/>
          </w:tcPr>
          <w:p w14:paraId="0031B56C" w14:textId="77777777" w:rsidR="00454C76" w:rsidRPr="008B029F" w:rsidRDefault="00454C76" w:rsidP="000C7318">
            <w:pPr>
              <w:pStyle w:val="TableLeft"/>
              <w:ind w:left="164"/>
              <w:rPr>
                <w:lang w:val="en-AU" w:eastAsia="en-GB"/>
              </w:rPr>
            </w:pPr>
            <w:r w:rsidRPr="008B029F">
              <w:rPr>
                <w:lang w:val="en-AU" w:eastAsia="en-GB"/>
              </w:rPr>
              <w:t>PFS at 6 months (%) (95% CI)</w:t>
            </w:r>
            <w:r w:rsidRPr="008B029F">
              <w:rPr>
                <w:vertAlign w:val="superscript"/>
                <w:lang w:val="en-AU" w:eastAsia="en-GB"/>
              </w:rPr>
              <w:t>a</w:t>
            </w:r>
          </w:p>
        </w:tc>
        <w:tc>
          <w:tcPr>
            <w:tcW w:w="2426" w:type="pct"/>
          </w:tcPr>
          <w:p w14:paraId="0E09B15A" w14:textId="77777777" w:rsidR="00454C76" w:rsidRPr="008B029F" w:rsidRDefault="00454C76" w:rsidP="000C7318">
            <w:pPr>
              <w:pStyle w:val="TableCenter"/>
              <w:rPr>
                <w:bCs/>
                <w:lang w:val="en-AU" w:eastAsia="en-GB"/>
              </w:rPr>
            </w:pPr>
            <w:r w:rsidRPr="008B029F">
              <w:rPr>
                <w:bCs/>
                <w:lang w:val="en-AU" w:eastAsia="en-GB"/>
              </w:rPr>
              <w:t xml:space="preserve">62.2 (46.5, 74.6) </w:t>
            </w:r>
          </w:p>
        </w:tc>
      </w:tr>
      <w:tr w:rsidR="00454C76" w:rsidRPr="008B029F" w14:paraId="2868D5F2" w14:textId="77777777" w:rsidTr="00B37054">
        <w:tc>
          <w:tcPr>
            <w:tcW w:w="2574" w:type="pct"/>
          </w:tcPr>
          <w:p w14:paraId="121CCB3E" w14:textId="77777777" w:rsidR="00454C76" w:rsidRPr="008B029F" w:rsidRDefault="00454C76" w:rsidP="000C7318">
            <w:pPr>
              <w:pStyle w:val="TableLeft"/>
              <w:ind w:left="164"/>
              <w:rPr>
                <w:lang w:val="en-AU" w:eastAsia="en-GB"/>
              </w:rPr>
            </w:pPr>
            <w:r w:rsidRPr="008B029F">
              <w:rPr>
                <w:lang w:val="en-AU" w:eastAsia="en-GB"/>
              </w:rPr>
              <w:t>PFS at 12 months (%) (95% CI)</w:t>
            </w:r>
            <w:r w:rsidRPr="008B029F">
              <w:rPr>
                <w:vertAlign w:val="superscript"/>
                <w:lang w:val="en-AU" w:eastAsia="en-GB"/>
              </w:rPr>
              <w:t>a</w:t>
            </w:r>
          </w:p>
        </w:tc>
        <w:tc>
          <w:tcPr>
            <w:tcW w:w="2426" w:type="pct"/>
          </w:tcPr>
          <w:p w14:paraId="75ADD247" w14:textId="77777777" w:rsidR="00454C76" w:rsidRPr="008B029F" w:rsidRDefault="00454C76" w:rsidP="000C7318">
            <w:pPr>
              <w:pStyle w:val="TableCenter"/>
              <w:rPr>
                <w:bCs/>
                <w:lang w:val="en-AU" w:eastAsia="en-GB"/>
              </w:rPr>
            </w:pPr>
            <w:r w:rsidRPr="008B029F">
              <w:rPr>
                <w:bCs/>
                <w:lang w:val="en-AU" w:eastAsia="en-GB"/>
              </w:rPr>
              <w:t xml:space="preserve">26.7 (14.9, 40.0) </w:t>
            </w:r>
          </w:p>
        </w:tc>
      </w:tr>
      <w:tr w:rsidR="00454C76" w:rsidRPr="008B029F" w14:paraId="71325C45" w14:textId="77777777" w:rsidTr="00B37054">
        <w:tc>
          <w:tcPr>
            <w:tcW w:w="2574" w:type="pct"/>
          </w:tcPr>
          <w:p w14:paraId="58E46AF9" w14:textId="77777777" w:rsidR="00454C76" w:rsidRPr="008B029F" w:rsidRDefault="00454C76" w:rsidP="000C7318">
            <w:pPr>
              <w:pStyle w:val="TableLeft"/>
              <w:ind w:left="164"/>
              <w:rPr>
                <w:lang w:val="en-AU" w:eastAsia="en-GB"/>
              </w:rPr>
            </w:pPr>
            <w:r w:rsidRPr="008B029F">
              <w:rPr>
                <w:lang w:val="en-AU" w:eastAsia="en-GB"/>
              </w:rPr>
              <w:t>PFS at 24 months (%) (95% CI)</w:t>
            </w:r>
            <w:r w:rsidRPr="008B029F">
              <w:rPr>
                <w:vertAlign w:val="superscript"/>
                <w:lang w:val="en-AU" w:eastAsia="en-GB"/>
              </w:rPr>
              <w:t>a</w:t>
            </w:r>
          </w:p>
        </w:tc>
        <w:tc>
          <w:tcPr>
            <w:tcW w:w="2426" w:type="pct"/>
          </w:tcPr>
          <w:p w14:paraId="4DE8A5ED" w14:textId="77777777" w:rsidR="00454C76" w:rsidRPr="008B029F" w:rsidRDefault="00454C76" w:rsidP="000C7318">
            <w:pPr>
              <w:pStyle w:val="TableCenter"/>
              <w:rPr>
                <w:bCs/>
                <w:lang w:val="en-AU" w:eastAsia="en-GB"/>
              </w:rPr>
            </w:pPr>
            <w:r w:rsidRPr="008B029F">
              <w:rPr>
                <w:bCs/>
                <w:lang w:val="en-AU" w:eastAsia="en-GB"/>
              </w:rPr>
              <w:t xml:space="preserve">6.7 (1.7, 16.4) </w:t>
            </w:r>
          </w:p>
        </w:tc>
      </w:tr>
      <w:tr w:rsidR="00454C76" w:rsidRPr="008B029F" w14:paraId="1CA157DA" w14:textId="77777777" w:rsidTr="00B37054">
        <w:tc>
          <w:tcPr>
            <w:tcW w:w="5000" w:type="pct"/>
            <w:gridSpan w:val="2"/>
          </w:tcPr>
          <w:p w14:paraId="340AC7D7" w14:textId="77777777" w:rsidR="00454C76" w:rsidRPr="008B029F" w:rsidRDefault="00454C76" w:rsidP="000C7318">
            <w:pPr>
              <w:pStyle w:val="TableLeft"/>
              <w:rPr>
                <w:b/>
                <w:bCs w:val="0"/>
                <w:lang w:val="en-AU"/>
              </w:rPr>
            </w:pPr>
            <w:r w:rsidRPr="008B029F">
              <w:rPr>
                <w:b/>
                <w:bCs w:val="0"/>
                <w:lang w:val="en-AU" w:eastAsia="en-GB"/>
              </w:rPr>
              <w:t>OS</w:t>
            </w:r>
          </w:p>
        </w:tc>
      </w:tr>
      <w:tr w:rsidR="00454C76" w:rsidRPr="008B029F" w14:paraId="0921CE9E" w14:textId="77777777" w:rsidTr="00B37054">
        <w:tc>
          <w:tcPr>
            <w:tcW w:w="2574" w:type="pct"/>
          </w:tcPr>
          <w:p w14:paraId="74B40A61" w14:textId="77777777" w:rsidR="00454C76" w:rsidRPr="008B029F" w:rsidRDefault="00454C76" w:rsidP="000C7318">
            <w:pPr>
              <w:pStyle w:val="TableLeft"/>
              <w:ind w:left="164"/>
              <w:rPr>
                <w:lang w:val="en-AU" w:eastAsia="en-GB"/>
              </w:rPr>
            </w:pPr>
            <w:r w:rsidRPr="008B029F">
              <w:rPr>
                <w:lang w:val="en-AU" w:eastAsia="en-GB"/>
              </w:rPr>
              <w:lastRenderedPageBreak/>
              <w:t>Number of deaths (%)</w:t>
            </w:r>
          </w:p>
        </w:tc>
        <w:tc>
          <w:tcPr>
            <w:tcW w:w="2426" w:type="pct"/>
          </w:tcPr>
          <w:p w14:paraId="39FF1051" w14:textId="77777777" w:rsidR="00454C76" w:rsidRPr="008B029F" w:rsidRDefault="00454C76" w:rsidP="000C7318">
            <w:pPr>
              <w:pStyle w:val="TableCenter"/>
              <w:rPr>
                <w:lang w:val="en-AU" w:eastAsia="en-GB"/>
              </w:rPr>
            </w:pPr>
            <w:r w:rsidRPr="008B029F">
              <w:rPr>
                <w:lang w:val="en-AU" w:eastAsia="en-GB"/>
              </w:rPr>
              <w:t>31 (68.9)</w:t>
            </w:r>
          </w:p>
        </w:tc>
      </w:tr>
      <w:tr w:rsidR="00454C76" w:rsidRPr="008B029F" w14:paraId="069D01A8" w14:textId="77777777" w:rsidTr="00B37054">
        <w:tc>
          <w:tcPr>
            <w:tcW w:w="2574" w:type="pct"/>
          </w:tcPr>
          <w:p w14:paraId="7100390B" w14:textId="77777777" w:rsidR="00454C76" w:rsidRPr="008B029F" w:rsidRDefault="00454C76" w:rsidP="000C7318">
            <w:pPr>
              <w:pStyle w:val="TableLeft"/>
              <w:ind w:left="164"/>
              <w:rPr>
                <w:lang w:val="en-AU" w:eastAsia="en-GB"/>
              </w:rPr>
            </w:pPr>
            <w:r w:rsidRPr="008B029F">
              <w:rPr>
                <w:lang w:val="en-AU" w:eastAsia="en-GB"/>
              </w:rPr>
              <w:t>Median OS (months) (95% CI)</w:t>
            </w:r>
            <w:r w:rsidRPr="008B029F">
              <w:rPr>
                <w:vertAlign w:val="superscript"/>
                <w:lang w:val="en-AU" w:eastAsia="en-GB"/>
              </w:rPr>
              <w:t>a</w:t>
            </w:r>
          </w:p>
        </w:tc>
        <w:tc>
          <w:tcPr>
            <w:tcW w:w="2426" w:type="pct"/>
          </w:tcPr>
          <w:p w14:paraId="30995D4C" w14:textId="77777777" w:rsidR="00454C76" w:rsidRPr="008B029F" w:rsidRDefault="00454C76" w:rsidP="000C7318">
            <w:pPr>
              <w:pStyle w:val="TableCenter"/>
              <w:rPr>
                <w:lang w:val="en-AU" w:eastAsia="en-GB"/>
              </w:rPr>
            </w:pPr>
            <w:r w:rsidRPr="008B029F">
              <w:rPr>
                <w:lang w:val="en-AU" w:eastAsia="en-GB"/>
              </w:rPr>
              <w:t xml:space="preserve">22.3 (14.7, 27.0) </w:t>
            </w:r>
          </w:p>
        </w:tc>
      </w:tr>
      <w:tr w:rsidR="00454C76" w:rsidRPr="008B029F" w14:paraId="05FD26E0" w14:textId="77777777" w:rsidTr="00B37054">
        <w:trPr>
          <w:trHeight w:val="251"/>
        </w:trPr>
        <w:tc>
          <w:tcPr>
            <w:tcW w:w="2574" w:type="pct"/>
          </w:tcPr>
          <w:p w14:paraId="505543BA" w14:textId="77777777" w:rsidR="00454C76" w:rsidRPr="008B029F" w:rsidRDefault="00454C76" w:rsidP="000C7318">
            <w:pPr>
              <w:pStyle w:val="TableLeft"/>
              <w:rPr>
                <w:b/>
                <w:bCs w:val="0"/>
                <w:lang w:val="en-AU" w:eastAsia="en-GB"/>
              </w:rPr>
            </w:pPr>
            <w:r w:rsidRPr="008B029F">
              <w:rPr>
                <w:b/>
                <w:bCs w:val="0"/>
                <w:lang w:val="en-AU" w:eastAsia="en-GB"/>
              </w:rPr>
              <w:t>ORR n (%)</w:t>
            </w:r>
            <w:r w:rsidRPr="008B029F">
              <w:rPr>
                <w:b/>
                <w:bCs w:val="0"/>
                <w:vertAlign w:val="superscript"/>
                <w:lang w:val="en-AU" w:eastAsia="en-GB"/>
              </w:rPr>
              <w:t xml:space="preserve">b </w:t>
            </w:r>
            <w:r w:rsidRPr="008B029F">
              <w:rPr>
                <w:b/>
                <w:bCs w:val="0"/>
                <w:lang w:val="en-AU" w:eastAsia="en-GB"/>
              </w:rPr>
              <w:t>(95% CI), all partial responses</w:t>
            </w:r>
          </w:p>
        </w:tc>
        <w:tc>
          <w:tcPr>
            <w:tcW w:w="2426" w:type="pct"/>
          </w:tcPr>
          <w:p w14:paraId="72140B29" w14:textId="77777777" w:rsidR="00454C76" w:rsidRPr="008B029F" w:rsidRDefault="00454C76" w:rsidP="000C7318">
            <w:pPr>
              <w:pStyle w:val="TableCenter"/>
              <w:rPr>
                <w:lang w:val="en-AU"/>
              </w:rPr>
            </w:pPr>
            <w:r w:rsidRPr="008B029F">
              <w:rPr>
                <w:lang w:val="en-AU"/>
              </w:rPr>
              <w:t>22 (48.9)</w:t>
            </w:r>
            <w:r w:rsidRPr="008B029F">
              <w:rPr>
                <w:lang w:val="en-AU" w:eastAsia="en-GB"/>
              </w:rPr>
              <w:t xml:space="preserve"> (33.7, 64.2)</w:t>
            </w:r>
            <w:r w:rsidRPr="008B029F" w:rsidDel="0026067D">
              <w:rPr>
                <w:lang w:val="en-AU" w:eastAsia="en-GB"/>
              </w:rPr>
              <w:t xml:space="preserve"> </w:t>
            </w:r>
          </w:p>
        </w:tc>
      </w:tr>
      <w:tr w:rsidR="00454C76" w:rsidRPr="008B029F" w14:paraId="1EF50F98" w14:textId="77777777" w:rsidTr="00B37054">
        <w:tc>
          <w:tcPr>
            <w:tcW w:w="2574" w:type="pct"/>
          </w:tcPr>
          <w:p w14:paraId="5BC8FFF8" w14:textId="77777777" w:rsidR="00454C76" w:rsidRPr="008B029F" w:rsidRDefault="00454C76" w:rsidP="000C7318">
            <w:pPr>
              <w:pStyle w:val="TableLeft"/>
              <w:rPr>
                <w:b/>
                <w:bCs w:val="0"/>
                <w:lang w:val="en-AU" w:eastAsia="en-GB"/>
              </w:rPr>
            </w:pPr>
            <w:r w:rsidRPr="008B029F">
              <w:rPr>
                <w:b/>
                <w:bCs w:val="0"/>
                <w:lang w:val="en-AU" w:eastAsia="en-GB"/>
              </w:rPr>
              <w:t>Median duration of response</w:t>
            </w:r>
            <w:r w:rsidRPr="008B029F">
              <w:rPr>
                <w:b/>
                <w:bCs w:val="0"/>
                <w:vertAlign w:val="superscript"/>
                <w:lang w:val="en-AU" w:eastAsia="en-GB"/>
              </w:rPr>
              <w:t>a,c</w:t>
            </w:r>
            <w:r w:rsidRPr="008B029F">
              <w:rPr>
                <w:b/>
                <w:bCs w:val="0"/>
                <w:lang w:val="en-AU" w:eastAsia="en-GB"/>
              </w:rPr>
              <w:t>, months (95% CI)</w:t>
            </w:r>
          </w:p>
        </w:tc>
        <w:tc>
          <w:tcPr>
            <w:tcW w:w="2426" w:type="pct"/>
          </w:tcPr>
          <w:p w14:paraId="4910A775" w14:textId="77777777" w:rsidR="00454C76" w:rsidRPr="008B029F" w:rsidRDefault="00454C76" w:rsidP="000C7318">
            <w:pPr>
              <w:pStyle w:val="TableCenter"/>
              <w:rPr>
                <w:lang w:val="en-AU" w:eastAsia="en-GB"/>
              </w:rPr>
            </w:pPr>
            <w:r w:rsidRPr="008B029F">
              <w:rPr>
                <w:lang w:val="en-AU" w:eastAsia="en-GB"/>
              </w:rPr>
              <w:t xml:space="preserve">7.7 (4.9, 11.1) </w:t>
            </w:r>
          </w:p>
        </w:tc>
      </w:tr>
    </w:tbl>
    <w:bookmarkEnd w:id="71"/>
    <w:p w14:paraId="3A63F6C3" w14:textId="77777777" w:rsidR="00454C76" w:rsidRPr="008B029F" w:rsidRDefault="00454C76" w:rsidP="000C7318">
      <w:pPr>
        <w:pStyle w:val="TableFootnoteLetter"/>
        <w:numPr>
          <w:ilvl w:val="0"/>
          <w:numId w:val="35"/>
        </w:numPr>
        <w:rPr>
          <w:rFonts w:asciiTheme="minorHAnsi" w:eastAsiaTheme="minorEastAsia" w:hAnsiTheme="minorHAnsi" w:cstheme="minorBidi"/>
          <w:lang w:val="en-AU" w:eastAsia="en-GB"/>
        </w:rPr>
      </w:pPr>
      <w:r w:rsidRPr="008B029F">
        <w:rPr>
          <w:lang w:val="en-AU" w:eastAsia="en-GB"/>
        </w:rPr>
        <w:t>Calculated using the Kaplan-Meier method</w:t>
      </w:r>
    </w:p>
    <w:p w14:paraId="27FE67B0" w14:textId="410B533F" w:rsidR="00454C76" w:rsidRPr="008B029F" w:rsidRDefault="00454C76" w:rsidP="000C7318">
      <w:pPr>
        <w:pStyle w:val="TableFootnoteLetter"/>
        <w:rPr>
          <w:bCs/>
          <w:lang w:val="en-AU" w:eastAsia="en-GB"/>
        </w:rPr>
      </w:pPr>
      <w:r w:rsidRPr="008B029F">
        <w:rPr>
          <w:bCs/>
          <w:lang w:val="en-AU" w:eastAsia="en-GB"/>
        </w:rPr>
        <w:t>Confirmed objective response rate</w:t>
      </w:r>
    </w:p>
    <w:p w14:paraId="65DCA466" w14:textId="6F1BFA4B" w:rsidR="00454C76" w:rsidRPr="008B029F" w:rsidRDefault="00454C76" w:rsidP="000C7318">
      <w:pPr>
        <w:pStyle w:val="TableFootnoteLetter"/>
        <w:rPr>
          <w:lang w:val="en-AU" w:eastAsia="en-GB"/>
        </w:rPr>
      </w:pPr>
      <w:r w:rsidRPr="008B029F">
        <w:rPr>
          <w:bCs/>
          <w:lang w:val="en-AU" w:eastAsia="en-GB"/>
        </w:rPr>
        <w:t>Duration of response based on confirmed objective response rate</w:t>
      </w:r>
    </w:p>
    <w:p w14:paraId="5C9BD89C" w14:textId="77777777" w:rsidR="00454C76" w:rsidRPr="008B029F" w:rsidRDefault="00454C76" w:rsidP="00454C76">
      <w:pPr>
        <w:pStyle w:val="TableFootnoteInfo"/>
        <w:keepNext/>
        <w:spacing w:before="0" w:after="0"/>
        <w:rPr>
          <w:szCs w:val="18"/>
          <w:lang w:val="en-AU" w:eastAsia="en-GB"/>
        </w:rPr>
      </w:pPr>
      <w:r w:rsidRPr="008B029F">
        <w:rPr>
          <w:szCs w:val="18"/>
          <w:lang w:val="en-AU" w:eastAsia="en-GB"/>
        </w:rPr>
        <w:t>CI, confidence interval</w:t>
      </w:r>
    </w:p>
    <w:p w14:paraId="61D1C6AA" w14:textId="77777777" w:rsidR="00454C76" w:rsidRPr="008B029F" w:rsidRDefault="00454C76" w:rsidP="000C7318">
      <w:pPr>
        <w:pStyle w:val="Paragraph"/>
        <w:rPr>
          <w:lang w:val="en-AU"/>
        </w:rPr>
      </w:pPr>
    </w:p>
    <w:p w14:paraId="1134D097" w14:textId="4961608C" w:rsidR="00454C76" w:rsidRPr="008B029F" w:rsidRDefault="00454C76" w:rsidP="000C7318">
      <w:pPr>
        <w:pStyle w:val="FigureTitle"/>
        <w:rPr>
          <w:lang w:val="en-AU" w:eastAsia="en-GB"/>
        </w:rPr>
      </w:pPr>
      <w:bookmarkStart w:id="72" w:name="_Ref77673783"/>
      <w:r w:rsidRPr="008B029F">
        <w:rPr>
          <w:lang w:val="en-AU"/>
        </w:rPr>
        <w:t xml:space="preserve">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9</w:t>
      </w:r>
      <w:r w:rsidRPr="008B029F">
        <w:rPr>
          <w:color w:val="2B579A"/>
          <w:shd w:val="clear" w:color="auto" w:fill="E6E6E6"/>
          <w:lang w:val="en-AU"/>
        </w:rPr>
        <w:fldChar w:fldCharType="end"/>
      </w:r>
      <w:bookmarkEnd w:id="72"/>
      <w:r w:rsidRPr="008B029F">
        <w:rPr>
          <w:lang w:val="en-AU"/>
        </w:rPr>
        <w:tab/>
        <w:t xml:space="preserve">Kaplan-Meier curve of PFS </w:t>
      </w:r>
      <w:r w:rsidRPr="008B029F">
        <w:rPr>
          <w:lang w:val="en-AU" w:eastAsia="en-GB"/>
        </w:rPr>
        <w:t>for the epithelioid subgroup</w:t>
      </w:r>
      <w:r w:rsidR="008A3535" w:rsidRPr="008B029F">
        <w:rPr>
          <w:lang w:val="en-AU" w:eastAsia="en-GB"/>
        </w:rPr>
        <w:t xml:space="preserve"> (DREAM study)</w:t>
      </w:r>
    </w:p>
    <w:p w14:paraId="3232F378" w14:textId="77777777" w:rsidR="00454C76" w:rsidRPr="008B029F" w:rsidRDefault="00454C76" w:rsidP="00454C76">
      <w:pPr>
        <w:rPr>
          <w:noProof/>
          <w:lang w:val="en-AU"/>
        </w:rPr>
      </w:pPr>
      <w:r w:rsidRPr="008B029F">
        <w:rPr>
          <w:noProof/>
          <w:color w:val="2B579A"/>
          <w:shd w:val="clear" w:color="auto" w:fill="E6E6E6"/>
          <w:lang w:val="en-AU"/>
        </w:rPr>
        <w:drawing>
          <wp:inline distT="0" distB="0" distL="0" distR="0" wp14:anchorId="2E7195D9" wp14:editId="568E690B">
            <wp:extent cx="6038850" cy="396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074" r="1328" b="999"/>
                    <a:stretch/>
                  </pic:blipFill>
                  <pic:spPr bwMode="auto">
                    <a:xfrm>
                      <a:off x="0" y="0"/>
                      <a:ext cx="6038850" cy="3962400"/>
                    </a:xfrm>
                    <a:prstGeom prst="rect">
                      <a:avLst/>
                    </a:prstGeom>
                    <a:ln>
                      <a:noFill/>
                    </a:ln>
                    <a:extLst>
                      <a:ext uri="{53640926-AAD7-44D8-BBD7-CCE9431645EC}">
                        <a14:shadowObscured xmlns:a14="http://schemas.microsoft.com/office/drawing/2010/main"/>
                      </a:ext>
                    </a:extLst>
                  </pic:spPr>
                </pic:pic>
              </a:graphicData>
            </a:graphic>
          </wp:inline>
        </w:drawing>
      </w:r>
    </w:p>
    <w:p w14:paraId="67B3086D" w14:textId="5D78CDC3" w:rsidR="00454C76" w:rsidRPr="008B029F" w:rsidRDefault="00454C76" w:rsidP="000C7318">
      <w:pPr>
        <w:pStyle w:val="FigureTitle"/>
        <w:rPr>
          <w:lang w:val="en-AU"/>
        </w:rPr>
      </w:pPr>
      <w:bookmarkStart w:id="73" w:name="_Ref77673785"/>
      <w:r w:rsidRPr="008B029F">
        <w:rPr>
          <w:lang w:val="en-AU"/>
        </w:rPr>
        <w:lastRenderedPageBreak/>
        <w:t xml:space="preserve">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10</w:t>
      </w:r>
      <w:r w:rsidRPr="008B029F">
        <w:rPr>
          <w:color w:val="2B579A"/>
          <w:shd w:val="clear" w:color="auto" w:fill="E6E6E6"/>
          <w:lang w:val="en-AU"/>
        </w:rPr>
        <w:fldChar w:fldCharType="end"/>
      </w:r>
      <w:bookmarkEnd w:id="73"/>
      <w:r w:rsidRPr="008B029F">
        <w:rPr>
          <w:lang w:val="en-AU"/>
        </w:rPr>
        <w:tab/>
        <w:t>Kaplan-Meier curve of OS</w:t>
      </w:r>
      <w:r w:rsidRPr="008B029F">
        <w:rPr>
          <w:lang w:val="en-AU" w:eastAsia="en-GB"/>
        </w:rPr>
        <w:t xml:space="preserve"> for the epithelioid subgroup</w:t>
      </w:r>
      <w:r w:rsidR="008A3535" w:rsidRPr="008B029F">
        <w:rPr>
          <w:lang w:val="en-AU" w:eastAsia="en-GB"/>
        </w:rPr>
        <w:t xml:space="preserve"> (DREAM study)</w:t>
      </w:r>
    </w:p>
    <w:p w14:paraId="5A572286" w14:textId="77777777" w:rsidR="00454C76" w:rsidRPr="008B029F" w:rsidRDefault="00454C76" w:rsidP="00454C76">
      <w:pPr>
        <w:pStyle w:val="Paragraph"/>
        <w:rPr>
          <w:lang w:val="en-AU"/>
        </w:rPr>
      </w:pPr>
      <w:r w:rsidRPr="008B029F">
        <w:rPr>
          <w:noProof/>
          <w:lang w:val="en-AU"/>
        </w:rPr>
        <w:t xml:space="preserve"> </w:t>
      </w:r>
      <w:r w:rsidRPr="008B029F">
        <w:rPr>
          <w:noProof/>
          <w:color w:val="2B579A"/>
          <w:shd w:val="clear" w:color="auto" w:fill="E6E6E6"/>
          <w:lang w:val="en-AU"/>
        </w:rPr>
        <w:drawing>
          <wp:inline distT="0" distB="0" distL="0" distR="0" wp14:anchorId="3060A237" wp14:editId="15E9B6D8">
            <wp:extent cx="6016613" cy="4234352"/>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4473" cy="4239884"/>
                    </a:xfrm>
                    <a:prstGeom prst="rect">
                      <a:avLst/>
                    </a:prstGeom>
                  </pic:spPr>
                </pic:pic>
              </a:graphicData>
            </a:graphic>
          </wp:inline>
        </w:drawing>
      </w:r>
    </w:p>
    <w:p w14:paraId="0A1B6CF6" w14:textId="34674967" w:rsidR="00454C76" w:rsidRPr="008B029F" w:rsidRDefault="00454C76" w:rsidP="00010609">
      <w:pPr>
        <w:pStyle w:val="Paragraph"/>
        <w:rPr>
          <w:lang w:val="en-AU"/>
        </w:rPr>
      </w:pPr>
    </w:p>
    <w:p w14:paraId="7057C6D2" w14:textId="09E168A8" w:rsidR="008A3535" w:rsidRPr="008B029F" w:rsidRDefault="008A3535" w:rsidP="007C6445">
      <w:pPr>
        <w:pStyle w:val="Heading4Unnumbered"/>
        <w:rPr>
          <w:lang w:val="en-AU"/>
        </w:rPr>
      </w:pPr>
      <w:r w:rsidRPr="008B029F">
        <w:rPr>
          <w:lang w:val="en-AU"/>
        </w:rPr>
        <w:t>Biliary tract carcinoma (</w:t>
      </w:r>
      <w:r w:rsidR="007C6445" w:rsidRPr="008B029F">
        <w:rPr>
          <w:lang w:val="en-AU"/>
        </w:rPr>
        <w:t>BTC</w:t>
      </w:r>
      <w:r w:rsidRPr="008B029F">
        <w:rPr>
          <w:lang w:val="en-AU"/>
        </w:rPr>
        <w:t>)</w:t>
      </w:r>
    </w:p>
    <w:p w14:paraId="5BEEAB5B" w14:textId="67CE4C73" w:rsidR="007C6445" w:rsidRPr="008B029F" w:rsidRDefault="007C6445" w:rsidP="008A3535">
      <w:pPr>
        <w:pStyle w:val="Heading5unnumbered"/>
        <w:rPr>
          <w:lang w:val="en-AU"/>
        </w:rPr>
      </w:pPr>
      <w:r w:rsidRPr="008B029F">
        <w:rPr>
          <w:lang w:val="en-AU"/>
        </w:rPr>
        <w:t>TOPAZ-1 Study</w:t>
      </w:r>
    </w:p>
    <w:p w14:paraId="6E30A9C2" w14:textId="66B2CE9D" w:rsidR="007C6445" w:rsidRPr="008B029F" w:rsidRDefault="007C6445" w:rsidP="007C6445">
      <w:pPr>
        <w:pStyle w:val="Paragraph"/>
        <w:rPr>
          <w:lang w:val="en-AU"/>
        </w:rPr>
      </w:pPr>
      <w:r w:rsidRPr="008B029F">
        <w:rPr>
          <w:lang w:val="en-AU"/>
        </w:rPr>
        <w:t>TOPAZ-1 was a study designed to evaluate the efficacy of IMFINZI in combination with gemcitabine and cisplatin. TOPAZ-1 was a randomised, double-blind, placebo-controlled, multicentre study in 685 patients with histologically confirmed locally advanced or metastatic BTC and ECOG performance status of 0 or 1. Patients who developed recurrent disease more than 6 months after surgery and/or completion of adjuvant therapy were included. Patients must have had at least one target lesion by RECIST v1.1 and adequate organ and bone marrow function.</w:t>
      </w:r>
    </w:p>
    <w:p w14:paraId="5BED604D" w14:textId="74AD39F1" w:rsidR="007C6445" w:rsidRPr="008B029F" w:rsidRDefault="007C6445" w:rsidP="007C6445">
      <w:pPr>
        <w:pStyle w:val="Paragraph"/>
        <w:rPr>
          <w:lang w:val="en-AU" w:eastAsia="en-GB"/>
        </w:rPr>
      </w:pPr>
      <w:r w:rsidRPr="008B029F">
        <w:rPr>
          <w:lang w:val="en-AU" w:eastAsia="en-GB"/>
        </w:rPr>
        <w:t xml:space="preserve">The study excluded patients with ampullary carcinoma, </w:t>
      </w:r>
      <w:r w:rsidRPr="008B029F">
        <w:rPr>
          <w:rFonts w:eastAsia="SimSun"/>
          <w:lang w:val="en-AU"/>
        </w:rPr>
        <w:t xml:space="preserve">active or prior documented autoimmune or inflammatory disorders, </w:t>
      </w:r>
      <w:r w:rsidRPr="008B029F">
        <w:rPr>
          <w:rFonts w:eastAsia="SimSun"/>
          <w:lang w:val="en-AU" w:eastAsia="en-GB"/>
        </w:rPr>
        <w:t>HIV infection or active infections, including tuberculosis or hepatitis C or patients with current or prior use of immunosuppressive medication within 14 days before the first dose of IMFINZI.</w:t>
      </w:r>
    </w:p>
    <w:p w14:paraId="3C94484F" w14:textId="77777777" w:rsidR="007C6445" w:rsidRPr="008B029F" w:rsidRDefault="007C6445" w:rsidP="007C6445">
      <w:pPr>
        <w:pStyle w:val="Paragraph"/>
        <w:rPr>
          <w:lang w:val="en-AU" w:eastAsia="en-GB"/>
        </w:rPr>
      </w:pPr>
      <w:r w:rsidRPr="008B029F">
        <w:rPr>
          <w:lang w:val="en-AU" w:eastAsia="en-GB"/>
        </w:rPr>
        <w:t>Randomisation was stratified by disease status and primary tumour location.</w:t>
      </w:r>
      <w:r w:rsidRPr="008B029F">
        <w:rPr>
          <w:rStyle w:val="EndnoteReference"/>
          <w:lang w:val="en-AU" w:eastAsia="en-GB"/>
        </w:rPr>
        <w:t xml:space="preserve"> </w:t>
      </w:r>
    </w:p>
    <w:p w14:paraId="1FA6CC7A" w14:textId="77777777" w:rsidR="007C6445" w:rsidRPr="008B029F" w:rsidRDefault="007C6445" w:rsidP="007C6445">
      <w:pPr>
        <w:pStyle w:val="Paragraph"/>
        <w:rPr>
          <w:lang w:val="en-AU" w:eastAsia="en-GB"/>
        </w:rPr>
      </w:pPr>
      <w:r w:rsidRPr="008B029F">
        <w:rPr>
          <w:lang w:val="en-AU" w:eastAsia="en-GB"/>
        </w:rPr>
        <w:t>Patients were randomised 1:1 to receive:</w:t>
      </w:r>
    </w:p>
    <w:p w14:paraId="5CFF2CA0" w14:textId="77777777" w:rsidR="007C6445" w:rsidRPr="008B029F" w:rsidRDefault="007C6445" w:rsidP="007C6445">
      <w:pPr>
        <w:pStyle w:val="ListBullet"/>
        <w:rPr>
          <w:lang w:val="en-AU" w:eastAsia="en-GB"/>
        </w:rPr>
      </w:pPr>
      <w:r w:rsidRPr="008B029F">
        <w:rPr>
          <w:lang w:val="en-AU" w:eastAsia="en-GB"/>
        </w:rPr>
        <w:t>Arm 1: IMFINZI 1500 mg administered intravenously on Day 1+ gemcitabine 1000 mg/m</w:t>
      </w:r>
      <w:r w:rsidRPr="008B029F">
        <w:rPr>
          <w:vertAlign w:val="superscript"/>
          <w:lang w:val="en-AU" w:eastAsia="en-GB"/>
        </w:rPr>
        <w:t>2</w:t>
      </w:r>
      <w:r w:rsidRPr="008B029F">
        <w:rPr>
          <w:lang w:val="en-AU" w:eastAsia="en-GB"/>
        </w:rPr>
        <w:t xml:space="preserve"> and cisplatin 25 mg/m</w:t>
      </w:r>
      <w:r w:rsidRPr="008B029F">
        <w:rPr>
          <w:vertAlign w:val="superscript"/>
          <w:lang w:val="en-AU" w:eastAsia="en-GB"/>
        </w:rPr>
        <w:t>2</w:t>
      </w:r>
      <w:r w:rsidRPr="008B029F">
        <w:rPr>
          <w:lang w:val="en-AU" w:eastAsia="en-GB"/>
        </w:rPr>
        <w:t xml:space="preserve"> </w:t>
      </w:r>
      <w:bookmarkStart w:id="74" w:name="_Hlk90380766"/>
      <w:r w:rsidRPr="008B029F">
        <w:rPr>
          <w:lang w:val="en-AU" w:eastAsia="en-GB"/>
        </w:rPr>
        <w:t xml:space="preserve">(each administered on Days 1 and 8) every 3 weeks (21 days) for up to </w:t>
      </w:r>
      <w:r w:rsidRPr="008B029F">
        <w:rPr>
          <w:lang w:val="en-AU" w:eastAsia="en-GB"/>
        </w:rPr>
        <w:lastRenderedPageBreak/>
        <w:t>8 cycles, followed by IMFINZI 1500 mg every 4 weeks</w:t>
      </w:r>
      <w:bookmarkEnd w:id="74"/>
      <w:r w:rsidRPr="008B029F">
        <w:rPr>
          <w:lang w:val="en-AU" w:eastAsia="en-GB"/>
        </w:rPr>
        <w:t xml:space="preserve"> as long as clinical benefit is observed or until unacceptable toxicity, or</w:t>
      </w:r>
    </w:p>
    <w:p w14:paraId="445FDAD4" w14:textId="3494DBBF" w:rsidR="007C6445" w:rsidRPr="008B029F" w:rsidRDefault="007C6445" w:rsidP="007C6445">
      <w:pPr>
        <w:pStyle w:val="ListBullet"/>
        <w:rPr>
          <w:lang w:val="en-AU" w:eastAsia="en-GB"/>
        </w:rPr>
      </w:pPr>
      <w:r w:rsidRPr="008B029F">
        <w:rPr>
          <w:lang w:val="en-AU" w:eastAsia="en-GB"/>
        </w:rPr>
        <w:t>Arm 2: Placebo administered intravenously on Day 1+ gemcitabine 1000 mg/m</w:t>
      </w:r>
      <w:r w:rsidRPr="008B029F">
        <w:rPr>
          <w:vertAlign w:val="superscript"/>
          <w:lang w:val="en-AU" w:eastAsia="en-GB"/>
        </w:rPr>
        <w:t>2</w:t>
      </w:r>
      <w:r w:rsidRPr="008B029F">
        <w:rPr>
          <w:lang w:val="en-AU" w:eastAsia="en-GB"/>
        </w:rPr>
        <w:t xml:space="preserve"> and cisplatin 25 mg/m</w:t>
      </w:r>
      <w:r w:rsidRPr="008B029F">
        <w:rPr>
          <w:vertAlign w:val="superscript"/>
          <w:lang w:val="en-AU" w:eastAsia="en-GB"/>
        </w:rPr>
        <w:t xml:space="preserve">2 </w:t>
      </w:r>
      <w:r w:rsidRPr="008B029F">
        <w:rPr>
          <w:rFonts w:eastAsia="SimSun"/>
          <w:lang w:val="en-AU"/>
        </w:rPr>
        <w:t xml:space="preserve">(each administered on Days 1 and 8) every 3 weeks (21 days) for </w:t>
      </w:r>
      <w:r w:rsidRPr="008B029F">
        <w:rPr>
          <w:lang w:val="en-AU" w:eastAsia="en-GB"/>
        </w:rPr>
        <w:t>up to 8 cycles, followed by placebo every 4 weeks</w:t>
      </w:r>
      <w:r w:rsidRPr="008B029F">
        <w:rPr>
          <w:rFonts w:eastAsia="SimSun"/>
          <w:lang w:val="en-AU"/>
        </w:rPr>
        <w:t xml:space="preserve"> </w:t>
      </w:r>
      <w:r w:rsidRPr="008B029F">
        <w:rPr>
          <w:lang w:val="en-AU" w:eastAsia="en-GB"/>
        </w:rPr>
        <w:t>as long as clinical benefit is observed or until unacceptable toxicity.</w:t>
      </w:r>
    </w:p>
    <w:p w14:paraId="18BB5B85" w14:textId="77777777" w:rsidR="00AD01EC" w:rsidRPr="008B029F" w:rsidRDefault="00AD01EC" w:rsidP="007C6445">
      <w:pPr>
        <w:pStyle w:val="Paragraph"/>
        <w:rPr>
          <w:lang w:val="en-AU" w:eastAsia="en-GB"/>
        </w:rPr>
      </w:pPr>
      <w:bookmarkStart w:id="75" w:name="_Hlk61335886"/>
    </w:p>
    <w:p w14:paraId="33C32AF4" w14:textId="4DBEF857" w:rsidR="007C6445" w:rsidRPr="008B029F" w:rsidRDefault="007C6445" w:rsidP="007C6445">
      <w:pPr>
        <w:pStyle w:val="Paragraph"/>
        <w:rPr>
          <w:lang w:val="en-AU" w:eastAsia="en-GB"/>
        </w:rPr>
      </w:pPr>
      <w:r w:rsidRPr="008B029F">
        <w:rPr>
          <w:lang w:val="en-AU" w:eastAsia="en-GB"/>
        </w:rPr>
        <w:t>Tumour assessments were conducted every 6 weeks for the first 24 weeks after the date of randomisation, and then every 8 weeks until confirmed objective disease progression.</w:t>
      </w:r>
      <w:bookmarkEnd w:id="75"/>
    </w:p>
    <w:p w14:paraId="6153B0D3" w14:textId="324A0629" w:rsidR="007C6445" w:rsidRPr="008B029F" w:rsidRDefault="007C6445" w:rsidP="007C6445">
      <w:pPr>
        <w:pStyle w:val="Paragraph"/>
        <w:rPr>
          <w:lang w:val="en-AU" w:eastAsia="en-GB"/>
        </w:rPr>
      </w:pPr>
      <w:r w:rsidRPr="008B029F">
        <w:rPr>
          <w:lang w:val="en-AU" w:eastAsia="en-GB"/>
        </w:rPr>
        <w:t>The primary endpoint of the study was OS and the key secondary endpoint was PFS. Other secondary endpoints were ORR, DoR and PRO. PFS, ORR and DoR were Investigator assessed according to RECIST v1.1.</w:t>
      </w:r>
    </w:p>
    <w:p w14:paraId="62B374DA" w14:textId="575E7608" w:rsidR="007C6445" w:rsidRPr="008B029F" w:rsidRDefault="007C6445" w:rsidP="007C6445">
      <w:pPr>
        <w:pStyle w:val="Paragraph"/>
        <w:rPr>
          <w:lang w:val="en-AU" w:eastAsia="en-GB"/>
        </w:rPr>
      </w:pPr>
      <w:r w:rsidRPr="008B029F">
        <w:rPr>
          <w:lang w:val="en-AU" w:eastAsia="en-GB"/>
        </w:rPr>
        <w:t>The demographics and baseline disease characteristics were well balanced between the two study arms (341 patients in Arm 1 and 344 patients in Arm 2). Baseline demographics of the overall study population were as follows: male (50.4%), age &lt;65 years (53.3%), white (</w:t>
      </w:r>
      <w:r w:rsidRPr="008B029F">
        <w:rPr>
          <w:rFonts w:eastAsia="SimSun"/>
          <w:lang w:val="en-AU"/>
        </w:rPr>
        <w:t>37.2</w:t>
      </w:r>
      <w:r w:rsidRPr="008B029F">
        <w:rPr>
          <w:lang w:val="en-AU" w:eastAsia="en-GB"/>
        </w:rPr>
        <w:t xml:space="preserve">%), Asian (56.4%), black or African American (2.0%), </w:t>
      </w:r>
      <w:r w:rsidRPr="008B029F">
        <w:rPr>
          <w:rFonts w:eastAsia="SimSun"/>
          <w:lang w:val="en-AU"/>
        </w:rPr>
        <w:t>other (4.2%), non</w:t>
      </w:r>
      <w:r w:rsidRPr="008B029F">
        <w:rPr>
          <w:rFonts w:eastAsia="SimSun"/>
          <w:lang w:val="en-AU"/>
        </w:rPr>
        <w:noBreakHyphen/>
        <w:t xml:space="preserve">Hispanic or Latino (93.1%), </w:t>
      </w:r>
      <w:r w:rsidRPr="008B029F">
        <w:rPr>
          <w:lang w:val="en-AU" w:eastAsia="en-GB"/>
        </w:rPr>
        <w:t xml:space="preserve">ECOG PS 0 (49.1%), vs. PS 1 (50.9%), primary tumour location (intrahepatic cholangiocarcinoma (55.9%), extrahepatic cholangiocarcinoma (19.1%) and gallbladder cancer (25.0%), disease status recurrent (19.1%) vs. initially unresectable (80.7%), metastatic (86.0%) vs. locally advanced (13.9%). </w:t>
      </w:r>
    </w:p>
    <w:p w14:paraId="483ADDC3" w14:textId="59C5E1D4" w:rsidR="007C6445" w:rsidRPr="008B029F" w:rsidRDefault="007C6445" w:rsidP="007C6445">
      <w:pPr>
        <w:pStyle w:val="Paragraph"/>
        <w:rPr>
          <w:lang w:val="en-AU" w:eastAsia="en-GB"/>
        </w:rPr>
      </w:pPr>
      <w:r w:rsidRPr="008B029F">
        <w:rPr>
          <w:rFonts w:eastAsia="SimSun"/>
          <w:lang w:val="en-AU"/>
        </w:rPr>
        <w:t>The study demonstrated a statistically significant and clinically meaningful improvement in OS and PFS at a pre</w:t>
      </w:r>
      <w:r w:rsidRPr="008B029F">
        <w:rPr>
          <w:rFonts w:eastAsia="SimSun"/>
          <w:lang w:val="en-AU"/>
        </w:rPr>
        <w:noBreakHyphen/>
        <w:t xml:space="preserve">planned interim </w:t>
      </w:r>
      <w:r w:rsidR="00C02496" w:rsidRPr="008B029F">
        <w:rPr>
          <w:rFonts w:eastAsia="SimSun"/>
          <w:lang w:val="en-AU"/>
        </w:rPr>
        <w:t xml:space="preserve">(primary) </w:t>
      </w:r>
      <w:r w:rsidRPr="008B029F">
        <w:rPr>
          <w:rFonts w:eastAsia="SimSun"/>
          <w:lang w:val="en-AU"/>
        </w:rPr>
        <w:t>analysis</w:t>
      </w:r>
      <w:r w:rsidR="00963C8E" w:rsidRPr="008B029F">
        <w:rPr>
          <w:rFonts w:eastAsia="SimSun"/>
          <w:lang w:val="en-AU"/>
        </w:rPr>
        <w:t>.</w:t>
      </w:r>
      <w:r w:rsidRPr="008B029F">
        <w:rPr>
          <w:rFonts w:eastAsia="SimSun"/>
          <w:lang w:val="en-AU"/>
        </w:rPr>
        <w:t xml:space="preserve"> </w:t>
      </w:r>
      <w:r w:rsidRPr="008B029F">
        <w:rPr>
          <w:lang w:val="en-AU" w:eastAsia="en-GB"/>
        </w:rPr>
        <w:t xml:space="preserve">The results in OS were [HR=0.80, (95% CI: 0.66, 0.97), p=0.021] and in PFS [HR=0.75, (95% CI: 0.63, 0.89), p=0.001]. The maturity for OS was 61.9% and the maturity for PFS was 83.64%. </w:t>
      </w:r>
      <w:r w:rsidRPr="008B029F">
        <w:rPr>
          <w:lang w:val="en-AU"/>
        </w:rPr>
        <w:t xml:space="preserve">Results from this analysis are presented in </w:t>
      </w:r>
      <w:r w:rsidR="00D63ECC" w:rsidRPr="008B029F">
        <w:rPr>
          <w:color w:val="2B579A"/>
          <w:shd w:val="clear" w:color="auto" w:fill="E6E6E6"/>
          <w:lang w:val="en-AU"/>
        </w:rPr>
        <w:fldChar w:fldCharType="begin"/>
      </w:r>
      <w:r w:rsidR="00D63ECC" w:rsidRPr="008B029F">
        <w:rPr>
          <w:lang w:val="en-AU"/>
        </w:rPr>
        <w:instrText xml:space="preserve"> REF _Ref121930921 \h  \* MERGEFORMAT </w:instrText>
      </w:r>
      <w:r w:rsidR="00D63ECC" w:rsidRPr="008B029F">
        <w:rPr>
          <w:color w:val="2B579A"/>
          <w:shd w:val="clear" w:color="auto" w:fill="E6E6E6"/>
          <w:lang w:val="en-AU"/>
        </w:rPr>
      </w:r>
      <w:r w:rsidR="00D63ECC"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20</w:t>
      </w:r>
      <w:r w:rsidR="00D63ECC" w:rsidRPr="008B029F">
        <w:rPr>
          <w:color w:val="2B579A"/>
          <w:shd w:val="clear" w:color="auto" w:fill="E6E6E6"/>
          <w:lang w:val="en-AU"/>
        </w:rPr>
        <w:fldChar w:fldCharType="end"/>
      </w:r>
      <w:r w:rsidRPr="008B029F">
        <w:rPr>
          <w:lang w:val="en-AU"/>
        </w:rPr>
        <w:t xml:space="preserve"> </w:t>
      </w:r>
      <w:r w:rsidR="00C02496" w:rsidRPr="008B029F">
        <w:rPr>
          <w:lang w:val="en-AU"/>
        </w:rPr>
        <w:t>and</w:t>
      </w:r>
      <w:r w:rsidRPr="008B029F">
        <w:rPr>
          <w:lang w:val="en-AU"/>
        </w:rPr>
        <w:t xml:space="preserve"> </w:t>
      </w:r>
      <w:r w:rsidR="00D63ECC" w:rsidRPr="008B029F">
        <w:rPr>
          <w:color w:val="2B579A"/>
          <w:shd w:val="clear" w:color="auto" w:fill="E6E6E6"/>
          <w:lang w:val="en-AU"/>
        </w:rPr>
        <w:fldChar w:fldCharType="begin"/>
      </w:r>
      <w:r w:rsidR="00D63ECC" w:rsidRPr="008B029F">
        <w:rPr>
          <w:lang w:val="en-AU"/>
        </w:rPr>
        <w:instrText xml:space="preserve"> REF _Ref121930961 \h  \* MERGEFORMAT </w:instrText>
      </w:r>
      <w:r w:rsidR="00D63ECC" w:rsidRPr="008B029F">
        <w:rPr>
          <w:color w:val="2B579A"/>
          <w:shd w:val="clear" w:color="auto" w:fill="E6E6E6"/>
          <w:lang w:val="en-AU"/>
        </w:rPr>
      </w:r>
      <w:r w:rsidR="00D63ECC" w:rsidRPr="008B029F">
        <w:rPr>
          <w:color w:val="2B579A"/>
          <w:shd w:val="clear" w:color="auto" w:fill="E6E6E6"/>
          <w:lang w:val="en-AU"/>
        </w:rPr>
        <w:fldChar w:fldCharType="separate"/>
      </w:r>
      <w:r w:rsidR="009773EE" w:rsidRPr="008B029F">
        <w:rPr>
          <w:lang w:val="en-AU"/>
        </w:rPr>
        <w:t>Figure 12</w:t>
      </w:r>
      <w:r w:rsidR="00D63ECC" w:rsidRPr="008B029F">
        <w:rPr>
          <w:color w:val="2B579A"/>
          <w:shd w:val="clear" w:color="auto" w:fill="E6E6E6"/>
          <w:lang w:val="en-AU"/>
        </w:rPr>
        <w:fldChar w:fldCharType="end"/>
      </w:r>
      <w:r w:rsidRPr="008B029F">
        <w:rPr>
          <w:lang w:val="en-AU"/>
        </w:rPr>
        <w:t>.</w:t>
      </w:r>
    </w:p>
    <w:p w14:paraId="48421F73" w14:textId="58ECC284" w:rsidR="007C6445" w:rsidRPr="008B029F" w:rsidRDefault="007C6445" w:rsidP="007C6445">
      <w:pPr>
        <w:pStyle w:val="Paragraph"/>
        <w:rPr>
          <w:lang w:val="en-AU"/>
        </w:rPr>
      </w:pPr>
      <w:r w:rsidRPr="008B029F">
        <w:rPr>
          <w:lang w:val="en-AU"/>
        </w:rPr>
        <w:t>An additional OS analysis was performed 6.5 months after the interim analysis with an OS maturity of 76.9%. The observed treatment effect was consistent with the interim analysis. The OS HR was 0.76 (95% CI: 0.64, 0.91) and median survival was 12.9 months (95% CI: 11.6, 14.1)</w:t>
      </w:r>
      <w:r w:rsidR="00C02496" w:rsidRPr="008B029F">
        <w:rPr>
          <w:lang w:val="en-AU"/>
        </w:rPr>
        <w:t xml:space="preserve"> </w:t>
      </w:r>
      <w:r w:rsidR="00C02496" w:rsidRPr="008B029F">
        <w:t>for the IMFINZI + gemcitabine and cisplatin arm</w:t>
      </w:r>
      <w:r w:rsidRPr="008B029F">
        <w:rPr>
          <w:lang w:val="en-AU"/>
        </w:rPr>
        <w:t xml:space="preserve">. Results from this analysis are presented in the </w:t>
      </w:r>
      <w:r w:rsidR="00D63ECC" w:rsidRPr="008B029F">
        <w:rPr>
          <w:color w:val="2B579A"/>
          <w:shd w:val="clear" w:color="auto" w:fill="E6E6E6"/>
          <w:lang w:val="en-AU"/>
        </w:rPr>
        <w:fldChar w:fldCharType="begin"/>
      </w:r>
      <w:r w:rsidR="00D63ECC" w:rsidRPr="008B029F">
        <w:rPr>
          <w:lang w:val="en-AU"/>
        </w:rPr>
        <w:instrText xml:space="preserve"> REF _Ref121930921 \h  \* MERGEFORMAT </w:instrText>
      </w:r>
      <w:r w:rsidR="00D63ECC" w:rsidRPr="008B029F">
        <w:rPr>
          <w:color w:val="2B579A"/>
          <w:shd w:val="clear" w:color="auto" w:fill="E6E6E6"/>
          <w:lang w:val="en-AU"/>
        </w:rPr>
      </w:r>
      <w:r w:rsidR="00D63ECC"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20</w:t>
      </w:r>
      <w:r w:rsidR="00D63ECC" w:rsidRPr="008B029F">
        <w:rPr>
          <w:color w:val="2B579A"/>
          <w:shd w:val="clear" w:color="auto" w:fill="E6E6E6"/>
          <w:lang w:val="en-AU"/>
        </w:rPr>
        <w:fldChar w:fldCharType="end"/>
      </w:r>
      <w:r w:rsidR="00D63ECC" w:rsidRPr="008B029F">
        <w:rPr>
          <w:lang w:val="en-AU"/>
        </w:rPr>
        <w:t xml:space="preserve"> </w:t>
      </w:r>
      <w:r w:rsidRPr="008B029F">
        <w:rPr>
          <w:lang w:val="en-AU"/>
        </w:rPr>
        <w:t xml:space="preserve">and </w:t>
      </w:r>
      <w:r w:rsidR="00D63ECC" w:rsidRPr="008B029F">
        <w:rPr>
          <w:color w:val="2B579A"/>
          <w:shd w:val="clear" w:color="auto" w:fill="E6E6E6"/>
          <w:lang w:val="en-AU"/>
        </w:rPr>
        <w:fldChar w:fldCharType="begin"/>
      </w:r>
      <w:r w:rsidR="00D63ECC" w:rsidRPr="008B029F">
        <w:rPr>
          <w:lang w:val="en-AU"/>
        </w:rPr>
        <w:instrText xml:space="preserve"> REF _Ref121930975 \h  \* MERGEFORMAT </w:instrText>
      </w:r>
      <w:r w:rsidR="00D63ECC" w:rsidRPr="008B029F">
        <w:rPr>
          <w:color w:val="2B579A"/>
          <w:shd w:val="clear" w:color="auto" w:fill="E6E6E6"/>
          <w:lang w:val="en-AU"/>
        </w:rPr>
      </w:r>
      <w:r w:rsidR="00D63ECC" w:rsidRPr="008B029F">
        <w:rPr>
          <w:color w:val="2B579A"/>
          <w:shd w:val="clear" w:color="auto" w:fill="E6E6E6"/>
          <w:lang w:val="en-AU"/>
        </w:rPr>
        <w:fldChar w:fldCharType="separate"/>
      </w:r>
      <w:r w:rsidR="009773EE" w:rsidRPr="008B029F">
        <w:rPr>
          <w:lang w:val="en-AU"/>
        </w:rPr>
        <w:t>Figure 11</w:t>
      </w:r>
      <w:r w:rsidR="00D63ECC" w:rsidRPr="008B029F">
        <w:rPr>
          <w:color w:val="2B579A"/>
          <w:shd w:val="clear" w:color="auto" w:fill="E6E6E6"/>
          <w:lang w:val="en-AU"/>
        </w:rPr>
        <w:fldChar w:fldCharType="end"/>
      </w:r>
      <w:r w:rsidRPr="008B029F">
        <w:rPr>
          <w:lang w:val="en-AU"/>
        </w:rPr>
        <w:t xml:space="preserve">. </w:t>
      </w:r>
    </w:p>
    <w:p w14:paraId="0269B2E5" w14:textId="4835F45F" w:rsidR="002D2BF7" w:rsidRPr="008B029F" w:rsidRDefault="00841B1A" w:rsidP="00841B1A">
      <w:pPr>
        <w:pStyle w:val="TableTitle"/>
        <w:rPr>
          <w:lang w:val="en-AU" w:eastAsia="en-GB"/>
        </w:rPr>
      </w:pPr>
      <w:bookmarkStart w:id="76" w:name="_Ref121930921"/>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20</w:t>
      </w:r>
      <w:r w:rsidRPr="008B029F">
        <w:rPr>
          <w:color w:val="2B579A"/>
          <w:shd w:val="clear" w:color="auto" w:fill="E6E6E6"/>
          <w:lang w:val="en-AU"/>
        </w:rPr>
        <w:fldChar w:fldCharType="end"/>
      </w:r>
      <w:bookmarkEnd w:id="76"/>
      <w:r w:rsidRPr="008B029F">
        <w:rPr>
          <w:lang w:val="en-AU"/>
        </w:rPr>
        <w:tab/>
        <w:t xml:space="preserve">Efficacy </w:t>
      </w:r>
      <w:r w:rsidR="008A3535" w:rsidRPr="008B029F">
        <w:rPr>
          <w:lang w:val="en-AU"/>
        </w:rPr>
        <w:t>r</w:t>
      </w:r>
      <w:r w:rsidRPr="008B029F">
        <w:rPr>
          <w:lang w:val="en-AU"/>
        </w:rPr>
        <w:t xml:space="preserve">esults for the TOPAZ-1 </w:t>
      </w:r>
      <w:r w:rsidR="008A3535" w:rsidRPr="008B029F">
        <w:rPr>
          <w:lang w:val="en-AU"/>
        </w:rPr>
        <w:t>s</w:t>
      </w:r>
      <w:r w:rsidRPr="008B029F">
        <w:rPr>
          <w:lang w:val="en-AU"/>
        </w:rPr>
        <w:t>tudy</w:t>
      </w:r>
      <w:r w:rsidR="003C389E" w:rsidRPr="008B029F">
        <w:rPr>
          <w:lang w:val="en-AU"/>
        </w:rPr>
        <w:t xml:space="preserve"> primary analysis and follow-up analysis</w:t>
      </w:r>
    </w:p>
    <w:tbl>
      <w:tblPr>
        <w:tblStyle w:val="TableGrid20"/>
        <w:tblW w:w="5077" w:type="pct"/>
        <w:tblInd w:w="0" w:type="dxa"/>
        <w:tblLook w:val="04A0" w:firstRow="1" w:lastRow="0" w:firstColumn="1" w:lastColumn="0" w:noHBand="0" w:noVBand="1"/>
      </w:tblPr>
      <w:tblGrid>
        <w:gridCol w:w="2972"/>
        <w:gridCol w:w="1713"/>
        <w:gridCol w:w="1652"/>
        <w:gridCol w:w="1646"/>
        <w:gridCol w:w="1793"/>
      </w:tblGrid>
      <w:tr w:rsidR="00C03257" w:rsidRPr="008B029F" w14:paraId="1A83FA2E" w14:textId="2E9BDB41" w:rsidTr="005D4A03">
        <w:trPr>
          <w:tblHeader/>
        </w:trPr>
        <w:tc>
          <w:tcPr>
            <w:tcW w:w="1520" w:type="pct"/>
            <w:vMerge w:val="restart"/>
            <w:tcBorders>
              <w:top w:val="single" w:sz="4" w:space="0" w:color="auto"/>
              <w:left w:val="single" w:sz="4" w:space="0" w:color="auto"/>
              <w:right w:val="single" w:sz="4" w:space="0" w:color="auto"/>
            </w:tcBorders>
          </w:tcPr>
          <w:p w14:paraId="08A90589" w14:textId="77777777" w:rsidR="00C03257" w:rsidRPr="008B029F" w:rsidRDefault="00C03257" w:rsidP="002D2BF7">
            <w:pPr>
              <w:pStyle w:val="TableHead"/>
              <w:rPr>
                <w:lang w:val="en-AU"/>
              </w:rPr>
            </w:pPr>
          </w:p>
        </w:tc>
        <w:tc>
          <w:tcPr>
            <w:tcW w:w="1721" w:type="pct"/>
            <w:gridSpan w:val="2"/>
            <w:tcBorders>
              <w:top w:val="single" w:sz="4" w:space="0" w:color="auto"/>
              <w:left w:val="single" w:sz="4" w:space="0" w:color="auto"/>
              <w:bottom w:val="single" w:sz="4" w:space="0" w:color="auto"/>
              <w:right w:val="single" w:sz="4" w:space="0" w:color="auto"/>
            </w:tcBorders>
          </w:tcPr>
          <w:p w14:paraId="3395F27A" w14:textId="649BC602" w:rsidR="00C03257" w:rsidRPr="008B029F" w:rsidRDefault="00C03257" w:rsidP="002D2BF7">
            <w:pPr>
              <w:pStyle w:val="TableHead"/>
              <w:rPr>
                <w:lang w:val="en-AU"/>
              </w:rPr>
            </w:pPr>
            <w:r w:rsidRPr="008B029F">
              <w:rPr>
                <w:lang w:val="en-AU"/>
              </w:rPr>
              <w:t>Primary analysis</w:t>
            </w:r>
            <w:r w:rsidRPr="008B029F">
              <w:rPr>
                <w:vertAlign w:val="superscript"/>
                <w:lang w:val="en-AU"/>
              </w:rPr>
              <w:t xml:space="preserve"> a</w:t>
            </w:r>
          </w:p>
        </w:tc>
        <w:tc>
          <w:tcPr>
            <w:tcW w:w="1759" w:type="pct"/>
            <w:gridSpan w:val="2"/>
            <w:tcBorders>
              <w:top w:val="single" w:sz="4" w:space="0" w:color="auto"/>
              <w:left w:val="single" w:sz="4" w:space="0" w:color="auto"/>
              <w:bottom w:val="single" w:sz="4" w:space="0" w:color="auto"/>
              <w:right w:val="single" w:sz="4" w:space="0" w:color="auto"/>
            </w:tcBorders>
          </w:tcPr>
          <w:p w14:paraId="2C3714EC" w14:textId="555E5960" w:rsidR="00C03257" w:rsidRPr="008B029F" w:rsidRDefault="00C03257" w:rsidP="002D2BF7">
            <w:pPr>
              <w:pStyle w:val="TableHead"/>
              <w:rPr>
                <w:lang w:val="en-AU"/>
              </w:rPr>
            </w:pPr>
            <w:r w:rsidRPr="008B029F">
              <w:rPr>
                <w:lang w:val="en-AU"/>
              </w:rPr>
              <w:t xml:space="preserve">Follow-up analysis </w:t>
            </w:r>
            <w:r w:rsidRPr="008B029F">
              <w:rPr>
                <w:vertAlign w:val="superscript"/>
                <w:lang w:val="en-AU"/>
              </w:rPr>
              <w:t>b</w:t>
            </w:r>
          </w:p>
        </w:tc>
      </w:tr>
      <w:tr w:rsidR="00C03257" w:rsidRPr="008B029F" w14:paraId="423418CC" w14:textId="582A6013" w:rsidTr="005D4A03">
        <w:trPr>
          <w:tblHeader/>
        </w:trPr>
        <w:tc>
          <w:tcPr>
            <w:tcW w:w="1520" w:type="pct"/>
            <w:vMerge/>
            <w:tcBorders>
              <w:left w:val="single" w:sz="4" w:space="0" w:color="auto"/>
              <w:bottom w:val="single" w:sz="4" w:space="0" w:color="auto"/>
              <w:right w:val="single" w:sz="4" w:space="0" w:color="auto"/>
            </w:tcBorders>
          </w:tcPr>
          <w:p w14:paraId="196033B1" w14:textId="77777777" w:rsidR="00C03257" w:rsidRPr="008B029F" w:rsidRDefault="00C03257" w:rsidP="00C03257">
            <w:pPr>
              <w:pStyle w:val="TableHead"/>
              <w:rPr>
                <w:lang w:val="en-AU"/>
              </w:rPr>
            </w:pPr>
          </w:p>
        </w:tc>
        <w:tc>
          <w:tcPr>
            <w:tcW w:w="876" w:type="pct"/>
            <w:tcBorders>
              <w:top w:val="single" w:sz="4" w:space="0" w:color="auto"/>
              <w:left w:val="single" w:sz="4" w:space="0" w:color="auto"/>
              <w:bottom w:val="single" w:sz="4" w:space="0" w:color="auto"/>
              <w:right w:val="single" w:sz="4" w:space="0" w:color="auto"/>
            </w:tcBorders>
            <w:hideMark/>
          </w:tcPr>
          <w:p w14:paraId="1AABD6CF" w14:textId="17EACAC8" w:rsidR="00C03257" w:rsidRPr="008B029F" w:rsidRDefault="00C03257" w:rsidP="00C03257">
            <w:pPr>
              <w:pStyle w:val="TableHead"/>
              <w:rPr>
                <w:lang w:val="en-AU"/>
              </w:rPr>
            </w:pPr>
            <w:r w:rsidRPr="008B029F">
              <w:rPr>
                <w:lang w:val="en-AU"/>
              </w:rPr>
              <w:t>IMFINZI + gemcitabine &amp; cisplatin</w:t>
            </w:r>
          </w:p>
          <w:p w14:paraId="4D5C7DF1" w14:textId="77777777" w:rsidR="00C03257" w:rsidRPr="008B029F" w:rsidRDefault="00C03257" w:rsidP="00C03257">
            <w:pPr>
              <w:pStyle w:val="TableHead"/>
              <w:rPr>
                <w:lang w:val="en-AU"/>
              </w:rPr>
            </w:pPr>
            <w:r w:rsidRPr="008B029F">
              <w:rPr>
                <w:lang w:val="en-AU"/>
              </w:rPr>
              <w:t>(n=341)</w:t>
            </w:r>
          </w:p>
        </w:tc>
        <w:tc>
          <w:tcPr>
            <w:tcW w:w="845" w:type="pct"/>
            <w:tcBorders>
              <w:top w:val="single" w:sz="4" w:space="0" w:color="auto"/>
              <w:left w:val="single" w:sz="4" w:space="0" w:color="auto"/>
              <w:bottom w:val="single" w:sz="4" w:space="0" w:color="auto"/>
              <w:right w:val="single" w:sz="4" w:space="0" w:color="auto"/>
            </w:tcBorders>
            <w:hideMark/>
          </w:tcPr>
          <w:p w14:paraId="70586FF9" w14:textId="2466D696" w:rsidR="00C03257" w:rsidRPr="008B029F" w:rsidRDefault="00C03257" w:rsidP="00C03257">
            <w:pPr>
              <w:pStyle w:val="TableHead"/>
              <w:rPr>
                <w:lang w:val="en-AU"/>
              </w:rPr>
            </w:pPr>
            <w:r w:rsidRPr="008B029F">
              <w:rPr>
                <w:lang w:val="en-AU"/>
              </w:rPr>
              <w:t>Placebo + gemcitabine &amp; cisplatin</w:t>
            </w:r>
          </w:p>
          <w:p w14:paraId="0BCC931B" w14:textId="77777777" w:rsidR="00C03257" w:rsidRPr="008B029F" w:rsidRDefault="00C03257" w:rsidP="00C03257">
            <w:pPr>
              <w:pStyle w:val="TableHead"/>
              <w:rPr>
                <w:lang w:val="en-AU"/>
              </w:rPr>
            </w:pPr>
            <w:r w:rsidRPr="008B029F">
              <w:rPr>
                <w:lang w:val="en-AU"/>
              </w:rPr>
              <w:t>(n=344)</w:t>
            </w:r>
          </w:p>
        </w:tc>
        <w:tc>
          <w:tcPr>
            <w:tcW w:w="842" w:type="pct"/>
            <w:tcBorders>
              <w:top w:val="single" w:sz="4" w:space="0" w:color="auto"/>
              <w:left w:val="single" w:sz="4" w:space="0" w:color="auto"/>
              <w:bottom w:val="single" w:sz="4" w:space="0" w:color="auto"/>
              <w:right w:val="single" w:sz="4" w:space="0" w:color="auto"/>
            </w:tcBorders>
          </w:tcPr>
          <w:p w14:paraId="7D60304E" w14:textId="77777777" w:rsidR="00C03257" w:rsidRPr="008B029F" w:rsidRDefault="00C03257" w:rsidP="00C03257">
            <w:pPr>
              <w:pStyle w:val="TableHead"/>
              <w:rPr>
                <w:lang w:val="en-AU"/>
              </w:rPr>
            </w:pPr>
            <w:r w:rsidRPr="008B029F">
              <w:rPr>
                <w:lang w:val="en-AU"/>
              </w:rPr>
              <w:t>IMFINZI + gemcitabine &amp; cisplatin</w:t>
            </w:r>
          </w:p>
          <w:p w14:paraId="3AD417C5" w14:textId="6E2A2063" w:rsidR="00C03257" w:rsidRPr="008B029F" w:rsidRDefault="00C03257" w:rsidP="00C03257">
            <w:pPr>
              <w:pStyle w:val="TableHead"/>
              <w:rPr>
                <w:lang w:val="en-AU"/>
              </w:rPr>
            </w:pPr>
            <w:r w:rsidRPr="008B029F">
              <w:rPr>
                <w:lang w:val="en-AU"/>
              </w:rPr>
              <w:t>(n=341)</w:t>
            </w:r>
          </w:p>
        </w:tc>
        <w:tc>
          <w:tcPr>
            <w:tcW w:w="917" w:type="pct"/>
            <w:tcBorders>
              <w:top w:val="single" w:sz="4" w:space="0" w:color="auto"/>
              <w:left w:val="single" w:sz="4" w:space="0" w:color="auto"/>
              <w:bottom w:val="single" w:sz="4" w:space="0" w:color="auto"/>
              <w:right w:val="single" w:sz="4" w:space="0" w:color="auto"/>
            </w:tcBorders>
          </w:tcPr>
          <w:p w14:paraId="61296023" w14:textId="77777777" w:rsidR="00C03257" w:rsidRPr="008B029F" w:rsidRDefault="00C03257" w:rsidP="00C03257">
            <w:pPr>
              <w:pStyle w:val="TableHead"/>
              <w:rPr>
                <w:lang w:val="en-AU"/>
              </w:rPr>
            </w:pPr>
            <w:r w:rsidRPr="008B029F">
              <w:rPr>
                <w:lang w:val="en-AU"/>
              </w:rPr>
              <w:t>Placebo + gemcitabine &amp; cisplatin</w:t>
            </w:r>
          </w:p>
          <w:p w14:paraId="6CB49789" w14:textId="0B5A0765" w:rsidR="00C03257" w:rsidRPr="008B029F" w:rsidRDefault="00C03257" w:rsidP="00C03257">
            <w:pPr>
              <w:pStyle w:val="TableHead"/>
              <w:rPr>
                <w:lang w:val="en-AU"/>
              </w:rPr>
            </w:pPr>
            <w:r w:rsidRPr="008B029F">
              <w:rPr>
                <w:lang w:val="en-AU"/>
              </w:rPr>
              <w:t>(n=344)</w:t>
            </w:r>
          </w:p>
        </w:tc>
      </w:tr>
      <w:tr w:rsidR="005E78CC" w:rsidRPr="008B029F" w14:paraId="079D9E88" w14:textId="4CFDEAE0" w:rsidTr="005E78CC">
        <w:tc>
          <w:tcPr>
            <w:tcW w:w="5000" w:type="pct"/>
            <w:gridSpan w:val="5"/>
            <w:tcBorders>
              <w:top w:val="single" w:sz="4" w:space="0" w:color="auto"/>
              <w:left w:val="single" w:sz="4" w:space="0" w:color="auto"/>
              <w:bottom w:val="single" w:sz="4" w:space="0" w:color="auto"/>
              <w:right w:val="single" w:sz="4" w:space="0" w:color="auto"/>
            </w:tcBorders>
            <w:hideMark/>
          </w:tcPr>
          <w:p w14:paraId="44287934" w14:textId="1A7F5CC8" w:rsidR="005E78CC" w:rsidRPr="008B029F" w:rsidRDefault="005E78CC" w:rsidP="00C03257">
            <w:pPr>
              <w:pStyle w:val="TableCenter"/>
              <w:jc w:val="left"/>
              <w:rPr>
                <w:b/>
                <w:bCs/>
                <w:lang w:val="en-AU"/>
              </w:rPr>
            </w:pPr>
            <w:r w:rsidRPr="008B029F">
              <w:rPr>
                <w:b/>
                <w:bCs/>
                <w:lang w:val="en-AU"/>
              </w:rPr>
              <w:t>OS</w:t>
            </w:r>
          </w:p>
        </w:tc>
      </w:tr>
      <w:tr w:rsidR="00BC55A9" w:rsidRPr="008B029F" w14:paraId="6E82423C" w14:textId="5FBE93F5" w:rsidTr="00AD01EC">
        <w:tc>
          <w:tcPr>
            <w:tcW w:w="1520" w:type="pct"/>
            <w:tcBorders>
              <w:top w:val="single" w:sz="4" w:space="0" w:color="auto"/>
              <w:left w:val="single" w:sz="4" w:space="0" w:color="auto"/>
              <w:bottom w:val="single" w:sz="4" w:space="0" w:color="auto"/>
              <w:right w:val="single" w:sz="4" w:space="0" w:color="auto"/>
            </w:tcBorders>
            <w:hideMark/>
          </w:tcPr>
          <w:p w14:paraId="44D780E0" w14:textId="77777777" w:rsidR="00BC55A9" w:rsidRPr="008B029F" w:rsidRDefault="00BC55A9" w:rsidP="00BC55A9">
            <w:pPr>
              <w:pStyle w:val="TableLeft"/>
              <w:rPr>
                <w:lang w:val="en-AU"/>
              </w:rPr>
            </w:pPr>
            <w:r w:rsidRPr="008B029F">
              <w:rPr>
                <w:lang w:val="en-AU"/>
              </w:rPr>
              <w:t>Number of deaths (%)</w:t>
            </w:r>
          </w:p>
        </w:tc>
        <w:tc>
          <w:tcPr>
            <w:tcW w:w="876" w:type="pct"/>
            <w:tcBorders>
              <w:top w:val="single" w:sz="4" w:space="0" w:color="auto"/>
              <w:left w:val="single" w:sz="4" w:space="0" w:color="auto"/>
              <w:bottom w:val="single" w:sz="4" w:space="0" w:color="auto"/>
              <w:right w:val="single" w:sz="4" w:space="0" w:color="auto"/>
            </w:tcBorders>
          </w:tcPr>
          <w:p w14:paraId="1A77F76E" w14:textId="23171AE8" w:rsidR="00BC55A9" w:rsidRPr="008B029F" w:rsidRDefault="00BC55A9" w:rsidP="00BC55A9">
            <w:pPr>
              <w:pStyle w:val="TableCenter"/>
              <w:rPr>
                <w:lang w:val="en-AU"/>
              </w:rPr>
            </w:pPr>
            <w:r w:rsidRPr="008B029F">
              <w:t>198 (58.1)</w:t>
            </w:r>
          </w:p>
        </w:tc>
        <w:tc>
          <w:tcPr>
            <w:tcW w:w="845" w:type="pct"/>
            <w:tcBorders>
              <w:top w:val="single" w:sz="4" w:space="0" w:color="auto"/>
              <w:left w:val="single" w:sz="4" w:space="0" w:color="auto"/>
              <w:bottom w:val="single" w:sz="4" w:space="0" w:color="auto"/>
              <w:right w:val="single" w:sz="4" w:space="0" w:color="auto"/>
            </w:tcBorders>
          </w:tcPr>
          <w:p w14:paraId="075BF993" w14:textId="486FFD3D" w:rsidR="00BC55A9" w:rsidRPr="008B029F" w:rsidRDefault="00BC55A9" w:rsidP="00BC55A9">
            <w:pPr>
              <w:pStyle w:val="TableCenter"/>
              <w:rPr>
                <w:lang w:val="en-AU"/>
              </w:rPr>
            </w:pPr>
            <w:r w:rsidRPr="008B029F">
              <w:t>226 (65.7)</w:t>
            </w:r>
          </w:p>
        </w:tc>
        <w:tc>
          <w:tcPr>
            <w:tcW w:w="842" w:type="pct"/>
            <w:tcBorders>
              <w:top w:val="single" w:sz="4" w:space="0" w:color="auto"/>
              <w:left w:val="single" w:sz="4" w:space="0" w:color="auto"/>
              <w:bottom w:val="single" w:sz="4" w:space="0" w:color="auto"/>
              <w:right w:val="single" w:sz="4" w:space="0" w:color="auto"/>
            </w:tcBorders>
          </w:tcPr>
          <w:p w14:paraId="1E4EA0C0" w14:textId="7C54189E" w:rsidR="00BC55A9" w:rsidRPr="008B029F" w:rsidRDefault="00BC55A9" w:rsidP="00BC55A9">
            <w:pPr>
              <w:pStyle w:val="TableCenter"/>
              <w:rPr>
                <w:lang w:val="en-AU"/>
              </w:rPr>
            </w:pPr>
            <w:r w:rsidRPr="008B029F">
              <w:rPr>
                <w:lang w:val="en-AU"/>
              </w:rPr>
              <w:t>248 (72.7)</w:t>
            </w:r>
          </w:p>
        </w:tc>
        <w:tc>
          <w:tcPr>
            <w:tcW w:w="917" w:type="pct"/>
            <w:tcBorders>
              <w:top w:val="single" w:sz="4" w:space="0" w:color="auto"/>
              <w:left w:val="single" w:sz="4" w:space="0" w:color="auto"/>
              <w:bottom w:val="single" w:sz="4" w:space="0" w:color="auto"/>
              <w:right w:val="single" w:sz="4" w:space="0" w:color="auto"/>
            </w:tcBorders>
          </w:tcPr>
          <w:p w14:paraId="2D3F1691" w14:textId="41416AFF" w:rsidR="00BC55A9" w:rsidRPr="008B029F" w:rsidRDefault="00BC55A9" w:rsidP="00BC55A9">
            <w:pPr>
              <w:pStyle w:val="TableCenter"/>
              <w:rPr>
                <w:lang w:val="en-AU"/>
              </w:rPr>
            </w:pPr>
            <w:r w:rsidRPr="008B029F">
              <w:rPr>
                <w:lang w:val="en-AU"/>
              </w:rPr>
              <w:t>279(81.1)</w:t>
            </w:r>
          </w:p>
        </w:tc>
      </w:tr>
      <w:tr w:rsidR="00BC55A9" w:rsidRPr="008B029F" w14:paraId="04B573B0" w14:textId="6851761D" w:rsidTr="00AD01EC">
        <w:tc>
          <w:tcPr>
            <w:tcW w:w="1520" w:type="pct"/>
            <w:tcBorders>
              <w:top w:val="single" w:sz="4" w:space="0" w:color="auto"/>
              <w:left w:val="single" w:sz="4" w:space="0" w:color="auto"/>
              <w:bottom w:val="single" w:sz="4" w:space="0" w:color="auto"/>
              <w:right w:val="single" w:sz="4" w:space="0" w:color="auto"/>
            </w:tcBorders>
            <w:hideMark/>
          </w:tcPr>
          <w:p w14:paraId="1633DCBA" w14:textId="0B52E787" w:rsidR="00BC55A9" w:rsidRPr="008B029F" w:rsidRDefault="00BC55A9" w:rsidP="00BC55A9">
            <w:pPr>
              <w:pStyle w:val="TableLeft"/>
              <w:rPr>
                <w:lang w:val="en-AU"/>
              </w:rPr>
            </w:pPr>
            <w:r w:rsidRPr="008B029F">
              <w:rPr>
                <w:lang w:val="en-AU"/>
              </w:rPr>
              <w:t>Median OS (months)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tcPr>
          <w:p w14:paraId="5EA798D2" w14:textId="0688DBC5" w:rsidR="00BC55A9" w:rsidRPr="008B029F" w:rsidRDefault="00BC55A9" w:rsidP="00BC55A9">
            <w:pPr>
              <w:pStyle w:val="TableCenter"/>
              <w:rPr>
                <w:lang w:val="en-AU"/>
              </w:rPr>
            </w:pPr>
            <w:r w:rsidRPr="008B029F">
              <w:t>12.8 (11.1, 14)</w:t>
            </w:r>
          </w:p>
        </w:tc>
        <w:tc>
          <w:tcPr>
            <w:tcW w:w="845" w:type="pct"/>
            <w:tcBorders>
              <w:top w:val="single" w:sz="4" w:space="0" w:color="auto"/>
              <w:left w:val="single" w:sz="4" w:space="0" w:color="auto"/>
              <w:bottom w:val="single" w:sz="4" w:space="0" w:color="auto"/>
              <w:right w:val="single" w:sz="4" w:space="0" w:color="auto"/>
            </w:tcBorders>
          </w:tcPr>
          <w:p w14:paraId="5E9E948B" w14:textId="4B63D11C" w:rsidR="00BC55A9" w:rsidRPr="008B029F" w:rsidRDefault="00BC55A9" w:rsidP="00BC55A9">
            <w:pPr>
              <w:pStyle w:val="TableCenter"/>
              <w:rPr>
                <w:lang w:val="en-AU"/>
              </w:rPr>
            </w:pPr>
            <w:r w:rsidRPr="008B029F">
              <w:t>11.5 (10.1, 12.5)</w:t>
            </w:r>
          </w:p>
        </w:tc>
        <w:tc>
          <w:tcPr>
            <w:tcW w:w="842" w:type="pct"/>
            <w:tcBorders>
              <w:top w:val="single" w:sz="4" w:space="0" w:color="auto"/>
              <w:left w:val="single" w:sz="4" w:space="0" w:color="auto"/>
              <w:bottom w:val="single" w:sz="4" w:space="0" w:color="auto"/>
              <w:right w:val="single" w:sz="4" w:space="0" w:color="auto"/>
            </w:tcBorders>
          </w:tcPr>
          <w:p w14:paraId="59EF4C9E" w14:textId="05B28D62" w:rsidR="00BC55A9" w:rsidRPr="008B029F" w:rsidRDefault="00BC55A9" w:rsidP="00BC55A9">
            <w:pPr>
              <w:pStyle w:val="TableCenter"/>
              <w:rPr>
                <w:lang w:val="en-AU"/>
              </w:rPr>
            </w:pPr>
            <w:r w:rsidRPr="008B029F">
              <w:rPr>
                <w:lang w:val="en-AU"/>
              </w:rPr>
              <w:t>12.9 (11.6,14.1)</w:t>
            </w:r>
          </w:p>
        </w:tc>
        <w:tc>
          <w:tcPr>
            <w:tcW w:w="917" w:type="pct"/>
            <w:tcBorders>
              <w:top w:val="single" w:sz="4" w:space="0" w:color="auto"/>
              <w:left w:val="single" w:sz="4" w:space="0" w:color="auto"/>
              <w:bottom w:val="single" w:sz="4" w:space="0" w:color="auto"/>
              <w:right w:val="single" w:sz="4" w:space="0" w:color="auto"/>
            </w:tcBorders>
          </w:tcPr>
          <w:p w14:paraId="182D34A4" w14:textId="2DE6ACCA" w:rsidR="00BC55A9" w:rsidRPr="008B029F" w:rsidRDefault="00BC55A9" w:rsidP="00BC55A9">
            <w:pPr>
              <w:pStyle w:val="TableCenter"/>
              <w:rPr>
                <w:lang w:val="en-AU"/>
              </w:rPr>
            </w:pPr>
            <w:r w:rsidRPr="008B029F">
              <w:rPr>
                <w:lang w:val="en-AU"/>
              </w:rPr>
              <w:t>11.3 (10.1,12.5)</w:t>
            </w:r>
          </w:p>
        </w:tc>
      </w:tr>
      <w:tr w:rsidR="005E78CC" w:rsidRPr="008B029F" w14:paraId="2F4B4AEE" w14:textId="194945F5" w:rsidTr="00AD01EC">
        <w:tc>
          <w:tcPr>
            <w:tcW w:w="1520" w:type="pct"/>
            <w:tcBorders>
              <w:top w:val="single" w:sz="4" w:space="0" w:color="auto"/>
              <w:left w:val="single" w:sz="4" w:space="0" w:color="auto"/>
              <w:bottom w:val="single" w:sz="4" w:space="0" w:color="auto"/>
              <w:right w:val="single" w:sz="4" w:space="0" w:color="auto"/>
            </w:tcBorders>
            <w:hideMark/>
          </w:tcPr>
          <w:p w14:paraId="4023DC96" w14:textId="4F59F005" w:rsidR="005E78CC" w:rsidRPr="008B029F" w:rsidRDefault="005E78CC" w:rsidP="00C03257">
            <w:pPr>
              <w:pStyle w:val="TableLeft"/>
              <w:rPr>
                <w:lang w:val="en-AU"/>
              </w:rPr>
            </w:pPr>
            <w:r w:rsidRPr="008B029F">
              <w:rPr>
                <w:lang w:val="en-AU"/>
              </w:rPr>
              <w:t>HR (95% CI)</w:t>
            </w:r>
            <w:r w:rsidR="00716F74" w:rsidRPr="008B029F">
              <w:rPr>
                <w:vertAlign w:val="superscript"/>
                <w:lang w:val="en-AU"/>
              </w:rPr>
              <w:t>d</w:t>
            </w:r>
          </w:p>
        </w:tc>
        <w:tc>
          <w:tcPr>
            <w:tcW w:w="1721" w:type="pct"/>
            <w:gridSpan w:val="2"/>
            <w:tcBorders>
              <w:top w:val="single" w:sz="4" w:space="0" w:color="auto"/>
              <w:left w:val="single" w:sz="4" w:space="0" w:color="auto"/>
              <w:bottom w:val="single" w:sz="4" w:space="0" w:color="auto"/>
              <w:right w:val="single" w:sz="4" w:space="0" w:color="auto"/>
            </w:tcBorders>
          </w:tcPr>
          <w:p w14:paraId="3AD2426E" w14:textId="4859C948" w:rsidR="005E78CC" w:rsidRPr="008B029F" w:rsidRDefault="00BC55A9" w:rsidP="00C03257">
            <w:pPr>
              <w:pStyle w:val="TableCenter"/>
              <w:rPr>
                <w:lang w:val="en-AU"/>
              </w:rPr>
            </w:pPr>
            <w:r w:rsidRPr="008B029F">
              <w:t>0.80 (0.66, 0.97)</w:t>
            </w:r>
          </w:p>
        </w:tc>
        <w:tc>
          <w:tcPr>
            <w:tcW w:w="1759" w:type="pct"/>
            <w:gridSpan w:val="2"/>
            <w:tcBorders>
              <w:top w:val="single" w:sz="4" w:space="0" w:color="auto"/>
              <w:left w:val="single" w:sz="4" w:space="0" w:color="auto"/>
              <w:bottom w:val="single" w:sz="4" w:space="0" w:color="auto"/>
              <w:right w:val="single" w:sz="4" w:space="0" w:color="auto"/>
            </w:tcBorders>
          </w:tcPr>
          <w:p w14:paraId="2B0D7B55" w14:textId="057F801A" w:rsidR="005E78CC" w:rsidRPr="008B029F" w:rsidRDefault="005E78CC" w:rsidP="00C03257">
            <w:pPr>
              <w:pStyle w:val="TableCenter"/>
              <w:rPr>
                <w:lang w:val="en-AU"/>
              </w:rPr>
            </w:pPr>
            <w:r w:rsidRPr="008B029F">
              <w:rPr>
                <w:lang w:val="en-AU"/>
              </w:rPr>
              <w:t>0.76 (0.64, 0.91)</w:t>
            </w:r>
          </w:p>
        </w:tc>
      </w:tr>
      <w:tr w:rsidR="005E78CC" w:rsidRPr="008B029F" w14:paraId="35C58AE3" w14:textId="77777777" w:rsidTr="00AD01EC">
        <w:tc>
          <w:tcPr>
            <w:tcW w:w="1520" w:type="pct"/>
            <w:tcBorders>
              <w:top w:val="single" w:sz="4" w:space="0" w:color="auto"/>
              <w:left w:val="single" w:sz="4" w:space="0" w:color="auto"/>
              <w:bottom w:val="single" w:sz="4" w:space="0" w:color="auto"/>
              <w:right w:val="single" w:sz="4" w:space="0" w:color="auto"/>
            </w:tcBorders>
          </w:tcPr>
          <w:p w14:paraId="03D25DAC" w14:textId="4EB0F940" w:rsidR="005E78CC" w:rsidRPr="008B029F" w:rsidRDefault="005E78CC" w:rsidP="00C03257">
            <w:pPr>
              <w:pStyle w:val="TableLeft"/>
              <w:rPr>
                <w:lang w:val="en-AU"/>
              </w:rPr>
            </w:pPr>
            <w:r w:rsidRPr="008B029F">
              <w:rPr>
                <w:lang w:val="en-AU"/>
              </w:rPr>
              <w:t xml:space="preserve">p-value </w:t>
            </w:r>
            <w:r w:rsidRPr="008B029F">
              <w:rPr>
                <w:vertAlign w:val="superscript"/>
                <w:lang w:val="en-AU"/>
              </w:rPr>
              <w:t>d, e</w:t>
            </w:r>
          </w:p>
        </w:tc>
        <w:tc>
          <w:tcPr>
            <w:tcW w:w="1721" w:type="pct"/>
            <w:gridSpan w:val="2"/>
            <w:tcBorders>
              <w:top w:val="single" w:sz="4" w:space="0" w:color="auto"/>
              <w:left w:val="single" w:sz="4" w:space="0" w:color="auto"/>
              <w:bottom w:val="single" w:sz="4" w:space="0" w:color="auto"/>
              <w:right w:val="single" w:sz="4" w:space="0" w:color="auto"/>
            </w:tcBorders>
          </w:tcPr>
          <w:p w14:paraId="38602F2E" w14:textId="05D547C5" w:rsidR="005E78CC" w:rsidRPr="008B029F" w:rsidDel="00C03257" w:rsidRDefault="005E78CC" w:rsidP="00C03257">
            <w:pPr>
              <w:pStyle w:val="TableCenter"/>
              <w:rPr>
                <w:lang w:val="en-AU"/>
              </w:rPr>
            </w:pPr>
            <w:r w:rsidRPr="008B029F">
              <w:rPr>
                <w:lang w:val="en-AU"/>
              </w:rPr>
              <w:t>0.021</w:t>
            </w:r>
          </w:p>
        </w:tc>
        <w:tc>
          <w:tcPr>
            <w:tcW w:w="1759" w:type="pct"/>
            <w:gridSpan w:val="2"/>
            <w:tcBorders>
              <w:top w:val="single" w:sz="4" w:space="0" w:color="auto"/>
              <w:left w:val="single" w:sz="4" w:space="0" w:color="auto"/>
              <w:bottom w:val="single" w:sz="4" w:space="0" w:color="auto"/>
              <w:right w:val="single" w:sz="4" w:space="0" w:color="auto"/>
            </w:tcBorders>
          </w:tcPr>
          <w:p w14:paraId="5CFECB2E" w14:textId="26487649" w:rsidR="005E78CC" w:rsidRPr="008B029F" w:rsidRDefault="005E78CC" w:rsidP="00C03257">
            <w:pPr>
              <w:pStyle w:val="TableCenter"/>
              <w:rPr>
                <w:lang w:val="en-AU"/>
              </w:rPr>
            </w:pPr>
            <w:r w:rsidRPr="008B029F">
              <w:rPr>
                <w:lang w:val="en-AU"/>
              </w:rPr>
              <w:t>-</w:t>
            </w:r>
          </w:p>
        </w:tc>
      </w:tr>
      <w:tr w:rsidR="00BC55A9" w:rsidRPr="008B029F" w14:paraId="2545F418" w14:textId="3F412F9D" w:rsidTr="00AD01EC">
        <w:tc>
          <w:tcPr>
            <w:tcW w:w="1520" w:type="pct"/>
            <w:tcBorders>
              <w:top w:val="single" w:sz="4" w:space="0" w:color="auto"/>
              <w:left w:val="single" w:sz="4" w:space="0" w:color="auto"/>
              <w:bottom w:val="single" w:sz="4" w:space="0" w:color="auto"/>
              <w:right w:val="single" w:sz="4" w:space="0" w:color="auto"/>
            </w:tcBorders>
            <w:hideMark/>
          </w:tcPr>
          <w:p w14:paraId="73354113" w14:textId="378BA45A" w:rsidR="00BC55A9" w:rsidRPr="008B029F" w:rsidRDefault="00BC55A9" w:rsidP="00BC55A9">
            <w:pPr>
              <w:pStyle w:val="TableLeft"/>
              <w:rPr>
                <w:lang w:val="en-AU"/>
              </w:rPr>
            </w:pPr>
            <w:r w:rsidRPr="008B029F">
              <w:rPr>
                <w:lang w:val="en-AU"/>
              </w:rPr>
              <w:t>OS at 12 months (%)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tcPr>
          <w:p w14:paraId="5D0E64DF" w14:textId="032CD855" w:rsidR="00BC55A9" w:rsidRPr="008B029F" w:rsidRDefault="00BC55A9" w:rsidP="00BC55A9">
            <w:pPr>
              <w:pStyle w:val="TableCenter"/>
              <w:rPr>
                <w:lang w:val="en-AU"/>
              </w:rPr>
            </w:pPr>
            <w:r w:rsidRPr="008B029F">
              <w:t>54.1 (48.4, 59.4)</w:t>
            </w:r>
          </w:p>
        </w:tc>
        <w:tc>
          <w:tcPr>
            <w:tcW w:w="845" w:type="pct"/>
            <w:tcBorders>
              <w:top w:val="single" w:sz="4" w:space="0" w:color="auto"/>
              <w:left w:val="single" w:sz="4" w:space="0" w:color="auto"/>
              <w:bottom w:val="single" w:sz="4" w:space="0" w:color="auto"/>
              <w:right w:val="single" w:sz="4" w:space="0" w:color="auto"/>
            </w:tcBorders>
          </w:tcPr>
          <w:p w14:paraId="0C40994E" w14:textId="6A73DADE" w:rsidR="00BC55A9" w:rsidRPr="008B029F" w:rsidRDefault="00BC55A9" w:rsidP="00BC55A9">
            <w:pPr>
              <w:pStyle w:val="TableCenter"/>
              <w:rPr>
                <w:lang w:val="en-AU"/>
              </w:rPr>
            </w:pPr>
            <w:r w:rsidRPr="008B029F">
              <w:t>48 (42.4, 53.4)</w:t>
            </w:r>
          </w:p>
        </w:tc>
        <w:tc>
          <w:tcPr>
            <w:tcW w:w="842" w:type="pct"/>
            <w:tcBorders>
              <w:top w:val="single" w:sz="4" w:space="0" w:color="auto"/>
              <w:left w:val="single" w:sz="4" w:space="0" w:color="auto"/>
              <w:bottom w:val="single" w:sz="4" w:space="0" w:color="auto"/>
              <w:right w:val="single" w:sz="4" w:space="0" w:color="auto"/>
            </w:tcBorders>
          </w:tcPr>
          <w:p w14:paraId="613BE1A7" w14:textId="07621A33" w:rsidR="00BC55A9" w:rsidRPr="008B029F" w:rsidRDefault="00BC55A9" w:rsidP="00BC55A9">
            <w:pPr>
              <w:pStyle w:val="TableCenter"/>
              <w:rPr>
                <w:lang w:val="en-AU"/>
              </w:rPr>
            </w:pPr>
            <w:r w:rsidRPr="008B029F">
              <w:rPr>
                <w:lang w:val="en-AU"/>
              </w:rPr>
              <w:t>54.3 (48.8, 59.4)</w:t>
            </w:r>
          </w:p>
        </w:tc>
        <w:tc>
          <w:tcPr>
            <w:tcW w:w="917" w:type="pct"/>
            <w:tcBorders>
              <w:top w:val="single" w:sz="4" w:space="0" w:color="auto"/>
              <w:left w:val="single" w:sz="4" w:space="0" w:color="auto"/>
              <w:bottom w:val="single" w:sz="4" w:space="0" w:color="auto"/>
              <w:right w:val="single" w:sz="4" w:space="0" w:color="auto"/>
            </w:tcBorders>
          </w:tcPr>
          <w:p w14:paraId="42CC7BAB" w14:textId="5993C535" w:rsidR="00BC55A9" w:rsidRPr="008B029F" w:rsidRDefault="00BC55A9" w:rsidP="00BC55A9">
            <w:pPr>
              <w:pStyle w:val="TableCenter"/>
              <w:rPr>
                <w:lang w:val="en-AU"/>
              </w:rPr>
            </w:pPr>
            <w:r w:rsidRPr="008B029F">
              <w:rPr>
                <w:lang w:val="en-AU"/>
              </w:rPr>
              <w:t>47.1 (41.7, 52.3)</w:t>
            </w:r>
          </w:p>
        </w:tc>
      </w:tr>
      <w:tr w:rsidR="00BC55A9" w:rsidRPr="008B029F" w14:paraId="15FB2044" w14:textId="39B11C99" w:rsidTr="00AD01EC">
        <w:tc>
          <w:tcPr>
            <w:tcW w:w="1520" w:type="pct"/>
            <w:tcBorders>
              <w:top w:val="single" w:sz="4" w:space="0" w:color="auto"/>
              <w:left w:val="single" w:sz="4" w:space="0" w:color="auto"/>
              <w:bottom w:val="single" w:sz="4" w:space="0" w:color="auto"/>
              <w:right w:val="single" w:sz="4" w:space="0" w:color="auto"/>
            </w:tcBorders>
            <w:hideMark/>
          </w:tcPr>
          <w:p w14:paraId="07B1FD63" w14:textId="79A05402" w:rsidR="00BC55A9" w:rsidRPr="008B029F" w:rsidRDefault="00BC55A9" w:rsidP="00BC55A9">
            <w:pPr>
              <w:pStyle w:val="TableLeft"/>
              <w:rPr>
                <w:lang w:val="en-AU"/>
              </w:rPr>
            </w:pPr>
            <w:r w:rsidRPr="008B029F">
              <w:rPr>
                <w:lang w:val="en-AU"/>
              </w:rPr>
              <w:t>OS at 18 months (%)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tcPr>
          <w:p w14:paraId="52526913" w14:textId="16C3CE02" w:rsidR="00BC55A9" w:rsidRPr="008B029F" w:rsidRDefault="00BC55A9" w:rsidP="00BC55A9">
            <w:pPr>
              <w:pStyle w:val="TableCenter"/>
              <w:rPr>
                <w:lang w:val="en-AU"/>
              </w:rPr>
            </w:pPr>
            <w:r w:rsidRPr="008B029F">
              <w:t>35.1 (29.1, 41.2)</w:t>
            </w:r>
          </w:p>
        </w:tc>
        <w:tc>
          <w:tcPr>
            <w:tcW w:w="845" w:type="pct"/>
            <w:tcBorders>
              <w:top w:val="single" w:sz="4" w:space="0" w:color="auto"/>
              <w:left w:val="single" w:sz="4" w:space="0" w:color="auto"/>
              <w:bottom w:val="single" w:sz="4" w:space="0" w:color="auto"/>
              <w:right w:val="single" w:sz="4" w:space="0" w:color="auto"/>
            </w:tcBorders>
          </w:tcPr>
          <w:p w14:paraId="3E95DAE4" w14:textId="70C2F12D" w:rsidR="00BC55A9" w:rsidRPr="008B029F" w:rsidRDefault="00BC55A9" w:rsidP="00BC55A9">
            <w:pPr>
              <w:pStyle w:val="TableCenter"/>
              <w:rPr>
                <w:lang w:val="en-AU"/>
              </w:rPr>
            </w:pPr>
            <w:r w:rsidRPr="008B029F">
              <w:t>25.6 (19.9, 31.7)</w:t>
            </w:r>
          </w:p>
        </w:tc>
        <w:tc>
          <w:tcPr>
            <w:tcW w:w="842" w:type="pct"/>
            <w:tcBorders>
              <w:top w:val="single" w:sz="4" w:space="0" w:color="auto"/>
              <w:left w:val="single" w:sz="4" w:space="0" w:color="auto"/>
              <w:bottom w:val="single" w:sz="4" w:space="0" w:color="auto"/>
              <w:right w:val="single" w:sz="4" w:space="0" w:color="auto"/>
            </w:tcBorders>
          </w:tcPr>
          <w:p w14:paraId="0576BC8E" w14:textId="15016251" w:rsidR="00BC55A9" w:rsidRPr="008B029F" w:rsidRDefault="00BC55A9" w:rsidP="00BC55A9">
            <w:pPr>
              <w:pStyle w:val="TableCenter"/>
              <w:rPr>
                <w:lang w:val="en-AU"/>
              </w:rPr>
            </w:pPr>
            <w:r w:rsidRPr="008B029F">
              <w:rPr>
                <w:lang w:val="en-AU"/>
              </w:rPr>
              <w:t>34.8 (29.6, 40.0)</w:t>
            </w:r>
          </w:p>
        </w:tc>
        <w:tc>
          <w:tcPr>
            <w:tcW w:w="917" w:type="pct"/>
            <w:tcBorders>
              <w:top w:val="single" w:sz="4" w:space="0" w:color="auto"/>
              <w:left w:val="single" w:sz="4" w:space="0" w:color="auto"/>
              <w:bottom w:val="single" w:sz="4" w:space="0" w:color="auto"/>
              <w:right w:val="single" w:sz="4" w:space="0" w:color="auto"/>
            </w:tcBorders>
          </w:tcPr>
          <w:p w14:paraId="5AA2EC60" w14:textId="71256BA7" w:rsidR="00BC55A9" w:rsidRPr="008B029F" w:rsidRDefault="00BC55A9" w:rsidP="00BC55A9">
            <w:pPr>
              <w:pStyle w:val="TableCenter"/>
              <w:rPr>
                <w:lang w:val="en-AU"/>
              </w:rPr>
            </w:pPr>
            <w:r w:rsidRPr="008B029F">
              <w:rPr>
                <w:lang w:val="en-AU"/>
              </w:rPr>
              <w:t>24.1 (19.6, 28.9)</w:t>
            </w:r>
          </w:p>
        </w:tc>
      </w:tr>
      <w:tr w:rsidR="00BC55A9" w:rsidRPr="008B029F" w14:paraId="1A6F31FA" w14:textId="37531410" w:rsidTr="00AD01EC">
        <w:tc>
          <w:tcPr>
            <w:tcW w:w="1520" w:type="pct"/>
            <w:tcBorders>
              <w:top w:val="single" w:sz="4" w:space="0" w:color="auto"/>
              <w:left w:val="single" w:sz="4" w:space="0" w:color="auto"/>
              <w:bottom w:val="single" w:sz="4" w:space="0" w:color="auto"/>
              <w:right w:val="single" w:sz="4" w:space="0" w:color="auto"/>
            </w:tcBorders>
          </w:tcPr>
          <w:p w14:paraId="5E119676" w14:textId="01AB2C02" w:rsidR="00BC55A9" w:rsidRPr="008B029F" w:rsidRDefault="00BC55A9" w:rsidP="00BC55A9">
            <w:pPr>
              <w:pStyle w:val="TableLeft"/>
              <w:rPr>
                <w:lang w:val="en-AU"/>
              </w:rPr>
            </w:pPr>
            <w:r w:rsidRPr="008B029F">
              <w:rPr>
                <w:lang w:val="en-AU"/>
              </w:rPr>
              <w:lastRenderedPageBreak/>
              <w:t>OS at 24 months (%)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tcPr>
          <w:p w14:paraId="63C60AD3" w14:textId="1EC4087E" w:rsidR="00BC55A9" w:rsidRPr="008B029F" w:rsidRDefault="00BC55A9" w:rsidP="00BC55A9">
            <w:pPr>
              <w:pStyle w:val="TableCenter"/>
              <w:rPr>
                <w:lang w:val="en-AU"/>
              </w:rPr>
            </w:pPr>
            <w:r w:rsidRPr="008B029F">
              <w:t>24.9 (17.9, 32.5)</w:t>
            </w:r>
          </w:p>
        </w:tc>
        <w:tc>
          <w:tcPr>
            <w:tcW w:w="845" w:type="pct"/>
            <w:tcBorders>
              <w:top w:val="single" w:sz="4" w:space="0" w:color="auto"/>
              <w:left w:val="single" w:sz="4" w:space="0" w:color="auto"/>
              <w:bottom w:val="single" w:sz="4" w:space="0" w:color="auto"/>
              <w:right w:val="single" w:sz="4" w:space="0" w:color="auto"/>
            </w:tcBorders>
          </w:tcPr>
          <w:p w14:paraId="3F9A3850" w14:textId="6186935B" w:rsidR="00BC55A9" w:rsidRPr="008B029F" w:rsidRDefault="00BC55A9" w:rsidP="00BC55A9">
            <w:pPr>
              <w:pStyle w:val="TableCenter"/>
              <w:rPr>
                <w:lang w:val="en-AU"/>
              </w:rPr>
            </w:pPr>
            <w:r w:rsidRPr="008B029F">
              <w:t>10.4 (4.7, 18.8)</w:t>
            </w:r>
          </w:p>
        </w:tc>
        <w:tc>
          <w:tcPr>
            <w:tcW w:w="842" w:type="pct"/>
            <w:tcBorders>
              <w:top w:val="single" w:sz="4" w:space="0" w:color="auto"/>
              <w:left w:val="single" w:sz="4" w:space="0" w:color="auto"/>
              <w:bottom w:val="single" w:sz="4" w:space="0" w:color="auto"/>
              <w:right w:val="single" w:sz="4" w:space="0" w:color="auto"/>
            </w:tcBorders>
          </w:tcPr>
          <w:p w14:paraId="384D46E2" w14:textId="439FE8A5" w:rsidR="00BC55A9" w:rsidRPr="008B029F" w:rsidRDefault="00BC55A9" w:rsidP="00BC55A9">
            <w:pPr>
              <w:pStyle w:val="TableCenter"/>
              <w:rPr>
                <w:lang w:val="en-AU"/>
              </w:rPr>
            </w:pPr>
            <w:r w:rsidRPr="008B029F">
              <w:rPr>
                <w:lang w:val="en-AU"/>
              </w:rPr>
              <w:t>23.6 (18.7, 28.9)</w:t>
            </w:r>
          </w:p>
        </w:tc>
        <w:tc>
          <w:tcPr>
            <w:tcW w:w="917" w:type="pct"/>
            <w:tcBorders>
              <w:top w:val="single" w:sz="4" w:space="0" w:color="auto"/>
              <w:left w:val="single" w:sz="4" w:space="0" w:color="auto"/>
              <w:bottom w:val="single" w:sz="4" w:space="0" w:color="auto"/>
              <w:right w:val="single" w:sz="4" w:space="0" w:color="auto"/>
            </w:tcBorders>
          </w:tcPr>
          <w:p w14:paraId="093586F4" w14:textId="68ACC8E5" w:rsidR="00BC55A9" w:rsidRPr="008B029F" w:rsidRDefault="00BC55A9" w:rsidP="00BC55A9">
            <w:pPr>
              <w:pStyle w:val="TableCenter"/>
              <w:rPr>
                <w:lang w:val="en-AU"/>
              </w:rPr>
            </w:pPr>
            <w:r w:rsidRPr="008B029F">
              <w:rPr>
                <w:lang w:val="en-AU"/>
              </w:rPr>
              <w:t>11.5 (7.6, 16.2)</w:t>
            </w:r>
          </w:p>
        </w:tc>
      </w:tr>
      <w:tr w:rsidR="005E78CC" w:rsidRPr="008B029F" w14:paraId="3A9B766D" w14:textId="6586E9A6" w:rsidTr="005E78CC">
        <w:tc>
          <w:tcPr>
            <w:tcW w:w="5000" w:type="pct"/>
            <w:gridSpan w:val="5"/>
            <w:tcBorders>
              <w:top w:val="single" w:sz="4" w:space="0" w:color="auto"/>
              <w:left w:val="single" w:sz="4" w:space="0" w:color="auto"/>
              <w:bottom w:val="single" w:sz="4" w:space="0" w:color="auto"/>
              <w:right w:val="single" w:sz="4" w:space="0" w:color="auto"/>
            </w:tcBorders>
            <w:hideMark/>
          </w:tcPr>
          <w:p w14:paraId="03BE6930" w14:textId="02CFE2C7" w:rsidR="005E78CC" w:rsidRPr="008B029F" w:rsidRDefault="005E78CC" w:rsidP="00C03257">
            <w:pPr>
              <w:pStyle w:val="TableCenter"/>
              <w:jc w:val="left"/>
              <w:rPr>
                <w:b/>
                <w:bCs/>
                <w:lang w:val="en-AU"/>
              </w:rPr>
            </w:pPr>
            <w:r w:rsidRPr="008B029F">
              <w:rPr>
                <w:b/>
                <w:bCs/>
                <w:lang w:val="en-AU"/>
              </w:rPr>
              <w:t>PFS</w:t>
            </w:r>
          </w:p>
        </w:tc>
      </w:tr>
      <w:tr w:rsidR="00C03257" w:rsidRPr="008B029F" w14:paraId="4C8DE113" w14:textId="3AD60EC9" w:rsidTr="00AD01EC">
        <w:tc>
          <w:tcPr>
            <w:tcW w:w="1520" w:type="pct"/>
            <w:tcBorders>
              <w:top w:val="single" w:sz="4" w:space="0" w:color="auto"/>
              <w:left w:val="single" w:sz="4" w:space="0" w:color="auto"/>
              <w:bottom w:val="single" w:sz="4" w:space="0" w:color="auto"/>
              <w:right w:val="single" w:sz="4" w:space="0" w:color="auto"/>
            </w:tcBorders>
            <w:hideMark/>
          </w:tcPr>
          <w:p w14:paraId="791B086A" w14:textId="77777777" w:rsidR="00C03257" w:rsidRPr="008B029F" w:rsidRDefault="00C03257" w:rsidP="00C03257">
            <w:pPr>
              <w:pStyle w:val="TableLeft"/>
              <w:rPr>
                <w:lang w:val="en-AU"/>
              </w:rPr>
            </w:pPr>
            <w:r w:rsidRPr="008B029F">
              <w:rPr>
                <w:lang w:val="en-AU"/>
              </w:rPr>
              <w:t>Number of events (%)</w:t>
            </w:r>
          </w:p>
        </w:tc>
        <w:tc>
          <w:tcPr>
            <w:tcW w:w="876" w:type="pct"/>
            <w:tcBorders>
              <w:top w:val="single" w:sz="4" w:space="0" w:color="auto"/>
              <w:left w:val="single" w:sz="4" w:space="0" w:color="auto"/>
              <w:bottom w:val="single" w:sz="4" w:space="0" w:color="auto"/>
              <w:right w:val="single" w:sz="4" w:space="0" w:color="auto"/>
            </w:tcBorders>
            <w:hideMark/>
          </w:tcPr>
          <w:p w14:paraId="1D1EBC07" w14:textId="77777777" w:rsidR="00C03257" w:rsidRPr="008B029F" w:rsidRDefault="00C03257" w:rsidP="00C03257">
            <w:pPr>
              <w:pStyle w:val="TableCenter"/>
              <w:rPr>
                <w:lang w:val="en-AU"/>
              </w:rPr>
            </w:pPr>
            <w:r w:rsidRPr="008B029F">
              <w:rPr>
                <w:lang w:val="en-AU"/>
              </w:rPr>
              <w:t>276 (80.9)</w:t>
            </w:r>
          </w:p>
        </w:tc>
        <w:tc>
          <w:tcPr>
            <w:tcW w:w="845" w:type="pct"/>
            <w:tcBorders>
              <w:top w:val="single" w:sz="4" w:space="0" w:color="auto"/>
              <w:left w:val="single" w:sz="4" w:space="0" w:color="auto"/>
              <w:bottom w:val="single" w:sz="4" w:space="0" w:color="auto"/>
              <w:right w:val="single" w:sz="4" w:space="0" w:color="auto"/>
            </w:tcBorders>
            <w:hideMark/>
          </w:tcPr>
          <w:p w14:paraId="3F201336" w14:textId="77777777" w:rsidR="00C03257" w:rsidRPr="008B029F" w:rsidRDefault="00C03257" w:rsidP="00C03257">
            <w:pPr>
              <w:pStyle w:val="TableCenter"/>
              <w:rPr>
                <w:lang w:val="en-AU"/>
              </w:rPr>
            </w:pPr>
            <w:r w:rsidRPr="008B029F">
              <w:rPr>
                <w:lang w:val="en-AU"/>
              </w:rPr>
              <w:t>297 (86.3)</w:t>
            </w:r>
          </w:p>
        </w:tc>
        <w:tc>
          <w:tcPr>
            <w:tcW w:w="842" w:type="pct"/>
            <w:tcBorders>
              <w:top w:val="single" w:sz="4" w:space="0" w:color="auto"/>
              <w:left w:val="single" w:sz="4" w:space="0" w:color="auto"/>
              <w:bottom w:val="single" w:sz="4" w:space="0" w:color="auto"/>
              <w:right w:val="single" w:sz="4" w:space="0" w:color="auto"/>
            </w:tcBorders>
          </w:tcPr>
          <w:p w14:paraId="34D49C00" w14:textId="0AB5D778" w:rsidR="00C03257" w:rsidRPr="008B029F" w:rsidRDefault="00C02496" w:rsidP="00C03257">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4101FF46" w14:textId="0AA7CA25" w:rsidR="00C03257" w:rsidRPr="008B029F" w:rsidRDefault="00C02496" w:rsidP="00C03257">
            <w:pPr>
              <w:pStyle w:val="TableCenter"/>
              <w:rPr>
                <w:lang w:val="en-AU"/>
              </w:rPr>
            </w:pPr>
            <w:r w:rsidRPr="008B029F">
              <w:rPr>
                <w:lang w:val="en-AU"/>
              </w:rPr>
              <w:t>N/A</w:t>
            </w:r>
          </w:p>
        </w:tc>
      </w:tr>
      <w:tr w:rsidR="00C02496" w:rsidRPr="008B029F" w14:paraId="6D99D8B9" w14:textId="04AAFA7F" w:rsidTr="00AD01EC">
        <w:tc>
          <w:tcPr>
            <w:tcW w:w="1520" w:type="pct"/>
            <w:tcBorders>
              <w:top w:val="single" w:sz="4" w:space="0" w:color="auto"/>
              <w:left w:val="single" w:sz="4" w:space="0" w:color="auto"/>
              <w:bottom w:val="single" w:sz="4" w:space="0" w:color="auto"/>
              <w:right w:val="single" w:sz="4" w:space="0" w:color="auto"/>
            </w:tcBorders>
            <w:hideMark/>
          </w:tcPr>
          <w:p w14:paraId="7A00634D" w14:textId="7C3BA22A" w:rsidR="00C02496" w:rsidRPr="008B029F" w:rsidRDefault="00C02496" w:rsidP="00C02496">
            <w:pPr>
              <w:pStyle w:val="TableLeft"/>
              <w:rPr>
                <w:lang w:val="en-AU"/>
              </w:rPr>
            </w:pPr>
            <w:r w:rsidRPr="008B029F">
              <w:rPr>
                <w:lang w:val="en-AU"/>
              </w:rPr>
              <w:t>Median PFS (months)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hideMark/>
          </w:tcPr>
          <w:p w14:paraId="7BEE7329" w14:textId="485354B1" w:rsidR="00C02496" w:rsidRPr="008B029F" w:rsidRDefault="00C02496" w:rsidP="00C02496">
            <w:pPr>
              <w:pStyle w:val="TableCenter"/>
              <w:rPr>
                <w:lang w:val="en-AU"/>
              </w:rPr>
            </w:pPr>
            <w:r w:rsidRPr="008B029F">
              <w:rPr>
                <w:lang w:val="en-AU"/>
              </w:rPr>
              <w:t>7.2 (6.7, 7.4)</w:t>
            </w:r>
          </w:p>
        </w:tc>
        <w:tc>
          <w:tcPr>
            <w:tcW w:w="845" w:type="pct"/>
            <w:tcBorders>
              <w:top w:val="single" w:sz="4" w:space="0" w:color="auto"/>
              <w:left w:val="single" w:sz="4" w:space="0" w:color="auto"/>
              <w:bottom w:val="single" w:sz="4" w:space="0" w:color="auto"/>
              <w:right w:val="single" w:sz="4" w:space="0" w:color="auto"/>
            </w:tcBorders>
            <w:hideMark/>
          </w:tcPr>
          <w:p w14:paraId="05C4E535" w14:textId="49A11B4E" w:rsidR="00C02496" w:rsidRPr="008B029F" w:rsidRDefault="00C02496" w:rsidP="00C02496">
            <w:pPr>
              <w:pStyle w:val="TableCenter"/>
              <w:rPr>
                <w:lang w:val="en-AU"/>
              </w:rPr>
            </w:pPr>
            <w:r w:rsidRPr="008B029F">
              <w:rPr>
                <w:lang w:val="en-AU"/>
              </w:rPr>
              <w:t>5.7 (5.6, 6.7)</w:t>
            </w:r>
          </w:p>
        </w:tc>
        <w:tc>
          <w:tcPr>
            <w:tcW w:w="842" w:type="pct"/>
            <w:tcBorders>
              <w:top w:val="single" w:sz="4" w:space="0" w:color="auto"/>
              <w:left w:val="single" w:sz="4" w:space="0" w:color="auto"/>
              <w:bottom w:val="single" w:sz="4" w:space="0" w:color="auto"/>
              <w:right w:val="single" w:sz="4" w:space="0" w:color="auto"/>
            </w:tcBorders>
          </w:tcPr>
          <w:p w14:paraId="2A6AFA56" w14:textId="3CF8DC0A"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2E589A5A" w14:textId="321E32AA" w:rsidR="00C02496" w:rsidRPr="008B029F" w:rsidRDefault="00C02496" w:rsidP="00C02496">
            <w:pPr>
              <w:pStyle w:val="TableCenter"/>
              <w:rPr>
                <w:lang w:val="en-AU"/>
              </w:rPr>
            </w:pPr>
            <w:r w:rsidRPr="008B029F">
              <w:rPr>
                <w:lang w:val="en-AU"/>
              </w:rPr>
              <w:t>N/A</w:t>
            </w:r>
          </w:p>
        </w:tc>
      </w:tr>
      <w:tr w:rsidR="00C02496" w:rsidRPr="008B029F" w14:paraId="1A3BC81B" w14:textId="18263BB9" w:rsidTr="00AD01EC">
        <w:tc>
          <w:tcPr>
            <w:tcW w:w="1520" w:type="pct"/>
            <w:tcBorders>
              <w:top w:val="single" w:sz="4" w:space="0" w:color="auto"/>
              <w:left w:val="single" w:sz="4" w:space="0" w:color="auto"/>
              <w:bottom w:val="single" w:sz="4" w:space="0" w:color="auto"/>
              <w:right w:val="single" w:sz="4" w:space="0" w:color="auto"/>
            </w:tcBorders>
            <w:hideMark/>
          </w:tcPr>
          <w:p w14:paraId="421C336F" w14:textId="16C9161B" w:rsidR="00C02496" w:rsidRPr="008B029F" w:rsidRDefault="00C02496" w:rsidP="00C02496">
            <w:pPr>
              <w:pStyle w:val="TableLeft"/>
              <w:rPr>
                <w:lang w:val="en-AU"/>
              </w:rPr>
            </w:pPr>
            <w:r w:rsidRPr="008B029F">
              <w:rPr>
                <w:lang w:val="en-AU"/>
              </w:rPr>
              <w:t>HR (95% CI)</w:t>
            </w:r>
            <w:r w:rsidRPr="008B029F">
              <w:rPr>
                <w:vertAlign w:val="superscript"/>
                <w:lang w:val="en-AU"/>
              </w:rPr>
              <w:t>d</w:t>
            </w:r>
          </w:p>
        </w:tc>
        <w:tc>
          <w:tcPr>
            <w:tcW w:w="1721" w:type="pct"/>
            <w:gridSpan w:val="2"/>
            <w:tcBorders>
              <w:top w:val="single" w:sz="4" w:space="0" w:color="auto"/>
              <w:left w:val="single" w:sz="4" w:space="0" w:color="auto"/>
              <w:bottom w:val="single" w:sz="4" w:space="0" w:color="auto"/>
              <w:right w:val="single" w:sz="4" w:space="0" w:color="auto"/>
            </w:tcBorders>
            <w:hideMark/>
          </w:tcPr>
          <w:p w14:paraId="4EEDF779" w14:textId="77777777" w:rsidR="00C02496" w:rsidRPr="008B029F" w:rsidRDefault="00C02496" w:rsidP="00C02496">
            <w:pPr>
              <w:pStyle w:val="TableCenter"/>
              <w:rPr>
                <w:lang w:val="en-AU"/>
              </w:rPr>
            </w:pPr>
            <w:r w:rsidRPr="008B029F">
              <w:rPr>
                <w:lang w:val="en-AU"/>
              </w:rPr>
              <w:t>0.75 (0.63, 0.89)</w:t>
            </w:r>
          </w:p>
        </w:tc>
        <w:tc>
          <w:tcPr>
            <w:tcW w:w="1759" w:type="pct"/>
            <w:gridSpan w:val="2"/>
            <w:tcBorders>
              <w:top w:val="single" w:sz="4" w:space="0" w:color="auto"/>
              <w:left w:val="single" w:sz="4" w:space="0" w:color="auto"/>
              <w:bottom w:val="single" w:sz="4" w:space="0" w:color="auto"/>
              <w:right w:val="single" w:sz="4" w:space="0" w:color="auto"/>
            </w:tcBorders>
          </w:tcPr>
          <w:p w14:paraId="0DCDF78F" w14:textId="30D004E5" w:rsidR="00C02496" w:rsidRPr="008B029F" w:rsidRDefault="00C02496" w:rsidP="00C02496">
            <w:pPr>
              <w:pStyle w:val="TableCenter"/>
              <w:rPr>
                <w:lang w:val="en-AU"/>
              </w:rPr>
            </w:pPr>
            <w:r w:rsidRPr="008B029F">
              <w:rPr>
                <w:lang w:val="en-AU"/>
              </w:rPr>
              <w:t>N/A</w:t>
            </w:r>
          </w:p>
        </w:tc>
      </w:tr>
      <w:tr w:rsidR="00C02496" w:rsidRPr="008B029F" w14:paraId="34278C6D" w14:textId="319EEA23" w:rsidTr="00AD01EC">
        <w:tc>
          <w:tcPr>
            <w:tcW w:w="1520" w:type="pct"/>
            <w:tcBorders>
              <w:top w:val="single" w:sz="4" w:space="0" w:color="auto"/>
              <w:left w:val="single" w:sz="4" w:space="0" w:color="auto"/>
              <w:bottom w:val="single" w:sz="4" w:space="0" w:color="auto"/>
              <w:right w:val="single" w:sz="4" w:space="0" w:color="auto"/>
            </w:tcBorders>
            <w:hideMark/>
          </w:tcPr>
          <w:p w14:paraId="027883E9" w14:textId="3B61C321" w:rsidR="00C02496" w:rsidRPr="008B029F" w:rsidRDefault="00C02496" w:rsidP="00C02496">
            <w:pPr>
              <w:pStyle w:val="TableLeft"/>
              <w:rPr>
                <w:lang w:val="en-AU"/>
              </w:rPr>
            </w:pPr>
            <w:r w:rsidRPr="008B029F">
              <w:rPr>
                <w:lang w:val="en-AU"/>
              </w:rPr>
              <w:t>p-value</w:t>
            </w:r>
            <w:r w:rsidRPr="008B029F">
              <w:rPr>
                <w:vertAlign w:val="superscript"/>
                <w:lang w:val="en-AU"/>
              </w:rPr>
              <w:t>d, f</w:t>
            </w:r>
          </w:p>
        </w:tc>
        <w:tc>
          <w:tcPr>
            <w:tcW w:w="1721" w:type="pct"/>
            <w:gridSpan w:val="2"/>
            <w:tcBorders>
              <w:top w:val="single" w:sz="4" w:space="0" w:color="auto"/>
              <w:left w:val="single" w:sz="4" w:space="0" w:color="auto"/>
              <w:bottom w:val="single" w:sz="4" w:space="0" w:color="auto"/>
              <w:right w:val="single" w:sz="4" w:space="0" w:color="auto"/>
            </w:tcBorders>
            <w:hideMark/>
          </w:tcPr>
          <w:p w14:paraId="64693BC9" w14:textId="77777777" w:rsidR="00C02496" w:rsidRPr="008B029F" w:rsidRDefault="00C02496" w:rsidP="00C02496">
            <w:pPr>
              <w:pStyle w:val="TableCenter"/>
              <w:rPr>
                <w:lang w:val="en-AU"/>
              </w:rPr>
            </w:pPr>
            <w:r w:rsidRPr="008B029F">
              <w:rPr>
                <w:lang w:val="en-AU"/>
              </w:rPr>
              <w:t>0.001</w:t>
            </w:r>
          </w:p>
        </w:tc>
        <w:tc>
          <w:tcPr>
            <w:tcW w:w="1759" w:type="pct"/>
            <w:gridSpan w:val="2"/>
            <w:tcBorders>
              <w:top w:val="single" w:sz="4" w:space="0" w:color="auto"/>
              <w:left w:val="single" w:sz="4" w:space="0" w:color="auto"/>
              <w:bottom w:val="single" w:sz="4" w:space="0" w:color="auto"/>
              <w:right w:val="single" w:sz="4" w:space="0" w:color="auto"/>
            </w:tcBorders>
          </w:tcPr>
          <w:p w14:paraId="38891B9B" w14:textId="651A810E" w:rsidR="00C02496" w:rsidRPr="008B029F" w:rsidRDefault="00C02496" w:rsidP="00C02496">
            <w:pPr>
              <w:pStyle w:val="TableCenter"/>
              <w:rPr>
                <w:lang w:val="en-AU"/>
              </w:rPr>
            </w:pPr>
            <w:r w:rsidRPr="008B029F">
              <w:rPr>
                <w:lang w:val="en-AU"/>
              </w:rPr>
              <w:t>N/A</w:t>
            </w:r>
          </w:p>
        </w:tc>
      </w:tr>
      <w:tr w:rsidR="00C02496" w:rsidRPr="008B029F" w14:paraId="2FE857A1" w14:textId="7EF4C972" w:rsidTr="00AD01EC">
        <w:tc>
          <w:tcPr>
            <w:tcW w:w="1520" w:type="pct"/>
            <w:tcBorders>
              <w:top w:val="single" w:sz="4" w:space="0" w:color="auto"/>
              <w:left w:val="single" w:sz="4" w:space="0" w:color="auto"/>
              <w:bottom w:val="single" w:sz="4" w:space="0" w:color="auto"/>
              <w:right w:val="single" w:sz="4" w:space="0" w:color="auto"/>
            </w:tcBorders>
            <w:hideMark/>
          </w:tcPr>
          <w:p w14:paraId="6C430C7C" w14:textId="3087A11B" w:rsidR="00C02496" w:rsidRPr="008B029F" w:rsidRDefault="00C02496" w:rsidP="00C02496">
            <w:pPr>
              <w:pStyle w:val="TableLeft"/>
              <w:rPr>
                <w:lang w:val="en-AU"/>
              </w:rPr>
            </w:pPr>
            <w:r w:rsidRPr="008B029F">
              <w:rPr>
                <w:lang w:val="en-AU"/>
              </w:rPr>
              <w:t>PFS at 9 months (%)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hideMark/>
          </w:tcPr>
          <w:p w14:paraId="6342D78C" w14:textId="4094DB00" w:rsidR="00C02496" w:rsidRPr="008B029F" w:rsidRDefault="00C02496" w:rsidP="00C02496">
            <w:pPr>
              <w:pStyle w:val="TableCenter"/>
              <w:rPr>
                <w:lang w:val="en-AU"/>
              </w:rPr>
            </w:pPr>
            <w:r w:rsidRPr="008B029F">
              <w:rPr>
                <w:lang w:val="en-AU"/>
              </w:rPr>
              <w:t>34.8 (29.6, 40.0)</w:t>
            </w:r>
          </w:p>
        </w:tc>
        <w:tc>
          <w:tcPr>
            <w:tcW w:w="845" w:type="pct"/>
            <w:tcBorders>
              <w:top w:val="single" w:sz="4" w:space="0" w:color="auto"/>
              <w:left w:val="single" w:sz="4" w:space="0" w:color="auto"/>
              <w:bottom w:val="single" w:sz="4" w:space="0" w:color="auto"/>
              <w:right w:val="single" w:sz="4" w:space="0" w:color="auto"/>
            </w:tcBorders>
            <w:hideMark/>
          </w:tcPr>
          <w:p w14:paraId="16540249" w14:textId="567A5354" w:rsidR="00C02496" w:rsidRPr="008B029F" w:rsidRDefault="00C02496" w:rsidP="00C02496">
            <w:pPr>
              <w:pStyle w:val="TableCenter"/>
              <w:rPr>
                <w:lang w:val="en-AU"/>
              </w:rPr>
            </w:pPr>
            <w:r w:rsidRPr="008B029F">
              <w:rPr>
                <w:lang w:val="en-AU"/>
              </w:rPr>
              <w:t>24.6 (20.0, 29.5)</w:t>
            </w:r>
          </w:p>
        </w:tc>
        <w:tc>
          <w:tcPr>
            <w:tcW w:w="842" w:type="pct"/>
            <w:tcBorders>
              <w:top w:val="single" w:sz="4" w:space="0" w:color="auto"/>
              <w:left w:val="single" w:sz="4" w:space="0" w:color="auto"/>
              <w:bottom w:val="single" w:sz="4" w:space="0" w:color="auto"/>
              <w:right w:val="single" w:sz="4" w:space="0" w:color="auto"/>
            </w:tcBorders>
          </w:tcPr>
          <w:p w14:paraId="32226F9F" w14:textId="35F2847F"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0FE106D7" w14:textId="33D1C531" w:rsidR="00C02496" w:rsidRPr="008B029F" w:rsidRDefault="00C02496" w:rsidP="00C02496">
            <w:pPr>
              <w:pStyle w:val="TableCenter"/>
              <w:rPr>
                <w:lang w:val="en-AU"/>
              </w:rPr>
            </w:pPr>
            <w:r w:rsidRPr="008B029F">
              <w:rPr>
                <w:lang w:val="en-AU"/>
              </w:rPr>
              <w:t>N/A</w:t>
            </w:r>
          </w:p>
        </w:tc>
      </w:tr>
      <w:tr w:rsidR="00C02496" w:rsidRPr="008B029F" w14:paraId="2ED32298" w14:textId="46D0134A" w:rsidTr="00AD01EC">
        <w:tc>
          <w:tcPr>
            <w:tcW w:w="1520" w:type="pct"/>
            <w:tcBorders>
              <w:top w:val="single" w:sz="4" w:space="0" w:color="auto"/>
              <w:left w:val="single" w:sz="4" w:space="0" w:color="auto"/>
              <w:bottom w:val="single" w:sz="4" w:space="0" w:color="auto"/>
              <w:right w:val="single" w:sz="4" w:space="0" w:color="auto"/>
            </w:tcBorders>
            <w:hideMark/>
          </w:tcPr>
          <w:p w14:paraId="7F767C4C" w14:textId="6569606C" w:rsidR="00C02496" w:rsidRPr="008B029F" w:rsidRDefault="00C02496" w:rsidP="00C02496">
            <w:pPr>
              <w:pStyle w:val="TableLeft"/>
              <w:rPr>
                <w:lang w:val="en-AU"/>
              </w:rPr>
            </w:pPr>
            <w:r w:rsidRPr="008B029F">
              <w:rPr>
                <w:lang w:val="en-AU"/>
              </w:rPr>
              <w:t>PFS at 12 months (%) (95% CI)</w:t>
            </w:r>
            <w:r w:rsidRPr="008B029F">
              <w:rPr>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hideMark/>
          </w:tcPr>
          <w:p w14:paraId="7F8B7461" w14:textId="5DE27D5D" w:rsidR="00C02496" w:rsidRPr="008B029F" w:rsidRDefault="00C02496" w:rsidP="00C02496">
            <w:pPr>
              <w:pStyle w:val="TableCenter"/>
              <w:rPr>
                <w:lang w:val="en-AU"/>
              </w:rPr>
            </w:pPr>
            <w:r w:rsidRPr="008B029F">
              <w:rPr>
                <w:lang w:val="en-AU"/>
              </w:rPr>
              <w:t>16.0 (12.0, 20.6)</w:t>
            </w:r>
          </w:p>
        </w:tc>
        <w:tc>
          <w:tcPr>
            <w:tcW w:w="845" w:type="pct"/>
            <w:tcBorders>
              <w:top w:val="single" w:sz="4" w:space="0" w:color="auto"/>
              <w:left w:val="single" w:sz="4" w:space="0" w:color="auto"/>
              <w:bottom w:val="single" w:sz="4" w:space="0" w:color="auto"/>
              <w:right w:val="single" w:sz="4" w:space="0" w:color="auto"/>
            </w:tcBorders>
            <w:hideMark/>
          </w:tcPr>
          <w:p w14:paraId="23FCA859" w14:textId="220BC52C" w:rsidR="00C02496" w:rsidRPr="008B029F" w:rsidRDefault="00C02496" w:rsidP="00C02496">
            <w:pPr>
              <w:pStyle w:val="TableCenter"/>
              <w:rPr>
                <w:lang w:val="en-AU"/>
              </w:rPr>
            </w:pPr>
            <w:r w:rsidRPr="008B029F">
              <w:rPr>
                <w:lang w:val="en-AU"/>
              </w:rPr>
              <w:t>6.6 (4.1, 9.9)</w:t>
            </w:r>
          </w:p>
        </w:tc>
        <w:tc>
          <w:tcPr>
            <w:tcW w:w="842" w:type="pct"/>
            <w:tcBorders>
              <w:top w:val="single" w:sz="4" w:space="0" w:color="auto"/>
              <w:left w:val="single" w:sz="4" w:space="0" w:color="auto"/>
              <w:bottom w:val="single" w:sz="4" w:space="0" w:color="auto"/>
              <w:right w:val="single" w:sz="4" w:space="0" w:color="auto"/>
            </w:tcBorders>
          </w:tcPr>
          <w:p w14:paraId="03E17CF5" w14:textId="621DBB20"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3780C5AA" w14:textId="29A0B61C" w:rsidR="00C02496" w:rsidRPr="008B029F" w:rsidRDefault="00C02496" w:rsidP="00C02496">
            <w:pPr>
              <w:pStyle w:val="TableCenter"/>
              <w:rPr>
                <w:lang w:val="en-AU"/>
              </w:rPr>
            </w:pPr>
            <w:r w:rsidRPr="008B029F">
              <w:rPr>
                <w:lang w:val="en-AU"/>
              </w:rPr>
              <w:t>N/A</w:t>
            </w:r>
          </w:p>
        </w:tc>
      </w:tr>
      <w:tr w:rsidR="00C02496" w:rsidRPr="008B029F" w14:paraId="1CEF7439" w14:textId="622BE50B" w:rsidTr="00AD01EC">
        <w:tc>
          <w:tcPr>
            <w:tcW w:w="1520" w:type="pct"/>
            <w:tcBorders>
              <w:top w:val="single" w:sz="4" w:space="0" w:color="auto"/>
              <w:left w:val="single" w:sz="4" w:space="0" w:color="auto"/>
              <w:bottom w:val="single" w:sz="4" w:space="0" w:color="auto"/>
              <w:right w:val="single" w:sz="4" w:space="0" w:color="auto"/>
            </w:tcBorders>
            <w:hideMark/>
          </w:tcPr>
          <w:p w14:paraId="74E2E6E6" w14:textId="4FE76B90" w:rsidR="00C02496" w:rsidRPr="008B029F" w:rsidRDefault="00C02496" w:rsidP="00C02496">
            <w:pPr>
              <w:pStyle w:val="TableLeft"/>
              <w:rPr>
                <w:b/>
                <w:lang w:val="en-AU"/>
              </w:rPr>
            </w:pPr>
            <w:r w:rsidRPr="008B029F">
              <w:rPr>
                <w:b/>
                <w:lang w:val="en-AU"/>
              </w:rPr>
              <w:t>ORR n (%)</w:t>
            </w:r>
            <w:r w:rsidRPr="008B029F">
              <w:rPr>
                <w:b/>
                <w:vertAlign w:val="superscript"/>
                <w:lang w:val="en-AU"/>
              </w:rPr>
              <w:t>g</w:t>
            </w:r>
          </w:p>
        </w:tc>
        <w:tc>
          <w:tcPr>
            <w:tcW w:w="876" w:type="pct"/>
            <w:tcBorders>
              <w:top w:val="single" w:sz="4" w:space="0" w:color="auto"/>
              <w:left w:val="single" w:sz="4" w:space="0" w:color="auto"/>
              <w:bottom w:val="single" w:sz="4" w:space="0" w:color="auto"/>
              <w:right w:val="single" w:sz="4" w:space="0" w:color="auto"/>
            </w:tcBorders>
            <w:hideMark/>
          </w:tcPr>
          <w:p w14:paraId="3FC102E9" w14:textId="77777777" w:rsidR="00C02496" w:rsidRPr="008B029F" w:rsidRDefault="00C02496" w:rsidP="00C02496">
            <w:pPr>
              <w:pStyle w:val="TableCenter"/>
              <w:rPr>
                <w:lang w:val="en-AU"/>
              </w:rPr>
            </w:pPr>
            <w:r w:rsidRPr="008B029F">
              <w:rPr>
                <w:lang w:val="en-AU"/>
              </w:rPr>
              <w:t>91 (26.7)</w:t>
            </w:r>
          </w:p>
        </w:tc>
        <w:tc>
          <w:tcPr>
            <w:tcW w:w="845" w:type="pct"/>
            <w:tcBorders>
              <w:top w:val="single" w:sz="4" w:space="0" w:color="auto"/>
              <w:left w:val="single" w:sz="4" w:space="0" w:color="auto"/>
              <w:bottom w:val="single" w:sz="4" w:space="0" w:color="auto"/>
              <w:right w:val="single" w:sz="4" w:space="0" w:color="auto"/>
            </w:tcBorders>
            <w:hideMark/>
          </w:tcPr>
          <w:p w14:paraId="6A997A23" w14:textId="77777777" w:rsidR="00C02496" w:rsidRPr="008B029F" w:rsidRDefault="00C02496" w:rsidP="00C02496">
            <w:pPr>
              <w:pStyle w:val="TableCenter"/>
              <w:rPr>
                <w:lang w:val="en-AU"/>
              </w:rPr>
            </w:pPr>
            <w:r w:rsidRPr="008B029F">
              <w:rPr>
                <w:lang w:val="en-AU"/>
              </w:rPr>
              <w:t>64 (18.7)</w:t>
            </w:r>
          </w:p>
        </w:tc>
        <w:tc>
          <w:tcPr>
            <w:tcW w:w="842" w:type="pct"/>
            <w:tcBorders>
              <w:top w:val="single" w:sz="4" w:space="0" w:color="auto"/>
              <w:left w:val="single" w:sz="4" w:space="0" w:color="auto"/>
              <w:bottom w:val="single" w:sz="4" w:space="0" w:color="auto"/>
              <w:right w:val="single" w:sz="4" w:space="0" w:color="auto"/>
            </w:tcBorders>
          </w:tcPr>
          <w:p w14:paraId="59346C10" w14:textId="4285C32D"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48FED27A" w14:textId="209D6C57" w:rsidR="00C02496" w:rsidRPr="008B029F" w:rsidRDefault="00C02496" w:rsidP="00C02496">
            <w:pPr>
              <w:pStyle w:val="TableCenter"/>
              <w:rPr>
                <w:lang w:val="en-AU"/>
              </w:rPr>
            </w:pPr>
            <w:r w:rsidRPr="008B029F">
              <w:rPr>
                <w:lang w:val="en-AU"/>
              </w:rPr>
              <w:t>N/A</w:t>
            </w:r>
          </w:p>
        </w:tc>
      </w:tr>
      <w:tr w:rsidR="00C02496" w:rsidRPr="008B029F" w14:paraId="5375F53A" w14:textId="72DD7958" w:rsidTr="00AD01EC">
        <w:tc>
          <w:tcPr>
            <w:tcW w:w="1520" w:type="pct"/>
            <w:tcBorders>
              <w:top w:val="single" w:sz="4" w:space="0" w:color="auto"/>
              <w:left w:val="single" w:sz="4" w:space="0" w:color="auto"/>
              <w:bottom w:val="single" w:sz="4" w:space="0" w:color="auto"/>
              <w:right w:val="single" w:sz="4" w:space="0" w:color="auto"/>
            </w:tcBorders>
            <w:hideMark/>
          </w:tcPr>
          <w:p w14:paraId="294A6A94" w14:textId="77777777" w:rsidR="00C02496" w:rsidRPr="008B029F" w:rsidRDefault="00C02496" w:rsidP="00C02496">
            <w:pPr>
              <w:pStyle w:val="TableLeft"/>
              <w:rPr>
                <w:lang w:val="en-AU"/>
              </w:rPr>
            </w:pPr>
            <w:r w:rsidRPr="008B029F">
              <w:rPr>
                <w:lang w:val="en-AU"/>
              </w:rPr>
              <w:t>Complete Response n (%)</w:t>
            </w:r>
          </w:p>
        </w:tc>
        <w:tc>
          <w:tcPr>
            <w:tcW w:w="876" w:type="pct"/>
            <w:tcBorders>
              <w:top w:val="single" w:sz="4" w:space="0" w:color="auto"/>
              <w:left w:val="single" w:sz="4" w:space="0" w:color="auto"/>
              <w:bottom w:val="single" w:sz="4" w:space="0" w:color="auto"/>
              <w:right w:val="single" w:sz="4" w:space="0" w:color="auto"/>
            </w:tcBorders>
            <w:hideMark/>
          </w:tcPr>
          <w:p w14:paraId="26E76843" w14:textId="77777777" w:rsidR="00C02496" w:rsidRPr="008B029F" w:rsidRDefault="00C02496" w:rsidP="00C02496">
            <w:pPr>
              <w:pStyle w:val="TableCenter"/>
              <w:rPr>
                <w:lang w:val="en-AU"/>
              </w:rPr>
            </w:pPr>
            <w:r w:rsidRPr="008B029F">
              <w:rPr>
                <w:lang w:val="en-AU"/>
              </w:rPr>
              <w:t>7 (2.1)</w:t>
            </w:r>
          </w:p>
        </w:tc>
        <w:tc>
          <w:tcPr>
            <w:tcW w:w="845" w:type="pct"/>
            <w:tcBorders>
              <w:top w:val="single" w:sz="4" w:space="0" w:color="auto"/>
              <w:left w:val="single" w:sz="4" w:space="0" w:color="auto"/>
              <w:bottom w:val="single" w:sz="4" w:space="0" w:color="auto"/>
              <w:right w:val="single" w:sz="4" w:space="0" w:color="auto"/>
            </w:tcBorders>
            <w:hideMark/>
          </w:tcPr>
          <w:p w14:paraId="1697AA89" w14:textId="77777777" w:rsidR="00C02496" w:rsidRPr="008B029F" w:rsidRDefault="00C02496" w:rsidP="00C02496">
            <w:pPr>
              <w:pStyle w:val="TableCenter"/>
              <w:rPr>
                <w:lang w:val="en-AU"/>
              </w:rPr>
            </w:pPr>
            <w:r w:rsidRPr="008B029F">
              <w:rPr>
                <w:lang w:val="en-AU"/>
              </w:rPr>
              <w:t>2 (0.6)</w:t>
            </w:r>
          </w:p>
        </w:tc>
        <w:tc>
          <w:tcPr>
            <w:tcW w:w="842" w:type="pct"/>
            <w:tcBorders>
              <w:top w:val="single" w:sz="4" w:space="0" w:color="auto"/>
              <w:left w:val="single" w:sz="4" w:space="0" w:color="auto"/>
              <w:bottom w:val="single" w:sz="4" w:space="0" w:color="auto"/>
              <w:right w:val="single" w:sz="4" w:space="0" w:color="auto"/>
            </w:tcBorders>
          </w:tcPr>
          <w:p w14:paraId="07166E83" w14:textId="1184F654"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35851BCE" w14:textId="34EAAFDC" w:rsidR="00C02496" w:rsidRPr="008B029F" w:rsidRDefault="00C02496" w:rsidP="00C02496">
            <w:pPr>
              <w:pStyle w:val="TableCenter"/>
              <w:rPr>
                <w:lang w:val="en-AU"/>
              </w:rPr>
            </w:pPr>
            <w:r w:rsidRPr="008B029F">
              <w:rPr>
                <w:lang w:val="en-AU"/>
              </w:rPr>
              <w:t>N/A</w:t>
            </w:r>
          </w:p>
        </w:tc>
      </w:tr>
      <w:tr w:rsidR="00C02496" w:rsidRPr="008B029F" w14:paraId="26B82364" w14:textId="4E888AF9" w:rsidTr="00AD01EC">
        <w:tc>
          <w:tcPr>
            <w:tcW w:w="1520" w:type="pct"/>
            <w:tcBorders>
              <w:top w:val="single" w:sz="4" w:space="0" w:color="auto"/>
              <w:left w:val="single" w:sz="4" w:space="0" w:color="auto"/>
              <w:bottom w:val="single" w:sz="4" w:space="0" w:color="auto"/>
              <w:right w:val="single" w:sz="4" w:space="0" w:color="auto"/>
            </w:tcBorders>
            <w:hideMark/>
          </w:tcPr>
          <w:p w14:paraId="6F4D9965" w14:textId="77777777" w:rsidR="00C02496" w:rsidRPr="008B029F" w:rsidRDefault="00C02496" w:rsidP="00C02496">
            <w:pPr>
              <w:pStyle w:val="TableLeft"/>
              <w:rPr>
                <w:lang w:val="en-AU"/>
              </w:rPr>
            </w:pPr>
            <w:r w:rsidRPr="008B029F">
              <w:rPr>
                <w:lang w:val="en-AU"/>
              </w:rPr>
              <w:t>Partial Response n (%)</w:t>
            </w:r>
          </w:p>
        </w:tc>
        <w:tc>
          <w:tcPr>
            <w:tcW w:w="876" w:type="pct"/>
            <w:tcBorders>
              <w:top w:val="single" w:sz="4" w:space="0" w:color="auto"/>
              <w:left w:val="single" w:sz="4" w:space="0" w:color="auto"/>
              <w:bottom w:val="single" w:sz="4" w:space="0" w:color="auto"/>
              <w:right w:val="single" w:sz="4" w:space="0" w:color="auto"/>
            </w:tcBorders>
            <w:hideMark/>
          </w:tcPr>
          <w:p w14:paraId="0F02A40B" w14:textId="77777777" w:rsidR="00C02496" w:rsidRPr="008B029F" w:rsidRDefault="00C02496" w:rsidP="00C02496">
            <w:pPr>
              <w:pStyle w:val="TableCenter"/>
              <w:rPr>
                <w:lang w:val="en-AU"/>
              </w:rPr>
            </w:pPr>
            <w:r w:rsidRPr="008B029F">
              <w:rPr>
                <w:lang w:val="en-AU"/>
              </w:rPr>
              <w:t>84 (24.6)</w:t>
            </w:r>
          </w:p>
        </w:tc>
        <w:tc>
          <w:tcPr>
            <w:tcW w:w="845" w:type="pct"/>
            <w:tcBorders>
              <w:top w:val="single" w:sz="4" w:space="0" w:color="auto"/>
              <w:left w:val="single" w:sz="4" w:space="0" w:color="auto"/>
              <w:bottom w:val="single" w:sz="4" w:space="0" w:color="auto"/>
              <w:right w:val="single" w:sz="4" w:space="0" w:color="auto"/>
            </w:tcBorders>
            <w:hideMark/>
          </w:tcPr>
          <w:p w14:paraId="735BE048" w14:textId="77777777" w:rsidR="00C02496" w:rsidRPr="008B029F" w:rsidRDefault="00C02496" w:rsidP="00C02496">
            <w:pPr>
              <w:pStyle w:val="TableCenter"/>
              <w:rPr>
                <w:lang w:val="en-AU"/>
              </w:rPr>
            </w:pPr>
            <w:r w:rsidRPr="008B029F">
              <w:rPr>
                <w:lang w:val="en-AU"/>
              </w:rPr>
              <w:t>62 (18.1)</w:t>
            </w:r>
          </w:p>
        </w:tc>
        <w:tc>
          <w:tcPr>
            <w:tcW w:w="842" w:type="pct"/>
            <w:tcBorders>
              <w:top w:val="single" w:sz="4" w:space="0" w:color="auto"/>
              <w:left w:val="single" w:sz="4" w:space="0" w:color="auto"/>
              <w:bottom w:val="single" w:sz="4" w:space="0" w:color="auto"/>
              <w:right w:val="single" w:sz="4" w:space="0" w:color="auto"/>
            </w:tcBorders>
          </w:tcPr>
          <w:p w14:paraId="765544CA" w14:textId="6B6A0635"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674843D4" w14:textId="5D7D0A2D" w:rsidR="00C02496" w:rsidRPr="008B029F" w:rsidRDefault="00C02496" w:rsidP="00C02496">
            <w:pPr>
              <w:pStyle w:val="TableCenter"/>
              <w:rPr>
                <w:lang w:val="en-AU"/>
              </w:rPr>
            </w:pPr>
            <w:r w:rsidRPr="008B029F">
              <w:rPr>
                <w:lang w:val="en-AU"/>
              </w:rPr>
              <w:t>N/A</w:t>
            </w:r>
          </w:p>
        </w:tc>
      </w:tr>
      <w:tr w:rsidR="00C02496" w:rsidRPr="008B029F" w14:paraId="5C85A052" w14:textId="5A5EFFE5" w:rsidTr="00AD01EC">
        <w:tc>
          <w:tcPr>
            <w:tcW w:w="1520" w:type="pct"/>
            <w:tcBorders>
              <w:top w:val="single" w:sz="4" w:space="0" w:color="auto"/>
              <w:left w:val="single" w:sz="4" w:space="0" w:color="auto"/>
              <w:bottom w:val="single" w:sz="4" w:space="0" w:color="auto"/>
              <w:right w:val="single" w:sz="4" w:space="0" w:color="auto"/>
            </w:tcBorders>
            <w:hideMark/>
          </w:tcPr>
          <w:p w14:paraId="01328946" w14:textId="02635743" w:rsidR="00C02496" w:rsidRPr="008B029F" w:rsidRDefault="00C02496" w:rsidP="00C02496">
            <w:pPr>
              <w:pStyle w:val="TableLeft"/>
              <w:rPr>
                <w:lang w:val="en-AU"/>
              </w:rPr>
            </w:pPr>
            <w:r w:rsidRPr="008B029F">
              <w:rPr>
                <w:lang w:val="en-AU"/>
              </w:rPr>
              <w:t>Odds ratio (95% CI)</w:t>
            </w:r>
            <w:r w:rsidRPr="008B029F">
              <w:rPr>
                <w:vertAlign w:val="superscript"/>
                <w:lang w:val="en-AU"/>
              </w:rPr>
              <w:t>h</w:t>
            </w:r>
          </w:p>
        </w:tc>
        <w:tc>
          <w:tcPr>
            <w:tcW w:w="1721" w:type="pct"/>
            <w:gridSpan w:val="2"/>
            <w:tcBorders>
              <w:top w:val="single" w:sz="4" w:space="0" w:color="auto"/>
              <w:left w:val="single" w:sz="4" w:space="0" w:color="auto"/>
              <w:bottom w:val="single" w:sz="4" w:space="0" w:color="auto"/>
              <w:right w:val="single" w:sz="4" w:space="0" w:color="auto"/>
            </w:tcBorders>
            <w:hideMark/>
          </w:tcPr>
          <w:p w14:paraId="0AC90305" w14:textId="77777777" w:rsidR="00C02496" w:rsidRPr="008B029F" w:rsidRDefault="00C02496" w:rsidP="00C02496">
            <w:pPr>
              <w:pStyle w:val="TableCenter"/>
              <w:rPr>
                <w:lang w:val="en-AU"/>
              </w:rPr>
            </w:pPr>
            <w:r w:rsidRPr="008B029F">
              <w:rPr>
                <w:lang w:val="en-AU"/>
              </w:rPr>
              <w:t>1.60 (1.11, 2.31)</w:t>
            </w:r>
          </w:p>
        </w:tc>
        <w:tc>
          <w:tcPr>
            <w:tcW w:w="1759" w:type="pct"/>
            <w:gridSpan w:val="2"/>
            <w:tcBorders>
              <w:top w:val="single" w:sz="4" w:space="0" w:color="auto"/>
              <w:left w:val="single" w:sz="4" w:space="0" w:color="auto"/>
              <w:bottom w:val="single" w:sz="4" w:space="0" w:color="auto"/>
              <w:right w:val="single" w:sz="4" w:space="0" w:color="auto"/>
            </w:tcBorders>
          </w:tcPr>
          <w:p w14:paraId="098BD2E8" w14:textId="558BA51A" w:rsidR="00C02496" w:rsidRPr="008B029F" w:rsidRDefault="00C02496" w:rsidP="00C02496">
            <w:pPr>
              <w:pStyle w:val="TableCenter"/>
              <w:rPr>
                <w:lang w:val="en-AU"/>
              </w:rPr>
            </w:pPr>
            <w:r w:rsidRPr="008B029F">
              <w:rPr>
                <w:lang w:val="en-AU"/>
              </w:rPr>
              <w:t>N/A</w:t>
            </w:r>
          </w:p>
        </w:tc>
      </w:tr>
      <w:tr w:rsidR="00C02496" w:rsidRPr="008B029F" w14:paraId="617FB0F5" w14:textId="5426B22C" w:rsidTr="00AD01EC">
        <w:tc>
          <w:tcPr>
            <w:tcW w:w="1520" w:type="pct"/>
            <w:tcBorders>
              <w:top w:val="single" w:sz="4" w:space="0" w:color="auto"/>
              <w:left w:val="single" w:sz="4" w:space="0" w:color="auto"/>
              <w:bottom w:val="single" w:sz="4" w:space="0" w:color="auto"/>
              <w:right w:val="single" w:sz="4" w:space="0" w:color="auto"/>
            </w:tcBorders>
            <w:hideMark/>
          </w:tcPr>
          <w:p w14:paraId="0D645667" w14:textId="381750B9" w:rsidR="00C02496" w:rsidRPr="008B029F" w:rsidRDefault="00C02496" w:rsidP="00C02496">
            <w:pPr>
              <w:pStyle w:val="TableLeft"/>
              <w:rPr>
                <w:lang w:val="en-AU"/>
              </w:rPr>
            </w:pPr>
            <w:r w:rsidRPr="008B029F">
              <w:rPr>
                <w:lang w:val="en-AU"/>
              </w:rPr>
              <w:t>p-value</w:t>
            </w:r>
            <w:r w:rsidRPr="008B029F">
              <w:rPr>
                <w:vertAlign w:val="superscript"/>
                <w:lang w:val="en-AU"/>
              </w:rPr>
              <w:t>h</w:t>
            </w:r>
          </w:p>
        </w:tc>
        <w:tc>
          <w:tcPr>
            <w:tcW w:w="1721" w:type="pct"/>
            <w:gridSpan w:val="2"/>
            <w:tcBorders>
              <w:top w:val="single" w:sz="4" w:space="0" w:color="auto"/>
              <w:left w:val="single" w:sz="4" w:space="0" w:color="auto"/>
              <w:bottom w:val="single" w:sz="4" w:space="0" w:color="auto"/>
              <w:right w:val="single" w:sz="4" w:space="0" w:color="auto"/>
            </w:tcBorders>
            <w:hideMark/>
          </w:tcPr>
          <w:p w14:paraId="5D5358BA" w14:textId="77777777" w:rsidR="00C02496" w:rsidRPr="008B029F" w:rsidRDefault="00C02496" w:rsidP="00C02496">
            <w:pPr>
              <w:pStyle w:val="TableCenter"/>
              <w:rPr>
                <w:lang w:val="en-AU"/>
              </w:rPr>
            </w:pPr>
            <w:r w:rsidRPr="008B029F">
              <w:rPr>
                <w:lang w:val="en-AU"/>
              </w:rPr>
              <w:t>0.011</w:t>
            </w:r>
          </w:p>
        </w:tc>
        <w:tc>
          <w:tcPr>
            <w:tcW w:w="1759" w:type="pct"/>
            <w:gridSpan w:val="2"/>
            <w:tcBorders>
              <w:top w:val="single" w:sz="4" w:space="0" w:color="auto"/>
              <w:left w:val="single" w:sz="4" w:space="0" w:color="auto"/>
              <w:bottom w:val="single" w:sz="4" w:space="0" w:color="auto"/>
              <w:right w:val="single" w:sz="4" w:space="0" w:color="auto"/>
            </w:tcBorders>
          </w:tcPr>
          <w:p w14:paraId="6B8E1C0C" w14:textId="725EA467" w:rsidR="00C02496" w:rsidRPr="008B029F" w:rsidRDefault="00C02496" w:rsidP="00C02496">
            <w:pPr>
              <w:pStyle w:val="TableCenter"/>
              <w:rPr>
                <w:lang w:val="en-AU"/>
              </w:rPr>
            </w:pPr>
            <w:r w:rsidRPr="008B029F">
              <w:rPr>
                <w:lang w:val="en-AU"/>
              </w:rPr>
              <w:t>N/A</w:t>
            </w:r>
          </w:p>
        </w:tc>
      </w:tr>
      <w:tr w:rsidR="00C02496" w:rsidRPr="008B029F" w14:paraId="1206D983" w14:textId="45D6DEF0" w:rsidTr="00C02496">
        <w:tc>
          <w:tcPr>
            <w:tcW w:w="5000" w:type="pct"/>
            <w:gridSpan w:val="5"/>
            <w:tcBorders>
              <w:top w:val="single" w:sz="4" w:space="0" w:color="auto"/>
              <w:left w:val="single" w:sz="4" w:space="0" w:color="auto"/>
              <w:bottom w:val="single" w:sz="4" w:space="0" w:color="auto"/>
              <w:right w:val="single" w:sz="4" w:space="0" w:color="auto"/>
            </w:tcBorders>
            <w:hideMark/>
          </w:tcPr>
          <w:p w14:paraId="5F336A4A" w14:textId="7180A991" w:rsidR="00C02496" w:rsidRPr="008B029F" w:rsidRDefault="00C02496" w:rsidP="00C02496">
            <w:pPr>
              <w:pStyle w:val="TableCenter"/>
              <w:jc w:val="left"/>
              <w:rPr>
                <w:b/>
                <w:bCs/>
                <w:lang w:val="en-AU"/>
              </w:rPr>
            </w:pPr>
            <w:r w:rsidRPr="008B029F">
              <w:rPr>
                <w:b/>
                <w:bCs/>
                <w:lang w:val="en-AU"/>
              </w:rPr>
              <w:t xml:space="preserve">DoR </w:t>
            </w:r>
          </w:p>
        </w:tc>
      </w:tr>
      <w:tr w:rsidR="00C02496" w:rsidRPr="008B029F" w14:paraId="1E64A6F3" w14:textId="52816F33" w:rsidTr="00AD01EC">
        <w:tc>
          <w:tcPr>
            <w:tcW w:w="1520" w:type="pct"/>
            <w:tcBorders>
              <w:top w:val="single" w:sz="4" w:space="0" w:color="auto"/>
              <w:left w:val="single" w:sz="4" w:space="0" w:color="auto"/>
              <w:bottom w:val="single" w:sz="4" w:space="0" w:color="auto"/>
              <w:right w:val="single" w:sz="4" w:space="0" w:color="auto"/>
            </w:tcBorders>
            <w:hideMark/>
          </w:tcPr>
          <w:p w14:paraId="611E0788" w14:textId="6FF600C8" w:rsidR="00C02496" w:rsidRPr="008B029F" w:rsidRDefault="00C02496" w:rsidP="00C02496">
            <w:pPr>
              <w:pStyle w:val="TableLeft"/>
              <w:rPr>
                <w:bCs w:val="0"/>
                <w:lang w:val="en-AU"/>
              </w:rPr>
            </w:pPr>
            <w:r w:rsidRPr="008B029F">
              <w:rPr>
                <w:bCs w:val="0"/>
                <w:lang w:val="en-AU"/>
              </w:rPr>
              <w:t>Median DoR (months) (95% CI)</w:t>
            </w:r>
            <w:r w:rsidRPr="008B029F">
              <w:rPr>
                <w:bCs w:val="0"/>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hideMark/>
          </w:tcPr>
          <w:p w14:paraId="5813E4AA" w14:textId="27B490A5" w:rsidR="00C02496" w:rsidRPr="008B029F" w:rsidRDefault="00C02496" w:rsidP="00C02496">
            <w:pPr>
              <w:pStyle w:val="TableCenter"/>
              <w:rPr>
                <w:lang w:val="en-AU"/>
              </w:rPr>
            </w:pPr>
            <w:r w:rsidRPr="008B029F">
              <w:rPr>
                <w:lang w:val="en-AU"/>
              </w:rPr>
              <w:t>6.4 (5.9, 8.1)</w:t>
            </w:r>
          </w:p>
        </w:tc>
        <w:tc>
          <w:tcPr>
            <w:tcW w:w="845" w:type="pct"/>
            <w:tcBorders>
              <w:top w:val="single" w:sz="4" w:space="0" w:color="auto"/>
              <w:left w:val="single" w:sz="4" w:space="0" w:color="auto"/>
              <w:bottom w:val="single" w:sz="4" w:space="0" w:color="auto"/>
              <w:right w:val="single" w:sz="4" w:space="0" w:color="auto"/>
            </w:tcBorders>
            <w:hideMark/>
          </w:tcPr>
          <w:p w14:paraId="0E383C0E" w14:textId="72E12D8E" w:rsidR="00C02496" w:rsidRPr="008B029F" w:rsidRDefault="00C02496" w:rsidP="00C02496">
            <w:pPr>
              <w:pStyle w:val="TableCenter"/>
              <w:rPr>
                <w:lang w:val="en-AU"/>
              </w:rPr>
            </w:pPr>
            <w:r w:rsidRPr="008B029F">
              <w:rPr>
                <w:lang w:val="en-AU"/>
              </w:rPr>
              <w:t>6.2 (4.4, 7.3)</w:t>
            </w:r>
          </w:p>
        </w:tc>
        <w:tc>
          <w:tcPr>
            <w:tcW w:w="842" w:type="pct"/>
            <w:tcBorders>
              <w:top w:val="single" w:sz="4" w:space="0" w:color="auto"/>
              <w:left w:val="single" w:sz="4" w:space="0" w:color="auto"/>
              <w:bottom w:val="single" w:sz="4" w:space="0" w:color="auto"/>
              <w:right w:val="single" w:sz="4" w:space="0" w:color="auto"/>
            </w:tcBorders>
          </w:tcPr>
          <w:p w14:paraId="071713D3" w14:textId="66F7A8E5"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4A93DAF5" w14:textId="461756C5" w:rsidR="00C02496" w:rsidRPr="008B029F" w:rsidRDefault="00C02496" w:rsidP="00C02496">
            <w:pPr>
              <w:pStyle w:val="TableCenter"/>
              <w:rPr>
                <w:lang w:val="en-AU"/>
              </w:rPr>
            </w:pPr>
            <w:r w:rsidRPr="008B029F">
              <w:rPr>
                <w:lang w:val="en-AU"/>
              </w:rPr>
              <w:t>N/A</w:t>
            </w:r>
          </w:p>
        </w:tc>
      </w:tr>
      <w:tr w:rsidR="00C02496" w:rsidRPr="008B029F" w14:paraId="3C78531C" w14:textId="2543C445" w:rsidTr="00AD01EC">
        <w:tc>
          <w:tcPr>
            <w:tcW w:w="1520" w:type="pct"/>
            <w:tcBorders>
              <w:top w:val="single" w:sz="4" w:space="0" w:color="auto"/>
              <w:left w:val="single" w:sz="4" w:space="0" w:color="auto"/>
              <w:bottom w:val="single" w:sz="4" w:space="0" w:color="auto"/>
              <w:right w:val="single" w:sz="4" w:space="0" w:color="auto"/>
            </w:tcBorders>
            <w:hideMark/>
          </w:tcPr>
          <w:p w14:paraId="16658528" w14:textId="4B88E214" w:rsidR="00C02496" w:rsidRPr="008B029F" w:rsidRDefault="00C02496" w:rsidP="00C02496">
            <w:pPr>
              <w:pStyle w:val="TableLeft"/>
              <w:rPr>
                <w:bCs w:val="0"/>
                <w:lang w:val="en-AU"/>
              </w:rPr>
            </w:pPr>
            <w:r w:rsidRPr="008B029F">
              <w:rPr>
                <w:bCs w:val="0"/>
                <w:lang w:val="en-AU"/>
              </w:rPr>
              <w:t>DoR at 9 months (%)</w:t>
            </w:r>
            <w:r w:rsidRPr="008B029F">
              <w:rPr>
                <w:bCs w:val="0"/>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hideMark/>
          </w:tcPr>
          <w:p w14:paraId="4FB210F1" w14:textId="77777777" w:rsidR="00C02496" w:rsidRPr="008B029F" w:rsidRDefault="00C02496" w:rsidP="00C02496">
            <w:pPr>
              <w:pStyle w:val="TableCenter"/>
              <w:rPr>
                <w:lang w:val="en-AU"/>
              </w:rPr>
            </w:pPr>
            <w:r w:rsidRPr="008B029F">
              <w:rPr>
                <w:lang w:val="en-AU"/>
              </w:rPr>
              <w:t>32.6</w:t>
            </w:r>
          </w:p>
        </w:tc>
        <w:tc>
          <w:tcPr>
            <w:tcW w:w="845" w:type="pct"/>
            <w:tcBorders>
              <w:top w:val="single" w:sz="4" w:space="0" w:color="auto"/>
              <w:left w:val="single" w:sz="4" w:space="0" w:color="auto"/>
              <w:bottom w:val="single" w:sz="4" w:space="0" w:color="auto"/>
              <w:right w:val="single" w:sz="4" w:space="0" w:color="auto"/>
            </w:tcBorders>
            <w:hideMark/>
          </w:tcPr>
          <w:p w14:paraId="7D40DD57" w14:textId="77777777" w:rsidR="00C02496" w:rsidRPr="008B029F" w:rsidRDefault="00C02496" w:rsidP="00C02496">
            <w:pPr>
              <w:pStyle w:val="TableCenter"/>
              <w:rPr>
                <w:lang w:val="en-AU"/>
              </w:rPr>
            </w:pPr>
            <w:r w:rsidRPr="008B029F">
              <w:rPr>
                <w:lang w:val="en-AU"/>
              </w:rPr>
              <w:t>25.3</w:t>
            </w:r>
          </w:p>
        </w:tc>
        <w:tc>
          <w:tcPr>
            <w:tcW w:w="842" w:type="pct"/>
            <w:tcBorders>
              <w:top w:val="single" w:sz="4" w:space="0" w:color="auto"/>
              <w:left w:val="single" w:sz="4" w:space="0" w:color="auto"/>
              <w:bottom w:val="single" w:sz="4" w:space="0" w:color="auto"/>
              <w:right w:val="single" w:sz="4" w:space="0" w:color="auto"/>
            </w:tcBorders>
          </w:tcPr>
          <w:p w14:paraId="56E0E89F" w14:textId="0868ADE5"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33CD47AF" w14:textId="32E3D401" w:rsidR="00C02496" w:rsidRPr="008B029F" w:rsidRDefault="00C02496" w:rsidP="00C02496">
            <w:pPr>
              <w:pStyle w:val="TableCenter"/>
              <w:rPr>
                <w:lang w:val="en-AU"/>
              </w:rPr>
            </w:pPr>
            <w:r w:rsidRPr="008B029F">
              <w:rPr>
                <w:lang w:val="en-AU"/>
              </w:rPr>
              <w:t>N/A</w:t>
            </w:r>
          </w:p>
        </w:tc>
      </w:tr>
      <w:tr w:rsidR="00C02496" w:rsidRPr="008B029F" w14:paraId="2F16A01E" w14:textId="6543DC63" w:rsidTr="00AD01EC">
        <w:tc>
          <w:tcPr>
            <w:tcW w:w="1520" w:type="pct"/>
            <w:tcBorders>
              <w:top w:val="single" w:sz="4" w:space="0" w:color="auto"/>
              <w:left w:val="single" w:sz="4" w:space="0" w:color="auto"/>
              <w:bottom w:val="single" w:sz="4" w:space="0" w:color="auto"/>
              <w:right w:val="single" w:sz="4" w:space="0" w:color="auto"/>
            </w:tcBorders>
            <w:hideMark/>
          </w:tcPr>
          <w:p w14:paraId="6F19206D" w14:textId="5D5608FB" w:rsidR="00C02496" w:rsidRPr="008B029F" w:rsidRDefault="00C02496" w:rsidP="00C02496">
            <w:pPr>
              <w:pStyle w:val="TableLeft"/>
              <w:rPr>
                <w:bCs w:val="0"/>
                <w:lang w:val="en-AU"/>
              </w:rPr>
            </w:pPr>
            <w:r w:rsidRPr="008B029F">
              <w:rPr>
                <w:bCs w:val="0"/>
                <w:lang w:val="en-AU"/>
              </w:rPr>
              <w:t>DoR at 12 months (%)</w:t>
            </w:r>
            <w:r w:rsidRPr="008B029F">
              <w:rPr>
                <w:bCs w:val="0"/>
                <w:vertAlign w:val="superscript"/>
                <w:lang w:val="en-AU"/>
              </w:rPr>
              <w:t>c</w:t>
            </w:r>
          </w:p>
        </w:tc>
        <w:tc>
          <w:tcPr>
            <w:tcW w:w="876" w:type="pct"/>
            <w:tcBorders>
              <w:top w:val="single" w:sz="4" w:space="0" w:color="auto"/>
              <w:left w:val="single" w:sz="4" w:space="0" w:color="auto"/>
              <w:bottom w:val="single" w:sz="4" w:space="0" w:color="auto"/>
              <w:right w:val="single" w:sz="4" w:space="0" w:color="auto"/>
            </w:tcBorders>
            <w:hideMark/>
          </w:tcPr>
          <w:p w14:paraId="31FDEBD6" w14:textId="77777777" w:rsidR="00C02496" w:rsidRPr="008B029F" w:rsidRDefault="00C02496" w:rsidP="00C02496">
            <w:pPr>
              <w:pStyle w:val="TableCenter"/>
              <w:rPr>
                <w:lang w:val="en-AU"/>
              </w:rPr>
            </w:pPr>
            <w:r w:rsidRPr="008B029F">
              <w:rPr>
                <w:lang w:val="en-AU"/>
              </w:rPr>
              <w:t>26.1</w:t>
            </w:r>
          </w:p>
        </w:tc>
        <w:tc>
          <w:tcPr>
            <w:tcW w:w="845" w:type="pct"/>
            <w:tcBorders>
              <w:top w:val="single" w:sz="4" w:space="0" w:color="auto"/>
              <w:left w:val="single" w:sz="4" w:space="0" w:color="auto"/>
              <w:bottom w:val="single" w:sz="4" w:space="0" w:color="auto"/>
              <w:right w:val="single" w:sz="4" w:space="0" w:color="auto"/>
            </w:tcBorders>
            <w:hideMark/>
          </w:tcPr>
          <w:p w14:paraId="754D3C7E" w14:textId="77777777" w:rsidR="00C02496" w:rsidRPr="008B029F" w:rsidRDefault="00C02496" w:rsidP="00C02496">
            <w:pPr>
              <w:pStyle w:val="TableCenter"/>
              <w:rPr>
                <w:lang w:val="en-AU"/>
              </w:rPr>
            </w:pPr>
            <w:r w:rsidRPr="008B029F">
              <w:rPr>
                <w:lang w:val="en-AU"/>
              </w:rPr>
              <w:t>15.0</w:t>
            </w:r>
          </w:p>
        </w:tc>
        <w:tc>
          <w:tcPr>
            <w:tcW w:w="842" w:type="pct"/>
            <w:tcBorders>
              <w:top w:val="single" w:sz="4" w:space="0" w:color="auto"/>
              <w:left w:val="single" w:sz="4" w:space="0" w:color="auto"/>
              <w:bottom w:val="single" w:sz="4" w:space="0" w:color="auto"/>
              <w:right w:val="single" w:sz="4" w:space="0" w:color="auto"/>
            </w:tcBorders>
          </w:tcPr>
          <w:p w14:paraId="46D9FA63" w14:textId="6948EB79" w:rsidR="00C02496" w:rsidRPr="008B029F" w:rsidRDefault="00C02496" w:rsidP="00C02496">
            <w:pPr>
              <w:pStyle w:val="TableCenter"/>
              <w:rPr>
                <w:lang w:val="en-AU"/>
              </w:rPr>
            </w:pPr>
            <w:r w:rsidRPr="008B029F">
              <w:rPr>
                <w:lang w:val="en-AU"/>
              </w:rPr>
              <w:t>N/A</w:t>
            </w:r>
          </w:p>
        </w:tc>
        <w:tc>
          <w:tcPr>
            <w:tcW w:w="917" w:type="pct"/>
            <w:tcBorders>
              <w:top w:val="single" w:sz="4" w:space="0" w:color="auto"/>
              <w:left w:val="single" w:sz="4" w:space="0" w:color="auto"/>
              <w:bottom w:val="single" w:sz="4" w:space="0" w:color="auto"/>
              <w:right w:val="single" w:sz="4" w:space="0" w:color="auto"/>
            </w:tcBorders>
          </w:tcPr>
          <w:p w14:paraId="776ABDAB" w14:textId="2D7E7B3E" w:rsidR="00C02496" w:rsidRPr="008B029F" w:rsidRDefault="00C02496" w:rsidP="00C02496">
            <w:pPr>
              <w:pStyle w:val="TableCenter"/>
              <w:rPr>
                <w:lang w:val="en-AU"/>
              </w:rPr>
            </w:pPr>
            <w:r w:rsidRPr="008B029F">
              <w:rPr>
                <w:lang w:val="en-AU"/>
              </w:rPr>
              <w:t>N/A</w:t>
            </w:r>
          </w:p>
        </w:tc>
      </w:tr>
    </w:tbl>
    <w:p w14:paraId="6032155F" w14:textId="77777777" w:rsidR="00C03257" w:rsidRPr="008B029F" w:rsidRDefault="00C03257" w:rsidP="00C03257">
      <w:pPr>
        <w:pStyle w:val="TableFootnoteLetter"/>
        <w:numPr>
          <w:ilvl w:val="0"/>
          <w:numId w:val="36"/>
        </w:numPr>
        <w:rPr>
          <w:lang w:val="en-AU" w:eastAsia="en-GB"/>
        </w:rPr>
      </w:pPr>
      <w:r w:rsidRPr="008B029F">
        <w:rPr>
          <w:lang w:val="en-AU" w:eastAsia="en-GB"/>
        </w:rPr>
        <w:t>Final OS, PFS, ORR and DoR analysis at data cut-off 11 Aug 2021.</w:t>
      </w:r>
    </w:p>
    <w:p w14:paraId="249594DB" w14:textId="35DAA135" w:rsidR="00C03257" w:rsidRPr="008B029F" w:rsidRDefault="00C03257" w:rsidP="00C03257">
      <w:pPr>
        <w:pStyle w:val="TableFootnoteLetter"/>
        <w:numPr>
          <w:ilvl w:val="0"/>
          <w:numId w:val="36"/>
        </w:numPr>
        <w:rPr>
          <w:lang w:val="en-AU" w:eastAsia="en-GB"/>
        </w:rPr>
      </w:pPr>
      <w:r w:rsidRPr="008B029F">
        <w:rPr>
          <w:lang w:val="en-AU" w:eastAsia="en-GB"/>
        </w:rPr>
        <w:t>Follow-up OS analysis at data cut-off 25 Feb 2022</w:t>
      </w:r>
    </w:p>
    <w:p w14:paraId="30D81117" w14:textId="36884396" w:rsidR="00910B4F" w:rsidRPr="008B029F" w:rsidRDefault="00910B4F" w:rsidP="00C03257">
      <w:pPr>
        <w:pStyle w:val="TableFootnoteLetter"/>
        <w:numPr>
          <w:ilvl w:val="0"/>
          <w:numId w:val="36"/>
        </w:numPr>
        <w:rPr>
          <w:lang w:val="en-AU" w:eastAsia="en-GB"/>
        </w:rPr>
      </w:pPr>
      <w:r w:rsidRPr="008B029F">
        <w:rPr>
          <w:lang w:val="en-AU" w:eastAsia="en-GB"/>
        </w:rPr>
        <w:t>Calculated using the Kaplan</w:t>
      </w:r>
      <w:r w:rsidRPr="008B029F">
        <w:rPr>
          <w:lang w:val="en-AU" w:eastAsia="en-GB"/>
        </w:rPr>
        <w:noBreakHyphen/>
        <w:t>Meier technique. CI for median derived based on Brookmeyer</w:t>
      </w:r>
      <w:r w:rsidRPr="008B029F">
        <w:rPr>
          <w:lang w:val="en-AU" w:eastAsia="en-GB"/>
        </w:rPr>
        <w:noBreakHyphen/>
        <w:t>Crowley method.</w:t>
      </w:r>
    </w:p>
    <w:p w14:paraId="6C146377" w14:textId="6F1277A3" w:rsidR="00910B4F" w:rsidRPr="008B029F" w:rsidRDefault="00910B4F" w:rsidP="00910B4F">
      <w:pPr>
        <w:pStyle w:val="TableFootnoteLetter"/>
        <w:rPr>
          <w:lang w:val="en-AU" w:eastAsia="en-GB"/>
        </w:rPr>
      </w:pPr>
      <w:r w:rsidRPr="008B029F">
        <w:rPr>
          <w:lang w:val="en-AU" w:eastAsia="en-GB"/>
        </w:rPr>
        <w:t>The analysis for HR was performed using a stratified Cox proportional hazards model and 2</w:t>
      </w:r>
      <w:r w:rsidRPr="008B029F">
        <w:rPr>
          <w:lang w:val="en-AU" w:eastAsia="en-GB"/>
        </w:rPr>
        <w:noBreakHyphen/>
        <w:t>sided p</w:t>
      </w:r>
      <w:r w:rsidRPr="008B029F">
        <w:rPr>
          <w:lang w:val="en-AU" w:eastAsia="en-GB"/>
        </w:rPr>
        <w:noBreakHyphen/>
        <w:t>value is based on a stratified log-rank test, both are adjusted for disease status and primary tumo</w:t>
      </w:r>
      <w:r w:rsidR="00C11C92" w:rsidRPr="008B029F">
        <w:rPr>
          <w:lang w:val="en-AU" w:eastAsia="en-GB"/>
        </w:rPr>
        <w:t>u</w:t>
      </w:r>
      <w:r w:rsidRPr="008B029F">
        <w:rPr>
          <w:lang w:val="en-AU" w:eastAsia="en-GB"/>
        </w:rPr>
        <w:t>r location.</w:t>
      </w:r>
    </w:p>
    <w:p w14:paraId="32849E87" w14:textId="3869E7B9" w:rsidR="00716F74" w:rsidRPr="008B029F" w:rsidRDefault="00716F74" w:rsidP="00910B4F">
      <w:pPr>
        <w:pStyle w:val="TableFootnoteLetter"/>
        <w:rPr>
          <w:lang w:val="en-AU" w:eastAsia="en-GB"/>
        </w:rPr>
      </w:pPr>
      <w:r w:rsidRPr="008B029F">
        <w:rPr>
          <w:lang w:val="en-AU" w:eastAsia="en-GB"/>
        </w:rPr>
        <w:t>p-value based on the results from the pre-planned interim (primary) analysis. Based on a Lan-DeMets alpha spending function with O'Brien Fleming type boundary for OS and the actual number of events observed, the boundary for declaring statistical significance was 0.03 for an 4.9% overall alpha (Lan◦and◦DeMets 1983).</w:t>
      </w:r>
    </w:p>
    <w:p w14:paraId="6538AA57" w14:textId="3D2F2A72" w:rsidR="00910B4F" w:rsidRPr="008B029F" w:rsidRDefault="00910B4F" w:rsidP="00910B4F">
      <w:pPr>
        <w:pStyle w:val="TableFootnoteLetter"/>
        <w:rPr>
          <w:sz w:val="22"/>
          <w:lang w:val="en-AU" w:eastAsia="en-GB"/>
        </w:rPr>
      </w:pPr>
      <w:r w:rsidRPr="008B029F">
        <w:rPr>
          <w:lang w:val="en-AU" w:eastAsia="en-GB"/>
        </w:rPr>
        <w:t xml:space="preserve">p-value based on the results from the pre-planned interim </w:t>
      </w:r>
      <w:r w:rsidR="00716F74" w:rsidRPr="008B029F">
        <w:rPr>
          <w:lang w:val="en-AU" w:eastAsia="en-GB"/>
        </w:rPr>
        <w:t xml:space="preserve">(primary) </w:t>
      </w:r>
      <w:r w:rsidRPr="008B029F">
        <w:rPr>
          <w:lang w:val="en-AU" w:eastAsia="en-GB"/>
        </w:rPr>
        <w:t>analysis. Based on a Lan-DeMets alpha spending function with Pocock type boundary and the actual number of events observed, the boundary for declaring statistical significance was 0.0481 for an 4.9% overall alpha (Lan and DeMets 1983).</w:t>
      </w:r>
    </w:p>
    <w:p w14:paraId="49EBAAD7" w14:textId="2055275E" w:rsidR="00910B4F" w:rsidRPr="008B029F" w:rsidRDefault="00910B4F" w:rsidP="00910B4F">
      <w:pPr>
        <w:pStyle w:val="TableFootnoteLetter"/>
        <w:rPr>
          <w:rFonts w:eastAsia="SimSun"/>
          <w:color w:val="000000"/>
          <w:sz w:val="22"/>
          <w:szCs w:val="22"/>
          <w:shd w:val="clear" w:color="auto" w:fill="FFFFFF"/>
          <w:lang w:val="en-AU"/>
        </w:rPr>
      </w:pPr>
      <w:r w:rsidRPr="008B029F">
        <w:rPr>
          <w:rFonts w:eastAsia="SimSun"/>
          <w:color w:val="000000"/>
          <w:shd w:val="clear" w:color="auto" w:fill="FFFFFF"/>
          <w:lang w:val="en-AU"/>
        </w:rPr>
        <w:t>Confirmed objective response b</w:t>
      </w:r>
      <w:r w:rsidRPr="008B029F">
        <w:rPr>
          <w:lang w:val="en-AU" w:eastAsia="en-GB"/>
        </w:rPr>
        <w:t>y Investigator per RECIST 1.1.</w:t>
      </w:r>
      <w:r w:rsidR="00716F74" w:rsidRPr="008B029F">
        <w:rPr>
          <w:lang w:val="en-AU" w:eastAsia="en-GB"/>
        </w:rPr>
        <w:t xml:space="preserve"> Based on patients with measurable disease at baseline IMFINZI + gemcitabine and cisplatin (n = 341), Placebo + gemcitabine and cisplatin (n = 343).</w:t>
      </w:r>
    </w:p>
    <w:p w14:paraId="7105CEC6" w14:textId="1B7A8ECE" w:rsidR="00910B4F" w:rsidRPr="008B029F" w:rsidRDefault="00910B4F" w:rsidP="00910B4F">
      <w:pPr>
        <w:pStyle w:val="TableFootnoteLetter"/>
        <w:rPr>
          <w:lang w:val="en-AU" w:eastAsia="en-GB"/>
        </w:rPr>
      </w:pPr>
      <w:r w:rsidRPr="008B029F">
        <w:rPr>
          <w:lang w:val="en-AU" w:eastAsia="en-GB"/>
        </w:rPr>
        <w:t>The analysis was performed using a stratified CMH test with factors for disease status and tumo</w:t>
      </w:r>
      <w:r w:rsidR="009277AA" w:rsidRPr="008B029F">
        <w:rPr>
          <w:lang w:val="en-AU" w:eastAsia="en-GB"/>
        </w:rPr>
        <w:t>u</w:t>
      </w:r>
      <w:r w:rsidRPr="008B029F">
        <w:rPr>
          <w:lang w:val="en-AU" w:eastAsia="en-GB"/>
        </w:rPr>
        <w:t>r location. Nominal 2</w:t>
      </w:r>
      <w:r w:rsidRPr="008B029F">
        <w:rPr>
          <w:lang w:val="en-AU" w:eastAsia="en-GB"/>
        </w:rPr>
        <w:noBreakHyphen/>
        <w:t>sided p</w:t>
      </w:r>
      <w:r w:rsidRPr="008B029F">
        <w:rPr>
          <w:lang w:val="en-AU" w:eastAsia="en-GB"/>
        </w:rPr>
        <w:noBreakHyphen/>
        <w:t>value</w:t>
      </w:r>
    </w:p>
    <w:p w14:paraId="7977CF61" w14:textId="0BBB7953" w:rsidR="007C6445" w:rsidRPr="008B029F" w:rsidRDefault="007C6445" w:rsidP="00010609">
      <w:pPr>
        <w:pStyle w:val="Paragraph"/>
        <w:rPr>
          <w:lang w:val="en-AU"/>
        </w:rPr>
      </w:pPr>
    </w:p>
    <w:p w14:paraId="73D44F41" w14:textId="16C6D3F9" w:rsidR="00910B4F" w:rsidRPr="008B029F" w:rsidRDefault="00841B1A" w:rsidP="00910B4F">
      <w:pPr>
        <w:pStyle w:val="FigureTitle"/>
        <w:rPr>
          <w:lang w:val="en-AU" w:eastAsia="en-GB"/>
        </w:rPr>
      </w:pPr>
      <w:bookmarkStart w:id="77" w:name="_Ref121930975"/>
      <w:r w:rsidRPr="008B029F">
        <w:rPr>
          <w:lang w:val="en-AU"/>
        </w:rPr>
        <w:lastRenderedPageBreak/>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11</w:t>
      </w:r>
      <w:r w:rsidRPr="008B029F">
        <w:rPr>
          <w:color w:val="2B579A"/>
          <w:shd w:val="clear" w:color="auto" w:fill="E6E6E6"/>
          <w:lang w:val="en-AU"/>
        </w:rPr>
        <w:fldChar w:fldCharType="end"/>
      </w:r>
      <w:bookmarkEnd w:id="77"/>
      <w:r w:rsidRPr="008B029F">
        <w:rPr>
          <w:lang w:val="en-AU"/>
        </w:rPr>
        <w:tab/>
      </w:r>
      <w:r w:rsidRPr="008B029F">
        <w:rPr>
          <w:lang w:val="en-AU" w:eastAsia="en-GB"/>
        </w:rPr>
        <w:t>Kaplan-Meier curve of OS (</w:t>
      </w:r>
      <w:r w:rsidR="00C11C92" w:rsidRPr="008B029F">
        <w:rPr>
          <w:lang w:val="en-AU" w:eastAsia="en-GB"/>
        </w:rPr>
        <w:t xml:space="preserve">TOPAZ-1 </w:t>
      </w:r>
      <w:r w:rsidRPr="008B029F">
        <w:rPr>
          <w:lang w:val="en-AU" w:eastAsia="en-GB"/>
        </w:rPr>
        <w:t>DCO: 25 Feb 2022)</w:t>
      </w:r>
      <w:r w:rsidR="00AD01EC" w:rsidRPr="008B029F">
        <w:rPr>
          <w:noProof/>
          <w:color w:val="2B579A"/>
          <w:shd w:val="clear" w:color="auto" w:fill="E6E6E6"/>
          <w:lang w:val="en-AU" w:eastAsia="en-GB"/>
        </w:rPr>
        <w:t xml:space="preserve"> </w:t>
      </w:r>
      <w:r w:rsidR="00910B4F" w:rsidRPr="008B029F">
        <w:rPr>
          <w:noProof/>
          <w:color w:val="2B579A"/>
          <w:shd w:val="clear" w:color="auto" w:fill="E6E6E6"/>
          <w:lang w:val="en-AU" w:eastAsia="en-GB"/>
        </w:rPr>
        <mc:AlternateContent>
          <mc:Choice Requires="wps">
            <w:drawing>
              <wp:anchor distT="45720" distB="45720" distL="114300" distR="114300" simplePos="0" relativeHeight="251658249" behindDoc="0" locked="0" layoutInCell="1" allowOverlap="1" wp14:anchorId="05893222" wp14:editId="7B54ECC2">
                <wp:simplePos x="0" y="0"/>
                <wp:positionH relativeFrom="column">
                  <wp:posOffset>173149</wp:posOffset>
                </wp:positionH>
                <wp:positionV relativeFrom="paragraph">
                  <wp:posOffset>814263</wp:posOffset>
                </wp:positionV>
                <wp:extent cx="334010" cy="893204"/>
                <wp:effectExtent l="0" t="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893204"/>
                        </a:xfrm>
                        <a:prstGeom prst="rect">
                          <a:avLst/>
                        </a:prstGeom>
                        <a:noFill/>
                        <a:ln w="9525">
                          <a:noFill/>
                          <a:miter lim="800000"/>
                          <a:headEnd/>
                          <a:tailEnd/>
                        </a:ln>
                      </wps:spPr>
                      <wps:txbx>
                        <w:txbxContent>
                          <w:p w14:paraId="066F038F" w14:textId="77777777" w:rsidR="00910B4F" w:rsidRPr="00436AC7" w:rsidRDefault="00910B4F" w:rsidP="00910B4F">
                            <w:pPr>
                              <w:spacing w:after="0" w:line="160" w:lineRule="atLeast"/>
                              <w:rPr>
                                <w:sz w:val="16"/>
                                <w:szCs w:val="16"/>
                              </w:rPr>
                            </w:pPr>
                            <w:r w:rsidRPr="00436AC7">
                              <w:rPr>
                                <w:sz w:val="16"/>
                                <w:szCs w:val="16"/>
                              </w:rPr>
                              <w:t>Probability of OS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3222" id="Text Box 55" o:spid="_x0000_s1034" type="#_x0000_t202" style="position:absolute;left:0;text-align:left;margin-left:13.65pt;margin-top:64.1pt;width:26.3pt;height:70.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" filled="f" stroked="f">
                <v:textbox style="layout-flow:vertical;mso-layout-flow-alt:bottom-to-top">
                  <w:txbxContent>
                    <w:p w14:paraId="066F038F" w14:textId="77777777" w:rsidR="00910B4F" w:rsidRPr="00436AC7" w:rsidRDefault="00910B4F" w:rsidP="00910B4F">
                      <w:pPr>
                        <w:spacing w:after="0" w:line="160" w:lineRule="atLeast"/>
                        <w:rPr>
                          <w:sz w:val="16"/>
                          <w:szCs w:val="16"/>
                        </w:rPr>
                      </w:pPr>
                      <w:r w:rsidRPr="00436AC7">
                        <w:rPr>
                          <w:sz w:val="16"/>
                          <w:szCs w:val="16"/>
                        </w:rPr>
                        <w:t>Probability of OS</w:t>
                      </w:r>
                    </w:p>
                  </w:txbxContent>
                </v:textbox>
              </v:shape>
            </w:pict>
          </mc:Fallback>
        </mc:AlternateContent>
      </w:r>
      <w:r w:rsidR="00910B4F" w:rsidRPr="008B029F">
        <w:rPr>
          <w:noProof/>
          <w:color w:val="2B579A"/>
          <w:shd w:val="clear" w:color="auto" w:fill="E6E6E6"/>
          <w:lang w:val="en-AU" w:eastAsia="en-GB"/>
        </w:rPr>
        <mc:AlternateContent>
          <mc:Choice Requires="wps">
            <w:drawing>
              <wp:anchor distT="45720" distB="45720" distL="114300" distR="114300" simplePos="0" relativeHeight="251658250" behindDoc="0" locked="0" layoutInCell="1" allowOverlap="1" wp14:anchorId="040BC757" wp14:editId="52EB07A1">
                <wp:simplePos x="0" y="0"/>
                <wp:positionH relativeFrom="page">
                  <wp:posOffset>3467103</wp:posOffset>
                </wp:positionH>
                <wp:positionV relativeFrom="paragraph">
                  <wp:posOffset>2701204</wp:posOffset>
                </wp:positionV>
                <wp:extent cx="1814400" cy="140462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400" cy="1404620"/>
                        </a:xfrm>
                        <a:prstGeom prst="rect">
                          <a:avLst/>
                        </a:prstGeom>
                        <a:noFill/>
                        <a:ln w="9525">
                          <a:noFill/>
                          <a:miter lim="800000"/>
                          <a:headEnd/>
                          <a:tailEnd/>
                        </a:ln>
                      </wps:spPr>
                      <wps:txbx>
                        <w:txbxContent>
                          <w:p w14:paraId="46848260" w14:textId="77777777" w:rsidR="00910B4F" w:rsidRPr="004403F2" w:rsidRDefault="00910B4F" w:rsidP="00910B4F">
                            <w:pPr>
                              <w:spacing w:after="0" w:line="160" w:lineRule="atLeast"/>
                              <w:rPr>
                                <w:sz w:val="16"/>
                                <w:szCs w:val="16"/>
                              </w:rPr>
                            </w:pPr>
                            <w:r>
                              <w:rPr>
                                <w:sz w:val="16"/>
                                <w:szCs w:val="16"/>
                              </w:rPr>
                              <w:t>Time from randomisation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BC757" id="Text Box 56" o:spid="_x0000_s1035" type="#_x0000_t202" style="position:absolute;left:0;text-align:left;margin-left:273pt;margin-top:212.7pt;width:142.85pt;height:110.6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" filled="f" stroked="f">
                <v:textbox style="mso-fit-shape-to-text:t">
                  <w:txbxContent>
                    <w:p w14:paraId="46848260" w14:textId="77777777" w:rsidR="00910B4F" w:rsidRPr="004403F2" w:rsidRDefault="00910B4F" w:rsidP="00910B4F">
                      <w:pPr>
                        <w:spacing w:after="0" w:line="160" w:lineRule="atLeast"/>
                        <w:rPr>
                          <w:sz w:val="16"/>
                          <w:szCs w:val="16"/>
                        </w:rPr>
                      </w:pPr>
                      <w:r>
                        <w:rPr>
                          <w:sz w:val="16"/>
                          <w:szCs w:val="16"/>
                        </w:rPr>
                        <w:t>Time from randomisation (months)</w:t>
                      </w:r>
                    </w:p>
                  </w:txbxContent>
                </v:textbox>
                <w10:wrap anchorx="page"/>
              </v:shape>
            </w:pict>
          </mc:Fallback>
        </mc:AlternateContent>
      </w:r>
      <w:r w:rsidR="00910B4F" w:rsidRPr="008B029F">
        <w:rPr>
          <w:noProof/>
          <w:color w:val="2B579A"/>
          <w:shd w:val="clear" w:color="auto" w:fill="E6E6E6"/>
          <w:lang w:val="en-AU" w:eastAsia="en-GB"/>
        </w:rPr>
        <mc:AlternateContent>
          <mc:Choice Requires="wps">
            <w:drawing>
              <wp:anchor distT="45720" distB="45720" distL="114300" distR="114300" simplePos="0" relativeHeight="251658247" behindDoc="0" locked="0" layoutInCell="1" allowOverlap="1" wp14:anchorId="1D90A014" wp14:editId="5059EB04">
                <wp:simplePos x="0" y="0"/>
                <wp:positionH relativeFrom="column">
                  <wp:posOffset>983010</wp:posOffset>
                </wp:positionH>
                <wp:positionV relativeFrom="paragraph">
                  <wp:posOffset>2325265</wp:posOffset>
                </wp:positionV>
                <wp:extent cx="1685499" cy="319869"/>
                <wp:effectExtent l="0" t="0" r="0"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499" cy="319869"/>
                        </a:xfrm>
                        <a:prstGeom prst="rect">
                          <a:avLst/>
                        </a:prstGeom>
                        <a:noFill/>
                        <a:ln w="9525">
                          <a:noFill/>
                          <a:miter lim="800000"/>
                          <a:headEnd/>
                          <a:tailEnd/>
                        </a:ln>
                      </wps:spPr>
                      <wps:txbx>
                        <w:txbxContent>
                          <w:p w14:paraId="2C80B89B" w14:textId="77777777" w:rsidR="00910B4F" w:rsidRPr="00436AC7" w:rsidRDefault="00910B4F" w:rsidP="00910B4F">
                            <w:pPr>
                              <w:spacing w:after="0" w:line="160" w:lineRule="atLeast"/>
                              <w:rPr>
                                <w:sz w:val="14"/>
                                <w:szCs w:val="14"/>
                              </w:rPr>
                            </w:pPr>
                            <w:r w:rsidRPr="00436AC7">
                              <w:rPr>
                                <w:sz w:val="14"/>
                                <w:szCs w:val="14"/>
                              </w:rPr>
                              <w:t>IMFINZI + chemotherapy (N=341)</w:t>
                            </w:r>
                          </w:p>
                          <w:p w14:paraId="6136DD9C" w14:textId="77777777" w:rsidR="00910B4F" w:rsidRPr="00436AC7" w:rsidRDefault="00910B4F" w:rsidP="00910B4F">
                            <w:pPr>
                              <w:spacing w:after="0" w:line="160" w:lineRule="atLeast"/>
                              <w:rPr>
                                <w:sz w:val="14"/>
                                <w:szCs w:val="14"/>
                              </w:rPr>
                            </w:pPr>
                            <w:r w:rsidRPr="00436AC7">
                              <w:rPr>
                                <w:sz w:val="14"/>
                                <w:szCs w:val="14"/>
                              </w:rPr>
                              <w:t>chemotherapy (N-344)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0A014" id="Text Box 52" o:spid="_x0000_s1036" type="#_x0000_t202" style="position:absolute;left:0;text-align:left;margin-left:77.4pt;margin-top:183.1pt;width:132.7pt;height:25.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" filled="f" stroked="f">
                <v:textbox>
                  <w:txbxContent>
                    <w:p w14:paraId="2C80B89B" w14:textId="77777777" w:rsidR="00910B4F" w:rsidRPr="00436AC7" w:rsidRDefault="00910B4F" w:rsidP="00910B4F">
                      <w:pPr>
                        <w:spacing w:after="0" w:line="160" w:lineRule="atLeast"/>
                        <w:rPr>
                          <w:sz w:val="14"/>
                          <w:szCs w:val="14"/>
                        </w:rPr>
                      </w:pPr>
                      <w:r w:rsidRPr="00436AC7">
                        <w:rPr>
                          <w:sz w:val="14"/>
                          <w:szCs w:val="14"/>
                        </w:rPr>
                        <w:t>IMFINZI + chemotherapy (N=341)</w:t>
                      </w:r>
                    </w:p>
                    <w:p w14:paraId="6136DD9C" w14:textId="77777777" w:rsidR="00910B4F" w:rsidRPr="00436AC7" w:rsidRDefault="00910B4F" w:rsidP="00910B4F">
                      <w:pPr>
                        <w:spacing w:after="0" w:line="160" w:lineRule="atLeast"/>
                        <w:rPr>
                          <w:sz w:val="14"/>
                          <w:szCs w:val="14"/>
                        </w:rPr>
                      </w:pPr>
                      <w:r w:rsidRPr="00436AC7">
                        <w:rPr>
                          <w:sz w:val="14"/>
                          <w:szCs w:val="14"/>
                        </w:rPr>
                        <w:t>chemotherapy (N-344)</w:t>
                      </w:r>
                    </w:p>
                  </w:txbxContent>
                </v:textbox>
              </v:shape>
            </w:pict>
          </mc:Fallback>
        </mc:AlternateContent>
      </w:r>
    </w:p>
    <w:p w14:paraId="32F15ADD" w14:textId="77777777" w:rsidR="00910B4F" w:rsidRPr="008B029F" w:rsidRDefault="00910B4F" w:rsidP="00910B4F">
      <w:pPr>
        <w:keepNext/>
        <w:ind w:left="576"/>
        <w:rPr>
          <w:b/>
          <w:bCs/>
          <w:lang w:val="en-AU" w:eastAsia="en-GB"/>
        </w:rPr>
      </w:pPr>
      <w:r w:rsidRPr="008B029F">
        <w:rPr>
          <w:b/>
          <w:bCs/>
          <w:noProof/>
          <w:color w:val="2B579A"/>
          <w:shd w:val="clear" w:color="auto" w:fill="E6E6E6"/>
          <w:lang w:val="en-AU" w:eastAsia="en-GB"/>
        </w:rPr>
        <mc:AlternateContent>
          <mc:Choice Requires="wps">
            <w:drawing>
              <wp:anchor distT="45720" distB="45720" distL="114300" distR="114300" simplePos="0" relativeHeight="251658248" behindDoc="0" locked="0" layoutInCell="1" allowOverlap="1" wp14:anchorId="2499EACC" wp14:editId="3FD14EA1">
                <wp:simplePos x="0" y="0"/>
                <wp:positionH relativeFrom="column">
                  <wp:posOffset>3123783</wp:posOffset>
                </wp:positionH>
                <wp:positionV relativeFrom="paragraph">
                  <wp:posOffset>122551</wp:posOffset>
                </wp:positionV>
                <wp:extent cx="2910205" cy="910262"/>
                <wp:effectExtent l="0" t="0" r="0" b="44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910262"/>
                        </a:xfrm>
                        <a:prstGeom prst="rect">
                          <a:avLst/>
                        </a:prstGeom>
                        <a:noFill/>
                        <a:ln w="9525">
                          <a:noFill/>
                          <a:miter lim="800000"/>
                          <a:headEnd/>
                          <a:tailEnd/>
                        </a:ln>
                      </wps:spPr>
                      <wps:txbx>
                        <w:txbxContent>
                          <w:tbl>
                            <w:tblPr>
                              <w:tblW w:w="4320" w:type="dxa"/>
                              <w:jc w:val="center"/>
                              <w:tblLayout w:type="fixed"/>
                              <w:tblCellMar>
                                <w:left w:w="0" w:type="dxa"/>
                                <w:right w:w="0" w:type="dxa"/>
                              </w:tblCellMar>
                              <w:tblLook w:val="0000" w:firstRow="0" w:lastRow="0" w:firstColumn="0" w:lastColumn="0" w:noHBand="0" w:noVBand="0"/>
                            </w:tblPr>
                            <w:tblGrid>
                              <w:gridCol w:w="2084"/>
                              <w:gridCol w:w="778"/>
                              <w:gridCol w:w="1181"/>
                              <w:gridCol w:w="277"/>
                            </w:tblGrid>
                            <w:tr w:rsidR="00910B4F" w:rsidRPr="00D4464D" w14:paraId="7CF5C855" w14:textId="77777777" w:rsidTr="00D83CBF">
                              <w:trPr>
                                <w:gridAfter w:val="1"/>
                                <w:wAfter w:w="277" w:type="dxa"/>
                                <w:cantSplit/>
                                <w:trHeight w:val="360"/>
                                <w:tblHeader/>
                                <w:jc w:val="center"/>
                              </w:trPr>
                              <w:tc>
                                <w:tcPr>
                                  <w:tcW w:w="2084" w:type="dxa"/>
                                  <w:tcBorders>
                                    <w:top w:val="nil"/>
                                    <w:left w:val="nil"/>
                                    <w:bottom w:val="single" w:sz="4" w:space="0" w:color="000000"/>
                                    <w:right w:val="nil"/>
                                  </w:tcBorders>
                                  <w:shd w:val="clear" w:color="auto" w:fill="FFFFFF"/>
                                  <w:tcMar>
                                    <w:left w:w="10" w:type="dxa"/>
                                    <w:right w:w="10" w:type="dxa"/>
                                  </w:tcMar>
                                  <w:vAlign w:val="bottom"/>
                                </w:tcPr>
                                <w:p w14:paraId="1349C5ED" w14:textId="77777777" w:rsidR="00910B4F" w:rsidRPr="002442A5" w:rsidRDefault="00910B4F" w:rsidP="00D83CBF">
                                  <w:pPr>
                                    <w:keepNext/>
                                    <w:adjustRightInd w:val="0"/>
                                    <w:spacing w:before="10" w:after="10"/>
                                    <w:jc w:val="center"/>
                                    <w:rPr>
                                      <w:color w:val="000000"/>
                                      <w:sz w:val="16"/>
                                      <w:szCs w:val="16"/>
                                    </w:rPr>
                                  </w:pPr>
                                </w:p>
                              </w:tc>
                              <w:tc>
                                <w:tcPr>
                                  <w:tcW w:w="778" w:type="dxa"/>
                                  <w:tcBorders>
                                    <w:top w:val="nil"/>
                                    <w:left w:val="nil"/>
                                    <w:bottom w:val="single" w:sz="4" w:space="0" w:color="000000"/>
                                    <w:right w:val="nil"/>
                                  </w:tcBorders>
                                  <w:shd w:val="clear" w:color="auto" w:fill="FFFFFF"/>
                                  <w:tcMar>
                                    <w:left w:w="10" w:type="dxa"/>
                                    <w:right w:w="10" w:type="dxa"/>
                                  </w:tcMar>
                                  <w:vAlign w:val="bottom"/>
                                </w:tcPr>
                                <w:p w14:paraId="103AC102" w14:textId="77777777" w:rsidR="00910B4F" w:rsidRPr="002442A5" w:rsidRDefault="00910B4F" w:rsidP="00D83CBF">
                                  <w:pPr>
                                    <w:keepNext/>
                                    <w:adjustRightInd w:val="0"/>
                                    <w:spacing w:before="10" w:after="10" w:line="240" w:lineRule="auto"/>
                                    <w:jc w:val="center"/>
                                    <w:rPr>
                                      <w:color w:val="000000"/>
                                      <w:sz w:val="16"/>
                                      <w:szCs w:val="16"/>
                                    </w:rPr>
                                  </w:pPr>
                                  <w:r w:rsidRPr="002442A5">
                                    <w:rPr>
                                      <w:color w:val="000000"/>
                                      <w:sz w:val="16"/>
                                      <w:szCs w:val="16"/>
                                    </w:rPr>
                                    <w:t>Median</w:t>
                                  </w:r>
                                  <w:r>
                                    <w:rPr>
                                      <w:color w:val="000000"/>
                                      <w:sz w:val="16"/>
                                      <w:szCs w:val="16"/>
                                    </w:rPr>
                                    <w:t xml:space="preserve"> </w:t>
                                  </w:r>
                                  <w:r w:rsidRPr="002442A5">
                                    <w:rPr>
                                      <w:color w:val="000000"/>
                                      <w:sz w:val="16"/>
                                      <w:szCs w:val="16"/>
                                    </w:rPr>
                                    <w:t>OS</w:t>
                                  </w:r>
                                </w:p>
                              </w:tc>
                              <w:tc>
                                <w:tcPr>
                                  <w:tcW w:w="1181" w:type="dxa"/>
                                  <w:tcBorders>
                                    <w:top w:val="nil"/>
                                    <w:left w:val="nil"/>
                                    <w:bottom w:val="single" w:sz="4" w:space="0" w:color="000000"/>
                                    <w:right w:val="nil"/>
                                  </w:tcBorders>
                                  <w:shd w:val="clear" w:color="auto" w:fill="FFFFFF"/>
                                  <w:tcMar>
                                    <w:left w:w="10" w:type="dxa"/>
                                    <w:right w:w="10" w:type="dxa"/>
                                  </w:tcMar>
                                  <w:vAlign w:val="bottom"/>
                                </w:tcPr>
                                <w:p w14:paraId="390B2E23" w14:textId="77777777" w:rsidR="00910B4F" w:rsidRPr="002442A5" w:rsidRDefault="00910B4F" w:rsidP="00D83CBF">
                                  <w:pPr>
                                    <w:keepNext/>
                                    <w:adjustRightInd w:val="0"/>
                                    <w:spacing w:before="10" w:after="10"/>
                                    <w:jc w:val="center"/>
                                    <w:rPr>
                                      <w:color w:val="000000"/>
                                      <w:sz w:val="16"/>
                                      <w:szCs w:val="16"/>
                                    </w:rPr>
                                  </w:pPr>
                                  <w:r w:rsidRPr="002442A5">
                                    <w:rPr>
                                      <w:color w:val="000000"/>
                                      <w:sz w:val="16"/>
                                      <w:szCs w:val="16"/>
                                    </w:rPr>
                                    <w:t>(95%</w:t>
                                  </w:r>
                                  <w:r>
                                    <w:rPr>
                                      <w:color w:val="000000"/>
                                      <w:sz w:val="16"/>
                                      <w:szCs w:val="16"/>
                                    </w:rPr>
                                    <w:t xml:space="preserve"> </w:t>
                                  </w:r>
                                  <w:r w:rsidRPr="002442A5">
                                    <w:rPr>
                                      <w:color w:val="000000"/>
                                      <w:sz w:val="16"/>
                                      <w:szCs w:val="16"/>
                                    </w:rPr>
                                    <w:t>CI)</w:t>
                                  </w:r>
                                </w:p>
                              </w:tc>
                            </w:tr>
                            <w:tr w:rsidR="00910B4F" w:rsidRPr="00D4464D" w14:paraId="3C0088C3" w14:textId="77777777" w:rsidTr="00D83CBF">
                              <w:trPr>
                                <w:gridAfter w:val="1"/>
                                <w:wAfter w:w="277" w:type="dxa"/>
                                <w:cantSplit/>
                                <w:trHeight w:val="225"/>
                                <w:jc w:val="center"/>
                              </w:trPr>
                              <w:tc>
                                <w:tcPr>
                                  <w:tcW w:w="2084" w:type="dxa"/>
                                  <w:tcBorders>
                                    <w:top w:val="nil"/>
                                    <w:left w:val="nil"/>
                                    <w:bottom w:val="nil"/>
                                    <w:right w:val="nil"/>
                                  </w:tcBorders>
                                  <w:shd w:val="clear" w:color="auto" w:fill="FFFFFF"/>
                                  <w:tcMar>
                                    <w:left w:w="10" w:type="dxa"/>
                                    <w:right w:w="10" w:type="dxa"/>
                                  </w:tcMar>
                                </w:tcPr>
                                <w:p w14:paraId="7C1359FD" w14:textId="77777777" w:rsidR="00910B4F" w:rsidRPr="002442A5" w:rsidRDefault="00910B4F" w:rsidP="00D83CBF">
                                  <w:pPr>
                                    <w:keepNext/>
                                    <w:adjustRightInd w:val="0"/>
                                    <w:spacing w:before="10" w:after="10" w:line="160" w:lineRule="atLeast"/>
                                    <w:rPr>
                                      <w:color w:val="000000"/>
                                      <w:sz w:val="16"/>
                                      <w:szCs w:val="16"/>
                                    </w:rPr>
                                  </w:pPr>
                                  <w:r w:rsidRPr="002442A5">
                                    <w:rPr>
                                      <w:color w:val="000000"/>
                                      <w:sz w:val="16"/>
                                      <w:szCs w:val="16"/>
                                    </w:rPr>
                                    <w:t>IMFINZI + chemotherapy</w:t>
                                  </w:r>
                                </w:p>
                              </w:tc>
                              <w:tc>
                                <w:tcPr>
                                  <w:tcW w:w="778" w:type="dxa"/>
                                  <w:tcBorders>
                                    <w:top w:val="nil"/>
                                    <w:left w:val="nil"/>
                                    <w:bottom w:val="nil"/>
                                    <w:right w:val="nil"/>
                                  </w:tcBorders>
                                  <w:shd w:val="clear" w:color="auto" w:fill="FFFFFF"/>
                                  <w:tcMar>
                                    <w:left w:w="10" w:type="dxa"/>
                                    <w:right w:w="10" w:type="dxa"/>
                                  </w:tcMar>
                                </w:tcPr>
                                <w:p w14:paraId="0D703B85" w14:textId="28EA68FD" w:rsidR="00910B4F" w:rsidRPr="002442A5" w:rsidRDefault="00910B4F" w:rsidP="00D83CBF">
                                  <w:pPr>
                                    <w:keepNext/>
                                    <w:adjustRightInd w:val="0"/>
                                    <w:spacing w:before="10" w:after="10" w:line="160" w:lineRule="atLeast"/>
                                    <w:jc w:val="center"/>
                                    <w:rPr>
                                      <w:color w:val="000000"/>
                                      <w:sz w:val="16"/>
                                      <w:szCs w:val="16"/>
                                    </w:rPr>
                                  </w:pPr>
                                  <w:r>
                                    <w:rPr>
                                      <w:color w:val="000000"/>
                                      <w:sz w:val="16"/>
                                      <w:szCs w:val="16"/>
                                    </w:rPr>
                                    <w:t>12.9</w:t>
                                  </w:r>
                                </w:p>
                              </w:tc>
                              <w:tc>
                                <w:tcPr>
                                  <w:tcW w:w="1181" w:type="dxa"/>
                                  <w:tcBorders>
                                    <w:top w:val="nil"/>
                                    <w:left w:val="nil"/>
                                    <w:bottom w:val="nil"/>
                                    <w:right w:val="nil"/>
                                  </w:tcBorders>
                                  <w:shd w:val="clear" w:color="auto" w:fill="FFFFFF"/>
                                  <w:tcMar>
                                    <w:left w:w="10" w:type="dxa"/>
                                    <w:right w:w="10" w:type="dxa"/>
                                  </w:tcMar>
                                </w:tcPr>
                                <w:p w14:paraId="25A8137E" w14:textId="4A71ACAA" w:rsidR="00910B4F" w:rsidRPr="002442A5" w:rsidRDefault="00910B4F" w:rsidP="00D83CBF">
                                  <w:pPr>
                                    <w:keepNext/>
                                    <w:adjustRightInd w:val="0"/>
                                    <w:spacing w:before="10" w:after="10" w:line="160" w:lineRule="atLeast"/>
                                    <w:jc w:val="center"/>
                                    <w:rPr>
                                      <w:color w:val="000000"/>
                                      <w:sz w:val="16"/>
                                      <w:szCs w:val="16"/>
                                    </w:rPr>
                                  </w:pPr>
                                  <w:r w:rsidRPr="002442A5">
                                    <w:rPr>
                                      <w:color w:val="000000"/>
                                      <w:sz w:val="16"/>
                                      <w:szCs w:val="16"/>
                                    </w:rPr>
                                    <w:t>(11.</w:t>
                                  </w:r>
                                  <w:r>
                                    <w:rPr>
                                      <w:color w:val="000000"/>
                                      <w:sz w:val="16"/>
                                      <w:szCs w:val="16"/>
                                    </w:rPr>
                                    <w:t>6</w:t>
                                  </w:r>
                                  <w:r w:rsidRPr="002442A5">
                                    <w:rPr>
                                      <w:color w:val="000000"/>
                                      <w:sz w:val="16"/>
                                      <w:szCs w:val="16"/>
                                    </w:rPr>
                                    <w:t>,</w:t>
                                  </w:r>
                                  <w:r>
                                    <w:rPr>
                                      <w:color w:val="000000"/>
                                      <w:sz w:val="16"/>
                                      <w:szCs w:val="16"/>
                                    </w:rPr>
                                    <w:t xml:space="preserve"> </w:t>
                                  </w:r>
                                  <w:r w:rsidRPr="002442A5">
                                    <w:rPr>
                                      <w:color w:val="000000"/>
                                      <w:sz w:val="16"/>
                                      <w:szCs w:val="16"/>
                                    </w:rPr>
                                    <w:t>14.</w:t>
                                  </w:r>
                                  <w:r>
                                    <w:rPr>
                                      <w:color w:val="000000"/>
                                      <w:sz w:val="16"/>
                                      <w:szCs w:val="16"/>
                                    </w:rPr>
                                    <w:t>1</w:t>
                                  </w:r>
                                  <w:r w:rsidRPr="002442A5">
                                    <w:rPr>
                                      <w:color w:val="000000"/>
                                      <w:sz w:val="16"/>
                                      <w:szCs w:val="16"/>
                                    </w:rPr>
                                    <w:t>)</w:t>
                                  </w:r>
                                </w:p>
                              </w:tc>
                            </w:tr>
                            <w:tr w:rsidR="00910B4F" w:rsidRPr="00D4464D" w14:paraId="49A3FD92" w14:textId="77777777" w:rsidTr="00D83CBF">
                              <w:trPr>
                                <w:gridAfter w:val="1"/>
                                <w:wAfter w:w="277" w:type="dxa"/>
                                <w:cantSplit/>
                                <w:trHeight w:val="112"/>
                                <w:jc w:val="center"/>
                              </w:trPr>
                              <w:tc>
                                <w:tcPr>
                                  <w:tcW w:w="2084" w:type="dxa"/>
                                  <w:tcBorders>
                                    <w:top w:val="nil"/>
                                    <w:left w:val="nil"/>
                                    <w:bottom w:val="nil"/>
                                    <w:right w:val="nil"/>
                                  </w:tcBorders>
                                  <w:shd w:val="clear" w:color="auto" w:fill="FFFFFF"/>
                                  <w:tcMar>
                                    <w:left w:w="10" w:type="dxa"/>
                                    <w:right w:w="10" w:type="dxa"/>
                                  </w:tcMar>
                                </w:tcPr>
                                <w:p w14:paraId="7B8B7F52" w14:textId="77777777" w:rsidR="00910B4F" w:rsidRPr="002442A5" w:rsidRDefault="00910B4F" w:rsidP="00D83CBF">
                                  <w:pPr>
                                    <w:adjustRightInd w:val="0"/>
                                    <w:spacing w:before="10" w:after="10" w:line="160" w:lineRule="atLeast"/>
                                    <w:rPr>
                                      <w:color w:val="000000"/>
                                      <w:sz w:val="16"/>
                                      <w:szCs w:val="16"/>
                                    </w:rPr>
                                  </w:pPr>
                                  <w:r w:rsidRPr="002442A5">
                                    <w:rPr>
                                      <w:color w:val="000000"/>
                                      <w:sz w:val="16"/>
                                      <w:szCs w:val="16"/>
                                    </w:rPr>
                                    <w:t>chemotherapy</w:t>
                                  </w:r>
                                </w:p>
                              </w:tc>
                              <w:tc>
                                <w:tcPr>
                                  <w:tcW w:w="778" w:type="dxa"/>
                                  <w:tcBorders>
                                    <w:top w:val="nil"/>
                                    <w:left w:val="nil"/>
                                    <w:bottom w:val="nil"/>
                                    <w:right w:val="nil"/>
                                  </w:tcBorders>
                                  <w:shd w:val="clear" w:color="auto" w:fill="FFFFFF"/>
                                  <w:tcMar>
                                    <w:left w:w="10" w:type="dxa"/>
                                    <w:right w:w="10" w:type="dxa"/>
                                  </w:tcMar>
                                </w:tcPr>
                                <w:p w14:paraId="31A06EDE" w14:textId="05F9E16F" w:rsidR="00910B4F" w:rsidRPr="002442A5" w:rsidRDefault="00910B4F" w:rsidP="00D83CBF">
                                  <w:pPr>
                                    <w:adjustRightInd w:val="0"/>
                                    <w:spacing w:before="10" w:after="10" w:line="160" w:lineRule="atLeast"/>
                                    <w:jc w:val="center"/>
                                    <w:rPr>
                                      <w:color w:val="000000"/>
                                      <w:sz w:val="16"/>
                                      <w:szCs w:val="16"/>
                                    </w:rPr>
                                  </w:pPr>
                                  <w:r w:rsidRPr="002442A5">
                                    <w:rPr>
                                      <w:color w:val="000000"/>
                                      <w:sz w:val="16"/>
                                      <w:szCs w:val="16"/>
                                    </w:rPr>
                                    <w:t>1</w:t>
                                  </w:r>
                                  <w:r>
                                    <w:rPr>
                                      <w:color w:val="000000"/>
                                      <w:sz w:val="16"/>
                                      <w:szCs w:val="16"/>
                                    </w:rPr>
                                    <w:t>1.3</w:t>
                                  </w:r>
                                </w:p>
                              </w:tc>
                              <w:tc>
                                <w:tcPr>
                                  <w:tcW w:w="1181" w:type="dxa"/>
                                  <w:tcBorders>
                                    <w:top w:val="nil"/>
                                    <w:left w:val="nil"/>
                                    <w:bottom w:val="nil"/>
                                    <w:right w:val="nil"/>
                                  </w:tcBorders>
                                  <w:shd w:val="clear" w:color="auto" w:fill="FFFFFF"/>
                                  <w:tcMar>
                                    <w:left w:w="10" w:type="dxa"/>
                                    <w:right w:w="10" w:type="dxa"/>
                                  </w:tcMar>
                                </w:tcPr>
                                <w:p w14:paraId="72C9FAB6" w14:textId="77777777" w:rsidR="00910B4F" w:rsidRPr="002442A5" w:rsidRDefault="00910B4F" w:rsidP="00D83CBF">
                                  <w:pPr>
                                    <w:adjustRightInd w:val="0"/>
                                    <w:spacing w:before="10" w:after="10" w:line="160" w:lineRule="atLeast"/>
                                    <w:jc w:val="center"/>
                                    <w:rPr>
                                      <w:color w:val="000000"/>
                                      <w:sz w:val="16"/>
                                      <w:szCs w:val="16"/>
                                    </w:rPr>
                                  </w:pPr>
                                  <w:r w:rsidRPr="002442A5">
                                    <w:rPr>
                                      <w:color w:val="000000"/>
                                      <w:sz w:val="16"/>
                                      <w:szCs w:val="16"/>
                                    </w:rPr>
                                    <w:t>(</w:t>
                                  </w:r>
                                  <w:r>
                                    <w:rPr>
                                      <w:color w:val="000000"/>
                                      <w:sz w:val="16"/>
                                      <w:szCs w:val="16"/>
                                    </w:rPr>
                                    <w:t>10.1, 12.5</w:t>
                                  </w:r>
                                  <w:r w:rsidRPr="002442A5">
                                    <w:rPr>
                                      <w:color w:val="000000"/>
                                      <w:sz w:val="16"/>
                                      <w:szCs w:val="16"/>
                                    </w:rPr>
                                    <w:t>)</w:t>
                                  </w:r>
                                </w:p>
                              </w:tc>
                            </w:tr>
                            <w:tr w:rsidR="00910B4F" w:rsidRPr="006A79D2" w14:paraId="44A24408" w14:textId="77777777" w:rsidTr="00D83CBF">
                              <w:trPr>
                                <w:cantSplit/>
                                <w:trHeight w:val="166"/>
                                <w:jc w:val="center"/>
                              </w:trPr>
                              <w:tc>
                                <w:tcPr>
                                  <w:tcW w:w="4320" w:type="dxa"/>
                                  <w:gridSpan w:val="4"/>
                                  <w:tcBorders>
                                    <w:top w:val="nil"/>
                                    <w:left w:val="nil"/>
                                    <w:bottom w:val="nil"/>
                                    <w:right w:val="nil"/>
                                  </w:tcBorders>
                                  <w:shd w:val="clear" w:color="auto" w:fill="FFFFFF"/>
                                  <w:tcMar>
                                    <w:left w:w="10" w:type="dxa"/>
                                    <w:right w:w="10" w:type="dxa"/>
                                  </w:tcMar>
                                </w:tcPr>
                                <w:p w14:paraId="3343A1C8" w14:textId="77777777" w:rsidR="00910B4F" w:rsidRPr="002442A5" w:rsidRDefault="00910B4F" w:rsidP="00D83CBF">
                                  <w:pPr>
                                    <w:keepNext/>
                                    <w:adjustRightInd w:val="0"/>
                                    <w:spacing w:before="10" w:after="10" w:line="160" w:lineRule="atLeast"/>
                                    <w:rPr>
                                      <w:color w:val="000000"/>
                                      <w:sz w:val="16"/>
                                      <w:szCs w:val="16"/>
                                    </w:rPr>
                                  </w:pPr>
                                  <w:r w:rsidRPr="002442A5">
                                    <w:rPr>
                                      <w:color w:val="000000"/>
                                      <w:sz w:val="16"/>
                                      <w:szCs w:val="16"/>
                                    </w:rPr>
                                    <w:t>Hazard Ratio (</w:t>
                                  </w:r>
                                  <w:r>
                                    <w:rPr>
                                      <w:color w:val="000000"/>
                                      <w:sz w:val="16"/>
                                      <w:szCs w:val="16"/>
                                    </w:rPr>
                                    <w:t xml:space="preserve">95% </w:t>
                                  </w:r>
                                  <w:r w:rsidRPr="002442A5">
                                    <w:rPr>
                                      <w:color w:val="000000"/>
                                      <w:sz w:val="16"/>
                                      <w:szCs w:val="16"/>
                                    </w:rPr>
                                    <w:t>CI)</w:t>
                                  </w:r>
                                </w:p>
                              </w:tc>
                            </w:tr>
                            <w:tr w:rsidR="00910B4F" w:rsidRPr="006A79D2" w14:paraId="70A17151" w14:textId="77777777" w:rsidTr="00D83CBF">
                              <w:trPr>
                                <w:cantSplit/>
                                <w:trHeight w:val="130"/>
                                <w:jc w:val="center"/>
                              </w:trPr>
                              <w:tc>
                                <w:tcPr>
                                  <w:tcW w:w="4320" w:type="dxa"/>
                                  <w:gridSpan w:val="4"/>
                                  <w:tcBorders>
                                    <w:top w:val="nil"/>
                                    <w:left w:val="nil"/>
                                    <w:bottom w:val="nil"/>
                                    <w:right w:val="nil"/>
                                  </w:tcBorders>
                                  <w:shd w:val="clear" w:color="auto" w:fill="FFFFFF"/>
                                  <w:tcMar>
                                    <w:left w:w="10" w:type="dxa"/>
                                    <w:right w:w="10" w:type="dxa"/>
                                  </w:tcMar>
                                </w:tcPr>
                                <w:p w14:paraId="2018C099" w14:textId="764B61D8" w:rsidR="00910B4F" w:rsidRPr="002442A5" w:rsidRDefault="00910B4F" w:rsidP="00D83CBF">
                                  <w:pPr>
                                    <w:adjustRightInd w:val="0"/>
                                    <w:spacing w:before="10" w:after="10" w:line="160" w:lineRule="atLeast"/>
                                    <w:rPr>
                                      <w:color w:val="000000"/>
                                      <w:sz w:val="16"/>
                                      <w:szCs w:val="16"/>
                                    </w:rPr>
                                  </w:pPr>
                                  <w:r w:rsidRPr="002442A5">
                                    <w:rPr>
                                      <w:color w:val="000000"/>
                                      <w:sz w:val="16"/>
                                      <w:szCs w:val="16"/>
                                    </w:rPr>
                                    <w:t xml:space="preserve">IMFINZI + chemotherapy vs chemotherapy: </w:t>
                                  </w:r>
                                  <w:r w:rsidRPr="00AF5445">
                                    <w:rPr>
                                      <w:color w:val="000000"/>
                                      <w:sz w:val="16"/>
                                      <w:szCs w:val="16"/>
                                    </w:rPr>
                                    <w:t>0.</w:t>
                                  </w:r>
                                  <w:r>
                                    <w:rPr>
                                      <w:color w:val="000000"/>
                                      <w:sz w:val="16"/>
                                      <w:szCs w:val="16"/>
                                    </w:rPr>
                                    <w:t>76</w:t>
                                  </w:r>
                                  <w:r w:rsidRPr="00AF5445">
                                    <w:rPr>
                                      <w:color w:val="000000"/>
                                      <w:sz w:val="16"/>
                                      <w:szCs w:val="16"/>
                                    </w:rPr>
                                    <w:t xml:space="preserve"> (0.6</w:t>
                                  </w:r>
                                  <w:r>
                                    <w:rPr>
                                      <w:color w:val="000000"/>
                                      <w:sz w:val="16"/>
                                      <w:szCs w:val="16"/>
                                    </w:rPr>
                                    <w:t>4</w:t>
                                  </w:r>
                                  <w:r w:rsidRPr="00AF5445">
                                    <w:rPr>
                                      <w:color w:val="000000"/>
                                      <w:sz w:val="16"/>
                                      <w:szCs w:val="16"/>
                                    </w:rPr>
                                    <w:t>, 0.</w:t>
                                  </w:r>
                                  <w:r>
                                    <w:rPr>
                                      <w:color w:val="000000"/>
                                      <w:sz w:val="16"/>
                                      <w:szCs w:val="16"/>
                                    </w:rPr>
                                    <w:t>91</w:t>
                                  </w:r>
                                  <w:r w:rsidRPr="00AF5445">
                                    <w:rPr>
                                      <w:color w:val="000000"/>
                                      <w:sz w:val="16"/>
                                      <w:szCs w:val="16"/>
                                    </w:rPr>
                                    <w:t>)</w:t>
                                  </w:r>
                                </w:p>
                              </w:tc>
                            </w:tr>
                          </w:tbl>
                          <w:p w14:paraId="7C85120E" w14:textId="77777777" w:rsidR="00910B4F" w:rsidRPr="0046029E" w:rsidRDefault="00910B4F" w:rsidP="00910B4F">
                            <w:pPr>
                              <w:spacing w:after="0" w:line="240" w:lineRule="atLeas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9EACC" id="Text Box 54" o:spid="_x0000_s1037" type="#_x0000_t202" style="position:absolute;left:0;text-align:left;margin-left:245.95pt;margin-top:9.65pt;width:229.15pt;height:71.6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" filled="f" stroked="f">
                <v:textbox>
                  <w:txbxContent>
                    <w:tbl>
                      <w:tblPr>
                        <w:tblW w:w="4320" w:type="dxa"/>
                        <w:jc w:val="center"/>
                        <w:tblLayout w:type="fixed"/>
                        <w:tblCellMar>
                          <w:left w:w="0" w:type="dxa"/>
                          <w:right w:w="0" w:type="dxa"/>
                        </w:tblCellMar>
                        <w:tblLook w:val="0000" w:firstRow="0" w:lastRow="0" w:firstColumn="0" w:lastColumn="0" w:noHBand="0" w:noVBand="0"/>
                      </w:tblPr>
                      <w:tblGrid>
                        <w:gridCol w:w="2084"/>
                        <w:gridCol w:w="778"/>
                        <w:gridCol w:w="1181"/>
                        <w:gridCol w:w="277"/>
                      </w:tblGrid>
                      <w:tr w:rsidR="00910B4F" w:rsidRPr="00D4464D" w14:paraId="7CF5C855" w14:textId="77777777" w:rsidTr="00D83CBF">
                        <w:trPr>
                          <w:gridAfter w:val="1"/>
                          <w:wAfter w:w="277" w:type="dxa"/>
                          <w:cantSplit/>
                          <w:trHeight w:val="360"/>
                          <w:tblHeader/>
                          <w:jc w:val="center"/>
                        </w:trPr>
                        <w:tc>
                          <w:tcPr>
                            <w:tcW w:w="2084" w:type="dxa"/>
                            <w:tcBorders>
                              <w:top w:val="nil"/>
                              <w:left w:val="nil"/>
                              <w:bottom w:val="single" w:sz="4" w:space="0" w:color="000000"/>
                              <w:right w:val="nil"/>
                            </w:tcBorders>
                            <w:shd w:val="clear" w:color="auto" w:fill="FFFFFF"/>
                            <w:tcMar>
                              <w:left w:w="10" w:type="dxa"/>
                              <w:right w:w="10" w:type="dxa"/>
                            </w:tcMar>
                            <w:vAlign w:val="bottom"/>
                          </w:tcPr>
                          <w:p w14:paraId="1349C5ED" w14:textId="77777777" w:rsidR="00910B4F" w:rsidRPr="002442A5" w:rsidRDefault="00910B4F" w:rsidP="00D83CBF">
                            <w:pPr>
                              <w:keepNext/>
                              <w:adjustRightInd w:val="0"/>
                              <w:spacing w:before="10" w:after="10"/>
                              <w:jc w:val="center"/>
                              <w:rPr>
                                <w:color w:val="000000"/>
                                <w:sz w:val="16"/>
                                <w:szCs w:val="16"/>
                              </w:rPr>
                            </w:pPr>
                          </w:p>
                        </w:tc>
                        <w:tc>
                          <w:tcPr>
                            <w:tcW w:w="778" w:type="dxa"/>
                            <w:tcBorders>
                              <w:top w:val="nil"/>
                              <w:left w:val="nil"/>
                              <w:bottom w:val="single" w:sz="4" w:space="0" w:color="000000"/>
                              <w:right w:val="nil"/>
                            </w:tcBorders>
                            <w:shd w:val="clear" w:color="auto" w:fill="FFFFFF"/>
                            <w:tcMar>
                              <w:left w:w="10" w:type="dxa"/>
                              <w:right w:w="10" w:type="dxa"/>
                            </w:tcMar>
                            <w:vAlign w:val="bottom"/>
                          </w:tcPr>
                          <w:p w14:paraId="103AC102" w14:textId="77777777" w:rsidR="00910B4F" w:rsidRPr="002442A5" w:rsidRDefault="00910B4F" w:rsidP="00D83CBF">
                            <w:pPr>
                              <w:keepNext/>
                              <w:adjustRightInd w:val="0"/>
                              <w:spacing w:before="10" w:after="10" w:line="240" w:lineRule="auto"/>
                              <w:jc w:val="center"/>
                              <w:rPr>
                                <w:color w:val="000000"/>
                                <w:sz w:val="16"/>
                                <w:szCs w:val="16"/>
                              </w:rPr>
                            </w:pPr>
                            <w:r w:rsidRPr="002442A5">
                              <w:rPr>
                                <w:color w:val="000000"/>
                                <w:sz w:val="16"/>
                                <w:szCs w:val="16"/>
                              </w:rPr>
                              <w:t>Median</w:t>
                            </w:r>
                            <w:r>
                              <w:rPr>
                                <w:color w:val="000000"/>
                                <w:sz w:val="16"/>
                                <w:szCs w:val="16"/>
                              </w:rPr>
                              <w:t xml:space="preserve"> </w:t>
                            </w:r>
                            <w:r w:rsidRPr="002442A5">
                              <w:rPr>
                                <w:color w:val="000000"/>
                                <w:sz w:val="16"/>
                                <w:szCs w:val="16"/>
                              </w:rPr>
                              <w:t>OS</w:t>
                            </w:r>
                          </w:p>
                        </w:tc>
                        <w:tc>
                          <w:tcPr>
                            <w:tcW w:w="1181" w:type="dxa"/>
                            <w:tcBorders>
                              <w:top w:val="nil"/>
                              <w:left w:val="nil"/>
                              <w:bottom w:val="single" w:sz="4" w:space="0" w:color="000000"/>
                              <w:right w:val="nil"/>
                            </w:tcBorders>
                            <w:shd w:val="clear" w:color="auto" w:fill="FFFFFF"/>
                            <w:tcMar>
                              <w:left w:w="10" w:type="dxa"/>
                              <w:right w:w="10" w:type="dxa"/>
                            </w:tcMar>
                            <w:vAlign w:val="bottom"/>
                          </w:tcPr>
                          <w:p w14:paraId="390B2E23" w14:textId="77777777" w:rsidR="00910B4F" w:rsidRPr="002442A5" w:rsidRDefault="00910B4F" w:rsidP="00D83CBF">
                            <w:pPr>
                              <w:keepNext/>
                              <w:adjustRightInd w:val="0"/>
                              <w:spacing w:before="10" w:after="10"/>
                              <w:jc w:val="center"/>
                              <w:rPr>
                                <w:color w:val="000000"/>
                                <w:sz w:val="16"/>
                                <w:szCs w:val="16"/>
                              </w:rPr>
                            </w:pPr>
                            <w:r w:rsidRPr="002442A5">
                              <w:rPr>
                                <w:color w:val="000000"/>
                                <w:sz w:val="16"/>
                                <w:szCs w:val="16"/>
                              </w:rPr>
                              <w:t>(95%</w:t>
                            </w:r>
                            <w:r>
                              <w:rPr>
                                <w:color w:val="000000"/>
                                <w:sz w:val="16"/>
                                <w:szCs w:val="16"/>
                              </w:rPr>
                              <w:t xml:space="preserve"> </w:t>
                            </w:r>
                            <w:r w:rsidRPr="002442A5">
                              <w:rPr>
                                <w:color w:val="000000"/>
                                <w:sz w:val="16"/>
                                <w:szCs w:val="16"/>
                              </w:rPr>
                              <w:t>CI)</w:t>
                            </w:r>
                          </w:p>
                        </w:tc>
                      </w:tr>
                      <w:tr w:rsidR="00910B4F" w:rsidRPr="00D4464D" w14:paraId="3C0088C3" w14:textId="77777777" w:rsidTr="00D83CBF">
                        <w:trPr>
                          <w:gridAfter w:val="1"/>
                          <w:wAfter w:w="277" w:type="dxa"/>
                          <w:cantSplit/>
                          <w:trHeight w:val="225"/>
                          <w:jc w:val="center"/>
                        </w:trPr>
                        <w:tc>
                          <w:tcPr>
                            <w:tcW w:w="2084" w:type="dxa"/>
                            <w:tcBorders>
                              <w:top w:val="nil"/>
                              <w:left w:val="nil"/>
                              <w:bottom w:val="nil"/>
                              <w:right w:val="nil"/>
                            </w:tcBorders>
                            <w:shd w:val="clear" w:color="auto" w:fill="FFFFFF"/>
                            <w:tcMar>
                              <w:left w:w="10" w:type="dxa"/>
                              <w:right w:w="10" w:type="dxa"/>
                            </w:tcMar>
                          </w:tcPr>
                          <w:p w14:paraId="7C1359FD" w14:textId="77777777" w:rsidR="00910B4F" w:rsidRPr="002442A5" w:rsidRDefault="00910B4F" w:rsidP="00D83CBF">
                            <w:pPr>
                              <w:keepNext/>
                              <w:adjustRightInd w:val="0"/>
                              <w:spacing w:before="10" w:after="10" w:line="160" w:lineRule="atLeast"/>
                              <w:rPr>
                                <w:color w:val="000000"/>
                                <w:sz w:val="16"/>
                                <w:szCs w:val="16"/>
                              </w:rPr>
                            </w:pPr>
                            <w:r w:rsidRPr="002442A5">
                              <w:rPr>
                                <w:color w:val="000000"/>
                                <w:sz w:val="16"/>
                                <w:szCs w:val="16"/>
                              </w:rPr>
                              <w:t>IMFINZI + chemotherapy</w:t>
                            </w:r>
                          </w:p>
                        </w:tc>
                        <w:tc>
                          <w:tcPr>
                            <w:tcW w:w="778" w:type="dxa"/>
                            <w:tcBorders>
                              <w:top w:val="nil"/>
                              <w:left w:val="nil"/>
                              <w:bottom w:val="nil"/>
                              <w:right w:val="nil"/>
                            </w:tcBorders>
                            <w:shd w:val="clear" w:color="auto" w:fill="FFFFFF"/>
                            <w:tcMar>
                              <w:left w:w="10" w:type="dxa"/>
                              <w:right w:w="10" w:type="dxa"/>
                            </w:tcMar>
                          </w:tcPr>
                          <w:p w14:paraId="0D703B85" w14:textId="28EA68FD" w:rsidR="00910B4F" w:rsidRPr="002442A5" w:rsidRDefault="00910B4F" w:rsidP="00D83CBF">
                            <w:pPr>
                              <w:keepNext/>
                              <w:adjustRightInd w:val="0"/>
                              <w:spacing w:before="10" w:after="10" w:line="160" w:lineRule="atLeast"/>
                              <w:jc w:val="center"/>
                              <w:rPr>
                                <w:color w:val="000000"/>
                                <w:sz w:val="16"/>
                                <w:szCs w:val="16"/>
                              </w:rPr>
                            </w:pPr>
                            <w:r>
                              <w:rPr>
                                <w:color w:val="000000"/>
                                <w:sz w:val="16"/>
                                <w:szCs w:val="16"/>
                              </w:rPr>
                              <w:t>12.9</w:t>
                            </w:r>
                          </w:p>
                        </w:tc>
                        <w:tc>
                          <w:tcPr>
                            <w:tcW w:w="1181" w:type="dxa"/>
                            <w:tcBorders>
                              <w:top w:val="nil"/>
                              <w:left w:val="nil"/>
                              <w:bottom w:val="nil"/>
                              <w:right w:val="nil"/>
                            </w:tcBorders>
                            <w:shd w:val="clear" w:color="auto" w:fill="FFFFFF"/>
                            <w:tcMar>
                              <w:left w:w="10" w:type="dxa"/>
                              <w:right w:w="10" w:type="dxa"/>
                            </w:tcMar>
                          </w:tcPr>
                          <w:p w14:paraId="25A8137E" w14:textId="4A71ACAA" w:rsidR="00910B4F" w:rsidRPr="002442A5" w:rsidRDefault="00910B4F" w:rsidP="00D83CBF">
                            <w:pPr>
                              <w:keepNext/>
                              <w:adjustRightInd w:val="0"/>
                              <w:spacing w:before="10" w:after="10" w:line="160" w:lineRule="atLeast"/>
                              <w:jc w:val="center"/>
                              <w:rPr>
                                <w:color w:val="000000"/>
                                <w:sz w:val="16"/>
                                <w:szCs w:val="16"/>
                              </w:rPr>
                            </w:pPr>
                            <w:r w:rsidRPr="002442A5">
                              <w:rPr>
                                <w:color w:val="000000"/>
                                <w:sz w:val="16"/>
                                <w:szCs w:val="16"/>
                              </w:rPr>
                              <w:t>(11.</w:t>
                            </w:r>
                            <w:r>
                              <w:rPr>
                                <w:color w:val="000000"/>
                                <w:sz w:val="16"/>
                                <w:szCs w:val="16"/>
                              </w:rPr>
                              <w:t>6</w:t>
                            </w:r>
                            <w:r w:rsidRPr="002442A5">
                              <w:rPr>
                                <w:color w:val="000000"/>
                                <w:sz w:val="16"/>
                                <w:szCs w:val="16"/>
                              </w:rPr>
                              <w:t>,</w:t>
                            </w:r>
                            <w:r>
                              <w:rPr>
                                <w:color w:val="000000"/>
                                <w:sz w:val="16"/>
                                <w:szCs w:val="16"/>
                              </w:rPr>
                              <w:t xml:space="preserve"> </w:t>
                            </w:r>
                            <w:r w:rsidRPr="002442A5">
                              <w:rPr>
                                <w:color w:val="000000"/>
                                <w:sz w:val="16"/>
                                <w:szCs w:val="16"/>
                              </w:rPr>
                              <w:t>14.</w:t>
                            </w:r>
                            <w:r>
                              <w:rPr>
                                <w:color w:val="000000"/>
                                <w:sz w:val="16"/>
                                <w:szCs w:val="16"/>
                              </w:rPr>
                              <w:t>1</w:t>
                            </w:r>
                            <w:r w:rsidRPr="002442A5">
                              <w:rPr>
                                <w:color w:val="000000"/>
                                <w:sz w:val="16"/>
                                <w:szCs w:val="16"/>
                              </w:rPr>
                              <w:t>)</w:t>
                            </w:r>
                          </w:p>
                        </w:tc>
                      </w:tr>
                      <w:tr w:rsidR="00910B4F" w:rsidRPr="00D4464D" w14:paraId="49A3FD92" w14:textId="77777777" w:rsidTr="00D83CBF">
                        <w:trPr>
                          <w:gridAfter w:val="1"/>
                          <w:wAfter w:w="277" w:type="dxa"/>
                          <w:cantSplit/>
                          <w:trHeight w:val="112"/>
                          <w:jc w:val="center"/>
                        </w:trPr>
                        <w:tc>
                          <w:tcPr>
                            <w:tcW w:w="2084" w:type="dxa"/>
                            <w:tcBorders>
                              <w:top w:val="nil"/>
                              <w:left w:val="nil"/>
                              <w:bottom w:val="nil"/>
                              <w:right w:val="nil"/>
                            </w:tcBorders>
                            <w:shd w:val="clear" w:color="auto" w:fill="FFFFFF"/>
                            <w:tcMar>
                              <w:left w:w="10" w:type="dxa"/>
                              <w:right w:w="10" w:type="dxa"/>
                            </w:tcMar>
                          </w:tcPr>
                          <w:p w14:paraId="7B8B7F52" w14:textId="77777777" w:rsidR="00910B4F" w:rsidRPr="002442A5" w:rsidRDefault="00910B4F" w:rsidP="00D83CBF">
                            <w:pPr>
                              <w:adjustRightInd w:val="0"/>
                              <w:spacing w:before="10" w:after="10" w:line="160" w:lineRule="atLeast"/>
                              <w:rPr>
                                <w:color w:val="000000"/>
                                <w:sz w:val="16"/>
                                <w:szCs w:val="16"/>
                              </w:rPr>
                            </w:pPr>
                            <w:r w:rsidRPr="002442A5">
                              <w:rPr>
                                <w:color w:val="000000"/>
                                <w:sz w:val="16"/>
                                <w:szCs w:val="16"/>
                              </w:rPr>
                              <w:t>chemotherapy</w:t>
                            </w:r>
                          </w:p>
                        </w:tc>
                        <w:tc>
                          <w:tcPr>
                            <w:tcW w:w="778" w:type="dxa"/>
                            <w:tcBorders>
                              <w:top w:val="nil"/>
                              <w:left w:val="nil"/>
                              <w:bottom w:val="nil"/>
                              <w:right w:val="nil"/>
                            </w:tcBorders>
                            <w:shd w:val="clear" w:color="auto" w:fill="FFFFFF"/>
                            <w:tcMar>
                              <w:left w:w="10" w:type="dxa"/>
                              <w:right w:w="10" w:type="dxa"/>
                            </w:tcMar>
                          </w:tcPr>
                          <w:p w14:paraId="31A06EDE" w14:textId="05F9E16F" w:rsidR="00910B4F" w:rsidRPr="002442A5" w:rsidRDefault="00910B4F" w:rsidP="00D83CBF">
                            <w:pPr>
                              <w:adjustRightInd w:val="0"/>
                              <w:spacing w:before="10" w:after="10" w:line="160" w:lineRule="atLeast"/>
                              <w:jc w:val="center"/>
                              <w:rPr>
                                <w:color w:val="000000"/>
                                <w:sz w:val="16"/>
                                <w:szCs w:val="16"/>
                              </w:rPr>
                            </w:pPr>
                            <w:r w:rsidRPr="002442A5">
                              <w:rPr>
                                <w:color w:val="000000"/>
                                <w:sz w:val="16"/>
                                <w:szCs w:val="16"/>
                              </w:rPr>
                              <w:t>1</w:t>
                            </w:r>
                            <w:r>
                              <w:rPr>
                                <w:color w:val="000000"/>
                                <w:sz w:val="16"/>
                                <w:szCs w:val="16"/>
                              </w:rPr>
                              <w:t>1.3</w:t>
                            </w:r>
                          </w:p>
                        </w:tc>
                        <w:tc>
                          <w:tcPr>
                            <w:tcW w:w="1181" w:type="dxa"/>
                            <w:tcBorders>
                              <w:top w:val="nil"/>
                              <w:left w:val="nil"/>
                              <w:bottom w:val="nil"/>
                              <w:right w:val="nil"/>
                            </w:tcBorders>
                            <w:shd w:val="clear" w:color="auto" w:fill="FFFFFF"/>
                            <w:tcMar>
                              <w:left w:w="10" w:type="dxa"/>
                              <w:right w:w="10" w:type="dxa"/>
                            </w:tcMar>
                          </w:tcPr>
                          <w:p w14:paraId="72C9FAB6" w14:textId="77777777" w:rsidR="00910B4F" w:rsidRPr="002442A5" w:rsidRDefault="00910B4F" w:rsidP="00D83CBF">
                            <w:pPr>
                              <w:adjustRightInd w:val="0"/>
                              <w:spacing w:before="10" w:after="10" w:line="160" w:lineRule="atLeast"/>
                              <w:jc w:val="center"/>
                              <w:rPr>
                                <w:color w:val="000000"/>
                                <w:sz w:val="16"/>
                                <w:szCs w:val="16"/>
                              </w:rPr>
                            </w:pPr>
                            <w:r w:rsidRPr="002442A5">
                              <w:rPr>
                                <w:color w:val="000000"/>
                                <w:sz w:val="16"/>
                                <w:szCs w:val="16"/>
                              </w:rPr>
                              <w:t>(</w:t>
                            </w:r>
                            <w:r>
                              <w:rPr>
                                <w:color w:val="000000"/>
                                <w:sz w:val="16"/>
                                <w:szCs w:val="16"/>
                              </w:rPr>
                              <w:t>10.1, 12.5</w:t>
                            </w:r>
                            <w:r w:rsidRPr="002442A5">
                              <w:rPr>
                                <w:color w:val="000000"/>
                                <w:sz w:val="16"/>
                                <w:szCs w:val="16"/>
                              </w:rPr>
                              <w:t>)</w:t>
                            </w:r>
                          </w:p>
                        </w:tc>
                      </w:tr>
                      <w:tr w:rsidR="00910B4F" w:rsidRPr="006A79D2" w14:paraId="44A24408" w14:textId="77777777" w:rsidTr="00D83CBF">
                        <w:trPr>
                          <w:cantSplit/>
                          <w:trHeight w:val="166"/>
                          <w:jc w:val="center"/>
                        </w:trPr>
                        <w:tc>
                          <w:tcPr>
                            <w:tcW w:w="4320" w:type="dxa"/>
                            <w:gridSpan w:val="4"/>
                            <w:tcBorders>
                              <w:top w:val="nil"/>
                              <w:left w:val="nil"/>
                              <w:bottom w:val="nil"/>
                              <w:right w:val="nil"/>
                            </w:tcBorders>
                            <w:shd w:val="clear" w:color="auto" w:fill="FFFFFF"/>
                            <w:tcMar>
                              <w:left w:w="10" w:type="dxa"/>
                              <w:right w:w="10" w:type="dxa"/>
                            </w:tcMar>
                          </w:tcPr>
                          <w:p w14:paraId="3343A1C8" w14:textId="77777777" w:rsidR="00910B4F" w:rsidRPr="002442A5" w:rsidRDefault="00910B4F" w:rsidP="00D83CBF">
                            <w:pPr>
                              <w:keepNext/>
                              <w:adjustRightInd w:val="0"/>
                              <w:spacing w:before="10" w:after="10" w:line="160" w:lineRule="atLeast"/>
                              <w:rPr>
                                <w:color w:val="000000"/>
                                <w:sz w:val="16"/>
                                <w:szCs w:val="16"/>
                              </w:rPr>
                            </w:pPr>
                            <w:r w:rsidRPr="002442A5">
                              <w:rPr>
                                <w:color w:val="000000"/>
                                <w:sz w:val="16"/>
                                <w:szCs w:val="16"/>
                              </w:rPr>
                              <w:t>Hazard Ratio (</w:t>
                            </w:r>
                            <w:r>
                              <w:rPr>
                                <w:color w:val="000000"/>
                                <w:sz w:val="16"/>
                                <w:szCs w:val="16"/>
                              </w:rPr>
                              <w:t xml:space="preserve">95% </w:t>
                            </w:r>
                            <w:r w:rsidRPr="002442A5">
                              <w:rPr>
                                <w:color w:val="000000"/>
                                <w:sz w:val="16"/>
                                <w:szCs w:val="16"/>
                              </w:rPr>
                              <w:t>CI)</w:t>
                            </w:r>
                          </w:p>
                        </w:tc>
                      </w:tr>
                      <w:tr w:rsidR="00910B4F" w:rsidRPr="006A79D2" w14:paraId="70A17151" w14:textId="77777777" w:rsidTr="00D83CBF">
                        <w:trPr>
                          <w:cantSplit/>
                          <w:trHeight w:val="130"/>
                          <w:jc w:val="center"/>
                        </w:trPr>
                        <w:tc>
                          <w:tcPr>
                            <w:tcW w:w="4320" w:type="dxa"/>
                            <w:gridSpan w:val="4"/>
                            <w:tcBorders>
                              <w:top w:val="nil"/>
                              <w:left w:val="nil"/>
                              <w:bottom w:val="nil"/>
                              <w:right w:val="nil"/>
                            </w:tcBorders>
                            <w:shd w:val="clear" w:color="auto" w:fill="FFFFFF"/>
                            <w:tcMar>
                              <w:left w:w="10" w:type="dxa"/>
                              <w:right w:w="10" w:type="dxa"/>
                            </w:tcMar>
                          </w:tcPr>
                          <w:p w14:paraId="2018C099" w14:textId="764B61D8" w:rsidR="00910B4F" w:rsidRPr="002442A5" w:rsidRDefault="00910B4F" w:rsidP="00D83CBF">
                            <w:pPr>
                              <w:adjustRightInd w:val="0"/>
                              <w:spacing w:before="10" w:after="10" w:line="160" w:lineRule="atLeast"/>
                              <w:rPr>
                                <w:color w:val="000000"/>
                                <w:sz w:val="16"/>
                                <w:szCs w:val="16"/>
                              </w:rPr>
                            </w:pPr>
                            <w:r w:rsidRPr="002442A5">
                              <w:rPr>
                                <w:color w:val="000000"/>
                                <w:sz w:val="16"/>
                                <w:szCs w:val="16"/>
                              </w:rPr>
                              <w:t xml:space="preserve">IMFINZI + chemotherapy vs chemotherapy: </w:t>
                            </w:r>
                            <w:r w:rsidRPr="00AF5445">
                              <w:rPr>
                                <w:color w:val="000000"/>
                                <w:sz w:val="16"/>
                                <w:szCs w:val="16"/>
                              </w:rPr>
                              <w:t>0.</w:t>
                            </w:r>
                            <w:r>
                              <w:rPr>
                                <w:color w:val="000000"/>
                                <w:sz w:val="16"/>
                                <w:szCs w:val="16"/>
                              </w:rPr>
                              <w:t>76</w:t>
                            </w:r>
                            <w:r w:rsidRPr="00AF5445">
                              <w:rPr>
                                <w:color w:val="000000"/>
                                <w:sz w:val="16"/>
                                <w:szCs w:val="16"/>
                              </w:rPr>
                              <w:t xml:space="preserve"> (0.6</w:t>
                            </w:r>
                            <w:r>
                              <w:rPr>
                                <w:color w:val="000000"/>
                                <w:sz w:val="16"/>
                                <w:szCs w:val="16"/>
                              </w:rPr>
                              <w:t>4</w:t>
                            </w:r>
                            <w:r w:rsidRPr="00AF5445">
                              <w:rPr>
                                <w:color w:val="000000"/>
                                <w:sz w:val="16"/>
                                <w:szCs w:val="16"/>
                              </w:rPr>
                              <w:t>, 0.</w:t>
                            </w:r>
                            <w:r>
                              <w:rPr>
                                <w:color w:val="000000"/>
                                <w:sz w:val="16"/>
                                <w:szCs w:val="16"/>
                              </w:rPr>
                              <w:t>91</w:t>
                            </w:r>
                            <w:r w:rsidRPr="00AF5445">
                              <w:rPr>
                                <w:color w:val="000000"/>
                                <w:sz w:val="16"/>
                                <w:szCs w:val="16"/>
                              </w:rPr>
                              <w:t>)</w:t>
                            </w:r>
                          </w:p>
                        </w:tc>
                      </w:tr>
                    </w:tbl>
                    <w:p w14:paraId="7C85120E" w14:textId="77777777" w:rsidR="00910B4F" w:rsidRPr="0046029E" w:rsidRDefault="00910B4F" w:rsidP="00910B4F">
                      <w:pPr>
                        <w:spacing w:after="0" w:line="240" w:lineRule="atLeast"/>
                        <w:rPr>
                          <w:sz w:val="16"/>
                          <w:szCs w:val="16"/>
                        </w:rPr>
                      </w:pPr>
                    </w:p>
                  </w:txbxContent>
                </v:textbox>
              </v:shape>
            </w:pict>
          </mc:Fallback>
        </mc:AlternateContent>
      </w:r>
      <w:r w:rsidRPr="008B029F">
        <w:rPr>
          <w:b/>
          <w:bCs/>
          <w:noProof/>
          <w:color w:val="2B579A"/>
          <w:shd w:val="clear" w:color="auto" w:fill="E6E6E6"/>
          <w:lang w:val="en-AU" w:eastAsia="en-GB"/>
        </w:rPr>
        <w:drawing>
          <wp:inline distT="0" distB="0" distL="0" distR="0" wp14:anchorId="5BC24B02" wp14:editId="47C4615F">
            <wp:extent cx="5779135" cy="2999105"/>
            <wp:effectExtent l="0" t="0" r="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9135" cy="2999105"/>
                    </a:xfrm>
                    <a:prstGeom prst="rect">
                      <a:avLst/>
                    </a:prstGeom>
                  </pic:spPr>
                </pic:pic>
              </a:graphicData>
            </a:graphic>
          </wp:inline>
        </w:drawing>
      </w:r>
      <w:r w:rsidRPr="008B029F">
        <w:rPr>
          <w:b/>
          <w:bCs/>
          <w:noProof/>
          <w:color w:val="2B579A"/>
          <w:shd w:val="clear" w:color="auto" w:fill="E6E6E6"/>
          <w:lang w:val="en-AU" w:eastAsia="en-GB"/>
        </w:rPr>
        <mc:AlternateContent>
          <mc:Choice Requires="wps">
            <w:drawing>
              <wp:anchor distT="45720" distB="45720" distL="114300" distR="114300" simplePos="0" relativeHeight="251658251" behindDoc="0" locked="0" layoutInCell="1" allowOverlap="1" wp14:anchorId="53D84497" wp14:editId="2ACC2ED9">
                <wp:simplePos x="0" y="0"/>
                <wp:positionH relativeFrom="column">
                  <wp:posOffset>-332740</wp:posOffset>
                </wp:positionH>
                <wp:positionV relativeFrom="paragraph">
                  <wp:posOffset>2589530</wp:posOffset>
                </wp:positionV>
                <wp:extent cx="1125415" cy="4286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5" cy="428625"/>
                        </a:xfrm>
                        <a:prstGeom prst="rect">
                          <a:avLst/>
                        </a:prstGeom>
                        <a:noFill/>
                        <a:ln w="9525">
                          <a:noFill/>
                          <a:miter lim="800000"/>
                          <a:headEnd/>
                          <a:tailEnd/>
                        </a:ln>
                      </wps:spPr>
                      <wps:txbx>
                        <w:txbxContent>
                          <w:p w14:paraId="1C37B4D7" w14:textId="77777777" w:rsidR="00910B4F" w:rsidRPr="00436AC7" w:rsidRDefault="00910B4F" w:rsidP="00910B4F">
                            <w:pPr>
                              <w:spacing w:after="0" w:line="160" w:lineRule="atLeast"/>
                              <w:rPr>
                                <w:sz w:val="12"/>
                                <w:szCs w:val="12"/>
                              </w:rPr>
                            </w:pPr>
                            <w:r w:rsidRPr="00436AC7">
                              <w:rPr>
                                <w:sz w:val="12"/>
                                <w:szCs w:val="12"/>
                              </w:rPr>
                              <w:t>Number of Patients at risk</w:t>
                            </w:r>
                          </w:p>
                          <w:p w14:paraId="20216DC8" w14:textId="77777777" w:rsidR="00910B4F" w:rsidRPr="00436AC7" w:rsidRDefault="00910B4F" w:rsidP="00910B4F">
                            <w:pPr>
                              <w:spacing w:after="0" w:line="60" w:lineRule="atLeast"/>
                              <w:rPr>
                                <w:sz w:val="12"/>
                                <w:szCs w:val="12"/>
                              </w:rPr>
                            </w:pPr>
                            <w:r w:rsidRPr="00436AC7">
                              <w:rPr>
                                <w:sz w:val="12"/>
                                <w:szCs w:val="12"/>
                              </w:rPr>
                              <w:t>IMFINZI + chemotherapy</w:t>
                            </w:r>
                          </w:p>
                          <w:p w14:paraId="3D7D44AF" w14:textId="77777777" w:rsidR="00910B4F" w:rsidRPr="00436AC7" w:rsidRDefault="00910B4F" w:rsidP="00910B4F">
                            <w:pPr>
                              <w:spacing w:after="0" w:line="60" w:lineRule="atLeast"/>
                              <w:rPr>
                                <w:sz w:val="12"/>
                                <w:szCs w:val="12"/>
                              </w:rPr>
                            </w:pPr>
                            <w:r>
                              <w:rPr>
                                <w:sz w:val="12"/>
                                <w:szCs w:val="12"/>
                              </w:rPr>
                              <w:t xml:space="preserve">                   </w:t>
                            </w:r>
                            <w:r w:rsidRPr="00436AC7">
                              <w:rPr>
                                <w:sz w:val="12"/>
                                <w:szCs w:val="12"/>
                              </w:rPr>
                              <w:t>chemotherapy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84497" id="Text Box 57" o:spid="_x0000_s1038" type="#_x0000_t202" style="position:absolute;left:0;text-align:left;margin-left:-26.2pt;margin-top:203.9pt;width:88.6pt;height:33.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" filled="f" stroked="f">
                <v:textbox>
                  <w:txbxContent>
                    <w:p w14:paraId="1C37B4D7" w14:textId="77777777" w:rsidR="00910B4F" w:rsidRPr="00436AC7" w:rsidRDefault="00910B4F" w:rsidP="00910B4F">
                      <w:pPr>
                        <w:spacing w:after="0" w:line="160" w:lineRule="atLeast"/>
                        <w:rPr>
                          <w:sz w:val="12"/>
                          <w:szCs w:val="12"/>
                        </w:rPr>
                      </w:pPr>
                      <w:r w:rsidRPr="00436AC7">
                        <w:rPr>
                          <w:sz w:val="12"/>
                          <w:szCs w:val="12"/>
                        </w:rPr>
                        <w:t>Number of Patients at risk</w:t>
                      </w:r>
                    </w:p>
                    <w:p w14:paraId="20216DC8" w14:textId="77777777" w:rsidR="00910B4F" w:rsidRPr="00436AC7" w:rsidRDefault="00910B4F" w:rsidP="00910B4F">
                      <w:pPr>
                        <w:spacing w:after="0" w:line="60" w:lineRule="atLeast"/>
                        <w:rPr>
                          <w:sz w:val="12"/>
                          <w:szCs w:val="12"/>
                        </w:rPr>
                      </w:pPr>
                      <w:r w:rsidRPr="00436AC7">
                        <w:rPr>
                          <w:sz w:val="12"/>
                          <w:szCs w:val="12"/>
                        </w:rPr>
                        <w:t>IMFINZI + chemotherapy</w:t>
                      </w:r>
                    </w:p>
                    <w:p w14:paraId="3D7D44AF" w14:textId="77777777" w:rsidR="00910B4F" w:rsidRPr="00436AC7" w:rsidRDefault="00910B4F" w:rsidP="00910B4F">
                      <w:pPr>
                        <w:spacing w:after="0" w:line="60" w:lineRule="atLeast"/>
                        <w:rPr>
                          <w:sz w:val="12"/>
                          <w:szCs w:val="12"/>
                        </w:rPr>
                      </w:pPr>
                      <w:r>
                        <w:rPr>
                          <w:sz w:val="12"/>
                          <w:szCs w:val="12"/>
                        </w:rPr>
                        <w:t xml:space="preserve">                   </w:t>
                      </w:r>
                      <w:r w:rsidRPr="00436AC7">
                        <w:rPr>
                          <w:sz w:val="12"/>
                          <w:szCs w:val="12"/>
                        </w:rPr>
                        <w:t>chemotherapy</w:t>
                      </w:r>
                    </w:p>
                  </w:txbxContent>
                </v:textbox>
              </v:shape>
            </w:pict>
          </mc:Fallback>
        </mc:AlternateContent>
      </w:r>
    </w:p>
    <w:p w14:paraId="21742FAF" w14:textId="015611F6" w:rsidR="00841B1A" w:rsidRPr="008B029F" w:rsidRDefault="00841B1A" w:rsidP="00841B1A">
      <w:pPr>
        <w:pStyle w:val="Paragraph"/>
        <w:rPr>
          <w:lang w:val="en-AU" w:eastAsia="en-GB"/>
        </w:rPr>
      </w:pPr>
    </w:p>
    <w:p w14:paraId="703799A3" w14:textId="41652A0E" w:rsidR="00910B4F" w:rsidRPr="008B029F" w:rsidRDefault="007858EE" w:rsidP="00910B4F">
      <w:pPr>
        <w:pStyle w:val="FigureTitle"/>
        <w:rPr>
          <w:lang w:val="en-AU" w:eastAsia="en-GB"/>
        </w:rPr>
      </w:pPr>
      <w:bookmarkStart w:id="78" w:name="_Ref121930961"/>
      <w:r w:rsidRPr="008B029F">
        <w:rPr>
          <w:lang w:val="en-AU"/>
        </w:rPr>
        <w:t>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12</w:t>
      </w:r>
      <w:r w:rsidRPr="008B029F">
        <w:rPr>
          <w:color w:val="2B579A"/>
          <w:shd w:val="clear" w:color="auto" w:fill="E6E6E6"/>
          <w:lang w:val="en-AU"/>
        </w:rPr>
        <w:fldChar w:fldCharType="end"/>
      </w:r>
      <w:bookmarkEnd w:id="78"/>
      <w:r w:rsidRPr="008B029F">
        <w:rPr>
          <w:lang w:val="en-AU"/>
        </w:rPr>
        <w:tab/>
      </w:r>
      <w:r w:rsidR="00910B4F" w:rsidRPr="008B029F">
        <w:rPr>
          <w:lang w:val="en-AU" w:eastAsia="en-GB"/>
        </w:rPr>
        <w:t>Kaplan-Meier curve of PFS (</w:t>
      </w:r>
      <w:r w:rsidR="00C11C92" w:rsidRPr="008B029F">
        <w:rPr>
          <w:lang w:val="en-AU" w:eastAsia="en-GB"/>
        </w:rPr>
        <w:t xml:space="preserve">TOPAZ-1 </w:t>
      </w:r>
      <w:r w:rsidR="00910B4F" w:rsidRPr="008B029F">
        <w:rPr>
          <w:lang w:val="en-AU" w:eastAsia="en-GB"/>
        </w:rPr>
        <w:t xml:space="preserve">DCO: 11 Aug 2021) </w:t>
      </w:r>
    </w:p>
    <w:p w14:paraId="200DFBC0" w14:textId="3F89DD68" w:rsidR="00910B4F" w:rsidRDefault="00910B4F" w:rsidP="00910B4F">
      <w:pPr>
        <w:keepNext/>
        <w:keepLines/>
        <w:ind w:left="720"/>
        <w:rPr>
          <w:b/>
          <w:bCs/>
          <w:lang w:val="en-AU" w:eastAsia="en-GB"/>
        </w:rPr>
      </w:pPr>
      <w:r w:rsidRPr="008B029F">
        <w:rPr>
          <w:b/>
          <w:bCs/>
          <w:noProof/>
          <w:color w:val="2B579A"/>
          <w:shd w:val="clear" w:color="auto" w:fill="E6E6E6"/>
          <w:lang w:val="en-AU" w:eastAsia="en-GB"/>
        </w:rPr>
        <mc:AlternateContent>
          <mc:Choice Requires="wps">
            <w:drawing>
              <wp:anchor distT="45720" distB="45720" distL="114300" distR="114300" simplePos="0" relativeHeight="251658256" behindDoc="0" locked="0" layoutInCell="1" allowOverlap="1" wp14:anchorId="762DF413" wp14:editId="5BF97469">
                <wp:simplePos x="0" y="0"/>
                <wp:positionH relativeFrom="column">
                  <wp:posOffset>-194945</wp:posOffset>
                </wp:positionH>
                <wp:positionV relativeFrom="paragraph">
                  <wp:posOffset>2748915</wp:posOffset>
                </wp:positionV>
                <wp:extent cx="1033272" cy="1404620"/>
                <wp:effectExtent l="0" t="0" r="0" b="127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72" cy="1404620"/>
                        </a:xfrm>
                        <a:prstGeom prst="rect">
                          <a:avLst/>
                        </a:prstGeom>
                        <a:noFill/>
                        <a:ln w="9525">
                          <a:noFill/>
                          <a:miter lim="800000"/>
                          <a:headEnd/>
                          <a:tailEnd/>
                        </a:ln>
                      </wps:spPr>
                      <wps:txbx>
                        <w:txbxContent>
                          <w:p w14:paraId="41F1733A" w14:textId="77777777" w:rsidR="00910B4F" w:rsidRPr="00436AC7" w:rsidRDefault="00910B4F" w:rsidP="00910B4F">
                            <w:pPr>
                              <w:spacing w:after="0" w:line="160" w:lineRule="atLeast"/>
                              <w:rPr>
                                <w:sz w:val="12"/>
                                <w:szCs w:val="12"/>
                              </w:rPr>
                            </w:pPr>
                            <w:r w:rsidRPr="00436AC7">
                              <w:rPr>
                                <w:sz w:val="12"/>
                                <w:szCs w:val="12"/>
                              </w:rPr>
                              <w:t>Number of Patients at risk</w:t>
                            </w:r>
                          </w:p>
                          <w:p w14:paraId="66DE440C" w14:textId="77777777" w:rsidR="00910B4F" w:rsidRPr="00436AC7" w:rsidRDefault="00910B4F" w:rsidP="00910B4F">
                            <w:pPr>
                              <w:spacing w:after="0" w:line="60" w:lineRule="atLeast"/>
                              <w:rPr>
                                <w:sz w:val="12"/>
                                <w:szCs w:val="12"/>
                              </w:rPr>
                            </w:pPr>
                            <w:r w:rsidRPr="00436AC7">
                              <w:rPr>
                                <w:sz w:val="12"/>
                                <w:szCs w:val="12"/>
                              </w:rPr>
                              <w:t>IMFINZI + chemotherapy</w:t>
                            </w:r>
                          </w:p>
                          <w:p w14:paraId="77E5613D" w14:textId="77777777" w:rsidR="00910B4F" w:rsidRPr="00436AC7" w:rsidRDefault="00910B4F" w:rsidP="00910B4F">
                            <w:pPr>
                              <w:spacing w:after="0" w:line="60" w:lineRule="atLeast"/>
                              <w:rPr>
                                <w:sz w:val="12"/>
                                <w:szCs w:val="12"/>
                              </w:rPr>
                            </w:pPr>
                            <w:r>
                              <w:rPr>
                                <w:sz w:val="12"/>
                                <w:szCs w:val="12"/>
                              </w:rPr>
                              <w:t xml:space="preserve">                   </w:t>
                            </w:r>
                            <w:r w:rsidRPr="00436AC7">
                              <w:rPr>
                                <w:sz w:val="12"/>
                                <w:szCs w:val="12"/>
                              </w:rPr>
                              <w:t>chemotherapy</w:t>
                            </w:r>
                          </w:p>
                          <w:p w14:paraId="35D05C0B" w14:textId="77777777" w:rsidR="00910B4F" w:rsidRPr="001D1F07" w:rsidRDefault="00910B4F" w:rsidP="00910B4F">
                            <w:pPr>
                              <w:spacing w:after="0" w:line="160" w:lineRule="atLeas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DF413" id="Text Box 192" o:spid="_x0000_s1039" type="#_x0000_t202" style="position:absolute;left:0;text-align:left;margin-left:-15.35pt;margin-top:216.45pt;width:81.3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" filled="f" stroked="f">
                <v:textbox style="mso-fit-shape-to-text:t">
                  <w:txbxContent>
                    <w:p w14:paraId="41F1733A" w14:textId="77777777" w:rsidR="00910B4F" w:rsidRPr="00436AC7" w:rsidRDefault="00910B4F" w:rsidP="00910B4F">
                      <w:pPr>
                        <w:spacing w:after="0" w:line="160" w:lineRule="atLeast"/>
                        <w:rPr>
                          <w:sz w:val="12"/>
                          <w:szCs w:val="12"/>
                        </w:rPr>
                      </w:pPr>
                      <w:r w:rsidRPr="00436AC7">
                        <w:rPr>
                          <w:sz w:val="12"/>
                          <w:szCs w:val="12"/>
                        </w:rPr>
                        <w:t>Number of Patients at risk</w:t>
                      </w:r>
                    </w:p>
                    <w:p w14:paraId="66DE440C" w14:textId="77777777" w:rsidR="00910B4F" w:rsidRPr="00436AC7" w:rsidRDefault="00910B4F" w:rsidP="00910B4F">
                      <w:pPr>
                        <w:spacing w:after="0" w:line="60" w:lineRule="atLeast"/>
                        <w:rPr>
                          <w:sz w:val="12"/>
                          <w:szCs w:val="12"/>
                        </w:rPr>
                      </w:pPr>
                      <w:r w:rsidRPr="00436AC7">
                        <w:rPr>
                          <w:sz w:val="12"/>
                          <w:szCs w:val="12"/>
                        </w:rPr>
                        <w:t>IMFINZI + chemotherapy</w:t>
                      </w:r>
                    </w:p>
                    <w:p w14:paraId="77E5613D" w14:textId="77777777" w:rsidR="00910B4F" w:rsidRPr="00436AC7" w:rsidRDefault="00910B4F" w:rsidP="00910B4F">
                      <w:pPr>
                        <w:spacing w:after="0" w:line="60" w:lineRule="atLeast"/>
                        <w:rPr>
                          <w:sz w:val="12"/>
                          <w:szCs w:val="12"/>
                        </w:rPr>
                      </w:pPr>
                      <w:r>
                        <w:rPr>
                          <w:sz w:val="12"/>
                          <w:szCs w:val="12"/>
                        </w:rPr>
                        <w:t xml:space="preserve">                   </w:t>
                      </w:r>
                      <w:r w:rsidRPr="00436AC7">
                        <w:rPr>
                          <w:sz w:val="12"/>
                          <w:szCs w:val="12"/>
                        </w:rPr>
                        <w:t>chemotherapy</w:t>
                      </w:r>
                    </w:p>
                    <w:p w14:paraId="35D05C0B" w14:textId="77777777" w:rsidR="00910B4F" w:rsidRPr="001D1F07" w:rsidRDefault="00910B4F" w:rsidP="00910B4F">
                      <w:pPr>
                        <w:spacing w:after="0" w:line="160" w:lineRule="atLeast"/>
                        <w:rPr>
                          <w:sz w:val="16"/>
                          <w:szCs w:val="16"/>
                        </w:rPr>
                      </w:pPr>
                    </w:p>
                  </w:txbxContent>
                </v:textbox>
              </v:shape>
            </w:pict>
          </mc:Fallback>
        </mc:AlternateContent>
      </w:r>
      <w:r w:rsidRPr="008B029F">
        <w:rPr>
          <w:b/>
          <w:bCs/>
          <w:noProof/>
          <w:color w:val="2B579A"/>
          <w:shd w:val="clear" w:color="auto" w:fill="E6E6E6"/>
          <w:lang w:val="en-AU" w:eastAsia="en-GB"/>
        </w:rPr>
        <mc:AlternateContent>
          <mc:Choice Requires="wps">
            <w:drawing>
              <wp:anchor distT="45720" distB="45720" distL="114300" distR="114300" simplePos="0" relativeHeight="251658255" behindDoc="0" locked="0" layoutInCell="1" allowOverlap="1" wp14:anchorId="0BF3D590" wp14:editId="24549AA1">
                <wp:simplePos x="0" y="0"/>
                <wp:positionH relativeFrom="column">
                  <wp:posOffset>2627116</wp:posOffset>
                </wp:positionH>
                <wp:positionV relativeFrom="paragraph">
                  <wp:posOffset>2671979</wp:posOffset>
                </wp:positionV>
                <wp:extent cx="1642610" cy="285491"/>
                <wp:effectExtent l="0"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610" cy="285491"/>
                        </a:xfrm>
                        <a:prstGeom prst="rect">
                          <a:avLst/>
                        </a:prstGeom>
                        <a:noFill/>
                        <a:ln w="9525">
                          <a:noFill/>
                          <a:miter lim="800000"/>
                          <a:headEnd/>
                          <a:tailEnd/>
                        </a:ln>
                      </wps:spPr>
                      <wps:txbx>
                        <w:txbxContent>
                          <w:p w14:paraId="4E2E49A8" w14:textId="77777777" w:rsidR="00910B4F" w:rsidRPr="00AF5445" w:rsidRDefault="00910B4F" w:rsidP="00910B4F">
                            <w:pPr>
                              <w:spacing w:after="160" w:line="160" w:lineRule="atLeast"/>
                              <w:rPr>
                                <w:sz w:val="16"/>
                                <w:szCs w:val="16"/>
                              </w:rPr>
                            </w:pPr>
                            <w:r>
                              <w:rPr>
                                <w:sz w:val="16"/>
                                <w:szCs w:val="16"/>
                              </w:rPr>
                              <w:t>Time from randomisation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D590" id="Text Box 63" o:spid="_x0000_s1040" type="#_x0000_t202" style="position:absolute;left:0;text-align:left;margin-left:206.85pt;margin-top:210.4pt;width:129.35pt;height:2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" filled="f" stroked="f">
                <v:textbox>
                  <w:txbxContent>
                    <w:p w14:paraId="4E2E49A8" w14:textId="77777777" w:rsidR="00910B4F" w:rsidRPr="00AF5445" w:rsidRDefault="00910B4F" w:rsidP="00910B4F">
                      <w:pPr>
                        <w:spacing w:after="160" w:line="160" w:lineRule="atLeast"/>
                        <w:rPr>
                          <w:sz w:val="16"/>
                          <w:szCs w:val="16"/>
                        </w:rPr>
                      </w:pPr>
                      <w:r>
                        <w:rPr>
                          <w:sz w:val="16"/>
                          <w:szCs w:val="16"/>
                        </w:rPr>
                        <w:t>Time from randomisation (months)</w:t>
                      </w:r>
                    </w:p>
                  </w:txbxContent>
                </v:textbox>
              </v:shape>
            </w:pict>
          </mc:Fallback>
        </mc:AlternateContent>
      </w:r>
      <w:r w:rsidRPr="008B029F">
        <w:rPr>
          <w:b/>
          <w:bCs/>
          <w:noProof/>
          <w:color w:val="2B579A"/>
          <w:shd w:val="clear" w:color="auto" w:fill="E6E6E6"/>
          <w:lang w:val="en-AU" w:eastAsia="en-GB"/>
        </w:rPr>
        <mc:AlternateContent>
          <mc:Choice Requires="wps">
            <w:drawing>
              <wp:anchor distT="45720" distB="45720" distL="114300" distR="114300" simplePos="0" relativeHeight="251658254" behindDoc="0" locked="0" layoutInCell="1" allowOverlap="1" wp14:anchorId="5CBCD77F" wp14:editId="53A40824">
                <wp:simplePos x="0" y="0"/>
                <wp:positionH relativeFrom="column">
                  <wp:posOffset>144145</wp:posOffset>
                </wp:positionH>
                <wp:positionV relativeFrom="paragraph">
                  <wp:posOffset>876110</wp:posOffset>
                </wp:positionV>
                <wp:extent cx="2360930" cy="92606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6065"/>
                        </a:xfrm>
                        <a:prstGeom prst="rect">
                          <a:avLst/>
                        </a:prstGeom>
                        <a:noFill/>
                        <a:ln w="9525">
                          <a:noFill/>
                          <a:miter lim="800000"/>
                          <a:headEnd/>
                          <a:tailEnd/>
                        </a:ln>
                      </wps:spPr>
                      <wps:txbx>
                        <w:txbxContent>
                          <w:p w14:paraId="22247B6D" w14:textId="77777777" w:rsidR="00910B4F" w:rsidRPr="00AF5445" w:rsidRDefault="00910B4F" w:rsidP="00910B4F">
                            <w:pPr>
                              <w:spacing w:after="0" w:line="160" w:lineRule="atLeast"/>
                              <w:rPr>
                                <w:sz w:val="16"/>
                                <w:szCs w:val="16"/>
                              </w:rPr>
                            </w:pPr>
                            <w:r>
                              <w:rPr>
                                <w:sz w:val="16"/>
                                <w:szCs w:val="16"/>
                              </w:rPr>
                              <w:t>Probability of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CBCD77F" id="Text Box 62" o:spid="_x0000_s1041" type="#_x0000_t202" style="position:absolute;left:0;text-align:left;margin-left:11.35pt;margin-top:69pt;width:185.9pt;height:72.9pt;z-index:25165825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" filled="f" stroked="f">
                <v:textbox style="layout-flow:vertical;mso-layout-flow-alt:bottom-to-top;mso-fit-shape-to-text:t">
                  <w:txbxContent>
                    <w:p w14:paraId="22247B6D" w14:textId="77777777" w:rsidR="00910B4F" w:rsidRPr="00AF5445" w:rsidRDefault="00910B4F" w:rsidP="00910B4F">
                      <w:pPr>
                        <w:spacing w:after="0" w:line="160" w:lineRule="atLeast"/>
                        <w:rPr>
                          <w:sz w:val="16"/>
                          <w:szCs w:val="16"/>
                        </w:rPr>
                      </w:pPr>
                      <w:r>
                        <w:rPr>
                          <w:sz w:val="16"/>
                          <w:szCs w:val="16"/>
                        </w:rPr>
                        <w:t>Probability of PFS</w:t>
                      </w:r>
                    </w:p>
                  </w:txbxContent>
                </v:textbox>
              </v:shape>
            </w:pict>
          </mc:Fallback>
        </mc:AlternateContent>
      </w:r>
      <w:r w:rsidRPr="008B029F">
        <w:rPr>
          <w:b/>
          <w:bCs/>
          <w:noProof/>
          <w:color w:val="2B579A"/>
          <w:shd w:val="clear" w:color="auto" w:fill="E6E6E6"/>
          <w:lang w:val="en-AU" w:eastAsia="en-GB"/>
        </w:rPr>
        <mc:AlternateContent>
          <mc:Choice Requires="wps">
            <w:drawing>
              <wp:anchor distT="45720" distB="45720" distL="114300" distR="114300" simplePos="0" relativeHeight="251658252" behindDoc="0" locked="1" layoutInCell="1" allowOverlap="1" wp14:anchorId="56D92139" wp14:editId="62DC60DF">
                <wp:simplePos x="0" y="0"/>
                <wp:positionH relativeFrom="column">
                  <wp:posOffset>2908470</wp:posOffset>
                </wp:positionH>
                <wp:positionV relativeFrom="paragraph">
                  <wp:posOffset>185308</wp:posOffset>
                </wp:positionV>
                <wp:extent cx="3154680" cy="978408"/>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978408"/>
                        </a:xfrm>
                        <a:prstGeom prst="rect">
                          <a:avLst/>
                        </a:prstGeom>
                        <a:noFill/>
                        <a:ln w="9525">
                          <a:noFill/>
                          <a:miter lim="800000"/>
                          <a:headEnd/>
                          <a:tailEnd/>
                        </a:ln>
                      </wps:spPr>
                      <wps:txbx>
                        <w:txbxContent>
                          <w:tbl>
                            <w:tblPr>
                              <w:tblW w:w="4320" w:type="dxa"/>
                              <w:jc w:val="center"/>
                              <w:tblLayout w:type="fixed"/>
                              <w:tblCellMar>
                                <w:left w:w="0" w:type="dxa"/>
                                <w:right w:w="0" w:type="dxa"/>
                              </w:tblCellMar>
                              <w:tblLook w:val="0000" w:firstRow="0" w:lastRow="0" w:firstColumn="0" w:lastColumn="0" w:noHBand="0" w:noVBand="0"/>
                            </w:tblPr>
                            <w:tblGrid>
                              <w:gridCol w:w="2084"/>
                              <w:gridCol w:w="778"/>
                              <w:gridCol w:w="1181"/>
                              <w:gridCol w:w="277"/>
                            </w:tblGrid>
                            <w:tr w:rsidR="00910B4F" w:rsidRPr="00D4464D" w14:paraId="0303351E" w14:textId="77777777" w:rsidTr="00D83CBF">
                              <w:trPr>
                                <w:gridAfter w:val="1"/>
                                <w:wAfter w:w="277" w:type="dxa"/>
                                <w:cantSplit/>
                                <w:trHeight w:val="360"/>
                                <w:tblHeader/>
                                <w:jc w:val="center"/>
                              </w:trPr>
                              <w:tc>
                                <w:tcPr>
                                  <w:tcW w:w="2084" w:type="dxa"/>
                                  <w:shd w:val="clear" w:color="auto" w:fill="FFFFFF"/>
                                  <w:tcMar>
                                    <w:left w:w="10" w:type="dxa"/>
                                    <w:right w:w="10" w:type="dxa"/>
                                  </w:tcMar>
                                  <w:vAlign w:val="bottom"/>
                                </w:tcPr>
                                <w:p w14:paraId="4AD7CF5C" w14:textId="77777777" w:rsidR="00910B4F" w:rsidRPr="002442A5" w:rsidRDefault="00910B4F" w:rsidP="00D83CBF">
                                  <w:pPr>
                                    <w:keepNext/>
                                    <w:adjustRightInd w:val="0"/>
                                    <w:spacing w:before="10" w:after="10"/>
                                    <w:jc w:val="center"/>
                                    <w:rPr>
                                      <w:color w:val="000000"/>
                                      <w:sz w:val="16"/>
                                      <w:szCs w:val="16"/>
                                    </w:rPr>
                                  </w:pPr>
                                </w:p>
                              </w:tc>
                              <w:tc>
                                <w:tcPr>
                                  <w:tcW w:w="778" w:type="dxa"/>
                                  <w:shd w:val="clear" w:color="auto" w:fill="FFFFFF"/>
                                  <w:tcMar>
                                    <w:left w:w="10" w:type="dxa"/>
                                    <w:right w:w="10" w:type="dxa"/>
                                  </w:tcMar>
                                  <w:vAlign w:val="bottom"/>
                                </w:tcPr>
                                <w:p w14:paraId="543AE7A5" w14:textId="77777777" w:rsidR="00910B4F" w:rsidRPr="002442A5" w:rsidRDefault="00910B4F" w:rsidP="00D83CBF">
                                  <w:pPr>
                                    <w:keepNext/>
                                    <w:adjustRightInd w:val="0"/>
                                    <w:spacing w:before="10" w:after="10" w:line="240" w:lineRule="auto"/>
                                    <w:jc w:val="center"/>
                                    <w:rPr>
                                      <w:color w:val="000000"/>
                                      <w:sz w:val="16"/>
                                      <w:szCs w:val="16"/>
                                    </w:rPr>
                                  </w:pPr>
                                  <w:r w:rsidRPr="002442A5">
                                    <w:rPr>
                                      <w:color w:val="000000"/>
                                      <w:sz w:val="16"/>
                                      <w:szCs w:val="16"/>
                                    </w:rPr>
                                    <w:t>Median</w:t>
                                  </w:r>
                                  <w:r>
                                    <w:rPr>
                                      <w:color w:val="000000"/>
                                      <w:sz w:val="16"/>
                                      <w:szCs w:val="16"/>
                                    </w:rPr>
                                    <w:t xml:space="preserve"> PFS</w:t>
                                  </w:r>
                                </w:p>
                              </w:tc>
                              <w:tc>
                                <w:tcPr>
                                  <w:tcW w:w="1181" w:type="dxa"/>
                                  <w:shd w:val="clear" w:color="auto" w:fill="FFFFFF"/>
                                  <w:tcMar>
                                    <w:left w:w="10" w:type="dxa"/>
                                    <w:right w:w="10" w:type="dxa"/>
                                  </w:tcMar>
                                  <w:vAlign w:val="bottom"/>
                                </w:tcPr>
                                <w:p w14:paraId="72D57C01" w14:textId="77777777" w:rsidR="00910B4F" w:rsidRPr="002442A5" w:rsidRDefault="00910B4F" w:rsidP="00D83CBF">
                                  <w:pPr>
                                    <w:keepNext/>
                                    <w:adjustRightInd w:val="0"/>
                                    <w:spacing w:before="10" w:after="10"/>
                                    <w:jc w:val="center"/>
                                    <w:rPr>
                                      <w:color w:val="000000"/>
                                      <w:sz w:val="16"/>
                                      <w:szCs w:val="16"/>
                                    </w:rPr>
                                  </w:pPr>
                                  <w:r w:rsidRPr="002442A5">
                                    <w:rPr>
                                      <w:color w:val="000000"/>
                                      <w:sz w:val="16"/>
                                      <w:szCs w:val="16"/>
                                    </w:rPr>
                                    <w:t>(95%</w:t>
                                  </w:r>
                                  <w:r>
                                    <w:rPr>
                                      <w:color w:val="000000"/>
                                      <w:sz w:val="16"/>
                                      <w:szCs w:val="16"/>
                                    </w:rPr>
                                    <w:t xml:space="preserve"> </w:t>
                                  </w:r>
                                  <w:r w:rsidRPr="002442A5">
                                    <w:rPr>
                                      <w:color w:val="000000"/>
                                      <w:sz w:val="16"/>
                                      <w:szCs w:val="16"/>
                                    </w:rPr>
                                    <w:t>CI)</w:t>
                                  </w:r>
                                </w:p>
                              </w:tc>
                            </w:tr>
                            <w:tr w:rsidR="00910B4F" w:rsidRPr="00D4464D" w14:paraId="7A04511E" w14:textId="77777777" w:rsidTr="00D83CBF">
                              <w:trPr>
                                <w:gridAfter w:val="1"/>
                                <w:wAfter w:w="277" w:type="dxa"/>
                                <w:cantSplit/>
                                <w:trHeight w:val="225"/>
                                <w:jc w:val="center"/>
                              </w:trPr>
                              <w:tc>
                                <w:tcPr>
                                  <w:tcW w:w="2084" w:type="dxa"/>
                                  <w:shd w:val="clear" w:color="auto" w:fill="FFFFFF"/>
                                  <w:tcMar>
                                    <w:left w:w="10" w:type="dxa"/>
                                    <w:right w:w="10" w:type="dxa"/>
                                  </w:tcMar>
                                </w:tcPr>
                                <w:p w14:paraId="2D197207" w14:textId="77777777" w:rsidR="00910B4F" w:rsidRPr="002442A5" w:rsidRDefault="00910B4F" w:rsidP="00D83CBF">
                                  <w:pPr>
                                    <w:keepNext/>
                                    <w:adjustRightInd w:val="0"/>
                                    <w:spacing w:before="10" w:after="10" w:line="160" w:lineRule="atLeast"/>
                                    <w:jc w:val="both"/>
                                    <w:rPr>
                                      <w:color w:val="000000"/>
                                      <w:sz w:val="16"/>
                                      <w:szCs w:val="16"/>
                                    </w:rPr>
                                  </w:pPr>
                                  <w:r w:rsidRPr="002442A5">
                                    <w:rPr>
                                      <w:color w:val="000000"/>
                                      <w:sz w:val="16"/>
                                      <w:szCs w:val="16"/>
                                    </w:rPr>
                                    <w:t>IMFINZI + chemotherapy</w:t>
                                  </w:r>
                                </w:p>
                              </w:tc>
                              <w:tc>
                                <w:tcPr>
                                  <w:tcW w:w="778" w:type="dxa"/>
                                  <w:shd w:val="clear" w:color="auto" w:fill="FFFFFF"/>
                                  <w:tcMar>
                                    <w:left w:w="10" w:type="dxa"/>
                                    <w:right w:w="10" w:type="dxa"/>
                                  </w:tcMar>
                                </w:tcPr>
                                <w:p w14:paraId="44383DE1" w14:textId="77777777" w:rsidR="00910B4F" w:rsidRPr="002442A5" w:rsidRDefault="00910B4F" w:rsidP="00D83CBF">
                                  <w:pPr>
                                    <w:keepNext/>
                                    <w:adjustRightInd w:val="0"/>
                                    <w:spacing w:before="10" w:after="10" w:line="160" w:lineRule="atLeast"/>
                                    <w:jc w:val="center"/>
                                    <w:rPr>
                                      <w:color w:val="000000"/>
                                      <w:sz w:val="16"/>
                                      <w:szCs w:val="16"/>
                                    </w:rPr>
                                  </w:pPr>
                                  <w:r>
                                    <w:rPr>
                                      <w:color w:val="000000"/>
                                      <w:sz w:val="16"/>
                                      <w:szCs w:val="16"/>
                                    </w:rPr>
                                    <w:t>7.2</w:t>
                                  </w:r>
                                </w:p>
                              </w:tc>
                              <w:tc>
                                <w:tcPr>
                                  <w:tcW w:w="1181" w:type="dxa"/>
                                  <w:shd w:val="clear" w:color="auto" w:fill="FFFFFF"/>
                                  <w:tcMar>
                                    <w:left w:w="10" w:type="dxa"/>
                                    <w:right w:w="10" w:type="dxa"/>
                                  </w:tcMar>
                                </w:tcPr>
                                <w:p w14:paraId="3CAAA838" w14:textId="77777777" w:rsidR="00910B4F" w:rsidRPr="002442A5" w:rsidRDefault="00910B4F" w:rsidP="00D83CBF">
                                  <w:pPr>
                                    <w:keepNext/>
                                    <w:adjustRightInd w:val="0"/>
                                    <w:spacing w:before="10" w:after="10" w:line="160" w:lineRule="atLeast"/>
                                    <w:jc w:val="center"/>
                                    <w:rPr>
                                      <w:color w:val="000000"/>
                                      <w:sz w:val="16"/>
                                      <w:szCs w:val="16"/>
                                    </w:rPr>
                                  </w:pPr>
                                  <w:r w:rsidRPr="002442A5">
                                    <w:rPr>
                                      <w:color w:val="000000"/>
                                      <w:sz w:val="16"/>
                                      <w:szCs w:val="16"/>
                                    </w:rPr>
                                    <w:t>(</w:t>
                                  </w:r>
                                  <w:r>
                                    <w:rPr>
                                      <w:color w:val="000000"/>
                                      <w:sz w:val="16"/>
                                      <w:szCs w:val="16"/>
                                    </w:rPr>
                                    <w:t>6.7</w:t>
                                  </w:r>
                                  <w:r w:rsidRPr="002442A5">
                                    <w:rPr>
                                      <w:color w:val="000000"/>
                                      <w:sz w:val="16"/>
                                      <w:szCs w:val="16"/>
                                    </w:rPr>
                                    <w:t>,</w:t>
                                  </w:r>
                                  <w:r>
                                    <w:rPr>
                                      <w:color w:val="000000"/>
                                      <w:sz w:val="16"/>
                                      <w:szCs w:val="16"/>
                                    </w:rPr>
                                    <w:t xml:space="preserve"> 7.4</w:t>
                                  </w:r>
                                  <w:r w:rsidRPr="002442A5">
                                    <w:rPr>
                                      <w:color w:val="000000"/>
                                      <w:sz w:val="16"/>
                                      <w:szCs w:val="16"/>
                                    </w:rPr>
                                    <w:t>)</w:t>
                                  </w:r>
                                </w:p>
                              </w:tc>
                            </w:tr>
                            <w:tr w:rsidR="00910B4F" w:rsidRPr="00D4464D" w14:paraId="03295819" w14:textId="77777777" w:rsidTr="00D83CBF">
                              <w:trPr>
                                <w:gridAfter w:val="1"/>
                                <w:wAfter w:w="277" w:type="dxa"/>
                                <w:cantSplit/>
                                <w:trHeight w:val="225"/>
                                <w:jc w:val="center"/>
                              </w:trPr>
                              <w:tc>
                                <w:tcPr>
                                  <w:tcW w:w="2084" w:type="dxa"/>
                                  <w:shd w:val="clear" w:color="auto" w:fill="FFFFFF"/>
                                  <w:tcMar>
                                    <w:left w:w="10" w:type="dxa"/>
                                    <w:right w:w="10" w:type="dxa"/>
                                  </w:tcMar>
                                </w:tcPr>
                                <w:p w14:paraId="12A8F7DE" w14:textId="77777777" w:rsidR="00910B4F" w:rsidRPr="002442A5" w:rsidRDefault="00910B4F" w:rsidP="00D83CBF">
                                  <w:pPr>
                                    <w:adjustRightInd w:val="0"/>
                                    <w:spacing w:before="10" w:after="10" w:line="160" w:lineRule="atLeast"/>
                                    <w:jc w:val="both"/>
                                    <w:rPr>
                                      <w:color w:val="000000"/>
                                      <w:sz w:val="16"/>
                                      <w:szCs w:val="16"/>
                                    </w:rPr>
                                  </w:pPr>
                                  <w:r w:rsidRPr="002442A5">
                                    <w:rPr>
                                      <w:color w:val="000000"/>
                                      <w:sz w:val="16"/>
                                      <w:szCs w:val="16"/>
                                    </w:rPr>
                                    <w:t>chemotherapy</w:t>
                                  </w:r>
                                </w:p>
                              </w:tc>
                              <w:tc>
                                <w:tcPr>
                                  <w:tcW w:w="778" w:type="dxa"/>
                                  <w:shd w:val="clear" w:color="auto" w:fill="FFFFFF"/>
                                  <w:tcMar>
                                    <w:left w:w="10" w:type="dxa"/>
                                    <w:right w:w="10" w:type="dxa"/>
                                  </w:tcMar>
                                </w:tcPr>
                                <w:p w14:paraId="7739BECF" w14:textId="77777777" w:rsidR="00910B4F" w:rsidRPr="002442A5" w:rsidRDefault="00910B4F" w:rsidP="00D83CBF">
                                  <w:pPr>
                                    <w:adjustRightInd w:val="0"/>
                                    <w:spacing w:before="10" w:after="10" w:line="160" w:lineRule="atLeast"/>
                                    <w:jc w:val="center"/>
                                    <w:rPr>
                                      <w:color w:val="000000"/>
                                      <w:sz w:val="16"/>
                                      <w:szCs w:val="16"/>
                                    </w:rPr>
                                  </w:pPr>
                                  <w:r>
                                    <w:rPr>
                                      <w:color w:val="000000"/>
                                      <w:sz w:val="16"/>
                                      <w:szCs w:val="16"/>
                                    </w:rPr>
                                    <w:t>5.7</w:t>
                                  </w:r>
                                </w:p>
                              </w:tc>
                              <w:tc>
                                <w:tcPr>
                                  <w:tcW w:w="1181" w:type="dxa"/>
                                  <w:shd w:val="clear" w:color="auto" w:fill="FFFFFF"/>
                                  <w:tcMar>
                                    <w:left w:w="10" w:type="dxa"/>
                                    <w:right w:w="10" w:type="dxa"/>
                                  </w:tcMar>
                                </w:tcPr>
                                <w:p w14:paraId="7D5A101E" w14:textId="77777777" w:rsidR="00910B4F" w:rsidRPr="002442A5" w:rsidRDefault="00910B4F" w:rsidP="00D83CBF">
                                  <w:pPr>
                                    <w:adjustRightInd w:val="0"/>
                                    <w:spacing w:before="10" w:after="10" w:line="160" w:lineRule="atLeast"/>
                                    <w:jc w:val="center"/>
                                    <w:rPr>
                                      <w:color w:val="000000"/>
                                      <w:sz w:val="16"/>
                                      <w:szCs w:val="16"/>
                                    </w:rPr>
                                  </w:pPr>
                                  <w:r w:rsidRPr="002442A5">
                                    <w:rPr>
                                      <w:color w:val="000000"/>
                                      <w:sz w:val="16"/>
                                      <w:szCs w:val="16"/>
                                    </w:rPr>
                                    <w:t>(</w:t>
                                  </w:r>
                                  <w:r>
                                    <w:rPr>
                                      <w:color w:val="000000"/>
                                      <w:sz w:val="16"/>
                                      <w:szCs w:val="16"/>
                                    </w:rPr>
                                    <w:t>5.6, 6.7</w:t>
                                  </w:r>
                                  <w:r w:rsidRPr="002442A5">
                                    <w:rPr>
                                      <w:color w:val="000000"/>
                                      <w:sz w:val="16"/>
                                      <w:szCs w:val="16"/>
                                    </w:rPr>
                                    <w:t>)</w:t>
                                  </w:r>
                                </w:p>
                              </w:tc>
                            </w:tr>
                            <w:tr w:rsidR="00910B4F" w:rsidRPr="006A79D2" w14:paraId="08145D0B" w14:textId="77777777" w:rsidTr="00D83CBF">
                              <w:trPr>
                                <w:cantSplit/>
                                <w:trHeight w:val="166"/>
                                <w:jc w:val="center"/>
                              </w:trPr>
                              <w:tc>
                                <w:tcPr>
                                  <w:tcW w:w="4320" w:type="dxa"/>
                                  <w:gridSpan w:val="4"/>
                                  <w:shd w:val="clear" w:color="auto" w:fill="FFFFFF"/>
                                  <w:tcMar>
                                    <w:left w:w="10" w:type="dxa"/>
                                    <w:right w:w="10" w:type="dxa"/>
                                  </w:tcMar>
                                </w:tcPr>
                                <w:p w14:paraId="64255AAC" w14:textId="77777777" w:rsidR="00910B4F" w:rsidRPr="002442A5" w:rsidRDefault="00910B4F" w:rsidP="00D83CBF">
                                  <w:pPr>
                                    <w:keepNext/>
                                    <w:adjustRightInd w:val="0"/>
                                    <w:spacing w:before="10" w:after="10" w:line="160" w:lineRule="atLeast"/>
                                    <w:rPr>
                                      <w:color w:val="000000"/>
                                      <w:sz w:val="16"/>
                                      <w:szCs w:val="16"/>
                                    </w:rPr>
                                  </w:pPr>
                                  <w:r w:rsidRPr="002442A5">
                                    <w:rPr>
                                      <w:color w:val="000000"/>
                                      <w:sz w:val="16"/>
                                      <w:szCs w:val="16"/>
                                    </w:rPr>
                                    <w:t>Hazard Ratio (</w:t>
                                  </w:r>
                                  <w:r>
                                    <w:rPr>
                                      <w:color w:val="000000"/>
                                      <w:sz w:val="16"/>
                                      <w:szCs w:val="16"/>
                                    </w:rPr>
                                    <w:t xml:space="preserve">95% </w:t>
                                  </w:r>
                                  <w:r w:rsidRPr="002442A5">
                                    <w:rPr>
                                      <w:color w:val="000000"/>
                                      <w:sz w:val="16"/>
                                      <w:szCs w:val="16"/>
                                    </w:rPr>
                                    <w:t>CI)</w:t>
                                  </w:r>
                                </w:p>
                              </w:tc>
                            </w:tr>
                            <w:tr w:rsidR="00910B4F" w:rsidRPr="006A79D2" w14:paraId="564515B4" w14:textId="77777777" w:rsidTr="00D83CBF">
                              <w:trPr>
                                <w:cantSplit/>
                                <w:trHeight w:val="130"/>
                                <w:jc w:val="center"/>
                              </w:trPr>
                              <w:tc>
                                <w:tcPr>
                                  <w:tcW w:w="4320" w:type="dxa"/>
                                  <w:gridSpan w:val="4"/>
                                  <w:shd w:val="clear" w:color="auto" w:fill="FFFFFF"/>
                                  <w:tcMar>
                                    <w:left w:w="10" w:type="dxa"/>
                                    <w:right w:w="10" w:type="dxa"/>
                                  </w:tcMar>
                                </w:tcPr>
                                <w:p w14:paraId="10423056" w14:textId="77777777" w:rsidR="00910B4F" w:rsidRPr="002442A5" w:rsidRDefault="00910B4F" w:rsidP="00D83CBF">
                                  <w:pPr>
                                    <w:adjustRightInd w:val="0"/>
                                    <w:spacing w:before="10" w:after="10" w:line="160" w:lineRule="atLeast"/>
                                    <w:rPr>
                                      <w:color w:val="000000"/>
                                      <w:sz w:val="16"/>
                                      <w:szCs w:val="16"/>
                                    </w:rPr>
                                  </w:pPr>
                                  <w:r w:rsidRPr="002442A5">
                                    <w:rPr>
                                      <w:color w:val="000000"/>
                                      <w:sz w:val="16"/>
                                      <w:szCs w:val="16"/>
                                    </w:rPr>
                                    <w:t xml:space="preserve">IMFINZI + chemotherapy vs chemotherapy: </w:t>
                                  </w:r>
                                  <w:r w:rsidRPr="00191468">
                                    <w:rPr>
                                      <w:color w:val="000000"/>
                                      <w:sz w:val="16"/>
                                      <w:szCs w:val="16"/>
                                    </w:rPr>
                                    <w:t>0.</w:t>
                                  </w:r>
                                  <w:r>
                                    <w:rPr>
                                      <w:color w:val="000000"/>
                                      <w:sz w:val="16"/>
                                      <w:szCs w:val="16"/>
                                    </w:rPr>
                                    <w:t>75</w:t>
                                  </w:r>
                                  <w:r w:rsidRPr="00191468">
                                    <w:rPr>
                                      <w:color w:val="000000"/>
                                      <w:sz w:val="16"/>
                                      <w:szCs w:val="16"/>
                                    </w:rPr>
                                    <w:t xml:space="preserve">, </w:t>
                                  </w:r>
                                  <w:r>
                                    <w:rPr>
                                      <w:color w:val="000000"/>
                                      <w:sz w:val="16"/>
                                      <w:szCs w:val="16"/>
                                    </w:rPr>
                                    <w:t>(</w:t>
                                  </w:r>
                                  <w:r w:rsidRPr="00191468">
                                    <w:rPr>
                                      <w:color w:val="000000"/>
                                      <w:sz w:val="16"/>
                                      <w:szCs w:val="16"/>
                                    </w:rPr>
                                    <w:t>0.6</w:t>
                                  </w:r>
                                  <w:r>
                                    <w:rPr>
                                      <w:color w:val="000000"/>
                                      <w:sz w:val="16"/>
                                      <w:szCs w:val="16"/>
                                    </w:rPr>
                                    <w:t>3</w:t>
                                  </w:r>
                                  <w:r w:rsidRPr="00191468">
                                    <w:rPr>
                                      <w:color w:val="000000"/>
                                      <w:sz w:val="16"/>
                                      <w:szCs w:val="16"/>
                                    </w:rPr>
                                    <w:t>, 0.</w:t>
                                  </w:r>
                                  <w:r>
                                    <w:rPr>
                                      <w:color w:val="000000"/>
                                      <w:sz w:val="16"/>
                                      <w:szCs w:val="16"/>
                                    </w:rPr>
                                    <w:t>89</w:t>
                                  </w:r>
                                  <w:r w:rsidRPr="00191468">
                                    <w:rPr>
                                      <w:color w:val="000000"/>
                                      <w:sz w:val="16"/>
                                      <w:szCs w:val="16"/>
                                    </w:rPr>
                                    <w:t>)</w:t>
                                  </w:r>
                                </w:p>
                              </w:tc>
                            </w:tr>
                          </w:tbl>
                          <w:p w14:paraId="335E78A7" w14:textId="77777777" w:rsidR="00910B4F" w:rsidRPr="00AF5445" w:rsidRDefault="00910B4F" w:rsidP="00910B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2139" id="Text Box 60" o:spid="_x0000_s1042" type="#_x0000_t202" style="position:absolute;left:0;text-align:left;margin-left:229pt;margin-top:14.6pt;width:248.4pt;height:77.0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1h/AEAANUDAAAOAAAAZHJzL2Uyb0RvYy54bWysU8tu2zAQvBfoPxC815Jd23E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" filled="f" stroked="f">
                <v:textbox>
                  <w:txbxContent>
                    <w:tbl>
                      <w:tblPr>
                        <w:tblW w:w="4320" w:type="dxa"/>
                        <w:jc w:val="center"/>
                        <w:tblLayout w:type="fixed"/>
                        <w:tblCellMar>
                          <w:left w:w="0" w:type="dxa"/>
                          <w:right w:w="0" w:type="dxa"/>
                        </w:tblCellMar>
                        <w:tblLook w:val="0000" w:firstRow="0" w:lastRow="0" w:firstColumn="0" w:lastColumn="0" w:noHBand="0" w:noVBand="0"/>
                      </w:tblPr>
                      <w:tblGrid>
                        <w:gridCol w:w="2084"/>
                        <w:gridCol w:w="778"/>
                        <w:gridCol w:w="1181"/>
                        <w:gridCol w:w="277"/>
                      </w:tblGrid>
                      <w:tr w:rsidR="00910B4F" w:rsidRPr="00D4464D" w14:paraId="0303351E" w14:textId="77777777" w:rsidTr="00D83CBF">
                        <w:trPr>
                          <w:gridAfter w:val="1"/>
                          <w:wAfter w:w="277" w:type="dxa"/>
                          <w:cantSplit/>
                          <w:trHeight w:val="360"/>
                          <w:tblHeader/>
                          <w:jc w:val="center"/>
                        </w:trPr>
                        <w:tc>
                          <w:tcPr>
                            <w:tcW w:w="2084" w:type="dxa"/>
                            <w:shd w:val="clear" w:color="auto" w:fill="FFFFFF"/>
                            <w:tcMar>
                              <w:left w:w="10" w:type="dxa"/>
                              <w:right w:w="10" w:type="dxa"/>
                            </w:tcMar>
                            <w:vAlign w:val="bottom"/>
                          </w:tcPr>
                          <w:p w14:paraId="4AD7CF5C" w14:textId="77777777" w:rsidR="00910B4F" w:rsidRPr="002442A5" w:rsidRDefault="00910B4F" w:rsidP="00D83CBF">
                            <w:pPr>
                              <w:keepNext/>
                              <w:adjustRightInd w:val="0"/>
                              <w:spacing w:before="10" w:after="10"/>
                              <w:jc w:val="center"/>
                              <w:rPr>
                                <w:color w:val="000000"/>
                                <w:sz w:val="16"/>
                                <w:szCs w:val="16"/>
                              </w:rPr>
                            </w:pPr>
                          </w:p>
                        </w:tc>
                        <w:tc>
                          <w:tcPr>
                            <w:tcW w:w="778" w:type="dxa"/>
                            <w:shd w:val="clear" w:color="auto" w:fill="FFFFFF"/>
                            <w:tcMar>
                              <w:left w:w="10" w:type="dxa"/>
                              <w:right w:w="10" w:type="dxa"/>
                            </w:tcMar>
                            <w:vAlign w:val="bottom"/>
                          </w:tcPr>
                          <w:p w14:paraId="543AE7A5" w14:textId="77777777" w:rsidR="00910B4F" w:rsidRPr="002442A5" w:rsidRDefault="00910B4F" w:rsidP="00D83CBF">
                            <w:pPr>
                              <w:keepNext/>
                              <w:adjustRightInd w:val="0"/>
                              <w:spacing w:before="10" w:after="10" w:line="240" w:lineRule="auto"/>
                              <w:jc w:val="center"/>
                              <w:rPr>
                                <w:color w:val="000000"/>
                                <w:sz w:val="16"/>
                                <w:szCs w:val="16"/>
                              </w:rPr>
                            </w:pPr>
                            <w:r w:rsidRPr="002442A5">
                              <w:rPr>
                                <w:color w:val="000000"/>
                                <w:sz w:val="16"/>
                                <w:szCs w:val="16"/>
                              </w:rPr>
                              <w:t>Median</w:t>
                            </w:r>
                            <w:r>
                              <w:rPr>
                                <w:color w:val="000000"/>
                                <w:sz w:val="16"/>
                                <w:szCs w:val="16"/>
                              </w:rPr>
                              <w:t xml:space="preserve"> PFS</w:t>
                            </w:r>
                          </w:p>
                        </w:tc>
                        <w:tc>
                          <w:tcPr>
                            <w:tcW w:w="1181" w:type="dxa"/>
                            <w:shd w:val="clear" w:color="auto" w:fill="FFFFFF"/>
                            <w:tcMar>
                              <w:left w:w="10" w:type="dxa"/>
                              <w:right w:w="10" w:type="dxa"/>
                            </w:tcMar>
                            <w:vAlign w:val="bottom"/>
                          </w:tcPr>
                          <w:p w14:paraId="72D57C01" w14:textId="77777777" w:rsidR="00910B4F" w:rsidRPr="002442A5" w:rsidRDefault="00910B4F" w:rsidP="00D83CBF">
                            <w:pPr>
                              <w:keepNext/>
                              <w:adjustRightInd w:val="0"/>
                              <w:spacing w:before="10" w:after="10"/>
                              <w:jc w:val="center"/>
                              <w:rPr>
                                <w:color w:val="000000"/>
                                <w:sz w:val="16"/>
                                <w:szCs w:val="16"/>
                              </w:rPr>
                            </w:pPr>
                            <w:r w:rsidRPr="002442A5">
                              <w:rPr>
                                <w:color w:val="000000"/>
                                <w:sz w:val="16"/>
                                <w:szCs w:val="16"/>
                              </w:rPr>
                              <w:t>(95%</w:t>
                            </w:r>
                            <w:r>
                              <w:rPr>
                                <w:color w:val="000000"/>
                                <w:sz w:val="16"/>
                                <w:szCs w:val="16"/>
                              </w:rPr>
                              <w:t xml:space="preserve"> </w:t>
                            </w:r>
                            <w:r w:rsidRPr="002442A5">
                              <w:rPr>
                                <w:color w:val="000000"/>
                                <w:sz w:val="16"/>
                                <w:szCs w:val="16"/>
                              </w:rPr>
                              <w:t>CI)</w:t>
                            </w:r>
                          </w:p>
                        </w:tc>
                      </w:tr>
                      <w:tr w:rsidR="00910B4F" w:rsidRPr="00D4464D" w14:paraId="7A04511E" w14:textId="77777777" w:rsidTr="00D83CBF">
                        <w:trPr>
                          <w:gridAfter w:val="1"/>
                          <w:wAfter w:w="277" w:type="dxa"/>
                          <w:cantSplit/>
                          <w:trHeight w:val="225"/>
                          <w:jc w:val="center"/>
                        </w:trPr>
                        <w:tc>
                          <w:tcPr>
                            <w:tcW w:w="2084" w:type="dxa"/>
                            <w:shd w:val="clear" w:color="auto" w:fill="FFFFFF"/>
                            <w:tcMar>
                              <w:left w:w="10" w:type="dxa"/>
                              <w:right w:w="10" w:type="dxa"/>
                            </w:tcMar>
                          </w:tcPr>
                          <w:p w14:paraId="2D197207" w14:textId="77777777" w:rsidR="00910B4F" w:rsidRPr="002442A5" w:rsidRDefault="00910B4F" w:rsidP="00D83CBF">
                            <w:pPr>
                              <w:keepNext/>
                              <w:adjustRightInd w:val="0"/>
                              <w:spacing w:before="10" w:after="10" w:line="160" w:lineRule="atLeast"/>
                              <w:jc w:val="both"/>
                              <w:rPr>
                                <w:color w:val="000000"/>
                                <w:sz w:val="16"/>
                                <w:szCs w:val="16"/>
                              </w:rPr>
                            </w:pPr>
                            <w:r w:rsidRPr="002442A5">
                              <w:rPr>
                                <w:color w:val="000000"/>
                                <w:sz w:val="16"/>
                                <w:szCs w:val="16"/>
                              </w:rPr>
                              <w:t>IMFINZI + chemotherapy</w:t>
                            </w:r>
                          </w:p>
                        </w:tc>
                        <w:tc>
                          <w:tcPr>
                            <w:tcW w:w="778" w:type="dxa"/>
                            <w:shd w:val="clear" w:color="auto" w:fill="FFFFFF"/>
                            <w:tcMar>
                              <w:left w:w="10" w:type="dxa"/>
                              <w:right w:w="10" w:type="dxa"/>
                            </w:tcMar>
                          </w:tcPr>
                          <w:p w14:paraId="44383DE1" w14:textId="77777777" w:rsidR="00910B4F" w:rsidRPr="002442A5" w:rsidRDefault="00910B4F" w:rsidP="00D83CBF">
                            <w:pPr>
                              <w:keepNext/>
                              <w:adjustRightInd w:val="0"/>
                              <w:spacing w:before="10" w:after="10" w:line="160" w:lineRule="atLeast"/>
                              <w:jc w:val="center"/>
                              <w:rPr>
                                <w:color w:val="000000"/>
                                <w:sz w:val="16"/>
                                <w:szCs w:val="16"/>
                              </w:rPr>
                            </w:pPr>
                            <w:r>
                              <w:rPr>
                                <w:color w:val="000000"/>
                                <w:sz w:val="16"/>
                                <w:szCs w:val="16"/>
                              </w:rPr>
                              <w:t>7.2</w:t>
                            </w:r>
                          </w:p>
                        </w:tc>
                        <w:tc>
                          <w:tcPr>
                            <w:tcW w:w="1181" w:type="dxa"/>
                            <w:shd w:val="clear" w:color="auto" w:fill="FFFFFF"/>
                            <w:tcMar>
                              <w:left w:w="10" w:type="dxa"/>
                              <w:right w:w="10" w:type="dxa"/>
                            </w:tcMar>
                          </w:tcPr>
                          <w:p w14:paraId="3CAAA838" w14:textId="77777777" w:rsidR="00910B4F" w:rsidRPr="002442A5" w:rsidRDefault="00910B4F" w:rsidP="00D83CBF">
                            <w:pPr>
                              <w:keepNext/>
                              <w:adjustRightInd w:val="0"/>
                              <w:spacing w:before="10" w:after="10" w:line="160" w:lineRule="atLeast"/>
                              <w:jc w:val="center"/>
                              <w:rPr>
                                <w:color w:val="000000"/>
                                <w:sz w:val="16"/>
                                <w:szCs w:val="16"/>
                              </w:rPr>
                            </w:pPr>
                            <w:r w:rsidRPr="002442A5">
                              <w:rPr>
                                <w:color w:val="000000"/>
                                <w:sz w:val="16"/>
                                <w:szCs w:val="16"/>
                              </w:rPr>
                              <w:t>(</w:t>
                            </w:r>
                            <w:r>
                              <w:rPr>
                                <w:color w:val="000000"/>
                                <w:sz w:val="16"/>
                                <w:szCs w:val="16"/>
                              </w:rPr>
                              <w:t>6.7</w:t>
                            </w:r>
                            <w:r w:rsidRPr="002442A5">
                              <w:rPr>
                                <w:color w:val="000000"/>
                                <w:sz w:val="16"/>
                                <w:szCs w:val="16"/>
                              </w:rPr>
                              <w:t>,</w:t>
                            </w:r>
                            <w:r>
                              <w:rPr>
                                <w:color w:val="000000"/>
                                <w:sz w:val="16"/>
                                <w:szCs w:val="16"/>
                              </w:rPr>
                              <w:t xml:space="preserve"> 7.4</w:t>
                            </w:r>
                            <w:r w:rsidRPr="002442A5">
                              <w:rPr>
                                <w:color w:val="000000"/>
                                <w:sz w:val="16"/>
                                <w:szCs w:val="16"/>
                              </w:rPr>
                              <w:t>)</w:t>
                            </w:r>
                          </w:p>
                        </w:tc>
                      </w:tr>
                      <w:tr w:rsidR="00910B4F" w:rsidRPr="00D4464D" w14:paraId="03295819" w14:textId="77777777" w:rsidTr="00D83CBF">
                        <w:trPr>
                          <w:gridAfter w:val="1"/>
                          <w:wAfter w:w="277" w:type="dxa"/>
                          <w:cantSplit/>
                          <w:trHeight w:val="225"/>
                          <w:jc w:val="center"/>
                        </w:trPr>
                        <w:tc>
                          <w:tcPr>
                            <w:tcW w:w="2084" w:type="dxa"/>
                            <w:shd w:val="clear" w:color="auto" w:fill="FFFFFF"/>
                            <w:tcMar>
                              <w:left w:w="10" w:type="dxa"/>
                              <w:right w:w="10" w:type="dxa"/>
                            </w:tcMar>
                          </w:tcPr>
                          <w:p w14:paraId="12A8F7DE" w14:textId="77777777" w:rsidR="00910B4F" w:rsidRPr="002442A5" w:rsidRDefault="00910B4F" w:rsidP="00D83CBF">
                            <w:pPr>
                              <w:adjustRightInd w:val="0"/>
                              <w:spacing w:before="10" w:after="10" w:line="160" w:lineRule="atLeast"/>
                              <w:jc w:val="both"/>
                              <w:rPr>
                                <w:color w:val="000000"/>
                                <w:sz w:val="16"/>
                                <w:szCs w:val="16"/>
                              </w:rPr>
                            </w:pPr>
                            <w:r w:rsidRPr="002442A5">
                              <w:rPr>
                                <w:color w:val="000000"/>
                                <w:sz w:val="16"/>
                                <w:szCs w:val="16"/>
                              </w:rPr>
                              <w:t>chemotherapy</w:t>
                            </w:r>
                          </w:p>
                        </w:tc>
                        <w:tc>
                          <w:tcPr>
                            <w:tcW w:w="778" w:type="dxa"/>
                            <w:shd w:val="clear" w:color="auto" w:fill="FFFFFF"/>
                            <w:tcMar>
                              <w:left w:w="10" w:type="dxa"/>
                              <w:right w:w="10" w:type="dxa"/>
                            </w:tcMar>
                          </w:tcPr>
                          <w:p w14:paraId="7739BECF" w14:textId="77777777" w:rsidR="00910B4F" w:rsidRPr="002442A5" w:rsidRDefault="00910B4F" w:rsidP="00D83CBF">
                            <w:pPr>
                              <w:adjustRightInd w:val="0"/>
                              <w:spacing w:before="10" w:after="10" w:line="160" w:lineRule="atLeast"/>
                              <w:jc w:val="center"/>
                              <w:rPr>
                                <w:color w:val="000000"/>
                                <w:sz w:val="16"/>
                                <w:szCs w:val="16"/>
                              </w:rPr>
                            </w:pPr>
                            <w:r>
                              <w:rPr>
                                <w:color w:val="000000"/>
                                <w:sz w:val="16"/>
                                <w:szCs w:val="16"/>
                              </w:rPr>
                              <w:t>5.7</w:t>
                            </w:r>
                          </w:p>
                        </w:tc>
                        <w:tc>
                          <w:tcPr>
                            <w:tcW w:w="1181" w:type="dxa"/>
                            <w:shd w:val="clear" w:color="auto" w:fill="FFFFFF"/>
                            <w:tcMar>
                              <w:left w:w="10" w:type="dxa"/>
                              <w:right w:w="10" w:type="dxa"/>
                            </w:tcMar>
                          </w:tcPr>
                          <w:p w14:paraId="7D5A101E" w14:textId="77777777" w:rsidR="00910B4F" w:rsidRPr="002442A5" w:rsidRDefault="00910B4F" w:rsidP="00D83CBF">
                            <w:pPr>
                              <w:adjustRightInd w:val="0"/>
                              <w:spacing w:before="10" w:after="10" w:line="160" w:lineRule="atLeast"/>
                              <w:jc w:val="center"/>
                              <w:rPr>
                                <w:color w:val="000000"/>
                                <w:sz w:val="16"/>
                                <w:szCs w:val="16"/>
                              </w:rPr>
                            </w:pPr>
                            <w:r w:rsidRPr="002442A5">
                              <w:rPr>
                                <w:color w:val="000000"/>
                                <w:sz w:val="16"/>
                                <w:szCs w:val="16"/>
                              </w:rPr>
                              <w:t>(</w:t>
                            </w:r>
                            <w:r>
                              <w:rPr>
                                <w:color w:val="000000"/>
                                <w:sz w:val="16"/>
                                <w:szCs w:val="16"/>
                              </w:rPr>
                              <w:t>5.6, 6.7</w:t>
                            </w:r>
                            <w:r w:rsidRPr="002442A5">
                              <w:rPr>
                                <w:color w:val="000000"/>
                                <w:sz w:val="16"/>
                                <w:szCs w:val="16"/>
                              </w:rPr>
                              <w:t>)</w:t>
                            </w:r>
                          </w:p>
                        </w:tc>
                      </w:tr>
                      <w:tr w:rsidR="00910B4F" w:rsidRPr="006A79D2" w14:paraId="08145D0B" w14:textId="77777777" w:rsidTr="00D83CBF">
                        <w:trPr>
                          <w:cantSplit/>
                          <w:trHeight w:val="166"/>
                          <w:jc w:val="center"/>
                        </w:trPr>
                        <w:tc>
                          <w:tcPr>
                            <w:tcW w:w="4320" w:type="dxa"/>
                            <w:gridSpan w:val="4"/>
                            <w:shd w:val="clear" w:color="auto" w:fill="FFFFFF"/>
                            <w:tcMar>
                              <w:left w:w="10" w:type="dxa"/>
                              <w:right w:w="10" w:type="dxa"/>
                            </w:tcMar>
                          </w:tcPr>
                          <w:p w14:paraId="64255AAC" w14:textId="77777777" w:rsidR="00910B4F" w:rsidRPr="002442A5" w:rsidRDefault="00910B4F" w:rsidP="00D83CBF">
                            <w:pPr>
                              <w:keepNext/>
                              <w:adjustRightInd w:val="0"/>
                              <w:spacing w:before="10" w:after="10" w:line="160" w:lineRule="atLeast"/>
                              <w:rPr>
                                <w:color w:val="000000"/>
                                <w:sz w:val="16"/>
                                <w:szCs w:val="16"/>
                              </w:rPr>
                            </w:pPr>
                            <w:r w:rsidRPr="002442A5">
                              <w:rPr>
                                <w:color w:val="000000"/>
                                <w:sz w:val="16"/>
                                <w:szCs w:val="16"/>
                              </w:rPr>
                              <w:t>Hazard Ratio (</w:t>
                            </w:r>
                            <w:r>
                              <w:rPr>
                                <w:color w:val="000000"/>
                                <w:sz w:val="16"/>
                                <w:szCs w:val="16"/>
                              </w:rPr>
                              <w:t xml:space="preserve">95% </w:t>
                            </w:r>
                            <w:r w:rsidRPr="002442A5">
                              <w:rPr>
                                <w:color w:val="000000"/>
                                <w:sz w:val="16"/>
                                <w:szCs w:val="16"/>
                              </w:rPr>
                              <w:t>CI)</w:t>
                            </w:r>
                          </w:p>
                        </w:tc>
                      </w:tr>
                      <w:tr w:rsidR="00910B4F" w:rsidRPr="006A79D2" w14:paraId="564515B4" w14:textId="77777777" w:rsidTr="00D83CBF">
                        <w:trPr>
                          <w:cantSplit/>
                          <w:trHeight w:val="130"/>
                          <w:jc w:val="center"/>
                        </w:trPr>
                        <w:tc>
                          <w:tcPr>
                            <w:tcW w:w="4320" w:type="dxa"/>
                            <w:gridSpan w:val="4"/>
                            <w:shd w:val="clear" w:color="auto" w:fill="FFFFFF"/>
                            <w:tcMar>
                              <w:left w:w="10" w:type="dxa"/>
                              <w:right w:w="10" w:type="dxa"/>
                            </w:tcMar>
                          </w:tcPr>
                          <w:p w14:paraId="10423056" w14:textId="77777777" w:rsidR="00910B4F" w:rsidRPr="002442A5" w:rsidRDefault="00910B4F" w:rsidP="00D83CBF">
                            <w:pPr>
                              <w:adjustRightInd w:val="0"/>
                              <w:spacing w:before="10" w:after="10" w:line="160" w:lineRule="atLeast"/>
                              <w:rPr>
                                <w:color w:val="000000"/>
                                <w:sz w:val="16"/>
                                <w:szCs w:val="16"/>
                              </w:rPr>
                            </w:pPr>
                            <w:r w:rsidRPr="002442A5">
                              <w:rPr>
                                <w:color w:val="000000"/>
                                <w:sz w:val="16"/>
                                <w:szCs w:val="16"/>
                              </w:rPr>
                              <w:t xml:space="preserve">IMFINZI + chemotherapy vs chemotherapy: </w:t>
                            </w:r>
                            <w:r w:rsidRPr="00191468">
                              <w:rPr>
                                <w:color w:val="000000"/>
                                <w:sz w:val="16"/>
                                <w:szCs w:val="16"/>
                              </w:rPr>
                              <w:t>0.</w:t>
                            </w:r>
                            <w:r>
                              <w:rPr>
                                <w:color w:val="000000"/>
                                <w:sz w:val="16"/>
                                <w:szCs w:val="16"/>
                              </w:rPr>
                              <w:t>75</w:t>
                            </w:r>
                            <w:r w:rsidRPr="00191468">
                              <w:rPr>
                                <w:color w:val="000000"/>
                                <w:sz w:val="16"/>
                                <w:szCs w:val="16"/>
                              </w:rPr>
                              <w:t xml:space="preserve">, </w:t>
                            </w:r>
                            <w:r>
                              <w:rPr>
                                <w:color w:val="000000"/>
                                <w:sz w:val="16"/>
                                <w:szCs w:val="16"/>
                              </w:rPr>
                              <w:t>(</w:t>
                            </w:r>
                            <w:r w:rsidRPr="00191468">
                              <w:rPr>
                                <w:color w:val="000000"/>
                                <w:sz w:val="16"/>
                                <w:szCs w:val="16"/>
                              </w:rPr>
                              <w:t>0.6</w:t>
                            </w:r>
                            <w:r>
                              <w:rPr>
                                <w:color w:val="000000"/>
                                <w:sz w:val="16"/>
                                <w:szCs w:val="16"/>
                              </w:rPr>
                              <w:t>3</w:t>
                            </w:r>
                            <w:r w:rsidRPr="00191468">
                              <w:rPr>
                                <w:color w:val="000000"/>
                                <w:sz w:val="16"/>
                                <w:szCs w:val="16"/>
                              </w:rPr>
                              <w:t>, 0.</w:t>
                            </w:r>
                            <w:r>
                              <w:rPr>
                                <w:color w:val="000000"/>
                                <w:sz w:val="16"/>
                                <w:szCs w:val="16"/>
                              </w:rPr>
                              <w:t>89</w:t>
                            </w:r>
                            <w:r w:rsidRPr="00191468">
                              <w:rPr>
                                <w:color w:val="000000"/>
                                <w:sz w:val="16"/>
                                <w:szCs w:val="16"/>
                              </w:rPr>
                              <w:t>)</w:t>
                            </w:r>
                          </w:p>
                        </w:tc>
                      </w:tr>
                    </w:tbl>
                    <w:p w14:paraId="335E78A7" w14:textId="77777777" w:rsidR="00910B4F" w:rsidRPr="00AF5445" w:rsidRDefault="00910B4F" w:rsidP="00910B4F">
                      <w:pPr>
                        <w:rPr>
                          <w:sz w:val="16"/>
                          <w:szCs w:val="16"/>
                        </w:rPr>
                      </w:pPr>
                    </w:p>
                  </w:txbxContent>
                </v:textbox>
                <w10:anchorlock/>
              </v:shape>
            </w:pict>
          </mc:Fallback>
        </mc:AlternateContent>
      </w:r>
      <w:r w:rsidRPr="008B029F">
        <w:rPr>
          <w:b/>
          <w:bCs/>
          <w:noProof/>
          <w:color w:val="2B579A"/>
          <w:shd w:val="clear" w:color="auto" w:fill="E6E6E6"/>
          <w:lang w:val="en-AU" w:eastAsia="en-GB"/>
        </w:rPr>
        <mc:AlternateContent>
          <mc:Choice Requires="wps">
            <w:drawing>
              <wp:anchor distT="45720" distB="45720" distL="114300" distR="114300" simplePos="0" relativeHeight="251658253" behindDoc="0" locked="0" layoutInCell="1" allowOverlap="1" wp14:anchorId="3B7D2AB2" wp14:editId="4BDBC6C8">
                <wp:simplePos x="0" y="0"/>
                <wp:positionH relativeFrom="column">
                  <wp:posOffset>1021890</wp:posOffset>
                </wp:positionH>
                <wp:positionV relativeFrom="paragraph">
                  <wp:posOffset>2272346</wp:posOffset>
                </wp:positionV>
                <wp:extent cx="2360930" cy="14046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0CC5C0" w14:textId="77777777" w:rsidR="00910B4F" w:rsidRPr="00436AC7" w:rsidRDefault="00910B4F" w:rsidP="00910B4F">
                            <w:pPr>
                              <w:spacing w:after="0" w:line="160" w:lineRule="atLeast"/>
                              <w:rPr>
                                <w:sz w:val="14"/>
                                <w:szCs w:val="14"/>
                              </w:rPr>
                            </w:pPr>
                            <w:r w:rsidRPr="00436AC7">
                              <w:rPr>
                                <w:sz w:val="14"/>
                                <w:szCs w:val="14"/>
                              </w:rPr>
                              <w:t>IMFINZI + chemotherapy (N=341)</w:t>
                            </w:r>
                          </w:p>
                          <w:p w14:paraId="750B14B6" w14:textId="77777777" w:rsidR="00910B4F" w:rsidRPr="00AF5445" w:rsidRDefault="00910B4F" w:rsidP="00910B4F">
                            <w:pPr>
                              <w:spacing w:after="0" w:line="160" w:lineRule="atLeast"/>
                              <w:rPr>
                                <w:sz w:val="16"/>
                                <w:szCs w:val="16"/>
                              </w:rPr>
                            </w:pPr>
                            <w:r w:rsidRPr="00436AC7">
                              <w:rPr>
                                <w:sz w:val="14"/>
                                <w:szCs w:val="14"/>
                              </w:rPr>
                              <w:t>chemotherapy (N-344)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7D2AB2" id="Text Box 61" o:spid="_x0000_s1043" type="#_x0000_t202" style="position:absolute;left:0;text-align:left;margin-left:80.45pt;margin-top:178.9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" filled="f" stroked="f">
                <v:textbox style="mso-fit-shape-to-text:t">
                  <w:txbxContent>
                    <w:p w14:paraId="300CC5C0" w14:textId="77777777" w:rsidR="00910B4F" w:rsidRPr="00436AC7" w:rsidRDefault="00910B4F" w:rsidP="00910B4F">
                      <w:pPr>
                        <w:spacing w:after="0" w:line="160" w:lineRule="atLeast"/>
                        <w:rPr>
                          <w:sz w:val="14"/>
                          <w:szCs w:val="14"/>
                        </w:rPr>
                      </w:pPr>
                      <w:r w:rsidRPr="00436AC7">
                        <w:rPr>
                          <w:sz w:val="14"/>
                          <w:szCs w:val="14"/>
                        </w:rPr>
                        <w:t>IMFINZI + chemotherapy (N=341)</w:t>
                      </w:r>
                    </w:p>
                    <w:p w14:paraId="750B14B6" w14:textId="77777777" w:rsidR="00910B4F" w:rsidRPr="00AF5445" w:rsidRDefault="00910B4F" w:rsidP="00910B4F">
                      <w:pPr>
                        <w:spacing w:after="0" w:line="160" w:lineRule="atLeast"/>
                        <w:rPr>
                          <w:sz w:val="16"/>
                          <w:szCs w:val="16"/>
                        </w:rPr>
                      </w:pPr>
                      <w:r w:rsidRPr="00436AC7">
                        <w:rPr>
                          <w:sz w:val="14"/>
                          <w:szCs w:val="14"/>
                        </w:rPr>
                        <w:t>chemotherapy (N-344)</w:t>
                      </w:r>
                    </w:p>
                  </w:txbxContent>
                </v:textbox>
              </v:shape>
            </w:pict>
          </mc:Fallback>
        </mc:AlternateContent>
      </w:r>
      <w:r w:rsidRPr="008B029F">
        <w:rPr>
          <w:b/>
          <w:bCs/>
          <w:noProof/>
          <w:color w:val="2B579A"/>
          <w:shd w:val="clear" w:color="auto" w:fill="E6E6E6"/>
          <w:lang w:val="en-AU" w:eastAsia="en-GB"/>
        </w:rPr>
        <w:drawing>
          <wp:inline distT="0" distB="0" distL="0" distR="0" wp14:anchorId="4965B182" wp14:editId="5D57B3AC">
            <wp:extent cx="5779135" cy="3146425"/>
            <wp:effectExtent l="0" t="0" r="0" b="0"/>
            <wp:docPr id="59" name="Picture 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9135" cy="3146425"/>
                    </a:xfrm>
                    <a:prstGeom prst="rect">
                      <a:avLst/>
                    </a:prstGeom>
                  </pic:spPr>
                </pic:pic>
              </a:graphicData>
            </a:graphic>
          </wp:inline>
        </w:drawing>
      </w:r>
    </w:p>
    <w:p w14:paraId="26FFBEFE" w14:textId="77777777" w:rsidR="0033727B" w:rsidRPr="008B029F" w:rsidRDefault="0033727B" w:rsidP="0033727B">
      <w:pPr>
        <w:pStyle w:val="Paragraph"/>
        <w:rPr>
          <w:lang w:val="en-AU" w:eastAsia="en-GB"/>
        </w:rPr>
      </w:pPr>
    </w:p>
    <w:p w14:paraId="701C53F7" w14:textId="334E5B65" w:rsidR="008A3535" w:rsidRPr="008B029F" w:rsidRDefault="008A3535" w:rsidP="008A3535">
      <w:pPr>
        <w:pStyle w:val="Heading4Unnumbered"/>
        <w:rPr>
          <w:lang w:val="en-AU"/>
        </w:rPr>
      </w:pPr>
      <w:r w:rsidRPr="008B029F">
        <w:rPr>
          <w:lang w:val="en-AU"/>
        </w:rPr>
        <w:t>Hepatocellular carcinoma (HCC)</w:t>
      </w:r>
    </w:p>
    <w:p w14:paraId="09CE1DE6" w14:textId="77777777" w:rsidR="008A3535" w:rsidRPr="008B029F" w:rsidRDefault="008A3535" w:rsidP="008A3535">
      <w:pPr>
        <w:pStyle w:val="Heading5unnumbered"/>
        <w:rPr>
          <w:lang w:val="en-AU"/>
        </w:rPr>
      </w:pPr>
      <w:r w:rsidRPr="008B029F">
        <w:rPr>
          <w:lang w:val="en-AU"/>
        </w:rPr>
        <w:t>HIMALAYA study</w:t>
      </w:r>
    </w:p>
    <w:p w14:paraId="435DBB13" w14:textId="22F22BDF" w:rsidR="008A3535" w:rsidRPr="008B029F" w:rsidRDefault="008A3535" w:rsidP="008A3535">
      <w:pPr>
        <w:pStyle w:val="Paragraph"/>
        <w:rPr>
          <w:lang w:val="en-AU"/>
        </w:rPr>
      </w:pPr>
      <w:r w:rsidRPr="008B029F">
        <w:rPr>
          <w:lang w:val="en-AU"/>
        </w:rPr>
        <w:t>The efficacy of STRIDE was evaluated in the HIMALAYA study, a randomised, open-label, multicentre study in patients with confirmed uHCC who did not receive prior systemic treatment for HCC. The study included patients with BCLC Stage C or B (not eligible for locoregional therapy) and Child-Pugh Score Class A.</w:t>
      </w:r>
    </w:p>
    <w:p w14:paraId="7DDE9C6B" w14:textId="0A98E47D" w:rsidR="008A3535" w:rsidRPr="008B029F" w:rsidRDefault="008A3535" w:rsidP="008A3535">
      <w:pPr>
        <w:pStyle w:val="Paragraph"/>
        <w:rPr>
          <w:lang w:val="en-AU"/>
        </w:rPr>
      </w:pPr>
      <w:r w:rsidRPr="008B029F">
        <w:rPr>
          <w:lang w:val="en-AU"/>
        </w:rPr>
        <w:lastRenderedPageBreak/>
        <w:t>The study excluded patients with co-infection of viral hepatitis B and hepatitis C; active or prior documented GI bleeding within 12 months; ascites requiring non-pharmacologic intervention within 6 months; hepatic encephalopathy within 12 months before the start of treatment; active or prior documented autoimmune or inflammatory disorders.</w:t>
      </w:r>
    </w:p>
    <w:p w14:paraId="6023B0E0" w14:textId="26824DD4" w:rsidR="008A3535" w:rsidRPr="008B029F" w:rsidRDefault="008A3535" w:rsidP="008A3535">
      <w:pPr>
        <w:pStyle w:val="Paragraph"/>
        <w:rPr>
          <w:lang w:val="en-AU"/>
        </w:rPr>
      </w:pPr>
      <w:r w:rsidRPr="008B029F">
        <w:rPr>
          <w:lang w:val="en-AU"/>
        </w:rPr>
        <w:t>Patients with oesophageal varices were included except those with active or prior documented GI bleeding within 12 months prior to study entry.</w:t>
      </w:r>
    </w:p>
    <w:p w14:paraId="544572E4" w14:textId="6FF07D41" w:rsidR="008A3535" w:rsidRPr="008B029F" w:rsidRDefault="008A3535" w:rsidP="008A3535">
      <w:pPr>
        <w:pStyle w:val="Paragraph"/>
        <w:rPr>
          <w:lang w:val="en-AU"/>
        </w:rPr>
      </w:pPr>
      <w:r w:rsidRPr="008B029F">
        <w:rPr>
          <w:lang w:val="en-AU"/>
        </w:rPr>
        <w:t>Randomisation was stratified by macrovascular invasion (MVI) (yes vs. no), aetiology of liver disease (confirmed hepatitis B virus vs. confirmed hepatitis C virus vs. others) and ECOG performance status (0 vs.1).</w:t>
      </w:r>
    </w:p>
    <w:p w14:paraId="075575CA" w14:textId="11381478" w:rsidR="008A3535" w:rsidRPr="008B029F" w:rsidRDefault="008A3535" w:rsidP="008A3535">
      <w:pPr>
        <w:pStyle w:val="Paragraph"/>
        <w:rPr>
          <w:lang w:val="en-AU"/>
        </w:rPr>
      </w:pPr>
      <w:r w:rsidRPr="008B029F">
        <w:rPr>
          <w:lang w:val="en-AU"/>
        </w:rPr>
        <w:t>The HIMALAYA study randomised 1171 patients 1:1:1 to receive:</w:t>
      </w:r>
    </w:p>
    <w:p w14:paraId="74947B81" w14:textId="77777777" w:rsidR="008A3535" w:rsidRPr="008B029F" w:rsidRDefault="008A3535" w:rsidP="008A3535">
      <w:pPr>
        <w:pStyle w:val="ListBullet"/>
        <w:rPr>
          <w:lang w:val="en-AU" w:eastAsia="en-GB"/>
        </w:rPr>
      </w:pPr>
      <w:r w:rsidRPr="008B029F">
        <w:rPr>
          <w:lang w:val="en-AU" w:eastAsia="en-GB"/>
        </w:rPr>
        <w:t>IMFINZI: durvalumab 1500 mg every 4 weeks</w:t>
      </w:r>
    </w:p>
    <w:p w14:paraId="7F52FBBF" w14:textId="77777777" w:rsidR="008A3535" w:rsidRPr="008B029F" w:rsidRDefault="008A3535" w:rsidP="008A3535">
      <w:pPr>
        <w:pStyle w:val="ListBullet"/>
        <w:rPr>
          <w:lang w:val="en-AU" w:eastAsia="en-GB"/>
        </w:rPr>
      </w:pPr>
      <w:r w:rsidRPr="008B029F">
        <w:rPr>
          <w:lang w:val="en-AU" w:eastAsia="en-GB"/>
        </w:rPr>
        <w:t>STRIDE: tremelimumab 300 mg as a single priming dose + IMFINZI 1500 mg; followed by IMFINZI 1500 mg every 4 weeks</w:t>
      </w:r>
    </w:p>
    <w:p w14:paraId="2D90C034" w14:textId="2F75E74F" w:rsidR="008A3535" w:rsidRPr="008B029F" w:rsidRDefault="008A3535" w:rsidP="008A3535">
      <w:pPr>
        <w:pStyle w:val="ListBullet"/>
        <w:rPr>
          <w:lang w:val="en-AU" w:eastAsia="en-GB"/>
        </w:rPr>
      </w:pPr>
      <w:r w:rsidRPr="008B029F">
        <w:rPr>
          <w:lang w:val="en-AU" w:eastAsia="en-GB"/>
        </w:rPr>
        <w:t>Sorafenib (S) 400 mg twice daily</w:t>
      </w:r>
    </w:p>
    <w:p w14:paraId="252A616F" w14:textId="77777777" w:rsidR="008A3535" w:rsidRPr="0033727B" w:rsidRDefault="008A3535" w:rsidP="0033727B">
      <w:pPr>
        <w:pStyle w:val="Paragraph"/>
      </w:pPr>
    </w:p>
    <w:p w14:paraId="65E8B14B" w14:textId="3F32E0C6" w:rsidR="008A3535" w:rsidRPr="008B029F" w:rsidRDefault="008A3535" w:rsidP="008A3535">
      <w:pPr>
        <w:pStyle w:val="Paragraph"/>
        <w:rPr>
          <w:lang w:val="en-AU"/>
        </w:rPr>
      </w:pPr>
      <w:r w:rsidRPr="008B029F">
        <w:rPr>
          <w:lang w:val="en-AU"/>
        </w:rPr>
        <w:t>Treatment continued as long as clinical benefit was observed or until unacceptable toxicity. Patients in all arms could continue to receive treatment after evidence of disease progression if, in the Investigator’s opinion, they were benefiting from study drug and met all inclusion and exclusion criteria for treatment beyond progression. In addition, patients in the STRIDE arm who continued treatment beyond progression were allowed to be rechallenged once with an additional single dose of tremelimumab 300 mg after cycle five of IMFINZI. Of the 182 patients enrolled to the STRIDE arm who received IMFINZI beyond progression, the median OS was 19.5 months (95% CI: 15.4, 23.4). Of the 30 patients who were enrolled to the STRIDE arm who were rechallenged with tremelimumab, the median OS was 30.4 months (95% CI: 23.4, NR).</w:t>
      </w:r>
    </w:p>
    <w:p w14:paraId="2AE67F83" w14:textId="1DE5DD14" w:rsidR="008A3535" w:rsidRPr="008B029F" w:rsidRDefault="008A3535" w:rsidP="008A3535">
      <w:pPr>
        <w:pStyle w:val="Paragraph"/>
        <w:rPr>
          <w:lang w:val="en-AU"/>
        </w:rPr>
      </w:pPr>
      <w:r w:rsidRPr="008B029F">
        <w:rPr>
          <w:lang w:val="en-AU"/>
        </w:rPr>
        <w:t xml:space="preserve">Tumour assessments were conducted every 8 weeks for the first 12 months and then every 12 weeks thereafter. Survival assessments were conducted every month for the first 3 months following treatment discontinuation and then every 2 months. </w:t>
      </w:r>
    </w:p>
    <w:p w14:paraId="67B68254" w14:textId="165F173E" w:rsidR="008A3535" w:rsidRPr="008B029F" w:rsidRDefault="008A3535" w:rsidP="008A3535">
      <w:pPr>
        <w:pStyle w:val="Paragraph"/>
        <w:rPr>
          <w:lang w:val="en-AU"/>
        </w:rPr>
      </w:pPr>
      <w:r w:rsidRPr="008B029F">
        <w:rPr>
          <w:lang w:val="en-AU"/>
        </w:rPr>
        <w:t>The primary endpoint was OS</w:t>
      </w:r>
      <w:r w:rsidRPr="008B029F">
        <w:rPr>
          <w:lang w:val="en-AU" w:eastAsia="en-GB"/>
        </w:rPr>
        <w:t xml:space="preserve"> for STRIDE vs. sorafenib. The key secondary objective was OS for non-inferiority based on the comparison of IMFINZI vs. sorafenib</w:t>
      </w:r>
      <w:r w:rsidRPr="008B029F">
        <w:rPr>
          <w:lang w:val="en-AU"/>
        </w:rPr>
        <w:t>. Key secondary endpoints were Investigator assessed PFS, ORR and DoR according to RECIST v1.1. PROs were also assessed.</w:t>
      </w:r>
    </w:p>
    <w:p w14:paraId="5FB2C421" w14:textId="590B6A3B" w:rsidR="008A3535" w:rsidRPr="008B029F" w:rsidRDefault="008A3535" w:rsidP="008A3535">
      <w:pPr>
        <w:pStyle w:val="Paragraph"/>
        <w:rPr>
          <w:lang w:val="en-AU"/>
        </w:rPr>
      </w:pPr>
      <w:r w:rsidRPr="008B029F">
        <w:rPr>
          <w:lang w:val="en-AU"/>
        </w:rPr>
        <w:t>The demographics and baseline disease characteristics were generally representative for patients with uHCC. The baseline demographics of the overall study population were as follows: male (83.7%), age &lt;65 years (50.4%), white (44.6%), Asian (50.7%), black or African American (1.7%), other (2.3%), ECOG PS 0 (62.6%); Child-Pugh Class score A (99.5%), macrovascular invasion (25.2%), extrahepatic spread (53.4%), viral aetiology; hepatitis B (30.6%), hepatitis C (27.2%), uninfected (42.2%).</w:t>
      </w:r>
    </w:p>
    <w:p w14:paraId="681B0A3D" w14:textId="37E7C340" w:rsidR="008A3535" w:rsidRPr="008B029F" w:rsidRDefault="008A3535" w:rsidP="008A3535">
      <w:pPr>
        <w:pStyle w:val="Paragraph"/>
        <w:rPr>
          <w:lang w:val="en-AU"/>
        </w:rPr>
      </w:pPr>
      <w:r w:rsidRPr="008B029F">
        <w:rPr>
          <w:lang w:val="en-AU"/>
        </w:rPr>
        <w:t xml:space="preserve">The study demonstrated a statistically significant and clinically meaningful improvement in OS with STRIDE vs. </w:t>
      </w:r>
      <w:r w:rsidRPr="008B029F">
        <w:rPr>
          <w:lang w:val="en-AU" w:eastAsia="en-GB"/>
        </w:rPr>
        <w:t>sorafenib</w:t>
      </w:r>
      <w:r w:rsidRPr="008B029F" w:rsidDel="00CE0296">
        <w:rPr>
          <w:lang w:val="en-AU"/>
        </w:rPr>
        <w:t xml:space="preserve"> </w:t>
      </w:r>
      <w:r w:rsidRPr="008B029F">
        <w:rPr>
          <w:lang w:val="en-AU"/>
        </w:rPr>
        <w:t xml:space="preserve">[HR=0.78 [95% CI 0.66, 0.92]; p=0.0035]. </w:t>
      </w:r>
      <w:r w:rsidRPr="008B029F">
        <w:rPr>
          <w:lang w:val="en-AU" w:eastAsia="en-GB"/>
        </w:rPr>
        <w:t>The study also met the key secondary objective of OS non-inferiority of IMFINZI to sorafenib</w:t>
      </w:r>
      <w:r w:rsidRPr="008B029F" w:rsidDel="00CE0296">
        <w:rPr>
          <w:lang w:val="en-AU" w:eastAsia="en-GB"/>
        </w:rPr>
        <w:t xml:space="preserve"> </w:t>
      </w:r>
      <w:r w:rsidRPr="008B029F">
        <w:rPr>
          <w:lang w:val="en-AU" w:eastAsia="en-GB"/>
        </w:rPr>
        <w:t>with the upper limit of the 95.67% CI being below the pre-specified non-inferiority margin of 1.08.</w:t>
      </w:r>
      <w:r w:rsidRPr="008B029F">
        <w:rPr>
          <w:lang w:val="en-AU"/>
        </w:rPr>
        <w:t xml:space="preserve"> See </w:t>
      </w:r>
      <w:r w:rsidRPr="008B029F">
        <w:rPr>
          <w:color w:val="2B579A"/>
          <w:shd w:val="clear" w:color="auto" w:fill="E6E6E6"/>
          <w:lang w:val="en-AU"/>
        </w:rPr>
        <w:fldChar w:fldCharType="begin"/>
      </w:r>
      <w:r w:rsidRPr="008B029F">
        <w:rPr>
          <w:lang w:val="en-AU"/>
        </w:rPr>
        <w:instrText xml:space="preserve"> REF _Ref124780494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21</w:t>
      </w:r>
      <w:r w:rsidRPr="008B029F">
        <w:rPr>
          <w:color w:val="2B579A"/>
          <w:shd w:val="clear" w:color="auto" w:fill="E6E6E6"/>
          <w:lang w:val="en-AU"/>
        </w:rPr>
        <w:fldChar w:fldCharType="end"/>
      </w:r>
      <w:r w:rsidRPr="008B029F">
        <w:rPr>
          <w:lang w:val="en-AU"/>
        </w:rPr>
        <w:t xml:space="preserve"> and </w:t>
      </w:r>
      <w:r w:rsidRPr="008B029F">
        <w:rPr>
          <w:color w:val="2B579A"/>
          <w:shd w:val="clear" w:color="auto" w:fill="E6E6E6"/>
          <w:lang w:val="en-AU"/>
        </w:rPr>
        <w:fldChar w:fldCharType="begin"/>
      </w:r>
      <w:r w:rsidRPr="008B029F">
        <w:rPr>
          <w:lang w:val="en-AU"/>
        </w:rPr>
        <w:instrText xml:space="preserve"> REF _Ref124780527 \h </w:instrText>
      </w:r>
      <w:r w:rsidR="00E835B7" w:rsidRPr="008B029F">
        <w:rPr>
          <w:color w:val="2B579A"/>
          <w:shd w:val="clear" w:color="auto" w:fill="E6E6E6"/>
          <w:lang w:val="en-AU"/>
        </w:rPr>
        <w:instrText xml:space="preserve">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Figure </w:t>
      </w:r>
      <w:r w:rsidR="009773EE" w:rsidRPr="008B029F">
        <w:rPr>
          <w:noProof/>
          <w:lang w:val="en-AU"/>
        </w:rPr>
        <w:t>13</w:t>
      </w:r>
      <w:r w:rsidRPr="008B029F">
        <w:rPr>
          <w:color w:val="2B579A"/>
          <w:shd w:val="clear" w:color="auto" w:fill="E6E6E6"/>
          <w:lang w:val="en-AU"/>
        </w:rPr>
        <w:fldChar w:fldCharType="end"/>
      </w:r>
      <w:r w:rsidRPr="008B029F">
        <w:rPr>
          <w:lang w:val="en-AU"/>
        </w:rPr>
        <w:t>.</w:t>
      </w:r>
    </w:p>
    <w:p w14:paraId="7064C7B5" w14:textId="659D14A5" w:rsidR="008A3535" w:rsidRPr="008B029F" w:rsidRDefault="008A3535" w:rsidP="008A3535">
      <w:pPr>
        <w:pStyle w:val="TableTitle"/>
        <w:rPr>
          <w:lang w:val="en-AU" w:eastAsia="en-GB"/>
        </w:rPr>
      </w:pPr>
      <w:bookmarkStart w:id="79" w:name="_Ref124780494"/>
      <w:r w:rsidRPr="008B029F">
        <w:rPr>
          <w:lang w:val="en-AU"/>
        </w:rPr>
        <w:lastRenderedPageBreak/>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21</w:t>
      </w:r>
      <w:r w:rsidRPr="008B029F">
        <w:rPr>
          <w:color w:val="2B579A"/>
          <w:shd w:val="clear" w:color="auto" w:fill="E6E6E6"/>
          <w:lang w:val="en-AU"/>
        </w:rPr>
        <w:fldChar w:fldCharType="end"/>
      </w:r>
      <w:bookmarkEnd w:id="79"/>
      <w:r w:rsidRPr="008B029F">
        <w:rPr>
          <w:lang w:val="en-AU"/>
        </w:rPr>
        <w:tab/>
        <w:t xml:space="preserve">Results for primary and key secondary efficacy endpoints for the HIMALAYA Study for STRIDE vs. sorafenib and IMFINZI vs. sorafenib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693"/>
      </w:tblGrid>
      <w:tr w:rsidR="008A3535" w:rsidRPr="008B029F" w14:paraId="14AA0526" w14:textId="77777777">
        <w:trPr>
          <w:tblHeader/>
        </w:trPr>
        <w:tc>
          <w:tcPr>
            <w:tcW w:w="3256" w:type="dxa"/>
            <w:shd w:val="clear" w:color="auto" w:fill="auto"/>
          </w:tcPr>
          <w:p w14:paraId="654E6D21" w14:textId="77777777" w:rsidR="008A3535" w:rsidRPr="008B029F" w:rsidRDefault="008A3535">
            <w:pPr>
              <w:pStyle w:val="TableHead"/>
              <w:rPr>
                <w:lang w:val="en-AU" w:eastAsia="en-GB"/>
              </w:rPr>
            </w:pPr>
          </w:p>
        </w:tc>
        <w:tc>
          <w:tcPr>
            <w:tcW w:w="1842" w:type="dxa"/>
            <w:shd w:val="clear" w:color="auto" w:fill="auto"/>
          </w:tcPr>
          <w:p w14:paraId="0CBD66EE" w14:textId="77777777" w:rsidR="008A3535" w:rsidRPr="008B029F" w:rsidRDefault="008A3535">
            <w:pPr>
              <w:pStyle w:val="TableHead"/>
              <w:rPr>
                <w:lang w:val="en-AU" w:eastAsia="en-GB"/>
              </w:rPr>
            </w:pPr>
            <w:r w:rsidRPr="008B029F">
              <w:rPr>
                <w:lang w:val="en-AU" w:eastAsia="en-GB"/>
              </w:rPr>
              <w:t>STRIDE</w:t>
            </w:r>
          </w:p>
          <w:p w14:paraId="59226711" w14:textId="77777777" w:rsidR="008A3535" w:rsidRPr="008B029F" w:rsidRDefault="008A3535">
            <w:pPr>
              <w:pStyle w:val="TableHead"/>
              <w:rPr>
                <w:lang w:val="en-AU" w:eastAsia="en-GB"/>
              </w:rPr>
            </w:pPr>
            <w:r w:rsidRPr="008B029F">
              <w:rPr>
                <w:lang w:val="en-AU" w:eastAsia="en-GB"/>
              </w:rPr>
              <w:t>(n=393)</w:t>
            </w:r>
          </w:p>
        </w:tc>
        <w:tc>
          <w:tcPr>
            <w:tcW w:w="1985" w:type="dxa"/>
            <w:shd w:val="clear" w:color="auto" w:fill="auto"/>
          </w:tcPr>
          <w:p w14:paraId="17D8D045" w14:textId="562DFD05" w:rsidR="008A3535" w:rsidRPr="008B029F" w:rsidRDefault="008A3535">
            <w:pPr>
              <w:pStyle w:val="TableHead"/>
              <w:rPr>
                <w:lang w:val="en-AU" w:eastAsia="en-GB"/>
              </w:rPr>
            </w:pPr>
            <w:r w:rsidRPr="008B029F">
              <w:rPr>
                <w:lang w:val="en-AU" w:eastAsia="en-GB"/>
              </w:rPr>
              <w:t>sorafenib</w:t>
            </w:r>
          </w:p>
          <w:p w14:paraId="73BA996A" w14:textId="77777777" w:rsidR="008A3535" w:rsidRPr="008B029F" w:rsidRDefault="008A3535">
            <w:pPr>
              <w:pStyle w:val="TableHead"/>
              <w:rPr>
                <w:lang w:val="en-AU" w:eastAsia="en-GB"/>
              </w:rPr>
            </w:pPr>
            <w:r w:rsidRPr="008B029F">
              <w:rPr>
                <w:lang w:val="en-AU" w:eastAsia="en-GB"/>
              </w:rPr>
              <w:t>(n=389)</w:t>
            </w:r>
          </w:p>
        </w:tc>
        <w:tc>
          <w:tcPr>
            <w:tcW w:w="2693" w:type="dxa"/>
          </w:tcPr>
          <w:p w14:paraId="589C7A1B" w14:textId="77777777" w:rsidR="008A3535" w:rsidRPr="008B029F" w:rsidRDefault="008A3535">
            <w:pPr>
              <w:pStyle w:val="TableHead"/>
              <w:rPr>
                <w:lang w:val="en-AU" w:eastAsia="en-GB"/>
              </w:rPr>
            </w:pPr>
            <w:r w:rsidRPr="008B029F">
              <w:rPr>
                <w:lang w:val="en-AU" w:eastAsia="en-GB"/>
              </w:rPr>
              <w:t>IMFINZI</w:t>
            </w:r>
          </w:p>
          <w:p w14:paraId="06054EBB" w14:textId="77777777" w:rsidR="008A3535" w:rsidRPr="008B029F" w:rsidRDefault="008A3535">
            <w:pPr>
              <w:pStyle w:val="TableHead"/>
              <w:rPr>
                <w:lang w:val="en-AU" w:eastAsia="en-GB"/>
              </w:rPr>
            </w:pPr>
            <w:r w:rsidRPr="008B029F">
              <w:rPr>
                <w:lang w:val="en-AU" w:eastAsia="en-GB"/>
              </w:rPr>
              <w:t>(n=389)</w:t>
            </w:r>
          </w:p>
        </w:tc>
      </w:tr>
      <w:tr w:rsidR="008A3535" w:rsidRPr="008B029F" w14:paraId="2563804C" w14:textId="77777777">
        <w:tc>
          <w:tcPr>
            <w:tcW w:w="9776" w:type="dxa"/>
            <w:gridSpan w:val="4"/>
            <w:shd w:val="clear" w:color="auto" w:fill="auto"/>
          </w:tcPr>
          <w:p w14:paraId="59943288" w14:textId="77777777" w:rsidR="008A3535" w:rsidRPr="008B029F" w:rsidRDefault="008A3535">
            <w:pPr>
              <w:pStyle w:val="TableLeft"/>
              <w:rPr>
                <w:lang w:val="en-AU" w:eastAsia="en-GB"/>
              </w:rPr>
            </w:pPr>
            <w:r w:rsidRPr="008B029F">
              <w:rPr>
                <w:b/>
                <w:bCs w:val="0"/>
                <w:lang w:val="en-AU" w:eastAsia="en-GB"/>
              </w:rPr>
              <w:t>Follow up duration (months)</w:t>
            </w:r>
          </w:p>
        </w:tc>
      </w:tr>
      <w:tr w:rsidR="008A3535" w:rsidRPr="008B029F" w14:paraId="3D4E2156" w14:textId="77777777">
        <w:tc>
          <w:tcPr>
            <w:tcW w:w="3256" w:type="dxa"/>
            <w:shd w:val="clear" w:color="auto" w:fill="auto"/>
          </w:tcPr>
          <w:p w14:paraId="753DA4DE" w14:textId="77777777" w:rsidR="008A3535" w:rsidRPr="008B029F" w:rsidRDefault="008A3535">
            <w:pPr>
              <w:pStyle w:val="TableLeft"/>
              <w:ind w:left="164"/>
              <w:rPr>
                <w:lang w:val="en-AU" w:eastAsia="en-GB"/>
              </w:rPr>
            </w:pPr>
            <w:r w:rsidRPr="008B029F">
              <w:rPr>
                <w:lang w:val="en-AU" w:eastAsia="en-GB"/>
              </w:rPr>
              <w:t>Median follow up</w:t>
            </w:r>
          </w:p>
        </w:tc>
        <w:tc>
          <w:tcPr>
            <w:tcW w:w="1842" w:type="dxa"/>
            <w:shd w:val="clear" w:color="auto" w:fill="auto"/>
          </w:tcPr>
          <w:p w14:paraId="58EAE0DE" w14:textId="77777777" w:rsidR="008A3535" w:rsidRPr="008B029F" w:rsidRDefault="008A3535">
            <w:pPr>
              <w:pStyle w:val="TableLeft"/>
              <w:jc w:val="center"/>
              <w:rPr>
                <w:lang w:val="en-AU" w:eastAsia="en-GB"/>
              </w:rPr>
            </w:pPr>
            <w:r w:rsidRPr="008B029F">
              <w:rPr>
                <w:lang w:val="en-AU" w:eastAsia="en-GB"/>
              </w:rPr>
              <w:t>33.2</w:t>
            </w:r>
          </w:p>
        </w:tc>
        <w:tc>
          <w:tcPr>
            <w:tcW w:w="1985" w:type="dxa"/>
            <w:shd w:val="clear" w:color="auto" w:fill="auto"/>
          </w:tcPr>
          <w:p w14:paraId="45C1872E" w14:textId="77777777" w:rsidR="008A3535" w:rsidRPr="008B029F" w:rsidRDefault="008A3535">
            <w:pPr>
              <w:pStyle w:val="TableLeft"/>
              <w:jc w:val="center"/>
              <w:rPr>
                <w:lang w:val="en-AU" w:eastAsia="en-GB"/>
              </w:rPr>
            </w:pPr>
            <w:r w:rsidRPr="008B029F">
              <w:rPr>
                <w:lang w:val="en-AU" w:eastAsia="en-GB"/>
              </w:rPr>
              <w:t>32.2</w:t>
            </w:r>
          </w:p>
        </w:tc>
        <w:tc>
          <w:tcPr>
            <w:tcW w:w="2693" w:type="dxa"/>
            <w:shd w:val="clear" w:color="auto" w:fill="auto"/>
          </w:tcPr>
          <w:p w14:paraId="2C6BC415" w14:textId="77777777" w:rsidR="008A3535" w:rsidRPr="008B029F" w:rsidRDefault="008A3535">
            <w:pPr>
              <w:pStyle w:val="TableLeft"/>
              <w:jc w:val="center"/>
              <w:rPr>
                <w:lang w:val="en-AU" w:eastAsia="en-GB"/>
              </w:rPr>
            </w:pPr>
            <w:r w:rsidRPr="008B029F">
              <w:rPr>
                <w:lang w:val="en-AU" w:eastAsia="en-GB"/>
              </w:rPr>
              <w:t>32.6</w:t>
            </w:r>
          </w:p>
        </w:tc>
      </w:tr>
      <w:tr w:rsidR="008A3535" w:rsidRPr="008B029F" w14:paraId="7DB8E5A0" w14:textId="77777777">
        <w:tc>
          <w:tcPr>
            <w:tcW w:w="3256" w:type="dxa"/>
            <w:shd w:val="clear" w:color="auto" w:fill="auto"/>
          </w:tcPr>
          <w:p w14:paraId="7961B38F" w14:textId="77777777" w:rsidR="008A3535" w:rsidRPr="008B029F" w:rsidRDefault="008A3535">
            <w:pPr>
              <w:pStyle w:val="TableLeft"/>
              <w:ind w:left="164"/>
              <w:rPr>
                <w:lang w:val="en-AU" w:eastAsia="en-GB"/>
              </w:rPr>
            </w:pPr>
            <w:r w:rsidRPr="008B029F">
              <w:rPr>
                <w:lang w:val="en-AU" w:eastAsia="en-GB"/>
              </w:rPr>
              <w:t>Range</w:t>
            </w:r>
          </w:p>
        </w:tc>
        <w:tc>
          <w:tcPr>
            <w:tcW w:w="1842" w:type="dxa"/>
            <w:shd w:val="clear" w:color="auto" w:fill="auto"/>
          </w:tcPr>
          <w:p w14:paraId="3432748E" w14:textId="77777777" w:rsidR="008A3535" w:rsidRPr="008B029F" w:rsidRDefault="008A3535">
            <w:pPr>
              <w:pStyle w:val="TableLeft"/>
              <w:jc w:val="center"/>
              <w:rPr>
                <w:lang w:val="en-AU" w:eastAsia="en-GB"/>
              </w:rPr>
            </w:pPr>
            <w:r w:rsidRPr="008B029F">
              <w:rPr>
                <w:lang w:val="en-AU" w:eastAsia="en-GB"/>
              </w:rPr>
              <w:t>(31.7–34.5)</w:t>
            </w:r>
          </w:p>
        </w:tc>
        <w:tc>
          <w:tcPr>
            <w:tcW w:w="1985" w:type="dxa"/>
            <w:shd w:val="clear" w:color="auto" w:fill="auto"/>
          </w:tcPr>
          <w:p w14:paraId="0EAE2BF4" w14:textId="77777777" w:rsidR="008A3535" w:rsidRPr="008B029F" w:rsidRDefault="008A3535">
            <w:pPr>
              <w:pStyle w:val="TableLeft"/>
              <w:jc w:val="center"/>
              <w:rPr>
                <w:lang w:val="en-AU" w:eastAsia="en-GB"/>
              </w:rPr>
            </w:pPr>
            <w:r w:rsidRPr="008B029F">
              <w:rPr>
                <w:lang w:val="en-AU" w:eastAsia="en-GB"/>
              </w:rPr>
              <w:t>(30.4–33.7)</w:t>
            </w:r>
          </w:p>
        </w:tc>
        <w:tc>
          <w:tcPr>
            <w:tcW w:w="2693" w:type="dxa"/>
            <w:shd w:val="clear" w:color="auto" w:fill="auto"/>
          </w:tcPr>
          <w:p w14:paraId="4AD8E43D" w14:textId="77777777" w:rsidR="008A3535" w:rsidRPr="008B029F" w:rsidRDefault="008A3535">
            <w:pPr>
              <w:pStyle w:val="TableLeft"/>
              <w:jc w:val="center"/>
              <w:rPr>
                <w:lang w:val="en-AU" w:eastAsia="en-GB"/>
              </w:rPr>
            </w:pPr>
            <w:r w:rsidRPr="008B029F">
              <w:rPr>
                <w:lang w:val="en-AU" w:eastAsia="en-GB"/>
              </w:rPr>
              <w:t>(31.6–33.7)</w:t>
            </w:r>
          </w:p>
        </w:tc>
      </w:tr>
      <w:tr w:rsidR="008A3535" w:rsidRPr="008B029F" w14:paraId="090BCE3B" w14:textId="77777777">
        <w:tc>
          <w:tcPr>
            <w:tcW w:w="9776" w:type="dxa"/>
            <w:gridSpan w:val="4"/>
            <w:shd w:val="clear" w:color="auto" w:fill="auto"/>
          </w:tcPr>
          <w:p w14:paraId="394E39CA" w14:textId="77777777" w:rsidR="008A3535" w:rsidRPr="008B029F" w:rsidRDefault="008A3535">
            <w:pPr>
              <w:pStyle w:val="TableLeft"/>
              <w:rPr>
                <w:lang w:val="en-AU" w:eastAsia="en-GB"/>
              </w:rPr>
            </w:pPr>
            <w:r w:rsidRPr="008B029F">
              <w:rPr>
                <w:b/>
                <w:bCs w:val="0"/>
                <w:lang w:val="en-AU" w:eastAsia="en-GB"/>
              </w:rPr>
              <w:t>OS</w:t>
            </w:r>
          </w:p>
        </w:tc>
      </w:tr>
      <w:tr w:rsidR="008A3535" w:rsidRPr="008B029F" w14:paraId="04F26143" w14:textId="77777777">
        <w:tc>
          <w:tcPr>
            <w:tcW w:w="3256" w:type="dxa"/>
            <w:shd w:val="clear" w:color="auto" w:fill="auto"/>
          </w:tcPr>
          <w:p w14:paraId="24F36ABA" w14:textId="77777777" w:rsidR="008A3535" w:rsidRPr="008B029F" w:rsidRDefault="008A3535" w:rsidP="004E0EEA">
            <w:pPr>
              <w:pStyle w:val="TableLeft"/>
              <w:ind w:firstLine="164"/>
              <w:rPr>
                <w:lang w:val="en-AU" w:eastAsia="en-GB"/>
              </w:rPr>
            </w:pPr>
            <w:r w:rsidRPr="008B029F">
              <w:rPr>
                <w:lang w:val="en-AU" w:eastAsia="en-GB"/>
              </w:rPr>
              <w:t>Number of deaths (%)</w:t>
            </w:r>
          </w:p>
        </w:tc>
        <w:tc>
          <w:tcPr>
            <w:tcW w:w="1842" w:type="dxa"/>
            <w:shd w:val="clear" w:color="auto" w:fill="auto"/>
          </w:tcPr>
          <w:p w14:paraId="29522B60" w14:textId="77777777" w:rsidR="008A3535" w:rsidRPr="008B029F" w:rsidRDefault="008A3535">
            <w:pPr>
              <w:pStyle w:val="TableLeft"/>
              <w:jc w:val="center"/>
              <w:rPr>
                <w:lang w:val="en-AU" w:eastAsia="en-GB"/>
              </w:rPr>
            </w:pPr>
            <w:r w:rsidRPr="008B029F">
              <w:rPr>
                <w:lang w:val="en-AU" w:eastAsia="en-GB"/>
              </w:rPr>
              <w:t>262 (66.7)</w:t>
            </w:r>
          </w:p>
        </w:tc>
        <w:tc>
          <w:tcPr>
            <w:tcW w:w="1985" w:type="dxa"/>
            <w:shd w:val="clear" w:color="auto" w:fill="auto"/>
          </w:tcPr>
          <w:p w14:paraId="5056D87E" w14:textId="77777777" w:rsidR="008A3535" w:rsidRPr="008B029F" w:rsidRDefault="008A3535">
            <w:pPr>
              <w:pStyle w:val="TableLeft"/>
              <w:jc w:val="center"/>
              <w:rPr>
                <w:lang w:val="en-AU" w:eastAsia="en-GB"/>
              </w:rPr>
            </w:pPr>
            <w:r w:rsidRPr="008B029F">
              <w:rPr>
                <w:lang w:val="en-AU" w:eastAsia="en-GB"/>
              </w:rPr>
              <w:t>293 (75.3)</w:t>
            </w:r>
          </w:p>
        </w:tc>
        <w:tc>
          <w:tcPr>
            <w:tcW w:w="2693" w:type="dxa"/>
          </w:tcPr>
          <w:p w14:paraId="2EBC32B7" w14:textId="77777777" w:rsidR="008A3535" w:rsidRPr="008B029F" w:rsidRDefault="008A3535">
            <w:pPr>
              <w:pStyle w:val="TableLeft"/>
              <w:jc w:val="center"/>
              <w:rPr>
                <w:lang w:val="en-AU" w:eastAsia="en-GB"/>
              </w:rPr>
            </w:pPr>
            <w:r w:rsidRPr="008B029F">
              <w:rPr>
                <w:lang w:val="en-AU" w:eastAsia="en-GB"/>
              </w:rPr>
              <w:t>280 (72.0)</w:t>
            </w:r>
          </w:p>
        </w:tc>
      </w:tr>
      <w:tr w:rsidR="008A3535" w:rsidRPr="008B029F" w14:paraId="36A2514F" w14:textId="77777777">
        <w:tc>
          <w:tcPr>
            <w:tcW w:w="3256" w:type="dxa"/>
            <w:shd w:val="clear" w:color="auto" w:fill="auto"/>
          </w:tcPr>
          <w:p w14:paraId="0700233D" w14:textId="3D50850E" w:rsidR="008A3535" w:rsidRPr="008B029F" w:rsidRDefault="008A3535">
            <w:pPr>
              <w:pStyle w:val="TableLeft"/>
              <w:ind w:left="164"/>
              <w:rPr>
                <w:lang w:val="en-AU" w:eastAsia="en-GB"/>
              </w:rPr>
            </w:pPr>
            <w:r w:rsidRPr="008B029F">
              <w:rPr>
                <w:lang w:val="en-AU" w:eastAsia="en-GB"/>
              </w:rPr>
              <w:t>Median OS (months) (95% CI)</w:t>
            </w:r>
          </w:p>
        </w:tc>
        <w:tc>
          <w:tcPr>
            <w:tcW w:w="1842" w:type="dxa"/>
            <w:shd w:val="clear" w:color="auto" w:fill="auto"/>
          </w:tcPr>
          <w:p w14:paraId="6469E679" w14:textId="550D3490" w:rsidR="008A3535" w:rsidRPr="008B029F" w:rsidRDefault="008A3535">
            <w:pPr>
              <w:pStyle w:val="TableLeft"/>
              <w:jc w:val="center"/>
              <w:rPr>
                <w:lang w:val="en-AU" w:eastAsia="en-GB"/>
              </w:rPr>
            </w:pPr>
            <w:r w:rsidRPr="008B029F">
              <w:rPr>
                <w:lang w:val="en-AU" w:eastAsia="en-GB"/>
              </w:rPr>
              <w:t>16.4 (14.2-19.6)</w:t>
            </w:r>
          </w:p>
        </w:tc>
        <w:tc>
          <w:tcPr>
            <w:tcW w:w="1985" w:type="dxa"/>
            <w:shd w:val="clear" w:color="auto" w:fill="auto"/>
          </w:tcPr>
          <w:p w14:paraId="3211C135" w14:textId="76A66747" w:rsidR="008A3535" w:rsidRPr="008B029F" w:rsidRDefault="008A3535">
            <w:pPr>
              <w:pStyle w:val="TableLeft"/>
              <w:jc w:val="center"/>
              <w:rPr>
                <w:lang w:val="en-AU" w:eastAsia="en-GB"/>
              </w:rPr>
            </w:pPr>
            <w:r w:rsidRPr="008B029F">
              <w:rPr>
                <w:lang w:val="en-AU" w:eastAsia="en-GB"/>
              </w:rPr>
              <w:t>13.8 (12.3-16.1)</w:t>
            </w:r>
          </w:p>
        </w:tc>
        <w:tc>
          <w:tcPr>
            <w:tcW w:w="2693" w:type="dxa"/>
          </w:tcPr>
          <w:p w14:paraId="72DA2AA1" w14:textId="68D50F5E" w:rsidR="008A3535" w:rsidRPr="008B029F" w:rsidRDefault="008A3535">
            <w:pPr>
              <w:pStyle w:val="TableLeft"/>
              <w:jc w:val="center"/>
              <w:rPr>
                <w:lang w:val="en-AU" w:eastAsia="en-GB"/>
              </w:rPr>
            </w:pPr>
            <w:r w:rsidRPr="008B029F">
              <w:rPr>
                <w:lang w:val="en-AU" w:eastAsia="en-GB"/>
              </w:rPr>
              <w:t>16.6 (14.1-19.1)</w:t>
            </w:r>
          </w:p>
        </w:tc>
      </w:tr>
      <w:tr w:rsidR="008A3535" w:rsidRPr="008B029F" w14:paraId="58C53ACC" w14:textId="77777777">
        <w:tc>
          <w:tcPr>
            <w:tcW w:w="3256" w:type="dxa"/>
            <w:shd w:val="clear" w:color="auto" w:fill="auto"/>
          </w:tcPr>
          <w:p w14:paraId="0C16100E" w14:textId="77777777" w:rsidR="008A3535" w:rsidRPr="008B029F" w:rsidRDefault="008A3535">
            <w:pPr>
              <w:pStyle w:val="TableLeft"/>
              <w:ind w:left="164"/>
              <w:rPr>
                <w:lang w:val="en-AU" w:eastAsia="en-GB"/>
              </w:rPr>
            </w:pPr>
            <w:r w:rsidRPr="008B029F">
              <w:rPr>
                <w:lang w:val="en-AU" w:eastAsia="en-GB"/>
              </w:rPr>
              <w:t>HR (95% CI)</w:t>
            </w:r>
          </w:p>
        </w:tc>
        <w:tc>
          <w:tcPr>
            <w:tcW w:w="3827" w:type="dxa"/>
            <w:gridSpan w:val="2"/>
            <w:shd w:val="clear" w:color="auto" w:fill="auto"/>
          </w:tcPr>
          <w:p w14:paraId="4572A015" w14:textId="77777777" w:rsidR="008A3535" w:rsidRPr="008B029F" w:rsidRDefault="008A3535">
            <w:pPr>
              <w:pStyle w:val="TableLeft"/>
              <w:jc w:val="center"/>
              <w:rPr>
                <w:lang w:val="en-AU" w:eastAsia="en-GB"/>
              </w:rPr>
            </w:pPr>
            <w:r w:rsidRPr="008B029F">
              <w:rPr>
                <w:lang w:val="en-AU" w:eastAsia="en-GB"/>
              </w:rPr>
              <w:t>0.78 (0.66, 0.92)</w:t>
            </w:r>
          </w:p>
        </w:tc>
        <w:tc>
          <w:tcPr>
            <w:tcW w:w="2693" w:type="dxa"/>
          </w:tcPr>
          <w:p w14:paraId="59742BE8" w14:textId="77777777" w:rsidR="008A3535" w:rsidRPr="008B029F" w:rsidRDefault="008A3535">
            <w:pPr>
              <w:pStyle w:val="TableLeft"/>
              <w:ind w:left="720"/>
              <w:rPr>
                <w:lang w:val="en-AU" w:eastAsia="en-GB"/>
              </w:rPr>
            </w:pPr>
            <w:r w:rsidRPr="008B029F">
              <w:rPr>
                <w:lang w:val="en-AU" w:eastAsia="en-GB"/>
              </w:rPr>
              <w:t>-</w:t>
            </w:r>
          </w:p>
        </w:tc>
      </w:tr>
      <w:tr w:rsidR="008A3535" w:rsidRPr="008B029F" w14:paraId="42D89992" w14:textId="77777777">
        <w:tc>
          <w:tcPr>
            <w:tcW w:w="3256" w:type="dxa"/>
            <w:shd w:val="clear" w:color="auto" w:fill="auto"/>
          </w:tcPr>
          <w:p w14:paraId="216D83F2" w14:textId="77777777" w:rsidR="008A3535" w:rsidRPr="008B029F" w:rsidRDefault="008A3535">
            <w:pPr>
              <w:pStyle w:val="TableLeft"/>
              <w:ind w:left="164"/>
              <w:rPr>
                <w:lang w:val="en-AU" w:eastAsia="en-GB"/>
              </w:rPr>
            </w:pPr>
            <w:r w:rsidRPr="008B029F">
              <w:rPr>
                <w:lang w:val="en-AU" w:eastAsia="en-GB"/>
              </w:rPr>
              <w:t>p-value</w:t>
            </w:r>
            <w:r w:rsidRPr="008B029F">
              <w:rPr>
                <w:vertAlign w:val="superscript"/>
                <w:lang w:val="en-AU" w:eastAsia="en-GB"/>
              </w:rPr>
              <w:t>a</w:t>
            </w:r>
          </w:p>
        </w:tc>
        <w:tc>
          <w:tcPr>
            <w:tcW w:w="3827" w:type="dxa"/>
            <w:gridSpan w:val="2"/>
            <w:shd w:val="clear" w:color="auto" w:fill="auto"/>
          </w:tcPr>
          <w:p w14:paraId="016B9A9B" w14:textId="77777777" w:rsidR="008A3535" w:rsidRPr="008B029F" w:rsidRDefault="008A3535">
            <w:pPr>
              <w:pStyle w:val="TableLeft"/>
              <w:jc w:val="center"/>
              <w:rPr>
                <w:lang w:val="en-AU" w:eastAsia="en-GB"/>
              </w:rPr>
            </w:pPr>
            <w:r w:rsidRPr="008B029F">
              <w:rPr>
                <w:lang w:val="en-AU" w:eastAsia="en-GB"/>
              </w:rPr>
              <w:t>0.0035</w:t>
            </w:r>
          </w:p>
        </w:tc>
        <w:tc>
          <w:tcPr>
            <w:tcW w:w="2693" w:type="dxa"/>
          </w:tcPr>
          <w:p w14:paraId="1816EEEC" w14:textId="77777777" w:rsidR="008A3535" w:rsidRPr="008B029F" w:rsidRDefault="008A3535">
            <w:pPr>
              <w:pStyle w:val="TableLeft"/>
              <w:ind w:left="720"/>
              <w:rPr>
                <w:lang w:val="en-AU" w:eastAsia="en-GB"/>
              </w:rPr>
            </w:pPr>
            <w:r w:rsidRPr="008B029F">
              <w:rPr>
                <w:lang w:val="en-AU" w:eastAsia="en-GB"/>
              </w:rPr>
              <w:t>-</w:t>
            </w:r>
          </w:p>
        </w:tc>
      </w:tr>
      <w:tr w:rsidR="008A3535" w:rsidRPr="008B029F" w14:paraId="2C94D542" w14:textId="77777777">
        <w:tc>
          <w:tcPr>
            <w:tcW w:w="3256" w:type="dxa"/>
            <w:shd w:val="clear" w:color="auto" w:fill="auto"/>
          </w:tcPr>
          <w:p w14:paraId="0A88401C" w14:textId="77777777" w:rsidR="008A3535" w:rsidRPr="008B029F" w:rsidRDefault="008A3535">
            <w:pPr>
              <w:pStyle w:val="TableLeft"/>
              <w:ind w:left="164"/>
              <w:rPr>
                <w:lang w:val="en-AU" w:eastAsia="en-GB"/>
              </w:rPr>
            </w:pPr>
            <w:r w:rsidRPr="008B029F">
              <w:rPr>
                <w:lang w:val="en-AU" w:eastAsia="en-GB"/>
              </w:rPr>
              <w:t>HR (95% CI)</w:t>
            </w:r>
          </w:p>
        </w:tc>
        <w:tc>
          <w:tcPr>
            <w:tcW w:w="1842" w:type="dxa"/>
            <w:shd w:val="clear" w:color="auto" w:fill="auto"/>
          </w:tcPr>
          <w:p w14:paraId="281027AC" w14:textId="77777777" w:rsidR="008A3535" w:rsidRPr="008B029F" w:rsidRDefault="008A3535">
            <w:pPr>
              <w:pStyle w:val="TableLeft"/>
              <w:ind w:left="720"/>
              <w:rPr>
                <w:lang w:val="en-AU" w:eastAsia="en-GB"/>
              </w:rPr>
            </w:pPr>
            <w:r w:rsidRPr="008B029F">
              <w:rPr>
                <w:lang w:val="en-AU" w:eastAsia="en-GB"/>
              </w:rPr>
              <w:t>-</w:t>
            </w:r>
          </w:p>
        </w:tc>
        <w:tc>
          <w:tcPr>
            <w:tcW w:w="4678" w:type="dxa"/>
            <w:gridSpan w:val="2"/>
            <w:shd w:val="clear" w:color="auto" w:fill="auto"/>
          </w:tcPr>
          <w:p w14:paraId="0ECEBF7D" w14:textId="77777777" w:rsidR="008A3535" w:rsidRPr="008B029F" w:rsidRDefault="008A3535">
            <w:pPr>
              <w:pStyle w:val="TableLeft"/>
              <w:jc w:val="center"/>
              <w:rPr>
                <w:lang w:val="en-AU" w:eastAsia="en-GB"/>
              </w:rPr>
            </w:pPr>
            <w:r w:rsidRPr="008B029F">
              <w:rPr>
                <w:lang w:val="en-AU" w:eastAsia="en-GB"/>
              </w:rPr>
              <w:t>0.86 (0.73, 1.02)</w:t>
            </w:r>
          </w:p>
        </w:tc>
      </w:tr>
      <w:tr w:rsidR="008A3535" w:rsidRPr="008B029F" w14:paraId="066BD9A1" w14:textId="77777777">
        <w:tc>
          <w:tcPr>
            <w:tcW w:w="3256" w:type="dxa"/>
            <w:shd w:val="clear" w:color="auto" w:fill="auto"/>
          </w:tcPr>
          <w:p w14:paraId="64C61D51" w14:textId="77777777" w:rsidR="008A3535" w:rsidRPr="008B029F" w:rsidRDefault="008A3535">
            <w:pPr>
              <w:pStyle w:val="TableLeft"/>
              <w:ind w:left="164"/>
              <w:rPr>
                <w:lang w:val="en-AU" w:eastAsia="en-GB"/>
              </w:rPr>
            </w:pPr>
            <w:r w:rsidRPr="008B029F">
              <w:rPr>
                <w:lang w:val="en-AU" w:eastAsia="en-GB"/>
              </w:rPr>
              <w:t>p-value</w:t>
            </w:r>
            <w:r w:rsidRPr="008B029F">
              <w:rPr>
                <w:vertAlign w:val="superscript"/>
                <w:lang w:val="en-AU" w:eastAsia="en-GB"/>
              </w:rPr>
              <w:t>b</w:t>
            </w:r>
          </w:p>
        </w:tc>
        <w:tc>
          <w:tcPr>
            <w:tcW w:w="1842" w:type="dxa"/>
            <w:shd w:val="clear" w:color="auto" w:fill="auto"/>
          </w:tcPr>
          <w:p w14:paraId="1F5F8C30" w14:textId="77777777" w:rsidR="008A3535" w:rsidRPr="008B029F" w:rsidRDefault="008A3535">
            <w:pPr>
              <w:pStyle w:val="TableLeft"/>
              <w:ind w:left="720"/>
              <w:rPr>
                <w:lang w:val="en-AU" w:eastAsia="en-GB"/>
              </w:rPr>
            </w:pPr>
            <w:r w:rsidRPr="008B029F">
              <w:rPr>
                <w:lang w:val="en-AU" w:eastAsia="en-GB"/>
              </w:rPr>
              <w:t>-</w:t>
            </w:r>
          </w:p>
        </w:tc>
        <w:tc>
          <w:tcPr>
            <w:tcW w:w="4678" w:type="dxa"/>
            <w:gridSpan w:val="2"/>
            <w:shd w:val="clear" w:color="auto" w:fill="auto"/>
          </w:tcPr>
          <w:p w14:paraId="2F91C629" w14:textId="77777777" w:rsidR="008A3535" w:rsidRPr="008B029F" w:rsidRDefault="008A3535">
            <w:pPr>
              <w:pStyle w:val="TableLeft"/>
              <w:jc w:val="center"/>
              <w:rPr>
                <w:lang w:val="en-AU" w:eastAsia="en-GB"/>
              </w:rPr>
            </w:pPr>
            <w:r w:rsidRPr="008B029F">
              <w:rPr>
                <w:lang w:val="en-AU" w:eastAsia="en-GB"/>
              </w:rPr>
              <w:t>0.0674</w:t>
            </w:r>
          </w:p>
        </w:tc>
      </w:tr>
      <w:tr w:rsidR="008A3535" w:rsidRPr="008B029F" w14:paraId="32307D34" w14:textId="77777777">
        <w:tc>
          <w:tcPr>
            <w:tcW w:w="3256" w:type="dxa"/>
            <w:shd w:val="clear" w:color="auto" w:fill="auto"/>
          </w:tcPr>
          <w:p w14:paraId="0278BE5E" w14:textId="50BB7DA9" w:rsidR="008A3535" w:rsidRPr="008B029F" w:rsidRDefault="008A3535">
            <w:pPr>
              <w:pStyle w:val="TableLeft"/>
              <w:ind w:left="164"/>
              <w:rPr>
                <w:b/>
                <w:bCs w:val="0"/>
                <w:lang w:val="en-AU" w:eastAsia="en-GB"/>
              </w:rPr>
            </w:pPr>
            <w:r w:rsidRPr="008B029F">
              <w:rPr>
                <w:b/>
                <w:bCs w:val="0"/>
                <w:lang w:val="en-AU" w:eastAsia="en-GB"/>
              </w:rPr>
              <w:t>OS at 12 months (%) (95% CI)</w:t>
            </w:r>
          </w:p>
        </w:tc>
        <w:tc>
          <w:tcPr>
            <w:tcW w:w="1842" w:type="dxa"/>
            <w:shd w:val="clear" w:color="auto" w:fill="auto"/>
          </w:tcPr>
          <w:p w14:paraId="45FF70D5" w14:textId="43D0A78B" w:rsidR="008A3535" w:rsidRPr="008B029F" w:rsidRDefault="008A3535">
            <w:pPr>
              <w:pStyle w:val="TableLeft"/>
              <w:jc w:val="center"/>
              <w:rPr>
                <w:lang w:val="en-AU" w:eastAsia="en-GB"/>
              </w:rPr>
            </w:pPr>
            <w:r w:rsidRPr="008B029F">
              <w:rPr>
                <w:lang w:val="en-AU" w:eastAsia="en-GB"/>
              </w:rPr>
              <w:t>60.2 (55.2 - 64.9)</w:t>
            </w:r>
          </w:p>
        </w:tc>
        <w:tc>
          <w:tcPr>
            <w:tcW w:w="1985" w:type="dxa"/>
            <w:shd w:val="clear" w:color="auto" w:fill="auto"/>
          </w:tcPr>
          <w:p w14:paraId="3AC477CB" w14:textId="36B84F98" w:rsidR="008A3535" w:rsidRPr="008B029F" w:rsidRDefault="008A3535">
            <w:pPr>
              <w:pStyle w:val="TableLeft"/>
              <w:jc w:val="center"/>
              <w:rPr>
                <w:lang w:val="en-AU" w:eastAsia="en-GB"/>
              </w:rPr>
            </w:pPr>
            <w:r w:rsidRPr="008B029F">
              <w:rPr>
                <w:lang w:val="en-AU" w:eastAsia="en-GB"/>
              </w:rPr>
              <w:t>56.2 (51.0 - 61.0)</w:t>
            </w:r>
          </w:p>
        </w:tc>
        <w:tc>
          <w:tcPr>
            <w:tcW w:w="2693" w:type="dxa"/>
          </w:tcPr>
          <w:p w14:paraId="5D19647A" w14:textId="57D25ABA" w:rsidR="008A3535" w:rsidRPr="008B029F" w:rsidRDefault="008A3535">
            <w:pPr>
              <w:pStyle w:val="TableLeft"/>
              <w:jc w:val="center"/>
              <w:rPr>
                <w:lang w:val="en-AU" w:eastAsia="en-GB"/>
              </w:rPr>
            </w:pPr>
            <w:r w:rsidRPr="008B029F">
              <w:rPr>
                <w:lang w:val="en-AU" w:eastAsia="en-GB"/>
              </w:rPr>
              <w:t>59.3 (54.2-64.0)</w:t>
            </w:r>
          </w:p>
        </w:tc>
      </w:tr>
      <w:tr w:rsidR="008A3535" w:rsidRPr="008B029F" w14:paraId="04F4F933" w14:textId="77777777">
        <w:tc>
          <w:tcPr>
            <w:tcW w:w="3256" w:type="dxa"/>
            <w:shd w:val="clear" w:color="auto" w:fill="auto"/>
          </w:tcPr>
          <w:p w14:paraId="788F79C9" w14:textId="3BEF699D" w:rsidR="008A3535" w:rsidRPr="008B029F" w:rsidRDefault="008A3535">
            <w:pPr>
              <w:pStyle w:val="TableLeft"/>
              <w:ind w:left="164"/>
              <w:rPr>
                <w:b/>
                <w:bCs w:val="0"/>
                <w:lang w:val="en-AU" w:eastAsia="en-GB"/>
              </w:rPr>
            </w:pPr>
            <w:r w:rsidRPr="008B029F">
              <w:rPr>
                <w:b/>
                <w:bCs w:val="0"/>
                <w:lang w:val="en-AU" w:eastAsia="en-GB"/>
              </w:rPr>
              <w:t>OS at 18 months (%) (95% CI)</w:t>
            </w:r>
          </w:p>
        </w:tc>
        <w:tc>
          <w:tcPr>
            <w:tcW w:w="1842" w:type="dxa"/>
            <w:shd w:val="clear" w:color="auto" w:fill="auto"/>
          </w:tcPr>
          <w:p w14:paraId="3A1E5A02" w14:textId="6AB36FEB" w:rsidR="008A3535" w:rsidRPr="008B029F" w:rsidRDefault="008A3535">
            <w:pPr>
              <w:pStyle w:val="TableLeft"/>
              <w:jc w:val="center"/>
              <w:rPr>
                <w:lang w:val="en-AU" w:eastAsia="en-GB"/>
              </w:rPr>
            </w:pPr>
            <w:r w:rsidRPr="008B029F">
              <w:rPr>
                <w:lang w:val="en-AU" w:eastAsia="en-GB"/>
              </w:rPr>
              <w:t>48.7 (43.6-53.5)</w:t>
            </w:r>
          </w:p>
        </w:tc>
        <w:tc>
          <w:tcPr>
            <w:tcW w:w="1985" w:type="dxa"/>
            <w:shd w:val="clear" w:color="auto" w:fill="auto"/>
          </w:tcPr>
          <w:p w14:paraId="1008448E" w14:textId="00D979F2" w:rsidR="008A3535" w:rsidRPr="008B029F" w:rsidRDefault="008A3535">
            <w:pPr>
              <w:pStyle w:val="TableLeft"/>
              <w:jc w:val="center"/>
              <w:rPr>
                <w:lang w:val="en-AU" w:eastAsia="en-GB"/>
              </w:rPr>
            </w:pPr>
            <w:r w:rsidRPr="008B029F">
              <w:rPr>
                <w:lang w:val="en-AU" w:eastAsia="en-GB"/>
              </w:rPr>
              <w:t>41.5 (36.5-46.4)</w:t>
            </w:r>
          </w:p>
        </w:tc>
        <w:tc>
          <w:tcPr>
            <w:tcW w:w="2693" w:type="dxa"/>
          </w:tcPr>
          <w:p w14:paraId="6CD6BBF1" w14:textId="3227D7C9" w:rsidR="008A3535" w:rsidRPr="008B029F" w:rsidRDefault="008A3535">
            <w:pPr>
              <w:pStyle w:val="TableLeft"/>
              <w:jc w:val="center"/>
              <w:rPr>
                <w:lang w:val="en-AU" w:eastAsia="en-GB"/>
              </w:rPr>
            </w:pPr>
            <w:r w:rsidRPr="008B029F">
              <w:rPr>
                <w:lang w:val="en-AU" w:eastAsia="en-GB"/>
              </w:rPr>
              <w:t>47.4 (42.4-52.3)</w:t>
            </w:r>
          </w:p>
        </w:tc>
      </w:tr>
      <w:tr w:rsidR="008A3535" w:rsidRPr="008B029F" w14:paraId="200C94B5" w14:textId="77777777">
        <w:tc>
          <w:tcPr>
            <w:tcW w:w="3256" w:type="dxa"/>
            <w:shd w:val="clear" w:color="auto" w:fill="auto"/>
          </w:tcPr>
          <w:p w14:paraId="7FE0D7AF" w14:textId="54AA404E" w:rsidR="008A3535" w:rsidRPr="008B029F" w:rsidRDefault="008A3535" w:rsidP="004E0EEA">
            <w:pPr>
              <w:pStyle w:val="TableLeft"/>
              <w:ind w:left="164"/>
              <w:rPr>
                <w:b/>
                <w:bCs w:val="0"/>
                <w:lang w:val="en-AU" w:eastAsia="en-GB"/>
              </w:rPr>
            </w:pPr>
            <w:r w:rsidRPr="008B029F">
              <w:rPr>
                <w:b/>
                <w:bCs w:val="0"/>
                <w:lang w:val="en-AU" w:eastAsia="en-GB"/>
              </w:rPr>
              <w:t>OS at 24 months (%) (95% CI)</w:t>
            </w:r>
          </w:p>
        </w:tc>
        <w:tc>
          <w:tcPr>
            <w:tcW w:w="1842" w:type="dxa"/>
            <w:shd w:val="clear" w:color="auto" w:fill="auto"/>
          </w:tcPr>
          <w:p w14:paraId="19C26C71" w14:textId="3D8E0D91" w:rsidR="008A3535" w:rsidRPr="008B029F" w:rsidRDefault="008A3535">
            <w:pPr>
              <w:pStyle w:val="TableLeft"/>
              <w:jc w:val="center"/>
              <w:rPr>
                <w:lang w:val="en-AU" w:eastAsia="en-GB"/>
              </w:rPr>
            </w:pPr>
            <w:r w:rsidRPr="008B029F">
              <w:rPr>
                <w:lang w:val="en-AU" w:eastAsia="en-GB"/>
              </w:rPr>
              <w:t>40.5 (35.6-45.3)</w:t>
            </w:r>
          </w:p>
        </w:tc>
        <w:tc>
          <w:tcPr>
            <w:tcW w:w="1985" w:type="dxa"/>
            <w:shd w:val="clear" w:color="auto" w:fill="auto"/>
          </w:tcPr>
          <w:p w14:paraId="3150FE5B" w14:textId="0DAB46F6" w:rsidR="008A3535" w:rsidRPr="008B029F" w:rsidRDefault="008A3535">
            <w:pPr>
              <w:pStyle w:val="TableLeft"/>
              <w:jc w:val="center"/>
              <w:rPr>
                <w:lang w:val="en-AU" w:eastAsia="en-GB"/>
              </w:rPr>
            </w:pPr>
            <w:r w:rsidRPr="008B029F">
              <w:rPr>
                <w:lang w:val="en-AU" w:eastAsia="en-GB"/>
              </w:rPr>
              <w:t>32.6 (27.9-37.4)</w:t>
            </w:r>
          </w:p>
        </w:tc>
        <w:tc>
          <w:tcPr>
            <w:tcW w:w="2693" w:type="dxa"/>
          </w:tcPr>
          <w:p w14:paraId="6659D9FC" w14:textId="7ECE0DE6" w:rsidR="008A3535" w:rsidRPr="008B029F" w:rsidRDefault="008A3535">
            <w:pPr>
              <w:pStyle w:val="TableLeft"/>
              <w:jc w:val="center"/>
              <w:rPr>
                <w:lang w:val="en-AU" w:eastAsia="en-GB"/>
              </w:rPr>
            </w:pPr>
            <w:r w:rsidRPr="008B029F">
              <w:rPr>
                <w:lang w:val="en-AU" w:eastAsia="en-GB"/>
              </w:rPr>
              <w:t>39.6 (34.8-44.5)</w:t>
            </w:r>
          </w:p>
        </w:tc>
      </w:tr>
      <w:tr w:rsidR="008A3535" w:rsidRPr="008B029F" w14:paraId="16B006F3" w14:textId="77777777">
        <w:tc>
          <w:tcPr>
            <w:tcW w:w="3256" w:type="dxa"/>
            <w:shd w:val="clear" w:color="auto" w:fill="auto"/>
          </w:tcPr>
          <w:p w14:paraId="40E3E587" w14:textId="41F83C25" w:rsidR="008A3535" w:rsidRPr="008B029F" w:rsidRDefault="008A3535">
            <w:pPr>
              <w:pStyle w:val="TableLeft"/>
              <w:ind w:left="164"/>
              <w:rPr>
                <w:b/>
                <w:bCs w:val="0"/>
                <w:lang w:val="en-AU" w:eastAsia="en-GB"/>
              </w:rPr>
            </w:pPr>
            <w:r w:rsidRPr="008B029F">
              <w:rPr>
                <w:b/>
                <w:bCs w:val="0"/>
                <w:lang w:val="en-AU" w:eastAsia="en-GB"/>
              </w:rPr>
              <w:t>OS at 36 months (%) (95% CI)</w:t>
            </w:r>
          </w:p>
        </w:tc>
        <w:tc>
          <w:tcPr>
            <w:tcW w:w="1842" w:type="dxa"/>
            <w:shd w:val="clear" w:color="auto" w:fill="auto"/>
          </w:tcPr>
          <w:p w14:paraId="6E24D585" w14:textId="6B284090" w:rsidR="008A3535" w:rsidRPr="008B029F" w:rsidRDefault="008A3535">
            <w:pPr>
              <w:pStyle w:val="TableLeft"/>
              <w:jc w:val="center"/>
              <w:rPr>
                <w:lang w:val="en-AU" w:eastAsia="en-GB"/>
              </w:rPr>
            </w:pPr>
            <w:r w:rsidRPr="008B029F">
              <w:rPr>
                <w:lang w:val="en-AU" w:eastAsia="en-GB"/>
              </w:rPr>
              <w:t>30.7 (25.8-35.7)</w:t>
            </w:r>
          </w:p>
        </w:tc>
        <w:tc>
          <w:tcPr>
            <w:tcW w:w="1985" w:type="dxa"/>
            <w:shd w:val="clear" w:color="auto" w:fill="auto"/>
          </w:tcPr>
          <w:p w14:paraId="6E8981BB" w14:textId="0241CE73" w:rsidR="008A3535" w:rsidRPr="008B029F" w:rsidRDefault="008A3535">
            <w:pPr>
              <w:pStyle w:val="TableLeft"/>
              <w:jc w:val="center"/>
              <w:rPr>
                <w:lang w:val="en-AU" w:eastAsia="en-GB"/>
              </w:rPr>
            </w:pPr>
            <w:r w:rsidRPr="008B029F">
              <w:rPr>
                <w:lang w:val="en-AU" w:eastAsia="en-GB"/>
              </w:rPr>
              <w:t>20.2 (15.8-25.1)</w:t>
            </w:r>
          </w:p>
        </w:tc>
        <w:tc>
          <w:tcPr>
            <w:tcW w:w="2693" w:type="dxa"/>
          </w:tcPr>
          <w:p w14:paraId="1AB7C291" w14:textId="3199C840" w:rsidR="008A3535" w:rsidRPr="008B029F" w:rsidRDefault="008A3535">
            <w:pPr>
              <w:pStyle w:val="TableLeft"/>
              <w:jc w:val="center"/>
              <w:rPr>
                <w:lang w:val="en-AU" w:eastAsia="en-GB"/>
              </w:rPr>
            </w:pPr>
            <w:r w:rsidRPr="008B029F">
              <w:rPr>
                <w:lang w:val="en-AU" w:eastAsia="en-GB"/>
              </w:rPr>
              <w:t>24.7 (20.0-29.8)</w:t>
            </w:r>
          </w:p>
        </w:tc>
      </w:tr>
      <w:tr w:rsidR="008A3535" w:rsidRPr="008B029F" w14:paraId="50F24C32" w14:textId="77777777">
        <w:tc>
          <w:tcPr>
            <w:tcW w:w="3256" w:type="dxa"/>
            <w:shd w:val="clear" w:color="auto" w:fill="auto"/>
          </w:tcPr>
          <w:p w14:paraId="7A075CAF" w14:textId="77777777" w:rsidR="008A3535" w:rsidRPr="008B029F" w:rsidRDefault="008A3535">
            <w:pPr>
              <w:pStyle w:val="TableLeft"/>
              <w:ind w:left="164"/>
              <w:rPr>
                <w:lang w:val="en-AU" w:eastAsia="en-GB"/>
              </w:rPr>
            </w:pPr>
            <w:r w:rsidRPr="008B029F">
              <w:rPr>
                <w:lang w:val="en-AU" w:eastAsia="en-GB"/>
              </w:rPr>
              <w:t>p-value</w:t>
            </w:r>
          </w:p>
        </w:tc>
        <w:tc>
          <w:tcPr>
            <w:tcW w:w="3827" w:type="dxa"/>
            <w:gridSpan w:val="2"/>
            <w:shd w:val="clear" w:color="auto" w:fill="auto"/>
          </w:tcPr>
          <w:p w14:paraId="077B9F90" w14:textId="77777777" w:rsidR="008A3535" w:rsidRPr="008B029F" w:rsidRDefault="008A3535">
            <w:pPr>
              <w:pStyle w:val="TableLeft"/>
              <w:jc w:val="center"/>
              <w:rPr>
                <w:lang w:val="en-AU" w:eastAsia="en-GB"/>
              </w:rPr>
            </w:pPr>
            <w:r w:rsidRPr="008B029F">
              <w:rPr>
                <w:lang w:val="en-AU" w:eastAsia="en-GB"/>
              </w:rPr>
              <w:t>0.0029</w:t>
            </w:r>
          </w:p>
        </w:tc>
        <w:tc>
          <w:tcPr>
            <w:tcW w:w="2693" w:type="dxa"/>
          </w:tcPr>
          <w:p w14:paraId="2CA4FFB3" w14:textId="77777777" w:rsidR="008A3535" w:rsidRPr="008B029F" w:rsidRDefault="008A3535">
            <w:pPr>
              <w:pStyle w:val="TableLeft"/>
              <w:jc w:val="center"/>
              <w:rPr>
                <w:lang w:val="en-AU" w:eastAsia="en-GB"/>
              </w:rPr>
            </w:pPr>
            <w:r w:rsidRPr="008B029F">
              <w:rPr>
                <w:lang w:val="en-AU" w:eastAsia="en-GB"/>
              </w:rPr>
              <w:t>0.1926</w:t>
            </w:r>
          </w:p>
        </w:tc>
      </w:tr>
      <w:tr w:rsidR="008A3535" w:rsidRPr="008B029F" w14:paraId="0BA81F1E" w14:textId="77777777">
        <w:tc>
          <w:tcPr>
            <w:tcW w:w="3256" w:type="dxa"/>
            <w:shd w:val="clear" w:color="auto" w:fill="auto"/>
          </w:tcPr>
          <w:p w14:paraId="7A61EFA7" w14:textId="77777777" w:rsidR="008A3535" w:rsidRPr="008B029F" w:rsidRDefault="008A3535">
            <w:pPr>
              <w:pStyle w:val="TableLeft"/>
              <w:ind w:left="164"/>
              <w:rPr>
                <w:lang w:val="en-AU" w:eastAsia="en-GB"/>
              </w:rPr>
            </w:pPr>
            <w:r w:rsidRPr="008B029F">
              <w:rPr>
                <w:lang w:val="en-AU" w:eastAsia="en-GB"/>
              </w:rPr>
              <w:t>Number of patients treated beyond progression</w:t>
            </w:r>
          </w:p>
        </w:tc>
        <w:tc>
          <w:tcPr>
            <w:tcW w:w="1842" w:type="dxa"/>
            <w:shd w:val="clear" w:color="auto" w:fill="auto"/>
          </w:tcPr>
          <w:p w14:paraId="1A33E38A" w14:textId="77777777" w:rsidR="008A3535" w:rsidRPr="008B029F" w:rsidRDefault="008A3535">
            <w:pPr>
              <w:pStyle w:val="TableLeft"/>
              <w:jc w:val="center"/>
              <w:rPr>
                <w:lang w:val="en-AU" w:eastAsia="en-GB"/>
              </w:rPr>
            </w:pPr>
            <w:r w:rsidRPr="008B029F">
              <w:rPr>
                <w:lang w:val="en-AU" w:eastAsia="en-GB"/>
              </w:rPr>
              <w:t>182</w:t>
            </w:r>
          </w:p>
        </w:tc>
        <w:tc>
          <w:tcPr>
            <w:tcW w:w="1985" w:type="dxa"/>
            <w:shd w:val="clear" w:color="auto" w:fill="auto"/>
          </w:tcPr>
          <w:p w14:paraId="53ACE100" w14:textId="77777777" w:rsidR="008A3535" w:rsidRPr="008B029F" w:rsidRDefault="008A3535">
            <w:pPr>
              <w:pStyle w:val="TableLeft"/>
              <w:jc w:val="center"/>
              <w:rPr>
                <w:lang w:val="en-AU" w:eastAsia="en-GB"/>
              </w:rPr>
            </w:pPr>
            <w:r w:rsidRPr="008B029F">
              <w:rPr>
                <w:lang w:val="en-AU" w:eastAsia="en-GB"/>
              </w:rPr>
              <w:t>192</w:t>
            </w:r>
          </w:p>
        </w:tc>
        <w:tc>
          <w:tcPr>
            <w:tcW w:w="2693" w:type="dxa"/>
            <w:shd w:val="clear" w:color="auto" w:fill="auto"/>
          </w:tcPr>
          <w:p w14:paraId="2A409BDC" w14:textId="77777777" w:rsidR="008A3535" w:rsidRPr="008B029F" w:rsidRDefault="008A3535">
            <w:pPr>
              <w:pStyle w:val="TableLeft"/>
              <w:jc w:val="center"/>
              <w:rPr>
                <w:lang w:val="en-AU" w:eastAsia="en-GB"/>
              </w:rPr>
            </w:pPr>
            <w:r w:rsidRPr="008B029F">
              <w:rPr>
                <w:lang w:val="en-AU" w:eastAsia="en-GB"/>
              </w:rPr>
              <w:t>188</w:t>
            </w:r>
          </w:p>
        </w:tc>
      </w:tr>
      <w:tr w:rsidR="008A3535" w:rsidRPr="008B029F" w14:paraId="63762362" w14:textId="77777777">
        <w:tc>
          <w:tcPr>
            <w:tcW w:w="9776" w:type="dxa"/>
            <w:gridSpan w:val="4"/>
            <w:shd w:val="clear" w:color="auto" w:fill="auto"/>
          </w:tcPr>
          <w:p w14:paraId="4BBE6D5B" w14:textId="77777777" w:rsidR="008A3535" w:rsidRPr="008B029F" w:rsidRDefault="008A3535">
            <w:pPr>
              <w:pStyle w:val="TableLeft"/>
              <w:rPr>
                <w:b/>
                <w:bCs w:val="0"/>
                <w:lang w:val="en-AU" w:eastAsia="en-GB"/>
              </w:rPr>
            </w:pPr>
            <w:r w:rsidRPr="008B029F">
              <w:rPr>
                <w:b/>
                <w:bCs w:val="0"/>
                <w:lang w:val="en-AU" w:eastAsia="en-GB"/>
              </w:rPr>
              <w:t>PFS</w:t>
            </w:r>
          </w:p>
        </w:tc>
      </w:tr>
      <w:tr w:rsidR="008A3535" w:rsidRPr="008B029F" w14:paraId="59FE2E18" w14:textId="77777777">
        <w:tc>
          <w:tcPr>
            <w:tcW w:w="3256" w:type="dxa"/>
            <w:shd w:val="clear" w:color="auto" w:fill="auto"/>
          </w:tcPr>
          <w:p w14:paraId="463852F3" w14:textId="77777777" w:rsidR="008A3535" w:rsidRPr="008B029F" w:rsidRDefault="008A3535" w:rsidP="004E0EEA">
            <w:pPr>
              <w:pStyle w:val="TableLeft"/>
              <w:ind w:firstLine="164"/>
              <w:rPr>
                <w:lang w:val="en-AU" w:eastAsia="en-GB"/>
              </w:rPr>
            </w:pPr>
            <w:r w:rsidRPr="008B029F">
              <w:rPr>
                <w:lang w:val="en-AU" w:eastAsia="en-GB"/>
              </w:rPr>
              <w:t>Number of events (%)</w:t>
            </w:r>
          </w:p>
        </w:tc>
        <w:tc>
          <w:tcPr>
            <w:tcW w:w="1842" w:type="dxa"/>
            <w:shd w:val="clear" w:color="auto" w:fill="auto"/>
          </w:tcPr>
          <w:p w14:paraId="79D300C7" w14:textId="77777777" w:rsidR="008A3535" w:rsidRPr="008B029F" w:rsidRDefault="008A3535">
            <w:pPr>
              <w:pStyle w:val="TableLeft"/>
              <w:jc w:val="center"/>
              <w:rPr>
                <w:lang w:val="en-AU" w:eastAsia="en-GB"/>
              </w:rPr>
            </w:pPr>
            <w:r w:rsidRPr="008B029F">
              <w:rPr>
                <w:lang w:val="en-AU" w:eastAsia="en-GB"/>
              </w:rPr>
              <w:t>335 (85.2)</w:t>
            </w:r>
          </w:p>
        </w:tc>
        <w:tc>
          <w:tcPr>
            <w:tcW w:w="1985" w:type="dxa"/>
            <w:shd w:val="clear" w:color="auto" w:fill="auto"/>
          </w:tcPr>
          <w:p w14:paraId="2ED1BD97" w14:textId="77777777" w:rsidR="008A3535" w:rsidRPr="008B029F" w:rsidRDefault="008A3535">
            <w:pPr>
              <w:pStyle w:val="TableLeft"/>
              <w:jc w:val="center"/>
              <w:rPr>
                <w:lang w:val="en-AU" w:eastAsia="en-GB"/>
              </w:rPr>
            </w:pPr>
            <w:r w:rsidRPr="008B029F">
              <w:rPr>
                <w:lang w:val="en-AU" w:eastAsia="en-GB"/>
              </w:rPr>
              <w:t>327 (84.1)</w:t>
            </w:r>
          </w:p>
        </w:tc>
        <w:tc>
          <w:tcPr>
            <w:tcW w:w="2693" w:type="dxa"/>
            <w:shd w:val="clear" w:color="auto" w:fill="auto"/>
          </w:tcPr>
          <w:p w14:paraId="3F6327E4" w14:textId="77777777" w:rsidR="008A3535" w:rsidRPr="008B029F" w:rsidRDefault="008A3535">
            <w:pPr>
              <w:pStyle w:val="TableLeft"/>
              <w:jc w:val="center"/>
              <w:rPr>
                <w:lang w:val="en-AU" w:eastAsia="en-GB"/>
              </w:rPr>
            </w:pPr>
            <w:r w:rsidRPr="008B029F">
              <w:rPr>
                <w:lang w:val="en-AU" w:eastAsia="en-GB"/>
              </w:rPr>
              <w:t>345 (88.7)</w:t>
            </w:r>
          </w:p>
        </w:tc>
      </w:tr>
      <w:tr w:rsidR="008A3535" w:rsidRPr="008B029F" w14:paraId="7A1D3D0E" w14:textId="77777777">
        <w:tc>
          <w:tcPr>
            <w:tcW w:w="3256" w:type="dxa"/>
            <w:shd w:val="clear" w:color="auto" w:fill="auto"/>
          </w:tcPr>
          <w:p w14:paraId="03678970" w14:textId="73A41B1D" w:rsidR="008A3535" w:rsidRPr="008B029F" w:rsidRDefault="008A3535" w:rsidP="004E0EEA">
            <w:pPr>
              <w:pStyle w:val="TableLeft"/>
              <w:ind w:firstLine="164"/>
              <w:rPr>
                <w:lang w:val="en-AU" w:eastAsia="en-GB"/>
              </w:rPr>
            </w:pPr>
            <w:r w:rsidRPr="008B029F">
              <w:rPr>
                <w:b/>
                <w:bCs w:val="0"/>
                <w:lang w:val="en-AU" w:eastAsia="en-GB"/>
              </w:rPr>
              <w:t>Median PFS (months) (95% CI)</w:t>
            </w:r>
          </w:p>
        </w:tc>
        <w:tc>
          <w:tcPr>
            <w:tcW w:w="1842" w:type="dxa"/>
            <w:shd w:val="clear" w:color="auto" w:fill="auto"/>
          </w:tcPr>
          <w:p w14:paraId="25B55B8E" w14:textId="79B10C89" w:rsidR="008A3535" w:rsidRPr="008B029F" w:rsidRDefault="008A3535">
            <w:pPr>
              <w:pStyle w:val="TableLeft"/>
              <w:jc w:val="center"/>
              <w:rPr>
                <w:lang w:val="en-AU" w:eastAsia="en-GB"/>
              </w:rPr>
            </w:pPr>
            <w:r w:rsidRPr="008B029F">
              <w:rPr>
                <w:lang w:val="en-AU" w:eastAsia="en-GB"/>
              </w:rPr>
              <w:t>3.78 (3.68-5.32)</w:t>
            </w:r>
          </w:p>
        </w:tc>
        <w:tc>
          <w:tcPr>
            <w:tcW w:w="1985" w:type="dxa"/>
            <w:shd w:val="clear" w:color="auto" w:fill="auto"/>
          </w:tcPr>
          <w:p w14:paraId="6B83DCB3" w14:textId="183ADE48" w:rsidR="008A3535" w:rsidRPr="008B029F" w:rsidRDefault="008A3535">
            <w:pPr>
              <w:pStyle w:val="TableLeft"/>
              <w:jc w:val="center"/>
              <w:rPr>
                <w:lang w:val="en-AU" w:eastAsia="en-GB"/>
              </w:rPr>
            </w:pPr>
            <w:r w:rsidRPr="008B029F">
              <w:rPr>
                <w:lang w:val="en-AU" w:eastAsia="en-GB"/>
              </w:rPr>
              <w:t>4.07 (3.75-5.49)</w:t>
            </w:r>
          </w:p>
        </w:tc>
        <w:tc>
          <w:tcPr>
            <w:tcW w:w="2693" w:type="dxa"/>
            <w:shd w:val="clear" w:color="auto" w:fill="auto"/>
          </w:tcPr>
          <w:p w14:paraId="46F32D4A" w14:textId="256E2309" w:rsidR="008A3535" w:rsidRPr="008B029F" w:rsidRDefault="008A3535">
            <w:pPr>
              <w:pStyle w:val="TableLeft"/>
              <w:jc w:val="center"/>
              <w:rPr>
                <w:lang w:val="en-AU" w:eastAsia="en-GB"/>
              </w:rPr>
            </w:pPr>
            <w:r w:rsidRPr="008B029F">
              <w:rPr>
                <w:lang w:val="en-AU" w:eastAsia="en-GB"/>
              </w:rPr>
              <w:t>3.65 (3.19-3.75)</w:t>
            </w:r>
          </w:p>
        </w:tc>
      </w:tr>
      <w:tr w:rsidR="008A3535" w:rsidRPr="008B029F" w14:paraId="149F2A44" w14:textId="77777777">
        <w:tc>
          <w:tcPr>
            <w:tcW w:w="3256" w:type="dxa"/>
            <w:shd w:val="clear" w:color="auto" w:fill="auto"/>
          </w:tcPr>
          <w:p w14:paraId="4EBC45BC" w14:textId="77777777" w:rsidR="008A3535" w:rsidRPr="008B029F" w:rsidRDefault="008A3535" w:rsidP="004E0EEA">
            <w:pPr>
              <w:pStyle w:val="TableLeft"/>
              <w:ind w:firstLine="164"/>
              <w:rPr>
                <w:lang w:val="en-AU" w:eastAsia="en-GB"/>
              </w:rPr>
            </w:pPr>
            <w:r w:rsidRPr="008B029F">
              <w:rPr>
                <w:lang w:val="en-AU" w:eastAsia="en-GB"/>
              </w:rPr>
              <w:t>HR (95% CI)</w:t>
            </w:r>
          </w:p>
        </w:tc>
        <w:tc>
          <w:tcPr>
            <w:tcW w:w="3827" w:type="dxa"/>
            <w:gridSpan w:val="2"/>
            <w:shd w:val="clear" w:color="auto" w:fill="auto"/>
          </w:tcPr>
          <w:p w14:paraId="27CC1CAF" w14:textId="77777777" w:rsidR="008A3535" w:rsidRPr="008B029F" w:rsidRDefault="008A3535">
            <w:pPr>
              <w:pStyle w:val="TableLeft"/>
              <w:jc w:val="center"/>
              <w:rPr>
                <w:lang w:val="en-AU" w:eastAsia="en-GB"/>
              </w:rPr>
            </w:pPr>
            <w:r w:rsidRPr="008B029F">
              <w:rPr>
                <w:lang w:val="en-AU" w:eastAsia="en-GB"/>
              </w:rPr>
              <w:t>0.90 (0.77 - 1.05)</w:t>
            </w:r>
          </w:p>
        </w:tc>
        <w:tc>
          <w:tcPr>
            <w:tcW w:w="2693" w:type="dxa"/>
            <w:shd w:val="clear" w:color="auto" w:fill="auto"/>
          </w:tcPr>
          <w:p w14:paraId="5C7521D1" w14:textId="77777777" w:rsidR="008A3535" w:rsidRPr="008B029F" w:rsidRDefault="008A3535">
            <w:pPr>
              <w:pStyle w:val="TableLeft"/>
              <w:jc w:val="center"/>
              <w:rPr>
                <w:lang w:val="en-AU" w:eastAsia="en-GB"/>
              </w:rPr>
            </w:pPr>
            <w:r w:rsidRPr="008B029F">
              <w:rPr>
                <w:lang w:val="en-AU" w:eastAsia="en-GB"/>
              </w:rPr>
              <w:t>-</w:t>
            </w:r>
          </w:p>
        </w:tc>
      </w:tr>
      <w:tr w:rsidR="008A3535" w:rsidRPr="008B029F" w14:paraId="5EBC4618" w14:textId="77777777">
        <w:tc>
          <w:tcPr>
            <w:tcW w:w="3256" w:type="dxa"/>
            <w:shd w:val="clear" w:color="auto" w:fill="auto"/>
          </w:tcPr>
          <w:p w14:paraId="3925364A" w14:textId="77777777" w:rsidR="008A3535" w:rsidRPr="008B029F" w:rsidRDefault="008A3535" w:rsidP="004E0EEA">
            <w:pPr>
              <w:pStyle w:val="TableLeft"/>
              <w:ind w:firstLine="164"/>
              <w:rPr>
                <w:lang w:val="en-AU" w:eastAsia="en-GB"/>
              </w:rPr>
            </w:pPr>
            <w:r w:rsidRPr="008B029F">
              <w:rPr>
                <w:lang w:val="en-AU" w:eastAsia="en-GB"/>
              </w:rPr>
              <w:t>p-value</w:t>
            </w:r>
            <w:r w:rsidRPr="008B029F">
              <w:rPr>
                <w:vertAlign w:val="superscript"/>
                <w:lang w:val="en-AU" w:eastAsia="en-GB"/>
              </w:rPr>
              <w:t>c</w:t>
            </w:r>
          </w:p>
        </w:tc>
        <w:tc>
          <w:tcPr>
            <w:tcW w:w="3827" w:type="dxa"/>
            <w:gridSpan w:val="2"/>
            <w:shd w:val="clear" w:color="auto" w:fill="auto"/>
          </w:tcPr>
          <w:p w14:paraId="63A08893" w14:textId="77777777" w:rsidR="008A3535" w:rsidRPr="008B029F" w:rsidRDefault="008A3535">
            <w:pPr>
              <w:pStyle w:val="TableLeft"/>
              <w:jc w:val="center"/>
              <w:rPr>
                <w:lang w:val="en-AU" w:eastAsia="en-GB"/>
              </w:rPr>
            </w:pPr>
            <w:r w:rsidRPr="008B029F">
              <w:rPr>
                <w:lang w:val="en-AU" w:eastAsia="en-GB"/>
              </w:rPr>
              <w:t>0.1625</w:t>
            </w:r>
          </w:p>
        </w:tc>
        <w:tc>
          <w:tcPr>
            <w:tcW w:w="2693" w:type="dxa"/>
            <w:shd w:val="clear" w:color="auto" w:fill="auto"/>
          </w:tcPr>
          <w:p w14:paraId="20A46B7C" w14:textId="77777777" w:rsidR="008A3535" w:rsidRPr="008B029F" w:rsidRDefault="008A3535">
            <w:pPr>
              <w:pStyle w:val="TableLeft"/>
              <w:jc w:val="center"/>
              <w:rPr>
                <w:lang w:val="en-AU" w:eastAsia="en-GB"/>
              </w:rPr>
            </w:pPr>
            <w:r w:rsidRPr="008B029F">
              <w:rPr>
                <w:lang w:val="en-AU" w:eastAsia="en-GB"/>
              </w:rPr>
              <w:t>-</w:t>
            </w:r>
          </w:p>
        </w:tc>
      </w:tr>
      <w:tr w:rsidR="008A3535" w:rsidRPr="008B029F" w14:paraId="7FF19B97" w14:textId="77777777">
        <w:tc>
          <w:tcPr>
            <w:tcW w:w="3256" w:type="dxa"/>
            <w:shd w:val="clear" w:color="auto" w:fill="auto"/>
          </w:tcPr>
          <w:p w14:paraId="77D9DC95" w14:textId="77777777" w:rsidR="008A3535" w:rsidRPr="008B029F" w:rsidRDefault="008A3535" w:rsidP="004E0EEA">
            <w:pPr>
              <w:pStyle w:val="TableLeft"/>
              <w:ind w:firstLine="164"/>
              <w:rPr>
                <w:lang w:val="en-AU" w:eastAsia="en-GB"/>
              </w:rPr>
            </w:pPr>
            <w:r w:rsidRPr="008B029F">
              <w:rPr>
                <w:lang w:val="en-AU" w:eastAsia="en-GB"/>
              </w:rPr>
              <w:t>HR (95% CI)</w:t>
            </w:r>
          </w:p>
        </w:tc>
        <w:tc>
          <w:tcPr>
            <w:tcW w:w="1842" w:type="dxa"/>
            <w:shd w:val="clear" w:color="auto" w:fill="auto"/>
          </w:tcPr>
          <w:p w14:paraId="7BF04679" w14:textId="77777777" w:rsidR="008A3535" w:rsidRPr="008B029F" w:rsidRDefault="008A3535">
            <w:pPr>
              <w:pStyle w:val="TableLeft"/>
              <w:jc w:val="center"/>
              <w:rPr>
                <w:lang w:val="en-AU" w:eastAsia="en-GB"/>
              </w:rPr>
            </w:pPr>
            <w:r w:rsidRPr="008B029F">
              <w:rPr>
                <w:lang w:val="en-AU" w:eastAsia="en-GB"/>
              </w:rPr>
              <w:t>-</w:t>
            </w:r>
          </w:p>
        </w:tc>
        <w:tc>
          <w:tcPr>
            <w:tcW w:w="4678" w:type="dxa"/>
            <w:gridSpan w:val="2"/>
            <w:shd w:val="clear" w:color="auto" w:fill="auto"/>
          </w:tcPr>
          <w:p w14:paraId="4BCC8405" w14:textId="77777777" w:rsidR="008A3535" w:rsidRPr="008B029F" w:rsidRDefault="008A3535">
            <w:pPr>
              <w:pStyle w:val="TableLeft"/>
              <w:jc w:val="center"/>
              <w:rPr>
                <w:lang w:val="en-AU" w:eastAsia="en-GB"/>
              </w:rPr>
            </w:pPr>
            <w:r w:rsidRPr="008B029F">
              <w:rPr>
                <w:lang w:val="en-AU" w:eastAsia="en-GB"/>
              </w:rPr>
              <w:t>1.02 (0.88 - 1.19)</w:t>
            </w:r>
          </w:p>
        </w:tc>
      </w:tr>
      <w:tr w:rsidR="008A3535" w:rsidRPr="008B029F" w14:paraId="5E66E75B" w14:textId="77777777">
        <w:tc>
          <w:tcPr>
            <w:tcW w:w="3256" w:type="dxa"/>
            <w:shd w:val="clear" w:color="auto" w:fill="auto"/>
          </w:tcPr>
          <w:p w14:paraId="72EADFA5" w14:textId="77777777" w:rsidR="008A3535" w:rsidRPr="008B029F" w:rsidRDefault="008A3535" w:rsidP="004E0EEA">
            <w:pPr>
              <w:pStyle w:val="TableLeft"/>
              <w:ind w:firstLine="164"/>
              <w:rPr>
                <w:lang w:val="en-AU" w:eastAsia="en-GB"/>
              </w:rPr>
            </w:pPr>
            <w:r w:rsidRPr="008B029F">
              <w:rPr>
                <w:lang w:val="en-AU" w:eastAsia="en-GB"/>
              </w:rPr>
              <w:t>p-value</w:t>
            </w:r>
            <w:r w:rsidRPr="008B029F">
              <w:rPr>
                <w:vertAlign w:val="superscript"/>
                <w:lang w:val="en-AU" w:eastAsia="en-GB"/>
              </w:rPr>
              <w:t>c</w:t>
            </w:r>
          </w:p>
        </w:tc>
        <w:tc>
          <w:tcPr>
            <w:tcW w:w="1842" w:type="dxa"/>
            <w:shd w:val="clear" w:color="auto" w:fill="auto"/>
          </w:tcPr>
          <w:p w14:paraId="3792BD72" w14:textId="77777777" w:rsidR="008A3535" w:rsidRPr="008B029F" w:rsidRDefault="008A3535">
            <w:pPr>
              <w:pStyle w:val="TableLeft"/>
              <w:jc w:val="center"/>
              <w:rPr>
                <w:lang w:val="en-AU" w:eastAsia="en-GB"/>
              </w:rPr>
            </w:pPr>
            <w:r w:rsidRPr="008B029F">
              <w:rPr>
                <w:lang w:val="en-AU" w:eastAsia="en-GB"/>
              </w:rPr>
              <w:t>-</w:t>
            </w:r>
          </w:p>
        </w:tc>
        <w:tc>
          <w:tcPr>
            <w:tcW w:w="4678" w:type="dxa"/>
            <w:gridSpan w:val="2"/>
            <w:shd w:val="clear" w:color="auto" w:fill="auto"/>
          </w:tcPr>
          <w:p w14:paraId="137A85AD" w14:textId="77777777" w:rsidR="008A3535" w:rsidRPr="008B029F" w:rsidRDefault="008A3535">
            <w:pPr>
              <w:pStyle w:val="TableLeft"/>
              <w:jc w:val="center"/>
              <w:rPr>
                <w:lang w:val="en-AU" w:eastAsia="en-GB"/>
              </w:rPr>
            </w:pPr>
            <w:r w:rsidRPr="008B029F">
              <w:rPr>
                <w:lang w:val="en-AU" w:eastAsia="en-GB"/>
              </w:rPr>
              <w:t>0.7736</w:t>
            </w:r>
          </w:p>
        </w:tc>
      </w:tr>
      <w:tr w:rsidR="008A3535" w:rsidRPr="008B029F" w14:paraId="562A4A95" w14:textId="77777777">
        <w:tc>
          <w:tcPr>
            <w:tcW w:w="9776" w:type="dxa"/>
            <w:gridSpan w:val="4"/>
            <w:shd w:val="clear" w:color="auto" w:fill="auto"/>
          </w:tcPr>
          <w:p w14:paraId="2CC68007" w14:textId="77777777" w:rsidR="008A3535" w:rsidRPr="008B029F" w:rsidRDefault="008A3535">
            <w:pPr>
              <w:pStyle w:val="TableLeft"/>
              <w:rPr>
                <w:b/>
                <w:bCs w:val="0"/>
                <w:lang w:val="en-AU" w:eastAsia="en-GB"/>
              </w:rPr>
            </w:pPr>
            <w:r w:rsidRPr="008B029F">
              <w:rPr>
                <w:b/>
                <w:bCs w:val="0"/>
                <w:lang w:val="en-AU" w:eastAsia="en-GB"/>
              </w:rPr>
              <w:t>ORR</w:t>
            </w:r>
          </w:p>
        </w:tc>
      </w:tr>
      <w:tr w:rsidR="008A3535" w:rsidRPr="008B029F" w14:paraId="5235BF71" w14:textId="77777777">
        <w:tc>
          <w:tcPr>
            <w:tcW w:w="3256" w:type="dxa"/>
            <w:shd w:val="clear" w:color="auto" w:fill="auto"/>
          </w:tcPr>
          <w:p w14:paraId="2F7C1F41" w14:textId="77777777" w:rsidR="008A3535" w:rsidRPr="008B029F" w:rsidRDefault="008A3535">
            <w:pPr>
              <w:pStyle w:val="TableLeft"/>
              <w:ind w:left="164"/>
              <w:rPr>
                <w:b/>
                <w:bCs w:val="0"/>
                <w:lang w:val="en-AU" w:eastAsia="en-GB"/>
              </w:rPr>
            </w:pPr>
            <w:r w:rsidRPr="008B029F">
              <w:rPr>
                <w:b/>
                <w:bCs w:val="0"/>
                <w:lang w:val="en-AU" w:eastAsia="en-GB"/>
              </w:rPr>
              <w:t>ORR n (%)</w:t>
            </w:r>
            <w:r w:rsidRPr="008B029F">
              <w:rPr>
                <w:b/>
                <w:bCs w:val="0"/>
                <w:vertAlign w:val="superscript"/>
                <w:lang w:val="en-AU" w:eastAsia="en-GB"/>
              </w:rPr>
              <w:t>c,d</w:t>
            </w:r>
            <w:r w:rsidRPr="008B029F">
              <w:rPr>
                <w:b/>
                <w:bCs w:val="0"/>
                <w:lang w:val="en-AU" w:eastAsia="en-GB"/>
              </w:rPr>
              <w:t xml:space="preserve"> </w:t>
            </w:r>
          </w:p>
        </w:tc>
        <w:tc>
          <w:tcPr>
            <w:tcW w:w="1842" w:type="dxa"/>
            <w:shd w:val="clear" w:color="auto" w:fill="auto"/>
          </w:tcPr>
          <w:p w14:paraId="47C7D462" w14:textId="22C02B37" w:rsidR="008A3535" w:rsidRPr="008B029F" w:rsidRDefault="00954AD1">
            <w:pPr>
              <w:pStyle w:val="TableLeft"/>
              <w:jc w:val="center"/>
              <w:rPr>
                <w:lang w:val="en-AU" w:eastAsia="en-GB"/>
              </w:rPr>
            </w:pPr>
            <w:r w:rsidRPr="008B029F">
              <w:rPr>
                <w:lang w:val="en-AU" w:eastAsia="en-GB"/>
              </w:rPr>
              <w:t>79 (20.1)</w:t>
            </w:r>
          </w:p>
        </w:tc>
        <w:tc>
          <w:tcPr>
            <w:tcW w:w="1985" w:type="dxa"/>
            <w:shd w:val="clear" w:color="auto" w:fill="auto"/>
          </w:tcPr>
          <w:p w14:paraId="582B9049" w14:textId="77777777" w:rsidR="008A3535" w:rsidRPr="008B029F" w:rsidRDefault="008A3535">
            <w:pPr>
              <w:pStyle w:val="TableLeft"/>
              <w:jc w:val="center"/>
              <w:rPr>
                <w:lang w:val="en-AU" w:eastAsia="en-GB"/>
              </w:rPr>
            </w:pPr>
            <w:r w:rsidRPr="008B029F">
              <w:rPr>
                <w:lang w:val="en-AU" w:eastAsia="en-GB"/>
              </w:rPr>
              <w:t>20 (5.1)</w:t>
            </w:r>
          </w:p>
        </w:tc>
        <w:tc>
          <w:tcPr>
            <w:tcW w:w="2693" w:type="dxa"/>
          </w:tcPr>
          <w:p w14:paraId="1A4B34D0" w14:textId="77777777" w:rsidR="008A3535" w:rsidRPr="008B029F" w:rsidRDefault="008A3535">
            <w:pPr>
              <w:pStyle w:val="TableLeft"/>
              <w:jc w:val="center"/>
              <w:rPr>
                <w:lang w:val="en-AU" w:eastAsia="en-GB"/>
              </w:rPr>
            </w:pPr>
            <w:r w:rsidRPr="008B029F">
              <w:rPr>
                <w:lang w:val="en-AU" w:eastAsia="en-GB"/>
              </w:rPr>
              <w:t>66 (17.0)</w:t>
            </w:r>
          </w:p>
        </w:tc>
      </w:tr>
      <w:tr w:rsidR="008A3535" w:rsidRPr="008B029F" w14:paraId="6A42BBA4" w14:textId="77777777">
        <w:tc>
          <w:tcPr>
            <w:tcW w:w="3256" w:type="dxa"/>
            <w:shd w:val="clear" w:color="auto" w:fill="auto"/>
          </w:tcPr>
          <w:p w14:paraId="72FE2E82" w14:textId="77777777" w:rsidR="008A3535" w:rsidRPr="008B029F" w:rsidRDefault="008A3535">
            <w:pPr>
              <w:pStyle w:val="TableLeft"/>
              <w:ind w:left="164"/>
              <w:rPr>
                <w:lang w:val="en-AU" w:eastAsia="en-GB"/>
              </w:rPr>
            </w:pPr>
            <w:r w:rsidRPr="008B029F">
              <w:rPr>
                <w:lang w:val="en-AU" w:eastAsia="en-GB"/>
              </w:rPr>
              <w:t>Complete Response n (%)</w:t>
            </w:r>
          </w:p>
        </w:tc>
        <w:tc>
          <w:tcPr>
            <w:tcW w:w="1842" w:type="dxa"/>
            <w:shd w:val="clear" w:color="auto" w:fill="auto"/>
          </w:tcPr>
          <w:p w14:paraId="1C4B36FA" w14:textId="77777777" w:rsidR="008A3535" w:rsidRPr="008B029F" w:rsidRDefault="008A3535">
            <w:pPr>
              <w:pStyle w:val="TableLeft"/>
              <w:jc w:val="center"/>
              <w:rPr>
                <w:lang w:val="en-AU" w:eastAsia="en-GB"/>
              </w:rPr>
            </w:pPr>
            <w:r w:rsidRPr="008B029F">
              <w:rPr>
                <w:lang w:val="en-AU" w:eastAsia="en-GB"/>
              </w:rPr>
              <w:t>12 (3.1)</w:t>
            </w:r>
          </w:p>
        </w:tc>
        <w:tc>
          <w:tcPr>
            <w:tcW w:w="1985" w:type="dxa"/>
            <w:shd w:val="clear" w:color="auto" w:fill="auto"/>
          </w:tcPr>
          <w:p w14:paraId="0C88D124" w14:textId="77777777" w:rsidR="008A3535" w:rsidRPr="008B029F" w:rsidRDefault="008A3535">
            <w:pPr>
              <w:pStyle w:val="TableLeft"/>
              <w:jc w:val="center"/>
              <w:rPr>
                <w:lang w:val="en-AU" w:eastAsia="en-GB"/>
              </w:rPr>
            </w:pPr>
            <w:r w:rsidRPr="008B029F">
              <w:rPr>
                <w:lang w:val="en-AU" w:eastAsia="en-GB"/>
              </w:rPr>
              <w:t>0</w:t>
            </w:r>
          </w:p>
        </w:tc>
        <w:tc>
          <w:tcPr>
            <w:tcW w:w="2693" w:type="dxa"/>
          </w:tcPr>
          <w:p w14:paraId="77CC0E05" w14:textId="77777777" w:rsidR="008A3535" w:rsidRPr="008B029F" w:rsidRDefault="008A3535">
            <w:pPr>
              <w:pStyle w:val="TableLeft"/>
              <w:jc w:val="center"/>
              <w:rPr>
                <w:lang w:val="en-AU" w:eastAsia="en-GB"/>
              </w:rPr>
            </w:pPr>
            <w:r w:rsidRPr="008B029F">
              <w:rPr>
                <w:lang w:val="en-AU" w:eastAsia="en-GB"/>
              </w:rPr>
              <w:t>6 (1.5)</w:t>
            </w:r>
          </w:p>
        </w:tc>
      </w:tr>
      <w:tr w:rsidR="008A3535" w:rsidRPr="008B029F" w14:paraId="08D29BF0" w14:textId="77777777">
        <w:tc>
          <w:tcPr>
            <w:tcW w:w="3256" w:type="dxa"/>
            <w:shd w:val="clear" w:color="auto" w:fill="auto"/>
          </w:tcPr>
          <w:p w14:paraId="1D257D17" w14:textId="77777777" w:rsidR="008A3535" w:rsidRPr="008B029F" w:rsidRDefault="008A3535">
            <w:pPr>
              <w:pStyle w:val="TableLeft"/>
              <w:ind w:left="164"/>
              <w:rPr>
                <w:lang w:val="en-AU" w:eastAsia="en-GB"/>
              </w:rPr>
            </w:pPr>
            <w:r w:rsidRPr="008B029F">
              <w:rPr>
                <w:lang w:val="en-AU" w:eastAsia="en-GB"/>
              </w:rPr>
              <w:t>Partial Response n (%)</w:t>
            </w:r>
          </w:p>
        </w:tc>
        <w:tc>
          <w:tcPr>
            <w:tcW w:w="1842" w:type="dxa"/>
            <w:shd w:val="clear" w:color="auto" w:fill="auto"/>
          </w:tcPr>
          <w:p w14:paraId="423C8E28" w14:textId="77777777" w:rsidR="008A3535" w:rsidRPr="008B029F" w:rsidRDefault="008A3535">
            <w:pPr>
              <w:pStyle w:val="TableLeft"/>
              <w:jc w:val="center"/>
              <w:rPr>
                <w:lang w:val="en-AU" w:eastAsia="en-GB"/>
              </w:rPr>
            </w:pPr>
            <w:r w:rsidRPr="008B029F">
              <w:rPr>
                <w:lang w:val="en-AU" w:eastAsia="en-GB"/>
              </w:rPr>
              <w:t>67 (17.0)</w:t>
            </w:r>
          </w:p>
        </w:tc>
        <w:tc>
          <w:tcPr>
            <w:tcW w:w="1985" w:type="dxa"/>
            <w:shd w:val="clear" w:color="auto" w:fill="auto"/>
          </w:tcPr>
          <w:p w14:paraId="28267437" w14:textId="77777777" w:rsidR="008A3535" w:rsidRPr="008B029F" w:rsidRDefault="008A3535">
            <w:pPr>
              <w:pStyle w:val="TableLeft"/>
              <w:jc w:val="center"/>
              <w:rPr>
                <w:lang w:val="en-AU" w:eastAsia="en-GB"/>
              </w:rPr>
            </w:pPr>
            <w:r w:rsidRPr="008B029F">
              <w:rPr>
                <w:lang w:val="en-AU" w:eastAsia="en-GB"/>
              </w:rPr>
              <w:t>20 (5.1)</w:t>
            </w:r>
          </w:p>
        </w:tc>
        <w:tc>
          <w:tcPr>
            <w:tcW w:w="2693" w:type="dxa"/>
          </w:tcPr>
          <w:p w14:paraId="66453A18" w14:textId="77777777" w:rsidR="008A3535" w:rsidRPr="008B029F" w:rsidRDefault="008A3535">
            <w:pPr>
              <w:pStyle w:val="TableLeft"/>
              <w:jc w:val="center"/>
              <w:rPr>
                <w:lang w:val="en-AU" w:eastAsia="en-GB"/>
              </w:rPr>
            </w:pPr>
            <w:r w:rsidRPr="008B029F">
              <w:rPr>
                <w:lang w:val="en-AU" w:eastAsia="en-GB"/>
              </w:rPr>
              <w:t>60 (15.4)</w:t>
            </w:r>
          </w:p>
        </w:tc>
      </w:tr>
      <w:tr w:rsidR="008A3535" w:rsidRPr="008B029F" w14:paraId="5CEE8B92" w14:textId="77777777">
        <w:tc>
          <w:tcPr>
            <w:tcW w:w="3256" w:type="dxa"/>
            <w:shd w:val="clear" w:color="auto" w:fill="auto"/>
          </w:tcPr>
          <w:p w14:paraId="12B50B46" w14:textId="77777777" w:rsidR="008A3535" w:rsidRPr="008B029F" w:rsidRDefault="008A3535">
            <w:pPr>
              <w:pStyle w:val="TableLeft"/>
              <w:ind w:left="164"/>
              <w:rPr>
                <w:lang w:val="en-AU" w:eastAsia="en-GB"/>
              </w:rPr>
            </w:pPr>
            <w:r w:rsidRPr="008B029F">
              <w:rPr>
                <w:lang w:val="en-AU" w:eastAsia="en-GB"/>
              </w:rPr>
              <w:t>Odds ratio 95% CI</w:t>
            </w:r>
          </w:p>
        </w:tc>
        <w:tc>
          <w:tcPr>
            <w:tcW w:w="3827" w:type="dxa"/>
            <w:gridSpan w:val="2"/>
            <w:shd w:val="clear" w:color="auto" w:fill="auto"/>
          </w:tcPr>
          <w:p w14:paraId="467E420A" w14:textId="77777777" w:rsidR="008A3535" w:rsidRPr="008B029F" w:rsidRDefault="008A3535">
            <w:pPr>
              <w:pStyle w:val="TableLeft"/>
              <w:jc w:val="center"/>
              <w:rPr>
                <w:lang w:val="en-AU" w:eastAsia="en-GB"/>
              </w:rPr>
            </w:pPr>
            <w:r w:rsidRPr="008B029F">
              <w:rPr>
                <w:lang w:val="en-AU" w:eastAsia="en-GB"/>
              </w:rPr>
              <w:t>4.69 (2.85, 8.04)</w:t>
            </w:r>
          </w:p>
        </w:tc>
        <w:tc>
          <w:tcPr>
            <w:tcW w:w="2693" w:type="dxa"/>
          </w:tcPr>
          <w:p w14:paraId="74B849A7" w14:textId="77777777" w:rsidR="008A3535" w:rsidRPr="008B029F" w:rsidRDefault="008A3535">
            <w:pPr>
              <w:pStyle w:val="TableLeft"/>
              <w:jc w:val="center"/>
              <w:rPr>
                <w:lang w:val="en-AU" w:eastAsia="en-GB"/>
              </w:rPr>
            </w:pPr>
            <w:r w:rsidRPr="008B029F">
              <w:rPr>
                <w:lang w:val="en-AU" w:eastAsia="en-GB"/>
              </w:rPr>
              <w:t>3.8 (2.3, 6.6)</w:t>
            </w:r>
          </w:p>
        </w:tc>
      </w:tr>
      <w:tr w:rsidR="008A3535" w:rsidRPr="008B029F" w14:paraId="35842B7C" w14:textId="77777777">
        <w:tc>
          <w:tcPr>
            <w:tcW w:w="3256" w:type="dxa"/>
            <w:shd w:val="clear" w:color="auto" w:fill="auto"/>
          </w:tcPr>
          <w:p w14:paraId="466D3C47" w14:textId="77777777" w:rsidR="008A3535" w:rsidRPr="008B029F" w:rsidRDefault="008A3535">
            <w:pPr>
              <w:pStyle w:val="TableLeft"/>
              <w:ind w:left="164"/>
              <w:rPr>
                <w:lang w:val="en-AU" w:eastAsia="en-GB"/>
              </w:rPr>
            </w:pPr>
            <w:r w:rsidRPr="008B029F">
              <w:rPr>
                <w:lang w:val="en-AU" w:eastAsia="en-GB"/>
              </w:rPr>
              <w:t>p-value</w:t>
            </w:r>
          </w:p>
        </w:tc>
        <w:tc>
          <w:tcPr>
            <w:tcW w:w="3827" w:type="dxa"/>
            <w:gridSpan w:val="2"/>
            <w:shd w:val="clear" w:color="auto" w:fill="auto"/>
          </w:tcPr>
          <w:p w14:paraId="67AE3A45" w14:textId="77777777" w:rsidR="008A3535" w:rsidRPr="008B029F" w:rsidRDefault="008A3535">
            <w:pPr>
              <w:pStyle w:val="TableLeft"/>
              <w:jc w:val="center"/>
              <w:rPr>
                <w:lang w:val="en-AU" w:eastAsia="en-GB"/>
              </w:rPr>
            </w:pPr>
            <w:r w:rsidRPr="008B029F">
              <w:rPr>
                <w:lang w:val="en-AU" w:eastAsia="en-GB"/>
              </w:rPr>
              <w:t>&lt;0.0001</w:t>
            </w:r>
            <w:r w:rsidRPr="008B029F">
              <w:rPr>
                <w:vertAlign w:val="superscript"/>
                <w:lang w:val="en-AU" w:eastAsia="en-GB"/>
              </w:rPr>
              <w:t>c</w:t>
            </w:r>
          </w:p>
        </w:tc>
        <w:tc>
          <w:tcPr>
            <w:tcW w:w="2693" w:type="dxa"/>
          </w:tcPr>
          <w:p w14:paraId="21FE580A" w14:textId="77777777" w:rsidR="008A3535" w:rsidRPr="008B029F" w:rsidRDefault="008A3535">
            <w:pPr>
              <w:pStyle w:val="TableLeft"/>
              <w:jc w:val="center"/>
              <w:rPr>
                <w:lang w:val="en-AU" w:eastAsia="en-GB"/>
              </w:rPr>
            </w:pPr>
            <w:r w:rsidRPr="008B029F">
              <w:rPr>
                <w:lang w:val="en-AU" w:eastAsia="en-GB"/>
              </w:rPr>
              <w:t>&lt;0.0001</w:t>
            </w:r>
            <w:r w:rsidRPr="008B029F">
              <w:rPr>
                <w:vertAlign w:val="superscript"/>
                <w:lang w:val="en-AU" w:eastAsia="en-GB"/>
              </w:rPr>
              <w:t>c</w:t>
            </w:r>
          </w:p>
        </w:tc>
      </w:tr>
      <w:tr w:rsidR="008A3535" w:rsidRPr="008B029F" w14:paraId="4BB22350" w14:textId="77777777">
        <w:tc>
          <w:tcPr>
            <w:tcW w:w="9776" w:type="dxa"/>
            <w:gridSpan w:val="4"/>
            <w:shd w:val="clear" w:color="auto" w:fill="auto"/>
          </w:tcPr>
          <w:p w14:paraId="2A850233" w14:textId="77777777" w:rsidR="008A3535" w:rsidRPr="008B029F" w:rsidRDefault="008A3535">
            <w:pPr>
              <w:pStyle w:val="TableLeft"/>
              <w:rPr>
                <w:b/>
                <w:bCs w:val="0"/>
                <w:lang w:val="en-AU" w:eastAsia="en-GB"/>
              </w:rPr>
            </w:pPr>
            <w:r w:rsidRPr="008B029F">
              <w:rPr>
                <w:b/>
                <w:bCs w:val="0"/>
                <w:lang w:val="en-AU" w:eastAsia="en-GB"/>
              </w:rPr>
              <w:t>DoR</w:t>
            </w:r>
          </w:p>
        </w:tc>
      </w:tr>
      <w:tr w:rsidR="008A3535" w:rsidRPr="008B029F" w14:paraId="0863BB52" w14:textId="77777777">
        <w:tc>
          <w:tcPr>
            <w:tcW w:w="3256" w:type="dxa"/>
            <w:shd w:val="clear" w:color="auto" w:fill="auto"/>
          </w:tcPr>
          <w:p w14:paraId="0C01842A" w14:textId="77777777" w:rsidR="008A3535" w:rsidRPr="008B029F" w:rsidRDefault="008A3535">
            <w:pPr>
              <w:pStyle w:val="TableLeft"/>
              <w:rPr>
                <w:b/>
                <w:bCs w:val="0"/>
                <w:lang w:val="en-AU" w:eastAsia="en-GB"/>
              </w:rPr>
            </w:pPr>
            <w:r w:rsidRPr="008B029F">
              <w:rPr>
                <w:b/>
                <w:bCs w:val="0"/>
                <w:lang w:val="en-AU" w:eastAsia="en-GB"/>
              </w:rPr>
              <w:t xml:space="preserve">Median DoR (months) </w:t>
            </w:r>
          </w:p>
        </w:tc>
        <w:tc>
          <w:tcPr>
            <w:tcW w:w="1842" w:type="dxa"/>
            <w:shd w:val="clear" w:color="auto" w:fill="auto"/>
          </w:tcPr>
          <w:p w14:paraId="3137F967" w14:textId="77777777" w:rsidR="008A3535" w:rsidRPr="008B029F" w:rsidRDefault="008A3535">
            <w:pPr>
              <w:pStyle w:val="TableLeft"/>
              <w:ind w:left="720"/>
              <w:rPr>
                <w:lang w:val="en-AU" w:eastAsia="en-GB"/>
              </w:rPr>
            </w:pPr>
            <w:r w:rsidRPr="008B029F">
              <w:rPr>
                <w:lang w:val="en-AU" w:eastAsia="en-GB"/>
              </w:rPr>
              <w:t>22.3</w:t>
            </w:r>
          </w:p>
        </w:tc>
        <w:tc>
          <w:tcPr>
            <w:tcW w:w="1985" w:type="dxa"/>
            <w:shd w:val="clear" w:color="auto" w:fill="auto"/>
          </w:tcPr>
          <w:p w14:paraId="4B67BC75" w14:textId="77777777" w:rsidR="008A3535" w:rsidRPr="008B029F" w:rsidRDefault="008A3535">
            <w:pPr>
              <w:pStyle w:val="TableLeft"/>
              <w:ind w:left="720"/>
              <w:rPr>
                <w:lang w:val="en-AU" w:eastAsia="en-GB"/>
              </w:rPr>
            </w:pPr>
            <w:r w:rsidRPr="008B029F">
              <w:rPr>
                <w:lang w:val="en-AU" w:eastAsia="en-GB"/>
              </w:rPr>
              <w:t>18.4</w:t>
            </w:r>
          </w:p>
        </w:tc>
        <w:tc>
          <w:tcPr>
            <w:tcW w:w="2693" w:type="dxa"/>
          </w:tcPr>
          <w:p w14:paraId="65B5BEC0" w14:textId="77777777" w:rsidR="008A3535" w:rsidRPr="008B029F" w:rsidRDefault="008A3535">
            <w:pPr>
              <w:pStyle w:val="TableLeft"/>
              <w:ind w:left="720"/>
              <w:rPr>
                <w:lang w:val="en-AU" w:eastAsia="en-GB"/>
              </w:rPr>
            </w:pPr>
            <w:r w:rsidRPr="008B029F">
              <w:rPr>
                <w:lang w:val="en-AU" w:eastAsia="en-GB"/>
              </w:rPr>
              <w:t>16.8</w:t>
            </w:r>
          </w:p>
        </w:tc>
      </w:tr>
      <w:tr w:rsidR="008A3535" w:rsidRPr="008B029F" w14:paraId="24F75A8F" w14:textId="77777777">
        <w:tc>
          <w:tcPr>
            <w:tcW w:w="3256" w:type="dxa"/>
            <w:shd w:val="clear" w:color="auto" w:fill="auto"/>
          </w:tcPr>
          <w:p w14:paraId="7515FE05" w14:textId="77777777" w:rsidR="008A3535" w:rsidRPr="008B029F" w:rsidRDefault="008A3535">
            <w:pPr>
              <w:pStyle w:val="TableLeft"/>
              <w:ind w:left="164"/>
              <w:rPr>
                <w:lang w:val="en-AU" w:eastAsia="en-GB"/>
              </w:rPr>
            </w:pPr>
            <w:r w:rsidRPr="008B029F">
              <w:rPr>
                <w:lang w:val="en-AU" w:eastAsia="en-GB"/>
              </w:rPr>
              <w:t>Sample size (n)</w:t>
            </w:r>
          </w:p>
        </w:tc>
        <w:tc>
          <w:tcPr>
            <w:tcW w:w="1842" w:type="dxa"/>
            <w:shd w:val="clear" w:color="auto" w:fill="auto"/>
          </w:tcPr>
          <w:p w14:paraId="67BEFFB9" w14:textId="77777777" w:rsidR="008A3535" w:rsidRPr="008B029F" w:rsidRDefault="008A3535">
            <w:pPr>
              <w:pStyle w:val="TableLeft"/>
              <w:ind w:left="720"/>
              <w:rPr>
                <w:lang w:val="en-AU" w:eastAsia="en-GB"/>
              </w:rPr>
            </w:pPr>
            <w:r w:rsidRPr="008B029F">
              <w:rPr>
                <w:lang w:val="en-AU" w:eastAsia="en-GB"/>
              </w:rPr>
              <w:t>79</w:t>
            </w:r>
          </w:p>
        </w:tc>
        <w:tc>
          <w:tcPr>
            <w:tcW w:w="1985" w:type="dxa"/>
            <w:shd w:val="clear" w:color="auto" w:fill="auto"/>
          </w:tcPr>
          <w:p w14:paraId="25654A6E" w14:textId="77777777" w:rsidR="008A3535" w:rsidRPr="008B029F" w:rsidRDefault="008A3535">
            <w:pPr>
              <w:pStyle w:val="TableLeft"/>
              <w:ind w:left="720"/>
              <w:rPr>
                <w:lang w:val="en-AU" w:eastAsia="en-GB"/>
              </w:rPr>
            </w:pPr>
            <w:r w:rsidRPr="008B029F">
              <w:rPr>
                <w:lang w:val="en-AU" w:eastAsia="en-GB"/>
              </w:rPr>
              <w:t>20</w:t>
            </w:r>
          </w:p>
        </w:tc>
        <w:tc>
          <w:tcPr>
            <w:tcW w:w="2693" w:type="dxa"/>
          </w:tcPr>
          <w:p w14:paraId="39E518DB" w14:textId="77777777" w:rsidR="008A3535" w:rsidRPr="008B029F" w:rsidRDefault="008A3535">
            <w:pPr>
              <w:pStyle w:val="TableLeft"/>
              <w:ind w:left="720"/>
              <w:rPr>
                <w:lang w:val="en-AU" w:eastAsia="en-GB"/>
              </w:rPr>
            </w:pPr>
            <w:r w:rsidRPr="008B029F">
              <w:rPr>
                <w:lang w:val="en-AU" w:eastAsia="en-GB"/>
              </w:rPr>
              <w:t>66</w:t>
            </w:r>
          </w:p>
        </w:tc>
      </w:tr>
      <w:tr w:rsidR="008A3535" w:rsidRPr="008B029F" w14:paraId="59930B79" w14:textId="77777777">
        <w:tc>
          <w:tcPr>
            <w:tcW w:w="3256" w:type="dxa"/>
            <w:shd w:val="clear" w:color="auto" w:fill="auto"/>
          </w:tcPr>
          <w:p w14:paraId="4059E0FD" w14:textId="77777777" w:rsidR="008A3535" w:rsidRPr="008B029F" w:rsidRDefault="008A3535">
            <w:pPr>
              <w:pStyle w:val="TableLeft"/>
              <w:ind w:left="164"/>
              <w:rPr>
                <w:lang w:val="en-AU" w:eastAsia="en-GB"/>
              </w:rPr>
            </w:pPr>
            <w:r w:rsidRPr="008B029F">
              <w:rPr>
                <w:lang w:val="en-AU" w:eastAsia="en-GB"/>
              </w:rPr>
              <w:t>% with duration ≥6 months</w:t>
            </w:r>
          </w:p>
        </w:tc>
        <w:tc>
          <w:tcPr>
            <w:tcW w:w="1842" w:type="dxa"/>
            <w:shd w:val="clear" w:color="auto" w:fill="auto"/>
          </w:tcPr>
          <w:p w14:paraId="531916DC" w14:textId="77777777" w:rsidR="008A3535" w:rsidRPr="008B029F" w:rsidRDefault="008A3535">
            <w:pPr>
              <w:pStyle w:val="TableLeft"/>
              <w:ind w:left="720"/>
              <w:rPr>
                <w:lang w:val="en-AU" w:eastAsia="en-GB"/>
              </w:rPr>
            </w:pPr>
            <w:r w:rsidRPr="008B029F">
              <w:rPr>
                <w:lang w:val="en-AU" w:eastAsia="en-GB"/>
              </w:rPr>
              <w:t>82.3</w:t>
            </w:r>
          </w:p>
        </w:tc>
        <w:tc>
          <w:tcPr>
            <w:tcW w:w="1985" w:type="dxa"/>
            <w:shd w:val="clear" w:color="auto" w:fill="auto"/>
          </w:tcPr>
          <w:p w14:paraId="048EE4AB" w14:textId="77777777" w:rsidR="008A3535" w:rsidRPr="008B029F" w:rsidRDefault="008A3535">
            <w:pPr>
              <w:pStyle w:val="TableLeft"/>
              <w:ind w:left="720"/>
              <w:rPr>
                <w:lang w:val="en-AU" w:eastAsia="en-GB"/>
              </w:rPr>
            </w:pPr>
            <w:r w:rsidRPr="008B029F">
              <w:rPr>
                <w:lang w:val="en-AU" w:eastAsia="en-GB"/>
              </w:rPr>
              <w:t>78.9</w:t>
            </w:r>
          </w:p>
        </w:tc>
        <w:tc>
          <w:tcPr>
            <w:tcW w:w="2693" w:type="dxa"/>
          </w:tcPr>
          <w:p w14:paraId="78E7396D" w14:textId="77777777" w:rsidR="008A3535" w:rsidRPr="008B029F" w:rsidRDefault="008A3535">
            <w:pPr>
              <w:pStyle w:val="TableLeft"/>
              <w:ind w:left="720"/>
              <w:rPr>
                <w:lang w:val="en-AU" w:eastAsia="en-GB"/>
              </w:rPr>
            </w:pPr>
            <w:r w:rsidRPr="008B029F">
              <w:rPr>
                <w:lang w:val="en-AU" w:eastAsia="en-GB"/>
              </w:rPr>
              <w:t>81.8</w:t>
            </w:r>
          </w:p>
        </w:tc>
      </w:tr>
      <w:tr w:rsidR="008A3535" w:rsidRPr="008B029F" w14:paraId="12E6AEBB" w14:textId="77777777">
        <w:tc>
          <w:tcPr>
            <w:tcW w:w="3256" w:type="dxa"/>
            <w:shd w:val="clear" w:color="auto" w:fill="auto"/>
          </w:tcPr>
          <w:p w14:paraId="792C0AFA" w14:textId="77777777" w:rsidR="008A3535" w:rsidRPr="008B029F" w:rsidRDefault="008A3535">
            <w:pPr>
              <w:pStyle w:val="TableLeft"/>
              <w:ind w:left="164"/>
              <w:rPr>
                <w:lang w:val="en-AU" w:eastAsia="en-GB"/>
              </w:rPr>
            </w:pPr>
            <w:r w:rsidRPr="008B029F">
              <w:rPr>
                <w:lang w:val="en-AU" w:eastAsia="en-GB"/>
              </w:rPr>
              <w:t>% with duration ≥12 months</w:t>
            </w:r>
          </w:p>
        </w:tc>
        <w:tc>
          <w:tcPr>
            <w:tcW w:w="1842" w:type="dxa"/>
            <w:shd w:val="clear" w:color="auto" w:fill="auto"/>
          </w:tcPr>
          <w:p w14:paraId="29AE19D9" w14:textId="77777777" w:rsidR="008A3535" w:rsidRPr="008B029F" w:rsidRDefault="008A3535">
            <w:pPr>
              <w:pStyle w:val="TableLeft"/>
              <w:ind w:left="720"/>
              <w:rPr>
                <w:lang w:val="en-AU" w:eastAsia="en-GB"/>
              </w:rPr>
            </w:pPr>
            <w:r w:rsidRPr="008B029F">
              <w:rPr>
                <w:lang w:val="en-AU" w:eastAsia="en-GB"/>
              </w:rPr>
              <w:t>65.8</w:t>
            </w:r>
          </w:p>
        </w:tc>
        <w:tc>
          <w:tcPr>
            <w:tcW w:w="1985" w:type="dxa"/>
            <w:shd w:val="clear" w:color="auto" w:fill="auto"/>
          </w:tcPr>
          <w:p w14:paraId="17226B95" w14:textId="77777777" w:rsidR="008A3535" w:rsidRPr="008B029F" w:rsidRDefault="008A3535">
            <w:pPr>
              <w:pStyle w:val="TableLeft"/>
              <w:ind w:left="720"/>
              <w:rPr>
                <w:lang w:val="en-AU" w:eastAsia="en-GB"/>
              </w:rPr>
            </w:pPr>
            <w:r w:rsidRPr="008B029F">
              <w:rPr>
                <w:lang w:val="en-AU" w:eastAsia="en-GB"/>
              </w:rPr>
              <w:t>63.2</w:t>
            </w:r>
          </w:p>
        </w:tc>
        <w:tc>
          <w:tcPr>
            <w:tcW w:w="2693" w:type="dxa"/>
          </w:tcPr>
          <w:p w14:paraId="1E85ED20" w14:textId="77777777" w:rsidR="008A3535" w:rsidRPr="008B029F" w:rsidRDefault="008A3535">
            <w:pPr>
              <w:pStyle w:val="TableLeft"/>
              <w:ind w:left="720"/>
              <w:rPr>
                <w:lang w:val="en-AU" w:eastAsia="en-GB"/>
              </w:rPr>
            </w:pPr>
            <w:r w:rsidRPr="008B029F">
              <w:rPr>
                <w:lang w:val="en-AU" w:eastAsia="en-GB"/>
              </w:rPr>
              <w:t>57.8</w:t>
            </w:r>
          </w:p>
        </w:tc>
      </w:tr>
    </w:tbl>
    <w:p w14:paraId="36CA0810" w14:textId="0D42D090" w:rsidR="008A3535" w:rsidRPr="008B029F" w:rsidRDefault="008A3535" w:rsidP="00E835B7">
      <w:pPr>
        <w:pStyle w:val="TableFootnoteLetter"/>
        <w:numPr>
          <w:ilvl w:val="0"/>
          <w:numId w:val="41"/>
        </w:numPr>
        <w:rPr>
          <w:lang w:val="en-AU"/>
        </w:rPr>
      </w:pPr>
      <w:r w:rsidRPr="008B029F">
        <w:rPr>
          <w:lang w:val="en-AU"/>
        </w:rPr>
        <w:t>Based on a Lan-DeMets alpha spending function with O'Brien Fleming type boundary and the actual number of events observed, the boundary for declaring statistical significance for STRIDE vs. sorafenib was 0.0398 (Lan◦and◦DeMets 1983).</w:t>
      </w:r>
    </w:p>
    <w:p w14:paraId="7FA41644" w14:textId="77777777" w:rsidR="008A3535" w:rsidRPr="008B029F" w:rsidRDefault="008A3535" w:rsidP="008A3535">
      <w:pPr>
        <w:pStyle w:val="TableFootnoteLetter"/>
        <w:numPr>
          <w:ilvl w:val="0"/>
          <w:numId w:val="25"/>
        </w:numPr>
        <w:rPr>
          <w:lang w:val="en-AU"/>
        </w:rPr>
      </w:pPr>
      <w:r w:rsidRPr="008B029F">
        <w:rPr>
          <w:lang w:val="en-AU"/>
        </w:rPr>
        <w:t>p-value is for the superiority test of IMFINZI vs. S. Based on a Lan-DeMets alpha spending function with O'Brien Fleming type boundary and the actual number of events observed, the boundary for declaring statistical significance for IMFINZI vs. S was 0.0433 (Lan◦and◦DeMets 1983).</w:t>
      </w:r>
    </w:p>
    <w:p w14:paraId="54F72158" w14:textId="77777777" w:rsidR="008A3535" w:rsidRPr="008B029F" w:rsidRDefault="008A3535" w:rsidP="008A3535">
      <w:pPr>
        <w:pStyle w:val="TableFootnoteLetter"/>
        <w:numPr>
          <w:ilvl w:val="0"/>
          <w:numId w:val="25"/>
        </w:numPr>
        <w:rPr>
          <w:lang w:val="en-AU"/>
        </w:rPr>
      </w:pPr>
      <w:r w:rsidRPr="008B029F">
        <w:rPr>
          <w:lang w:val="en-AU"/>
        </w:rPr>
        <w:t>Nominal p-value. PFS and ORR were not included in the Multiple Testing Procedure (MTP).</w:t>
      </w:r>
    </w:p>
    <w:p w14:paraId="27C70383" w14:textId="77777777" w:rsidR="008A3535" w:rsidRPr="008B029F" w:rsidRDefault="008A3535" w:rsidP="008A3535">
      <w:pPr>
        <w:pStyle w:val="TableFootnoteLetter"/>
        <w:numPr>
          <w:ilvl w:val="0"/>
          <w:numId w:val="25"/>
        </w:numPr>
        <w:rPr>
          <w:lang w:val="en-AU"/>
        </w:rPr>
      </w:pPr>
      <w:r w:rsidRPr="008B029F">
        <w:rPr>
          <w:lang w:val="en-AU"/>
        </w:rPr>
        <w:lastRenderedPageBreak/>
        <w:t>Confirmed complete response.</w:t>
      </w:r>
    </w:p>
    <w:p w14:paraId="18DE8A90" w14:textId="77777777" w:rsidR="008A3535" w:rsidRPr="008B029F" w:rsidRDefault="008A3535" w:rsidP="008A3535">
      <w:pPr>
        <w:pStyle w:val="TableFootnoteInfo"/>
        <w:rPr>
          <w:lang w:val="en-AU"/>
        </w:rPr>
      </w:pPr>
      <w:r w:rsidRPr="008B029F">
        <w:rPr>
          <w:lang w:val="en-AU"/>
        </w:rPr>
        <w:t>NR=Not Reached, CI=Confidence Interval</w:t>
      </w:r>
    </w:p>
    <w:p w14:paraId="2C768537" w14:textId="77777777" w:rsidR="008A3535" w:rsidRPr="008B029F" w:rsidRDefault="008A3535" w:rsidP="008A3535">
      <w:pPr>
        <w:pStyle w:val="Paragraph"/>
        <w:rPr>
          <w:lang w:val="en-AU"/>
        </w:rPr>
      </w:pPr>
    </w:p>
    <w:p w14:paraId="59E14CB8" w14:textId="5747D1F1" w:rsidR="008A3535" w:rsidRPr="008B029F" w:rsidRDefault="008A3535" w:rsidP="008A3535">
      <w:pPr>
        <w:pStyle w:val="FigureTitle"/>
        <w:rPr>
          <w:lang w:val="en-AU"/>
        </w:rPr>
      </w:pPr>
      <w:bookmarkStart w:id="80" w:name="_Ref124780527"/>
      <w:r w:rsidRPr="008B029F">
        <w:rPr>
          <w:lang w:val="en-AU"/>
        </w:rPr>
        <w:t xml:space="preserve">Figure </w:t>
      </w:r>
      <w:r w:rsidRPr="008B029F">
        <w:rPr>
          <w:color w:val="2B579A"/>
          <w:shd w:val="clear" w:color="auto" w:fill="E6E6E6"/>
          <w:lang w:val="en-AU"/>
        </w:rPr>
        <w:fldChar w:fldCharType="begin"/>
      </w:r>
      <w:r w:rsidRPr="008B029F">
        <w:rPr>
          <w:lang w:val="en-AU"/>
        </w:rPr>
        <w:instrText xml:space="preserve"> SEQ Figure \* ARABIC </w:instrText>
      </w:r>
      <w:r w:rsidRPr="008B029F">
        <w:rPr>
          <w:color w:val="2B579A"/>
          <w:shd w:val="clear" w:color="auto" w:fill="E6E6E6"/>
          <w:lang w:val="en-AU"/>
        </w:rPr>
        <w:fldChar w:fldCharType="separate"/>
      </w:r>
      <w:r w:rsidR="009773EE" w:rsidRPr="008B029F">
        <w:rPr>
          <w:noProof/>
          <w:lang w:val="en-AU"/>
        </w:rPr>
        <w:t>13</w:t>
      </w:r>
      <w:r w:rsidRPr="008B029F">
        <w:rPr>
          <w:color w:val="2B579A"/>
          <w:shd w:val="clear" w:color="auto" w:fill="E6E6E6"/>
          <w:lang w:val="en-AU"/>
        </w:rPr>
        <w:fldChar w:fldCharType="end"/>
      </w:r>
      <w:bookmarkEnd w:id="80"/>
      <w:r w:rsidRPr="008B029F">
        <w:rPr>
          <w:lang w:val="en-AU"/>
        </w:rPr>
        <w:tab/>
        <w:t>Kaplan-Meier curve of OS (HIMALAYA study)</w:t>
      </w:r>
    </w:p>
    <w:p w14:paraId="33492276" w14:textId="07E7B653" w:rsidR="008A3535" w:rsidRDefault="008A3535" w:rsidP="008A3535">
      <w:pPr>
        <w:pStyle w:val="Paragraph"/>
        <w:rPr>
          <w:lang w:val="en-AU"/>
        </w:rPr>
      </w:pPr>
      <w:r w:rsidRPr="008B029F">
        <w:rPr>
          <w:noProof/>
          <w:color w:val="2B579A"/>
          <w:shd w:val="clear" w:color="auto" w:fill="E6E6E6"/>
          <w:lang w:val="en-AU"/>
        </w:rPr>
        <w:drawing>
          <wp:inline distT="0" distB="0" distL="0" distR="0" wp14:anchorId="2F6BC940" wp14:editId="55147830">
            <wp:extent cx="6120130" cy="3134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134995"/>
                    </a:xfrm>
                    <a:prstGeom prst="rect">
                      <a:avLst/>
                    </a:prstGeom>
                  </pic:spPr>
                </pic:pic>
              </a:graphicData>
            </a:graphic>
          </wp:inline>
        </w:drawing>
      </w:r>
    </w:p>
    <w:p w14:paraId="5F4A3018" w14:textId="77777777" w:rsidR="004E0EEA" w:rsidRPr="008B029F" w:rsidRDefault="004E0EEA" w:rsidP="008A3535">
      <w:pPr>
        <w:pStyle w:val="Paragraph"/>
        <w:rPr>
          <w:lang w:val="en-AU"/>
        </w:rPr>
      </w:pPr>
    </w:p>
    <w:p w14:paraId="19C4DBAB" w14:textId="77777777" w:rsidR="008A3535" w:rsidRPr="008B029F" w:rsidRDefault="008A3535" w:rsidP="008A3535">
      <w:pPr>
        <w:pStyle w:val="Heading6unnumbered"/>
        <w:rPr>
          <w:lang w:val="en-AU" w:eastAsia="en-GB"/>
        </w:rPr>
      </w:pPr>
      <w:r w:rsidRPr="008B029F">
        <w:rPr>
          <w:lang w:val="en-AU" w:eastAsia="en-GB"/>
        </w:rPr>
        <w:t>Patient reported outcomes</w:t>
      </w:r>
    </w:p>
    <w:p w14:paraId="302BE4C5" w14:textId="342A95F9" w:rsidR="008A3535" w:rsidRPr="008B029F" w:rsidRDefault="008A3535" w:rsidP="008A3535">
      <w:pPr>
        <w:pStyle w:val="Paragraph"/>
        <w:rPr>
          <w:lang w:val="en-AU"/>
        </w:rPr>
      </w:pPr>
      <w:r w:rsidRPr="008B029F">
        <w:rPr>
          <w:lang w:val="en-AU"/>
        </w:rPr>
        <w:t>Patient-reported symptoms, function and HRQoL were collected using the EORTC QLQ-C30 and its HCC module (EORTC QLQ-HCC18). At baseline, patient-reported symptoms, functioning or HRQoL scores were comparable between the study arms.</w:t>
      </w:r>
    </w:p>
    <w:p w14:paraId="1EF43581" w14:textId="744C74D2" w:rsidR="008A3535" w:rsidRPr="008B029F" w:rsidRDefault="008A3535" w:rsidP="008A3535">
      <w:pPr>
        <w:pStyle w:val="Paragraph"/>
        <w:rPr>
          <w:lang w:val="en-AU"/>
        </w:rPr>
      </w:pPr>
      <w:r w:rsidRPr="008B029F">
        <w:rPr>
          <w:lang w:val="en-AU"/>
        </w:rPr>
        <w:t>Delay in time to deterioration of symptoms, functioning and global health status/QoL:</w:t>
      </w:r>
    </w:p>
    <w:p w14:paraId="19B56AD6" w14:textId="60C84AB2" w:rsidR="008A3535" w:rsidRPr="008B029F" w:rsidRDefault="008A3535" w:rsidP="008A3535">
      <w:pPr>
        <w:pStyle w:val="Paragraph"/>
        <w:rPr>
          <w:lang w:val="en-AU"/>
        </w:rPr>
      </w:pPr>
      <w:r w:rsidRPr="008B029F">
        <w:rPr>
          <w:lang w:val="en-AU"/>
        </w:rPr>
        <w:t>STRIDE vs. sorafenib demonstrated a clinically meaningful improvement by delaying time to deterioration in a broad range of patient-reported symptoms, function, and global health status/QoL compared to sorafenib. Longer time to deterioration (median in months) was observed in the STRIDE arm compared to S for the following symptoms: Global Health Status (7.5 vs. 5.7 months, HR 0.76, p = 0.0306); physical functioning (12.9 vs. 7.4 months, HR 0.68; p = 0.0020), fatigue (7.4 vs. 5.4 months, HR 0.71; p = 0.0026), nausea (25.0 vs. 11.0 months, HR  0.65; p = 0.0033), appetite loss (12.6 vs. 6.9 months, HR 0.59; p &lt;0.0001), abdominal pain (16.8 vs. 8.9 months, HR 0.61; p = 0.0008) and abdominal swelling (20.9 vs. 11.1 months, HR 0.74; p = 0.0431.</w:t>
      </w:r>
    </w:p>
    <w:p w14:paraId="5FD04678" w14:textId="77777777" w:rsidR="008A3535" w:rsidRPr="008B029F" w:rsidRDefault="008A3535" w:rsidP="008A3535">
      <w:pPr>
        <w:pStyle w:val="Paragraph"/>
        <w:rPr>
          <w:lang w:val="en-AU"/>
        </w:rPr>
      </w:pPr>
      <w:r w:rsidRPr="008B029F">
        <w:rPr>
          <w:lang w:val="en-AU"/>
        </w:rPr>
        <w:t xml:space="preserve">Change from baseline in patient-reported symptoms (mixed model for repeated measures):  </w:t>
      </w:r>
    </w:p>
    <w:p w14:paraId="542C424F" w14:textId="7EE67550" w:rsidR="008A3535" w:rsidRPr="008B029F" w:rsidRDefault="008A3535" w:rsidP="008A3535">
      <w:pPr>
        <w:pStyle w:val="Paragraph"/>
        <w:rPr>
          <w:lang w:val="en-AU"/>
        </w:rPr>
      </w:pPr>
      <w:r w:rsidRPr="008B029F">
        <w:rPr>
          <w:lang w:val="en-AU"/>
        </w:rPr>
        <w:t>STRIDE improved patient-reported HRQoL functioning and diarrhoea by demonstrating a nominal difference and clinically meaningful mean change from baseline vs. sorafenib from randomisation until 8 months (Estimated mean difference at 8 months: -18.5 95% CI: -23.24, -13.84 and p</w:t>
      </w:r>
      <w:r w:rsidRPr="008B029F">
        <w:rPr>
          <w:lang w:val="en-AU"/>
        </w:rPr>
        <w:noBreakHyphen/>
        <w:t>value: &lt;0.0001).</w:t>
      </w:r>
    </w:p>
    <w:p w14:paraId="40F8ACF0" w14:textId="77777777" w:rsidR="008A3535" w:rsidRPr="008B029F" w:rsidRDefault="008A3535" w:rsidP="008A3535">
      <w:pPr>
        <w:pStyle w:val="Paragraph"/>
        <w:rPr>
          <w:lang w:val="en-AU"/>
        </w:rPr>
      </w:pPr>
      <w:r w:rsidRPr="008B029F">
        <w:rPr>
          <w:lang w:val="en-AU"/>
        </w:rPr>
        <w:t>Patient-reported outcome results should be interpreted in the context of the open-label study design.</w:t>
      </w:r>
    </w:p>
    <w:p w14:paraId="1F0F3DAB" w14:textId="6A2F786B" w:rsidR="008A3535" w:rsidRPr="008B029F" w:rsidRDefault="008A3535" w:rsidP="008A3535">
      <w:pPr>
        <w:pStyle w:val="Heading5unnumbered"/>
        <w:rPr>
          <w:lang w:val="en-AU"/>
        </w:rPr>
      </w:pPr>
      <w:r w:rsidRPr="008B029F">
        <w:rPr>
          <w:lang w:val="en-AU"/>
        </w:rPr>
        <w:lastRenderedPageBreak/>
        <w:t>Study 22</w:t>
      </w:r>
    </w:p>
    <w:p w14:paraId="26BD91BA" w14:textId="68BEB70C" w:rsidR="008A3535" w:rsidRPr="008B029F" w:rsidRDefault="008A3535" w:rsidP="008A3535">
      <w:pPr>
        <w:pStyle w:val="Paragraph"/>
        <w:rPr>
          <w:lang w:val="en-AU"/>
        </w:rPr>
      </w:pPr>
      <w:r w:rsidRPr="008B029F">
        <w:rPr>
          <w:lang w:val="en-AU"/>
        </w:rPr>
        <w:t xml:space="preserve">The safety and efficacy of STRIDE was evaluated in Study 22, an open-label, uncontrolled, multi-part Phase I/II study involving 433 immunotherapy-naïve patients with uHCC. Of the 75 </w:t>
      </w:r>
      <w:bookmarkStart w:id="81" w:name="_Hlk91066829"/>
      <w:r w:rsidRPr="008B029F">
        <w:rPr>
          <w:lang w:val="en-AU"/>
        </w:rPr>
        <w:t>patients who received the STRIDE treatment regimen (tremelimumab 300 mg as a single priming dose + IMFINZI 1500 mg; followed by IMFINZI 1500 mg every 4 weeks), more than a quarter received STRIDE as first line of systemic therapy (73.3% had received prior systemic therapy with sorafenib/other VEGFR TKI). The higher percentage of patients alive and in survival follow-up (including those still receiving study treatment) in the STRIDE treatment arm (30.7%) compared to the other treatment arms (IMFINZI monotherapy and two additional tremelimumab arms; ranging from 17.4% to 19.2%) at DCO was more likely indicative of the data in the STRIDE treatment arm being less mature than that in the other 3 treatment arms as enrolment in the STRIDE safety run-in treatment arm (Part 2B) began approximately 8 months after the start of the other 3 treatment arms (in Part 2A)</w:t>
      </w:r>
      <w:bookmarkStart w:id="82" w:name="_Hlk41483617"/>
      <w:bookmarkEnd w:id="81"/>
      <w:r w:rsidRPr="008B029F">
        <w:rPr>
          <w:lang w:val="en-AU"/>
        </w:rPr>
        <w:t xml:space="preserve">. </w:t>
      </w:r>
      <w:bookmarkEnd w:id="82"/>
    </w:p>
    <w:p w14:paraId="518C66C9" w14:textId="77813F8B" w:rsidR="008A3535" w:rsidRPr="008B029F" w:rsidRDefault="008A3535" w:rsidP="008A3535">
      <w:pPr>
        <w:pStyle w:val="Paragraph"/>
        <w:rPr>
          <w:lang w:val="en-AU"/>
        </w:rPr>
      </w:pPr>
      <w:r w:rsidRPr="008B029F">
        <w:rPr>
          <w:lang w:val="en-AU"/>
        </w:rPr>
        <w:t>The study included patients with BCLC Stage C or B (not eligible for locoregional therapy), ECOG performance status of 0 or 1 and Child-Pugh Score Class A.</w:t>
      </w:r>
    </w:p>
    <w:p w14:paraId="124FFB2C" w14:textId="346F9ED3" w:rsidR="008A3535" w:rsidRPr="008B029F" w:rsidRDefault="008A3535" w:rsidP="008A3535">
      <w:pPr>
        <w:pStyle w:val="Paragraph"/>
        <w:rPr>
          <w:lang w:val="en-AU"/>
        </w:rPr>
      </w:pPr>
      <w:r w:rsidRPr="008B029F">
        <w:rPr>
          <w:lang w:val="en-AU"/>
        </w:rPr>
        <w:t>The study excluded patients with co-infection of viral hepatitis B and hepatitis C; active or prior documented GI bleeding within 12 months; ascites requiring non-pharmacologic intervention within 6 months; hepatic encephalopathy within 12 months before the start of treatment; active or prior documented autoimmune or inflammatory disorders.</w:t>
      </w:r>
    </w:p>
    <w:p w14:paraId="21638BC5" w14:textId="392CCAB6" w:rsidR="008A3535" w:rsidRPr="008B029F" w:rsidRDefault="008A3535" w:rsidP="008A3535">
      <w:pPr>
        <w:pStyle w:val="Paragraph"/>
        <w:rPr>
          <w:lang w:val="en-AU"/>
        </w:rPr>
      </w:pPr>
      <w:r w:rsidRPr="008B029F">
        <w:rPr>
          <w:lang w:val="en-AU"/>
        </w:rPr>
        <w:t>Treatment continued as long as clinical benefit was observed or until unacceptable toxicity.  Patients who completed the assigned dosing cycles and were benefiting from study drug in the Investigator’s opinion and subsequently had evidence of disease progression during the IMFINZI monotherapy phase could be rechallenged with tremelimumab 300 mg.</w:t>
      </w:r>
    </w:p>
    <w:p w14:paraId="02F5D4AB" w14:textId="06697B97" w:rsidR="008A3535" w:rsidRPr="008B029F" w:rsidRDefault="008A3535" w:rsidP="008A3535">
      <w:pPr>
        <w:pStyle w:val="Paragraph"/>
        <w:rPr>
          <w:lang w:val="en-AU"/>
        </w:rPr>
      </w:pPr>
      <w:r w:rsidRPr="008B029F">
        <w:rPr>
          <w:lang w:val="en-AU"/>
        </w:rPr>
        <w:t>Tumour assessments were conducted every 8 weeks.</w:t>
      </w:r>
    </w:p>
    <w:p w14:paraId="2BEC5E44" w14:textId="17B710AC" w:rsidR="008A3535" w:rsidRPr="008B029F" w:rsidRDefault="008A3535" w:rsidP="008A3535">
      <w:pPr>
        <w:pStyle w:val="Paragraph"/>
        <w:rPr>
          <w:lang w:val="en-AU"/>
        </w:rPr>
      </w:pPr>
      <w:r w:rsidRPr="008B029F">
        <w:rPr>
          <w:lang w:val="en-AU"/>
        </w:rPr>
        <w:t>The primary objective was safety and tolerability. Key secondary endpoints included OS, ORR and DoR. ORR, DoR and PFS were based on Investigator assessments and BICR according to RECIST 1.1.</w:t>
      </w:r>
    </w:p>
    <w:p w14:paraId="25E92EC0" w14:textId="65074E87" w:rsidR="008A3535" w:rsidRPr="008B029F" w:rsidRDefault="008A3535" w:rsidP="008A3535">
      <w:pPr>
        <w:pStyle w:val="Paragraph"/>
        <w:rPr>
          <w:lang w:val="en-AU"/>
        </w:rPr>
      </w:pPr>
      <w:r w:rsidRPr="008B029F">
        <w:rPr>
          <w:lang w:val="en-AU"/>
        </w:rPr>
        <w:t>The baseline demographics of the study population (STRIDE) were as follows: male (86.7%); age &lt;65 years (45.3%), white (36.0%); Asian (58.7%); black or African American (5.3%); other (0%), ECOG PS 0 (61.3%), Child-Pugh Class/Score A/5 (68.0%), Child-Pugh Class/Score A/6 (30.7%), macrovascular invasion (21.3%); extrahepatic spread (70.7%), viral aetiology; hepatitis B (36.0%), hepatitis C (28.0%), uninfected (36.0%); prior systemic therapy (73.3%).</w:t>
      </w:r>
    </w:p>
    <w:p w14:paraId="7DB33045" w14:textId="3AFE070A" w:rsidR="008A3535" w:rsidRPr="008B029F" w:rsidRDefault="008A3535" w:rsidP="008A3535">
      <w:pPr>
        <w:pStyle w:val="Paragraph"/>
        <w:rPr>
          <w:lang w:val="en-AU"/>
        </w:rPr>
      </w:pPr>
      <w:r w:rsidRPr="008B029F">
        <w:rPr>
          <w:lang w:val="en-AU"/>
        </w:rPr>
        <w:t xml:space="preserve">Efficacy results for the STRIDE and IMFINZI monotherapy treatment arms only are shown in </w:t>
      </w:r>
      <w:r w:rsidRPr="008B029F">
        <w:rPr>
          <w:color w:val="2B579A"/>
          <w:shd w:val="clear" w:color="auto" w:fill="E6E6E6"/>
          <w:lang w:val="en-AU"/>
        </w:rPr>
        <w:fldChar w:fldCharType="begin"/>
      </w:r>
      <w:r w:rsidRPr="008B029F">
        <w:rPr>
          <w:lang w:val="en-AU"/>
        </w:rPr>
        <w:instrText xml:space="preserve"> REF _Ref124781303 \h  \* MERGEFORMAT </w:instrText>
      </w:r>
      <w:r w:rsidRPr="008B029F">
        <w:rPr>
          <w:color w:val="2B579A"/>
          <w:shd w:val="clear" w:color="auto" w:fill="E6E6E6"/>
          <w:lang w:val="en-AU"/>
        </w:rPr>
      </w:r>
      <w:r w:rsidRPr="008B029F">
        <w:rPr>
          <w:color w:val="2B579A"/>
          <w:shd w:val="clear" w:color="auto" w:fill="E6E6E6"/>
          <w:lang w:val="en-AU"/>
        </w:rPr>
        <w:fldChar w:fldCharType="separate"/>
      </w:r>
      <w:r w:rsidR="009773EE" w:rsidRPr="008B029F">
        <w:rPr>
          <w:lang w:val="en-AU"/>
        </w:rPr>
        <w:t xml:space="preserve">Table </w:t>
      </w:r>
      <w:r w:rsidR="009773EE" w:rsidRPr="008B029F">
        <w:rPr>
          <w:noProof/>
          <w:lang w:val="en-AU"/>
        </w:rPr>
        <w:t>22</w:t>
      </w:r>
      <w:r w:rsidRPr="008B029F">
        <w:rPr>
          <w:color w:val="2B579A"/>
          <w:shd w:val="clear" w:color="auto" w:fill="E6E6E6"/>
          <w:lang w:val="en-AU"/>
        </w:rPr>
        <w:fldChar w:fldCharType="end"/>
      </w:r>
      <w:r w:rsidRPr="008B029F">
        <w:rPr>
          <w:lang w:val="en-AU"/>
        </w:rPr>
        <w:t>.  Results from the other two tremelimumab arms have not been provided.</w:t>
      </w:r>
    </w:p>
    <w:p w14:paraId="5E4FD3EE" w14:textId="3E60EAB1" w:rsidR="008A3535" w:rsidRPr="008B029F" w:rsidRDefault="008A3535" w:rsidP="008A3535">
      <w:pPr>
        <w:pStyle w:val="TableTitle"/>
        <w:rPr>
          <w:lang w:val="en-AU" w:eastAsia="en-GB"/>
        </w:rPr>
      </w:pPr>
      <w:bookmarkStart w:id="83" w:name="_Ref124781303"/>
      <w:r w:rsidRPr="008B029F">
        <w:rPr>
          <w:lang w:val="en-AU"/>
        </w:rPr>
        <w:t xml:space="preserve">Table </w:t>
      </w:r>
      <w:r w:rsidRPr="008B029F">
        <w:rPr>
          <w:color w:val="2B579A"/>
          <w:shd w:val="clear" w:color="auto" w:fill="E6E6E6"/>
          <w:lang w:val="en-AU"/>
        </w:rPr>
        <w:fldChar w:fldCharType="begin"/>
      </w:r>
      <w:r w:rsidRPr="008B029F">
        <w:rPr>
          <w:lang w:val="en-AU"/>
        </w:rPr>
        <w:instrText xml:space="preserve"> SEQ Table \* ARABIC </w:instrText>
      </w:r>
      <w:r w:rsidRPr="008B029F">
        <w:rPr>
          <w:color w:val="2B579A"/>
          <w:shd w:val="clear" w:color="auto" w:fill="E6E6E6"/>
          <w:lang w:val="en-AU"/>
        </w:rPr>
        <w:fldChar w:fldCharType="separate"/>
      </w:r>
      <w:r w:rsidR="009773EE" w:rsidRPr="008B029F">
        <w:rPr>
          <w:noProof/>
          <w:lang w:val="en-AU"/>
        </w:rPr>
        <w:t>22</w:t>
      </w:r>
      <w:r w:rsidRPr="008B029F">
        <w:rPr>
          <w:color w:val="2B579A"/>
          <w:shd w:val="clear" w:color="auto" w:fill="E6E6E6"/>
          <w:lang w:val="en-AU"/>
        </w:rPr>
        <w:fldChar w:fldCharType="end"/>
      </w:r>
      <w:bookmarkEnd w:id="83"/>
      <w:r w:rsidRPr="008B029F">
        <w:rPr>
          <w:lang w:val="en-AU"/>
        </w:rPr>
        <w:tab/>
      </w:r>
      <w:r w:rsidRPr="008B029F">
        <w:rPr>
          <w:lang w:val="en-AU" w:eastAsia="en-GB"/>
        </w:rPr>
        <w:t>Efficacy results for STRIDE and IMFINZI monotherapy treatment arms from Study 22</w:t>
      </w:r>
      <w:r w:rsidRPr="008B029F">
        <w:rPr>
          <w:vertAlign w:val="superscript"/>
          <w:lang w:val="en-AU" w:eastAsia="en-GB"/>
        </w:rPr>
        <w:t>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977"/>
        <w:gridCol w:w="2835"/>
      </w:tblGrid>
      <w:tr w:rsidR="008A3535" w:rsidRPr="008B029F" w14:paraId="77116816" w14:textId="77777777" w:rsidTr="003D6307">
        <w:trPr>
          <w:tblHeader/>
        </w:trPr>
        <w:tc>
          <w:tcPr>
            <w:tcW w:w="4106" w:type="dxa"/>
            <w:shd w:val="clear" w:color="auto" w:fill="auto"/>
          </w:tcPr>
          <w:p w14:paraId="37823DE2" w14:textId="77777777" w:rsidR="008A3535" w:rsidRPr="008B029F" w:rsidRDefault="008A3535">
            <w:pPr>
              <w:pStyle w:val="TableHead"/>
              <w:rPr>
                <w:szCs w:val="20"/>
                <w:lang w:val="en-AU" w:eastAsia="en-GB"/>
              </w:rPr>
            </w:pPr>
          </w:p>
        </w:tc>
        <w:tc>
          <w:tcPr>
            <w:tcW w:w="2977" w:type="dxa"/>
            <w:shd w:val="clear" w:color="auto" w:fill="auto"/>
          </w:tcPr>
          <w:p w14:paraId="1A8CDA93" w14:textId="77777777" w:rsidR="008A3535" w:rsidRPr="008B029F" w:rsidRDefault="008A3535">
            <w:pPr>
              <w:pStyle w:val="TableHead"/>
              <w:rPr>
                <w:szCs w:val="20"/>
                <w:lang w:val="en-AU" w:eastAsia="en-GB"/>
              </w:rPr>
            </w:pPr>
            <w:r w:rsidRPr="008B029F">
              <w:rPr>
                <w:szCs w:val="20"/>
                <w:lang w:val="en-AU" w:eastAsia="en-GB"/>
              </w:rPr>
              <w:t>STRIDE</w:t>
            </w:r>
          </w:p>
          <w:p w14:paraId="28A9FA38" w14:textId="77777777" w:rsidR="008A3535" w:rsidRPr="008B029F" w:rsidRDefault="008A3535">
            <w:pPr>
              <w:pStyle w:val="TableHead"/>
              <w:rPr>
                <w:szCs w:val="20"/>
                <w:lang w:val="en-AU" w:eastAsia="en-GB"/>
              </w:rPr>
            </w:pPr>
            <w:r w:rsidRPr="008B029F">
              <w:rPr>
                <w:szCs w:val="20"/>
                <w:lang w:val="en-AU" w:eastAsia="en-GB"/>
              </w:rPr>
              <w:t>(n=75)</w:t>
            </w:r>
          </w:p>
        </w:tc>
        <w:tc>
          <w:tcPr>
            <w:tcW w:w="2835" w:type="dxa"/>
          </w:tcPr>
          <w:p w14:paraId="1BF0EE65" w14:textId="4140E621" w:rsidR="008A3535" w:rsidRPr="008B029F" w:rsidRDefault="008A3535">
            <w:pPr>
              <w:pStyle w:val="TableHead"/>
              <w:rPr>
                <w:szCs w:val="20"/>
                <w:lang w:val="en-AU" w:eastAsia="en-GB"/>
              </w:rPr>
            </w:pPr>
            <w:r w:rsidRPr="008B029F">
              <w:rPr>
                <w:szCs w:val="20"/>
                <w:lang w:val="en-AU" w:eastAsia="en-GB"/>
              </w:rPr>
              <w:t xml:space="preserve">IMFINZI monotherapy </w:t>
            </w:r>
            <w:r w:rsidRPr="008B029F">
              <w:rPr>
                <w:szCs w:val="20"/>
                <w:vertAlign w:val="superscript"/>
                <w:lang w:val="en-AU" w:eastAsia="en-GB"/>
              </w:rPr>
              <w:t>d</w:t>
            </w:r>
          </w:p>
          <w:p w14:paraId="04F64713" w14:textId="77777777" w:rsidR="008A3535" w:rsidRPr="008B029F" w:rsidRDefault="008A3535">
            <w:pPr>
              <w:pStyle w:val="TableHead"/>
              <w:rPr>
                <w:szCs w:val="20"/>
                <w:lang w:val="en-AU" w:eastAsia="en-GB"/>
              </w:rPr>
            </w:pPr>
            <w:r w:rsidRPr="008B029F">
              <w:rPr>
                <w:szCs w:val="20"/>
                <w:lang w:val="en-AU" w:eastAsia="en-GB"/>
              </w:rPr>
              <w:t>(n=104)</w:t>
            </w:r>
          </w:p>
        </w:tc>
      </w:tr>
      <w:tr w:rsidR="008A3535" w:rsidRPr="008B029F" w14:paraId="45AA02BA" w14:textId="77777777">
        <w:tc>
          <w:tcPr>
            <w:tcW w:w="9918" w:type="dxa"/>
            <w:gridSpan w:val="3"/>
            <w:shd w:val="clear" w:color="auto" w:fill="auto"/>
          </w:tcPr>
          <w:p w14:paraId="71D2F911" w14:textId="77777777" w:rsidR="008A3535" w:rsidRPr="008B029F" w:rsidRDefault="008A3535">
            <w:pPr>
              <w:pStyle w:val="TableLeft"/>
              <w:rPr>
                <w:b/>
                <w:szCs w:val="20"/>
                <w:lang w:val="en-AU" w:eastAsia="en-GB"/>
              </w:rPr>
            </w:pPr>
            <w:r w:rsidRPr="008B029F">
              <w:rPr>
                <w:b/>
                <w:bCs w:val="0"/>
                <w:szCs w:val="20"/>
                <w:lang w:val="en-AU" w:eastAsia="en-GB"/>
              </w:rPr>
              <w:t>ORR</w:t>
            </w:r>
          </w:p>
        </w:tc>
      </w:tr>
      <w:tr w:rsidR="008A3535" w:rsidRPr="008B029F" w14:paraId="55E8EABC" w14:textId="77777777">
        <w:tc>
          <w:tcPr>
            <w:tcW w:w="4106" w:type="dxa"/>
            <w:shd w:val="clear" w:color="auto" w:fill="auto"/>
          </w:tcPr>
          <w:p w14:paraId="263775A9" w14:textId="77777777" w:rsidR="008A3535" w:rsidRPr="008B029F" w:rsidRDefault="008A3535">
            <w:pPr>
              <w:spacing w:before="40" w:after="40" w:line="240" w:lineRule="auto"/>
              <w:rPr>
                <w:b/>
                <w:sz w:val="20"/>
                <w:szCs w:val="20"/>
                <w:lang w:val="en-AU" w:eastAsia="en-GB"/>
              </w:rPr>
            </w:pPr>
            <w:r w:rsidRPr="008B029F">
              <w:rPr>
                <w:b/>
                <w:bCs/>
                <w:sz w:val="20"/>
                <w:szCs w:val="20"/>
                <w:lang w:val="en-AU" w:eastAsia="en-GB"/>
              </w:rPr>
              <w:t>ORR n (%)</w:t>
            </w:r>
            <w:r w:rsidRPr="008B029F">
              <w:rPr>
                <w:b/>
                <w:bCs/>
                <w:sz w:val="20"/>
                <w:szCs w:val="20"/>
                <w:vertAlign w:val="superscript"/>
                <w:lang w:val="en-AU" w:eastAsia="en-GB"/>
              </w:rPr>
              <w:t>b,c</w:t>
            </w:r>
            <w:r w:rsidRPr="008B029F">
              <w:rPr>
                <w:b/>
                <w:bCs/>
                <w:sz w:val="20"/>
                <w:szCs w:val="20"/>
                <w:lang w:val="en-AU" w:eastAsia="en-GB"/>
              </w:rPr>
              <w:t xml:space="preserve"> </w:t>
            </w:r>
          </w:p>
        </w:tc>
        <w:tc>
          <w:tcPr>
            <w:tcW w:w="2977" w:type="dxa"/>
            <w:shd w:val="clear" w:color="auto" w:fill="auto"/>
          </w:tcPr>
          <w:p w14:paraId="38A990F0"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18 (24.0)</w:t>
            </w:r>
          </w:p>
        </w:tc>
        <w:tc>
          <w:tcPr>
            <w:tcW w:w="2835" w:type="dxa"/>
            <w:shd w:val="clear" w:color="auto" w:fill="auto"/>
          </w:tcPr>
          <w:p w14:paraId="5C2A1809"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12 (11.5)</w:t>
            </w:r>
          </w:p>
        </w:tc>
      </w:tr>
      <w:tr w:rsidR="008A3535" w:rsidRPr="008B029F" w14:paraId="6A704FB6" w14:textId="77777777">
        <w:tc>
          <w:tcPr>
            <w:tcW w:w="4106" w:type="dxa"/>
            <w:shd w:val="clear" w:color="auto" w:fill="auto"/>
          </w:tcPr>
          <w:p w14:paraId="6382037D" w14:textId="77777777" w:rsidR="008A3535" w:rsidRPr="008B029F" w:rsidRDefault="008A3535">
            <w:pPr>
              <w:spacing w:before="40" w:after="40" w:line="240" w:lineRule="auto"/>
              <w:rPr>
                <w:b/>
                <w:sz w:val="20"/>
                <w:szCs w:val="20"/>
                <w:lang w:val="en-AU" w:eastAsia="en-GB"/>
              </w:rPr>
            </w:pPr>
            <w:r w:rsidRPr="008B029F">
              <w:rPr>
                <w:sz w:val="20"/>
                <w:szCs w:val="20"/>
                <w:lang w:val="en-AU" w:eastAsia="en-GB"/>
              </w:rPr>
              <w:t>95% CI</w:t>
            </w:r>
          </w:p>
        </w:tc>
        <w:tc>
          <w:tcPr>
            <w:tcW w:w="2977" w:type="dxa"/>
            <w:shd w:val="clear" w:color="auto" w:fill="auto"/>
          </w:tcPr>
          <w:p w14:paraId="0DCCC069"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14.9, 35.3</w:t>
            </w:r>
          </w:p>
        </w:tc>
        <w:tc>
          <w:tcPr>
            <w:tcW w:w="2835" w:type="dxa"/>
            <w:shd w:val="clear" w:color="auto" w:fill="auto"/>
          </w:tcPr>
          <w:p w14:paraId="02FE2223"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6.1, 19.3</w:t>
            </w:r>
          </w:p>
        </w:tc>
      </w:tr>
      <w:tr w:rsidR="008A3535" w:rsidRPr="008B029F" w14:paraId="6145A059" w14:textId="77777777">
        <w:tc>
          <w:tcPr>
            <w:tcW w:w="4106" w:type="dxa"/>
            <w:shd w:val="clear" w:color="auto" w:fill="auto"/>
          </w:tcPr>
          <w:p w14:paraId="71AEDF65" w14:textId="77777777" w:rsidR="008A3535" w:rsidRPr="008B029F" w:rsidRDefault="008A3535">
            <w:pPr>
              <w:spacing w:before="40" w:after="40" w:line="240" w:lineRule="auto"/>
              <w:rPr>
                <w:b/>
                <w:sz w:val="20"/>
                <w:szCs w:val="20"/>
                <w:lang w:val="en-AU" w:eastAsia="en-GB"/>
              </w:rPr>
            </w:pPr>
            <w:r w:rsidRPr="008B029F">
              <w:rPr>
                <w:b/>
                <w:sz w:val="20"/>
                <w:szCs w:val="20"/>
                <w:lang w:val="en-AU" w:eastAsia="en-GB"/>
              </w:rPr>
              <w:lastRenderedPageBreak/>
              <w:t>DoR</w:t>
            </w:r>
            <w:r w:rsidRPr="008B029F">
              <w:rPr>
                <w:b/>
                <w:sz w:val="20"/>
                <w:szCs w:val="20"/>
                <w:vertAlign w:val="superscript"/>
                <w:lang w:val="en-AU" w:eastAsia="en-GB"/>
              </w:rPr>
              <w:t>b</w:t>
            </w:r>
          </w:p>
        </w:tc>
        <w:tc>
          <w:tcPr>
            <w:tcW w:w="2977" w:type="dxa"/>
            <w:shd w:val="clear" w:color="auto" w:fill="auto"/>
          </w:tcPr>
          <w:p w14:paraId="5CBD1436" w14:textId="77777777" w:rsidR="008A3535" w:rsidRPr="008B029F" w:rsidRDefault="008A3535">
            <w:pPr>
              <w:spacing w:before="40" w:after="40" w:line="240" w:lineRule="auto"/>
              <w:jc w:val="center"/>
              <w:rPr>
                <w:b/>
                <w:sz w:val="20"/>
                <w:szCs w:val="20"/>
                <w:lang w:val="en-AU" w:eastAsia="en-GB"/>
              </w:rPr>
            </w:pPr>
          </w:p>
        </w:tc>
        <w:tc>
          <w:tcPr>
            <w:tcW w:w="2835" w:type="dxa"/>
            <w:shd w:val="clear" w:color="auto" w:fill="auto"/>
          </w:tcPr>
          <w:p w14:paraId="5CBD3275" w14:textId="77777777" w:rsidR="008A3535" w:rsidRPr="008B029F" w:rsidRDefault="008A3535">
            <w:pPr>
              <w:spacing w:before="40" w:after="40" w:line="240" w:lineRule="auto"/>
              <w:jc w:val="center"/>
              <w:rPr>
                <w:b/>
                <w:sz w:val="20"/>
                <w:szCs w:val="20"/>
                <w:lang w:val="en-AU" w:eastAsia="en-GB"/>
              </w:rPr>
            </w:pPr>
          </w:p>
        </w:tc>
      </w:tr>
      <w:tr w:rsidR="008A3535" w:rsidRPr="008B029F" w14:paraId="04480FF9" w14:textId="77777777">
        <w:tc>
          <w:tcPr>
            <w:tcW w:w="4106" w:type="dxa"/>
            <w:shd w:val="clear" w:color="auto" w:fill="auto"/>
          </w:tcPr>
          <w:p w14:paraId="47255B1C" w14:textId="77777777" w:rsidR="008A3535" w:rsidRPr="008B029F" w:rsidRDefault="008A3535">
            <w:pPr>
              <w:spacing w:before="40" w:after="40" w:line="240" w:lineRule="auto"/>
              <w:ind w:left="231"/>
              <w:rPr>
                <w:b/>
                <w:bCs/>
                <w:sz w:val="20"/>
                <w:szCs w:val="20"/>
                <w:lang w:val="en-AU" w:eastAsia="en-GB"/>
              </w:rPr>
            </w:pPr>
            <w:r w:rsidRPr="008B029F">
              <w:rPr>
                <w:b/>
                <w:bCs/>
                <w:sz w:val="20"/>
                <w:szCs w:val="20"/>
                <w:lang w:val="en-AU" w:eastAsia="en-GB"/>
              </w:rPr>
              <w:t>Median DoR (months) (95% CI)</w:t>
            </w:r>
          </w:p>
        </w:tc>
        <w:tc>
          <w:tcPr>
            <w:tcW w:w="2977" w:type="dxa"/>
            <w:shd w:val="clear" w:color="auto" w:fill="auto"/>
          </w:tcPr>
          <w:p w14:paraId="4F4D5F75" w14:textId="71C95EC5"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18.4 (5.6, 24.0)</w:t>
            </w:r>
          </w:p>
        </w:tc>
        <w:tc>
          <w:tcPr>
            <w:tcW w:w="2835" w:type="dxa"/>
            <w:shd w:val="clear" w:color="auto" w:fill="auto"/>
          </w:tcPr>
          <w:p w14:paraId="3C4A2A5D" w14:textId="5545A32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15.0 (8.5, NR)</w:t>
            </w:r>
          </w:p>
        </w:tc>
      </w:tr>
      <w:tr w:rsidR="008A3535" w:rsidRPr="008B029F" w14:paraId="6043F7B9" w14:textId="77777777">
        <w:tc>
          <w:tcPr>
            <w:tcW w:w="4106" w:type="dxa"/>
            <w:shd w:val="clear" w:color="auto" w:fill="auto"/>
          </w:tcPr>
          <w:p w14:paraId="5B99834B" w14:textId="77777777" w:rsidR="008A3535" w:rsidRPr="008B029F" w:rsidRDefault="008A3535">
            <w:pPr>
              <w:spacing w:before="40" w:after="40" w:line="240" w:lineRule="auto"/>
              <w:ind w:left="231"/>
              <w:rPr>
                <w:sz w:val="20"/>
                <w:szCs w:val="20"/>
                <w:lang w:val="en-AU"/>
              </w:rPr>
            </w:pPr>
            <w:r w:rsidRPr="008B029F">
              <w:rPr>
                <w:sz w:val="20"/>
                <w:szCs w:val="20"/>
                <w:lang w:val="en-AU"/>
              </w:rPr>
              <w:t>% with duration ≥6 months</w:t>
            </w:r>
          </w:p>
        </w:tc>
        <w:tc>
          <w:tcPr>
            <w:tcW w:w="2977" w:type="dxa"/>
            <w:shd w:val="clear" w:color="auto" w:fill="auto"/>
          </w:tcPr>
          <w:p w14:paraId="2B4ECB29"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71.8</w:t>
            </w:r>
          </w:p>
        </w:tc>
        <w:tc>
          <w:tcPr>
            <w:tcW w:w="2835" w:type="dxa"/>
            <w:shd w:val="clear" w:color="auto" w:fill="auto"/>
          </w:tcPr>
          <w:p w14:paraId="08D4A17D"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83.3</w:t>
            </w:r>
          </w:p>
        </w:tc>
      </w:tr>
      <w:tr w:rsidR="008A3535" w:rsidRPr="008B029F" w14:paraId="58D52452" w14:textId="77777777">
        <w:tc>
          <w:tcPr>
            <w:tcW w:w="4106" w:type="dxa"/>
            <w:shd w:val="clear" w:color="auto" w:fill="auto"/>
          </w:tcPr>
          <w:p w14:paraId="2A8360B4" w14:textId="77777777" w:rsidR="008A3535" w:rsidRPr="008B029F" w:rsidRDefault="008A3535">
            <w:pPr>
              <w:spacing w:before="40" w:after="40" w:line="240" w:lineRule="auto"/>
              <w:ind w:left="231"/>
              <w:rPr>
                <w:sz w:val="20"/>
                <w:szCs w:val="20"/>
                <w:lang w:val="en-AU"/>
              </w:rPr>
            </w:pPr>
            <w:r w:rsidRPr="008B029F">
              <w:rPr>
                <w:sz w:val="20"/>
                <w:szCs w:val="20"/>
                <w:lang w:val="en-AU"/>
              </w:rPr>
              <w:t>% with duration ≥12 months</w:t>
            </w:r>
          </w:p>
        </w:tc>
        <w:tc>
          <w:tcPr>
            <w:tcW w:w="2977" w:type="dxa"/>
            <w:shd w:val="clear" w:color="auto" w:fill="auto"/>
          </w:tcPr>
          <w:p w14:paraId="0D21B3D5"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64.6</w:t>
            </w:r>
          </w:p>
        </w:tc>
        <w:tc>
          <w:tcPr>
            <w:tcW w:w="2835" w:type="dxa"/>
            <w:shd w:val="clear" w:color="auto" w:fill="auto"/>
          </w:tcPr>
          <w:p w14:paraId="60FCAF12" w14:textId="77777777" w:rsidR="008A3535" w:rsidRPr="008B029F" w:rsidRDefault="008A3535">
            <w:pPr>
              <w:spacing w:before="40" w:after="40" w:line="240" w:lineRule="auto"/>
              <w:jc w:val="center"/>
              <w:rPr>
                <w:b/>
                <w:sz w:val="20"/>
                <w:szCs w:val="20"/>
                <w:lang w:val="en-AU" w:eastAsia="en-GB"/>
              </w:rPr>
            </w:pPr>
            <w:r w:rsidRPr="008B029F">
              <w:rPr>
                <w:sz w:val="20"/>
                <w:szCs w:val="20"/>
                <w:lang w:val="en-AU" w:eastAsia="en-GB"/>
              </w:rPr>
              <w:t>56.3</w:t>
            </w:r>
          </w:p>
        </w:tc>
      </w:tr>
      <w:tr w:rsidR="008A3535" w:rsidRPr="008B029F" w14:paraId="557A4DE0" w14:textId="77777777">
        <w:tc>
          <w:tcPr>
            <w:tcW w:w="7083" w:type="dxa"/>
            <w:gridSpan w:val="2"/>
            <w:shd w:val="clear" w:color="auto" w:fill="auto"/>
          </w:tcPr>
          <w:p w14:paraId="03DF5561" w14:textId="77777777" w:rsidR="008A3535" w:rsidRPr="008B029F" w:rsidRDefault="008A3535">
            <w:pPr>
              <w:spacing w:before="40" w:after="40" w:line="240" w:lineRule="auto"/>
              <w:rPr>
                <w:b/>
                <w:sz w:val="20"/>
                <w:szCs w:val="20"/>
                <w:lang w:val="en-AU" w:eastAsia="en-GB"/>
              </w:rPr>
            </w:pPr>
            <w:r w:rsidRPr="008B029F">
              <w:rPr>
                <w:b/>
                <w:sz w:val="20"/>
                <w:szCs w:val="20"/>
                <w:lang w:val="en-AU" w:eastAsia="en-GB"/>
              </w:rPr>
              <w:t>OS</w:t>
            </w:r>
          </w:p>
        </w:tc>
        <w:tc>
          <w:tcPr>
            <w:tcW w:w="2835" w:type="dxa"/>
          </w:tcPr>
          <w:p w14:paraId="29DB19D2" w14:textId="77777777" w:rsidR="008A3535" w:rsidRPr="008B029F" w:rsidRDefault="008A3535">
            <w:pPr>
              <w:spacing w:before="40" w:after="40" w:line="240" w:lineRule="auto"/>
              <w:rPr>
                <w:b/>
                <w:sz w:val="20"/>
                <w:szCs w:val="20"/>
                <w:lang w:val="en-AU" w:eastAsia="en-GB"/>
              </w:rPr>
            </w:pPr>
          </w:p>
        </w:tc>
      </w:tr>
      <w:tr w:rsidR="008A3535" w:rsidRPr="008B029F" w14:paraId="7BA54449" w14:textId="77777777">
        <w:tc>
          <w:tcPr>
            <w:tcW w:w="4106" w:type="dxa"/>
            <w:shd w:val="clear" w:color="auto" w:fill="auto"/>
          </w:tcPr>
          <w:p w14:paraId="500A7A3E" w14:textId="77777777" w:rsidR="008A3535" w:rsidRPr="008B029F" w:rsidRDefault="008A3535">
            <w:pPr>
              <w:spacing w:before="40" w:after="40" w:line="240" w:lineRule="auto"/>
              <w:rPr>
                <w:b/>
                <w:sz w:val="20"/>
                <w:szCs w:val="20"/>
                <w:lang w:val="en-AU" w:eastAsia="en-GB"/>
              </w:rPr>
            </w:pPr>
            <w:r w:rsidRPr="008B029F">
              <w:rPr>
                <w:sz w:val="20"/>
                <w:szCs w:val="20"/>
                <w:lang w:val="en-AU" w:eastAsia="en-GB"/>
              </w:rPr>
              <w:t>Number of deaths (%)</w:t>
            </w:r>
          </w:p>
        </w:tc>
        <w:tc>
          <w:tcPr>
            <w:tcW w:w="2977" w:type="dxa"/>
            <w:shd w:val="clear" w:color="auto" w:fill="auto"/>
          </w:tcPr>
          <w:p w14:paraId="3D007DA2" w14:textId="77777777" w:rsidR="008A3535" w:rsidRPr="008B029F" w:rsidRDefault="008A3535">
            <w:pPr>
              <w:spacing w:before="40" w:after="40" w:line="240" w:lineRule="auto"/>
              <w:jc w:val="center"/>
              <w:rPr>
                <w:sz w:val="20"/>
                <w:szCs w:val="20"/>
                <w:lang w:val="en-AU" w:eastAsia="en-GB"/>
              </w:rPr>
            </w:pPr>
            <w:r w:rsidRPr="008B029F">
              <w:rPr>
                <w:sz w:val="20"/>
                <w:szCs w:val="20"/>
                <w:lang w:val="en-AU" w:eastAsia="en-GB"/>
              </w:rPr>
              <w:t>49 (65.3)</w:t>
            </w:r>
          </w:p>
        </w:tc>
        <w:tc>
          <w:tcPr>
            <w:tcW w:w="2835" w:type="dxa"/>
          </w:tcPr>
          <w:p w14:paraId="56E072E9" w14:textId="77777777" w:rsidR="008A3535" w:rsidRPr="008B029F" w:rsidRDefault="008A3535">
            <w:pPr>
              <w:spacing w:before="40" w:after="40" w:line="240" w:lineRule="auto"/>
              <w:jc w:val="center"/>
              <w:rPr>
                <w:sz w:val="20"/>
                <w:szCs w:val="20"/>
                <w:lang w:val="en-AU" w:eastAsia="en-GB"/>
              </w:rPr>
            </w:pPr>
            <w:r w:rsidRPr="008B029F">
              <w:rPr>
                <w:sz w:val="20"/>
                <w:szCs w:val="20"/>
                <w:lang w:val="en-AU" w:eastAsia="en-GB"/>
              </w:rPr>
              <w:t>78 (75.0)</w:t>
            </w:r>
          </w:p>
        </w:tc>
      </w:tr>
      <w:tr w:rsidR="008A3535" w:rsidRPr="008B029F" w14:paraId="2D0D151C" w14:textId="77777777">
        <w:tc>
          <w:tcPr>
            <w:tcW w:w="4106" w:type="dxa"/>
            <w:shd w:val="clear" w:color="auto" w:fill="auto"/>
          </w:tcPr>
          <w:p w14:paraId="5265F67E" w14:textId="6B90E51C" w:rsidR="008A3535" w:rsidRPr="008B029F" w:rsidRDefault="008A3535">
            <w:pPr>
              <w:autoSpaceDE w:val="0"/>
              <w:autoSpaceDN w:val="0"/>
              <w:adjustRightInd w:val="0"/>
              <w:spacing w:before="40" w:after="40" w:line="240" w:lineRule="auto"/>
              <w:ind w:left="240"/>
              <w:rPr>
                <w:sz w:val="20"/>
                <w:szCs w:val="20"/>
                <w:lang w:val="en-AU" w:eastAsia="en-GB"/>
              </w:rPr>
            </w:pPr>
            <w:r w:rsidRPr="008B029F">
              <w:rPr>
                <w:b/>
                <w:bCs/>
                <w:sz w:val="20"/>
                <w:szCs w:val="20"/>
                <w:lang w:val="en-AU" w:eastAsia="en-GB"/>
              </w:rPr>
              <w:t>Median OS (months) (95% CI)</w:t>
            </w:r>
          </w:p>
        </w:tc>
        <w:tc>
          <w:tcPr>
            <w:tcW w:w="2977" w:type="dxa"/>
            <w:shd w:val="clear" w:color="auto" w:fill="auto"/>
          </w:tcPr>
          <w:p w14:paraId="2C7E6034" w14:textId="30B24A20" w:rsidR="008A3535" w:rsidRPr="008B029F" w:rsidRDefault="008A3535">
            <w:pPr>
              <w:spacing w:before="40" w:after="40" w:line="240" w:lineRule="auto"/>
              <w:jc w:val="center"/>
              <w:rPr>
                <w:sz w:val="20"/>
                <w:szCs w:val="20"/>
                <w:lang w:val="en-AU" w:eastAsia="en-GB"/>
              </w:rPr>
            </w:pPr>
            <w:r w:rsidRPr="008B029F">
              <w:rPr>
                <w:sz w:val="20"/>
                <w:szCs w:val="20"/>
                <w:lang w:val="en-AU" w:eastAsia="en-GB"/>
              </w:rPr>
              <w:t>17.05 (10.6-22.8)</w:t>
            </w:r>
          </w:p>
        </w:tc>
        <w:tc>
          <w:tcPr>
            <w:tcW w:w="2835" w:type="dxa"/>
          </w:tcPr>
          <w:p w14:paraId="5A5C96AB" w14:textId="42D27748" w:rsidR="008A3535" w:rsidRPr="008B029F" w:rsidRDefault="008A3535">
            <w:pPr>
              <w:spacing w:before="40" w:after="40" w:line="240" w:lineRule="auto"/>
              <w:jc w:val="center"/>
              <w:rPr>
                <w:sz w:val="20"/>
                <w:szCs w:val="20"/>
                <w:lang w:val="en-AU" w:eastAsia="en-GB"/>
              </w:rPr>
            </w:pPr>
            <w:r w:rsidRPr="008B029F">
              <w:rPr>
                <w:sz w:val="20"/>
                <w:szCs w:val="20"/>
                <w:lang w:val="en-AU" w:eastAsia="en-GB"/>
              </w:rPr>
              <w:t>12.9 (8.7-16.8)</w:t>
            </w:r>
          </w:p>
        </w:tc>
      </w:tr>
      <w:tr w:rsidR="008A3535" w:rsidRPr="008B029F" w14:paraId="7C5731AB" w14:textId="77777777">
        <w:trPr>
          <w:trHeight w:val="402"/>
        </w:trPr>
        <w:tc>
          <w:tcPr>
            <w:tcW w:w="4106" w:type="dxa"/>
            <w:shd w:val="clear" w:color="auto" w:fill="auto"/>
          </w:tcPr>
          <w:p w14:paraId="279CC27E" w14:textId="1F36CDD7" w:rsidR="008A3535" w:rsidRPr="008B029F" w:rsidRDefault="008A3535">
            <w:pPr>
              <w:autoSpaceDE w:val="0"/>
              <w:autoSpaceDN w:val="0"/>
              <w:adjustRightInd w:val="0"/>
              <w:spacing w:after="0" w:line="240" w:lineRule="auto"/>
              <w:ind w:left="240"/>
              <w:rPr>
                <w:sz w:val="20"/>
                <w:szCs w:val="20"/>
                <w:lang w:val="en-AU" w:eastAsia="en-GB"/>
              </w:rPr>
            </w:pPr>
            <w:r w:rsidRPr="008B029F">
              <w:rPr>
                <w:b/>
                <w:bCs/>
                <w:sz w:val="20"/>
                <w:szCs w:val="20"/>
                <w:lang w:val="en-AU" w:eastAsia="en-GB"/>
              </w:rPr>
              <w:t>OS at 12 months</w:t>
            </w:r>
            <w:r w:rsidRPr="008B029F">
              <w:rPr>
                <w:sz w:val="20"/>
                <w:szCs w:val="20"/>
                <w:lang w:val="en-AU" w:eastAsia="en-GB"/>
              </w:rPr>
              <w:t xml:space="preserve"> </w:t>
            </w:r>
            <w:r w:rsidRPr="008B029F">
              <w:rPr>
                <w:b/>
                <w:bCs/>
                <w:sz w:val="20"/>
                <w:szCs w:val="20"/>
                <w:lang w:val="en-AU" w:eastAsia="en-GB"/>
              </w:rPr>
              <w:t>(%) (95% CI)</w:t>
            </w:r>
          </w:p>
        </w:tc>
        <w:tc>
          <w:tcPr>
            <w:tcW w:w="2977" w:type="dxa"/>
            <w:shd w:val="clear" w:color="auto" w:fill="auto"/>
          </w:tcPr>
          <w:p w14:paraId="3BD5FB13" w14:textId="14836BED" w:rsidR="008A3535" w:rsidRPr="008B029F" w:rsidRDefault="008A3535">
            <w:pPr>
              <w:spacing w:after="0"/>
              <w:jc w:val="center"/>
              <w:rPr>
                <w:sz w:val="20"/>
                <w:szCs w:val="20"/>
                <w:lang w:val="en-AU" w:eastAsia="en-GB"/>
              </w:rPr>
            </w:pPr>
            <w:r w:rsidRPr="008B029F">
              <w:rPr>
                <w:sz w:val="20"/>
                <w:szCs w:val="20"/>
                <w:lang w:val="en-AU" w:eastAsia="en-GB"/>
              </w:rPr>
              <w:t>57.6 (45.5-68.0)</w:t>
            </w:r>
          </w:p>
        </w:tc>
        <w:tc>
          <w:tcPr>
            <w:tcW w:w="2835" w:type="dxa"/>
          </w:tcPr>
          <w:p w14:paraId="7CE51B59" w14:textId="10D02D21" w:rsidR="008A3535" w:rsidRPr="008B029F" w:rsidRDefault="008A3535">
            <w:pPr>
              <w:spacing w:after="0"/>
              <w:jc w:val="center"/>
              <w:rPr>
                <w:sz w:val="20"/>
                <w:szCs w:val="20"/>
                <w:lang w:val="en-AU" w:eastAsia="en-GB"/>
              </w:rPr>
            </w:pPr>
            <w:r w:rsidRPr="008B029F">
              <w:rPr>
                <w:sz w:val="20"/>
                <w:szCs w:val="20"/>
                <w:lang w:val="en-AU" w:eastAsia="en-GB"/>
              </w:rPr>
              <w:t>50.4 (40.3-59.7)</w:t>
            </w:r>
          </w:p>
        </w:tc>
      </w:tr>
      <w:tr w:rsidR="008A3535" w:rsidRPr="008B029F" w14:paraId="6A91F93F" w14:textId="77777777">
        <w:tc>
          <w:tcPr>
            <w:tcW w:w="4106" w:type="dxa"/>
            <w:shd w:val="clear" w:color="auto" w:fill="auto"/>
          </w:tcPr>
          <w:p w14:paraId="43C00CAC" w14:textId="1D601026" w:rsidR="008A3535" w:rsidRPr="008B029F" w:rsidRDefault="008A3535">
            <w:pPr>
              <w:autoSpaceDE w:val="0"/>
              <w:autoSpaceDN w:val="0"/>
              <w:adjustRightInd w:val="0"/>
              <w:spacing w:after="0" w:line="240" w:lineRule="auto"/>
              <w:ind w:left="240"/>
              <w:rPr>
                <w:b/>
                <w:bCs/>
                <w:sz w:val="20"/>
                <w:szCs w:val="20"/>
                <w:lang w:val="en-AU" w:eastAsia="en-GB"/>
              </w:rPr>
            </w:pPr>
            <w:r w:rsidRPr="008B029F">
              <w:rPr>
                <w:b/>
                <w:bCs/>
                <w:sz w:val="20"/>
                <w:szCs w:val="20"/>
                <w:lang w:val="en-AU" w:eastAsia="en-GB"/>
              </w:rPr>
              <w:t>OS at 18 months (%) (95% CI)</w:t>
            </w:r>
          </w:p>
        </w:tc>
        <w:tc>
          <w:tcPr>
            <w:tcW w:w="2977" w:type="dxa"/>
            <w:shd w:val="clear" w:color="auto" w:fill="auto"/>
          </w:tcPr>
          <w:p w14:paraId="248F166B" w14:textId="09584E63" w:rsidR="008A3535" w:rsidRPr="008B029F" w:rsidRDefault="008A3535">
            <w:pPr>
              <w:spacing w:after="0"/>
              <w:jc w:val="center"/>
              <w:rPr>
                <w:sz w:val="20"/>
                <w:szCs w:val="20"/>
                <w:lang w:val="en-AU" w:eastAsia="en-GB"/>
              </w:rPr>
            </w:pPr>
            <w:r w:rsidRPr="008B029F">
              <w:rPr>
                <w:sz w:val="20"/>
                <w:szCs w:val="20"/>
                <w:lang w:val="en-AU" w:eastAsia="en-GB"/>
              </w:rPr>
              <w:t>47.8 (35.9-58.7)</w:t>
            </w:r>
          </w:p>
        </w:tc>
        <w:tc>
          <w:tcPr>
            <w:tcW w:w="2835" w:type="dxa"/>
          </w:tcPr>
          <w:p w14:paraId="7D2AB5EB" w14:textId="1BC3D182" w:rsidR="008A3535" w:rsidRPr="008B029F" w:rsidRDefault="008A3535">
            <w:pPr>
              <w:spacing w:after="0"/>
              <w:jc w:val="center"/>
              <w:rPr>
                <w:sz w:val="20"/>
                <w:szCs w:val="20"/>
                <w:lang w:val="en-AU" w:eastAsia="en-GB"/>
              </w:rPr>
            </w:pPr>
            <w:r w:rsidRPr="008B029F">
              <w:rPr>
                <w:sz w:val="20"/>
                <w:szCs w:val="20"/>
                <w:lang w:val="en-AU" w:eastAsia="en-GB"/>
              </w:rPr>
              <w:t>34.0 (24.9-43.3)</w:t>
            </w:r>
          </w:p>
        </w:tc>
      </w:tr>
      <w:tr w:rsidR="008A3535" w:rsidRPr="008B029F" w14:paraId="2C3A01B7" w14:textId="77777777">
        <w:tc>
          <w:tcPr>
            <w:tcW w:w="4106" w:type="dxa"/>
            <w:shd w:val="clear" w:color="auto" w:fill="auto"/>
          </w:tcPr>
          <w:p w14:paraId="7C1BF84E" w14:textId="42491BC7" w:rsidR="008A3535" w:rsidRPr="008B029F" w:rsidRDefault="008A3535">
            <w:pPr>
              <w:autoSpaceDE w:val="0"/>
              <w:autoSpaceDN w:val="0"/>
              <w:adjustRightInd w:val="0"/>
              <w:spacing w:after="0" w:line="240" w:lineRule="auto"/>
              <w:ind w:left="240"/>
              <w:rPr>
                <w:b/>
                <w:bCs/>
                <w:sz w:val="20"/>
                <w:szCs w:val="20"/>
                <w:lang w:val="en-AU" w:eastAsia="en-GB"/>
              </w:rPr>
            </w:pPr>
            <w:r w:rsidRPr="008B029F">
              <w:rPr>
                <w:b/>
                <w:bCs/>
                <w:sz w:val="20"/>
                <w:szCs w:val="20"/>
                <w:lang w:val="en-AU" w:eastAsia="en-GB"/>
              </w:rPr>
              <w:t>OS at 24 months (%) (95% CI)</w:t>
            </w:r>
          </w:p>
        </w:tc>
        <w:tc>
          <w:tcPr>
            <w:tcW w:w="2977" w:type="dxa"/>
            <w:shd w:val="clear" w:color="auto" w:fill="auto"/>
          </w:tcPr>
          <w:p w14:paraId="3C10B5D9" w14:textId="09BB79F0" w:rsidR="008A3535" w:rsidRPr="008B029F" w:rsidRDefault="008A3535">
            <w:pPr>
              <w:spacing w:after="0"/>
              <w:jc w:val="center"/>
              <w:rPr>
                <w:sz w:val="20"/>
                <w:szCs w:val="20"/>
                <w:lang w:val="en-AU" w:eastAsia="en-GB"/>
              </w:rPr>
            </w:pPr>
            <w:r w:rsidRPr="008B029F">
              <w:rPr>
                <w:sz w:val="20"/>
                <w:szCs w:val="20"/>
                <w:lang w:val="en-AU" w:eastAsia="en-GB"/>
              </w:rPr>
              <w:t>38.3 (26.9-49.6)</w:t>
            </w:r>
          </w:p>
        </w:tc>
        <w:tc>
          <w:tcPr>
            <w:tcW w:w="2835" w:type="dxa"/>
          </w:tcPr>
          <w:p w14:paraId="3F048A4A" w14:textId="78419B17" w:rsidR="008A3535" w:rsidRPr="008B029F" w:rsidRDefault="008A3535">
            <w:pPr>
              <w:spacing w:after="0"/>
              <w:jc w:val="center"/>
              <w:rPr>
                <w:sz w:val="20"/>
                <w:szCs w:val="20"/>
                <w:lang w:val="en-AU" w:eastAsia="en-GB"/>
              </w:rPr>
            </w:pPr>
            <w:r w:rsidRPr="008B029F">
              <w:rPr>
                <w:sz w:val="20"/>
                <w:szCs w:val="20"/>
                <w:lang w:val="en-AU" w:eastAsia="en-GB"/>
              </w:rPr>
              <w:t>26.2 (17.9-35.3)</w:t>
            </w:r>
          </w:p>
        </w:tc>
      </w:tr>
    </w:tbl>
    <w:p w14:paraId="4860923C" w14:textId="77777777" w:rsidR="008A3535" w:rsidRPr="008B029F" w:rsidRDefault="008A3535" w:rsidP="006B10CF">
      <w:pPr>
        <w:pStyle w:val="TableFootnoteLetter"/>
        <w:numPr>
          <w:ilvl w:val="0"/>
          <w:numId w:val="42"/>
        </w:numPr>
        <w:rPr>
          <w:lang w:val="en-AU"/>
        </w:rPr>
      </w:pPr>
      <w:r w:rsidRPr="008B029F">
        <w:rPr>
          <w:lang w:val="en-AU"/>
        </w:rPr>
        <w:t>DCO of Final analysis: 6 Nov 2020.</w:t>
      </w:r>
    </w:p>
    <w:p w14:paraId="3BD6EFF3" w14:textId="77777777" w:rsidR="008A3535" w:rsidRPr="008B029F" w:rsidRDefault="008A3535" w:rsidP="008A3535">
      <w:pPr>
        <w:pStyle w:val="TableFootnoteLetter"/>
        <w:numPr>
          <w:ilvl w:val="0"/>
          <w:numId w:val="25"/>
        </w:numPr>
        <w:rPr>
          <w:lang w:val="en-AU"/>
        </w:rPr>
      </w:pPr>
      <w:r w:rsidRPr="008B029F">
        <w:rPr>
          <w:lang w:val="en-AU"/>
        </w:rPr>
        <w:t xml:space="preserve">Confirmed by BICR per RECIST v1.1. </w:t>
      </w:r>
    </w:p>
    <w:p w14:paraId="3FC00330" w14:textId="77777777" w:rsidR="008A3535" w:rsidRPr="008B029F" w:rsidRDefault="008A3535" w:rsidP="008A3535">
      <w:pPr>
        <w:pStyle w:val="TableFootnoteLetter"/>
        <w:numPr>
          <w:ilvl w:val="0"/>
          <w:numId w:val="25"/>
        </w:numPr>
        <w:rPr>
          <w:lang w:val="en-AU"/>
        </w:rPr>
      </w:pPr>
      <w:r w:rsidRPr="008B029F">
        <w:rPr>
          <w:lang w:val="en-AU"/>
        </w:rPr>
        <w:t>Confirmed complete response.</w:t>
      </w:r>
    </w:p>
    <w:p w14:paraId="44470DF9" w14:textId="77777777" w:rsidR="008A3535" w:rsidRPr="008B029F" w:rsidRDefault="008A3535" w:rsidP="008A3535">
      <w:pPr>
        <w:pStyle w:val="TableFootnoteLetter"/>
        <w:numPr>
          <w:ilvl w:val="0"/>
          <w:numId w:val="25"/>
        </w:numPr>
        <w:rPr>
          <w:lang w:val="en-AU"/>
        </w:rPr>
      </w:pPr>
      <w:r w:rsidRPr="008B029F">
        <w:rPr>
          <w:lang w:val="en-AU" w:eastAsia="en-GB"/>
        </w:rPr>
        <w:t xml:space="preserve">durvalumab </w:t>
      </w:r>
      <w:r w:rsidRPr="008B029F">
        <w:rPr>
          <w:lang w:val="en-AU"/>
        </w:rPr>
        <w:t>1500 mg every 4 weeks</w:t>
      </w:r>
    </w:p>
    <w:p w14:paraId="74EFD282" w14:textId="77777777" w:rsidR="008A3535" w:rsidRPr="008B029F" w:rsidRDefault="008A3535" w:rsidP="008A3535">
      <w:pPr>
        <w:pStyle w:val="TableFootnoteInfo"/>
        <w:rPr>
          <w:lang w:val="en-AU"/>
        </w:rPr>
      </w:pPr>
      <w:r w:rsidRPr="008B029F">
        <w:rPr>
          <w:lang w:val="en-AU"/>
        </w:rPr>
        <w:t>NR=Not Reached, CI=Confidence Interval</w:t>
      </w:r>
    </w:p>
    <w:p w14:paraId="03901C5D" w14:textId="77777777" w:rsidR="008A3535" w:rsidRPr="008B029F" w:rsidRDefault="008A3535" w:rsidP="008A3535">
      <w:pPr>
        <w:pStyle w:val="Paragraph"/>
      </w:pPr>
    </w:p>
    <w:p w14:paraId="5BBDE30C" w14:textId="77777777" w:rsidR="001A3992" w:rsidRPr="008B029F" w:rsidRDefault="007403BD" w:rsidP="003B7CFF">
      <w:pPr>
        <w:pStyle w:val="Heading2"/>
        <w:rPr>
          <w:lang w:val="en-AU"/>
        </w:rPr>
      </w:pPr>
      <w:bookmarkStart w:id="84" w:name="_Ref121909822"/>
      <w:r w:rsidRPr="008B029F">
        <w:rPr>
          <w:lang w:val="en-AU"/>
        </w:rPr>
        <w:t>Pharmacokinetic properties</w:t>
      </w:r>
      <w:bookmarkEnd w:id="84"/>
    </w:p>
    <w:p w14:paraId="2FF4AE80" w14:textId="49166063" w:rsidR="00A36DDB" w:rsidRPr="008B029F" w:rsidRDefault="00A36DDB" w:rsidP="002145FB">
      <w:pPr>
        <w:pStyle w:val="Paragraph"/>
        <w:rPr>
          <w:lang w:val="en-AU"/>
        </w:rPr>
      </w:pPr>
      <w:r w:rsidRPr="008B029F">
        <w:rPr>
          <w:lang w:val="en-AU"/>
        </w:rPr>
        <w:t>The PK of durvalumab was assessed for both IMFINZI as a single agent and in combination with chemotherapy</w:t>
      </w:r>
      <w:r w:rsidR="00CC475F" w:rsidRPr="008B029F">
        <w:rPr>
          <w:lang w:val="en-AU"/>
        </w:rPr>
        <w:t xml:space="preserve"> (etoposide and carboplatin or cisplatin)</w:t>
      </w:r>
      <w:r w:rsidR="006B10CF" w:rsidRPr="008B029F">
        <w:rPr>
          <w:lang w:val="en-AU"/>
        </w:rPr>
        <w:t xml:space="preserve"> and in combination with tremelimumab and platinum-based chemotherapy</w:t>
      </w:r>
      <w:r w:rsidRPr="008B029F">
        <w:rPr>
          <w:lang w:val="en-AU"/>
        </w:rPr>
        <w:t>. There was no clinically meaningful difference between the PK of durvalumab as a single agent</w:t>
      </w:r>
      <w:r w:rsidR="006B10CF" w:rsidRPr="008B029F">
        <w:rPr>
          <w:lang w:val="en-AU"/>
        </w:rPr>
        <w:t>,</w:t>
      </w:r>
      <w:r w:rsidRPr="008B029F">
        <w:rPr>
          <w:lang w:val="en-AU"/>
        </w:rPr>
        <w:t xml:space="preserve"> in combination with chemotherapy</w:t>
      </w:r>
      <w:r w:rsidR="006B10CF" w:rsidRPr="008B029F">
        <w:rPr>
          <w:lang w:val="en-AU"/>
        </w:rPr>
        <w:t>, and in combination with tremelimumab and platinum-based chemotherapy. There was no clinically meaningful difference between the PK of tremelimumab as monotherapy or in combination with durvalumab</w:t>
      </w:r>
      <w:r w:rsidRPr="008B029F">
        <w:rPr>
          <w:lang w:val="en-AU"/>
        </w:rPr>
        <w:t>.</w:t>
      </w:r>
      <w:r w:rsidR="002502AA" w:rsidRPr="008B029F">
        <w:rPr>
          <w:lang w:val="en-AU"/>
        </w:rPr>
        <w:t xml:space="preserve"> </w:t>
      </w:r>
    </w:p>
    <w:p w14:paraId="1EBC3A46" w14:textId="5713EBB9" w:rsidR="002145FB" w:rsidRPr="008B029F" w:rsidRDefault="002145FB" w:rsidP="002145FB">
      <w:pPr>
        <w:pStyle w:val="Paragraph"/>
        <w:rPr>
          <w:lang w:val="en-AU"/>
        </w:rPr>
      </w:pPr>
      <w:r w:rsidRPr="008B029F">
        <w:rPr>
          <w:lang w:val="en-AU"/>
        </w:rPr>
        <w:t>The pharmacokinetics of IMFINZI was studied in patients with solid tumours with doses ranging from 0.1 to 20 mg/kg administered once every two, three or four weeks.</w:t>
      </w:r>
    </w:p>
    <w:p w14:paraId="36144D06" w14:textId="77777777" w:rsidR="001A3992" w:rsidRPr="008B029F" w:rsidRDefault="001A3992" w:rsidP="0026491B">
      <w:pPr>
        <w:pStyle w:val="Heading3Unnumbered"/>
        <w:rPr>
          <w:lang w:val="en-AU"/>
        </w:rPr>
      </w:pPr>
      <w:r w:rsidRPr="008B029F">
        <w:rPr>
          <w:lang w:val="en-AU"/>
        </w:rPr>
        <w:t>Distribution</w:t>
      </w:r>
    </w:p>
    <w:p w14:paraId="43DB9E7F" w14:textId="7A16165F" w:rsidR="007403BD" w:rsidRPr="008B029F" w:rsidRDefault="00BC2ED3" w:rsidP="007403BD">
      <w:pPr>
        <w:pStyle w:val="Paragraph"/>
        <w:rPr>
          <w:lang w:val="en-AU"/>
        </w:rPr>
      </w:pPr>
      <w:r w:rsidRPr="008B029F">
        <w:rPr>
          <w:lang w:val="en-AU"/>
        </w:rPr>
        <w:t>PK exposure increased more than dose-proportionally (non-linear PK) at doses &lt;3</w:t>
      </w:r>
      <w:r w:rsidR="000C7318" w:rsidRPr="008B029F">
        <w:rPr>
          <w:lang w:val="en-AU"/>
        </w:rPr>
        <w:t> </w:t>
      </w:r>
      <w:r w:rsidRPr="008B029F">
        <w:rPr>
          <w:lang w:val="en-AU"/>
        </w:rPr>
        <w:t>mg/kg and dose proportionally (linear PK) at doses ≥ 3</w:t>
      </w:r>
      <w:r w:rsidR="0009668B" w:rsidRPr="008B029F">
        <w:rPr>
          <w:lang w:val="en-AU"/>
        </w:rPr>
        <w:t> </w:t>
      </w:r>
      <w:r w:rsidRPr="008B029F">
        <w:rPr>
          <w:lang w:val="en-AU"/>
        </w:rPr>
        <w:t>mg/kg. Steady state was achieved at approximately 16</w:t>
      </w:r>
      <w:r w:rsidR="000C7318" w:rsidRPr="008B029F">
        <w:rPr>
          <w:lang w:val="en-AU"/>
        </w:rPr>
        <w:t> </w:t>
      </w:r>
      <w:r w:rsidRPr="008B029F">
        <w:rPr>
          <w:lang w:val="en-AU"/>
        </w:rPr>
        <w:t xml:space="preserve">weeks. Based on population </w:t>
      </w:r>
      <w:r w:rsidRPr="0040565D">
        <w:rPr>
          <w:lang w:val="en-AU"/>
        </w:rPr>
        <w:t>PK analysis that included patients in the dose range of 10</w:t>
      </w:r>
      <w:r w:rsidR="000C7318" w:rsidRPr="0040565D">
        <w:rPr>
          <w:lang w:val="en-AU"/>
        </w:rPr>
        <w:t> </w:t>
      </w:r>
      <w:r w:rsidRPr="0040565D">
        <w:rPr>
          <w:lang w:val="en-AU"/>
        </w:rPr>
        <w:t xml:space="preserve">mg/kg </w:t>
      </w:r>
      <w:r w:rsidR="006B10CF" w:rsidRPr="0040565D">
        <w:rPr>
          <w:lang w:val="en-AU"/>
        </w:rPr>
        <w:t>every 2 weeks (Q2W)</w:t>
      </w:r>
      <w:r w:rsidRPr="0040565D">
        <w:rPr>
          <w:lang w:val="en-AU"/>
        </w:rPr>
        <w:t xml:space="preserve">, </w:t>
      </w:r>
      <w:r w:rsidR="005F0F3F" w:rsidRPr="0040565D">
        <w:rPr>
          <w:lang w:val="en-AU"/>
        </w:rPr>
        <w:t>15</w:t>
      </w:r>
      <w:r w:rsidR="006B10CF" w:rsidRPr="0040565D">
        <w:rPr>
          <w:lang w:val="en-AU"/>
        </w:rPr>
        <w:t> </w:t>
      </w:r>
      <w:r w:rsidR="005F0F3F" w:rsidRPr="0040565D">
        <w:rPr>
          <w:lang w:val="en-AU"/>
        </w:rPr>
        <w:t xml:space="preserve">mg/kg </w:t>
      </w:r>
      <w:r w:rsidR="006B10CF" w:rsidRPr="0040565D">
        <w:rPr>
          <w:lang w:val="en-AU"/>
        </w:rPr>
        <w:t>every 3 weeks (</w:t>
      </w:r>
      <w:r w:rsidR="005F0F3F" w:rsidRPr="0040565D">
        <w:rPr>
          <w:lang w:val="en-AU"/>
        </w:rPr>
        <w:t>Q3W</w:t>
      </w:r>
      <w:r w:rsidR="006B10CF" w:rsidRPr="0040565D">
        <w:rPr>
          <w:lang w:val="en-AU"/>
        </w:rPr>
        <w:t>)</w:t>
      </w:r>
      <w:r w:rsidR="005F0F3F" w:rsidRPr="0040565D">
        <w:rPr>
          <w:lang w:val="en-AU"/>
        </w:rPr>
        <w:t xml:space="preserve"> and 20</w:t>
      </w:r>
      <w:r w:rsidR="006B10CF" w:rsidRPr="0040565D">
        <w:rPr>
          <w:lang w:val="en-AU"/>
        </w:rPr>
        <w:t> </w:t>
      </w:r>
      <w:r w:rsidR="005F0F3F" w:rsidRPr="0040565D">
        <w:rPr>
          <w:lang w:val="en-AU"/>
        </w:rPr>
        <w:t xml:space="preserve">mg/kg </w:t>
      </w:r>
      <w:r w:rsidR="006B10CF" w:rsidRPr="0040565D">
        <w:rPr>
          <w:lang w:val="en-AU"/>
        </w:rPr>
        <w:t>every 4 weeks (</w:t>
      </w:r>
      <w:r w:rsidR="005F0F3F" w:rsidRPr="0040565D">
        <w:rPr>
          <w:lang w:val="en-AU"/>
        </w:rPr>
        <w:t>Q4W</w:t>
      </w:r>
      <w:r w:rsidR="006B10CF" w:rsidRPr="0040565D">
        <w:rPr>
          <w:lang w:val="en-AU"/>
        </w:rPr>
        <w:t>)</w:t>
      </w:r>
      <w:r w:rsidR="005F0F3F" w:rsidRPr="0040565D">
        <w:rPr>
          <w:lang w:val="en-AU"/>
        </w:rPr>
        <w:t xml:space="preserve">, </w:t>
      </w:r>
      <w:r w:rsidRPr="0040565D">
        <w:rPr>
          <w:lang w:val="en-AU"/>
        </w:rPr>
        <w:t>the steady state volume of distribution (Vss) was 5.64</w:t>
      </w:r>
      <w:r w:rsidR="00AD01EC" w:rsidRPr="0040565D">
        <w:rPr>
          <w:lang w:val="en-AU"/>
        </w:rPr>
        <w:t> </w:t>
      </w:r>
      <w:r w:rsidRPr="0040565D">
        <w:rPr>
          <w:lang w:val="en-AU"/>
        </w:rPr>
        <w:t>L.</w:t>
      </w:r>
    </w:p>
    <w:p w14:paraId="5B5C3445" w14:textId="77777777" w:rsidR="001A3992" w:rsidRPr="008B029F" w:rsidRDefault="001A3992" w:rsidP="0026491B">
      <w:pPr>
        <w:pStyle w:val="Heading3Unnumbered"/>
        <w:rPr>
          <w:lang w:val="en-AU"/>
        </w:rPr>
      </w:pPr>
      <w:r w:rsidRPr="008B029F">
        <w:rPr>
          <w:lang w:val="en-AU"/>
        </w:rPr>
        <w:t>Excretion</w:t>
      </w:r>
    </w:p>
    <w:p w14:paraId="7B4E1580" w14:textId="3C654534" w:rsidR="007403BD" w:rsidRPr="008B029F" w:rsidRDefault="00BC2ED3" w:rsidP="007403BD">
      <w:pPr>
        <w:pStyle w:val="Paragraph"/>
        <w:rPr>
          <w:lang w:val="en-AU"/>
        </w:rPr>
      </w:pPr>
      <w:r w:rsidRPr="008B029F">
        <w:rPr>
          <w:lang w:val="en-AU"/>
        </w:rPr>
        <w:t>Durvalumab clearance (CL) decreased over time resulting in a geometric mean steady state clearance (CLss) of 8.16</w:t>
      </w:r>
      <w:r w:rsidR="008B662C" w:rsidRPr="008B029F">
        <w:rPr>
          <w:lang w:val="en-AU"/>
        </w:rPr>
        <w:t> </w:t>
      </w:r>
      <w:r w:rsidRPr="008B029F">
        <w:rPr>
          <w:lang w:val="en-AU"/>
        </w:rPr>
        <w:t>mL/h at Day 365; the decrease in CLss was not considered clinically relevant. The terminal half-life (t</w:t>
      </w:r>
      <w:r w:rsidR="00F6612C" w:rsidRPr="008B029F">
        <w:rPr>
          <w:vertAlign w:val="subscript"/>
          <w:lang w:val="en-AU"/>
        </w:rPr>
        <w:t>½</w:t>
      </w:r>
      <w:r w:rsidRPr="008B029F">
        <w:rPr>
          <w:lang w:val="en-AU"/>
        </w:rPr>
        <w:t>), based on baseline CL, was approximately 18 days.</w:t>
      </w:r>
    </w:p>
    <w:p w14:paraId="7D9BD8EA" w14:textId="141CBE20" w:rsidR="00BC2ED3" w:rsidRPr="008B029F" w:rsidRDefault="00BC2ED3" w:rsidP="000C7318">
      <w:pPr>
        <w:pStyle w:val="Heading3Unnumbered"/>
        <w:rPr>
          <w:lang w:val="en-AU"/>
        </w:rPr>
      </w:pPr>
      <w:r w:rsidRPr="008B029F">
        <w:rPr>
          <w:lang w:val="en-AU"/>
        </w:rPr>
        <w:t xml:space="preserve">Special </w:t>
      </w:r>
      <w:r w:rsidR="006B10CF" w:rsidRPr="008B029F">
        <w:rPr>
          <w:lang w:val="en-AU"/>
        </w:rPr>
        <w:t>p</w:t>
      </w:r>
      <w:r w:rsidRPr="008B029F">
        <w:rPr>
          <w:lang w:val="en-AU"/>
        </w:rPr>
        <w:t>opulations</w:t>
      </w:r>
    </w:p>
    <w:p w14:paraId="5EDD8E4E" w14:textId="2DB68A1F" w:rsidR="00BC2ED3" w:rsidRPr="008B029F" w:rsidRDefault="00BC2ED3" w:rsidP="00BC2ED3">
      <w:pPr>
        <w:pStyle w:val="Paragraph"/>
        <w:rPr>
          <w:lang w:val="en-AU"/>
        </w:rPr>
      </w:pPr>
      <w:r w:rsidRPr="008B029F">
        <w:rPr>
          <w:lang w:val="en-AU"/>
        </w:rPr>
        <w:t xml:space="preserve">Age (19–96 years), body weight (34-149 kg), gender, positive anti-drug antibody (ADA) status, albumin levels, LDH levels, creatinine levels, soluble PD-L1, tumour type, race, mild renal impairment (creatinine clearance (CRCL) 60 to 89 mL/min), moderate renal impairment (creatinine clearance (CRCL) 30 to 59 mL/min), mild hepatic impairment (bilirubin ≤ ULN and AST &gt; ULN or </w:t>
      </w:r>
      <w:r w:rsidRPr="008B029F">
        <w:rPr>
          <w:lang w:val="en-AU"/>
        </w:rPr>
        <w:lastRenderedPageBreak/>
        <w:t xml:space="preserve">bilirubin &gt;1.0 to 1.5 × ULN and any AST) </w:t>
      </w:r>
      <w:r w:rsidR="008B662C" w:rsidRPr="008B029F">
        <w:rPr>
          <w:lang w:val="en-AU"/>
        </w:rPr>
        <w:t>moderate hepatic impairment (bilirubin &gt;1.5 to 3 x ULN and any AST) or</w:t>
      </w:r>
      <w:r w:rsidR="008B662C" w:rsidRPr="008B029F" w:rsidDel="008B662C">
        <w:rPr>
          <w:lang w:val="en-AU"/>
        </w:rPr>
        <w:t xml:space="preserve"> </w:t>
      </w:r>
      <w:r w:rsidRPr="008B029F">
        <w:rPr>
          <w:lang w:val="en-AU"/>
        </w:rPr>
        <w:t>ECOG/WHO status had no clinically significant effect on the pharmacokinetics of durvalumab.</w:t>
      </w:r>
    </w:p>
    <w:p w14:paraId="74A92591" w14:textId="3CB7DBFD" w:rsidR="004E0EEA" w:rsidRDefault="00BC2ED3" w:rsidP="00BC2ED3">
      <w:pPr>
        <w:pStyle w:val="Paragraph"/>
        <w:rPr>
          <w:lang w:val="en-AU"/>
        </w:rPr>
      </w:pPr>
      <w:r w:rsidRPr="008B029F">
        <w:rPr>
          <w:lang w:val="en-AU"/>
        </w:rPr>
        <w:t xml:space="preserve">The effect of severe renal impairment (CRCL 15 to 29 mL/min) or </w:t>
      </w:r>
      <w:r w:rsidR="008B662C" w:rsidRPr="008B029F">
        <w:rPr>
          <w:lang w:val="en-AU"/>
        </w:rPr>
        <w:t>severe</w:t>
      </w:r>
      <w:r w:rsidRPr="008B029F">
        <w:rPr>
          <w:lang w:val="en-AU"/>
        </w:rPr>
        <w:t xml:space="preserve"> </w:t>
      </w:r>
      <w:r w:rsidR="00F939B4" w:rsidRPr="008B029F">
        <w:rPr>
          <w:lang w:val="en-AU"/>
        </w:rPr>
        <w:t xml:space="preserve">hepatic impairment </w:t>
      </w:r>
      <w:r w:rsidR="008B662C" w:rsidRPr="008B029F">
        <w:rPr>
          <w:lang w:val="en-AU"/>
        </w:rPr>
        <w:t xml:space="preserve">(bilirubin &gt;3.0 x ULN and any AST) </w:t>
      </w:r>
      <w:r w:rsidRPr="008B029F">
        <w:rPr>
          <w:lang w:val="en-AU"/>
        </w:rPr>
        <w:t>on the pharmacokinetics of durvalumab is unknown</w:t>
      </w:r>
      <w:r w:rsidR="009D135C" w:rsidRPr="008B029F">
        <w:rPr>
          <w:lang w:val="en-AU"/>
        </w:rPr>
        <w:t>; however, as IgG monoclonal antibodies are not primarily cleared via hepatic pathways, a change in hepatic function is not expected to influence durvalumab exposure</w:t>
      </w:r>
      <w:r w:rsidRPr="008B029F">
        <w:rPr>
          <w:lang w:val="en-AU"/>
        </w:rPr>
        <w:t>.</w:t>
      </w:r>
    </w:p>
    <w:p w14:paraId="181326B6" w14:textId="40C363BF" w:rsidR="00BC2ED3" w:rsidRPr="008B029F" w:rsidRDefault="00BC2ED3" w:rsidP="000C7318">
      <w:pPr>
        <w:pStyle w:val="Heading3Unnumbered"/>
        <w:rPr>
          <w:lang w:val="en-AU"/>
        </w:rPr>
      </w:pPr>
      <w:r w:rsidRPr="008B029F">
        <w:rPr>
          <w:lang w:val="en-AU"/>
        </w:rPr>
        <w:t>Immunogenicity</w:t>
      </w:r>
    </w:p>
    <w:p w14:paraId="31C0D17C" w14:textId="22CA675C" w:rsidR="00BC2ED3" w:rsidRPr="008B029F" w:rsidRDefault="00BC2ED3" w:rsidP="00BC2ED3">
      <w:pPr>
        <w:pStyle w:val="Paragraph"/>
        <w:rPr>
          <w:lang w:val="en-AU"/>
        </w:rPr>
      </w:pPr>
      <w:r w:rsidRPr="008B029F">
        <w:rPr>
          <w:lang w:val="en-AU"/>
        </w:rPr>
        <w:t xml:space="preserve">As with all therapeutic proteins, there is a potential for immunogenicity. </w:t>
      </w:r>
      <w:r w:rsidR="00EF0C9F" w:rsidRPr="008B029F">
        <w:rPr>
          <w:lang w:val="en-AU"/>
        </w:rPr>
        <w:t>Immunogenicity of IMFINZI as monotherapy is based on pooled data in 2280 patients</w:t>
      </w:r>
      <w:r w:rsidRPr="008B029F">
        <w:rPr>
          <w:lang w:val="en-AU"/>
        </w:rPr>
        <w:t xml:space="preserve"> who were treated with IMFINZI 10</w:t>
      </w:r>
      <w:r w:rsidR="0009668B" w:rsidRPr="008B029F">
        <w:rPr>
          <w:lang w:val="en-AU"/>
        </w:rPr>
        <w:t> </w:t>
      </w:r>
      <w:r w:rsidRPr="008B029F">
        <w:rPr>
          <w:lang w:val="en-AU"/>
        </w:rPr>
        <w:t>mg/kg every 2 weeks</w:t>
      </w:r>
      <w:r w:rsidR="00EF0C9F" w:rsidRPr="008B029F">
        <w:rPr>
          <w:lang w:val="en-AU"/>
        </w:rPr>
        <w:t xml:space="preserve"> or 20</w:t>
      </w:r>
      <w:r w:rsidR="00F6612C" w:rsidRPr="008B029F">
        <w:rPr>
          <w:lang w:val="en-AU"/>
        </w:rPr>
        <w:t> </w:t>
      </w:r>
      <w:r w:rsidR="00EF0C9F" w:rsidRPr="008B029F">
        <w:rPr>
          <w:lang w:val="en-AU"/>
        </w:rPr>
        <w:t>mg/kg every 4 weeks as a single-agent</w:t>
      </w:r>
      <w:r w:rsidRPr="008B029F">
        <w:rPr>
          <w:lang w:val="en-AU"/>
        </w:rPr>
        <w:t xml:space="preserve"> and evaluable for the presence of anti-drug antibodies (ADAs)</w:t>
      </w:r>
      <w:r w:rsidR="00EF0C9F" w:rsidRPr="008B029F">
        <w:rPr>
          <w:lang w:val="en-AU"/>
        </w:rPr>
        <w:t>.</w:t>
      </w:r>
      <w:r w:rsidR="005919B8" w:rsidRPr="008B029F">
        <w:rPr>
          <w:lang w:val="en-AU"/>
        </w:rPr>
        <w:t xml:space="preserve"> </w:t>
      </w:r>
      <w:r w:rsidR="00EF0C9F" w:rsidRPr="008B029F">
        <w:rPr>
          <w:lang w:val="en-AU"/>
        </w:rPr>
        <w:t>Sixty</w:t>
      </w:r>
      <w:r w:rsidR="004E0EEA">
        <w:rPr>
          <w:lang w:val="en-AU"/>
        </w:rPr>
        <w:t>-</w:t>
      </w:r>
      <w:r w:rsidR="00EF0C9F" w:rsidRPr="008B029F">
        <w:rPr>
          <w:lang w:val="en-AU"/>
        </w:rPr>
        <w:t xml:space="preserve">nine patients (3.0%) </w:t>
      </w:r>
      <w:r w:rsidRPr="008B029F">
        <w:rPr>
          <w:lang w:val="en-AU"/>
        </w:rPr>
        <w:t>tested positive for treatment-emergent ADAs. Neutralising antibodies against durvalumab were detected in 0.5% (</w:t>
      </w:r>
      <w:r w:rsidR="00136039" w:rsidRPr="008B029F">
        <w:rPr>
          <w:lang w:val="en-AU"/>
        </w:rPr>
        <w:t>12</w:t>
      </w:r>
      <w:r w:rsidRPr="008B029F">
        <w:rPr>
          <w:lang w:val="en-AU"/>
        </w:rPr>
        <w:t>/</w:t>
      </w:r>
      <w:r w:rsidR="00136039" w:rsidRPr="008B029F">
        <w:rPr>
          <w:lang w:val="en-AU"/>
        </w:rPr>
        <w:t>2280</w:t>
      </w:r>
      <w:r w:rsidRPr="008B029F">
        <w:rPr>
          <w:lang w:val="en-AU"/>
        </w:rPr>
        <w:t>) patients. The presence of ADAs did not have a clinically relevant effect on pharmacokinetics</w:t>
      </w:r>
      <w:r w:rsidR="00E60419" w:rsidRPr="008B029F">
        <w:rPr>
          <w:lang w:val="en-AU"/>
        </w:rPr>
        <w:t xml:space="preserve">, </w:t>
      </w:r>
      <w:r w:rsidR="00170DB1" w:rsidRPr="008B029F">
        <w:rPr>
          <w:lang w:val="en-AU"/>
        </w:rPr>
        <w:t>pharmacodynamics</w:t>
      </w:r>
      <w:r w:rsidRPr="008B029F">
        <w:rPr>
          <w:lang w:val="en-AU"/>
        </w:rPr>
        <w:t xml:space="preserve"> or safety.</w:t>
      </w:r>
    </w:p>
    <w:p w14:paraId="72B052AD" w14:textId="731E3CE6" w:rsidR="00800043" w:rsidRPr="008B029F" w:rsidRDefault="00800043" w:rsidP="00137E42">
      <w:pPr>
        <w:pStyle w:val="Paragraph"/>
        <w:rPr>
          <w:lang w:val="en-AU"/>
        </w:rPr>
      </w:pPr>
      <w:r w:rsidRPr="008B029F">
        <w:rPr>
          <w:lang w:val="en-AU"/>
        </w:rPr>
        <w:t xml:space="preserve">In the CASPIAN study, of the 201 patients who were treated with IMFINZI 1500 mg every 3 weeks in combination with </w:t>
      </w:r>
      <w:r w:rsidR="00571837" w:rsidRPr="008B029F">
        <w:rPr>
          <w:lang w:val="en-AU"/>
        </w:rPr>
        <w:t xml:space="preserve">etoposide, </w:t>
      </w:r>
      <w:r w:rsidR="00E46175" w:rsidRPr="008B029F">
        <w:rPr>
          <w:lang w:val="en-AU"/>
        </w:rPr>
        <w:t xml:space="preserve">and </w:t>
      </w:r>
      <w:r w:rsidR="00571837" w:rsidRPr="008B029F">
        <w:rPr>
          <w:lang w:val="en-AU"/>
        </w:rPr>
        <w:t xml:space="preserve">carboplatin or cisplatin </w:t>
      </w:r>
      <w:r w:rsidRPr="008B029F">
        <w:rPr>
          <w:lang w:val="en-AU"/>
        </w:rPr>
        <w:t>and evaluable for the presence of ADAs, 0 (0%) patients tested positive for treatment-emergent ADAs.</w:t>
      </w:r>
    </w:p>
    <w:p w14:paraId="6A1341BB" w14:textId="316794B7" w:rsidR="005F0F3F" w:rsidRPr="008B029F" w:rsidRDefault="005F0F3F" w:rsidP="00137E42">
      <w:pPr>
        <w:pStyle w:val="Paragraph"/>
        <w:rPr>
          <w:lang w:val="en-AU"/>
        </w:rPr>
      </w:pPr>
      <w:bookmarkStart w:id="85" w:name="_Hlk100071719"/>
      <w:r w:rsidRPr="008B029F">
        <w:rPr>
          <w:lang w:val="en-AU"/>
        </w:rPr>
        <w:t>In the TOPAZ-1 study, of the 240 patients who were treated with IMFINZI 1500 mg every 3 weeks in combination with chemotherapy, followed by IMFINZI 1500 mg every 4 weeks and evaluable for the presence of ADAs, 2 (0.8%) patients tested positive for treatment-emergent ADAs. There were insufficient numbers of patients with treatment emergent ADAs or neutralizing antibodies (2 patients each) to determine whether ADAs have an impact on pharmacokinetics and clinical safety of durvalumab.</w:t>
      </w:r>
      <w:bookmarkEnd w:id="85"/>
    </w:p>
    <w:p w14:paraId="7A565D0E" w14:textId="49EC08B7" w:rsidR="008B662C" w:rsidRPr="008B029F" w:rsidRDefault="008B662C" w:rsidP="008B662C">
      <w:pPr>
        <w:pStyle w:val="Paragraph"/>
        <w:rPr>
          <w:lang w:val="en-AU"/>
        </w:rPr>
      </w:pPr>
      <w:r w:rsidRPr="008B029F">
        <w:rPr>
          <w:lang w:val="en-AU"/>
        </w:rPr>
        <w:t>In the HIMALAYA study, of the 294 patients who were treated with STRIDE and evaluable for the presence of ADAs, 9 (3.1%) patients tested positive for treatment-emergent ADAs. Neutralizing antibodies against durvalumab were detected in 1.7% (5/294) patients. The presence of ADAs did not have an apparent effect on pharmacokinetics or safety.</w:t>
      </w:r>
    </w:p>
    <w:p w14:paraId="4D3152D2" w14:textId="77777777" w:rsidR="00BC2ED3" w:rsidRPr="008B029F" w:rsidRDefault="00BC2ED3" w:rsidP="00BC2ED3">
      <w:pPr>
        <w:pStyle w:val="Paragraph"/>
        <w:rPr>
          <w:lang w:val="en-AU"/>
        </w:rPr>
      </w:pPr>
      <w:r w:rsidRPr="008B029F">
        <w:rPr>
          <w:lang w:val="en-AU"/>
        </w:rPr>
        <w:t>Immunogenicity assay results are highly dependent on several factors, including assay sensitivity and specificity, assay methodology, sample handling, timing of sample collection, concomitant medications and underlying disease.</w:t>
      </w:r>
    </w:p>
    <w:p w14:paraId="784314C8" w14:textId="77777777" w:rsidR="00BC2ED3" w:rsidRPr="008B029F" w:rsidRDefault="00BC2ED3" w:rsidP="00BC2ED3">
      <w:pPr>
        <w:pStyle w:val="Paragraph"/>
        <w:rPr>
          <w:lang w:val="en-AU"/>
        </w:rPr>
      </w:pPr>
      <w:r w:rsidRPr="008B029F">
        <w:rPr>
          <w:lang w:val="en-AU"/>
        </w:rPr>
        <w:t>For these reasons, comparison of incidence of antibodies to IMFINZI with the incidence of antibodies to other products may be misleading.</w:t>
      </w:r>
    </w:p>
    <w:p w14:paraId="40813C56" w14:textId="77777777" w:rsidR="001A3992" w:rsidRPr="008B029F" w:rsidRDefault="001A3992" w:rsidP="00EE3AC8">
      <w:pPr>
        <w:pStyle w:val="Heading2"/>
        <w:rPr>
          <w:lang w:val="en-AU"/>
        </w:rPr>
      </w:pPr>
      <w:r w:rsidRPr="008B029F">
        <w:rPr>
          <w:lang w:val="en-AU"/>
        </w:rPr>
        <w:t>Preclinical safety data</w:t>
      </w:r>
    </w:p>
    <w:p w14:paraId="38F47680" w14:textId="77777777" w:rsidR="001A3992" w:rsidRPr="008B029F" w:rsidRDefault="001A3992" w:rsidP="0026491B">
      <w:pPr>
        <w:pStyle w:val="Heading3Unnumbered"/>
        <w:rPr>
          <w:lang w:val="en-AU"/>
        </w:rPr>
      </w:pPr>
      <w:r w:rsidRPr="008B029F">
        <w:rPr>
          <w:lang w:val="en-AU"/>
        </w:rPr>
        <w:t>Genotoxicity</w:t>
      </w:r>
    </w:p>
    <w:p w14:paraId="1572DC60" w14:textId="77777777" w:rsidR="007B2A0D" w:rsidRPr="008B029F" w:rsidRDefault="007B2A0D" w:rsidP="00EB701E">
      <w:pPr>
        <w:pStyle w:val="Paragraph"/>
        <w:rPr>
          <w:lang w:val="en-AU"/>
        </w:rPr>
      </w:pPr>
      <w:r w:rsidRPr="008B029F">
        <w:rPr>
          <w:lang w:val="en-AU"/>
        </w:rPr>
        <w:t>The genotoxic potential of durvalumab has not been evaluated. As a large protein molecule, durvalumab is not expected to interact directly with DNA or other chromosomal material.</w:t>
      </w:r>
    </w:p>
    <w:p w14:paraId="727D1A7A" w14:textId="77777777" w:rsidR="001A3992" w:rsidRPr="008B029F" w:rsidRDefault="001A3992" w:rsidP="0026491B">
      <w:pPr>
        <w:pStyle w:val="Heading3Unnumbered"/>
        <w:rPr>
          <w:lang w:val="en-AU"/>
        </w:rPr>
      </w:pPr>
      <w:r w:rsidRPr="008B029F">
        <w:rPr>
          <w:lang w:val="en-AU"/>
        </w:rPr>
        <w:t>Carcinogenicity</w:t>
      </w:r>
    </w:p>
    <w:p w14:paraId="446D9EB9" w14:textId="77777777" w:rsidR="007403BD" w:rsidRPr="008B029F" w:rsidRDefault="007B2A0D" w:rsidP="007403BD">
      <w:pPr>
        <w:pStyle w:val="Paragraph"/>
        <w:rPr>
          <w:lang w:val="en-AU"/>
        </w:rPr>
      </w:pPr>
      <w:r w:rsidRPr="008B029F">
        <w:rPr>
          <w:lang w:val="en-AU"/>
        </w:rPr>
        <w:t>The carcinogenic potential of durvalumab has not been evaluated.</w:t>
      </w:r>
    </w:p>
    <w:p w14:paraId="3C6F0855" w14:textId="77777777" w:rsidR="001A3992" w:rsidRPr="008B029F" w:rsidRDefault="001A3992" w:rsidP="00EE3AC8">
      <w:pPr>
        <w:pStyle w:val="Heading1"/>
        <w:rPr>
          <w:lang w:val="en-AU"/>
        </w:rPr>
      </w:pPr>
      <w:r w:rsidRPr="008B029F">
        <w:rPr>
          <w:lang w:val="en-AU"/>
        </w:rPr>
        <w:lastRenderedPageBreak/>
        <w:t>Pharmaceutical particulars</w:t>
      </w:r>
    </w:p>
    <w:p w14:paraId="0A9F78A7" w14:textId="77777777" w:rsidR="001A3992" w:rsidRPr="008B029F" w:rsidRDefault="001A3992" w:rsidP="00EE3AC8">
      <w:pPr>
        <w:pStyle w:val="Heading2"/>
        <w:rPr>
          <w:lang w:val="en-AU"/>
        </w:rPr>
      </w:pPr>
      <w:bookmarkStart w:id="86" w:name="_Ref505768678"/>
      <w:r w:rsidRPr="008B029F">
        <w:rPr>
          <w:lang w:val="en-AU"/>
        </w:rPr>
        <w:t>List of exci</w:t>
      </w:r>
      <w:r w:rsidR="00795D99" w:rsidRPr="008B029F">
        <w:rPr>
          <w:lang w:val="en-AU"/>
        </w:rPr>
        <w:t>pients</w:t>
      </w:r>
      <w:bookmarkEnd w:id="86"/>
    </w:p>
    <w:p w14:paraId="22E454FE" w14:textId="364A9AEC" w:rsidR="007A2548" w:rsidRPr="008B029F" w:rsidRDefault="00C92E77" w:rsidP="007A2548">
      <w:pPr>
        <w:pStyle w:val="Paragraph"/>
        <w:rPr>
          <w:lang w:val="en-AU"/>
        </w:rPr>
      </w:pPr>
      <w:r w:rsidRPr="008B029F">
        <w:rPr>
          <w:lang w:val="en-AU"/>
        </w:rPr>
        <w:t>IMFINZI concentrated solution for infusion contains the following excipients: histidine, histidine hydrochloride monohydrate, trehalose dihydrate, polysorbate 80 and water for injection</w:t>
      </w:r>
      <w:r w:rsidR="00E86DE8" w:rsidRPr="008B029F">
        <w:rPr>
          <w:lang w:val="en-AU"/>
        </w:rPr>
        <w:t>s</w:t>
      </w:r>
      <w:r w:rsidRPr="008B029F">
        <w:rPr>
          <w:lang w:val="en-AU"/>
        </w:rPr>
        <w:t>.</w:t>
      </w:r>
    </w:p>
    <w:p w14:paraId="2C9D6233" w14:textId="77777777" w:rsidR="001A3992" w:rsidRPr="008B029F" w:rsidRDefault="001A3992" w:rsidP="00EE3AC8">
      <w:pPr>
        <w:pStyle w:val="Heading2"/>
        <w:rPr>
          <w:lang w:val="en-AU"/>
        </w:rPr>
      </w:pPr>
      <w:r w:rsidRPr="008B029F">
        <w:rPr>
          <w:lang w:val="en-AU"/>
        </w:rPr>
        <w:t>Incompatib</w:t>
      </w:r>
      <w:r w:rsidR="00795D99" w:rsidRPr="008B029F">
        <w:rPr>
          <w:lang w:val="en-AU"/>
        </w:rPr>
        <w:t>ilities</w:t>
      </w:r>
    </w:p>
    <w:p w14:paraId="2CCD14C5" w14:textId="77777777" w:rsidR="007A2548" w:rsidRPr="008B029F" w:rsidRDefault="007A2548" w:rsidP="007A2548">
      <w:pPr>
        <w:pStyle w:val="Paragraph"/>
        <w:rPr>
          <w:lang w:val="en-AU"/>
        </w:rPr>
      </w:pPr>
      <w:r w:rsidRPr="008B029F">
        <w:rPr>
          <w:lang w:val="en-AU"/>
        </w:rPr>
        <w:t>Incompatibilities were either not assessed or not identified as part of the registration of this medicine.</w:t>
      </w:r>
    </w:p>
    <w:p w14:paraId="52A2A607" w14:textId="77777777" w:rsidR="001A3992" w:rsidRPr="008B029F" w:rsidRDefault="001A3992" w:rsidP="00EE3AC8">
      <w:pPr>
        <w:pStyle w:val="Heading2"/>
        <w:rPr>
          <w:lang w:val="en-AU"/>
        </w:rPr>
      </w:pPr>
      <w:r w:rsidRPr="008B029F">
        <w:rPr>
          <w:lang w:val="en-AU"/>
        </w:rPr>
        <w:t>Shelf life</w:t>
      </w:r>
    </w:p>
    <w:p w14:paraId="44C839ED" w14:textId="77777777" w:rsidR="007A2548" w:rsidRPr="008B029F" w:rsidRDefault="007A2548" w:rsidP="007403BD">
      <w:pPr>
        <w:pStyle w:val="Paragraph"/>
        <w:rPr>
          <w:lang w:val="en-AU"/>
        </w:rPr>
      </w:pPr>
      <w:r w:rsidRPr="008B029F">
        <w:rPr>
          <w:lang w:val="en-AU"/>
        </w:rPr>
        <w:t>In Australia, information on the shelf life can be found on the public summary of the Australian Register of Therapeutic Goods (ARTG). The expiry date can be found on the packaging.</w:t>
      </w:r>
    </w:p>
    <w:p w14:paraId="50631BB4" w14:textId="77777777" w:rsidR="001A3992" w:rsidRPr="008B029F" w:rsidRDefault="00795D99" w:rsidP="00795D99">
      <w:pPr>
        <w:pStyle w:val="Heading2"/>
        <w:rPr>
          <w:lang w:val="en-AU"/>
        </w:rPr>
      </w:pPr>
      <w:r w:rsidRPr="008B029F">
        <w:rPr>
          <w:lang w:val="en-AU"/>
        </w:rPr>
        <w:t>Special precautions for storage</w:t>
      </w:r>
    </w:p>
    <w:p w14:paraId="052AA3BB" w14:textId="77777777" w:rsidR="007A2548" w:rsidRPr="008B029F" w:rsidRDefault="005644B8" w:rsidP="007403BD">
      <w:pPr>
        <w:pStyle w:val="Paragraph"/>
        <w:rPr>
          <w:lang w:val="en-AU"/>
        </w:rPr>
      </w:pPr>
      <w:r w:rsidRPr="008B029F">
        <w:rPr>
          <w:lang w:val="en-AU"/>
        </w:rPr>
        <w:t>Store unopened vials under refrigeration at 2°C to 8°C in the original carton to protect from light. Do not freeze. Do not shake.</w:t>
      </w:r>
    </w:p>
    <w:p w14:paraId="4FD80085" w14:textId="1790B343" w:rsidR="001A3992" w:rsidRPr="008B029F" w:rsidRDefault="001A3992" w:rsidP="00EE3AC8">
      <w:pPr>
        <w:pStyle w:val="Heading2"/>
        <w:rPr>
          <w:lang w:val="en-AU"/>
        </w:rPr>
      </w:pPr>
      <w:r w:rsidRPr="008B029F">
        <w:rPr>
          <w:lang w:val="en-AU"/>
        </w:rPr>
        <w:t>N</w:t>
      </w:r>
      <w:r w:rsidR="00795D99" w:rsidRPr="008B029F">
        <w:rPr>
          <w:lang w:val="en-AU"/>
        </w:rPr>
        <w:t>ature and contents of container</w:t>
      </w:r>
    </w:p>
    <w:p w14:paraId="2C98C203" w14:textId="77777777" w:rsidR="00522F98" w:rsidRPr="008B029F" w:rsidRDefault="00522F98" w:rsidP="00522F98">
      <w:pPr>
        <w:pStyle w:val="Paragraph"/>
        <w:rPr>
          <w:lang w:val="en-AU"/>
        </w:rPr>
      </w:pPr>
      <w:r w:rsidRPr="008B029F">
        <w:rPr>
          <w:lang w:val="en-AU"/>
        </w:rPr>
        <w:t>10 mL of concentrate</w:t>
      </w:r>
      <w:r w:rsidR="005644B8" w:rsidRPr="008B029F">
        <w:rPr>
          <w:lang w:val="en-AU"/>
        </w:rPr>
        <w:t>d solution for infusion</w:t>
      </w:r>
      <w:r w:rsidRPr="008B029F">
        <w:rPr>
          <w:lang w:val="en-AU"/>
        </w:rPr>
        <w:t xml:space="preserve"> in a 10 mL Type 1 glass vial with an elastomeric stopper and a white flip-off aluminium seal containing 500 mg durvalumab. Pack size of 1 vial. </w:t>
      </w:r>
    </w:p>
    <w:p w14:paraId="7B57C2CE" w14:textId="77777777" w:rsidR="004C7F1B" w:rsidRPr="008B029F" w:rsidRDefault="00522F98" w:rsidP="00522F98">
      <w:pPr>
        <w:pStyle w:val="Paragraph"/>
        <w:rPr>
          <w:sz w:val="20"/>
          <w:szCs w:val="20"/>
          <w:lang w:val="en-AU"/>
        </w:rPr>
      </w:pPr>
      <w:r w:rsidRPr="008B029F">
        <w:rPr>
          <w:lang w:val="en-AU"/>
        </w:rPr>
        <w:t>2.4 mL of concentrate</w:t>
      </w:r>
      <w:r w:rsidR="005644B8" w:rsidRPr="008B029F">
        <w:rPr>
          <w:lang w:val="en-AU"/>
        </w:rPr>
        <w:t>d solution for infusion</w:t>
      </w:r>
      <w:r w:rsidRPr="008B029F">
        <w:rPr>
          <w:lang w:val="en-AU"/>
        </w:rPr>
        <w:t xml:space="preserve"> in a 10 mL Type 1 glass vial with an elastomeric stopper and a grey flip-off aluminium seal containing 120 mg durvalumab. Pack size of 1 vial.</w:t>
      </w:r>
    </w:p>
    <w:p w14:paraId="70D9513E" w14:textId="77777777" w:rsidR="001A3992" w:rsidRPr="008B029F" w:rsidRDefault="001A3992" w:rsidP="00EE3AC8">
      <w:pPr>
        <w:pStyle w:val="Heading2"/>
        <w:rPr>
          <w:lang w:val="en-AU"/>
        </w:rPr>
      </w:pPr>
      <w:r w:rsidRPr="008B029F">
        <w:rPr>
          <w:lang w:val="en-AU"/>
        </w:rPr>
        <w:t>S</w:t>
      </w:r>
      <w:r w:rsidR="00795D99" w:rsidRPr="008B029F">
        <w:rPr>
          <w:lang w:val="en-AU"/>
        </w:rPr>
        <w:t>pecial precautions for disposal</w:t>
      </w:r>
    </w:p>
    <w:p w14:paraId="5C0EB3D4" w14:textId="77777777" w:rsidR="006A727B" w:rsidRPr="008B029F" w:rsidRDefault="006A727B" w:rsidP="007403BD">
      <w:pPr>
        <w:pStyle w:val="Paragraph"/>
        <w:rPr>
          <w:lang w:val="en-AU"/>
        </w:rPr>
      </w:pPr>
      <w:r w:rsidRPr="008B029F">
        <w:rPr>
          <w:lang w:val="en-AU"/>
        </w:rPr>
        <w:t>In Australia, any unused medicine or waste material should be disposed of by taking to your local pharmacy.</w:t>
      </w:r>
    </w:p>
    <w:p w14:paraId="3B15B30B" w14:textId="77777777" w:rsidR="001812B5" w:rsidRPr="008B029F" w:rsidRDefault="001A3992" w:rsidP="005644B8">
      <w:pPr>
        <w:pStyle w:val="Heading2"/>
        <w:rPr>
          <w:lang w:val="en-AU"/>
        </w:rPr>
      </w:pPr>
      <w:r w:rsidRPr="008B029F">
        <w:rPr>
          <w:lang w:val="en-AU"/>
        </w:rPr>
        <w:t>Physicochemical properties</w:t>
      </w:r>
    </w:p>
    <w:p w14:paraId="4A827D78" w14:textId="77777777" w:rsidR="004C7F1B" w:rsidRPr="008B029F" w:rsidRDefault="005644B8" w:rsidP="004C7F1B">
      <w:pPr>
        <w:pStyle w:val="Paragraph"/>
        <w:rPr>
          <w:lang w:val="en-AU"/>
        </w:rPr>
      </w:pPr>
      <w:r w:rsidRPr="008B029F">
        <w:rPr>
          <w:lang w:val="en-AU"/>
        </w:rPr>
        <w:t>Durvalumab is a human immunoglobulin (IgG1κ) monoclonal antibody.</w:t>
      </w:r>
    </w:p>
    <w:p w14:paraId="0B144195" w14:textId="77777777" w:rsidR="006A727B" w:rsidRPr="008B029F" w:rsidRDefault="001A3992" w:rsidP="006A727B">
      <w:pPr>
        <w:pStyle w:val="Paragraph"/>
        <w:rPr>
          <w:lang w:val="en-AU"/>
        </w:rPr>
      </w:pPr>
      <w:r w:rsidRPr="008B029F">
        <w:rPr>
          <w:lang w:val="en-AU"/>
        </w:rPr>
        <w:t>CAS number</w:t>
      </w:r>
      <w:r w:rsidR="004C7F1B" w:rsidRPr="008B029F">
        <w:rPr>
          <w:lang w:val="en-AU"/>
        </w:rPr>
        <w:t xml:space="preserve">:  </w:t>
      </w:r>
      <w:r w:rsidR="00AB5897" w:rsidRPr="008B029F">
        <w:rPr>
          <w:lang w:val="en-AU"/>
        </w:rPr>
        <w:t>1428935-60-7</w:t>
      </w:r>
    </w:p>
    <w:p w14:paraId="2324B491" w14:textId="77777777" w:rsidR="001A3992" w:rsidRPr="008B029F" w:rsidRDefault="001A3992" w:rsidP="00EE3AC8">
      <w:pPr>
        <w:pStyle w:val="Heading1"/>
        <w:rPr>
          <w:lang w:val="en-AU"/>
        </w:rPr>
      </w:pPr>
      <w:r w:rsidRPr="008B029F">
        <w:rPr>
          <w:lang w:val="en-AU"/>
        </w:rPr>
        <w:t>Medicine schedule (Poisons Standard)</w:t>
      </w:r>
    </w:p>
    <w:p w14:paraId="47A3FEA2" w14:textId="59152172" w:rsidR="00AD01EC" w:rsidRPr="008B029F" w:rsidRDefault="0041004D" w:rsidP="002D3489">
      <w:pPr>
        <w:pStyle w:val="Paragraph"/>
        <w:rPr>
          <w:lang w:val="en-AU"/>
        </w:rPr>
      </w:pPr>
      <w:r w:rsidRPr="008B029F">
        <w:rPr>
          <w:lang w:val="en-AU"/>
        </w:rPr>
        <w:t>Prescript</w:t>
      </w:r>
      <w:r w:rsidR="005644B8" w:rsidRPr="008B029F">
        <w:rPr>
          <w:lang w:val="en-AU"/>
        </w:rPr>
        <w:t>ion only medicine (Schedule 4).</w:t>
      </w:r>
    </w:p>
    <w:p w14:paraId="125B544A" w14:textId="77777777" w:rsidR="00285173" w:rsidRPr="008B029F" w:rsidRDefault="001A3992" w:rsidP="00EE3AC8">
      <w:pPr>
        <w:pStyle w:val="Heading1"/>
        <w:rPr>
          <w:lang w:val="en-AU"/>
        </w:rPr>
      </w:pPr>
      <w:r w:rsidRPr="008B029F">
        <w:rPr>
          <w:lang w:val="en-AU"/>
        </w:rPr>
        <w:t>Sponsor</w:t>
      </w:r>
    </w:p>
    <w:p w14:paraId="54BD45D1" w14:textId="77777777" w:rsidR="0041004D" w:rsidRPr="008B029F" w:rsidRDefault="0041004D" w:rsidP="0041004D">
      <w:pPr>
        <w:pStyle w:val="Paragraph"/>
        <w:rPr>
          <w:lang w:val="en-AU"/>
        </w:rPr>
      </w:pPr>
      <w:r w:rsidRPr="008B029F">
        <w:rPr>
          <w:lang w:val="en-AU"/>
        </w:rPr>
        <w:t>AstraZeneca Pty Ltd</w:t>
      </w:r>
      <w:r w:rsidRPr="008B029F">
        <w:rPr>
          <w:lang w:val="en-AU"/>
        </w:rPr>
        <w:br/>
        <w:t>ABN 54 009 682 311</w:t>
      </w:r>
      <w:r w:rsidRPr="008B029F">
        <w:rPr>
          <w:lang w:val="en-AU"/>
        </w:rPr>
        <w:br/>
        <w:t>66 Talavera Road</w:t>
      </w:r>
      <w:r w:rsidRPr="008B029F">
        <w:rPr>
          <w:lang w:val="en-AU"/>
        </w:rPr>
        <w:br/>
        <w:t>MACQUARIE PARK NSW 2113</w:t>
      </w:r>
    </w:p>
    <w:p w14:paraId="7C2C3FD5" w14:textId="77777777" w:rsidR="0041004D" w:rsidRPr="008B029F" w:rsidRDefault="0041004D" w:rsidP="0041004D">
      <w:pPr>
        <w:pStyle w:val="Paragraph"/>
        <w:rPr>
          <w:lang w:val="en-AU"/>
        </w:rPr>
      </w:pPr>
      <w:r w:rsidRPr="008B029F">
        <w:rPr>
          <w:lang w:val="en-AU"/>
        </w:rPr>
        <w:t>Telephone: 1800 805 342</w:t>
      </w:r>
    </w:p>
    <w:p w14:paraId="4899D793" w14:textId="77777777" w:rsidR="00285173" w:rsidRPr="008B029F" w:rsidRDefault="00285173" w:rsidP="00EE3AC8">
      <w:pPr>
        <w:pStyle w:val="Heading1"/>
        <w:rPr>
          <w:lang w:val="en-AU"/>
        </w:rPr>
      </w:pPr>
      <w:r w:rsidRPr="008B029F">
        <w:rPr>
          <w:lang w:val="en-AU"/>
        </w:rPr>
        <w:lastRenderedPageBreak/>
        <w:t xml:space="preserve">Date of first </w:t>
      </w:r>
      <w:r w:rsidR="00795D99" w:rsidRPr="008B029F">
        <w:rPr>
          <w:lang w:val="en-AU"/>
        </w:rPr>
        <w:t>approval</w:t>
      </w:r>
    </w:p>
    <w:p w14:paraId="50EFEC5B" w14:textId="77777777" w:rsidR="00E00336" w:rsidRPr="008B029F" w:rsidRDefault="0085459C" w:rsidP="002D3489">
      <w:pPr>
        <w:pStyle w:val="Paragraph"/>
        <w:rPr>
          <w:lang w:val="en-AU"/>
        </w:rPr>
      </w:pPr>
      <w:r w:rsidRPr="008B029F">
        <w:rPr>
          <w:lang w:val="en-AU"/>
        </w:rPr>
        <w:t>2 October 2018</w:t>
      </w:r>
    </w:p>
    <w:p w14:paraId="1F4B439D" w14:textId="77777777" w:rsidR="00285173" w:rsidRPr="00F26F3D" w:rsidRDefault="00285173" w:rsidP="00EE3AC8">
      <w:pPr>
        <w:pStyle w:val="Heading1"/>
        <w:rPr>
          <w:lang w:val="en-AU"/>
        </w:rPr>
      </w:pPr>
      <w:r w:rsidRPr="00F26F3D">
        <w:rPr>
          <w:lang w:val="en-AU"/>
        </w:rPr>
        <w:t>Date o</w:t>
      </w:r>
      <w:r w:rsidR="00795D99" w:rsidRPr="00F26F3D">
        <w:rPr>
          <w:lang w:val="en-AU"/>
        </w:rPr>
        <w:t>f revision</w:t>
      </w:r>
    </w:p>
    <w:p w14:paraId="34337183" w14:textId="53C81FF7" w:rsidR="00815E03" w:rsidRPr="00F26F3D" w:rsidRDefault="00F6612C" w:rsidP="008D6F0D">
      <w:pPr>
        <w:spacing w:after="200"/>
        <w:rPr>
          <w:lang w:val="en-AU"/>
        </w:rPr>
      </w:pPr>
      <w:r w:rsidRPr="004E0EEA">
        <w:rPr>
          <w:highlight w:val="yellow"/>
          <w:lang w:val="en-AU"/>
        </w:rPr>
        <w:t xml:space="preserve">&lt;&lt;draft </w:t>
      </w:r>
      <w:r w:rsidR="008B1B18" w:rsidRPr="004E0EEA">
        <w:rPr>
          <w:highlight w:val="yellow"/>
          <w:lang w:val="en-AU"/>
        </w:rPr>
        <w:t>8 June</w:t>
      </w:r>
      <w:r w:rsidRPr="004E0EEA">
        <w:rPr>
          <w:highlight w:val="yellow"/>
          <w:lang w:val="en-AU"/>
        </w:rPr>
        <w:t xml:space="preserve"> 2023&gt;&gt;</w:t>
      </w:r>
    </w:p>
    <w:p w14:paraId="7E7F37B1" w14:textId="77777777" w:rsidR="006E2EB5" w:rsidRPr="00F26F3D" w:rsidRDefault="006E2EB5" w:rsidP="008D6F0D">
      <w:pPr>
        <w:spacing w:after="200"/>
        <w:rPr>
          <w:lang w:val="en-AU"/>
        </w:rPr>
      </w:pPr>
    </w:p>
    <w:p w14:paraId="2F7F8D8B" w14:textId="77777777" w:rsidR="00815E03" w:rsidRPr="00F26F3D" w:rsidRDefault="00815E03" w:rsidP="00815E03">
      <w:pPr>
        <w:pStyle w:val="Heading2Unnumbered"/>
        <w:rPr>
          <w:lang w:val="en-AU"/>
        </w:rPr>
      </w:pPr>
      <w:bookmarkStart w:id="87" w:name="_Hlk134521874"/>
      <w:r w:rsidRPr="00F26F3D">
        <w:rPr>
          <w:lang w:val="en-AU"/>
        </w:rPr>
        <w:t>Summary table of changes</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t;&lt;Please Add a Table Title Here&gt;&gt;"/>
      </w:tblPr>
      <w:tblGrid>
        <w:gridCol w:w="1838"/>
        <w:gridCol w:w="8036"/>
      </w:tblGrid>
      <w:tr w:rsidR="00815E03" w:rsidRPr="00F26F3D" w14:paraId="5D0E45E7" w14:textId="77777777" w:rsidTr="000C3440">
        <w:trPr>
          <w:cantSplit/>
          <w:tblHeader/>
        </w:trPr>
        <w:tc>
          <w:tcPr>
            <w:tcW w:w="1838" w:type="dxa"/>
            <w:shd w:val="clear" w:color="auto" w:fill="auto"/>
          </w:tcPr>
          <w:p w14:paraId="4B65D26E" w14:textId="77777777" w:rsidR="00815E03" w:rsidRPr="00F26F3D" w:rsidRDefault="00815E03" w:rsidP="00B37054">
            <w:pPr>
              <w:pStyle w:val="TableHead"/>
              <w:jc w:val="left"/>
              <w:rPr>
                <w:szCs w:val="22"/>
                <w:lang w:val="en-AU"/>
              </w:rPr>
            </w:pPr>
            <w:r w:rsidRPr="00F26F3D">
              <w:rPr>
                <w:szCs w:val="22"/>
                <w:lang w:val="en-AU"/>
              </w:rPr>
              <w:t>Section changed</w:t>
            </w:r>
          </w:p>
        </w:tc>
        <w:tc>
          <w:tcPr>
            <w:tcW w:w="8036" w:type="dxa"/>
            <w:shd w:val="clear" w:color="auto" w:fill="auto"/>
          </w:tcPr>
          <w:p w14:paraId="1C46A400" w14:textId="77777777" w:rsidR="00815E03" w:rsidRPr="00F26F3D" w:rsidRDefault="00815E03" w:rsidP="00B37054">
            <w:pPr>
              <w:pStyle w:val="TableHead"/>
              <w:jc w:val="left"/>
              <w:rPr>
                <w:szCs w:val="22"/>
                <w:lang w:val="en-AU"/>
              </w:rPr>
            </w:pPr>
            <w:r w:rsidRPr="00F26F3D">
              <w:rPr>
                <w:szCs w:val="22"/>
                <w:lang w:val="en-AU"/>
              </w:rPr>
              <w:t>Summary of new information</w:t>
            </w:r>
          </w:p>
        </w:tc>
      </w:tr>
      <w:bookmarkEnd w:id="87"/>
      <w:tr w:rsidR="008B662C" w:rsidRPr="00F26F3D" w14:paraId="735967F4" w14:textId="77777777" w:rsidTr="008B662C">
        <w:trPr>
          <w:cantSplit/>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F2C1861" w14:textId="77777777" w:rsidR="008B662C" w:rsidRPr="00F26F3D" w:rsidRDefault="008B662C">
            <w:pPr>
              <w:pStyle w:val="TableLeft"/>
              <w:rPr>
                <w:sz w:val="22"/>
                <w:szCs w:val="22"/>
                <w:lang w:val="en-AU"/>
              </w:rPr>
            </w:pPr>
            <w:r w:rsidRPr="00F26F3D">
              <w:rPr>
                <w:sz w:val="22"/>
                <w:szCs w:val="22"/>
                <w:lang w:val="en-AU"/>
              </w:rPr>
              <w:t>4.1, 4.2</w:t>
            </w:r>
          </w:p>
        </w:tc>
        <w:tc>
          <w:tcPr>
            <w:tcW w:w="8036" w:type="dxa"/>
            <w:tcBorders>
              <w:top w:val="single" w:sz="4" w:space="0" w:color="auto"/>
              <w:left w:val="single" w:sz="4" w:space="0" w:color="auto"/>
              <w:bottom w:val="single" w:sz="4" w:space="0" w:color="auto"/>
              <w:right w:val="single" w:sz="4" w:space="0" w:color="auto"/>
            </w:tcBorders>
            <w:shd w:val="clear" w:color="auto" w:fill="auto"/>
          </w:tcPr>
          <w:p w14:paraId="79B0166E" w14:textId="142AF19D" w:rsidR="008B1B18" w:rsidRPr="00F26F3D" w:rsidRDefault="008B662C">
            <w:pPr>
              <w:pStyle w:val="TableLeft"/>
              <w:rPr>
                <w:sz w:val="22"/>
                <w:szCs w:val="22"/>
                <w:lang w:val="en-AU"/>
              </w:rPr>
            </w:pPr>
            <w:r w:rsidRPr="00F26F3D">
              <w:rPr>
                <w:sz w:val="22"/>
                <w:szCs w:val="22"/>
                <w:lang w:val="en-AU"/>
              </w:rPr>
              <w:t>New HCC indication and dosing recommendations</w:t>
            </w:r>
            <w:r w:rsidR="00F6612C" w:rsidRPr="00F26F3D">
              <w:rPr>
                <w:sz w:val="22"/>
                <w:szCs w:val="22"/>
                <w:lang w:val="en-AU"/>
              </w:rPr>
              <w:t xml:space="preserve"> (Table 1) and revised </w:t>
            </w:r>
            <w:r w:rsidR="00D8537B" w:rsidRPr="00F26F3D">
              <w:rPr>
                <w:sz w:val="22"/>
                <w:szCs w:val="22"/>
                <w:lang w:val="en-AU"/>
              </w:rPr>
              <w:t>treatment modifications and management recommendations (Table 2)</w:t>
            </w:r>
          </w:p>
        </w:tc>
      </w:tr>
      <w:tr w:rsidR="008B662C" w:rsidRPr="00F26F3D" w14:paraId="058E2D06" w14:textId="77777777" w:rsidTr="008B662C">
        <w:trPr>
          <w:cantSplit/>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7F5EE5B" w14:textId="52D34E82" w:rsidR="008B662C" w:rsidRPr="00F26F3D" w:rsidRDefault="008B662C">
            <w:pPr>
              <w:pStyle w:val="TableLeft"/>
              <w:rPr>
                <w:sz w:val="22"/>
                <w:szCs w:val="22"/>
                <w:lang w:val="en-AU"/>
              </w:rPr>
            </w:pPr>
            <w:r w:rsidRPr="00F26F3D">
              <w:rPr>
                <w:sz w:val="22"/>
                <w:szCs w:val="22"/>
                <w:lang w:val="en-AU"/>
              </w:rPr>
              <w:t xml:space="preserve">4.4, 4.8, </w:t>
            </w:r>
            <w:r w:rsidR="00D8537B" w:rsidRPr="00F26F3D">
              <w:rPr>
                <w:sz w:val="22"/>
                <w:szCs w:val="22"/>
                <w:lang w:val="en-AU"/>
              </w:rPr>
              <w:t xml:space="preserve">5.1 and </w:t>
            </w:r>
            <w:r w:rsidRPr="00F26F3D">
              <w:rPr>
                <w:sz w:val="22"/>
                <w:szCs w:val="22"/>
                <w:lang w:val="en-AU"/>
              </w:rPr>
              <w:t>5.2</w:t>
            </w:r>
          </w:p>
        </w:tc>
        <w:tc>
          <w:tcPr>
            <w:tcW w:w="8036" w:type="dxa"/>
            <w:tcBorders>
              <w:top w:val="single" w:sz="4" w:space="0" w:color="auto"/>
              <w:left w:val="single" w:sz="4" w:space="0" w:color="auto"/>
              <w:bottom w:val="single" w:sz="4" w:space="0" w:color="auto"/>
              <w:right w:val="single" w:sz="4" w:space="0" w:color="auto"/>
            </w:tcBorders>
            <w:shd w:val="clear" w:color="auto" w:fill="auto"/>
          </w:tcPr>
          <w:p w14:paraId="40C5F67F" w14:textId="77777777" w:rsidR="008B662C" w:rsidRPr="00F26F3D" w:rsidRDefault="008B662C">
            <w:pPr>
              <w:pStyle w:val="TableLeft"/>
              <w:rPr>
                <w:sz w:val="22"/>
                <w:szCs w:val="22"/>
                <w:lang w:val="en-AU"/>
              </w:rPr>
            </w:pPr>
            <w:r w:rsidRPr="00F26F3D">
              <w:rPr>
                <w:sz w:val="22"/>
                <w:szCs w:val="22"/>
                <w:lang w:val="en-AU"/>
              </w:rPr>
              <w:t>Updated to include details from the HCC pooled data sets, HIMALAYA and Study 22 clinical study outcomes</w:t>
            </w:r>
          </w:p>
        </w:tc>
      </w:tr>
      <w:tr w:rsidR="008B1B18" w:rsidRPr="00F26F3D" w14:paraId="1B48B642" w14:textId="77777777" w:rsidTr="008B662C">
        <w:trPr>
          <w:cantSplit/>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3E5A4AF" w14:textId="1A28132A" w:rsidR="008B1B18" w:rsidRPr="00F26F3D" w:rsidRDefault="008B1B18">
            <w:pPr>
              <w:pStyle w:val="TableLeft"/>
              <w:rPr>
                <w:sz w:val="22"/>
                <w:szCs w:val="22"/>
                <w:lang w:val="en-AU"/>
              </w:rPr>
            </w:pPr>
            <w:r w:rsidRPr="00F26F3D">
              <w:rPr>
                <w:sz w:val="22"/>
                <w:szCs w:val="22"/>
                <w:lang w:val="en-AU"/>
              </w:rPr>
              <w:t>4.2, 4.4 and 4.8</w:t>
            </w:r>
          </w:p>
        </w:tc>
        <w:tc>
          <w:tcPr>
            <w:tcW w:w="8036" w:type="dxa"/>
            <w:tcBorders>
              <w:top w:val="single" w:sz="4" w:space="0" w:color="auto"/>
              <w:left w:val="single" w:sz="4" w:space="0" w:color="auto"/>
              <w:bottom w:val="single" w:sz="4" w:space="0" w:color="auto"/>
              <w:right w:val="single" w:sz="4" w:space="0" w:color="auto"/>
            </w:tcBorders>
            <w:shd w:val="clear" w:color="auto" w:fill="auto"/>
          </w:tcPr>
          <w:p w14:paraId="7BEBAC94" w14:textId="530B6BD0" w:rsidR="008B1B18" w:rsidRPr="00F26F3D" w:rsidRDefault="008B1B18">
            <w:pPr>
              <w:pStyle w:val="TableLeft"/>
              <w:rPr>
                <w:sz w:val="22"/>
                <w:szCs w:val="22"/>
                <w:lang w:val="en-AU"/>
              </w:rPr>
            </w:pPr>
            <w:r w:rsidRPr="00F26F3D">
              <w:rPr>
                <w:sz w:val="22"/>
                <w:szCs w:val="22"/>
                <w:lang w:val="en-AU"/>
              </w:rPr>
              <w:t>Safety update for Guillain-Barré syndrome</w:t>
            </w:r>
          </w:p>
        </w:tc>
      </w:tr>
    </w:tbl>
    <w:p w14:paraId="72148D79" w14:textId="77777777" w:rsidR="00815E03" w:rsidRPr="00F26F3D" w:rsidRDefault="00815E03">
      <w:pPr>
        <w:spacing w:after="200"/>
        <w:rPr>
          <w:lang w:val="en-AU"/>
        </w:rPr>
      </w:pPr>
    </w:p>
    <w:p w14:paraId="19845505" w14:textId="70F6084A" w:rsidR="00815E03" w:rsidRPr="00F26F3D" w:rsidRDefault="00815E03" w:rsidP="00815E03">
      <w:pPr>
        <w:pStyle w:val="Paragraph"/>
        <w:spacing w:before="120"/>
        <w:rPr>
          <w:sz w:val="20"/>
          <w:szCs w:val="20"/>
          <w:lang w:val="en-AU"/>
        </w:rPr>
      </w:pPr>
      <w:r w:rsidRPr="00F26F3D">
        <w:rPr>
          <w:sz w:val="20"/>
          <w:szCs w:val="20"/>
          <w:vertAlign w:val="superscript"/>
          <w:lang w:val="en-AU"/>
        </w:rPr>
        <w:t>©</w:t>
      </w:r>
      <w:r w:rsidRPr="00F26F3D">
        <w:rPr>
          <w:sz w:val="20"/>
          <w:szCs w:val="20"/>
          <w:lang w:val="en-AU"/>
        </w:rPr>
        <w:t xml:space="preserve"> AstraZeneca </w:t>
      </w:r>
      <w:r w:rsidR="00DE60D7" w:rsidRPr="00F26F3D">
        <w:rPr>
          <w:sz w:val="20"/>
          <w:szCs w:val="20"/>
          <w:lang w:val="en-AU"/>
        </w:rPr>
        <w:t>2023</w:t>
      </w:r>
    </w:p>
    <w:p w14:paraId="7739102B" w14:textId="3B6EF8C5" w:rsidR="00AB6F00" w:rsidRPr="00AB6F00" w:rsidRDefault="00F26F3D" w:rsidP="003C1F34">
      <w:pPr>
        <w:pStyle w:val="Paragraph"/>
        <w:rPr>
          <w:rFonts w:eastAsiaTheme="minorHAnsi"/>
          <w:sz w:val="20"/>
          <w:szCs w:val="20"/>
          <w:lang w:val="en-AU"/>
        </w:rPr>
      </w:pPr>
      <w:r w:rsidRPr="004E0EEA">
        <w:rPr>
          <w:rFonts w:eastAsiaTheme="minorHAnsi"/>
          <w:sz w:val="20"/>
          <w:szCs w:val="20"/>
          <w:highlight w:val="yellow"/>
          <w:lang w:val="en-AU"/>
        </w:rPr>
        <w:t xml:space="preserve">Doc ID-004854588 v5 (clean copy of annotated </w:t>
      </w:r>
      <w:r w:rsidR="003C1F34" w:rsidRPr="004E0EEA">
        <w:rPr>
          <w:rFonts w:eastAsiaTheme="minorHAnsi"/>
          <w:sz w:val="20"/>
          <w:szCs w:val="20"/>
          <w:highlight w:val="yellow"/>
          <w:lang w:val="en-AU"/>
        </w:rPr>
        <w:t>Doc ID-004848898 v</w:t>
      </w:r>
      <w:r w:rsidR="0040565D" w:rsidRPr="004E0EEA">
        <w:rPr>
          <w:rFonts w:eastAsiaTheme="minorHAnsi"/>
          <w:sz w:val="20"/>
          <w:szCs w:val="20"/>
          <w:highlight w:val="yellow"/>
          <w:lang w:val="en-AU"/>
        </w:rPr>
        <w:t>6</w:t>
      </w:r>
      <w:r w:rsidRPr="004E0EEA">
        <w:rPr>
          <w:rFonts w:eastAsiaTheme="minorHAnsi"/>
          <w:sz w:val="20"/>
          <w:szCs w:val="20"/>
          <w:highlight w:val="yellow"/>
          <w:lang w:val="en-AU"/>
        </w:rPr>
        <w:t>)</w:t>
      </w:r>
    </w:p>
    <w:sectPr w:rsidR="00AB6F00" w:rsidRPr="00AB6F00" w:rsidSect="00174137">
      <w:headerReference w:type="default" r:id="rId24"/>
      <w:footerReference w:type="default" r:id="rId25"/>
      <w:type w:val="continuous"/>
      <w:pgSz w:w="11906" w:h="16838"/>
      <w:pgMar w:top="1134"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41E88" w14:textId="77777777" w:rsidR="00EF0577" w:rsidRDefault="00EF0577">
      <w:pPr>
        <w:spacing w:after="0" w:line="240" w:lineRule="auto"/>
      </w:pPr>
      <w:r>
        <w:separator/>
      </w:r>
    </w:p>
  </w:endnote>
  <w:endnote w:type="continuationSeparator" w:id="0">
    <w:p w14:paraId="755B8D44" w14:textId="77777777" w:rsidR="00EF0577" w:rsidRDefault="00EF0577">
      <w:pPr>
        <w:spacing w:after="0" w:line="240" w:lineRule="auto"/>
      </w:pPr>
      <w:r>
        <w:continuationSeparator/>
      </w:r>
    </w:p>
  </w:endnote>
  <w:endnote w:type="continuationNotice" w:id="1">
    <w:p w14:paraId="4F1EE469" w14:textId="77777777" w:rsidR="00EF0577" w:rsidRDefault="00EF0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Arial">
    <w:altName w:val="Times New Roman"/>
    <w:charset w:val="00"/>
    <w:family w:val="roman"/>
    <w:pitch w:val="default"/>
  </w:font>
  <w:font w:name="TimesNewRoman">
    <w:altName w:val="MS Gothic"/>
    <w:panose1 w:val="00000000000000000000"/>
    <w:charset w:val="00"/>
    <w:family w:val="roman"/>
    <w:notTrueType/>
    <w:pitch w:val="default"/>
    <w:sig w:usb0="00000003" w:usb1="08070000" w:usb2="00000010" w:usb3="00000000" w:csb0="00020001" w:csb1="00000000"/>
  </w:font>
  <w:font w:name="Times New Roman,Times New Roman">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7801" w14:textId="77777777" w:rsidR="00B37054" w:rsidRDefault="00B37054" w:rsidP="00C85696">
    <w:pPr>
      <w:pStyle w:val="Footer"/>
      <w:jc w:val="center"/>
    </w:pPr>
    <w:r w:rsidRPr="00136256">
      <w:rPr>
        <w:color w:val="2B579A"/>
        <w:shd w:val="clear" w:color="auto" w:fill="E6E6E6"/>
      </w:rPr>
      <w:fldChar w:fldCharType="begin"/>
    </w:r>
    <w:r w:rsidRPr="00136256">
      <w:instrText xml:space="preserve"> PAGE </w:instrText>
    </w:r>
    <w:r w:rsidRPr="00136256">
      <w:rPr>
        <w:color w:val="2B579A"/>
        <w:shd w:val="clear" w:color="auto" w:fill="E6E6E6"/>
      </w:rPr>
      <w:fldChar w:fldCharType="separate"/>
    </w:r>
    <w:r>
      <w:rPr>
        <w:noProof/>
      </w:rPr>
      <w:t>20</w:t>
    </w:r>
    <w:r w:rsidRPr="00136256">
      <w:rPr>
        <w:color w:val="2B579A"/>
        <w:shd w:val="clear" w:color="auto" w:fill="E6E6E6"/>
      </w:rPr>
      <w:fldChar w:fldCharType="end"/>
    </w:r>
    <w:r w:rsidRPr="00136256">
      <w:t xml:space="preserve"> </w:t>
    </w:r>
    <w:r>
      <w:t xml:space="preserve">of </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25</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1E1B" w14:textId="77777777" w:rsidR="00EF0577" w:rsidRDefault="00EF0577">
      <w:pPr>
        <w:spacing w:after="0" w:line="240" w:lineRule="auto"/>
      </w:pPr>
      <w:r>
        <w:separator/>
      </w:r>
    </w:p>
  </w:footnote>
  <w:footnote w:type="continuationSeparator" w:id="0">
    <w:p w14:paraId="2DD02FCC" w14:textId="77777777" w:rsidR="00EF0577" w:rsidRDefault="00EF0577">
      <w:pPr>
        <w:spacing w:after="0" w:line="240" w:lineRule="auto"/>
      </w:pPr>
      <w:r>
        <w:continuationSeparator/>
      </w:r>
    </w:p>
  </w:footnote>
  <w:footnote w:type="continuationNotice" w:id="1">
    <w:p w14:paraId="2720CC0A" w14:textId="77777777" w:rsidR="00EF0577" w:rsidRDefault="00EF05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180"/>
    </w:tblGrid>
    <w:tr w:rsidR="002503C9" w:rsidRPr="000B2145" w14:paraId="3F0A3133" w14:textId="77777777" w:rsidTr="00A35153">
      <w:trPr>
        <w:trHeight w:val="1012"/>
      </w:trPr>
      <w:tc>
        <w:tcPr>
          <w:tcW w:w="9180" w:type="dxa"/>
          <w:shd w:val="clear" w:color="auto" w:fill="E4F2E0"/>
        </w:tcPr>
        <w:p w14:paraId="6AAE629E" w14:textId="77777777" w:rsidR="002503C9" w:rsidRPr="000E4791" w:rsidRDefault="002503C9" w:rsidP="002503C9">
          <w:pPr>
            <w:pStyle w:val="Footer"/>
            <w:rPr>
              <w:b/>
              <w:sz w:val="18"/>
              <w:szCs w:val="18"/>
            </w:rPr>
          </w:pPr>
          <w:bookmarkStart w:id="88" w:name="_Hlk109054010"/>
          <w:r w:rsidRPr="00EE2A41">
            <w:rPr>
              <w:b/>
              <w:sz w:val="18"/>
              <w:szCs w:val="18"/>
            </w:rPr>
            <w:t xml:space="preserve">Attachment </w:t>
          </w:r>
          <w:r w:rsidRPr="008B022D">
            <w:rPr>
              <w:b/>
              <w:sz w:val="18"/>
              <w:szCs w:val="18"/>
            </w:rPr>
            <w:t>AusPAR - Imfinzi - durvalumab - AstraZeneca Pty Ltd - PM-2022-01573-1-4</w:t>
          </w:r>
          <w:r>
            <w:rPr>
              <w:b/>
              <w:sz w:val="18"/>
              <w:szCs w:val="18"/>
            </w:rPr>
            <w:t xml:space="preserve"> </w:t>
          </w:r>
          <w:r w:rsidRPr="008B022D">
            <w:rPr>
              <w:b/>
              <w:sz w:val="18"/>
              <w:szCs w:val="18"/>
            </w:rPr>
            <w:t>Final 8 December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88"/>
  </w:tbl>
  <w:p w14:paraId="40A94195" w14:textId="77777777" w:rsidR="002503C9" w:rsidRDefault="00250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 w15:restartNumberingAfterBreak="0">
    <w:nsid w:val="062556DB"/>
    <w:multiLevelType w:val="multilevel"/>
    <w:tmpl w:val="C6DA3D6A"/>
    <w:name w:val="ListNumber"/>
    <w:lvl w:ilvl="0">
      <w:start w:val="1"/>
      <w:numFmt w:val="decimal"/>
      <w:pStyle w:val="ListNumber"/>
      <w:lvlText w:val="%1"/>
      <w:lvlJc w:val="left"/>
      <w:pPr>
        <w:ind w:left="425" w:hanging="425"/>
      </w:pPr>
      <w:rPr>
        <w:rFonts w:hint="default"/>
        <w:b w:val="0"/>
        <w:i w:val="0"/>
        <w:caps w:val="0"/>
        <w:sz w:val="24"/>
        <w:u w:val="none"/>
        <w:vertAlign w:val="baseline"/>
      </w:rPr>
    </w:lvl>
    <w:lvl w:ilvl="1">
      <w:start w:val="1"/>
      <w:numFmt w:val="lowerLetter"/>
      <w:pStyle w:val="ListNumber2"/>
      <w:lvlText w:val="(%2)"/>
      <w:lvlJc w:val="left"/>
      <w:pPr>
        <w:ind w:left="850" w:hanging="425"/>
      </w:pPr>
      <w:rPr>
        <w:rFonts w:ascii="Times New Roman" w:hAnsi="Times New Roman" w:hint="default"/>
      </w:rPr>
    </w:lvl>
    <w:lvl w:ilvl="2">
      <w:start w:val="1"/>
      <w:numFmt w:val="lowerRoman"/>
      <w:pStyle w:val="ListNumber3"/>
      <w:lvlText w:val="(%3)"/>
      <w:lvlJc w:val="left"/>
      <w:pPr>
        <w:ind w:left="1275" w:hanging="425"/>
      </w:pPr>
      <w:rPr>
        <w:rFonts w:ascii="Times New Roman" w:hAnsi="Times New Roman"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2" w15:restartNumberingAfterBreak="0">
    <w:nsid w:val="094C5E8B"/>
    <w:multiLevelType w:val="hybridMultilevel"/>
    <w:tmpl w:val="68FC1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7C6EFF"/>
    <w:multiLevelType w:val="hybridMultilevel"/>
    <w:tmpl w:val="E5EAEBDC"/>
    <w:lvl w:ilvl="0" w:tplc="80247EB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6562D4"/>
    <w:multiLevelType w:val="multilevel"/>
    <w:tmpl w:val="49F6E6E0"/>
    <w:name w:val="TableFootnotes"/>
    <w:lvl w:ilvl="0">
      <w:start w:val="1"/>
      <w:numFmt w:val="lower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5" w15:restartNumberingAfterBreak="0">
    <w:nsid w:val="12A441C1"/>
    <w:multiLevelType w:val="singleLevel"/>
    <w:tmpl w:val="1FA422F0"/>
    <w:lvl w:ilvl="0">
      <w:start w:val="1"/>
      <w:numFmt w:val="bullet"/>
      <w:pStyle w:val="ListHyphen"/>
      <w:lvlText w:val="-"/>
      <w:lvlJc w:val="left"/>
      <w:pPr>
        <w:tabs>
          <w:tab w:val="num" w:pos="720"/>
        </w:tabs>
        <w:ind w:left="720" w:hanging="360"/>
      </w:pPr>
      <w:rPr>
        <w:rFonts w:ascii="Times New Roman" w:hAnsi="Times New Roman" w:cs="Times New Roman"/>
        <w:b w:val="0"/>
        <w:i w:val="0"/>
        <w:caps w:val="0"/>
        <w:sz w:val="24"/>
        <w:u w:val="none"/>
        <w:vertAlign w:val="baseline"/>
      </w:rPr>
    </w:lvl>
  </w:abstractNum>
  <w:abstractNum w:abstractNumId="6" w15:restartNumberingAfterBreak="0">
    <w:nsid w:val="15AE6FEE"/>
    <w:multiLevelType w:val="multilevel"/>
    <w:tmpl w:val="01940AA0"/>
    <w:name w:val="ListBulletSmall1"/>
    <w:lvl w:ilvl="0">
      <w:start w:val="1"/>
      <w:numFmt w:val="bullet"/>
      <w:pStyle w:val="ListBulletSmall"/>
      <w:lvlText w:val="•"/>
      <w:lvlJc w:val="left"/>
      <w:pPr>
        <w:ind w:left="425" w:hanging="425"/>
      </w:pPr>
      <w:rPr>
        <w:rFonts w:ascii="Times New Roman" w:hAnsi="Times New Roman" w:cs="Times New Roman" w:hint="default"/>
        <w:b w:val="0"/>
        <w:i w:val="0"/>
        <w:caps w:val="0"/>
        <w:sz w:val="20"/>
        <w:u w:val="none"/>
        <w:vertAlign w:val="baseline"/>
      </w:rPr>
    </w:lvl>
    <w:lvl w:ilvl="1">
      <w:start w:val="1"/>
      <w:numFmt w:val="bullet"/>
      <w:pStyle w:val="ListBulletSmall2"/>
      <w:lvlText w:val=""/>
      <w:lvlJc w:val="left"/>
      <w:pPr>
        <w:ind w:left="850" w:hanging="425"/>
      </w:pPr>
      <w:rPr>
        <w:rFonts w:ascii="Symbol" w:hAnsi="Symbol" w:hint="default"/>
      </w:rPr>
    </w:lvl>
    <w:lvl w:ilvl="2">
      <w:start w:val="1"/>
      <w:numFmt w:val="none"/>
      <w:lvlText w:val=""/>
      <w:lvlJc w:val="left"/>
      <w:pPr>
        <w:ind w:left="1275" w:hanging="425"/>
      </w:pPr>
      <w:rPr>
        <w:rFonts w:hint="default"/>
      </w:rPr>
    </w:lvl>
    <w:lvl w:ilvl="3">
      <w:start w:val="1"/>
      <w:numFmt w:val="none"/>
      <w:lvlText w:val=""/>
      <w:lvlJc w:val="left"/>
      <w:pPr>
        <w:ind w:left="1700" w:hanging="425"/>
      </w:pPr>
      <w:rPr>
        <w:rFonts w:hint="default"/>
      </w:rPr>
    </w:lvl>
    <w:lvl w:ilvl="4">
      <w:start w:val="1"/>
      <w:numFmt w:val="bullet"/>
      <w:lvlText w:val="o"/>
      <w:lvlJc w:val="left"/>
      <w:pPr>
        <w:tabs>
          <w:tab w:val="num" w:pos="2060"/>
        </w:tabs>
        <w:ind w:left="2125" w:hanging="425"/>
      </w:pPr>
      <w:rPr>
        <w:rFonts w:ascii="Courier New" w:hAnsi="Courier New" w:cs="Courier New" w:hint="default"/>
      </w:rPr>
    </w:lvl>
    <w:lvl w:ilvl="5">
      <w:start w:val="1"/>
      <w:numFmt w:val="bullet"/>
      <w:lvlText w:val=""/>
      <w:lvlJc w:val="left"/>
      <w:pPr>
        <w:tabs>
          <w:tab w:val="num" w:pos="2485"/>
        </w:tabs>
        <w:ind w:left="2550" w:hanging="425"/>
      </w:pPr>
      <w:rPr>
        <w:rFonts w:ascii="Wingdings" w:hAnsi="Wingdings" w:hint="default"/>
      </w:rPr>
    </w:lvl>
    <w:lvl w:ilvl="6">
      <w:start w:val="1"/>
      <w:numFmt w:val="bullet"/>
      <w:lvlText w:val=""/>
      <w:lvlJc w:val="left"/>
      <w:pPr>
        <w:tabs>
          <w:tab w:val="num" w:pos="2910"/>
        </w:tabs>
        <w:ind w:left="2975" w:hanging="425"/>
      </w:pPr>
      <w:rPr>
        <w:rFonts w:ascii="Symbol" w:hAnsi="Symbol" w:hint="default"/>
      </w:rPr>
    </w:lvl>
    <w:lvl w:ilvl="7">
      <w:start w:val="1"/>
      <w:numFmt w:val="bullet"/>
      <w:lvlText w:val="o"/>
      <w:lvlJc w:val="left"/>
      <w:pPr>
        <w:tabs>
          <w:tab w:val="num" w:pos="3335"/>
        </w:tabs>
        <w:ind w:left="3400" w:hanging="425"/>
      </w:pPr>
      <w:rPr>
        <w:rFonts w:ascii="Courier New" w:hAnsi="Courier New" w:cs="Courier New" w:hint="default"/>
      </w:rPr>
    </w:lvl>
    <w:lvl w:ilvl="8">
      <w:start w:val="1"/>
      <w:numFmt w:val="bullet"/>
      <w:lvlText w:val=""/>
      <w:lvlJc w:val="left"/>
      <w:pPr>
        <w:tabs>
          <w:tab w:val="num" w:pos="3760"/>
        </w:tabs>
        <w:ind w:left="3825" w:hanging="425"/>
      </w:pPr>
      <w:rPr>
        <w:rFonts w:ascii="Wingdings" w:hAnsi="Wingdings" w:hint="default"/>
      </w:rPr>
    </w:lvl>
  </w:abstractNum>
  <w:abstractNum w:abstractNumId="7" w15:restartNumberingAfterBreak="0">
    <w:nsid w:val="1FF52D35"/>
    <w:multiLevelType w:val="hybridMultilevel"/>
    <w:tmpl w:val="65CE2F46"/>
    <w:lvl w:ilvl="0" w:tplc="E8AE0DF4">
      <w:start w:val="1"/>
      <w:numFmt w:val="lowerLetter"/>
      <w:lvlText w:val="%1"/>
      <w:lvlJc w:val="left"/>
      <w:pPr>
        <w:ind w:left="425" w:hanging="360"/>
      </w:pPr>
      <w:rPr>
        <w:vertAlign w:val="superscript"/>
      </w:rPr>
    </w:lvl>
    <w:lvl w:ilvl="1" w:tplc="709464A0">
      <w:start w:val="1"/>
      <w:numFmt w:val="lowerLetter"/>
      <w:lvlText w:val="%2."/>
      <w:lvlJc w:val="left"/>
      <w:pPr>
        <w:ind w:left="425" w:hanging="360"/>
      </w:pPr>
    </w:lvl>
    <w:lvl w:ilvl="2" w:tplc="B1D47F9C">
      <w:start w:val="1"/>
      <w:numFmt w:val="lowerRoman"/>
      <w:lvlText w:val="%3."/>
      <w:lvlJc w:val="right"/>
      <w:pPr>
        <w:ind w:left="425" w:hanging="180"/>
      </w:pPr>
    </w:lvl>
    <w:lvl w:ilvl="3" w:tplc="0E88D0E6">
      <w:start w:val="1"/>
      <w:numFmt w:val="decimal"/>
      <w:lvlText w:val="%4."/>
      <w:lvlJc w:val="left"/>
      <w:pPr>
        <w:ind w:left="425" w:hanging="360"/>
      </w:pPr>
    </w:lvl>
    <w:lvl w:ilvl="4" w:tplc="B9D0FB3C">
      <w:start w:val="1"/>
      <w:numFmt w:val="lowerLetter"/>
      <w:lvlText w:val="%5."/>
      <w:lvlJc w:val="left"/>
      <w:pPr>
        <w:ind w:left="425" w:hanging="360"/>
      </w:pPr>
    </w:lvl>
    <w:lvl w:ilvl="5" w:tplc="E5EABF48">
      <w:start w:val="1"/>
      <w:numFmt w:val="lowerRoman"/>
      <w:lvlText w:val="%6."/>
      <w:lvlJc w:val="right"/>
      <w:pPr>
        <w:ind w:left="425" w:hanging="180"/>
      </w:pPr>
    </w:lvl>
    <w:lvl w:ilvl="6" w:tplc="E55A4CD6">
      <w:start w:val="1"/>
      <w:numFmt w:val="decimal"/>
      <w:lvlText w:val="%7."/>
      <w:lvlJc w:val="left"/>
      <w:pPr>
        <w:ind w:left="425" w:hanging="360"/>
      </w:pPr>
    </w:lvl>
    <w:lvl w:ilvl="7" w:tplc="2EB65C32">
      <w:start w:val="1"/>
      <w:numFmt w:val="lowerLetter"/>
      <w:lvlText w:val="%8."/>
      <w:lvlJc w:val="left"/>
      <w:pPr>
        <w:ind w:left="425" w:hanging="360"/>
      </w:pPr>
    </w:lvl>
    <w:lvl w:ilvl="8" w:tplc="698E07AA">
      <w:start w:val="1"/>
      <w:numFmt w:val="lowerRoman"/>
      <w:lvlText w:val="%9."/>
      <w:lvlJc w:val="right"/>
      <w:pPr>
        <w:ind w:left="425" w:hanging="180"/>
      </w:pPr>
    </w:lvl>
  </w:abstractNum>
  <w:abstractNum w:abstractNumId="8" w15:restartNumberingAfterBreak="0">
    <w:nsid w:val="29A72716"/>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32913332"/>
    <w:multiLevelType w:val="multilevel"/>
    <w:tmpl w:val="969A274A"/>
    <w:name w:val="HousestyleHeadings"/>
    <w:lvl w:ilvl="0">
      <w:start w:val="1"/>
      <w:numFmt w:val="decimal"/>
      <w:pStyle w:val="Heading1"/>
      <w:lvlText w:val="%1"/>
      <w:lvlJc w:val="left"/>
      <w:pPr>
        <w:tabs>
          <w:tab w:val="num" w:pos="1134"/>
        </w:tabs>
        <w:ind w:left="1134" w:hanging="1134"/>
      </w:pPr>
      <w:rPr>
        <w:rFonts w:ascii="Times New Roman" w:hAnsi="Times New Roman" w:hint="default"/>
      </w:rPr>
    </w:lvl>
    <w:lvl w:ilvl="1">
      <w:start w:val="1"/>
      <w:numFmt w:val="decimal"/>
      <w:pStyle w:val="Heading2"/>
      <w:lvlText w:val="%1.%2"/>
      <w:lvlJc w:val="left"/>
      <w:pPr>
        <w:tabs>
          <w:tab w:val="num" w:pos="1134"/>
        </w:tabs>
        <w:ind w:left="1134" w:hanging="1134"/>
      </w:pPr>
      <w:rPr>
        <w:rFonts w:ascii="Times New Roman" w:hAnsi="Times New Roman" w:hint="default"/>
      </w:rPr>
    </w:lvl>
    <w:lvl w:ilvl="2">
      <w:start w:val="1"/>
      <w:numFmt w:val="decimal"/>
      <w:pStyle w:val="Heading3"/>
      <w:lvlText w:val="%1.%2.%3"/>
      <w:lvlJc w:val="left"/>
      <w:pPr>
        <w:tabs>
          <w:tab w:val="num" w:pos="1134"/>
        </w:tabs>
        <w:ind w:left="1134" w:hanging="1134"/>
      </w:pPr>
      <w:rPr>
        <w:rFonts w:ascii="Times New Roman" w:hAnsi="Times New Roman" w:hint="default"/>
      </w:rPr>
    </w:lvl>
    <w:lvl w:ilvl="3">
      <w:start w:val="1"/>
      <w:numFmt w:val="decimal"/>
      <w:pStyle w:val="Heading4"/>
      <w:lvlText w:val="%1.%2.%3.%4"/>
      <w:lvlJc w:val="left"/>
      <w:pPr>
        <w:tabs>
          <w:tab w:val="num" w:pos="1134"/>
        </w:tabs>
        <w:ind w:left="1134" w:hanging="1134"/>
      </w:pPr>
      <w:rPr>
        <w:rFonts w:ascii="Times New Roman" w:hAnsi="Times New Roman" w:hint="default"/>
      </w:rPr>
    </w:lvl>
    <w:lvl w:ilvl="4">
      <w:start w:val="1"/>
      <w:numFmt w:val="decimal"/>
      <w:pStyle w:val="Heading5"/>
      <w:lvlText w:val="%1.%2.%3.%4.%5"/>
      <w:lvlJc w:val="left"/>
      <w:pPr>
        <w:tabs>
          <w:tab w:val="num" w:pos="1134"/>
        </w:tabs>
        <w:ind w:left="1134" w:hanging="1134"/>
      </w:pPr>
      <w:rPr>
        <w:rFonts w:ascii="Times New Roman" w:hAnsi="Times New Roman" w:hint="default"/>
      </w:rPr>
    </w:lvl>
    <w:lvl w:ilvl="5">
      <w:start w:val="1"/>
      <w:numFmt w:val="decimal"/>
      <w:pStyle w:val="Heading6"/>
      <w:lvlText w:val="%1.%2.%3.%4.%5.%6"/>
      <w:lvlJc w:val="left"/>
      <w:pPr>
        <w:tabs>
          <w:tab w:val="num" w:pos="1134"/>
        </w:tabs>
        <w:ind w:left="1134" w:hanging="1134"/>
      </w:pPr>
      <w:rPr>
        <w:rFonts w:ascii="Times New Roman" w:hAnsi="Times New Roman" w:hint="default"/>
      </w:rPr>
    </w:lvl>
    <w:lvl w:ilvl="6">
      <w:start w:val="1"/>
      <w:numFmt w:val="decimal"/>
      <w:pStyle w:val="Heading7"/>
      <w:lvlText w:val="%1.%2.%3.%4.%5.%6.%7"/>
      <w:lvlJc w:val="left"/>
      <w:pPr>
        <w:tabs>
          <w:tab w:val="num" w:pos="1134"/>
        </w:tabs>
        <w:ind w:left="1134" w:hanging="1134"/>
      </w:pPr>
      <w:rPr>
        <w:rFonts w:ascii="Times New Roman" w:hAnsi="Times New Roman" w:hint="default"/>
      </w:rPr>
    </w:lvl>
    <w:lvl w:ilvl="7">
      <w:start w:val="1"/>
      <w:numFmt w:val="decimal"/>
      <w:pStyle w:val="Heading8"/>
      <w:lvlText w:val="%1.%2.%3.%4.%5.%6.%7.%8"/>
      <w:lvlJc w:val="left"/>
      <w:pPr>
        <w:tabs>
          <w:tab w:val="num" w:pos="1134"/>
        </w:tabs>
        <w:ind w:left="1134" w:hanging="1134"/>
      </w:pPr>
      <w:rPr>
        <w:rFonts w:ascii="Times New Roman" w:hAnsi="Times New Roman"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3A9E7E4D"/>
    <w:multiLevelType w:val="multilevel"/>
    <w:tmpl w:val="3C1EDB96"/>
    <w:name w:val="Appendix Alpha"/>
    <w:lvl w:ilvl="0">
      <w:start w:val="1"/>
      <w:numFmt w:val="upperLetter"/>
      <w:pStyle w:val="AppendixAlpha"/>
      <w:lvlText w:val="Appendix %1"/>
      <w:lvlJc w:val="left"/>
      <w:pPr>
        <w:tabs>
          <w:tab w:val="num" w:pos="1701"/>
        </w:tabs>
        <w:ind w:left="1701" w:hanging="1701"/>
      </w:pPr>
      <w:rPr>
        <w:rFonts w:ascii="Times New Roman Bold" w:hAnsi="Times New Roman Bold" w:cs="Times New Roman" w:hint="default"/>
        <w:b/>
        <w:i w:val="0"/>
        <w:caps w:val="0"/>
        <w:sz w:val="28"/>
        <w:u w:val="none"/>
        <w:vertAlign w:val="baseline"/>
      </w:rPr>
    </w:lvl>
    <w:lvl w:ilvl="1">
      <w:start w:val="1"/>
      <w:numFmt w:val="decimal"/>
      <w:pStyle w:val="AppendixAlphaSub1"/>
      <w:lvlText w:val="%1 %2"/>
      <w:lvlJc w:val="left"/>
      <w:pPr>
        <w:tabs>
          <w:tab w:val="num" w:pos="1134"/>
        </w:tabs>
        <w:ind w:left="1134" w:hanging="1134"/>
      </w:pPr>
      <w:rPr>
        <w:rFonts w:ascii="Times New Roman Bold" w:hAnsi="Times New Roman Bold" w:hint="default"/>
        <w:b/>
        <w:i w:val="0"/>
        <w:sz w:val="26"/>
      </w:rPr>
    </w:lvl>
    <w:lvl w:ilvl="2">
      <w:start w:val="1"/>
      <w:numFmt w:val="decimal"/>
      <w:pStyle w:val="AppendixAlphaSub2"/>
      <w:lvlText w:val="%1 %2.%3"/>
      <w:lvlJc w:val="left"/>
      <w:pPr>
        <w:tabs>
          <w:tab w:val="num" w:pos="1134"/>
        </w:tabs>
        <w:ind w:left="1134" w:hanging="1134"/>
      </w:pPr>
      <w:rPr>
        <w:rFonts w:ascii="Times New Roman Bold" w:hAnsi="Times New Roman Bold" w:hint="default"/>
        <w:b/>
        <w:i w:val="0"/>
        <w:sz w:val="24"/>
      </w:rPr>
    </w:lvl>
    <w:lvl w:ilvl="3">
      <w:start w:val="1"/>
      <w:numFmt w:val="decimal"/>
      <w:pStyle w:val="AppendixAlphaSub3"/>
      <w:lvlText w:val="%1 %2.%3.%4"/>
      <w:lvlJc w:val="left"/>
      <w:pPr>
        <w:tabs>
          <w:tab w:val="num" w:pos="1134"/>
        </w:tabs>
        <w:ind w:left="1134" w:hanging="1134"/>
      </w:pPr>
      <w:rPr>
        <w:rFonts w:ascii="Times New Roman Bold" w:hAnsi="Times New Roman Bold" w:hint="default"/>
        <w:b/>
        <w:i w:val="0"/>
        <w:sz w:val="24"/>
      </w:rPr>
    </w:lvl>
    <w:lvl w:ilvl="4">
      <w:start w:val="1"/>
      <w:numFmt w:val="decimal"/>
      <w:pStyle w:val="AppendixAlphaSub4"/>
      <w:lvlText w:val="%1 %2.%3.%4.%5"/>
      <w:lvlJc w:val="left"/>
      <w:pPr>
        <w:tabs>
          <w:tab w:val="num" w:pos="1134"/>
        </w:tabs>
        <w:ind w:left="1134" w:hanging="1134"/>
      </w:pPr>
      <w:rPr>
        <w:rFonts w:ascii="Times New Roman Bold" w:hAnsi="Times New Roman Bold" w:hint="default"/>
        <w:b/>
        <w:i/>
        <w:sz w:val="24"/>
      </w:rPr>
    </w:lvl>
    <w:lvl w:ilvl="5">
      <w:start w:val="1"/>
      <w:numFmt w:val="none"/>
      <w:lvlText w:val=""/>
      <w:lvlJc w:val="left"/>
      <w:pPr>
        <w:tabs>
          <w:tab w:val="num" w:pos="1985"/>
        </w:tabs>
        <w:ind w:left="992" w:hanging="992"/>
      </w:pPr>
      <w:rPr>
        <w:rFonts w:hint="default"/>
      </w:rPr>
    </w:lvl>
    <w:lvl w:ilvl="6">
      <w:start w:val="1"/>
      <w:numFmt w:val="none"/>
      <w:lvlText w:val=""/>
      <w:lvlJc w:val="left"/>
      <w:pPr>
        <w:tabs>
          <w:tab w:val="num" w:pos="1985"/>
        </w:tabs>
        <w:ind w:left="992" w:hanging="992"/>
      </w:pPr>
      <w:rPr>
        <w:rFonts w:hint="default"/>
      </w:rPr>
    </w:lvl>
    <w:lvl w:ilvl="7">
      <w:start w:val="1"/>
      <w:numFmt w:val="none"/>
      <w:lvlText w:val=""/>
      <w:lvlJc w:val="left"/>
      <w:pPr>
        <w:tabs>
          <w:tab w:val="num" w:pos="1985"/>
        </w:tabs>
        <w:ind w:left="992" w:hanging="992"/>
      </w:pPr>
      <w:rPr>
        <w:rFonts w:hint="default"/>
      </w:rPr>
    </w:lvl>
    <w:lvl w:ilvl="8">
      <w:start w:val="1"/>
      <w:numFmt w:val="none"/>
      <w:lvlText w:val=""/>
      <w:lvlJc w:val="left"/>
      <w:pPr>
        <w:tabs>
          <w:tab w:val="num" w:pos="1985"/>
        </w:tabs>
        <w:ind w:left="992" w:hanging="992"/>
      </w:pPr>
      <w:rPr>
        <w:rFonts w:hint="default"/>
      </w:rPr>
    </w:lvl>
  </w:abstractNum>
  <w:abstractNum w:abstractNumId="11" w15:restartNumberingAfterBreak="0">
    <w:nsid w:val="47E3142E"/>
    <w:multiLevelType w:val="singleLevel"/>
    <w:tmpl w:val="9900FDDE"/>
    <w:lvl w:ilvl="0">
      <w:start w:val="1"/>
      <w:numFmt w:val="decimal"/>
      <w:pStyle w:val="References"/>
      <w:lvlText w:val="%1."/>
      <w:lvlJc w:val="left"/>
      <w:pPr>
        <w:tabs>
          <w:tab w:val="num" w:pos="360"/>
        </w:tabs>
        <w:ind w:left="360" w:hanging="360"/>
      </w:pPr>
      <w:rPr>
        <w:rFonts w:ascii="Times New Roman" w:hAnsi="Times New Roman" w:cs="Times New Roman"/>
        <w:b w:val="0"/>
        <w:i w:val="0"/>
        <w:caps w:val="0"/>
        <w:sz w:val="24"/>
        <w:u w:val="none"/>
        <w:vertAlign w:val="baseline"/>
      </w:rPr>
    </w:lvl>
  </w:abstractNum>
  <w:abstractNum w:abstractNumId="12" w15:restartNumberingAfterBreak="0">
    <w:nsid w:val="48373AC3"/>
    <w:multiLevelType w:val="multilevel"/>
    <w:tmpl w:val="5986E9BC"/>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DF32DA"/>
    <w:multiLevelType w:val="multilevel"/>
    <w:tmpl w:val="3EACC9E0"/>
    <w:name w:val="TableFootnotes2"/>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14" w15:restartNumberingAfterBreak="0">
    <w:nsid w:val="556F4F4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2BE70C3"/>
    <w:multiLevelType w:val="multilevel"/>
    <w:tmpl w:val="AD763C14"/>
    <w:name w:val="AppendixNum"/>
    <w:lvl w:ilvl="0">
      <w:start w:val="1"/>
      <w:numFmt w:val="decimal"/>
      <w:pStyle w:val="AppendixNumeric"/>
      <w:lvlText w:val="Appendix %1"/>
      <w:lvlJc w:val="left"/>
      <w:pPr>
        <w:tabs>
          <w:tab w:val="num" w:pos="1701"/>
        </w:tabs>
        <w:ind w:left="1701" w:hanging="1701"/>
      </w:pPr>
      <w:rPr>
        <w:rFonts w:ascii="Times New Roman Bold" w:hAnsi="Times New Roman Bold" w:cs="Times New Roman" w:hint="default"/>
        <w:b/>
        <w:i w:val="0"/>
        <w:caps w:val="0"/>
        <w:sz w:val="28"/>
        <w:u w:val="none"/>
        <w:vertAlign w:val="baseline"/>
      </w:rPr>
    </w:lvl>
    <w:lvl w:ilvl="1">
      <w:start w:val="1"/>
      <w:numFmt w:val="decimal"/>
      <w:lvlText w:val="App %1-%2"/>
      <w:lvlJc w:val="left"/>
      <w:pPr>
        <w:tabs>
          <w:tab w:val="num" w:pos="1134"/>
        </w:tabs>
        <w:ind w:left="1134" w:hanging="1134"/>
      </w:pPr>
      <w:rPr>
        <w:rFonts w:ascii="Times New Roman Bold" w:hAnsi="Times New Roman Bold" w:hint="default"/>
        <w:b/>
        <w:i w:val="0"/>
        <w:sz w:val="28"/>
      </w:rPr>
    </w:lvl>
    <w:lvl w:ilvl="2">
      <w:start w:val="1"/>
      <w:numFmt w:val="decimal"/>
      <w:lvlText w:val="App %1-%3.%2"/>
      <w:lvlJc w:val="left"/>
      <w:pPr>
        <w:tabs>
          <w:tab w:val="num" w:pos="1134"/>
        </w:tabs>
        <w:ind w:left="1134" w:hanging="1134"/>
      </w:pPr>
      <w:rPr>
        <w:rFonts w:ascii="Times New Roman Bold" w:hAnsi="Times New Roman Bold" w:hint="default"/>
        <w:b/>
        <w:i w:val="0"/>
        <w:sz w:val="26"/>
      </w:rPr>
    </w:lvl>
    <w:lvl w:ilvl="3">
      <w:start w:val="1"/>
      <w:numFmt w:val="decimal"/>
      <w:lvlText w:val="App %1-%2.%3.%4"/>
      <w:lvlJc w:val="left"/>
      <w:pPr>
        <w:tabs>
          <w:tab w:val="num" w:pos="1134"/>
        </w:tabs>
        <w:ind w:left="1134" w:hanging="1134"/>
      </w:pPr>
      <w:rPr>
        <w:rFonts w:ascii="Times New Roman Bold" w:hAnsi="Times New Roman Bold" w:hint="default"/>
        <w:b/>
        <w:i w:val="0"/>
        <w:sz w:val="24"/>
      </w:rPr>
    </w:lvl>
    <w:lvl w:ilvl="4">
      <w:start w:val="1"/>
      <w:numFmt w:val="decimal"/>
      <w:lvlText w:val="App %1-%2.%3.%4.%5"/>
      <w:lvlJc w:val="left"/>
      <w:pPr>
        <w:tabs>
          <w:tab w:val="num" w:pos="1134"/>
        </w:tabs>
        <w:ind w:left="1134" w:hanging="1134"/>
      </w:pPr>
      <w:rPr>
        <w:rFonts w:ascii="Times New Roman Bold" w:hAnsi="Times New Roman Bold" w:hint="default"/>
        <w:b/>
        <w:i/>
        <w:sz w:val="24"/>
      </w:rPr>
    </w:lvl>
    <w:lvl w:ilvl="5">
      <w:start w:val="1"/>
      <w:numFmt w:val="none"/>
      <w:lvlText w:val=""/>
      <w:lvlJc w:val="left"/>
      <w:pPr>
        <w:ind w:left="1985" w:hanging="1985"/>
      </w:pPr>
      <w:rPr>
        <w:rFonts w:hint="default"/>
      </w:rPr>
    </w:lvl>
    <w:lvl w:ilvl="6">
      <w:start w:val="1"/>
      <w:numFmt w:val="none"/>
      <w:lvlText w:val=""/>
      <w:lvlJc w:val="left"/>
      <w:pPr>
        <w:ind w:left="1985" w:hanging="1985"/>
      </w:pPr>
      <w:rPr>
        <w:rFonts w:hint="default"/>
      </w:rPr>
    </w:lvl>
    <w:lvl w:ilvl="7">
      <w:start w:val="1"/>
      <w:numFmt w:val="none"/>
      <w:lvlText w:val=""/>
      <w:lvlJc w:val="left"/>
      <w:pPr>
        <w:ind w:left="1985" w:hanging="1985"/>
      </w:pPr>
      <w:rPr>
        <w:rFonts w:hint="default"/>
      </w:rPr>
    </w:lvl>
    <w:lvl w:ilvl="8">
      <w:start w:val="1"/>
      <w:numFmt w:val="none"/>
      <w:lvlText w:val=""/>
      <w:lvlJc w:val="right"/>
      <w:pPr>
        <w:ind w:left="1985" w:hanging="1985"/>
      </w:pPr>
      <w:rPr>
        <w:rFonts w:hint="default"/>
      </w:rPr>
    </w:lvl>
  </w:abstractNum>
  <w:abstractNum w:abstractNumId="17" w15:restartNumberingAfterBreak="0">
    <w:nsid w:val="66E519E5"/>
    <w:multiLevelType w:val="hybridMultilevel"/>
    <w:tmpl w:val="2A5E9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C030A5"/>
    <w:multiLevelType w:val="multilevel"/>
    <w:tmpl w:val="99C4946C"/>
    <w:name w:val="ListNumberSmall"/>
    <w:lvl w:ilvl="0">
      <w:start w:val="1"/>
      <w:numFmt w:val="decimal"/>
      <w:pStyle w:val="ListNumberSmall"/>
      <w:lvlText w:val="%1"/>
      <w:lvlJc w:val="left"/>
      <w:pPr>
        <w:tabs>
          <w:tab w:val="num" w:pos="425"/>
        </w:tabs>
        <w:ind w:left="425" w:hanging="425"/>
      </w:pPr>
      <w:rPr>
        <w:rFonts w:ascii="Times New Roman" w:hAnsi="Times New Roman" w:hint="default"/>
        <w:sz w:val="20"/>
      </w:rPr>
    </w:lvl>
    <w:lvl w:ilvl="1">
      <w:start w:val="1"/>
      <w:numFmt w:val="lowerLetter"/>
      <w:lvlText w:val="%2."/>
      <w:lvlJc w:val="left"/>
      <w:pPr>
        <w:tabs>
          <w:tab w:val="num" w:pos="851"/>
        </w:tabs>
        <w:ind w:left="851" w:hanging="426"/>
      </w:pPr>
      <w:rPr>
        <w:rFonts w:hint="default"/>
      </w:rPr>
    </w:lvl>
    <w:lvl w:ilvl="2">
      <w:start w:val="1"/>
      <w:numFmt w:val="lowerRoman"/>
      <w:lvlText w:val="%3."/>
      <w:lvlJc w:val="right"/>
      <w:pPr>
        <w:tabs>
          <w:tab w:val="num" w:pos="1276"/>
        </w:tabs>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54931EA"/>
    <w:multiLevelType w:val="hybridMultilevel"/>
    <w:tmpl w:val="55EA8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9D760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D667F39"/>
    <w:multiLevelType w:val="hybridMultilevel"/>
    <w:tmpl w:val="BFA46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FEB3A85"/>
    <w:multiLevelType w:val="hybridMultilevel"/>
    <w:tmpl w:val="933AB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5545058">
    <w:abstractNumId w:val="16"/>
  </w:num>
  <w:num w:numId="2" w16cid:durableId="388264527">
    <w:abstractNumId w:val="10"/>
  </w:num>
  <w:num w:numId="3" w16cid:durableId="171728862">
    <w:abstractNumId w:val="9"/>
  </w:num>
  <w:num w:numId="4" w16cid:durableId="620839088">
    <w:abstractNumId w:val="5"/>
  </w:num>
  <w:num w:numId="5" w16cid:durableId="1344288001">
    <w:abstractNumId w:val="11"/>
  </w:num>
  <w:num w:numId="6" w16cid:durableId="570118277">
    <w:abstractNumId w:val="0"/>
  </w:num>
  <w:num w:numId="7" w16cid:durableId="903174859">
    <w:abstractNumId w:val="6"/>
  </w:num>
  <w:num w:numId="8" w16cid:durableId="1782189222">
    <w:abstractNumId w:val="14"/>
  </w:num>
  <w:num w:numId="9" w16cid:durableId="1903130555">
    <w:abstractNumId w:val="20"/>
  </w:num>
  <w:num w:numId="10" w16cid:durableId="169607845">
    <w:abstractNumId w:val="8"/>
  </w:num>
  <w:num w:numId="11" w16cid:durableId="371619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7103477">
    <w:abstractNumId w:val="4"/>
  </w:num>
  <w:num w:numId="13" w16cid:durableId="727799080">
    <w:abstractNumId w:val="18"/>
  </w:num>
  <w:num w:numId="14" w16cid:durableId="910236693">
    <w:abstractNumId w:val="2"/>
  </w:num>
  <w:num w:numId="15" w16cid:durableId="319315536">
    <w:abstractNumId w:val="21"/>
  </w:num>
  <w:num w:numId="16" w16cid:durableId="1721124658">
    <w:abstractNumId w:val="22"/>
  </w:num>
  <w:num w:numId="17" w16cid:durableId="78455294">
    <w:abstractNumId w:val="15"/>
  </w:num>
  <w:num w:numId="18" w16cid:durableId="1000155050">
    <w:abstractNumId w:val="3"/>
  </w:num>
  <w:num w:numId="19" w16cid:durableId="1718623430">
    <w:abstractNumId w:val="19"/>
  </w:num>
  <w:num w:numId="20" w16cid:durableId="60836804">
    <w:abstractNumId w:val="17"/>
  </w:num>
  <w:num w:numId="21" w16cid:durableId="13469827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75403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09779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59197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1597545">
    <w:abstractNumId w:val="13"/>
  </w:num>
  <w:num w:numId="26" w16cid:durableId="1791315504">
    <w:abstractNumId w:val="13"/>
  </w:num>
  <w:num w:numId="27" w16cid:durableId="1315570313">
    <w:abstractNumId w:val="13"/>
  </w:num>
  <w:num w:numId="28" w16cid:durableId="1674338737">
    <w:abstractNumId w:val="13"/>
  </w:num>
  <w:num w:numId="29" w16cid:durableId="3794075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5990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15744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7676726">
    <w:abstractNumId w:val="13"/>
  </w:num>
  <w:num w:numId="33" w16cid:durableId="1975061474">
    <w:abstractNumId w:val="7"/>
  </w:num>
  <w:num w:numId="34" w16cid:durableId="309596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94204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56613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684517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47897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2230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336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54729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66466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992348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737605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9717476">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8AD"/>
    <w:rsid w:val="00000810"/>
    <w:rsid w:val="00003527"/>
    <w:rsid w:val="00004162"/>
    <w:rsid w:val="00004718"/>
    <w:rsid w:val="00005978"/>
    <w:rsid w:val="00005F28"/>
    <w:rsid w:val="00006D62"/>
    <w:rsid w:val="00006EAA"/>
    <w:rsid w:val="00007BE6"/>
    <w:rsid w:val="00007EA2"/>
    <w:rsid w:val="0001029A"/>
    <w:rsid w:val="00010609"/>
    <w:rsid w:val="000114F9"/>
    <w:rsid w:val="00011814"/>
    <w:rsid w:val="000118B8"/>
    <w:rsid w:val="000137E1"/>
    <w:rsid w:val="00013E52"/>
    <w:rsid w:val="00014739"/>
    <w:rsid w:val="0001482F"/>
    <w:rsid w:val="00014E1B"/>
    <w:rsid w:val="00015870"/>
    <w:rsid w:val="000158FA"/>
    <w:rsid w:val="00015C02"/>
    <w:rsid w:val="000164B1"/>
    <w:rsid w:val="00020174"/>
    <w:rsid w:val="00023B3A"/>
    <w:rsid w:val="00023CAB"/>
    <w:rsid w:val="00024180"/>
    <w:rsid w:val="00024240"/>
    <w:rsid w:val="00024A01"/>
    <w:rsid w:val="00025247"/>
    <w:rsid w:val="0002652B"/>
    <w:rsid w:val="00026F98"/>
    <w:rsid w:val="000275A3"/>
    <w:rsid w:val="00027A0F"/>
    <w:rsid w:val="00027E63"/>
    <w:rsid w:val="00031496"/>
    <w:rsid w:val="00031A20"/>
    <w:rsid w:val="00031D26"/>
    <w:rsid w:val="00034503"/>
    <w:rsid w:val="00035421"/>
    <w:rsid w:val="00036256"/>
    <w:rsid w:val="000363E1"/>
    <w:rsid w:val="00036A47"/>
    <w:rsid w:val="00036E78"/>
    <w:rsid w:val="00040247"/>
    <w:rsid w:val="00040641"/>
    <w:rsid w:val="00040F84"/>
    <w:rsid w:val="00041371"/>
    <w:rsid w:val="00042302"/>
    <w:rsid w:val="00042903"/>
    <w:rsid w:val="00042D61"/>
    <w:rsid w:val="00044CD5"/>
    <w:rsid w:val="00044FEC"/>
    <w:rsid w:val="00047B14"/>
    <w:rsid w:val="00047D20"/>
    <w:rsid w:val="000503BA"/>
    <w:rsid w:val="000504EE"/>
    <w:rsid w:val="00050584"/>
    <w:rsid w:val="00050ABB"/>
    <w:rsid w:val="00051680"/>
    <w:rsid w:val="00052AE3"/>
    <w:rsid w:val="0005358B"/>
    <w:rsid w:val="0005441D"/>
    <w:rsid w:val="00054F5B"/>
    <w:rsid w:val="00054F9C"/>
    <w:rsid w:val="000552B8"/>
    <w:rsid w:val="000569AE"/>
    <w:rsid w:val="0006039B"/>
    <w:rsid w:val="000633CB"/>
    <w:rsid w:val="00063A99"/>
    <w:rsid w:val="00063EE1"/>
    <w:rsid w:val="00064369"/>
    <w:rsid w:val="0006562C"/>
    <w:rsid w:val="000656F3"/>
    <w:rsid w:val="00065EA4"/>
    <w:rsid w:val="00066E56"/>
    <w:rsid w:val="00066FF7"/>
    <w:rsid w:val="000670C6"/>
    <w:rsid w:val="00067F94"/>
    <w:rsid w:val="0007141F"/>
    <w:rsid w:val="000722ED"/>
    <w:rsid w:val="00072525"/>
    <w:rsid w:val="000726A6"/>
    <w:rsid w:val="00073E15"/>
    <w:rsid w:val="00074883"/>
    <w:rsid w:val="00075721"/>
    <w:rsid w:val="00075A2C"/>
    <w:rsid w:val="0008016F"/>
    <w:rsid w:val="00082EAE"/>
    <w:rsid w:val="00082EFF"/>
    <w:rsid w:val="000869F7"/>
    <w:rsid w:val="00086C50"/>
    <w:rsid w:val="00090056"/>
    <w:rsid w:val="0009106C"/>
    <w:rsid w:val="000910D3"/>
    <w:rsid w:val="000916BC"/>
    <w:rsid w:val="00091CA2"/>
    <w:rsid w:val="00095791"/>
    <w:rsid w:val="0009588C"/>
    <w:rsid w:val="00096152"/>
    <w:rsid w:val="000965DF"/>
    <w:rsid w:val="0009668B"/>
    <w:rsid w:val="00097CFE"/>
    <w:rsid w:val="000A04A9"/>
    <w:rsid w:val="000A082A"/>
    <w:rsid w:val="000A08B3"/>
    <w:rsid w:val="000A1992"/>
    <w:rsid w:val="000A30DA"/>
    <w:rsid w:val="000A392F"/>
    <w:rsid w:val="000A4A6A"/>
    <w:rsid w:val="000A518E"/>
    <w:rsid w:val="000A5A57"/>
    <w:rsid w:val="000A5E7D"/>
    <w:rsid w:val="000A7312"/>
    <w:rsid w:val="000A79CD"/>
    <w:rsid w:val="000A7F16"/>
    <w:rsid w:val="000B043B"/>
    <w:rsid w:val="000B0651"/>
    <w:rsid w:val="000B0BE6"/>
    <w:rsid w:val="000B1DE8"/>
    <w:rsid w:val="000B2069"/>
    <w:rsid w:val="000B3738"/>
    <w:rsid w:val="000B3FAB"/>
    <w:rsid w:val="000B5A9C"/>
    <w:rsid w:val="000B61D5"/>
    <w:rsid w:val="000B686B"/>
    <w:rsid w:val="000B737E"/>
    <w:rsid w:val="000B7BD0"/>
    <w:rsid w:val="000C14D8"/>
    <w:rsid w:val="000C1794"/>
    <w:rsid w:val="000C3440"/>
    <w:rsid w:val="000C4C4B"/>
    <w:rsid w:val="000C6693"/>
    <w:rsid w:val="000C7318"/>
    <w:rsid w:val="000D07A3"/>
    <w:rsid w:val="000D1E32"/>
    <w:rsid w:val="000D27C5"/>
    <w:rsid w:val="000D2B04"/>
    <w:rsid w:val="000D35CC"/>
    <w:rsid w:val="000D36BE"/>
    <w:rsid w:val="000D3D49"/>
    <w:rsid w:val="000D425C"/>
    <w:rsid w:val="000D5AC7"/>
    <w:rsid w:val="000D69AE"/>
    <w:rsid w:val="000D6B52"/>
    <w:rsid w:val="000D6CEA"/>
    <w:rsid w:val="000D711F"/>
    <w:rsid w:val="000E0479"/>
    <w:rsid w:val="000E06AE"/>
    <w:rsid w:val="000E08F1"/>
    <w:rsid w:val="000E1507"/>
    <w:rsid w:val="000E3449"/>
    <w:rsid w:val="000E3E7E"/>
    <w:rsid w:val="000E4193"/>
    <w:rsid w:val="000E4F31"/>
    <w:rsid w:val="000E5B6B"/>
    <w:rsid w:val="000E5BB2"/>
    <w:rsid w:val="000E7F79"/>
    <w:rsid w:val="000F023F"/>
    <w:rsid w:val="000F0716"/>
    <w:rsid w:val="000F11DA"/>
    <w:rsid w:val="000F1F74"/>
    <w:rsid w:val="000F258E"/>
    <w:rsid w:val="000F25A0"/>
    <w:rsid w:val="000F2D29"/>
    <w:rsid w:val="000F4C96"/>
    <w:rsid w:val="000F4E3B"/>
    <w:rsid w:val="000F4FBE"/>
    <w:rsid w:val="000F5416"/>
    <w:rsid w:val="000F5481"/>
    <w:rsid w:val="000F55B5"/>
    <w:rsid w:val="000F68B2"/>
    <w:rsid w:val="00100372"/>
    <w:rsid w:val="00100A9B"/>
    <w:rsid w:val="00100E55"/>
    <w:rsid w:val="00101347"/>
    <w:rsid w:val="00101404"/>
    <w:rsid w:val="0010488E"/>
    <w:rsid w:val="00106B37"/>
    <w:rsid w:val="00107C1B"/>
    <w:rsid w:val="001104D1"/>
    <w:rsid w:val="0011283A"/>
    <w:rsid w:val="00113551"/>
    <w:rsid w:val="001135A8"/>
    <w:rsid w:val="00113B8C"/>
    <w:rsid w:val="001143A8"/>
    <w:rsid w:val="00114550"/>
    <w:rsid w:val="00114FAA"/>
    <w:rsid w:val="0011529E"/>
    <w:rsid w:val="00115AE5"/>
    <w:rsid w:val="001161FC"/>
    <w:rsid w:val="0011652D"/>
    <w:rsid w:val="00117548"/>
    <w:rsid w:val="001203E6"/>
    <w:rsid w:val="00120A17"/>
    <w:rsid w:val="00120BA0"/>
    <w:rsid w:val="001225C2"/>
    <w:rsid w:val="001249DB"/>
    <w:rsid w:val="00124FCD"/>
    <w:rsid w:val="00126976"/>
    <w:rsid w:val="00130A8A"/>
    <w:rsid w:val="001325F7"/>
    <w:rsid w:val="0013260F"/>
    <w:rsid w:val="00132CFF"/>
    <w:rsid w:val="00132E8C"/>
    <w:rsid w:val="00133048"/>
    <w:rsid w:val="00135312"/>
    <w:rsid w:val="00136039"/>
    <w:rsid w:val="00136075"/>
    <w:rsid w:val="00136D04"/>
    <w:rsid w:val="00137E42"/>
    <w:rsid w:val="00137F3C"/>
    <w:rsid w:val="0014061F"/>
    <w:rsid w:val="00141C93"/>
    <w:rsid w:val="00142563"/>
    <w:rsid w:val="001429BF"/>
    <w:rsid w:val="00143A0A"/>
    <w:rsid w:val="00144ACD"/>
    <w:rsid w:val="00150086"/>
    <w:rsid w:val="00150852"/>
    <w:rsid w:val="00151700"/>
    <w:rsid w:val="00153977"/>
    <w:rsid w:val="00153C42"/>
    <w:rsid w:val="00153E3C"/>
    <w:rsid w:val="0015434D"/>
    <w:rsid w:val="00154A15"/>
    <w:rsid w:val="00155D8F"/>
    <w:rsid w:val="00156048"/>
    <w:rsid w:val="001565F2"/>
    <w:rsid w:val="0016015A"/>
    <w:rsid w:val="00160AD7"/>
    <w:rsid w:val="00160CC2"/>
    <w:rsid w:val="00161190"/>
    <w:rsid w:val="0016140B"/>
    <w:rsid w:val="00161503"/>
    <w:rsid w:val="0016196A"/>
    <w:rsid w:val="00162C17"/>
    <w:rsid w:val="00163ACF"/>
    <w:rsid w:val="00163F98"/>
    <w:rsid w:val="001646BB"/>
    <w:rsid w:val="00164B7A"/>
    <w:rsid w:val="001654D7"/>
    <w:rsid w:val="00165972"/>
    <w:rsid w:val="00165D20"/>
    <w:rsid w:val="00165F1B"/>
    <w:rsid w:val="001662AA"/>
    <w:rsid w:val="00166703"/>
    <w:rsid w:val="00166B52"/>
    <w:rsid w:val="00167CF9"/>
    <w:rsid w:val="00170DB1"/>
    <w:rsid w:val="001711F9"/>
    <w:rsid w:val="00171CC3"/>
    <w:rsid w:val="001728EF"/>
    <w:rsid w:val="00172DE1"/>
    <w:rsid w:val="00172E6F"/>
    <w:rsid w:val="00172F15"/>
    <w:rsid w:val="00174137"/>
    <w:rsid w:val="001756BC"/>
    <w:rsid w:val="00175F18"/>
    <w:rsid w:val="00176129"/>
    <w:rsid w:val="001811EF"/>
    <w:rsid w:val="001812B5"/>
    <w:rsid w:val="001816DA"/>
    <w:rsid w:val="00182D24"/>
    <w:rsid w:val="00183999"/>
    <w:rsid w:val="00183DE1"/>
    <w:rsid w:val="001855AD"/>
    <w:rsid w:val="001855FF"/>
    <w:rsid w:val="0018577D"/>
    <w:rsid w:val="00185A2C"/>
    <w:rsid w:val="00187E28"/>
    <w:rsid w:val="00193D5C"/>
    <w:rsid w:val="0019409A"/>
    <w:rsid w:val="00194782"/>
    <w:rsid w:val="00194B44"/>
    <w:rsid w:val="001970FC"/>
    <w:rsid w:val="001A1B75"/>
    <w:rsid w:val="001A1FE8"/>
    <w:rsid w:val="001A217F"/>
    <w:rsid w:val="001A2220"/>
    <w:rsid w:val="001A36C8"/>
    <w:rsid w:val="001A3992"/>
    <w:rsid w:val="001A4606"/>
    <w:rsid w:val="001A47E7"/>
    <w:rsid w:val="001A49A5"/>
    <w:rsid w:val="001A5413"/>
    <w:rsid w:val="001A5E36"/>
    <w:rsid w:val="001A627A"/>
    <w:rsid w:val="001B0254"/>
    <w:rsid w:val="001B2167"/>
    <w:rsid w:val="001B2B1B"/>
    <w:rsid w:val="001B2D4C"/>
    <w:rsid w:val="001B2F80"/>
    <w:rsid w:val="001B3212"/>
    <w:rsid w:val="001B5525"/>
    <w:rsid w:val="001B5CDE"/>
    <w:rsid w:val="001B5F33"/>
    <w:rsid w:val="001B6548"/>
    <w:rsid w:val="001B6C14"/>
    <w:rsid w:val="001B7E8F"/>
    <w:rsid w:val="001C0579"/>
    <w:rsid w:val="001C062E"/>
    <w:rsid w:val="001C0D86"/>
    <w:rsid w:val="001C394C"/>
    <w:rsid w:val="001C3D7F"/>
    <w:rsid w:val="001C4DF8"/>
    <w:rsid w:val="001C55A4"/>
    <w:rsid w:val="001C68E0"/>
    <w:rsid w:val="001C7171"/>
    <w:rsid w:val="001D027B"/>
    <w:rsid w:val="001D0F2F"/>
    <w:rsid w:val="001D1379"/>
    <w:rsid w:val="001D1CC0"/>
    <w:rsid w:val="001D2204"/>
    <w:rsid w:val="001D222B"/>
    <w:rsid w:val="001D2B1B"/>
    <w:rsid w:val="001D3AF3"/>
    <w:rsid w:val="001D5DE8"/>
    <w:rsid w:val="001D607F"/>
    <w:rsid w:val="001E05C9"/>
    <w:rsid w:val="001E0A30"/>
    <w:rsid w:val="001E1CB6"/>
    <w:rsid w:val="001E206E"/>
    <w:rsid w:val="001E2531"/>
    <w:rsid w:val="001E2791"/>
    <w:rsid w:val="001E31C6"/>
    <w:rsid w:val="001E4629"/>
    <w:rsid w:val="001E47C9"/>
    <w:rsid w:val="001E47D9"/>
    <w:rsid w:val="001E4BBE"/>
    <w:rsid w:val="001E4CEA"/>
    <w:rsid w:val="001E5454"/>
    <w:rsid w:val="001E566F"/>
    <w:rsid w:val="001E60E1"/>
    <w:rsid w:val="001E6A64"/>
    <w:rsid w:val="001E74E5"/>
    <w:rsid w:val="001F1573"/>
    <w:rsid w:val="001F18FE"/>
    <w:rsid w:val="001F2005"/>
    <w:rsid w:val="001F27B7"/>
    <w:rsid w:val="001F2BB0"/>
    <w:rsid w:val="001F2C39"/>
    <w:rsid w:val="00200497"/>
    <w:rsid w:val="00200F69"/>
    <w:rsid w:val="0020223C"/>
    <w:rsid w:val="0020388D"/>
    <w:rsid w:val="002039B3"/>
    <w:rsid w:val="00203DF7"/>
    <w:rsid w:val="00204F5F"/>
    <w:rsid w:val="0020620A"/>
    <w:rsid w:val="0020734C"/>
    <w:rsid w:val="00210F7C"/>
    <w:rsid w:val="00211ED8"/>
    <w:rsid w:val="00213BBE"/>
    <w:rsid w:val="00214150"/>
    <w:rsid w:val="0021436C"/>
    <w:rsid w:val="002145FB"/>
    <w:rsid w:val="0021546D"/>
    <w:rsid w:val="00215B20"/>
    <w:rsid w:val="00215BBD"/>
    <w:rsid w:val="00215F98"/>
    <w:rsid w:val="002215B9"/>
    <w:rsid w:val="002227A5"/>
    <w:rsid w:val="00223106"/>
    <w:rsid w:val="002240CE"/>
    <w:rsid w:val="00224429"/>
    <w:rsid w:val="00224BB1"/>
    <w:rsid w:val="002251EE"/>
    <w:rsid w:val="00225C1E"/>
    <w:rsid w:val="002261BA"/>
    <w:rsid w:val="00227B36"/>
    <w:rsid w:val="002319B2"/>
    <w:rsid w:val="002335CD"/>
    <w:rsid w:val="00234336"/>
    <w:rsid w:val="0023436C"/>
    <w:rsid w:val="00234E4F"/>
    <w:rsid w:val="00235455"/>
    <w:rsid w:val="00235FB8"/>
    <w:rsid w:val="00236244"/>
    <w:rsid w:val="002366F6"/>
    <w:rsid w:val="0023731F"/>
    <w:rsid w:val="002401CD"/>
    <w:rsid w:val="00240207"/>
    <w:rsid w:val="00240798"/>
    <w:rsid w:val="00240A51"/>
    <w:rsid w:val="0024127A"/>
    <w:rsid w:val="00242734"/>
    <w:rsid w:val="00242F61"/>
    <w:rsid w:val="0024387F"/>
    <w:rsid w:val="002443D8"/>
    <w:rsid w:val="00244A6F"/>
    <w:rsid w:val="00246E67"/>
    <w:rsid w:val="00247BB6"/>
    <w:rsid w:val="002500E4"/>
    <w:rsid w:val="002502AA"/>
    <w:rsid w:val="002503C9"/>
    <w:rsid w:val="00251532"/>
    <w:rsid w:val="002520E6"/>
    <w:rsid w:val="00252677"/>
    <w:rsid w:val="00254235"/>
    <w:rsid w:val="00254638"/>
    <w:rsid w:val="00254D8C"/>
    <w:rsid w:val="00255EC8"/>
    <w:rsid w:val="00257F4A"/>
    <w:rsid w:val="002606CD"/>
    <w:rsid w:val="002615ED"/>
    <w:rsid w:val="00261FE0"/>
    <w:rsid w:val="00262689"/>
    <w:rsid w:val="0026491B"/>
    <w:rsid w:val="00264D0B"/>
    <w:rsid w:val="002652EF"/>
    <w:rsid w:val="002659FB"/>
    <w:rsid w:val="00266A81"/>
    <w:rsid w:val="00267813"/>
    <w:rsid w:val="002678E2"/>
    <w:rsid w:val="00267E52"/>
    <w:rsid w:val="00270017"/>
    <w:rsid w:val="002707D6"/>
    <w:rsid w:val="00270D7E"/>
    <w:rsid w:val="00270FE8"/>
    <w:rsid w:val="00271283"/>
    <w:rsid w:val="002718E0"/>
    <w:rsid w:val="002719D1"/>
    <w:rsid w:val="00271D6C"/>
    <w:rsid w:val="00272047"/>
    <w:rsid w:val="0027211F"/>
    <w:rsid w:val="00273090"/>
    <w:rsid w:val="0027381C"/>
    <w:rsid w:val="002744DA"/>
    <w:rsid w:val="00274A89"/>
    <w:rsid w:val="00274AA2"/>
    <w:rsid w:val="002759DC"/>
    <w:rsid w:val="002767A7"/>
    <w:rsid w:val="00277B3C"/>
    <w:rsid w:val="0028153F"/>
    <w:rsid w:val="00281C73"/>
    <w:rsid w:val="00281E0B"/>
    <w:rsid w:val="002828AF"/>
    <w:rsid w:val="00285173"/>
    <w:rsid w:val="002863FB"/>
    <w:rsid w:val="0028692D"/>
    <w:rsid w:val="002872B6"/>
    <w:rsid w:val="00287FC4"/>
    <w:rsid w:val="00291201"/>
    <w:rsid w:val="002913ED"/>
    <w:rsid w:val="002918A7"/>
    <w:rsid w:val="00295C3D"/>
    <w:rsid w:val="00295C69"/>
    <w:rsid w:val="00296DC0"/>
    <w:rsid w:val="002978D5"/>
    <w:rsid w:val="002A196A"/>
    <w:rsid w:val="002A1BA3"/>
    <w:rsid w:val="002A2380"/>
    <w:rsid w:val="002A2F80"/>
    <w:rsid w:val="002A371F"/>
    <w:rsid w:val="002A5117"/>
    <w:rsid w:val="002B3844"/>
    <w:rsid w:val="002B3FF9"/>
    <w:rsid w:val="002B41FB"/>
    <w:rsid w:val="002B4D88"/>
    <w:rsid w:val="002B656C"/>
    <w:rsid w:val="002B68DD"/>
    <w:rsid w:val="002B6980"/>
    <w:rsid w:val="002B71AB"/>
    <w:rsid w:val="002B742E"/>
    <w:rsid w:val="002C15B1"/>
    <w:rsid w:val="002C236F"/>
    <w:rsid w:val="002C29DD"/>
    <w:rsid w:val="002C4DCB"/>
    <w:rsid w:val="002C6E9D"/>
    <w:rsid w:val="002D09F9"/>
    <w:rsid w:val="002D1062"/>
    <w:rsid w:val="002D1665"/>
    <w:rsid w:val="002D2875"/>
    <w:rsid w:val="002D2BF7"/>
    <w:rsid w:val="002D2D24"/>
    <w:rsid w:val="002D2F3E"/>
    <w:rsid w:val="002D3489"/>
    <w:rsid w:val="002D3503"/>
    <w:rsid w:val="002D40F1"/>
    <w:rsid w:val="002D4A4A"/>
    <w:rsid w:val="002D587E"/>
    <w:rsid w:val="002D5F98"/>
    <w:rsid w:val="002E0687"/>
    <w:rsid w:val="002E0F01"/>
    <w:rsid w:val="002E1B18"/>
    <w:rsid w:val="002E1FD9"/>
    <w:rsid w:val="002E277D"/>
    <w:rsid w:val="002E43BF"/>
    <w:rsid w:val="002E44B0"/>
    <w:rsid w:val="002E4800"/>
    <w:rsid w:val="002E6AFC"/>
    <w:rsid w:val="002E6C8B"/>
    <w:rsid w:val="002E6E92"/>
    <w:rsid w:val="002F0791"/>
    <w:rsid w:val="002F1133"/>
    <w:rsid w:val="002F12D1"/>
    <w:rsid w:val="002F1390"/>
    <w:rsid w:val="002F1B1B"/>
    <w:rsid w:val="002F2673"/>
    <w:rsid w:val="002F46ED"/>
    <w:rsid w:val="002F6330"/>
    <w:rsid w:val="00301820"/>
    <w:rsid w:val="00301981"/>
    <w:rsid w:val="00302C8A"/>
    <w:rsid w:val="00302D57"/>
    <w:rsid w:val="00303EA0"/>
    <w:rsid w:val="0030413D"/>
    <w:rsid w:val="0030442F"/>
    <w:rsid w:val="003046FE"/>
    <w:rsid w:val="003048C7"/>
    <w:rsid w:val="003050EB"/>
    <w:rsid w:val="00305319"/>
    <w:rsid w:val="00305B1B"/>
    <w:rsid w:val="003064E7"/>
    <w:rsid w:val="0030662E"/>
    <w:rsid w:val="00306726"/>
    <w:rsid w:val="00306EFA"/>
    <w:rsid w:val="00307AF4"/>
    <w:rsid w:val="00312270"/>
    <w:rsid w:val="00313989"/>
    <w:rsid w:val="00315890"/>
    <w:rsid w:val="003165AF"/>
    <w:rsid w:val="00317164"/>
    <w:rsid w:val="00317462"/>
    <w:rsid w:val="00317C9D"/>
    <w:rsid w:val="003205DB"/>
    <w:rsid w:val="0032159A"/>
    <w:rsid w:val="00322128"/>
    <w:rsid w:val="003227A7"/>
    <w:rsid w:val="00322BD3"/>
    <w:rsid w:val="003231FF"/>
    <w:rsid w:val="003234B9"/>
    <w:rsid w:val="00323AAB"/>
    <w:rsid w:val="00323F62"/>
    <w:rsid w:val="00323FA7"/>
    <w:rsid w:val="003259E5"/>
    <w:rsid w:val="00326C4B"/>
    <w:rsid w:val="00330154"/>
    <w:rsid w:val="003308FE"/>
    <w:rsid w:val="00331CF9"/>
    <w:rsid w:val="0033225E"/>
    <w:rsid w:val="00334AEB"/>
    <w:rsid w:val="00335B31"/>
    <w:rsid w:val="00335C5B"/>
    <w:rsid w:val="0033618F"/>
    <w:rsid w:val="0033727B"/>
    <w:rsid w:val="00337372"/>
    <w:rsid w:val="00340066"/>
    <w:rsid w:val="00341E94"/>
    <w:rsid w:val="0034316E"/>
    <w:rsid w:val="00343B92"/>
    <w:rsid w:val="00343C85"/>
    <w:rsid w:val="003445ED"/>
    <w:rsid w:val="003454D5"/>
    <w:rsid w:val="00346B0B"/>
    <w:rsid w:val="00346ED0"/>
    <w:rsid w:val="00347038"/>
    <w:rsid w:val="00350843"/>
    <w:rsid w:val="00350AAE"/>
    <w:rsid w:val="0035112E"/>
    <w:rsid w:val="00351ADF"/>
    <w:rsid w:val="00352905"/>
    <w:rsid w:val="0035330A"/>
    <w:rsid w:val="0035432F"/>
    <w:rsid w:val="00355B0B"/>
    <w:rsid w:val="003600EC"/>
    <w:rsid w:val="00360845"/>
    <w:rsid w:val="00362B02"/>
    <w:rsid w:val="00362C43"/>
    <w:rsid w:val="00363155"/>
    <w:rsid w:val="00364339"/>
    <w:rsid w:val="00364EEA"/>
    <w:rsid w:val="00366ECC"/>
    <w:rsid w:val="003671CB"/>
    <w:rsid w:val="0037101B"/>
    <w:rsid w:val="003716CB"/>
    <w:rsid w:val="00371776"/>
    <w:rsid w:val="0037310E"/>
    <w:rsid w:val="00373588"/>
    <w:rsid w:val="003738FE"/>
    <w:rsid w:val="00373EAC"/>
    <w:rsid w:val="00374610"/>
    <w:rsid w:val="00374A4B"/>
    <w:rsid w:val="00375AD4"/>
    <w:rsid w:val="00375B27"/>
    <w:rsid w:val="00375DF3"/>
    <w:rsid w:val="00376631"/>
    <w:rsid w:val="00376E18"/>
    <w:rsid w:val="00377337"/>
    <w:rsid w:val="00377BA0"/>
    <w:rsid w:val="00377FF9"/>
    <w:rsid w:val="003802CE"/>
    <w:rsid w:val="00380F64"/>
    <w:rsid w:val="00381249"/>
    <w:rsid w:val="00382251"/>
    <w:rsid w:val="00382B0B"/>
    <w:rsid w:val="003831C7"/>
    <w:rsid w:val="00384C48"/>
    <w:rsid w:val="00385CD9"/>
    <w:rsid w:val="00386466"/>
    <w:rsid w:val="0038650A"/>
    <w:rsid w:val="00387635"/>
    <w:rsid w:val="00390E36"/>
    <w:rsid w:val="00390EFA"/>
    <w:rsid w:val="003912C2"/>
    <w:rsid w:val="003923B5"/>
    <w:rsid w:val="00393A82"/>
    <w:rsid w:val="00393D03"/>
    <w:rsid w:val="003947CC"/>
    <w:rsid w:val="00395480"/>
    <w:rsid w:val="00395716"/>
    <w:rsid w:val="003958FE"/>
    <w:rsid w:val="00396492"/>
    <w:rsid w:val="003970D2"/>
    <w:rsid w:val="00397827"/>
    <w:rsid w:val="00397C8B"/>
    <w:rsid w:val="003A0023"/>
    <w:rsid w:val="003A0551"/>
    <w:rsid w:val="003A2164"/>
    <w:rsid w:val="003A3D5F"/>
    <w:rsid w:val="003A4541"/>
    <w:rsid w:val="003A533E"/>
    <w:rsid w:val="003A53BF"/>
    <w:rsid w:val="003A5614"/>
    <w:rsid w:val="003A5699"/>
    <w:rsid w:val="003A5853"/>
    <w:rsid w:val="003A5CC5"/>
    <w:rsid w:val="003A6D4E"/>
    <w:rsid w:val="003A7BE2"/>
    <w:rsid w:val="003B0B9E"/>
    <w:rsid w:val="003B1970"/>
    <w:rsid w:val="003B288B"/>
    <w:rsid w:val="003B3452"/>
    <w:rsid w:val="003B41F8"/>
    <w:rsid w:val="003B55CC"/>
    <w:rsid w:val="003B649D"/>
    <w:rsid w:val="003B6EF0"/>
    <w:rsid w:val="003B7370"/>
    <w:rsid w:val="003B7938"/>
    <w:rsid w:val="003B7A02"/>
    <w:rsid w:val="003B7CFF"/>
    <w:rsid w:val="003B7E90"/>
    <w:rsid w:val="003C0CBD"/>
    <w:rsid w:val="003C0E7C"/>
    <w:rsid w:val="003C1648"/>
    <w:rsid w:val="003C1981"/>
    <w:rsid w:val="003C1F34"/>
    <w:rsid w:val="003C24CF"/>
    <w:rsid w:val="003C27E7"/>
    <w:rsid w:val="003C389E"/>
    <w:rsid w:val="003C3D0F"/>
    <w:rsid w:val="003C3EC8"/>
    <w:rsid w:val="003C3F7E"/>
    <w:rsid w:val="003C4027"/>
    <w:rsid w:val="003C6878"/>
    <w:rsid w:val="003C6A53"/>
    <w:rsid w:val="003D0416"/>
    <w:rsid w:val="003D1C6A"/>
    <w:rsid w:val="003D2E9B"/>
    <w:rsid w:val="003D345B"/>
    <w:rsid w:val="003D3504"/>
    <w:rsid w:val="003D6307"/>
    <w:rsid w:val="003D74AD"/>
    <w:rsid w:val="003D74CA"/>
    <w:rsid w:val="003D7E0B"/>
    <w:rsid w:val="003E15F9"/>
    <w:rsid w:val="003E1D7D"/>
    <w:rsid w:val="003E277F"/>
    <w:rsid w:val="003E2A08"/>
    <w:rsid w:val="003E2DD6"/>
    <w:rsid w:val="003E3563"/>
    <w:rsid w:val="003E3B38"/>
    <w:rsid w:val="003E4A65"/>
    <w:rsid w:val="003E5580"/>
    <w:rsid w:val="003E586F"/>
    <w:rsid w:val="003E5C5B"/>
    <w:rsid w:val="003E63C9"/>
    <w:rsid w:val="003E6465"/>
    <w:rsid w:val="003E646C"/>
    <w:rsid w:val="003E73DB"/>
    <w:rsid w:val="003E79BA"/>
    <w:rsid w:val="003F0031"/>
    <w:rsid w:val="003F0848"/>
    <w:rsid w:val="003F2E36"/>
    <w:rsid w:val="003F3393"/>
    <w:rsid w:val="003F3F6D"/>
    <w:rsid w:val="003F3FBB"/>
    <w:rsid w:val="003F4340"/>
    <w:rsid w:val="003F6378"/>
    <w:rsid w:val="003F7501"/>
    <w:rsid w:val="004007E5"/>
    <w:rsid w:val="00401F29"/>
    <w:rsid w:val="00403258"/>
    <w:rsid w:val="004039ED"/>
    <w:rsid w:val="0040565D"/>
    <w:rsid w:val="004058D7"/>
    <w:rsid w:val="00405BB8"/>
    <w:rsid w:val="00407542"/>
    <w:rsid w:val="00407E22"/>
    <w:rsid w:val="00407E75"/>
    <w:rsid w:val="00407F33"/>
    <w:rsid w:val="0041004D"/>
    <w:rsid w:val="004113C0"/>
    <w:rsid w:val="00411BE1"/>
    <w:rsid w:val="00412F41"/>
    <w:rsid w:val="0041350C"/>
    <w:rsid w:val="004139BC"/>
    <w:rsid w:val="0041446C"/>
    <w:rsid w:val="00415007"/>
    <w:rsid w:val="00415A06"/>
    <w:rsid w:val="00415F7D"/>
    <w:rsid w:val="0041703F"/>
    <w:rsid w:val="00420092"/>
    <w:rsid w:val="004201DF"/>
    <w:rsid w:val="004214A1"/>
    <w:rsid w:val="0042150D"/>
    <w:rsid w:val="00422F92"/>
    <w:rsid w:val="00423328"/>
    <w:rsid w:val="00423AF8"/>
    <w:rsid w:val="00423BC3"/>
    <w:rsid w:val="00423CDA"/>
    <w:rsid w:val="004246BC"/>
    <w:rsid w:val="00425E97"/>
    <w:rsid w:val="0042763A"/>
    <w:rsid w:val="00427FA6"/>
    <w:rsid w:val="004311FB"/>
    <w:rsid w:val="004314FD"/>
    <w:rsid w:val="00431ACD"/>
    <w:rsid w:val="004323A9"/>
    <w:rsid w:val="00432D98"/>
    <w:rsid w:val="00433888"/>
    <w:rsid w:val="0043542F"/>
    <w:rsid w:val="00435E47"/>
    <w:rsid w:val="00437061"/>
    <w:rsid w:val="00437FB7"/>
    <w:rsid w:val="00440C93"/>
    <w:rsid w:val="004429B2"/>
    <w:rsid w:val="00443077"/>
    <w:rsid w:val="00443F96"/>
    <w:rsid w:val="00444EA3"/>
    <w:rsid w:val="00446322"/>
    <w:rsid w:val="00446692"/>
    <w:rsid w:val="00446A9A"/>
    <w:rsid w:val="00446EDD"/>
    <w:rsid w:val="00447788"/>
    <w:rsid w:val="00450657"/>
    <w:rsid w:val="00450CC2"/>
    <w:rsid w:val="00451CD4"/>
    <w:rsid w:val="0045243E"/>
    <w:rsid w:val="00452A33"/>
    <w:rsid w:val="00453C10"/>
    <w:rsid w:val="00453F04"/>
    <w:rsid w:val="00454805"/>
    <w:rsid w:val="00454C76"/>
    <w:rsid w:val="00454DF8"/>
    <w:rsid w:val="00456FB5"/>
    <w:rsid w:val="00457E52"/>
    <w:rsid w:val="004602D6"/>
    <w:rsid w:val="00460E59"/>
    <w:rsid w:val="00461CF7"/>
    <w:rsid w:val="00463CC9"/>
    <w:rsid w:val="00463DA7"/>
    <w:rsid w:val="00464F24"/>
    <w:rsid w:val="004651B6"/>
    <w:rsid w:val="00465BB0"/>
    <w:rsid w:val="00467C59"/>
    <w:rsid w:val="004702CD"/>
    <w:rsid w:val="00470C99"/>
    <w:rsid w:val="00470DC2"/>
    <w:rsid w:val="00471755"/>
    <w:rsid w:val="00472373"/>
    <w:rsid w:val="0047410E"/>
    <w:rsid w:val="0047648E"/>
    <w:rsid w:val="0047695C"/>
    <w:rsid w:val="00476B22"/>
    <w:rsid w:val="00477840"/>
    <w:rsid w:val="0048042A"/>
    <w:rsid w:val="0048075E"/>
    <w:rsid w:val="00481135"/>
    <w:rsid w:val="00481187"/>
    <w:rsid w:val="0048159E"/>
    <w:rsid w:val="00481DEC"/>
    <w:rsid w:val="004827B5"/>
    <w:rsid w:val="00482B7F"/>
    <w:rsid w:val="00482FB9"/>
    <w:rsid w:val="00485324"/>
    <w:rsid w:val="00485FBF"/>
    <w:rsid w:val="0048759E"/>
    <w:rsid w:val="00487904"/>
    <w:rsid w:val="004912F8"/>
    <w:rsid w:val="00491312"/>
    <w:rsid w:val="004919B5"/>
    <w:rsid w:val="00493AD9"/>
    <w:rsid w:val="00496F3B"/>
    <w:rsid w:val="004A0C56"/>
    <w:rsid w:val="004A0EAF"/>
    <w:rsid w:val="004A1EB2"/>
    <w:rsid w:val="004A3216"/>
    <w:rsid w:val="004A40B3"/>
    <w:rsid w:val="004A434B"/>
    <w:rsid w:val="004A54E5"/>
    <w:rsid w:val="004A64CF"/>
    <w:rsid w:val="004B066B"/>
    <w:rsid w:val="004B15F7"/>
    <w:rsid w:val="004B17EC"/>
    <w:rsid w:val="004B35C3"/>
    <w:rsid w:val="004B3D59"/>
    <w:rsid w:val="004B3D95"/>
    <w:rsid w:val="004B48D2"/>
    <w:rsid w:val="004B4B27"/>
    <w:rsid w:val="004B4BDB"/>
    <w:rsid w:val="004B587A"/>
    <w:rsid w:val="004B668D"/>
    <w:rsid w:val="004B6B19"/>
    <w:rsid w:val="004B6EBC"/>
    <w:rsid w:val="004B74EC"/>
    <w:rsid w:val="004C0D19"/>
    <w:rsid w:val="004C126A"/>
    <w:rsid w:val="004C1AC4"/>
    <w:rsid w:val="004C3991"/>
    <w:rsid w:val="004C3C6E"/>
    <w:rsid w:val="004C3E2D"/>
    <w:rsid w:val="004C4A47"/>
    <w:rsid w:val="004C6546"/>
    <w:rsid w:val="004C7352"/>
    <w:rsid w:val="004C7BA2"/>
    <w:rsid w:val="004C7F1B"/>
    <w:rsid w:val="004D0038"/>
    <w:rsid w:val="004D02FE"/>
    <w:rsid w:val="004D292A"/>
    <w:rsid w:val="004D4CF6"/>
    <w:rsid w:val="004D5368"/>
    <w:rsid w:val="004D567F"/>
    <w:rsid w:val="004D5CD5"/>
    <w:rsid w:val="004D64F7"/>
    <w:rsid w:val="004D672E"/>
    <w:rsid w:val="004D68DB"/>
    <w:rsid w:val="004D6FC6"/>
    <w:rsid w:val="004D725A"/>
    <w:rsid w:val="004D7406"/>
    <w:rsid w:val="004D7645"/>
    <w:rsid w:val="004D7C47"/>
    <w:rsid w:val="004E0654"/>
    <w:rsid w:val="004E0D8E"/>
    <w:rsid w:val="004E0EEA"/>
    <w:rsid w:val="004E4A74"/>
    <w:rsid w:val="004E5DFD"/>
    <w:rsid w:val="004E618A"/>
    <w:rsid w:val="004E76D3"/>
    <w:rsid w:val="004F0DA6"/>
    <w:rsid w:val="004F1AE7"/>
    <w:rsid w:val="004F44EF"/>
    <w:rsid w:val="004F5145"/>
    <w:rsid w:val="004F6172"/>
    <w:rsid w:val="004F6426"/>
    <w:rsid w:val="0050028B"/>
    <w:rsid w:val="00500680"/>
    <w:rsid w:val="00500E3C"/>
    <w:rsid w:val="005023B8"/>
    <w:rsid w:val="0050242C"/>
    <w:rsid w:val="00502E29"/>
    <w:rsid w:val="005030C7"/>
    <w:rsid w:val="0050425A"/>
    <w:rsid w:val="005052C7"/>
    <w:rsid w:val="00506B26"/>
    <w:rsid w:val="00506F21"/>
    <w:rsid w:val="00511473"/>
    <w:rsid w:val="005118DD"/>
    <w:rsid w:val="00511B56"/>
    <w:rsid w:val="00512521"/>
    <w:rsid w:val="00512C99"/>
    <w:rsid w:val="0051320D"/>
    <w:rsid w:val="00513B1A"/>
    <w:rsid w:val="0051481E"/>
    <w:rsid w:val="00514FBB"/>
    <w:rsid w:val="00515C73"/>
    <w:rsid w:val="005162A0"/>
    <w:rsid w:val="00517885"/>
    <w:rsid w:val="00520870"/>
    <w:rsid w:val="00520FEE"/>
    <w:rsid w:val="005215C8"/>
    <w:rsid w:val="0052272C"/>
    <w:rsid w:val="00522953"/>
    <w:rsid w:val="00522993"/>
    <w:rsid w:val="00522DEE"/>
    <w:rsid w:val="00522F98"/>
    <w:rsid w:val="00523E60"/>
    <w:rsid w:val="005241C4"/>
    <w:rsid w:val="00525CEA"/>
    <w:rsid w:val="0052745F"/>
    <w:rsid w:val="005275AF"/>
    <w:rsid w:val="00527ED1"/>
    <w:rsid w:val="00530E1B"/>
    <w:rsid w:val="0053378C"/>
    <w:rsid w:val="00533BFC"/>
    <w:rsid w:val="00533DD5"/>
    <w:rsid w:val="00540907"/>
    <w:rsid w:val="00540928"/>
    <w:rsid w:val="005447A5"/>
    <w:rsid w:val="0054483D"/>
    <w:rsid w:val="00545346"/>
    <w:rsid w:val="00545660"/>
    <w:rsid w:val="005474C8"/>
    <w:rsid w:val="005500A7"/>
    <w:rsid w:val="0055073B"/>
    <w:rsid w:val="0055098F"/>
    <w:rsid w:val="00550E5D"/>
    <w:rsid w:val="005511B7"/>
    <w:rsid w:val="005531B5"/>
    <w:rsid w:val="005546AD"/>
    <w:rsid w:val="00554A10"/>
    <w:rsid w:val="005562C7"/>
    <w:rsid w:val="00561641"/>
    <w:rsid w:val="005623FC"/>
    <w:rsid w:val="00562BC8"/>
    <w:rsid w:val="00562E28"/>
    <w:rsid w:val="005635CE"/>
    <w:rsid w:val="005644B8"/>
    <w:rsid w:val="00564AE2"/>
    <w:rsid w:val="00565CDF"/>
    <w:rsid w:val="00567565"/>
    <w:rsid w:val="00567CB0"/>
    <w:rsid w:val="00567FE6"/>
    <w:rsid w:val="00570244"/>
    <w:rsid w:val="0057056B"/>
    <w:rsid w:val="005705DB"/>
    <w:rsid w:val="0057147F"/>
    <w:rsid w:val="005715E5"/>
    <w:rsid w:val="00571837"/>
    <w:rsid w:val="00571C59"/>
    <w:rsid w:val="005733E8"/>
    <w:rsid w:val="00574448"/>
    <w:rsid w:val="00574C8B"/>
    <w:rsid w:val="00575308"/>
    <w:rsid w:val="00575658"/>
    <w:rsid w:val="00575E3A"/>
    <w:rsid w:val="00576C84"/>
    <w:rsid w:val="005775E6"/>
    <w:rsid w:val="00580646"/>
    <w:rsid w:val="00580756"/>
    <w:rsid w:val="00580763"/>
    <w:rsid w:val="00580C0B"/>
    <w:rsid w:val="00580C99"/>
    <w:rsid w:val="005814FF"/>
    <w:rsid w:val="005817D8"/>
    <w:rsid w:val="00582E16"/>
    <w:rsid w:val="00584195"/>
    <w:rsid w:val="00584683"/>
    <w:rsid w:val="00585666"/>
    <w:rsid w:val="0058668D"/>
    <w:rsid w:val="00587BB0"/>
    <w:rsid w:val="00590E3C"/>
    <w:rsid w:val="00591759"/>
    <w:rsid w:val="005919B8"/>
    <w:rsid w:val="005926E9"/>
    <w:rsid w:val="005933CB"/>
    <w:rsid w:val="00593B1D"/>
    <w:rsid w:val="00593C43"/>
    <w:rsid w:val="005947B9"/>
    <w:rsid w:val="005953CF"/>
    <w:rsid w:val="00595C3A"/>
    <w:rsid w:val="00596B23"/>
    <w:rsid w:val="00597E5D"/>
    <w:rsid w:val="005A03AA"/>
    <w:rsid w:val="005A0747"/>
    <w:rsid w:val="005A19F6"/>
    <w:rsid w:val="005A2142"/>
    <w:rsid w:val="005A359F"/>
    <w:rsid w:val="005A4560"/>
    <w:rsid w:val="005A4FDD"/>
    <w:rsid w:val="005A6465"/>
    <w:rsid w:val="005A64DE"/>
    <w:rsid w:val="005A66EB"/>
    <w:rsid w:val="005A6C92"/>
    <w:rsid w:val="005B0C6D"/>
    <w:rsid w:val="005B3590"/>
    <w:rsid w:val="005B511C"/>
    <w:rsid w:val="005B5253"/>
    <w:rsid w:val="005B54BE"/>
    <w:rsid w:val="005B579A"/>
    <w:rsid w:val="005B5D3F"/>
    <w:rsid w:val="005B5FAB"/>
    <w:rsid w:val="005B79A8"/>
    <w:rsid w:val="005B7ED6"/>
    <w:rsid w:val="005C04A6"/>
    <w:rsid w:val="005C14F4"/>
    <w:rsid w:val="005C1980"/>
    <w:rsid w:val="005C1AF0"/>
    <w:rsid w:val="005C3060"/>
    <w:rsid w:val="005C3540"/>
    <w:rsid w:val="005C5E18"/>
    <w:rsid w:val="005C6724"/>
    <w:rsid w:val="005C67D6"/>
    <w:rsid w:val="005C7F4B"/>
    <w:rsid w:val="005D023D"/>
    <w:rsid w:val="005D02E8"/>
    <w:rsid w:val="005D0345"/>
    <w:rsid w:val="005D0E90"/>
    <w:rsid w:val="005D19B7"/>
    <w:rsid w:val="005D1D6A"/>
    <w:rsid w:val="005D2AF5"/>
    <w:rsid w:val="005D2E2B"/>
    <w:rsid w:val="005D3CD3"/>
    <w:rsid w:val="005D40BE"/>
    <w:rsid w:val="005D4A03"/>
    <w:rsid w:val="005D528B"/>
    <w:rsid w:val="005D74D4"/>
    <w:rsid w:val="005E01E0"/>
    <w:rsid w:val="005E1578"/>
    <w:rsid w:val="005E32A4"/>
    <w:rsid w:val="005E41BD"/>
    <w:rsid w:val="005E4D10"/>
    <w:rsid w:val="005E5F04"/>
    <w:rsid w:val="005E6201"/>
    <w:rsid w:val="005E6D60"/>
    <w:rsid w:val="005E76F3"/>
    <w:rsid w:val="005E78CC"/>
    <w:rsid w:val="005E7C2B"/>
    <w:rsid w:val="005F0F3F"/>
    <w:rsid w:val="005F1CF6"/>
    <w:rsid w:val="005F28E1"/>
    <w:rsid w:val="005F301E"/>
    <w:rsid w:val="005F30CF"/>
    <w:rsid w:val="005F3189"/>
    <w:rsid w:val="005F35E1"/>
    <w:rsid w:val="005F3780"/>
    <w:rsid w:val="005F3810"/>
    <w:rsid w:val="005F3B3E"/>
    <w:rsid w:val="005F45BD"/>
    <w:rsid w:val="005F499F"/>
    <w:rsid w:val="00600664"/>
    <w:rsid w:val="006018AE"/>
    <w:rsid w:val="00601DE7"/>
    <w:rsid w:val="00601E74"/>
    <w:rsid w:val="00602FC0"/>
    <w:rsid w:val="006031E1"/>
    <w:rsid w:val="00604492"/>
    <w:rsid w:val="0060513F"/>
    <w:rsid w:val="006058F0"/>
    <w:rsid w:val="006059AC"/>
    <w:rsid w:val="00605E0C"/>
    <w:rsid w:val="006064FC"/>
    <w:rsid w:val="00606594"/>
    <w:rsid w:val="00606822"/>
    <w:rsid w:val="00611BEB"/>
    <w:rsid w:val="0061269D"/>
    <w:rsid w:val="00613085"/>
    <w:rsid w:val="00614D1B"/>
    <w:rsid w:val="006159EB"/>
    <w:rsid w:val="00615C60"/>
    <w:rsid w:val="006160FF"/>
    <w:rsid w:val="00620232"/>
    <w:rsid w:val="00621002"/>
    <w:rsid w:val="006215C2"/>
    <w:rsid w:val="0062187B"/>
    <w:rsid w:val="00621D38"/>
    <w:rsid w:val="00621E6F"/>
    <w:rsid w:val="00621FD7"/>
    <w:rsid w:val="006221E8"/>
    <w:rsid w:val="00624C1A"/>
    <w:rsid w:val="00626721"/>
    <w:rsid w:val="00627095"/>
    <w:rsid w:val="006271BF"/>
    <w:rsid w:val="00630583"/>
    <w:rsid w:val="006306C5"/>
    <w:rsid w:val="00631BF0"/>
    <w:rsid w:val="006334D1"/>
    <w:rsid w:val="00633EE1"/>
    <w:rsid w:val="00634A38"/>
    <w:rsid w:val="00640DA2"/>
    <w:rsid w:val="00641142"/>
    <w:rsid w:val="00642CEB"/>
    <w:rsid w:val="00643E37"/>
    <w:rsid w:val="006445DA"/>
    <w:rsid w:val="00647394"/>
    <w:rsid w:val="0064773F"/>
    <w:rsid w:val="006477CD"/>
    <w:rsid w:val="00650DAC"/>
    <w:rsid w:val="00650F52"/>
    <w:rsid w:val="00651F90"/>
    <w:rsid w:val="00652D34"/>
    <w:rsid w:val="00653DAA"/>
    <w:rsid w:val="00656B76"/>
    <w:rsid w:val="006576AF"/>
    <w:rsid w:val="00660759"/>
    <w:rsid w:val="0066087A"/>
    <w:rsid w:val="0066151D"/>
    <w:rsid w:val="00662BDC"/>
    <w:rsid w:val="00663845"/>
    <w:rsid w:val="006638FA"/>
    <w:rsid w:val="0066419F"/>
    <w:rsid w:val="00665FE4"/>
    <w:rsid w:val="006660FB"/>
    <w:rsid w:val="006662B1"/>
    <w:rsid w:val="00666598"/>
    <w:rsid w:val="00666E3A"/>
    <w:rsid w:val="00667839"/>
    <w:rsid w:val="00667D1C"/>
    <w:rsid w:val="00671D1D"/>
    <w:rsid w:val="00671FAE"/>
    <w:rsid w:val="00672D71"/>
    <w:rsid w:val="00674C8E"/>
    <w:rsid w:val="006761AA"/>
    <w:rsid w:val="006768EB"/>
    <w:rsid w:val="00677CB7"/>
    <w:rsid w:val="00680045"/>
    <w:rsid w:val="006814B4"/>
    <w:rsid w:val="00681ADE"/>
    <w:rsid w:val="00681F32"/>
    <w:rsid w:val="00682C3A"/>
    <w:rsid w:val="00682D80"/>
    <w:rsid w:val="00683488"/>
    <w:rsid w:val="00684519"/>
    <w:rsid w:val="00684D78"/>
    <w:rsid w:val="00684E07"/>
    <w:rsid w:val="00684E89"/>
    <w:rsid w:val="00685F04"/>
    <w:rsid w:val="006862D5"/>
    <w:rsid w:val="00687562"/>
    <w:rsid w:val="0068798A"/>
    <w:rsid w:val="00687C83"/>
    <w:rsid w:val="00690471"/>
    <w:rsid w:val="00690B0D"/>
    <w:rsid w:val="00690B82"/>
    <w:rsid w:val="006915EE"/>
    <w:rsid w:val="0069249D"/>
    <w:rsid w:val="00692AA7"/>
    <w:rsid w:val="00693034"/>
    <w:rsid w:val="006936A7"/>
    <w:rsid w:val="0069370F"/>
    <w:rsid w:val="006938FC"/>
    <w:rsid w:val="00694A3A"/>
    <w:rsid w:val="00696F85"/>
    <w:rsid w:val="00697492"/>
    <w:rsid w:val="006A1138"/>
    <w:rsid w:val="006A28BE"/>
    <w:rsid w:val="006A3766"/>
    <w:rsid w:val="006A3C5C"/>
    <w:rsid w:val="006A55E8"/>
    <w:rsid w:val="006A5B88"/>
    <w:rsid w:val="006A5BA7"/>
    <w:rsid w:val="006A6943"/>
    <w:rsid w:val="006A6B40"/>
    <w:rsid w:val="006A727B"/>
    <w:rsid w:val="006A770D"/>
    <w:rsid w:val="006B0B3A"/>
    <w:rsid w:val="006B0DB3"/>
    <w:rsid w:val="006B0F4D"/>
    <w:rsid w:val="006B10CF"/>
    <w:rsid w:val="006B2742"/>
    <w:rsid w:val="006B3200"/>
    <w:rsid w:val="006B3AF9"/>
    <w:rsid w:val="006B765F"/>
    <w:rsid w:val="006C12C9"/>
    <w:rsid w:val="006C2135"/>
    <w:rsid w:val="006C2210"/>
    <w:rsid w:val="006C2481"/>
    <w:rsid w:val="006C2852"/>
    <w:rsid w:val="006C2D28"/>
    <w:rsid w:val="006C4318"/>
    <w:rsid w:val="006C7CD9"/>
    <w:rsid w:val="006D08FD"/>
    <w:rsid w:val="006D1452"/>
    <w:rsid w:val="006D301A"/>
    <w:rsid w:val="006D30E2"/>
    <w:rsid w:val="006D35BE"/>
    <w:rsid w:val="006D372D"/>
    <w:rsid w:val="006D393F"/>
    <w:rsid w:val="006D3C89"/>
    <w:rsid w:val="006D40FC"/>
    <w:rsid w:val="006D4B27"/>
    <w:rsid w:val="006D6057"/>
    <w:rsid w:val="006D70D2"/>
    <w:rsid w:val="006E0BA5"/>
    <w:rsid w:val="006E108B"/>
    <w:rsid w:val="006E2EB5"/>
    <w:rsid w:val="006E40DB"/>
    <w:rsid w:val="006E435F"/>
    <w:rsid w:val="006E45E4"/>
    <w:rsid w:val="006E47C8"/>
    <w:rsid w:val="006E4D23"/>
    <w:rsid w:val="006E5AE8"/>
    <w:rsid w:val="006E6B84"/>
    <w:rsid w:val="006E704D"/>
    <w:rsid w:val="006F05EF"/>
    <w:rsid w:val="006F2A6C"/>
    <w:rsid w:val="006F43E3"/>
    <w:rsid w:val="006F4884"/>
    <w:rsid w:val="006F59F3"/>
    <w:rsid w:val="006F6153"/>
    <w:rsid w:val="006F6C51"/>
    <w:rsid w:val="00700070"/>
    <w:rsid w:val="00700687"/>
    <w:rsid w:val="007009A6"/>
    <w:rsid w:val="00703699"/>
    <w:rsid w:val="00705ABD"/>
    <w:rsid w:val="00706E04"/>
    <w:rsid w:val="00707202"/>
    <w:rsid w:val="007078F6"/>
    <w:rsid w:val="00707E88"/>
    <w:rsid w:val="0071154E"/>
    <w:rsid w:val="0071220A"/>
    <w:rsid w:val="00713655"/>
    <w:rsid w:val="00713B87"/>
    <w:rsid w:val="00713C49"/>
    <w:rsid w:val="007140B8"/>
    <w:rsid w:val="00714272"/>
    <w:rsid w:val="00714B3D"/>
    <w:rsid w:val="00716290"/>
    <w:rsid w:val="00716F74"/>
    <w:rsid w:val="00717BCD"/>
    <w:rsid w:val="00722028"/>
    <w:rsid w:val="007224DA"/>
    <w:rsid w:val="00722E41"/>
    <w:rsid w:val="00723702"/>
    <w:rsid w:val="0072549F"/>
    <w:rsid w:val="007260E8"/>
    <w:rsid w:val="00726A67"/>
    <w:rsid w:val="00726C73"/>
    <w:rsid w:val="00727850"/>
    <w:rsid w:val="00727FD3"/>
    <w:rsid w:val="007302C9"/>
    <w:rsid w:val="007303A0"/>
    <w:rsid w:val="007306D8"/>
    <w:rsid w:val="00731574"/>
    <w:rsid w:val="007315F5"/>
    <w:rsid w:val="00731DAF"/>
    <w:rsid w:val="007320FE"/>
    <w:rsid w:val="007328F1"/>
    <w:rsid w:val="00733618"/>
    <w:rsid w:val="00735FFC"/>
    <w:rsid w:val="00736EA6"/>
    <w:rsid w:val="00736F91"/>
    <w:rsid w:val="007403BD"/>
    <w:rsid w:val="00740545"/>
    <w:rsid w:val="00740A5D"/>
    <w:rsid w:val="00741B80"/>
    <w:rsid w:val="0074551F"/>
    <w:rsid w:val="00745F81"/>
    <w:rsid w:val="007463BF"/>
    <w:rsid w:val="00747958"/>
    <w:rsid w:val="0075033F"/>
    <w:rsid w:val="007504E5"/>
    <w:rsid w:val="007509CA"/>
    <w:rsid w:val="00751E55"/>
    <w:rsid w:val="00752407"/>
    <w:rsid w:val="0075267F"/>
    <w:rsid w:val="007545D4"/>
    <w:rsid w:val="00754AF9"/>
    <w:rsid w:val="00755D80"/>
    <w:rsid w:val="00756405"/>
    <w:rsid w:val="00756D8C"/>
    <w:rsid w:val="00756DCE"/>
    <w:rsid w:val="0075757E"/>
    <w:rsid w:val="0075772C"/>
    <w:rsid w:val="0076013C"/>
    <w:rsid w:val="0076102F"/>
    <w:rsid w:val="00761671"/>
    <w:rsid w:val="007618C2"/>
    <w:rsid w:val="0076231D"/>
    <w:rsid w:val="00762B64"/>
    <w:rsid w:val="00763BF5"/>
    <w:rsid w:val="007666C2"/>
    <w:rsid w:val="00767F33"/>
    <w:rsid w:val="00770699"/>
    <w:rsid w:val="00771DA7"/>
    <w:rsid w:val="0077528D"/>
    <w:rsid w:val="0077546D"/>
    <w:rsid w:val="00776A09"/>
    <w:rsid w:val="00780046"/>
    <w:rsid w:val="00782044"/>
    <w:rsid w:val="00782996"/>
    <w:rsid w:val="007844FA"/>
    <w:rsid w:val="007851BE"/>
    <w:rsid w:val="007858EE"/>
    <w:rsid w:val="00786D5A"/>
    <w:rsid w:val="00790AAC"/>
    <w:rsid w:val="0079231C"/>
    <w:rsid w:val="00792B88"/>
    <w:rsid w:val="00792E19"/>
    <w:rsid w:val="00792F0C"/>
    <w:rsid w:val="00793629"/>
    <w:rsid w:val="0079439F"/>
    <w:rsid w:val="00795D99"/>
    <w:rsid w:val="00796769"/>
    <w:rsid w:val="007968F6"/>
    <w:rsid w:val="00797019"/>
    <w:rsid w:val="007A012A"/>
    <w:rsid w:val="007A0585"/>
    <w:rsid w:val="007A0625"/>
    <w:rsid w:val="007A0DB1"/>
    <w:rsid w:val="007A176B"/>
    <w:rsid w:val="007A2232"/>
    <w:rsid w:val="007A2548"/>
    <w:rsid w:val="007A2942"/>
    <w:rsid w:val="007A2D4D"/>
    <w:rsid w:val="007A3C23"/>
    <w:rsid w:val="007A5E37"/>
    <w:rsid w:val="007A6A01"/>
    <w:rsid w:val="007A706C"/>
    <w:rsid w:val="007B06F9"/>
    <w:rsid w:val="007B0B4A"/>
    <w:rsid w:val="007B1015"/>
    <w:rsid w:val="007B1C26"/>
    <w:rsid w:val="007B2A0D"/>
    <w:rsid w:val="007B2AB0"/>
    <w:rsid w:val="007B3010"/>
    <w:rsid w:val="007B3307"/>
    <w:rsid w:val="007B6CDD"/>
    <w:rsid w:val="007B71EC"/>
    <w:rsid w:val="007B7293"/>
    <w:rsid w:val="007B7396"/>
    <w:rsid w:val="007B7A33"/>
    <w:rsid w:val="007B7D34"/>
    <w:rsid w:val="007C1655"/>
    <w:rsid w:val="007C1791"/>
    <w:rsid w:val="007C19AB"/>
    <w:rsid w:val="007C1A57"/>
    <w:rsid w:val="007C385A"/>
    <w:rsid w:val="007C46B7"/>
    <w:rsid w:val="007C4D97"/>
    <w:rsid w:val="007C58AF"/>
    <w:rsid w:val="007C60C5"/>
    <w:rsid w:val="007C6445"/>
    <w:rsid w:val="007C66C8"/>
    <w:rsid w:val="007D0380"/>
    <w:rsid w:val="007D057E"/>
    <w:rsid w:val="007D0597"/>
    <w:rsid w:val="007D23F7"/>
    <w:rsid w:val="007D2B23"/>
    <w:rsid w:val="007D2E93"/>
    <w:rsid w:val="007D3967"/>
    <w:rsid w:val="007D478B"/>
    <w:rsid w:val="007D60B3"/>
    <w:rsid w:val="007D7146"/>
    <w:rsid w:val="007E06EC"/>
    <w:rsid w:val="007E07B1"/>
    <w:rsid w:val="007E270A"/>
    <w:rsid w:val="007E39E2"/>
    <w:rsid w:val="007E3C2E"/>
    <w:rsid w:val="007E4A83"/>
    <w:rsid w:val="007E4CF5"/>
    <w:rsid w:val="007E5AF8"/>
    <w:rsid w:val="007E6256"/>
    <w:rsid w:val="007E6DE1"/>
    <w:rsid w:val="007E7E97"/>
    <w:rsid w:val="007F003B"/>
    <w:rsid w:val="007F03FF"/>
    <w:rsid w:val="007F0408"/>
    <w:rsid w:val="007F0678"/>
    <w:rsid w:val="007F103D"/>
    <w:rsid w:val="007F31FF"/>
    <w:rsid w:val="007F3261"/>
    <w:rsid w:val="007F4AED"/>
    <w:rsid w:val="007F4E25"/>
    <w:rsid w:val="007F66A0"/>
    <w:rsid w:val="007F70FB"/>
    <w:rsid w:val="007F715F"/>
    <w:rsid w:val="00800043"/>
    <w:rsid w:val="00801C8F"/>
    <w:rsid w:val="00801DD2"/>
    <w:rsid w:val="008022D0"/>
    <w:rsid w:val="00802736"/>
    <w:rsid w:val="00804537"/>
    <w:rsid w:val="00805327"/>
    <w:rsid w:val="0080644B"/>
    <w:rsid w:val="0080651B"/>
    <w:rsid w:val="00806826"/>
    <w:rsid w:val="008068CB"/>
    <w:rsid w:val="00806C54"/>
    <w:rsid w:val="00806C99"/>
    <w:rsid w:val="00806EC1"/>
    <w:rsid w:val="00807019"/>
    <w:rsid w:val="00807E26"/>
    <w:rsid w:val="00810838"/>
    <w:rsid w:val="00810BA2"/>
    <w:rsid w:val="0081146E"/>
    <w:rsid w:val="00812425"/>
    <w:rsid w:val="0081417F"/>
    <w:rsid w:val="00814897"/>
    <w:rsid w:val="008153E4"/>
    <w:rsid w:val="00815BE5"/>
    <w:rsid w:val="00815E03"/>
    <w:rsid w:val="008164BE"/>
    <w:rsid w:val="0081674B"/>
    <w:rsid w:val="00816E8E"/>
    <w:rsid w:val="00816F6D"/>
    <w:rsid w:val="00817DF2"/>
    <w:rsid w:val="00817FC0"/>
    <w:rsid w:val="00821AA7"/>
    <w:rsid w:val="00823E47"/>
    <w:rsid w:val="00824EB8"/>
    <w:rsid w:val="0082535E"/>
    <w:rsid w:val="00826B5C"/>
    <w:rsid w:val="0083048A"/>
    <w:rsid w:val="008309BD"/>
    <w:rsid w:val="008310EE"/>
    <w:rsid w:val="0083130E"/>
    <w:rsid w:val="0083151A"/>
    <w:rsid w:val="0083286F"/>
    <w:rsid w:val="00833064"/>
    <w:rsid w:val="008331C2"/>
    <w:rsid w:val="008339A2"/>
    <w:rsid w:val="00834166"/>
    <w:rsid w:val="00840C55"/>
    <w:rsid w:val="00841B1A"/>
    <w:rsid w:val="00842192"/>
    <w:rsid w:val="008449DB"/>
    <w:rsid w:val="00844B06"/>
    <w:rsid w:val="00845CC3"/>
    <w:rsid w:val="0084639B"/>
    <w:rsid w:val="00846473"/>
    <w:rsid w:val="008466D0"/>
    <w:rsid w:val="0084686C"/>
    <w:rsid w:val="00846D41"/>
    <w:rsid w:val="00847593"/>
    <w:rsid w:val="008506DA"/>
    <w:rsid w:val="00851571"/>
    <w:rsid w:val="00851EBE"/>
    <w:rsid w:val="00852F45"/>
    <w:rsid w:val="0085362E"/>
    <w:rsid w:val="00854095"/>
    <w:rsid w:val="0085459C"/>
    <w:rsid w:val="0085473A"/>
    <w:rsid w:val="0085483B"/>
    <w:rsid w:val="00861247"/>
    <w:rsid w:val="00863525"/>
    <w:rsid w:val="00863C3C"/>
    <w:rsid w:val="008659E1"/>
    <w:rsid w:val="00865C48"/>
    <w:rsid w:val="00865D63"/>
    <w:rsid w:val="00866AA2"/>
    <w:rsid w:val="00866D40"/>
    <w:rsid w:val="00870485"/>
    <w:rsid w:val="008716DC"/>
    <w:rsid w:val="00872129"/>
    <w:rsid w:val="00874FC4"/>
    <w:rsid w:val="00875BAA"/>
    <w:rsid w:val="00875EF7"/>
    <w:rsid w:val="008768A7"/>
    <w:rsid w:val="00877260"/>
    <w:rsid w:val="008772F7"/>
    <w:rsid w:val="00877724"/>
    <w:rsid w:val="00877C4C"/>
    <w:rsid w:val="00880933"/>
    <w:rsid w:val="00881D7B"/>
    <w:rsid w:val="00881EA6"/>
    <w:rsid w:val="008833D5"/>
    <w:rsid w:val="00885D79"/>
    <w:rsid w:val="00890318"/>
    <w:rsid w:val="00893173"/>
    <w:rsid w:val="00893EC6"/>
    <w:rsid w:val="00895240"/>
    <w:rsid w:val="008959B6"/>
    <w:rsid w:val="008971BE"/>
    <w:rsid w:val="00897758"/>
    <w:rsid w:val="008979A6"/>
    <w:rsid w:val="00897C77"/>
    <w:rsid w:val="008A02CA"/>
    <w:rsid w:val="008A0482"/>
    <w:rsid w:val="008A28BE"/>
    <w:rsid w:val="008A3535"/>
    <w:rsid w:val="008A35FB"/>
    <w:rsid w:val="008A37D0"/>
    <w:rsid w:val="008A3922"/>
    <w:rsid w:val="008A43FF"/>
    <w:rsid w:val="008A5A0F"/>
    <w:rsid w:val="008A5C7B"/>
    <w:rsid w:val="008A60FF"/>
    <w:rsid w:val="008A632C"/>
    <w:rsid w:val="008A6F4D"/>
    <w:rsid w:val="008A76FA"/>
    <w:rsid w:val="008B029F"/>
    <w:rsid w:val="008B08C5"/>
    <w:rsid w:val="008B16B3"/>
    <w:rsid w:val="008B1B18"/>
    <w:rsid w:val="008B203A"/>
    <w:rsid w:val="008B210C"/>
    <w:rsid w:val="008B270A"/>
    <w:rsid w:val="008B3FCB"/>
    <w:rsid w:val="008B4FB2"/>
    <w:rsid w:val="008B662C"/>
    <w:rsid w:val="008B66AC"/>
    <w:rsid w:val="008B6DA2"/>
    <w:rsid w:val="008B7615"/>
    <w:rsid w:val="008C197A"/>
    <w:rsid w:val="008C2C50"/>
    <w:rsid w:val="008C3375"/>
    <w:rsid w:val="008C3BCF"/>
    <w:rsid w:val="008C3C16"/>
    <w:rsid w:val="008C7D01"/>
    <w:rsid w:val="008D007A"/>
    <w:rsid w:val="008D1E25"/>
    <w:rsid w:val="008D26AD"/>
    <w:rsid w:val="008D2AFD"/>
    <w:rsid w:val="008D2F52"/>
    <w:rsid w:val="008D330B"/>
    <w:rsid w:val="008D39CE"/>
    <w:rsid w:val="008D3D71"/>
    <w:rsid w:val="008D533A"/>
    <w:rsid w:val="008D5DE5"/>
    <w:rsid w:val="008D66D7"/>
    <w:rsid w:val="008D6F0D"/>
    <w:rsid w:val="008D7258"/>
    <w:rsid w:val="008E223D"/>
    <w:rsid w:val="008E22C8"/>
    <w:rsid w:val="008E2AD4"/>
    <w:rsid w:val="008E3B76"/>
    <w:rsid w:val="008E3BAB"/>
    <w:rsid w:val="008E4E4F"/>
    <w:rsid w:val="008E5159"/>
    <w:rsid w:val="008E5987"/>
    <w:rsid w:val="008F0306"/>
    <w:rsid w:val="008F0AB8"/>
    <w:rsid w:val="008F0B61"/>
    <w:rsid w:val="008F0C8D"/>
    <w:rsid w:val="008F10C5"/>
    <w:rsid w:val="008F2073"/>
    <w:rsid w:val="008F2396"/>
    <w:rsid w:val="008F2A02"/>
    <w:rsid w:val="008F2DC6"/>
    <w:rsid w:val="008F2FD6"/>
    <w:rsid w:val="008F3088"/>
    <w:rsid w:val="008F368A"/>
    <w:rsid w:val="008F3C73"/>
    <w:rsid w:val="008F460D"/>
    <w:rsid w:val="008F46F2"/>
    <w:rsid w:val="008F505F"/>
    <w:rsid w:val="008F5183"/>
    <w:rsid w:val="008F7545"/>
    <w:rsid w:val="008F7A7A"/>
    <w:rsid w:val="0090055E"/>
    <w:rsid w:val="009007A7"/>
    <w:rsid w:val="00902B71"/>
    <w:rsid w:val="00904782"/>
    <w:rsid w:val="00904BC5"/>
    <w:rsid w:val="00905274"/>
    <w:rsid w:val="00905C90"/>
    <w:rsid w:val="00905FE3"/>
    <w:rsid w:val="00905FE6"/>
    <w:rsid w:val="00906923"/>
    <w:rsid w:val="00910B4F"/>
    <w:rsid w:val="009115DA"/>
    <w:rsid w:val="009132AD"/>
    <w:rsid w:val="0091337D"/>
    <w:rsid w:val="00913B0E"/>
    <w:rsid w:val="00913E9B"/>
    <w:rsid w:val="009142CD"/>
    <w:rsid w:val="00916187"/>
    <w:rsid w:val="00916648"/>
    <w:rsid w:val="009179E3"/>
    <w:rsid w:val="00921C23"/>
    <w:rsid w:val="009236C0"/>
    <w:rsid w:val="00923BD4"/>
    <w:rsid w:val="00923DD1"/>
    <w:rsid w:val="009249F4"/>
    <w:rsid w:val="0092534D"/>
    <w:rsid w:val="009277AA"/>
    <w:rsid w:val="00927D0E"/>
    <w:rsid w:val="00927DE6"/>
    <w:rsid w:val="009306BF"/>
    <w:rsid w:val="00932D47"/>
    <w:rsid w:val="00933248"/>
    <w:rsid w:val="00934276"/>
    <w:rsid w:val="0093461B"/>
    <w:rsid w:val="00934887"/>
    <w:rsid w:val="00934FF7"/>
    <w:rsid w:val="009360A6"/>
    <w:rsid w:val="00936B93"/>
    <w:rsid w:val="009405A5"/>
    <w:rsid w:val="00940B83"/>
    <w:rsid w:val="009427DE"/>
    <w:rsid w:val="00942D20"/>
    <w:rsid w:val="009430A3"/>
    <w:rsid w:val="00944486"/>
    <w:rsid w:val="0094455E"/>
    <w:rsid w:val="009447C9"/>
    <w:rsid w:val="00946033"/>
    <w:rsid w:val="00946553"/>
    <w:rsid w:val="00947E83"/>
    <w:rsid w:val="009508C2"/>
    <w:rsid w:val="00951693"/>
    <w:rsid w:val="00952715"/>
    <w:rsid w:val="00953AF1"/>
    <w:rsid w:val="00953B22"/>
    <w:rsid w:val="00954AD1"/>
    <w:rsid w:val="00956004"/>
    <w:rsid w:val="00956889"/>
    <w:rsid w:val="00957AC4"/>
    <w:rsid w:val="00960CD5"/>
    <w:rsid w:val="00962129"/>
    <w:rsid w:val="009626D5"/>
    <w:rsid w:val="0096279F"/>
    <w:rsid w:val="00962B54"/>
    <w:rsid w:val="00963673"/>
    <w:rsid w:val="00963C8E"/>
    <w:rsid w:val="00963EE1"/>
    <w:rsid w:val="009649CB"/>
    <w:rsid w:val="009651DF"/>
    <w:rsid w:val="009658C3"/>
    <w:rsid w:val="009658CE"/>
    <w:rsid w:val="00966299"/>
    <w:rsid w:val="00967CAE"/>
    <w:rsid w:val="00967CF9"/>
    <w:rsid w:val="00972DAB"/>
    <w:rsid w:val="00972FA2"/>
    <w:rsid w:val="009732E0"/>
    <w:rsid w:val="009744E3"/>
    <w:rsid w:val="00974E0C"/>
    <w:rsid w:val="00974E5D"/>
    <w:rsid w:val="00976CEF"/>
    <w:rsid w:val="009773EE"/>
    <w:rsid w:val="00980563"/>
    <w:rsid w:val="00980FA7"/>
    <w:rsid w:val="00982F29"/>
    <w:rsid w:val="00983E34"/>
    <w:rsid w:val="00984DDC"/>
    <w:rsid w:val="00984F0D"/>
    <w:rsid w:val="009852C8"/>
    <w:rsid w:val="00986EBA"/>
    <w:rsid w:val="00987D76"/>
    <w:rsid w:val="00987E0A"/>
    <w:rsid w:val="00990FDC"/>
    <w:rsid w:val="0099141C"/>
    <w:rsid w:val="0099255F"/>
    <w:rsid w:val="00993055"/>
    <w:rsid w:val="00993D75"/>
    <w:rsid w:val="00994361"/>
    <w:rsid w:val="0099567A"/>
    <w:rsid w:val="00995C3C"/>
    <w:rsid w:val="00995FEE"/>
    <w:rsid w:val="009960D3"/>
    <w:rsid w:val="00996810"/>
    <w:rsid w:val="00997CC7"/>
    <w:rsid w:val="009A018B"/>
    <w:rsid w:val="009A13B6"/>
    <w:rsid w:val="009A49F9"/>
    <w:rsid w:val="009A613D"/>
    <w:rsid w:val="009A691A"/>
    <w:rsid w:val="009A75A3"/>
    <w:rsid w:val="009B0062"/>
    <w:rsid w:val="009B00E2"/>
    <w:rsid w:val="009B109B"/>
    <w:rsid w:val="009B10DC"/>
    <w:rsid w:val="009B186F"/>
    <w:rsid w:val="009B4558"/>
    <w:rsid w:val="009B4E0D"/>
    <w:rsid w:val="009B5B9E"/>
    <w:rsid w:val="009B5E22"/>
    <w:rsid w:val="009B60CA"/>
    <w:rsid w:val="009B62AA"/>
    <w:rsid w:val="009B631F"/>
    <w:rsid w:val="009C0872"/>
    <w:rsid w:val="009C2C10"/>
    <w:rsid w:val="009C3C51"/>
    <w:rsid w:val="009C6154"/>
    <w:rsid w:val="009C627F"/>
    <w:rsid w:val="009C6F0D"/>
    <w:rsid w:val="009C77D8"/>
    <w:rsid w:val="009C79FB"/>
    <w:rsid w:val="009D135C"/>
    <w:rsid w:val="009D19D7"/>
    <w:rsid w:val="009D1B0B"/>
    <w:rsid w:val="009D40CB"/>
    <w:rsid w:val="009D6376"/>
    <w:rsid w:val="009D6D04"/>
    <w:rsid w:val="009D770F"/>
    <w:rsid w:val="009E0DD9"/>
    <w:rsid w:val="009E338D"/>
    <w:rsid w:val="009E54C3"/>
    <w:rsid w:val="009E5D35"/>
    <w:rsid w:val="009E60EA"/>
    <w:rsid w:val="009E6B90"/>
    <w:rsid w:val="009E7BE3"/>
    <w:rsid w:val="009E7C29"/>
    <w:rsid w:val="009F040C"/>
    <w:rsid w:val="009F276D"/>
    <w:rsid w:val="009F3988"/>
    <w:rsid w:val="009F53B0"/>
    <w:rsid w:val="009F5C17"/>
    <w:rsid w:val="009F6618"/>
    <w:rsid w:val="009F6D27"/>
    <w:rsid w:val="00A004BF"/>
    <w:rsid w:val="00A00B2A"/>
    <w:rsid w:val="00A00F89"/>
    <w:rsid w:val="00A04483"/>
    <w:rsid w:val="00A054AA"/>
    <w:rsid w:val="00A075BA"/>
    <w:rsid w:val="00A07F04"/>
    <w:rsid w:val="00A10EC0"/>
    <w:rsid w:val="00A11347"/>
    <w:rsid w:val="00A12025"/>
    <w:rsid w:val="00A122C6"/>
    <w:rsid w:val="00A13F79"/>
    <w:rsid w:val="00A15F90"/>
    <w:rsid w:val="00A17131"/>
    <w:rsid w:val="00A224F5"/>
    <w:rsid w:val="00A22578"/>
    <w:rsid w:val="00A236E6"/>
    <w:rsid w:val="00A243E4"/>
    <w:rsid w:val="00A24895"/>
    <w:rsid w:val="00A25430"/>
    <w:rsid w:val="00A25601"/>
    <w:rsid w:val="00A25B62"/>
    <w:rsid w:val="00A265BF"/>
    <w:rsid w:val="00A3021E"/>
    <w:rsid w:val="00A3217D"/>
    <w:rsid w:val="00A32630"/>
    <w:rsid w:val="00A32E10"/>
    <w:rsid w:val="00A3361D"/>
    <w:rsid w:val="00A33722"/>
    <w:rsid w:val="00A33AB2"/>
    <w:rsid w:val="00A343F9"/>
    <w:rsid w:val="00A34A1C"/>
    <w:rsid w:val="00A34E96"/>
    <w:rsid w:val="00A3510E"/>
    <w:rsid w:val="00A35239"/>
    <w:rsid w:val="00A3533D"/>
    <w:rsid w:val="00A353B9"/>
    <w:rsid w:val="00A3601B"/>
    <w:rsid w:val="00A36DDB"/>
    <w:rsid w:val="00A37395"/>
    <w:rsid w:val="00A373AE"/>
    <w:rsid w:val="00A3761A"/>
    <w:rsid w:val="00A40810"/>
    <w:rsid w:val="00A40AB3"/>
    <w:rsid w:val="00A4206F"/>
    <w:rsid w:val="00A42224"/>
    <w:rsid w:val="00A43BC7"/>
    <w:rsid w:val="00A43FCF"/>
    <w:rsid w:val="00A444D3"/>
    <w:rsid w:val="00A44F7C"/>
    <w:rsid w:val="00A4544D"/>
    <w:rsid w:val="00A4599E"/>
    <w:rsid w:val="00A45C3A"/>
    <w:rsid w:val="00A46056"/>
    <w:rsid w:val="00A466DF"/>
    <w:rsid w:val="00A47045"/>
    <w:rsid w:val="00A478A0"/>
    <w:rsid w:val="00A50161"/>
    <w:rsid w:val="00A50254"/>
    <w:rsid w:val="00A50514"/>
    <w:rsid w:val="00A50DC1"/>
    <w:rsid w:val="00A51DE3"/>
    <w:rsid w:val="00A52C61"/>
    <w:rsid w:val="00A52CBB"/>
    <w:rsid w:val="00A52EEE"/>
    <w:rsid w:val="00A54140"/>
    <w:rsid w:val="00A5739C"/>
    <w:rsid w:val="00A60357"/>
    <w:rsid w:val="00A60A20"/>
    <w:rsid w:val="00A615AF"/>
    <w:rsid w:val="00A621BF"/>
    <w:rsid w:val="00A62227"/>
    <w:rsid w:val="00A63A34"/>
    <w:rsid w:val="00A63B83"/>
    <w:rsid w:val="00A63E39"/>
    <w:rsid w:val="00A63EC4"/>
    <w:rsid w:val="00A651DE"/>
    <w:rsid w:val="00A65B53"/>
    <w:rsid w:val="00A65CEB"/>
    <w:rsid w:val="00A65F69"/>
    <w:rsid w:val="00A65FB5"/>
    <w:rsid w:val="00A66CCE"/>
    <w:rsid w:val="00A708D7"/>
    <w:rsid w:val="00A70BFD"/>
    <w:rsid w:val="00A7166E"/>
    <w:rsid w:val="00A7239B"/>
    <w:rsid w:val="00A730AF"/>
    <w:rsid w:val="00A74F32"/>
    <w:rsid w:val="00A75D77"/>
    <w:rsid w:val="00A77DBD"/>
    <w:rsid w:val="00A831A5"/>
    <w:rsid w:val="00A8330E"/>
    <w:rsid w:val="00A834EF"/>
    <w:rsid w:val="00A84463"/>
    <w:rsid w:val="00A85FB8"/>
    <w:rsid w:val="00A85FC9"/>
    <w:rsid w:val="00A86429"/>
    <w:rsid w:val="00A86902"/>
    <w:rsid w:val="00A87610"/>
    <w:rsid w:val="00A87BF8"/>
    <w:rsid w:val="00A90813"/>
    <w:rsid w:val="00A90CD4"/>
    <w:rsid w:val="00A91C3B"/>
    <w:rsid w:val="00A9285F"/>
    <w:rsid w:val="00A93FEB"/>
    <w:rsid w:val="00A959B4"/>
    <w:rsid w:val="00A96125"/>
    <w:rsid w:val="00A96181"/>
    <w:rsid w:val="00A968D3"/>
    <w:rsid w:val="00A96B46"/>
    <w:rsid w:val="00A9709F"/>
    <w:rsid w:val="00A97B9F"/>
    <w:rsid w:val="00AA0B20"/>
    <w:rsid w:val="00AA0E76"/>
    <w:rsid w:val="00AA1908"/>
    <w:rsid w:val="00AA19F5"/>
    <w:rsid w:val="00AA203E"/>
    <w:rsid w:val="00AA299C"/>
    <w:rsid w:val="00AA341B"/>
    <w:rsid w:val="00AA3DB2"/>
    <w:rsid w:val="00AA4CE2"/>
    <w:rsid w:val="00AA52DD"/>
    <w:rsid w:val="00AA57D4"/>
    <w:rsid w:val="00AA6BA2"/>
    <w:rsid w:val="00AA6BAE"/>
    <w:rsid w:val="00AB02C5"/>
    <w:rsid w:val="00AB0330"/>
    <w:rsid w:val="00AB10FF"/>
    <w:rsid w:val="00AB1BC6"/>
    <w:rsid w:val="00AB275A"/>
    <w:rsid w:val="00AB406C"/>
    <w:rsid w:val="00AB42E8"/>
    <w:rsid w:val="00AB4327"/>
    <w:rsid w:val="00AB44DD"/>
    <w:rsid w:val="00AB4D48"/>
    <w:rsid w:val="00AB5724"/>
    <w:rsid w:val="00AB5897"/>
    <w:rsid w:val="00AB5E30"/>
    <w:rsid w:val="00AB5EAD"/>
    <w:rsid w:val="00AB64CD"/>
    <w:rsid w:val="00AB6F00"/>
    <w:rsid w:val="00AC13C2"/>
    <w:rsid w:val="00AC22FC"/>
    <w:rsid w:val="00AC249B"/>
    <w:rsid w:val="00AC2648"/>
    <w:rsid w:val="00AC33E3"/>
    <w:rsid w:val="00AC353E"/>
    <w:rsid w:val="00AC3F8D"/>
    <w:rsid w:val="00AC3FF6"/>
    <w:rsid w:val="00AC4416"/>
    <w:rsid w:val="00AC4AFB"/>
    <w:rsid w:val="00AC550C"/>
    <w:rsid w:val="00AD01EC"/>
    <w:rsid w:val="00AD0632"/>
    <w:rsid w:val="00AD09B8"/>
    <w:rsid w:val="00AD16B1"/>
    <w:rsid w:val="00AD25F6"/>
    <w:rsid w:val="00AD36FC"/>
    <w:rsid w:val="00AD3CD9"/>
    <w:rsid w:val="00AD4C5C"/>
    <w:rsid w:val="00AD4DCB"/>
    <w:rsid w:val="00AD5274"/>
    <w:rsid w:val="00AD52E5"/>
    <w:rsid w:val="00AD5491"/>
    <w:rsid w:val="00AD5FAC"/>
    <w:rsid w:val="00AD6A2F"/>
    <w:rsid w:val="00AD6C3E"/>
    <w:rsid w:val="00AD77CE"/>
    <w:rsid w:val="00AE12A4"/>
    <w:rsid w:val="00AE13B9"/>
    <w:rsid w:val="00AE1DD9"/>
    <w:rsid w:val="00AE2743"/>
    <w:rsid w:val="00AE2F5A"/>
    <w:rsid w:val="00AE3510"/>
    <w:rsid w:val="00AE5BCF"/>
    <w:rsid w:val="00AE629E"/>
    <w:rsid w:val="00AE6447"/>
    <w:rsid w:val="00AE6BF9"/>
    <w:rsid w:val="00AE6EF5"/>
    <w:rsid w:val="00AF20E6"/>
    <w:rsid w:val="00AF2713"/>
    <w:rsid w:val="00AF2CB8"/>
    <w:rsid w:val="00AF32EC"/>
    <w:rsid w:val="00AF3EE2"/>
    <w:rsid w:val="00AF483F"/>
    <w:rsid w:val="00AF4E9F"/>
    <w:rsid w:val="00AF654B"/>
    <w:rsid w:val="00B0315D"/>
    <w:rsid w:val="00B03F85"/>
    <w:rsid w:val="00B04D4C"/>
    <w:rsid w:val="00B055A4"/>
    <w:rsid w:val="00B064C5"/>
    <w:rsid w:val="00B06924"/>
    <w:rsid w:val="00B06D1D"/>
    <w:rsid w:val="00B06D40"/>
    <w:rsid w:val="00B07CC5"/>
    <w:rsid w:val="00B07E75"/>
    <w:rsid w:val="00B120F1"/>
    <w:rsid w:val="00B13FE5"/>
    <w:rsid w:val="00B14C54"/>
    <w:rsid w:val="00B15599"/>
    <w:rsid w:val="00B15A70"/>
    <w:rsid w:val="00B15B61"/>
    <w:rsid w:val="00B16159"/>
    <w:rsid w:val="00B168D0"/>
    <w:rsid w:val="00B20928"/>
    <w:rsid w:val="00B22897"/>
    <w:rsid w:val="00B2398A"/>
    <w:rsid w:val="00B240D4"/>
    <w:rsid w:val="00B24973"/>
    <w:rsid w:val="00B25EE4"/>
    <w:rsid w:val="00B26480"/>
    <w:rsid w:val="00B272CD"/>
    <w:rsid w:val="00B275C4"/>
    <w:rsid w:val="00B27A36"/>
    <w:rsid w:val="00B27AA2"/>
    <w:rsid w:val="00B32106"/>
    <w:rsid w:val="00B3249F"/>
    <w:rsid w:val="00B32856"/>
    <w:rsid w:val="00B3536D"/>
    <w:rsid w:val="00B35686"/>
    <w:rsid w:val="00B35928"/>
    <w:rsid w:val="00B37054"/>
    <w:rsid w:val="00B37B61"/>
    <w:rsid w:val="00B427E7"/>
    <w:rsid w:val="00B42EA3"/>
    <w:rsid w:val="00B43B70"/>
    <w:rsid w:val="00B50AAD"/>
    <w:rsid w:val="00B52441"/>
    <w:rsid w:val="00B52DEF"/>
    <w:rsid w:val="00B543D1"/>
    <w:rsid w:val="00B5549F"/>
    <w:rsid w:val="00B558E0"/>
    <w:rsid w:val="00B56239"/>
    <w:rsid w:val="00B5737E"/>
    <w:rsid w:val="00B6049C"/>
    <w:rsid w:val="00B60D70"/>
    <w:rsid w:val="00B60E37"/>
    <w:rsid w:val="00B61E66"/>
    <w:rsid w:val="00B61F56"/>
    <w:rsid w:val="00B62016"/>
    <w:rsid w:val="00B62131"/>
    <w:rsid w:val="00B6250D"/>
    <w:rsid w:val="00B6252C"/>
    <w:rsid w:val="00B6276F"/>
    <w:rsid w:val="00B6398C"/>
    <w:rsid w:val="00B63F7A"/>
    <w:rsid w:val="00B641C1"/>
    <w:rsid w:val="00B64932"/>
    <w:rsid w:val="00B64B87"/>
    <w:rsid w:val="00B65078"/>
    <w:rsid w:val="00B66924"/>
    <w:rsid w:val="00B66B64"/>
    <w:rsid w:val="00B70B7C"/>
    <w:rsid w:val="00B714E1"/>
    <w:rsid w:val="00B71C7D"/>
    <w:rsid w:val="00B7258B"/>
    <w:rsid w:val="00B755A7"/>
    <w:rsid w:val="00B76CE0"/>
    <w:rsid w:val="00B77168"/>
    <w:rsid w:val="00B80853"/>
    <w:rsid w:val="00B812CA"/>
    <w:rsid w:val="00B81C5A"/>
    <w:rsid w:val="00B82875"/>
    <w:rsid w:val="00B82CA9"/>
    <w:rsid w:val="00B83155"/>
    <w:rsid w:val="00B83786"/>
    <w:rsid w:val="00B87D7D"/>
    <w:rsid w:val="00B9165A"/>
    <w:rsid w:val="00B92460"/>
    <w:rsid w:val="00B9314F"/>
    <w:rsid w:val="00B93187"/>
    <w:rsid w:val="00B933A3"/>
    <w:rsid w:val="00B9340B"/>
    <w:rsid w:val="00B93DCD"/>
    <w:rsid w:val="00B95F4B"/>
    <w:rsid w:val="00B966B2"/>
    <w:rsid w:val="00B968FA"/>
    <w:rsid w:val="00B97B38"/>
    <w:rsid w:val="00B97D84"/>
    <w:rsid w:val="00BA2D9E"/>
    <w:rsid w:val="00BA3E25"/>
    <w:rsid w:val="00BA5006"/>
    <w:rsid w:val="00BA70D4"/>
    <w:rsid w:val="00BA78BE"/>
    <w:rsid w:val="00BA78EB"/>
    <w:rsid w:val="00BA7BDD"/>
    <w:rsid w:val="00BA7C88"/>
    <w:rsid w:val="00BB013A"/>
    <w:rsid w:val="00BB0D38"/>
    <w:rsid w:val="00BB1D09"/>
    <w:rsid w:val="00BB1ED4"/>
    <w:rsid w:val="00BB3D33"/>
    <w:rsid w:val="00BB4555"/>
    <w:rsid w:val="00BB55B6"/>
    <w:rsid w:val="00BB5AF0"/>
    <w:rsid w:val="00BB5B6E"/>
    <w:rsid w:val="00BB5EE2"/>
    <w:rsid w:val="00BB644C"/>
    <w:rsid w:val="00BB6682"/>
    <w:rsid w:val="00BB720D"/>
    <w:rsid w:val="00BB7439"/>
    <w:rsid w:val="00BC0440"/>
    <w:rsid w:val="00BC0DF7"/>
    <w:rsid w:val="00BC0F12"/>
    <w:rsid w:val="00BC10F9"/>
    <w:rsid w:val="00BC1394"/>
    <w:rsid w:val="00BC23F9"/>
    <w:rsid w:val="00BC2ED3"/>
    <w:rsid w:val="00BC3AE0"/>
    <w:rsid w:val="00BC4010"/>
    <w:rsid w:val="00BC4133"/>
    <w:rsid w:val="00BC428E"/>
    <w:rsid w:val="00BC4A5C"/>
    <w:rsid w:val="00BC4B8F"/>
    <w:rsid w:val="00BC55A9"/>
    <w:rsid w:val="00BC5BCD"/>
    <w:rsid w:val="00BC6DD7"/>
    <w:rsid w:val="00BC711C"/>
    <w:rsid w:val="00BD06CE"/>
    <w:rsid w:val="00BD084B"/>
    <w:rsid w:val="00BD3632"/>
    <w:rsid w:val="00BD3E8C"/>
    <w:rsid w:val="00BD488F"/>
    <w:rsid w:val="00BD5F79"/>
    <w:rsid w:val="00BD614A"/>
    <w:rsid w:val="00BD7C2D"/>
    <w:rsid w:val="00BE2A26"/>
    <w:rsid w:val="00BE4487"/>
    <w:rsid w:val="00BE5423"/>
    <w:rsid w:val="00BE7192"/>
    <w:rsid w:val="00BF09DD"/>
    <w:rsid w:val="00BF10F1"/>
    <w:rsid w:val="00BF3679"/>
    <w:rsid w:val="00BF3AF4"/>
    <w:rsid w:val="00BF3DF9"/>
    <w:rsid w:val="00BF4D6A"/>
    <w:rsid w:val="00BF717A"/>
    <w:rsid w:val="00BF78F9"/>
    <w:rsid w:val="00BF7BA4"/>
    <w:rsid w:val="00BF7D6E"/>
    <w:rsid w:val="00BF7F76"/>
    <w:rsid w:val="00C00711"/>
    <w:rsid w:val="00C00D42"/>
    <w:rsid w:val="00C02496"/>
    <w:rsid w:val="00C03257"/>
    <w:rsid w:val="00C04B6E"/>
    <w:rsid w:val="00C04B7D"/>
    <w:rsid w:val="00C0585B"/>
    <w:rsid w:val="00C05C15"/>
    <w:rsid w:val="00C05F0B"/>
    <w:rsid w:val="00C05F2E"/>
    <w:rsid w:val="00C060E8"/>
    <w:rsid w:val="00C069EA"/>
    <w:rsid w:val="00C101EF"/>
    <w:rsid w:val="00C11409"/>
    <w:rsid w:val="00C11BA4"/>
    <w:rsid w:val="00C11C92"/>
    <w:rsid w:val="00C13875"/>
    <w:rsid w:val="00C138E5"/>
    <w:rsid w:val="00C13A51"/>
    <w:rsid w:val="00C14FE1"/>
    <w:rsid w:val="00C15124"/>
    <w:rsid w:val="00C1674C"/>
    <w:rsid w:val="00C1707F"/>
    <w:rsid w:val="00C17D4F"/>
    <w:rsid w:val="00C20489"/>
    <w:rsid w:val="00C218FA"/>
    <w:rsid w:val="00C23729"/>
    <w:rsid w:val="00C23B86"/>
    <w:rsid w:val="00C244F3"/>
    <w:rsid w:val="00C247BD"/>
    <w:rsid w:val="00C26B6B"/>
    <w:rsid w:val="00C277AB"/>
    <w:rsid w:val="00C31726"/>
    <w:rsid w:val="00C318B7"/>
    <w:rsid w:val="00C31A53"/>
    <w:rsid w:val="00C3206A"/>
    <w:rsid w:val="00C32692"/>
    <w:rsid w:val="00C33527"/>
    <w:rsid w:val="00C3495F"/>
    <w:rsid w:val="00C34CE5"/>
    <w:rsid w:val="00C352B4"/>
    <w:rsid w:val="00C3568C"/>
    <w:rsid w:val="00C3602A"/>
    <w:rsid w:val="00C3638F"/>
    <w:rsid w:val="00C36FDC"/>
    <w:rsid w:val="00C3798E"/>
    <w:rsid w:val="00C408F4"/>
    <w:rsid w:val="00C40F7C"/>
    <w:rsid w:val="00C41690"/>
    <w:rsid w:val="00C41A5B"/>
    <w:rsid w:val="00C4385A"/>
    <w:rsid w:val="00C44184"/>
    <w:rsid w:val="00C4541C"/>
    <w:rsid w:val="00C456C0"/>
    <w:rsid w:val="00C45760"/>
    <w:rsid w:val="00C46264"/>
    <w:rsid w:val="00C47463"/>
    <w:rsid w:val="00C4784E"/>
    <w:rsid w:val="00C50A98"/>
    <w:rsid w:val="00C50F7E"/>
    <w:rsid w:val="00C51027"/>
    <w:rsid w:val="00C53B33"/>
    <w:rsid w:val="00C576A5"/>
    <w:rsid w:val="00C60588"/>
    <w:rsid w:val="00C64620"/>
    <w:rsid w:val="00C65416"/>
    <w:rsid w:val="00C65F75"/>
    <w:rsid w:val="00C66BCF"/>
    <w:rsid w:val="00C66EBD"/>
    <w:rsid w:val="00C66F14"/>
    <w:rsid w:val="00C70094"/>
    <w:rsid w:val="00C70C98"/>
    <w:rsid w:val="00C71683"/>
    <w:rsid w:val="00C72A8D"/>
    <w:rsid w:val="00C7444B"/>
    <w:rsid w:val="00C744AA"/>
    <w:rsid w:val="00C748D8"/>
    <w:rsid w:val="00C75059"/>
    <w:rsid w:val="00C7588A"/>
    <w:rsid w:val="00C767CE"/>
    <w:rsid w:val="00C76EB1"/>
    <w:rsid w:val="00C77B97"/>
    <w:rsid w:val="00C77EE8"/>
    <w:rsid w:val="00C8060C"/>
    <w:rsid w:val="00C8261D"/>
    <w:rsid w:val="00C82ADC"/>
    <w:rsid w:val="00C82F34"/>
    <w:rsid w:val="00C83651"/>
    <w:rsid w:val="00C848C2"/>
    <w:rsid w:val="00C84D09"/>
    <w:rsid w:val="00C85227"/>
    <w:rsid w:val="00C85696"/>
    <w:rsid w:val="00C85970"/>
    <w:rsid w:val="00C8623B"/>
    <w:rsid w:val="00C873FC"/>
    <w:rsid w:val="00C91970"/>
    <w:rsid w:val="00C91996"/>
    <w:rsid w:val="00C91DC2"/>
    <w:rsid w:val="00C92DB6"/>
    <w:rsid w:val="00C92E26"/>
    <w:rsid w:val="00C92E77"/>
    <w:rsid w:val="00C939A8"/>
    <w:rsid w:val="00C9422A"/>
    <w:rsid w:val="00C94A22"/>
    <w:rsid w:val="00C95D6A"/>
    <w:rsid w:val="00C97CCD"/>
    <w:rsid w:val="00C97EC1"/>
    <w:rsid w:val="00CA0100"/>
    <w:rsid w:val="00CA1AFE"/>
    <w:rsid w:val="00CA563E"/>
    <w:rsid w:val="00CA56D7"/>
    <w:rsid w:val="00CA7D46"/>
    <w:rsid w:val="00CB03BA"/>
    <w:rsid w:val="00CB1660"/>
    <w:rsid w:val="00CB239D"/>
    <w:rsid w:val="00CB2685"/>
    <w:rsid w:val="00CB26AA"/>
    <w:rsid w:val="00CB29C1"/>
    <w:rsid w:val="00CB2AE6"/>
    <w:rsid w:val="00CB2B76"/>
    <w:rsid w:val="00CB5679"/>
    <w:rsid w:val="00CB5B88"/>
    <w:rsid w:val="00CB699C"/>
    <w:rsid w:val="00CB6B37"/>
    <w:rsid w:val="00CB7634"/>
    <w:rsid w:val="00CB7FAE"/>
    <w:rsid w:val="00CC06C2"/>
    <w:rsid w:val="00CC0874"/>
    <w:rsid w:val="00CC475F"/>
    <w:rsid w:val="00CC5ED7"/>
    <w:rsid w:val="00CC6B47"/>
    <w:rsid w:val="00CC7C19"/>
    <w:rsid w:val="00CD04C5"/>
    <w:rsid w:val="00CD48CC"/>
    <w:rsid w:val="00CD52D6"/>
    <w:rsid w:val="00CD5406"/>
    <w:rsid w:val="00CD6D79"/>
    <w:rsid w:val="00CD7B00"/>
    <w:rsid w:val="00CE08C2"/>
    <w:rsid w:val="00CE30EE"/>
    <w:rsid w:val="00CE3184"/>
    <w:rsid w:val="00CE3507"/>
    <w:rsid w:val="00CE3D9C"/>
    <w:rsid w:val="00CE3E71"/>
    <w:rsid w:val="00CE3FA4"/>
    <w:rsid w:val="00CE48B3"/>
    <w:rsid w:val="00CE58B4"/>
    <w:rsid w:val="00CE742B"/>
    <w:rsid w:val="00CE74B4"/>
    <w:rsid w:val="00CE76CE"/>
    <w:rsid w:val="00CE77A0"/>
    <w:rsid w:val="00CE7BF0"/>
    <w:rsid w:val="00CF0000"/>
    <w:rsid w:val="00CF0023"/>
    <w:rsid w:val="00CF1F75"/>
    <w:rsid w:val="00CF3878"/>
    <w:rsid w:val="00CF3998"/>
    <w:rsid w:val="00CF44D4"/>
    <w:rsid w:val="00CF47B4"/>
    <w:rsid w:val="00CF5AD8"/>
    <w:rsid w:val="00CF7C7F"/>
    <w:rsid w:val="00D01AEC"/>
    <w:rsid w:val="00D03CE1"/>
    <w:rsid w:val="00D04496"/>
    <w:rsid w:val="00D048D6"/>
    <w:rsid w:val="00D04BA6"/>
    <w:rsid w:val="00D04D82"/>
    <w:rsid w:val="00D05809"/>
    <w:rsid w:val="00D05874"/>
    <w:rsid w:val="00D05913"/>
    <w:rsid w:val="00D05C4D"/>
    <w:rsid w:val="00D05EB9"/>
    <w:rsid w:val="00D05FB9"/>
    <w:rsid w:val="00D07DBF"/>
    <w:rsid w:val="00D100B4"/>
    <w:rsid w:val="00D1096D"/>
    <w:rsid w:val="00D12EE6"/>
    <w:rsid w:val="00D14F35"/>
    <w:rsid w:val="00D14FFC"/>
    <w:rsid w:val="00D15D1C"/>
    <w:rsid w:val="00D1633F"/>
    <w:rsid w:val="00D2003A"/>
    <w:rsid w:val="00D20056"/>
    <w:rsid w:val="00D2098E"/>
    <w:rsid w:val="00D20B80"/>
    <w:rsid w:val="00D211FE"/>
    <w:rsid w:val="00D21DE3"/>
    <w:rsid w:val="00D22020"/>
    <w:rsid w:val="00D23436"/>
    <w:rsid w:val="00D24B6F"/>
    <w:rsid w:val="00D2595F"/>
    <w:rsid w:val="00D2664B"/>
    <w:rsid w:val="00D26867"/>
    <w:rsid w:val="00D271F9"/>
    <w:rsid w:val="00D304CE"/>
    <w:rsid w:val="00D30791"/>
    <w:rsid w:val="00D308B1"/>
    <w:rsid w:val="00D32EBF"/>
    <w:rsid w:val="00D347D7"/>
    <w:rsid w:val="00D34CCB"/>
    <w:rsid w:val="00D40848"/>
    <w:rsid w:val="00D409CB"/>
    <w:rsid w:val="00D41764"/>
    <w:rsid w:val="00D4323C"/>
    <w:rsid w:val="00D43A70"/>
    <w:rsid w:val="00D4430C"/>
    <w:rsid w:val="00D46BD0"/>
    <w:rsid w:val="00D46F41"/>
    <w:rsid w:val="00D477C5"/>
    <w:rsid w:val="00D506B5"/>
    <w:rsid w:val="00D528AD"/>
    <w:rsid w:val="00D54826"/>
    <w:rsid w:val="00D54D65"/>
    <w:rsid w:val="00D55938"/>
    <w:rsid w:val="00D57A45"/>
    <w:rsid w:val="00D614B8"/>
    <w:rsid w:val="00D62C5E"/>
    <w:rsid w:val="00D63097"/>
    <w:rsid w:val="00D6314E"/>
    <w:rsid w:val="00D6340E"/>
    <w:rsid w:val="00D6386C"/>
    <w:rsid w:val="00D63ECC"/>
    <w:rsid w:val="00D660B4"/>
    <w:rsid w:val="00D6696C"/>
    <w:rsid w:val="00D678EA"/>
    <w:rsid w:val="00D67C6D"/>
    <w:rsid w:val="00D70223"/>
    <w:rsid w:val="00D7052C"/>
    <w:rsid w:val="00D7091A"/>
    <w:rsid w:val="00D70A24"/>
    <w:rsid w:val="00D70BF2"/>
    <w:rsid w:val="00D755FC"/>
    <w:rsid w:val="00D759EA"/>
    <w:rsid w:val="00D75C11"/>
    <w:rsid w:val="00D76205"/>
    <w:rsid w:val="00D7681D"/>
    <w:rsid w:val="00D7695C"/>
    <w:rsid w:val="00D77336"/>
    <w:rsid w:val="00D77B32"/>
    <w:rsid w:val="00D80311"/>
    <w:rsid w:val="00D809F6"/>
    <w:rsid w:val="00D80A8A"/>
    <w:rsid w:val="00D83CBF"/>
    <w:rsid w:val="00D8537B"/>
    <w:rsid w:val="00D85F31"/>
    <w:rsid w:val="00D8727E"/>
    <w:rsid w:val="00D87298"/>
    <w:rsid w:val="00D875D9"/>
    <w:rsid w:val="00D87F00"/>
    <w:rsid w:val="00D90A12"/>
    <w:rsid w:val="00D910BD"/>
    <w:rsid w:val="00D92093"/>
    <w:rsid w:val="00D92109"/>
    <w:rsid w:val="00D96154"/>
    <w:rsid w:val="00D97A22"/>
    <w:rsid w:val="00D97F0D"/>
    <w:rsid w:val="00DA0392"/>
    <w:rsid w:val="00DA10A2"/>
    <w:rsid w:val="00DA149B"/>
    <w:rsid w:val="00DA15C8"/>
    <w:rsid w:val="00DA2011"/>
    <w:rsid w:val="00DA7F92"/>
    <w:rsid w:val="00DB02C5"/>
    <w:rsid w:val="00DB11AD"/>
    <w:rsid w:val="00DB1367"/>
    <w:rsid w:val="00DB20FE"/>
    <w:rsid w:val="00DB28E2"/>
    <w:rsid w:val="00DB2E0B"/>
    <w:rsid w:val="00DB3084"/>
    <w:rsid w:val="00DB336D"/>
    <w:rsid w:val="00DB3728"/>
    <w:rsid w:val="00DB3E92"/>
    <w:rsid w:val="00DB4648"/>
    <w:rsid w:val="00DB5049"/>
    <w:rsid w:val="00DB583E"/>
    <w:rsid w:val="00DC0DDF"/>
    <w:rsid w:val="00DC0F01"/>
    <w:rsid w:val="00DC17A0"/>
    <w:rsid w:val="00DC308A"/>
    <w:rsid w:val="00DC41F5"/>
    <w:rsid w:val="00DC5712"/>
    <w:rsid w:val="00DC6586"/>
    <w:rsid w:val="00DC7B79"/>
    <w:rsid w:val="00DD091F"/>
    <w:rsid w:val="00DD1C02"/>
    <w:rsid w:val="00DD1C3C"/>
    <w:rsid w:val="00DD2112"/>
    <w:rsid w:val="00DD385A"/>
    <w:rsid w:val="00DD397D"/>
    <w:rsid w:val="00DD4A63"/>
    <w:rsid w:val="00DD5263"/>
    <w:rsid w:val="00DD5556"/>
    <w:rsid w:val="00DE05FB"/>
    <w:rsid w:val="00DE09C5"/>
    <w:rsid w:val="00DE20DF"/>
    <w:rsid w:val="00DE2669"/>
    <w:rsid w:val="00DE2792"/>
    <w:rsid w:val="00DE2D43"/>
    <w:rsid w:val="00DE2E88"/>
    <w:rsid w:val="00DE2EBA"/>
    <w:rsid w:val="00DE3663"/>
    <w:rsid w:val="00DE3EA6"/>
    <w:rsid w:val="00DE45F6"/>
    <w:rsid w:val="00DE60D7"/>
    <w:rsid w:val="00DE6D22"/>
    <w:rsid w:val="00DF0412"/>
    <w:rsid w:val="00DF091A"/>
    <w:rsid w:val="00DF1B38"/>
    <w:rsid w:val="00DF28E8"/>
    <w:rsid w:val="00DF3262"/>
    <w:rsid w:val="00DF3302"/>
    <w:rsid w:val="00DF363D"/>
    <w:rsid w:val="00DF3D12"/>
    <w:rsid w:val="00DF3D90"/>
    <w:rsid w:val="00DF415E"/>
    <w:rsid w:val="00DF4D43"/>
    <w:rsid w:val="00DF52D2"/>
    <w:rsid w:val="00DF5B02"/>
    <w:rsid w:val="00DF5E7B"/>
    <w:rsid w:val="00DF6237"/>
    <w:rsid w:val="00DF6414"/>
    <w:rsid w:val="00DF6610"/>
    <w:rsid w:val="00E00336"/>
    <w:rsid w:val="00E00CC5"/>
    <w:rsid w:val="00E00EE9"/>
    <w:rsid w:val="00E01CF8"/>
    <w:rsid w:val="00E021D1"/>
    <w:rsid w:val="00E024EA"/>
    <w:rsid w:val="00E0282A"/>
    <w:rsid w:val="00E029C1"/>
    <w:rsid w:val="00E05C41"/>
    <w:rsid w:val="00E1140A"/>
    <w:rsid w:val="00E114A1"/>
    <w:rsid w:val="00E1163C"/>
    <w:rsid w:val="00E11E9D"/>
    <w:rsid w:val="00E13A56"/>
    <w:rsid w:val="00E1496B"/>
    <w:rsid w:val="00E14ACE"/>
    <w:rsid w:val="00E14BB2"/>
    <w:rsid w:val="00E1603C"/>
    <w:rsid w:val="00E16631"/>
    <w:rsid w:val="00E1670E"/>
    <w:rsid w:val="00E168F4"/>
    <w:rsid w:val="00E17E28"/>
    <w:rsid w:val="00E22661"/>
    <w:rsid w:val="00E245B9"/>
    <w:rsid w:val="00E24897"/>
    <w:rsid w:val="00E24F74"/>
    <w:rsid w:val="00E306B6"/>
    <w:rsid w:val="00E30B27"/>
    <w:rsid w:val="00E313F2"/>
    <w:rsid w:val="00E32682"/>
    <w:rsid w:val="00E328D4"/>
    <w:rsid w:val="00E335C2"/>
    <w:rsid w:val="00E34472"/>
    <w:rsid w:val="00E35465"/>
    <w:rsid w:val="00E35FEF"/>
    <w:rsid w:val="00E36602"/>
    <w:rsid w:val="00E36C98"/>
    <w:rsid w:val="00E41080"/>
    <w:rsid w:val="00E4174F"/>
    <w:rsid w:val="00E41C4C"/>
    <w:rsid w:val="00E41E36"/>
    <w:rsid w:val="00E41F36"/>
    <w:rsid w:val="00E4310A"/>
    <w:rsid w:val="00E436D3"/>
    <w:rsid w:val="00E4522C"/>
    <w:rsid w:val="00E45385"/>
    <w:rsid w:val="00E45826"/>
    <w:rsid w:val="00E46175"/>
    <w:rsid w:val="00E46B54"/>
    <w:rsid w:val="00E46FAB"/>
    <w:rsid w:val="00E477FF"/>
    <w:rsid w:val="00E47A48"/>
    <w:rsid w:val="00E50397"/>
    <w:rsid w:val="00E50553"/>
    <w:rsid w:val="00E511F0"/>
    <w:rsid w:val="00E51774"/>
    <w:rsid w:val="00E5198F"/>
    <w:rsid w:val="00E519DD"/>
    <w:rsid w:val="00E51AF7"/>
    <w:rsid w:val="00E52A6D"/>
    <w:rsid w:val="00E53C05"/>
    <w:rsid w:val="00E54D5A"/>
    <w:rsid w:val="00E56039"/>
    <w:rsid w:val="00E56910"/>
    <w:rsid w:val="00E57B4E"/>
    <w:rsid w:val="00E60419"/>
    <w:rsid w:val="00E60AAF"/>
    <w:rsid w:val="00E611DC"/>
    <w:rsid w:val="00E62203"/>
    <w:rsid w:val="00E63E5D"/>
    <w:rsid w:val="00E63EAD"/>
    <w:rsid w:val="00E65BC7"/>
    <w:rsid w:val="00E66458"/>
    <w:rsid w:val="00E6729C"/>
    <w:rsid w:val="00E677BE"/>
    <w:rsid w:val="00E67DF6"/>
    <w:rsid w:val="00E7323E"/>
    <w:rsid w:val="00E73E2E"/>
    <w:rsid w:val="00E74A56"/>
    <w:rsid w:val="00E75996"/>
    <w:rsid w:val="00E759C4"/>
    <w:rsid w:val="00E767B8"/>
    <w:rsid w:val="00E77AB9"/>
    <w:rsid w:val="00E818F9"/>
    <w:rsid w:val="00E81CDF"/>
    <w:rsid w:val="00E82D57"/>
    <w:rsid w:val="00E82F61"/>
    <w:rsid w:val="00E82FD1"/>
    <w:rsid w:val="00E835B7"/>
    <w:rsid w:val="00E848F6"/>
    <w:rsid w:val="00E85876"/>
    <w:rsid w:val="00E86DE8"/>
    <w:rsid w:val="00E874AE"/>
    <w:rsid w:val="00E874B8"/>
    <w:rsid w:val="00E912BF"/>
    <w:rsid w:val="00E91470"/>
    <w:rsid w:val="00E92701"/>
    <w:rsid w:val="00E927CC"/>
    <w:rsid w:val="00E92A6E"/>
    <w:rsid w:val="00E9563D"/>
    <w:rsid w:val="00E956CB"/>
    <w:rsid w:val="00E95790"/>
    <w:rsid w:val="00E95DEC"/>
    <w:rsid w:val="00EA0422"/>
    <w:rsid w:val="00EA0D0D"/>
    <w:rsid w:val="00EA254A"/>
    <w:rsid w:val="00EA369D"/>
    <w:rsid w:val="00EA58D8"/>
    <w:rsid w:val="00EA6D15"/>
    <w:rsid w:val="00EA6D2E"/>
    <w:rsid w:val="00EA6F4C"/>
    <w:rsid w:val="00EA70FA"/>
    <w:rsid w:val="00EA7DD6"/>
    <w:rsid w:val="00EA7F9A"/>
    <w:rsid w:val="00EB0EA3"/>
    <w:rsid w:val="00EB3914"/>
    <w:rsid w:val="00EB3D3C"/>
    <w:rsid w:val="00EB3DE4"/>
    <w:rsid w:val="00EB4299"/>
    <w:rsid w:val="00EB6325"/>
    <w:rsid w:val="00EB68FF"/>
    <w:rsid w:val="00EB701E"/>
    <w:rsid w:val="00EC2676"/>
    <w:rsid w:val="00EC2AB6"/>
    <w:rsid w:val="00EC3763"/>
    <w:rsid w:val="00EC39A4"/>
    <w:rsid w:val="00EC415D"/>
    <w:rsid w:val="00EC4C3D"/>
    <w:rsid w:val="00EC5FA5"/>
    <w:rsid w:val="00EC60F8"/>
    <w:rsid w:val="00EC66E1"/>
    <w:rsid w:val="00EC68E3"/>
    <w:rsid w:val="00EC7E0A"/>
    <w:rsid w:val="00ED09AD"/>
    <w:rsid w:val="00ED0A97"/>
    <w:rsid w:val="00ED14E2"/>
    <w:rsid w:val="00ED27EC"/>
    <w:rsid w:val="00ED29F9"/>
    <w:rsid w:val="00ED2BED"/>
    <w:rsid w:val="00ED306A"/>
    <w:rsid w:val="00ED4B6F"/>
    <w:rsid w:val="00ED5350"/>
    <w:rsid w:val="00ED544B"/>
    <w:rsid w:val="00ED5F1F"/>
    <w:rsid w:val="00ED626C"/>
    <w:rsid w:val="00ED6569"/>
    <w:rsid w:val="00ED7AE0"/>
    <w:rsid w:val="00ED7CCA"/>
    <w:rsid w:val="00EE16DC"/>
    <w:rsid w:val="00EE2319"/>
    <w:rsid w:val="00EE29CF"/>
    <w:rsid w:val="00EE3AC8"/>
    <w:rsid w:val="00EE4476"/>
    <w:rsid w:val="00EF0577"/>
    <w:rsid w:val="00EF05D7"/>
    <w:rsid w:val="00EF0C9F"/>
    <w:rsid w:val="00EF0D75"/>
    <w:rsid w:val="00EF1445"/>
    <w:rsid w:val="00EF1950"/>
    <w:rsid w:val="00EF24A5"/>
    <w:rsid w:val="00EF25AB"/>
    <w:rsid w:val="00EF2BBF"/>
    <w:rsid w:val="00EF3305"/>
    <w:rsid w:val="00EF366C"/>
    <w:rsid w:val="00EF4584"/>
    <w:rsid w:val="00EF4DB6"/>
    <w:rsid w:val="00EF6690"/>
    <w:rsid w:val="00F00864"/>
    <w:rsid w:val="00F00A57"/>
    <w:rsid w:val="00F00BA8"/>
    <w:rsid w:val="00F0139C"/>
    <w:rsid w:val="00F02497"/>
    <w:rsid w:val="00F0250F"/>
    <w:rsid w:val="00F02574"/>
    <w:rsid w:val="00F02A45"/>
    <w:rsid w:val="00F03B47"/>
    <w:rsid w:val="00F03D09"/>
    <w:rsid w:val="00F0463E"/>
    <w:rsid w:val="00F0493D"/>
    <w:rsid w:val="00F05941"/>
    <w:rsid w:val="00F05DFB"/>
    <w:rsid w:val="00F05F10"/>
    <w:rsid w:val="00F11662"/>
    <w:rsid w:val="00F118BC"/>
    <w:rsid w:val="00F12713"/>
    <w:rsid w:val="00F13E5C"/>
    <w:rsid w:val="00F14F62"/>
    <w:rsid w:val="00F165FC"/>
    <w:rsid w:val="00F17FF2"/>
    <w:rsid w:val="00F20F76"/>
    <w:rsid w:val="00F21B11"/>
    <w:rsid w:val="00F22126"/>
    <w:rsid w:val="00F2351D"/>
    <w:rsid w:val="00F24141"/>
    <w:rsid w:val="00F249A3"/>
    <w:rsid w:val="00F25D9B"/>
    <w:rsid w:val="00F26F3D"/>
    <w:rsid w:val="00F32293"/>
    <w:rsid w:val="00F3273E"/>
    <w:rsid w:val="00F33E1A"/>
    <w:rsid w:val="00F34F8D"/>
    <w:rsid w:val="00F35109"/>
    <w:rsid w:val="00F36253"/>
    <w:rsid w:val="00F376A6"/>
    <w:rsid w:val="00F377DD"/>
    <w:rsid w:val="00F40591"/>
    <w:rsid w:val="00F42959"/>
    <w:rsid w:val="00F43870"/>
    <w:rsid w:val="00F45C1E"/>
    <w:rsid w:val="00F466C9"/>
    <w:rsid w:val="00F474C7"/>
    <w:rsid w:val="00F47C81"/>
    <w:rsid w:val="00F52817"/>
    <w:rsid w:val="00F53196"/>
    <w:rsid w:val="00F53425"/>
    <w:rsid w:val="00F54D21"/>
    <w:rsid w:val="00F56132"/>
    <w:rsid w:val="00F5617D"/>
    <w:rsid w:val="00F56EF6"/>
    <w:rsid w:val="00F577AF"/>
    <w:rsid w:val="00F57C9A"/>
    <w:rsid w:val="00F6035C"/>
    <w:rsid w:val="00F62388"/>
    <w:rsid w:val="00F6459B"/>
    <w:rsid w:val="00F64C9F"/>
    <w:rsid w:val="00F65B45"/>
    <w:rsid w:val="00F6612C"/>
    <w:rsid w:val="00F66477"/>
    <w:rsid w:val="00F66F19"/>
    <w:rsid w:val="00F70749"/>
    <w:rsid w:val="00F72623"/>
    <w:rsid w:val="00F7358D"/>
    <w:rsid w:val="00F74633"/>
    <w:rsid w:val="00F74B4F"/>
    <w:rsid w:val="00F7547F"/>
    <w:rsid w:val="00F772E2"/>
    <w:rsid w:val="00F77F43"/>
    <w:rsid w:val="00F80C8B"/>
    <w:rsid w:val="00F80DBD"/>
    <w:rsid w:val="00F80EFA"/>
    <w:rsid w:val="00F81A73"/>
    <w:rsid w:val="00F81B0C"/>
    <w:rsid w:val="00F8242C"/>
    <w:rsid w:val="00F82B23"/>
    <w:rsid w:val="00F8590C"/>
    <w:rsid w:val="00F8788B"/>
    <w:rsid w:val="00F90D40"/>
    <w:rsid w:val="00F9110A"/>
    <w:rsid w:val="00F913F9"/>
    <w:rsid w:val="00F918CD"/>
    <w:rsid w:val="00F919D8"/>
    <w:rsid w:val="00F92339"/>
    <w:rsid w:val="00F928B2"/>
    <w:rsid w:val="00F9380D"/>
    <w:rsid w:val="00F939B4"/>
    <w:rsid w:val="00F93B02"/>
    <w:rsid w:val="00F940EA"/>
    <w:rsid w:val="00F9458F"/>
    <w:rsid w:val="00F957BE"/>
    <w:rsid w:val="00F95D2F"/>
    <w:rsid w:val="00F95FC0"/>
    <w:rsid w:val="00F96FDF"/>
    <w:rsid w:val="00FA0C52"/>
    <w:rsid w:val="00FA1B43"/>
    <w:rsid w:val="00FA2CBF"/>
    <w:rsid w:val="00FA635B"/>
    <w:rsid w:val="00FA646F"/>
    <w:rsid w:val="00FA7EAD"/>
    <w:rsid w:val="00FB0191"/>
    <w:rsid w:val="00FB0582"/>
    <w:rsid w:val="00FB0832"/>
    <w:rsid w:val="00FB200F"/>
    <w:rsid w:val="00FB3697"/>
    <w:rsid w:val="00FB61CF"/>
    <w:rsid w:val="00FB7C2E"/>
    <w:rsid w:val="00FC0A89"/>
    <w:rsid w:val="00FC0DB6"/>
    <w:rsid w:val="00FC2681"/>
    <w:rsid w:val="00FC3209"/>
    <w:rsid w:val="00FC363F"/>
    <w:rsid w:val="00FC3D6B"/>
    <w:rsid w:val="00FC3F0D"/>
    <w:rsid w:val="00FC487C"/>
    <w:rsid w:val="00FC5F86"/>
    <w:rsid w:val="00FC6E3E"/>
    <w:rsid w:val="00FC7703"/>
    <w:rsid w:val="00FD0711"/>
    <w:rsid w:val="00FD0C87"/>
    <w:rsid w:val="00FD30DB"/>
    <w:rsid w:val="00FD3337"/>
    <w:rsid w:val="00FD3C5C"/>
    <w:rsid w:val="00FD3F29"/>
    <w:rsid w:val="00FD45A9"/>
    <w:rsid w:val="00FD68AB"/>
    <w:rsid w:val="00FD712C"/>
    <w:rsid w:val="00FD7D8A"/>
    <w:rsid w:val="00FE1DF8"/>
    <w:rsid w:val="00FE1F1D"/>
    <w:rsid w:val="00FE2302"/>
    <w:rsid w:val="00FE30B4"/>
    <w:rsid w:val="00FE6819"/>
    <w:rsid w:val="00FF3993"/>
    <w:rsid w:val="00FF39A6"/>
    <w:rsid w:val="00FF4D28"/>
    <w:rsid w:val="00FF5533"/>
    <w:rsid w:val="00FF592B"/>
    <w:rsid w:val="00FF597D"/>
    <w:rsid w:val="00FF5A8B"/>
    <w:rsid w:val="00FF6324"/>
    <w:rsid w:val="00FF6555"/>
    <w:rsid w:val="00FF6E16"/>
    <w:rsid w:val="00FF76E5"/>
    <w:rsid w:val="0690B71E"/>
    <w:rsid w:val="094F81B5"/>
    <w:rsid w:val="169E56E5"/>
    <w:rsid w:val="1799FB29"/>
    <w:rsid w:val="1896068E"/>
    <w:rsid w:val="1D962066"/>
    <w:rsid w:val="1DBEAD58"/>
    <w:rsid w:val="22869BC4"/>
    <w:rsid w:val="2EDD91CD"/>
    <w:rsid w:val="2F10F85B"/>
    <w:rsid w:val="2F42146E"/>
    <w:rsid w:val="32DBB981"/>
    <w:rsid w:val="34DA5780"/>
    <w:rsid w:val="3B1A7E62"/>
    <w:rsid w:val="3D5A8B4F"/>
    <w:rsid w:val="3F00464C"/>
    <w:rsid w:val="41613E41"/>
    <w:rsid w:val="441DD31B"/>
    <w:rsid w:val="45E24048"/>
    <w:rsid w:val="49D71222"/>
    <w:rsid w:val="4BE58D7E"/>
    <w:rsid w:val="4CFEDD5D"/>
    <w:rsid w:val="4D92D47D"/>
    <w:rsid w:val="4DE668D6"/>
    <w:rsid w:val="523B9C93"/>
    <w:rsid w:val="612B073A"/>
    <w:rsid w:val="621D001C"/>
    <w:rsid w:val="6BCB3047"/>
    <w:rsid w:val="6E7AC52D"/>
    <w:rsid w:val="6FD657CC"/>
    <w:rsid w:val="71D6A06D"/>
    <w:rsid w:val="7A400374"/>
    <w:rsid w:val="7C587395"/>
    <w:rsid w:val="7F7CEA9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B95D1"/>
  <w15:docId w15:val="{67238AEF-7EE5-4E87-8E6A-F75484834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8" w:unhideWhenUsed="1" w:qFormat="1"/>
    <w:lsdException w:name="heading 6" w:semiHidden="1" w:uiPriority="8" w:unhideWhenUsed="1" w:qFormat="1"/>
    <w:lsdException w:name="heading 7" w:semiHidden="1" w:unhideWhenUsed="1" w:qFormat="1"/>
    <w:lsdException w:name="heading 8" w:semiHidden="1"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29" w:unhideWhenUsed="1"/>
    <w:lsdException w:name="footer" w:semiHidden="1" w:uiPriority="0" w:unhideWhenUsed="1"/>
    <w:lsdException w:name="index heading" w:semiHidden="1" w:unhideWhenUsed="1"/>
    <w:lsdException w:name="caption" w:semiHidden="1" w:uiPriority="49" w:unhideWhenUsed="1" w:qFormat="1"/>
    <w:lsdException w:name="table of figures" w:semiHidden="1" w:uiPriority="40" w:unhideWhenUsed="1"/>
    <w:lsdException w:name="envelope address" w:semiHidden="1" w:uiPriority="69" w:unhideWhenUsed="1"/>
    <w:lsdException w:name="envelope return" w:semiHidden="1" w:uiPriority="6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5" w:qFormat="1"/>
    <w:lsdException w:name="Closing" w:semiHidden="1" w:uiPriority="69" w:unhideWhenUsed="1"/>
    <w:lsdException w:name="Signature" w:semiHidden="1" w:uiPriority="49" w:unhideWhenUsed="1"/>
    <w:lsdException w:name="Default Paragraph Font" w:semiHidden="1" w:uiPriority="1" w:unhideWhenUsed="1"/>
    <w:lsdException w:name="Body Text" w:semiHidden="1" w:uiPriority="69" w:unhideWhenUsed="1"/>
    <w:lsdException w:name="Body Text Indent" w:semiHidden="1" w:uiPriority="6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49" w:unhideWhenUsed="1"/>
    <w:lsdException w:name="Date" w:semiHidden="1" w:uiPriority="69" w:unhideWhenUsed="1"/>
    <w:lsdException w:name="Body Text First Indent" w:semiHidden="1" w:uiPriority="69" w:unhideWhenUsed="1"/>
    <w:lsdException w:name="Body Text First Indent 2" w:semiHidden="1" w:uiPriority="69" w:unhideWhenUsed="1"/>
    <w:lsdException w:name="Note Heading" w:semiHidden="1" w:unhideWhenUsed="1"/>
    <w:lsdException w:name="Body Text 2" w:semiHidden="1" w:uiPriority="69" w:unhideWhenUsed="1"/>
    <w:lsdException w:name="Body Text 3" w:semiHidden="1" w:uiPriority="69" w:unhideWhenUsed="1"/>
    <w:lsdException w:name="Body Text Indent 2" w:semiHidden="1" w:uiPriority="69" w:unhideWhenUsed="1"/>
    <w:lsdException w:name="Body Text Indent 3" w:semiHidden="1" w:uiPriority="6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69" w:qFormat="1"/>
    <w:lsdException w:name="Document Map" w:semiHidden="1" w:uiPriority="69" w:unhideWhenUsed="1"/>
    <w:lsdException w:name="Plain Text" w:semiHidden="1" w:uiPriority="49" w:unhideWhenUsed="1"/>
    <w:lsdException w:name="E-mail Signature" w:semiHidden="1" w:uiPriority="6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6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69"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3B7CFF"/>
    <w:pPr>
      <w:spacing w:after="240"/>
    </w:pPr>
    <w:rPr>
      <w:rFonts w:ascii="Times New Roman" w:eastAsia="Times New Roman" w:hAnsi="Times New Roman" w:cs="Times New Roman"/>
      <w:sz w:val="24"/>
      <w:szCs w:val="24"/>
      <w:lang w:val="en-GB"/>
    </w:rPr>
  </w:style>
  <w:style w:type="paragraph" w:styleId="Heading1">
    <w:name w:val="heading 1"/>
    <w:next w:val="Paragraph"/>
    <w:link w:val="Heading1Char"/>
    <w:uiPriority w:val="4"/>
    <w:qFormat/>
    <w:rsid w:val="003B7CFF"/>
    <w:pPr>
      <w:keepNext/>
      <w:keepLines/>
      <w:numPr>
        <w:numId w:val="3"/>
      </w:numPr>
      <w:spacing w:before="240" w:after="240" w:line="240" w:lineRule="auto"/>
      <w:outlineLvl w:val="0"/>
    </w:pPr>
    <w:rPr>
      <w:rFonts w:ascii="Times New Roman" w:eastAsia="Times New Roman" w:hAnsi="Times New Roman" w:cs="Arial"/>
      <w:b/>
      <w:bCs/>
      <w:caps/>
      <w:kern w:val="32"/>
      <w:sz w:val="28"/>
      <w:szCs w:val="28"/>
      <w:lang w:val="en-GB"/>
    </w:rPr>
  </w:style>
  <w:style w:type="paragraph" w:styleId="Heading2">
    <w:name w:val="heading 2"/>
    <w:next w:val="Paragraph"/>
    <w:link w:val="Heading2Char"/>
    <w:uiPriority w:val="4"/>
    <w:qFormat/>
    <w:rsid w:val="00F02A45"/>
    <w:pPr>
      <w:keepNext/>
      <w:keepLines/>
      <w:numPr>
        <w:ilvl w:val="1"/>
        <w:numId w:val="3"/>
      </w:numPr>
      <w:spacing w:before="60" w:after="120" w:line="240" w:lineRule="auto"/>
      <w:outlineLvl w:val="1"/>
    </w:pPr>
    <w:rPr>
      <w:rFonts w:ascii="Times New Roman" w:eastAsia="Times New Roman" w:hAnsi="Times New Roman" w:cs="Arial"/>
      <w:b/>
      <w:bCs/>
      <w:iCs/>
      <w:sz w:val="24"/>
      <w:szCs w:val="26"/>
      <w:lang w:val="en-GB"/>
    </w:rPr>
  </w:style>
  <w:style w:type="paragraph" w:styleId="Heading3">
    <w:name w:val="heading 3"/>
    <w:next w:val="Paragraph"/>
    <w:link w:val="Heading3Char"/>
    <w:uiPriority w:val="4"/>
    <w:qFormat/>
    <w:rsid w:val="003B7CFF"/>
    <w:pPr>
      <w:keepNext/>
      <w:keepLines/>
      <w:numPr>
        <w:ilvl w:val="2"/>
        <w:numId w:val="3"/>
      </w:numPr>
      <w:spacing w:before="60" w:after="120" w:line="240" w:lineRule="auto"/>
      <w:outlineLvl w:val="2"/>
    </w:pPr>
    <w:rPr>
      <w:rFonts w:ascii="Times New Roman" w:eastAsia="Times New Roman" w:hAnsi="Times New Roman" w:cs="Arial"/>
      <w:b/>
      <w:bCs/>
      <w:sz w:val="26"/>
      <w:szCs w:val="24"/>
      <w:lang w:val="en-GB"/>
    </w:rPr>
  </w:style>
  <w:style w:type="paragraph" w:styleId="Heading4">
    <w:name w:val="heading 4"/>
    <w:next w:val="Paragraph"/>
    <w:link w:val="Heading4Char"/>
    <w:uiPriority w:val="4"/>
    <w:qFormat/>
    <w:rsid w:val="003B7CFF"/>
    <w:pPr>
      <w:keepNext/>
      <w:keepLines/>
      <w:numPr>
        <w:ilvl w:val="3"/>
        <w:numId w:val="3"/>
      </w:numPr>
      <w:spacing w:before="60" w:after="60" w:line="240" w:lineRule="auto"/>
      <w:outlineLvl w:val="3"/>
    </w:pPr>
    <w:rPr>
      <w:rFonts w:ascii="Times New Roman" w:eastAsia="Times New Roman" w:hAnsi="Times New Roman" w:cs="Times New Roman"/>
      <w:b/>
      <w:bCs/>
      <w:sz w:val="24"/>
      <w:lang w:val="en-GB"/>
    </w:rPr>
  </w:style>
  <w:style w:type="paragraph" w:styleId="Heading5">
    <w:name w:val="heading 5"/>
    <w:next w:val="Paragraph"/>
    <w:link w:val="Heading5Char"/>
    <w:uiPriority w:val="8"/>
    <w:qFormat/>
    <w:rsid w:val="003B7CFF"/>
    <w:pPr>
      <w:keepNext/>
      <w:keepLines/>
      <w:numPr>
        <w:ilvl w:val="4"/>
        <w:numId w:val="3"/>
      </w:numPr>
      <w:tabs>
        <w:tab w:val="left" w:pos="1440"/>
      </w:tabs>
      <w:spacing w:before="60" w:after="60" w:line="240" w:lineRule="auto"/>
      <w:outlineLvl w:val="4"/>
    </w:pPr>
    <w:rPr>
      <w:rFonts w:ascii="Times New Roman Bold" w:eastAsia="Times New Roman" w:hAnsi="Times New Roman Bold" w:cs="Arial"/>
      <w:b/>
      <w:bCs/>
      <w:iCs/>
      <w:lang w:val="en-US"/>
    </w:rPr>
  </w:style>
  <w:style w:type="paragraph" w:styleId="Heading6">
    <w:name w:val="heading 6"/>
    <w:next w:val="Paragraph"/>
    <w:link w:val="Heading6Char"/>
    <w:uiPriority w:val="8"/>
    <w:qFormat/>
    <w:rsid w:val="003B7CFF"/>
    <w:pPr>
      <w:keepNext/>
      <w:keepLines/>
      <w:numPr>
        <w:ilvl w:val="5"/>
        <w:numId w:val="3"/>
      </w:numPr>
      <w:tabs>
        <w:tab w:val="left" w:pos="1680"/>
      </w:tabs>
      <w:spacing w:before="60" w:after="60" w:line="240" w:lineRule="auto"/>
      <w:outlineLvl w:val="5"/>
    </w:pPr>
    <w:rPr>
      <w:rFonts w:ascii="Times New Roman" w:eastAsia="Times New Roman" w:hAnsi="Times New Roman" w:cs="Arial"/>
      <w:b/>
      <w:bCs/>
      <w:i/>
      <w:lang w:val="en-US"/>
    </w:rPr>
  </w:style>
  <w:style w:type="paragraph" w:styleId="Heading7">
    <w:name w:val="heading 7"/>
    <w:next w:val="Paragraph"/>
    <w:link w:val="Heading7Char"/>
    <w:uiPriority w:val="99"/>
    <w:semiHidden/>
    <w:qFormat/>
    <w:rsid w:val="003B7CFF"/>
    <w:pPr>
      <w:keepNext/>
      <w:keepLines/>
      <w:numPr>
        <w:ilvl w:val="6"/>
        <w:numId w:val="3"/>
      </w:numPr>
      <w:tabs>
        <w:tab w:val="left" w:pos="1920"/>
      </w:tabs>
      <w:spacing w:after="240" w:line="240" w:lineRule="auto"/>
      <w:outlineLvl w:val="6"/>
    </w:pPr>
    <w:rPr>
      <w:rFonts w:ascii="Times New Roman" w:eastAsia="Times New Roman" w:hAnsi="Times New Roman" w:cs="Arial"/>
      <w:i/>
      <w:sz w:val="24"/>
      <w:szCs w:val="24"/>
      <w:lang w:val="en-US"/>
    </w:rPr>
  </w:style>
  <w:style w:type="paragraph" w:styleId="Heading8">
    <w:name w:val="heading 8"/>
    <w:next w:val="Paragraph"/>
    <w:link w:val="Heading8Char"/>
    <w:uiPriority w:val="99"/>
    <w:semiHidden/>
    <w:qFormat/>
    <w:rsid w:val="003B7CFF"/>
    <w:pPr>
      <w:keepNext/>
      <w:keepLines/>
      <w:numPr>
        <w:ilvl w:val="7"/>
        <w:numId w:val="3"/>
      </w:numPr>
      <w:tabs>
        <w:tab w:val="left" w:pos="2160"/>
      </w:tabs>
      <w:spacing w:after="240" w:line="240" w:lineRule="auto"/>
      <w:outlineLvl w:val="7"/>
    </w:pPr>
    <w:rPr>
      <w:rFonts w:ascii="Times New Roman" w:eastAsia="Times New Roman" w:hAnsi="Times New Roman" w:cs="Arial"/>
      <w:i/>
      <w:iCs/>
      <w:sz w:val="24"/>
      <w:szCs w:val="24"/>
      <w:lang w:val="en-US"/>
    </w:rPr>
  </w:style>
  <w:style w:type="paragraph" w:styleId="Heading9">
    <w:name w:val="heading 9"/>
    <w:aliases w:val="-References"/>
    <w:next w:val="Paragraph"/>
    <w:link w:val="Heading9Char"/>
    <w:uiPriority w:val="7"/>
    <w:qFormat/>
    <w:rsid w:val="003B7CFF"/>
    <w:pPr>
      <w:keepNext/>
      <w:keepLines/>
      <w:numPr>
        <w:ilvl w:val="8"/>
        <w:numId w:val="3"/>
      </w:numPr>
      <w:spacing w:before="120" w:after="0" w:line="240" w:lineRule="auto"/>
      <w:outlineLvl w:val="8"/>
    </w:pPr>
    <w:rPr>
      <w:rFonts w:ascii="Times New Roman" w:eastAsia="Times New Roman" w:hAnsi="Times New Roman"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3B7CFF"/>
    <w:rPr>
      <w:rFonts w:ascii="Times New Roman" w:eastAsia="Times New Roman" w:hAnsi="Times New Roman" w:cs="Arial"/>
      <w:b/>
      <w:bCs/>
      <w:caps/>
      <w:kern w:val="32"/>
      <w:sz w:val="28"/>
      <w:szCs w:val="28"/>
      <w:lang w:val="en-GB"/>
    </w:rPr>
  </w:style>
  <w:style w:type="character" w:customStyle="1" w:styleId="Heading2Char">
    <w:name w:val="Heading 2 Char"/>
    <w:basedOn w:val="DefaultParagraphFont"/>
    <w:link w:val="Heading2"/>
    <w:uiPriority w:val="4"/>
    <w:rsid w:val="00F02A45"/>
    <w:rPr>
      <w:rFonts w:ascii="Times New Roman" w:eastAsia="Times New Roman" w:hAnsi="Times New Roman" w:cs="Arial"/>
      <w:b/>
      <w:bCs/>
      <w:iCs/>
      <w:sz w:val="24"/>
      <w:szCs w:val="26"/>
      <w:lang w:val="en-GB"/>
    </w:rPr>
  </w:style>
  <w:style w:type="character" w:customStyle="1" w:styleId="Heading3Char">
    <w:name w:val="Heading 3 Char"/>
    <w:basedOn w:val="DefaultParagraphFont"/>
    <w:link w:val="Heading3"/>
    <w:uiPriority w:val="4"/>
    <w:rsid w:val="003B7CFF"/>
    <w:rPr>
      <w:rFonts w:ascii="Times New Roman" w:eastAsia="Times New Roman" w:hAnsi="Times New Roman" w:cs="Arial"/>
      <w:b/>
      <w:bCs/>
      <w:sz w:val="26"/>
      <w:szCs w:val="24"/>
      <w:lang w:val="en-GB"/>
    </w:rPr>
  </w:style>
  <w:style w:type="character" w:customStyle="1" w:styleId="Heading4Char">
    <w:name w:val="Heading 4 Char"/>
    <w:basedOn w:val="DefaultParagraphFont"/>
    <w:link w:val="Heading4"/>
    <w:uiPriority w:val="4"/>
    <w:rsid w:val="003B7CFF"/>
    <w:rPr>
      <w:rFonts w:ascii="Times New Roman" w:eastAsia="Times New Roman" w:hAnsi="Times New Roman" w:cs="Times New Roman"/>
      <w:b/>
      <w:bCs/>
      <w:sz w:val="24"/>
      <w:lang w:val="en-GB"/>
    </w:rPr>
  </w:style>
  <w:style w:type="character" w:customStyle="1" w:styleId="Heading5Char">
    <w:name w:val="Heading 5 Char"/>
    <w:basedOn w:val="DefaultParagraphFont"/>
    <w:link w:val="Heading5"/>
    <w:uiPriority w:val="8"/>
    <w:rsid w:val="003B7CFF"/>
    <w:rPr>
      <w:rFonts w:ascii="Times New Roman Bold" w:eastAsia="Times New Roman" w:hAnsi="Times New Roman Bold" w:cs="Arial"/>
      <w:b/>
      <w:bCs/>
      <w:iCs/>
      <w:lang w:val="en-US"/>
    </w:rPr>
  </w:style>
  <w:style w:type="character" w:customStyle="1" w:styleId="Heading6Char">
    <w:name w:val="Heading 6 Char"/>
    <w:basedOn w:val="DefaultParagraphFont"/>
    <w:link w:val="Heading6"/>
    <w:uiPriority w:val="8"/>
    <w:rsid w:val="003B7CFF"/>
    <w:rPr>
      <w:rFonts w:ascii="Times New Roman" w:eastAsia="Times New Roman" w:hAnsi="Times New Roman" w:cs="Arial"/>
      <w:b/>
      <w:bCs/>
      <w:i/>
      <w:lang w:val="en-US"/>
    </w:rPr>
  </w:style>
  <w:style w:type="character" w:customStyle="1" w:styleId="Heading7Char">
    <w:name w:val="Heading 7 Char"/>
    <w:basedOn w:val="DefaultParagraphFont"/>
    <w:link w:val="Heading7"/>
    <w:uiPriority w:val="99"/>
    <w:semiHidden/>
    <w:rsid w:val="003B7CFF"/>
    <w:rPr>
      <w:rFonts w:ascii="Times New Roman" w:eastAsia="Times New Roman" w:hAnsi="Times New Roman" w:cs="Arial"/>
      <w:i/>
      <w:sz w:val="24"/>
      <w:szCs w:val="24"/>
      <w:lang w:val="en-US"/>
    </w:rPr>
  </w:style>
  <w:style w:type="character" w:customStyle="1" w:styleId="Heading8Char">
    <w:name w:val="Heading 8 Char"/>
    <w:basedOn w:val="DefaultParagraphFont"/>
    <w:link w:val="Heading8"/>
    <w:uiPriority w:val="99"/>
    <w:semiHidden/>
    <w:rsid w:val="003B7CFF"/>
    <w:rPr>
      <w:rFonts w:ascii="Times New Roman" w:eastAsia="Times New Roman" w:hAnsi="Times New Roman" w:cs="Arial"/>
      <w:i/>
      <w:iCs/>
      <w:sz w:val="24"/>
      <w:szCs w:val="24"/>
      <w:lang w:val="en-US"/>
    </w:rPr>
  </w:style>
  <w:style w:type="character" w:customStyle="1" w:styleId="Heading9Char">
    <w:name w:val="Heading 9 Char"/>
    <w:aliases w:val="-References Char"/>
    <w:basedOn w:val="DefaultParagraphFont"/>
    <w:link w:val="Heading9"/>
    <w:uiPriority w:val="7"/>
    <w:rsid w:val="003B7CFF"/>
    <w:rPr>
      <w:rFonts w:ascii="Times New Roman" w:eastAsia="Times New Roman" w:hAnsi="Times New Roman" w:cs="Arial"/>
      <w:b/>
      <w:szCs w:val="24"/>
      <w:lang w:val="en-GB"/>
    </w:rPr>
  </w:style>
  <w:style w:type="paragraph" w:styleId="ListParagraph">
    <w:name w:val="List Paragraph"/>
    <w:basedOn w:val="Normal"/>
    <w:uiPriority w:val="34"/>
    <w:qFormat/>
    <w:rsid w:val="003B7CFF"/>
    <w:pPr>
      <w:contextualSpacing/>
    </w:pPr>
  </w:style>
  <w:style w:type="character" w:styleId="CommentReference">
    <w:name w:val="annotation reference"/>
    <w:uiPriority w:val="99"/>
    <w:rsid w:val="003B7CFF"/>
    <w:rPr>
      <w:sz w:val="16"/>
      <w:szCs w:val="16"/>
    </w:rPr>
  </w:style>
  <w:style w:type="paragraph" w:styleId="CommentText">
    <w:name w:val="annotation text"/>
    <w:aliases w:val="Annotationtext,Comment Text Char1 Char,Comment Text Char Char Char,Comment Text Char1,Comment Text Char Char,Comment Text Char Char1,- H19"/>
    <w:basedOn w:val="Normal"/>
    <w:link w:val="CommentTextChar"/>
    <w:uiPriority w:val="99"/>
    <w:qFormat/>
    <w:rsid w:val="003B7CFF"/>
    <w:rPr>
      <w:sz w:val="20"/>
      <w:szCs w:val="20"/>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
    <w:basedOn w:val="DefaultParagraphFont"/>
    <w:link w:val="CommentText"/>
    <w:uiPriority w:val="99"/>
    <w:rsid w:val="003B7CFF"/>
    <w:rPr>
      <w:rFonts w:ascii="Times New Roman" w:eastAsia="Times New Roman" w:hAnsi="Times New Roman" w:cs="Times New Roman"/>
      <w:sz w:val="20"/>
      <w:szCs w:val="20"/>
      <w:lang w:val="en-GB"/>
    </w:rPr>
  </w:style>
  <w:style w:type="paragraph" w:styleId="FootnoteText">
    <w:name w:val="footnote text"/>
    <w:basedOn w:val="Normal"/>
    <w:link w:val="FootnoteTextChar"/>
    <w:uiPriority w:val="99"/>
    <w:rsid w:val="003B7CFF"/>
    <w:rPr>
      <w:sz w:val="20"/>
      <w:szCs w:val="20"/>
    </w:rPr>
  </w:style>
  <w:style w:type="character" w:customStyle="1" w:styleId="FootnoteTextChar">
    <w:name w:val="Footnote Text Char"/>
    <w:basedOn w:val="DefaultParagraphFont"/>
    <w:link w:val="FootnoteText"/>
    <w:uiPriority w:val="99"/>
    <w:rsid w:val="003B7CFF"/>
    <w:rPr>
      <w:rFonts w:ascii="Times New Roman" w:eastAsia="Times New Roman" w:hAnsi="Times New Roman" w:cs="Times New Roman"/>
      <w:sz w:val="20"/>
      <w:szCs w:val="20"/>
      <w:lang w:val="en-GB"/>
    </w:rPr>
  </w:style>
  <w:style w:type="character" w:styleId="FootnoteReference">
    <w:name w:val="footnote reference"/>
    <w:uiPriority w:val="99"/>
    <w:rsid w:val="003B7CFF"/>
    <w:rPr>
      <w:vertAlign w:val="superscript"/>
    </w:rPr>
  </w:style>
  <w:style w:type="paragraph" w:styleId="ListBullet">
    <w:name w:val="List Bullet"/>
    <w:uiPriority w:val="9"/>
    <w:qFormat/>
    <w:rsid w:val="003B7CFF"/>
    <w:pPr>
      <w:numPr>
        <w:numId w:val="6"/>
      </w:numPr>
      <w:spacing w:before="60" w:after="60" w:line="240" w:lineRule="auto"/>
    </w:pPr>
    <w:rPr>
      <w:rFonts w:ascii="Times New Roman" w:eastAsia="Times New Roman" w:hAnsi="Times New Roman" w:cs="Times New Roman"/>
      <w:sz w:val="24"/>
      <w:szCs w:val="20"/>
      <w:lang w:val="en-GB"/>
    </w:rPr>
  </w:style>
  <w:style w:type="character" w:styleId="Hyperlink">
    <w:name w:val="Hyperlink"/>
    <w:uiPriority w:val="99"/>
    <w:rsid w:val="003B7CFF"/>
    <w:rPr>
      <w:color w:val="0000FF"/>
      <w:u w:val="non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Header"/>
    <w:link w:val="FooterChar"/>
    <w:rsid w:val="003B7CFF"/>
  </w:style>
  <w:style w:type="character" w:customStyle="1" w:styleId="FooterChar">
    <w:name w:val="Footer Char"/>
    <w:basedOn w:val="DefaultParagraphFont"/>
    <w:link w:val="Footer"/>
    <w:rsid w:val="003B7CF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69"/>
    <w:semiHidden/>
    <w:rsid w:val="003B7CFF"/>
    <w:rPr>
      <w:rFonts w:ascii="Arial Narrow" w:hAnsi="Arial Narrow" w:cs="Tahoma"/>
      <w:sz w:val="18"/>
      <w:szCs w:val="16"/>
    </w:rPr>
  </w:style>
  <w:style w:type="character" w:customStyle="1" w:styleId="BalloonTextChar">
    <w:name w:val="Balloon Text Char"/>
    <w:basedOn w:val="DefaultParagraphFont"/>
    <w:link w:val="BalloonText"/>
    <w:uiPriority w:val="69"/>
    <w:semiHidden/>
    <w:rsid w:val="003B7CFF"/>
    <w:rPr>
      <w:rFonts w:ascii="Arial Narrow" w:eastAsia="Times New Roman" w:hAnsi="Arial Narrow" w:cs="Tahoma"/>
      <w:sz w:val="18"/>
      <w:szCs w:val="16"/>
      <w:lang w:val="en-GB"/>
    </w:rPr>
  </w:style>
  <w:style w:type="paragraph" w:customStyle="1" w:styleId="AppendixNumeric">
    <w:name w:val="Appendix Numeric"/>
    <w:next w:val="Paragraph"/>
    <w:uiPriority w:val="20"/>
    <w:qFormat/>
    <w:rsid w:val="003B7CFF"/>
    <w:pPr>
      <w:pageBreakBefore/>
      <w:numPr>
        <w:numId w:val="1"/>
      </w:numPr>
      <w:spacing w:after="160" w:line="240" w:lineRule="auto"/>
    </w:pPr>
    <w:rPr>
      <w:rFonts w:ascii="Times New Roman" w:eastAsia="Times New Roman" w:hAnsi="Times New Roman" w:cs="Arial"/>
      <w:b/>
      <w:iCs/>
      <w:snapToGrid w:val="0"/>
      <w:sz w:val="28"/>
      <w:szCs w:val="26"/>
      <w:lang w:val="sv-SE"/>
    </w:rPr>
  </w:style>
  <w:style w:type="paragraph" w:customStyle="1" w:styleId="AppendixAlpha">
    <w:name w:val="Appendix Alpha"/>
    <w:basedOn w:val="AppendixNumeric"/>
    <w:next w:val="Paragraph"/>
    <w:uiPriority w:val="21"/>
    <w:qFormat/>
    <w:rsid w:val="003B7CFF"/>
    <w:pPr>
      <w:keepNext/>
      <w:keepLines/>
      <w:numPr>
        <w:numId w:val="2"/>
      </w:numPr>
    </w:pPr>
  </w:style>
  <w:style w:type="table" w:customStyle="1" w:styleId="PlainTable11">
    <w:name w:val="Plain Table 11"/>
    <w:basedOn w:val="TableNormal"/>
    <w:uiPriority w:val="41"/>
    <w:rsid w:val="00EE3A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E3A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roval">
    <w:name w:val="Approval"/>
    <w:basedOn w:val="Paragraph"/>
    <w:uiPriority w:val="24"/>
    <w:rsid w:val="003B7CFF"/>
  </w:style>
  <w:style w:type="paragraph" w:styleId="BodyText">
    <w:name w:val="Body Text"/>
    <w:basedOn w:val="Normal"/>
    <w:link w:val="BodyTextChar"/>
    <w:uiPriority w:val="69"/>
    <w:semiHidden/>
    <w:rsid w:val="003B7CFF"/>
    <w:pPr>
      <w:spacing w:after="120"/>
    </w:pPr>
  </w:style>
  <w:style w:type="character" w:customStyle="1" w:styleId="BodyTextChar">
    <w:name w:val="Body Text Char"/>
    <w:basedOn w:val="DefaultParagraphFont"/>
    <w:link w:val="BodyText"/>
    <w:uiPriority w:val="69"/>
    <w:semiHidden/>
    <w:rsid w:val="003B7CFF"/>
    <w:rPr>
      <w:rFonts w:ascii="Times New Roman" w:eastAsia="Times New Roman" w:hAnsi="Times New Roman" w:cs="Times New Roman"/>
      <w:sz w:val="24"/>
      <w:szCs w:val="24"/>
      <w:lang w:val="en-GB"/>
    </w:rPr>
  </w:style>
  <w:style w:type="paragraph" w:styleId="BodyText2">
    <w:name w:val="Body Text 2"/>
    <w:basedOn w:val="Normal"/>
    <w:link w:val="BodyText2Char"/>
    <w:uiPriority w:val="69"/>
    <w:semiHidden/>
    <w:rsid w:val="003B7CFF"/>
    <w:pPr>
      <w:spacing w:after="120" w:line="480" w:lineRule="auto"/>
    </w:pPr>
  </w:style>
  <w:style w:type="character" w:customStyle="1" w:styleId="BodyText2Char">
    <w:name w:val="Body Text 2 Char"/>
    <w:basedOn w:val="DefaultParagraphFont"/>
    <w:link w:val="BodyText2"/>
    <w:uiPriority w:val="69"/>
    <w:semiHidden/>
    <w:rsid w:val="003B7CFF"/>
    <w:rPr>
      <w:rFonts w:ascii="Times New Roman" w:eastAsia="Times New Roman" w:hAnsi="Times New Roman" w:cs="Times New Roman"/>
      <w:sz w:val="24"/>
      <w:szCs w:val="24"/>
      <w:lang w:val="en-GB"/>
    </w:rPr>
  </w:style>
  <w:style w:type="paragraph" w:styleId="BodyText3">
    <w:name w:val="Body Text 3"/>
    <w:basedOn w:val="Normal"/>
    <w:link w:val="BodyText3Char"/>
    <w:uiPriority w:val="69"/>
    <w:semiHidden/>
    <w:rsid w:val="003B7CFF"/>
    <w:pPr>
      <w:spacing w:after="120"/>
    </w:pPr>
    <w:rPr>
      <w:sz w:val="16"/>
      <w:szCs w:val="16"/>
    </w:rPr>
  </w:style>
  <w:style w:type="character" w:customStyle="1" w:styleId="BodyText3Char">
    <w:name w:val="Body Text 3 Char"/>
    <w:basedOn w:val="DefaultParagraphFont"/>
    <w:link w:val="BodyText3"/>
    <w:uiPriority w:val="69"/>
    <w:semiHidden/>
    <w:rsid w:val="003B7CFF"/>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69"/>
    <w:semiHidden/>
    <w:rsid w:val="003B7CFF"/>
    <w:pPr>
      <w:ind w:firstLine="210"/>
    </w:pPr>
  </w:style>
  <w:style w:type="character" w:customStyle="1" w:styleId="BodyTextFirstIndentChar">
    <w:name w:val="Body Text First Indent Char"/>
    <w:basedOn w:val="BodyTextChar"/>
    <w:link w:val="BodyTextFirstIndent"/>
    <w:uiPriority w:val="69"/>
    <w:semiHidden/>
    <w:rsid w:val="003B7CFF"/>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69"/>
    <w:semiHidden/>
    <w:rsid w:val="003B7CFF"/>
    <w:pPr>
      <w:spacing w:after="120"/>
      <w:ind w:left="360"/>
    </w:pPr>
  </w:style>
  <w:style w:type="character" w:customStyle="1" w:styleId="BodyTextIndentChar">
    <w:name w:val="Body Text Indent Char"/>
    <w:basedOn w:val="DefaultParagraphFont"/>
    <w:link w:val="BodyTextIndent"/>
    <w:uiPriority w:val="69"/>
    <w:semiHidden/>
    <w:rsid w:val="003B7CFF"/>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uiPriority w:val="69"/>
    <w:semiHidden/>
    <w:rsid w:val="003B7CFF"/>
    <w:pPr>
      <w:ind w:firstLine="210"/>
    </w:pPr>
  </w:style>
  <w:style w:type="character" w:customStyle="1" w:styleId="BodyTextFirstIndent2Char">
    <w:name w:val="Body Text First Indent 2 Char"/>
    <w:basedOn w:val="BodyTextIndentChar"/>
    <w:link w:val="BodyTextFirstIndent2"/>
    <w:uiPriority w:val="69"/>
    <w:semiHidden/>
    <w:rsid w:val="003B7CFF"/>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69"/>
    <w:semiHidden/>
    <w:rsid w:val="003B7CFF"/>
    <w:pPr>
      <w:spacing w:after="120" w:line="480" w:lineRule="auto"/>
      <w:ind w:left="360"/>
    </w:pPr>
  </w:style>
  <w:style w:type="character" w:customStyle="1" w:styleId="BodyTextIndent2Char">
    <w:name w:val="Body Text Indent 2 Char"/>
    <w:basedOn w:val="DefaultParagraphFont"/>
    <w:link w:val="BodyTextIndent2"/>
    <w:uiPriority w:val="69"/>
    <w:semiHidden/>
    <w:rsid w:val="003B7CFF"/>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69"/>
    <w:semiHidden/>
    <w:rsid w:val="003B7CFF"/>
    <w:pPr>
      <w:spacing w:after="120"/>
      <w:ind w:left="360"/>
    </w:pPr>
    <w:rPr>
      <w:sz w:val="16"/>
      <w:szCs w:val="16"/>
    </w:rPr>
  </w:style>
  <w:style w:type="character" w:customStyle="1" w:styleId="BodyTextIndent3Char">
    <w:name w:val="Body Text Indent 3 Char"/>
    <w:basedOn w:val="DefaultParagraphFont"/>
    <w:link w:val="BodyTextIndent3"/>
    <w:uiPriority w:val="69"/>
    <w:semiHidden/>
    <w:rsid w:val="003B7CFF"/>
    <w:rPr>
      <w:rFonts w:ascii="Times New Roman" w:eastAsia="Times New Roman" w:hAnsi="Times New Roman" w:cs="Times New Roman"/>
      <w:sz w:val="16"/>
      <w:szCs w:val="16"/>
      <w:lang w:val="en-GB"/>
    </w:rPr>
  </w:style>
  <w:style w:type="numbering" w:styleId="111111">
    <w:name w:val="Outline List 2"/>
    <w:basedOn w:val="NoList"/>
    <w:uiPriority w:val="99"/>
    <w:semiHidden/>
    <w:unhideWhenUsed/>
    <w:rsid w:val="003B7CFF"/>
    <w:pPr>
      <w:numPr>
        <w:numId w:val="8"/>
      </w:numPr>
    </w:pPr>
  </w:style>
  <w:style w:type="numbering" w:styleId="1ai">
    <w:name w:val="Outline List 1"/>
    <w:basedOn w:val="NoList"/>
    <w:uiPriority w:val="99"/>
    <w:semiHidden/>
    <w:unhideWhenUsed/>
    <w:rsid w:val="003B7CFF"/>
    <w:pPr>
      <w:numPr>
        <w:numId w:val="9"/>
      </w:numPr>
    </w:pPr>
  </w:style>
  <w:style w:type="numbering" w:styleId="ArticleSection">
    <w:name w:val="Outline List 3"/>
    <w:basedOn w:val="NoList"/>
    <w:uiPriority w:val="99"/>
    <w:semiHidden/>
    <w:unhideWhenUsed/>
    <w:rsid w:val="003B7CFF"/>
    <w:pPr>
      <w:numPr>
        <w:numId w:val="10"/>
      </w:numPr>
    </w:pPr>
  </w:style>
  <w:style w:type="paragraph" w:styleId="Closing">
    <w:name w:val="Closing"/>
    <w:basedOn w:val="Normal"/>
    <w:link w:val="ClosingChar"/>
    <w:uiPriority w:val="69"/>
    <w:semiHidden/>
    <w:rsid w:val="003B7CFF"/>
    <w:pPr>
      <w:ind w:left="4320"/>
    </w:pPr>
  </w:style>
  <w:style w:type="character" w:customStyle="1" w:styleId="ClosingChar">
    <w:name w:val="Closing Char"/>
    <w:basedOn w:val="DefaultParagraphFont"/>
    <w:link w:val="Closing"/>
    <w:uiPriority w:val="69"/>
    <w:semiHidden/>
    <w:rsid w:val="003B7CFF"/>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69"/>
    <w:semiHidden/>
    <w:rsid w:val="003B7CFF"/>
    <w:rPr>
      <w:b/>
      <w:bCs/>
    </w:rPr>
  </w:style>
  <w:style w:type="character" w:customStyle="1" w:styleId="CommentSubjectChar">
    <w:name w:val="Comment Subject Char"/>
    <w:basedOn w:val="CommentTextChar"/>
    <w:link w:val="CommentSubject"/>
    <w:uiPriority w:val="69"/>
    <w:semiHidden/>
    <w:rsid w:val="003B7CFF"/>
    <w:rPr>
      <w:rFonts w:ascii="Times New Roman" w:eastAsia="Times New Roman" w:hAnsi="Times New Roman" w:cs="Times New Roman"/>
      <w:b/>
      <w:bCs/>
      <w:sz w:val="20"/>
      <w:szCs w:val="20"/>
      <w:lang w:val="en-GB"/>
    </w:rPr>
  </w:style>
  <w:style w:type="paragraph" w:customStyle="1" w:styleId="Confidentiality">
    <w:name w:val="Confidentiality"/>
    <w:uiPriority w:val="24"/>
    <w:rsid w:val="003B7CFF"/>
    <w:pPr>
      <w:spacing w:after="0" w:line="240" w:lineRule="auto"/>
    </w:pPr>
    <w:rPr>
      <w:rFonts w:ascii="Times New Roman" w:eastAsia="Times New Roman" w:hAnsi="Times New Roman" w:cs="Times New Roman"/>
      <w:sz w:val="24"/>
      <w:szCs w:val="20"/>
      <w:lang w:val="en-GB"/>
    </w:rPr>
  </w:style>
  <w:style w:type="paragraph" w:styleId="Date">
    <w:name w:val="Date"/>
    <w:basedOn w:val="Normal"/>
    <w:next w:val="Normal"/>
    <w:link w:val="DateChar"/>
    <w:uiPriority w:val="69"/>
    <w:semiHidden/>
    <w:rsid w:val="003B7CFF"/>
  </w:style>
  <w:style w:type="character" w:customStyle="1" w:styleId="DateChar">
    <w:name w:val="Date Char"/>
    <w:basedOn w:val="DefaultParagraphFont"/>
    <w:link w:val="Date"/>
    <w:uiPriority w:val="69"/>
    <w:semiHidden/>
    <w:rsid w:val="003B7CFF"/>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69"/>
    <w:semiHidden/>
    <w:rsid w:val="003B7CFF"/>
    <w:pPr>
      <w:shd w:val="clear" w:color="auto" w:fill="000080"/>
    </w:pPr>
    <w:rPr>
      <w:rFonts w:ascii="Tahoma" w:hAnsi="Tahoma" w:cs="Tahoma"/>
    </w:rPr>
  </w:style>
  <w:style w:type="character" w:customStyle="1" w:styleId="DocumentMapChar">
    <w:name w:val="Document Map Char"/>
    <w:basedOn w:val="DefaultParagraphFont"/>
    <w:link w:val="DocumentMap"/>
    <w:uiPriority w:val="69"/>
    <w:semiHidden/>
    <w:rsid w:val="003B7CFF"/>
    <w:rPr>
      <w:rFonts w:ascii="Tahoma" w:eastAsia="Times New Roman" w:hAnsi="Tahoma" w:cs="Tahoma"/>
      <w:sz w:val="24"/>
      <w:szCs w:val="24"/>
      <w:shd w:val="clear" w:color="auto" w:fill="000080"/>
      <w:lang w:val="en-GB"/>
    </w:rPr>
  </w:style>
  <w:style w:type="paragraph" w:styleId="E-mailSignature">
    <w:name w:val="E-mail Signature"/>
    <w:basedOn w:val="Normal"/>
    <w:link w:val="E-mailSignatureChar"/>
    <w:uiPriority w:val="69"/>
    <w:semiHidden/>
    <w:rsid w:val="003B7CFF"/>
  </w:style>
  <w:style w:type="character" w:customStyle="1" w:styleId="E-mailSignatureChar">
    <w:name w:val="E-mail Signature Char"/>
    <w:basedOn w:val="DefaultParagraphFont"/>
    <w:link w:val="E-mailSignature"/>
    <w:uiPriority w:val="69"/>
    <w:semiHidden/>
    <w:rsid w:val="003B7CFF"/>
    <w:rPr>
      <w:rFonts w:ascii="Times New Roman" w:eastAsia="Times New Roman" w:hAnsi="Times New Roman" w:cs="Times New Roman"/>
      <w:sz w:val="24"/>
      <w:szCs w:val="24"/>
      <w:lang w:val="en-GB"/>
    </w:rPr>
  </w:style>
  <w:style w:type="character" w:styleId="Emphasis">
    <w:name w:val="Emphasis"/>
    <w:uiPriority w:val="69"/>
    <w:qFormat/>
    <w:rsid w:val="003B7CFF"/>
    <w:rPr>
      <w:i/>
      <w:iCs/>
    </w:rPr>
  </w:style>
  <w:style w:type="character" w:styleId="EndnoteReference">
    <w:name w:val="endnote reference"/>
    <w:uiPriority w:val="99"/>
    <w:rsid w:val="003B7CFF"/>
    <w:rPr>
      <w:vertAlign w:val="superscript"/>
    </w:rPr>
  </w:style>
  <w:style w:type="paragraph" w:styleId="EndnoteText">
    <w:name w:val="endnote text"/>
    <w:basedOn w:val="Normal"/>
    <w:link w:val="EndnoteTextChar"/>
    <w:uiPriority w:val="99"/>
    <w:rsid w:val="003B7CFF"/>
    <w:rPr>
      <w:sz w:val="20"/>
      <w:szCs w:val="20"/>
    </w:rPr>
  </w:style>
  <w:style w:type="character" w:customStyle="1" w:styleId="EndnoteTextChar">
    <w:name w:val="Endnote Text Char"/>
    <w:basedOn w:val="DefaultParagraphFont"/>
    <w:link w:val="EndnoteText"/>
    <w:uiPriority w:val="99"/>
    <w:rsid w:val="003B7CFF"/>
    <w:rPr>
      <w:rFonts w:ascii="Times New Roman" w:eastAsia="Times New Roman" w:hAnsi="Times New Roman" w:cs="Times New Roman"/>
      <w:sz w:val="20"/>
      <w:szCs w:val="20"/>
      <w:lang w:val="en-GB"/>
    </w:rPr>
  </w:style>
  <w:style w:type="paragraph" w:styleId="EnvelopeAddress">
    <w:name w:val="envelope address"/>
    <w:basedOn w:val="Normal"/>
    <w:uiPriority w:val="69"/>
    <w:semiHidden/>
    <w:rsid w:val="003B7CFF"/>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69"/>
    <w:semiHidden/>
    <w:rsid w:val="003B7CFF"/>
    <w:rPr>
      <w:rFonts w:ascii="Arial" w:hAnsi="Arial" w:cs="Arial"/>
      <w:sz w:val="20"/>
      <w:szCs w:val="20"/>
    </w:rPr>
  </w:style>
  <w:style w:type="paragraph" w:customStyle="1" w:styleId="Equation">
    <w:name w:val="Equation"/>
    <w:next w:val="Paragraph"/>
    <w:uiPriority w:val="19"/>
    <w:rsid w:val="003B7CFF"/>
    <w:pPr>
      <w:keepLines/>
      <w:spacing w:after="120" w:line="240" w:lineRule="auto"/>
      <w:jc w:val="center"/>
    </w:pPr>
    <w:rPr>
      <w:rFonts w:ascii="Times New Roman" w:eastAsia="Times New Roman" w:hAnsi="Times New Roman" w:cs="Times New Roman"/>
      <w:color w:val="000000"/>
      <w:sz w:val="24"/>
      <w:szCs w:val="24"/>
      <w:lang w:val="en-US"/>
    </w:rPr>
  </w:style>
  <w:style w:type="paragraph" w:customStyle="1" w:styleId="EquationTitle">
    <w:name w:val="Equation Title"/>
    <w:next w:val="Equation"/>
    <w:uiPriority w:val="19"/>
    <w:rsid w:val="003B7CFF"/>
    <w:pPr>
      <w:keepNext/>
      <w:keepLines/>
      <w:spacing w:after="120" w:line="240" w:lineRule="auto"/>
      <w:ind w:left="1134" w:hanging="1134"/>
    </w:pPr>
    <w:rPr>
      <w:rFonts w:ascii="Times New Roman" w:eastAsia="Times New Roman" w:hAnsi="Times New Roman" w:cs="Times New Roman"/>
      <w:b/>
      <w:color w:val="000000"/>
      <w:sz w:val="24"/>
      <w:szCs w:val="24"/>
      <w:lang w:val="en-US"/>
    </w:rPr>
  </w:style>
  <w:style w:type="paragraph" w:customStyle="1" w:styleId="Figure">
    <w:name w:val="Figure"/>
    <w:next w:val="Paragraph"/>
    <w:uiPriority w:val="17"/>
    <w:rsid w:val="003B7CFF"/>
    <w:pPr>
      <w:spacing w:after="240" w:line="240" w:lineRule="auto"/>
      <w:jc w:val="center"/>
    </w:pPr>
    <w:rPr>
      <w:rFonts w:ascii="Times New Roman" w:eastAsia="Times New Roman" w:hAnsi="Times New Roman" w:cs="Times New Roman"/>
      <w:sz w:val="24"/>
      <w:szCs w:val="20"/>
      <w:lang w:val="en-GB"/>
    </w:rPr>
  </w:style>
  <w:style w:type="paragraph" w:customStyle="1" w:styleId="FigureEndofTextTitle">
    <w:name w:val="Figure End of Text Title"/>
    <w:next w:val="Figure"/>
    <w:uiPriority w:val="18"/>
    <w:rsid w:val="003B7CFF"/>
    <w:pPr>
      <w:spacing w:after="120" w:line="240" w:lineRule="auto"/>
    </w:pPr>
    <w:rPr>
      <w:rFonts w:ascii="Times New Roman" w:eastAsia="Times New Roman" w:hAnsi="Times New Roman" w:cs="Arial"/>
      <w:b/>
      <w:bCs/>
      <w:iCs/>
      <w:sz w:val="24"/>
      <w:szCs w:val="48"/>
      <w:lang w:val="en-GB"/>
    </w:rPr>
  </w:style>
  <w:style w:type="paragraph" w:customStyle="1" w:styleId="TableTitle">
    <w:name w:val="Table Title"/>
    <w:next w:val="Paragraph"/>
    <w:uiPriority w:val="10"/>
    <w:qFormat/>
    <w:rsid w:val="00A3510E"/>
    <w:pPr>
      <w:keepNext/>
      <w:keepLines/>
      <w:tabs>
        <w:tab w:val="left" w:pos="1701"/>
      </w:tabs>
      <w:spacing w:after="120" w:line="240" w:lineRule="auto"/>
      <w:ind w:left="1701" w:hanging="1701"/>
    </w:pPr>
    <w:rPr>
      <w:rFonts w:ascii="Times New Roman" w:eastAsia="Times New Roman" w:hAnsi="Times New Roman" w:cs="Times New Roman"/>
      <w:b/>
      <w:color w:val="000000"/>
      <w:sz w:val="24"/>
      <w:szCs w:val="24"/>
      <w:lang w:val="en-GB"/>
    </w:rPr>
  </w:style>
  <w:style w:type="paragraph" w:customStyle="1" w:styleId="FigureTitle">
    <w:name w:val="Figure Title"/>
    <w:basedOn w:val="TableTitle"/>
    <w:next w:val="Figure"/>
    <w:uiPriority w:val="17"/>
    <w:qFormat/>
    <w:rsid w:val="003B7CFF"/>
  </w:style>
  <w:style w:type="paragraph" w:customStyle="1" w:styleId="FigureSummaryTitle">
    <w:name w:val="Figure Summary Title"/>
    <w:basedOn w:val="FigureTitle"/>
    <w:next w:val="Paragraph"/>
    <w:uiPriority w:val="99"/>
    <w:semiHidden/>
    <w:rsid w:val="003B7CFF"/>
  </w:style>
  <w:style w:type="character" w:styleId="FollowedHyperlink">
    <w:name w:val="FollowedHyperlink"/>
    <w:uiPriority w:val="99"/>
    <w:semiHidden/>
    <w:rsid w:val="003B7CFF"/>
    <w:rPr>
      <w:color w:val="800080"/>
      <w:u w:val="single"/>
    </w:rPr>
  </w:style>
  <w:style w:type="paragraph" w:styleId="Header">
    <w:name w:val="header"/>
    <w:link w:val="HeaderChar"/>
    <w:uiPriority w:val="29"/>
    <w:rsid w:val="003B7CFF"/>
    <w:pPr>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uiPriority w:val="29"/>
    <w:rsid w:val="003B7CFF"/>
    <w:rPr>
      <w:rFonts w:ascii="Times New Roman" w:eastAsia="Times New Roman" w:hAnsi="Times New Roman" w:cs="Times New Roman"/>
      <w:sz w:val="20"/>
      <w:szCs w:val="20"/>
      <w:lang w:val="en-GB"/>
    </w:rPr>
  </w:style>
  <w:style w:type="paragraph" w:customStyle="1" w:styleId="Heading1NoTOC">
    <w:name w:val="Heading 1 No TOC"/>
    <w:basedOn w:val="Heading1"/>
    <w:next w:val="Paragraph"/>
    <w:uiPriority w:val="6"/>
    <w:qFormat/>
    <w:rsid w:val="003B7CFF"/>
    <w:pPr>
      <w:numPr>
        <w:numId w:val="0"/>
      </w:numPr>
      <w:outlineLvl w:val="9"/>
    </w:pPr>
    <w:rPr>
      <w:rFonts w:ascii="Times New Roman Bold" w:hAnsi="Times New Roman Bold"/>
      <w:bCs w:val="0"/>
      <w:szCs w:val="48"/>
    </w:rPr>
  </w:style>
  <w:style w:type="paragraph" w:customStyle="1" w:styleId="Heading1Unnumbered">
    <w:name w:val="Heading 1 Unnumbered"/>
    <w:basedOn w:val="Heading1"/>
    <w:next w:val="Paragraph"/>
    <w:uiPriority w:val="5"/>
    <w:qFormat/>
    <w:rsid w:val="00ED27EC"/>
    <w:pPr>
      <w:numPr>
        <w:numId w:val="0"/>
      </w:numPr>
      <w:tabs>
        <w:tab w:val="left" w:pos="0"/>
        <w:tab w:val="left" w:pos="1134"/>
      </w:tabs>
      <w:jc w:val="center"/>
      <w:outlineLvl w:val="4"/>
    </w:pPr>
    <w:rPr>
      <w:szCs w:val="48"/>
    </w:rPr>
  </w:style>
  <w:style w:type="paragraph" w:customStyle="1" w:styleId="Heading2NoTOC">
    <w:name w:val="Heading 2 No TOC"/>
    <w:basedOn w:val="Heading2"/>
    <w:next w:val="Paragraph"/>
    <w:uiPriority w:val="6"/>
    <w:qFormat/>
    <w:rsid w:val="003B7CFF"/>
    <w:pPr>
      <w:numPr>
        <w:ilvl w:val="0"/>
        <w:numId w:val="0"/>
      </w:numPr>
      <w:outlineLvl w:val="9"/>
    </w:pPr>
  </w:style>
  <w:style w:type="paragraph" w:customStyle="1" w:styleId="Heading2Unnumbered">
    <w:name w:val="Heading 2 Unnumbered"/>
    <w:basedOn w:val="Heading2"/>
    <w:next w:val="Paragraph"/>
    <w:uiPriority w:val="5"/>
    <w:qFormat/>
    <w:rsid w:val="003B7CFF"/>
    <w:pPr>
      <w:numPr>
        <w:ilvl w:val="0"/>
        <w:numId w:val="0"/>
      </w:numPr>
      <w:tabs>
        <w:tab w:val="left" w:pos="1134"/>
      </w:tabs>
      <w:outlineLvl w:val="5"/>
    </w:pPr>
  </w:style>
  <w:style w:type="paragraph" w:customStyle="1" w:styleId="Heading3NoTOC">
    <w:name w:val="Heading 3 No TOC"/>
    <w:basedOn w:val="Heading3"/>
    <w:next w:val="Paragraph"/>
    <w:uiPriority w:val="6"/>
    <w:qFormat/>
    <w:rsid w:val="003B7CFF"/>
    <w:pPr>
      <w:numPr>
        <w:ilvl w:val="0"/>
        <w:numId w:val="0"/>
      </w:numPr>
      <w:outlineLvl w:val="9"/>
    </w:pPr>
    <w:rPr>
      <w:sz w:val="24"/>
      <w:u w:val="single"/>
    </w:rPr>
  </w:style>
  <w:style w:type="paragraph" w:customStyle="1" w:styleId="Heading3Unnumbered">
    <w:name w:val="Heading 3 Unnumbered"/>
    <w:basedOn w:val="Heading3"/>
    <w:next w:val="Paragraph"/>
    <w:uiPriority w:val="5"/>
    <w:qFormat/>
    <w:rsid w:val="00EC60F8"/>
    <w:pPr>
      <w:numPr>
        <w:ilvl w:val="0"/>
        <w:numId w:val="0"/>
      </w:numPr>
      <w:tabs>
        <w:tab w:val="left" w:pos="1134"/>
      </w:tabs>
      <w:outlineLvl w:val="5"/>
    </w:pPr>
    <w:rPr>
      <w:sz w:val="24"/>
    </w:rPr>
  </w:style>
  <w:style w:type="paragraph" w:customStyle="1" w:styleId="Heading4NoTOC">
    <w:name w:val="Heading 4 No TOC"/>
    <w:basedOn w:val="Heading4"/>
    <w:next w:val="Paragraph"/>
    <w:uiPriority w:val="6"/>
    <w:qFormat/>
    <w:rsid w:val="003B7CFF"/>
    <w:pPr>
      <w:numPr>
        <w:ilvl w:val="0"/>
        <w:numId w:val="0"/>
      </w:numPr>
      <w:outlineLvl w:val="9"/>
    </w:pPr>
    <w:rPr>
      <w:b w:val="0"/>
      <w:u w:val="single"/>
    </w:rPr>
  </w:style>
  <w:style w:type="paragraph" w:customStyle="1" w:styleId="Heading4Unnumbered">
    <w:name w:val="Heading 4 Unnumbered"/>
    <w:basedOn w:val="Heading4"/>
    <w:next w:val="Paragraph"/>
    <w:uiPriority w:val="5"/>
    <w:qFormat/>
    <w:rsid w:val="003B7CFF"/>
    <w:pPr>
      <w:numPr>
        <w:ilvl w:val="0"/>
        <w:numId w:val="0"/>
      </w:numPr>
      <w:tabs>
        <w:tab w:val="left" w:pos="1134"/>
      </w:tabs>
      <w:outlineLvl w:val="6"/>
    </w:pPr>
    <w:rPr>
      <w:i/>
    </w:rPr>
  </w:style>
  <w:style w:type="paragraph" w:styleId="Bibliography">
    <w:name w:val="Bibliography"/>
    <w:basedOn w:val="Normal"/>
    <w:next w:val="Normal"/>
    <w:uiPriority w:val="37"/>
    <w:semiHidden/>
    <w:unhideWhenUsed/>
    <w:rsid w:val="003B7CFF"/>
  </w:style>
  <w:style w:type="paragraph" w:styleId="BlockText">
    <w:name w:val="Block Text"/>
    <w:basedOn w:val="Normal"/>
    <w:uiPriority w:val="99"/>
    <w:semiHidden/>
    <w:unhideWhenUsed/>
    <w:rsid w:val="003B7CF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Caption">
    <w:name w:val="caption"/>
    <w:basedOn w:val="TableTitle"/>
    <w:next w:val="Normal"/>
    <w:uiPriority w:val="49"/>
    <w:unhideWhenUsed/>
    <w:qFormat/>
    <w:rsid w:val="003B7CFF"/>
    <w:pPr>
      <w:spacing w:after="0"/>
    </w:pPr>
    <w:rPr>
      <w:rFonts w:ascii="Times New Roman Bold" w:hAnsi="Times New Roman Bold"/>
      <w:iCs/>
      <w:color w:val="auto"/>
      <w:szCs w:val="18"/>
    </w:rPr>
  </w:style>
  <w:style w:type="character" w:styleId="HTMLAcronym">
    <w:name w:val="HTML Acronym"/>
    <w:basedOn w:val="DefaultParagraphFont"/>
    <w:uiPriority w:val="99"/>
    <w:semiHidden/>
    <w:rsid w:val="003B7CFF"/>
  </w:style>
  <w:style w:type="paragraph" w:styleId="HTMLAddress">
    <w:name w:val="HTML Address"/>
    <w:basedOn w:val="Normal"/>
    <w:link w:val="HTMLAddressChar"/>
    <w:uiPriority w:val="99"/>
    <w:semiHidden/>
    <w:rsid w:val="003B7CFF"/>
    <w:rPr>
      <w:i/>
      <w:iCs/>
    </w:rPr>
  </w:style>
  <w:style w:type="character" w:customStyle="1" w:styleId="HTMLAddressChar">
    <w:name w:val="HTML Address Char"/>
    <w:basedOn w:val="DefaultParagraphFont"/>
    <w:link w:val="HTMLAddress"/>
    <w:uiPriority w:val="99"/>
    <w:semiHidden/>
    <w:rsid w:val="003B7CFF"/>
    <w:rPr>
      <w:rFonts w:ascii="Times New Roman" w:eastAsia="Times New Roman" w:hAnsi="Times New Roman" w:cs="Times New Roman"/>
      <w:i/>
      <w:iCs/>
      <w:sz w:val="24"/>
      <w:szCs w:val="24"/>
      <w:lang w:val="en-GB"/>
    </w:rPr>
  </w:style>
  <w:style w:type="character" w:styleId="HTMLCite">
    <w:name w:val="HTML Cite"/>
    <w:uiPriority w:val="99"/>
    <w:semiHidden/>
    <w:rsid w:val="003B7CFF"/>
    <w:rPr>
      <w:i/>
      <w:iCs/>
    </w:rPr>
  </w:style>
  <w:style w:type="character" w:styleId="HTMLCode">
    <w:name w:val="HTML Code"/>
    <w:uiPriority w:val="99"/>
    <w:semiHidden/>
    <w:rsid w:val="003B7CFF"/>
    <w:rPr>
      <w:rFonts w:ascii="Courier New" w:hAnsi="Courier New" w:cs="Courier New"/>
      <w:sz w:val="20"/>
      <w:szCs w:val="20"/>
    </w:rPr>
  </w:style>
  <w:style w:type="character" w:styleId="HTMLDefinition">
    <w:name w:val="HTML Definition"/>
    <w:uiPriority w:val="99"/>
    <w:semiHidden/>
    <w:rsid w:val="003B7CFF"/>
    <w:rPr>
      <w:i/>
      <w:iCs/>
    </w:rPr>
  </w:style>
  <w:style w:type="character" w:styleId="HTMLKeyboard">
    <w:name w:val="HTML Keyboard"/>
    <w:uiPriority w:val="99"/>
    <w:semiHidden/>
    <w:rsid w:val="003B7CFF"/>
    <w:rPr>
      <w:rFonts w:ascii="Courier New" w:hAnsi="Courier New" w:cs="Courier New"/>
      <w:sz w:val="20"/>
      <w:szCs w:val="20"/>
    </w:rPr>
  </w:style>
  <w:style w:type="paragraph" w:styleId="HTMLPreformatted">
    <w:name w:val="HTML Preformatted"/>
    <w:basedOn w:val="Normal"/>
    <w:link w:val="HTMLPreformattedChar"/>
    <w:uiPriority w:val="99"/>
    <w:semiHidden/>
    <w:rsid w:val="003B7CF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7CFF"/>
    <w:rPr>
      <w:rFonts w:ascii="Courier New" w:eastAsia="Times New Roman" w:hAnsi="Courier New" w:cs="Courier New"/>
      <w:sz w:val="20"/>
      <w:szCs w:val="20"/>
      <w:lang w:val="en-GB"/>
    </w:rPr>
  </w:style>
  <w:style w:type="character" w:styleId="HTMLSample">
    <w:name w:val="HTML Sample"/>
    <w:uiPriority w:val="99"/>
    <w:semiHidden/>
    <w:rsid w:val="003B7CFF"/>
    <w:rPr>
      <w:rFonts w:ascii="Courier New" w:hAnsi="Courier New" w:cs="Courier New"/>
    </w:rPr>
  </w:style>
  <w:style w:type="character" w:styleId="HTMLTypewriter">
    <w:name w:val="HTML Typewriter"/>
    <w:uiPriority w:val="99"/>
    <w:semiHidden/>
    <w:rsid w:val="003B7CFF"/>
    <w:rPr>
      <w:rFonts w:ascii="Courier New" w:hAnsi="Courier New" w:cs="Courier New"/>
      <w:sz w:val="20"/>
      <w:szCs w:val="20"/>
    </w:rPr>
  </w:style>
  <w:style w:type="character" w:styleId="HTMLVariable">
    <w:name w:val="HTML Variable"/>
    <w:uiPriority w:val="99"/>
    <w:semiHidden/>
    <w:rsid w:val="003B7CFF"/>
    <w:rPr>
      <w:i/>
      <w:iCs/>
    </w:rPr>
  </w:style>
  <w:style w:type="paragraph" w:styleId="Index1">
    <w:name w:val="index 1"/>
    <w:basedOn w:val="Normal"/>
    <w:next w:val="Normal"/>
    <w:uiPriority w:val="99"/>
    <w:semiHidden/>
    <w:rsid w:val="003B7CFF"/>
    <w:pPr>
      <w:ind w:left="240" w:hanging="240"/>
    </w:pPr>
  </w:style>
  <w:style w:type="paragraph" w:styleId="Index2">
    <w:name w:val="index 2"/>
    <w:basedOn w:val="Normal"/>
    <w:next w:val="Normal"/>
    <w:uiPriority w:val="99"/>
    <w:semiHidden/>
    <w:rsid w:val="003B7CFF"/>
    <w:pPr>
      <w:ind w:left="480" w:hanging="240"/>
    </w:pPr>
  </w:style>
  <w:style w:type="paragraph" w:styleId="Index3">
    <w:name w:val="index 3"/>
    <w:basedOn w:val="Normal"/>
    <w:next w:val="Normal"/>
    <w:uiPriority w:val="99"/>
    <w:semiHidden/>
    <w:rsid w:val="003B7CFF"/>
    <w:pPr>
      <w:ind w:left="720" w:hanging="240"/>
    </w:pPr>
  </w:style>
  <w:style w:type="paragraph" w:styleId="Index4">
    <w:name w:val="index 4"/>
    <w:basedOn w:val="Normal"/>
    <w:next w:val="Normal"/>
    <w:uiPriority w:val="99"/>
    <w:semiHidden/>
    <w:rsid w:val="003B7CFF"/>
    <w:pPr>
      <w:ind w:left="960" w:hanging="240"/>
    </w:pPr>
  </w:style>
  <w:style w:type="paragraph" w:styleId="Index5">
    <w:name w:val="index 5"/>
    <w:basedOn w:val="Normal"/>
    <w:next w:val="Normal"/>
    <w:uiPriority w:val="99"/>
    <w:semiHidden/>
    <w:rsid w:val="003B7CFF"/>
    <w:pPr>
      <w:ind w:left="1200" w:hanging="240"/>
    </w:pPr>
  </w:style>
  <w:style w:type="paragraph" w:styleId="Index6">
    <w:name w:val="index 6"/>
    <w:basedOn w:val="Normal"/>
    <w:next w:val="Normal"/>
    <w:uiPriority w:val="99"/>
    <w:semiHidden/>
    <w:rsid w:val="003B7CFF"/>
    <w:pPr>
      <w:ind w:left="1440" w:hanging="240"/>
    </w:pPr>
  </w:style>
  <w:style w:type="paragraph" w:styleId="Index7">
    <w:name w:val="index 7"/>
    <w:basedOn w:val="Normal"/>
    <w:next w:val="Normal"/>
    <w:uiPriority w:val="99"/>
    <w:semiHidden/>
    <w:rsid w:val="003B7CFF"/>
    <w:pPr>
      <w:ind w:left="1680" w:hanging="240"/>
    </w:pPr>
  </w:style>
  <w:style w:type="paragraph" w:styleId="Index8">
    <w:name w:val="index 8"/>
    <w:basedOn w:val="Normal"/>
    <w:next w:val="Normal"/>
    <w:uiPriority w:val="99"/>
    <w:semiHidden/>
    <w:rsid w:val="003B7CFF"/>
    <w:pPr>
      <w:ind w:left="1920" w:hanging="240"/>
    </w:pPr>
  </w:style>
  <w:style w:type="paragraph" w:styleId="Index9">
    <w:name w:val="index 9"/>
    <w:basedOn w:val="Normal"/>
    <w:next w:val="Normal"/>
    <w:uiPriority w:val="99"/>
    <w:semiHidden/>
    <w:rsid w:val="003B7CFF"/>
    <w:pPr>
      <w:ind w:left="2160" w:hanging="240"/>
    </w:pPr>
  </w:style>
  <w:style w:type="paragraph" w:styleId="IndexHeading">
    <w:name w:val="index heading"/>
    <w:basedOn w:val="Normal"/>
    <w:next w:val="Index1"/>
    <w:uiPriority w:val="99"/>
    <w:semiHidden/>
    <w:rsid w:val="003B7CFF"/>
    <w:rPr>
      <w:rFonts w:ascii="Arial" w:hAnsi="Arial" w:cs="Arial"/>
      <w:b/>
      <w:bCs/>
    </w:rPr>
  </w:style>
  <w:style w:type="character" w:customStyle="1" w:styleId="Instructions">
    <w:name w:val="Instructions"/>
    <w:uiPriority w:val="22"/>
    <w:qFormat/>
    <w:rsid w:val="003B7CFF"/>
    <w:rPr>
      <w:i/>
      <w:vanish/>
      <w:color w:val="008080"/>
    </w:rPr>
  </w:style>
  <w:style w:type="character" w:styleId="LineNumber">
    <w:name w:val="line number"/>
    <w:basedOn w:val="DefaultParagraphFont"/>
    <w:uiPriority w:val="99"/>
    <w:semiHidden/>
    <w:rsid w:val="003B7CFF"/>
  </w:style>
  <w:style w:type="paragraph" w:styleId="List">
    <w:name w:val="List"/>
    <w:basedOn w:val="Normal"/>
    <w:uiPriority w:val="99"/>
    <w:semiHidden/>
    <w:rsid w:val="003B7CFF"/>
    <w:pPr>
      <w:ind w:left="360" w:hanging="360"/>
    </w:pPr>
  </w:style>
  <w:style w:type="paragraph" w:styleId="List2">
    <w:name w:val="List 2"/>
    <w:basedOn w:val="Normal"/>
    <w:uiPriority w:val="99"/>
    <w:semiHidden/>
    <w:rsid w:val="003B7CFF"/>
    <w:pPr>
      <w:ind w:left="720" w:hanging="360"/>
    </w:pPr>
  </w:style>
  <w:style w:type="paragraph" w:styleId="List3">
    <w:name w:val="List 3"/>
    <w:basedOn w:val="Normal"/>
    <w:uiPriority w:val="99"/>
    <w:semiHidden/>
    <w:rsid w:val="003B7CFF"/>
    <w:pPr>
      <w:ind w:left="1080" w:hanging="360"/>
    </w:pPr>
  </w:style>
  <w:style w:type="paragraph" w:styleId="List4">
    <w:name w:val="List 4"/>
    <w:basedOn w:val="Normal"/>
    <w:uiPriority w:val="99"/>
    <w:semiHidden/>
    <w:rsid w:val="003B7CFF"/>
    <w:pPr>
      <w:ind w:left="1440" w:hanging="360"/>
    </w:pPr>
  </w:style>
  <w:style w:type="paragraph" w:styleId="List5">
    <w:name w:val="List 5"/>
    <w:basedOn w:val="Normal"/>
    <w:uiPriority w:val="99"/>
    <w:semiHidden/>
    <w:rsid w:val="003B7CFF"/>
    <w:pPr>
      <w:ind w:left="1800" w:hanging="360"/>
    </w:pPr>
  </w:style>
  <w:style w:type="paragraph" w:styleId="ListBullet2">
    <w:name w:val="List Bullet 2"/>
    <w:basedOn w:val="Normal"/>
    <w:uiPriority w:val="9"/>
    <w:qFormat/>
    <w:rsid w:val="003B7CFF"/>
    <w:pPr>
      <w:numPr>
        <w:ilvl w:val="1"/>
        <w:numId w:val="6"/>
      </w:numPr>
      <w:spacing w:before="60" w:after="60"/>
    </w:pPr>
  </w:style>
  <w:style w:type="paragraph" w:styleId="ListBullet3">
    <w:name w:val="List Bullet 3"/>
    <w:basedOn w:val="Normal"/>
    <w:uiPriority w:val="9"/>
    <w:qFormat/>
    <w:rsid w:val="003B7CFF"/>
    <w:pPr>
      <w:numPr>
        <w:ilvl w:val="2"/>
        <w:numId w:val="6"/>
      </w:numPr>
      <w:spacing w:before="60" w:after="60"/>
    </w:pPr>
  </w:style>
  <w:style w:type="paragraph" w:styleId="ListBullet4">
    <w:name w:val="List Bullet 4"/>
    <w:basedOn w:val="Normal"/>
    <w:uiPriority w:val="99"/>
    <w:semiHidden/>
    <w:rsid w:val="003B7CFF"/>
    <w:pPr>
      <w:numPr>
        <w:ilvl w:val="3"/>
        <w:numId w:val="6"/>
      </w:numPr>
      <w:spacing w:before="60" w:after="60"/>
    </w:pPr>
  </w:style>
  <w:style w:type="paragraph" w:styleId="ListBullet5">
    <w:name w:val="List Bullet 5"/>
    <w:basedOn w:val="Normal"/>
    <w:uiPriority w:val="99"/>
    <w:semiHidden/>
    <w:rsid w:val="003B7CFF"/>
    <w:pPr>
      <w:tabs>
        <w:tab w:val="num" w:pos="1800"/>
      </w:tabs>
      <w:spacing w:after="60"/>
      <w:ind w:left="1797" w:hanging="357"/>
    </w:pPr>
  </w:style>
  <w:style w:type="paragraph" w:customStyle="1" w:styleId="ListBulletSmall">
    <w:name w:val="List Bullet Small"/>
    <w:basedOn w:val="ListBullet"/>
    <w:uiPriority w:val="9"/>
    <w:qFormat/>
    <w:rsid w:val="003B7CFF"/>
    <w:pPr>
      <w:numPr>
        <w:numId w:val="7"/>
      </w:numPr>
      <w:spacing w:before="40" w:after="40"/>
    </w:pPr>
    <w:rPr>
      <w:sz w:val="20"/>
      <w:szCs w:val="48"/>
    </w:rPr>
  </w:style>
  <w:style w:type="paragraph" w:customStyle="1" w:styleId="ListBulletSmall2">
    <w:name w:val="List Bullet Small 2"/>
    <w:basedOn w:val="ListBullet2"/>
    <w:uiPriority w:val="9"/>
    <w:qFormat/>
    <w:rsid w:val="003B7CFF"/>
    <w:pPr>
      <w:numPr>
        <w:numId w:val="7"/>
      </w:numPr>
      <w:spacing w:before="40" w:after="40"/>
    </w:pPr>
    <w:rPr>
      <w:sz w:val="20"/>
      <w:szCs w:val="48"/>
    </w:rPr>
  </w:style>
  <w:style w:type="paragraph" w:styleId="ListContinue">
    <w:name w:val="List Continue"/>
    <w:basedOn w:val="Normal"/>
    <w:uiPriority w:val="99"/>
    <w:semiHidden/>
    <w:rsid w:val="003B7CFF"/>
    <w:pPr>
      <w:spacing w:after="120"/>
      <w:ind w:left="360"/>
    </w:pPr>
  </w:style>
  <w:style w:type="paragraph" w:styleId="ListContinue2">
    <w:name w:val="List Continue 2"/>
    <w:basedOn w:val="Normal"/>
    <w:uiPriority w:val="99"/>
    <w:semiHidden/>
    <w:rsid w:val="003B7CFF"/>
    <w:pPr>
      <w:spacing w:after="120"/>
      <w:ind w:left="720"/>
    </w:pPr>
  </w:style>
  <w:style w:type="paragraph" w:styleId="ListContinue3">
    <w:name w:val="List Continue 3"/>
    <w:basedOn w:val="Normal"/>
    <w:uiPriority w:val="99"/>
    <w:semiHidden/>
    <w:rsid w:val="003B7CFF"/>
    <w:pPr>
      <w:spacing w:after="120"/>
      <w:ind w:left="1080"/>
    </w:pPr>
  </w:style>
  <w:style w:type="paragraph" w:styleId="ListContinue4">
    <w:name w:val="List Continue 4"/>
    <w:basedOn w:val="Normal"/>
    <w:uiPriority w:val="99"/>
    <w:semiHidden/>
    <w:rsid w:val="003B7CFF"/>
    <w:pPr>
      <w:spacing w:after="120"/>
      <w:ind w:left="1440"/>
    </w:pPr>
  </w:style>
  <w:style w:type="paragraph" w:styleId="ListContinue5">
    <w:name w:val="List Continue 5"/>
    <w:basedOn w:val="Normal"/>
    <w:uiPriority w:val="99"/>
    <w:semiHidden/>
    <w:rsid w:val="003B7CFF"/>
    <w:pPr>
      <w:spacing w:after="120"/>
      <w:ind w:left="1800"/>
    </w:pPr>
  </w:style>
  <w:style w:type="paragraph" w:customStyle="1" w:styleId="ListEnd">
    <w:name w:val="List End"/>
    <w:next w:val="Paragraph"/>
    <w:uiPriority w:val="10"/>
    <w:qFormat/>
    <w:rsid w:val="003B7CFF"/>
    <w:pPr>
      <w:spacing w:after="0" w:line="240" w:lineRule="auto"/>
    </w:pPr>
    <w:rPr>
      <w:rFonts w:ascii="Times New Roman" w:eastAsia="Times New Roman" w:hAnsi="Times New Roman" w:cs="Times New Roman"/>
      <w:sz w:val="24"/>
      <w:szCs w:val="20"/>
      <w:lang w:val="en-GB"/>
    </w:rPr>
  </w:style>
  <w:style w:type="paragraph" w:customStyle="1" w:styleId="ListHyphen">
    <w:name w:val="List Hyphen"/>
    <w:uiPriority w:val="99"/>
    <w:semiHidden/>
    <w:rsid w:val="003B7CFF"/>
    <w:pPr>
      <w:numPr>
        <w:numId w:val="4"/>
      </w:numPr>
      <w:spacing w:after="0" w:line="240" w:lineRule="auto"/>
    </w:pPr>
    <w:rPr>
      <w:rFonts w:ascii="Times New Roman" w:eastAsia="Times New Roman" w:hAnsi="Times New Roman" w:cs="Times New Roman"/>
      <w:sz w:val="24"/>
      <w:szCs w:val="20"/>
      <w:lang w:val="en-US"/>
    </w:rPr>
  </w:style>
  <w:style w:type="paragraph" w:styleId="ListNumber">
    <w:name w:val="List Number"/>
    <w:basedOn w:val="Normal"/>
    <w:uiPriority w:val="99"/>
    <w:qFormat/>
    <w:rsid w:val="003B7CFF"/>
    <w:pPr>
      <w:numPr>
        <w:numId w:val="11"/>
      </w:numPr>
      <w:spacing w:before="60" w:after="60"/>
    </w:pPr>
  </w:style>
  <w:style w:type="paragraph" w:styleId="ListNumber2">
    <w:name w:val="List Number 2"/>
    <w:basedOn w:val="ListNumber"/>
    <w:uiPriority w:val="99"/>
    <w:qFormat/>
    <w:rsid w:val="003B7CFF"/>
    <w:pPr>
      <w:numPr>
        <w:ilvl w:val="1"/>
      </w:numPr>
    </w:pPr>
  </w:style>
  <w:style w:type="paragraph" w:styleId="ListNumber3">
    <w:name w:val="List Number 3"/>
    <w:basedOn w:val="ListNumber"/>
    <w:uiPriority w:val="99"/>
    <w:qFormat/>
    <w:rsid w:val="003B7CFF"/>
    <w:pPr>
      <w:numPr>
        <w:ilvl w:val="2"/>
      </w:numPr>
    </w:pPr>
  </w:style>
  <w:style w:type="paragraph" w:styleId="ListNumber4">
    <w:name w:val="List Number 4"/>
    <w:basedOn w:val="Normal"/>
    <w:uiPriority w:val="99"/>
    <w:rsid w:val="003B7CFF"/>
    <w:pPr>
      <w:tabs>
        <w:tab w:val="num" w:pos="1440"/>
      </w:tabs>
      <w:spacing w:after="60"/>
      <w:ind w:left="1434" w:hanging="357"/>
    </w:pPr>
  </w:style>
  <w:style w:type="paragraph" w:styleId="ListNumber5">
    <w:name w:val="List Number 5"/>
    <w:basedOn w:val="Normal"/>
    <w:uiPriority w:val="99"/>
    <w:rsid w:val="003B7CFF"/>
    <w:pPr>
      <w:tabs>
        <w:tab w:val="num" w:pos="1800"/>
      </w:tabs>
      <w:spacing w:after="60"/>
      <w:ind w:left="1797" w:hanging="357"/>
    </w:pPr>
  </w:style>
  <w:style w:type="paragraph" w:styleId="MacroText">
    <w:name w:val="macro"/>
    <w:link w:val="MacroTextChar"/>
    <w:uiPriority w:val="99"/>
    <w:semiHidden/>
    <w:rsid w:val="003B7CF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uiPriority w:val="99"/>
    <w:semiHidden/>
    <w:rsid w:val="003B7CFF"/>
    <w:rPr>
      <w:rFonts w:ascii="Courier New" w:eastAsia="Times New Roman" w:hAnsi="Courier New" w:cs="Courier New"/>
      <w:sz w:val="20"/>
      <w:szCs w:val="20"/>
      <w:lang w:val="en-US"/>
    </w:rPr>
  </w:style>
  <w:style w:type="paragraph" w:styleId="MessageHeader">
    <w:name w:val="Message Header"/>
    <w:basedOn w:val="Normal"/>
    <w:link w:val="MessageHeaderChar"/>
    <w:uiPriority w:val="99"/>
    <w:semiHidden/>
    <w:rsid w:val="003B7CF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3B7CFF"/>
    <w:rPr>
      <w:rFonts w:ascii="Arial" w:eastAsia="Times New Roman" w:hAnsi="Arial" w:cs="Arial"/>
      <w:sz w:val="24"/>
      <w:szCs w:val="24"/>
      <w:shd w:val="pct20" w:color="auto" w:fill="auto"/>
      <w:lang w:val="en-GB"/>
    </w:rPr>
  </w:style>
  <w:style w:type="paragraph" w:styleId="NormalWeb">
    <w:name w:val="Normal (Web)"/>
    <w:basedOn w:val="Normal"/>
    <w:uiPriority w:val="99"/>
    <w:rsid w:val="003B7CFF"/>
  </w:style>
  <w:style w:type="paragraph" w:styleId="NormalIndent">
    <w:name w:val="Normal Indent"/>
    <w:basedOn w:val="Normal"/>
    <w:uiPriority w:val="99"/>
    <w:semiHidden/>
    <w:rsid w:val="003B7CFF"/>
    <w:pPr>
      <w:ind w:left="720"/>
    </w:pPr>
  </w:style>
  <w:style w:type="paragraph" w:styleId="NoteHeading">
    <w:name w:val="Note Heading"/>
    <w:basedOn w:val="Normal"/>
    <w:next w:val="Normal"/>
    <w:link w:val="NoteHeadingChar"/>
    <w:uiPriority w:val="99"/>
    <w:semiHidden/>
    <w:rsid w:val="003B7CFF"/>
  </w:style>
  <w:style w:type="character" w:customStyle="1" w:styleId="NoteHeadingChar">
    <w:name w:val="Note Heading Char"/>
    <w:basedOn w:val="DefaultParagraphFont"/>
    <w:link w:val="NoteHeading"/>
    <w:uiPriority w:val="99"/>
    <w:semiHidden/>
    <w:rsid w:val="003B7CFF"/>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rsid w:val="003B7CFF"/>
  </w:style>
  <w:style w:type="character" w:styleId="PlaceholderText">
    <w:name w:val="Placeholder Text"/>
    <w:basedOn w:val="DefaultParagraphFont"/>
    <w:uiPriority w:val="99"/>
    <w:semiHidden/>
    <w:rsid w:val="003B7CFF"/>
    <w:rPr>
      <w:color w:val="808080"/>
    </w:rPr>
  </w:style>
  <w:style w:type="paragraph" w:styleId="PlainText">
    <w:name w:val="Plain Text"/>
    <w:basedOn w:val="Normal"/>
    <w:link w:val="PlainTextChar"/>
    <w:uiPriority w:val="49"/>
    <w:semiHidden/>
    <w:rsid w:val="003B7CFF"/>
    <w:rPr>
      <w:rFonts w:ascii="Courier New" w:hAnsi="Courier New" w:cs="Courier New"/>
      <w:sz w:val="20"/>
      <w:szCs w:val="20"/>
    </w:rPr>
  </w:style>
  <w:style w:type="character" w:customStyle="1" w:styleId="PlainTextChar">
    <w:name w:val="Plain Text Char"/>
    <w:basedOn w:val="DefaultParagraphFont"/>
    <w:link w:val="PlainText"/>
    <w:uiPriority w:val="49"/>
    <w:semiHidden/>
    <w:rsid w:val="003B7CFF"/>
    <w:rPr>
      <w:rFonts w:ascii="Courier New" w:eastAsia="Times New Roman" w:hAnsi="Courier New" w:cs="Courier New"/>
      <w:sz w:val="20"/>
      <w:szCs w:val="20"/>
      <w:lang w:val="en-GB"/>
    </w:rPr>
  </w:style>
  <w:style w:type="paragraph" w:customStyle="1" w:styleId="References">
    <w:name w:val="References"/>
    <w:uiPriority w:val="24"/>
    <w:rsid w:val="003B7CFF"/>
    <w:pPr>
      <w:numPr>
        <w:numId w:val="5"/>
      </w:numPr>
      <w:tabs>
        <w:tab w:val="clear" w:pos="360"/>
        <w:tab w:val="left" w:pos="425"/>
      </w:tabs>
      <w:spacing w:after="240" w:line="240" w:lineRule="auto"/>
      <w:ind w:left="425" w:hanging="425"/>
    </w:pPr>
    <w:rPr>
      <w:rFonts w:ascii="Times New Roman" w:eastAsia="Times New Roman" w:hAnsi="Times New Roman" w:cs="Arial"/>
      <w:bCs/>
      <w:kern w:val="32"/>
      <w:sz w:val="24"/>
      <w:szCs w:val="24"/>
      <w:lang w:val="en-GB"/>
    </w:rPr>
  </w:style>
  <w:style w:type="paragraph" w:styleId="Salutation">
    <w:name w:val="Salutation"/>
    <w:basedOn w:val="Normal"/>
    <w:next w:val="Normal"/>
    <w:link w:val="SalutationChar"/>
    <w:uiPriority w:val="49"/>
    <w:semiHidden/>
    <w:rsid w:val="003B7CFF"/>
  </w:style>
  <w:style w:type="character" w:customStyle="1" w:styleId="SalutationChar">
    <w:name w:val="Salutation Char"/>
    <w:basedOn w:val="DefaultParagraphFont"/>
    <w:link w:val="Salutation"/>
    <w:uiPriority w:val="49"/>
    <w:semiHidden/>
    <w:rsid w:val="003B7CFF"/>
    <w:rPr>
      <w:rFonts w:ascii="Times New Roman" w:eastAsia="Times New Roman" w:hAnsi="Times New Roman" w:cs="Times New Roman"/>
      <w:sz w:val="24"/>
      <w:szCs w:val="24"/>
      <w:lang w:val="en-GB"/>
    </w:rPr>
  </w:style>
  <w:style w:type="paragraph" w:customStyle="1" w:styleId="Sequence">
    <w:name w:val="Sequence"/>
    <w:basedOn w:val="Normal"/>
    <w:next w:val="Paragraph"/>
    <w:uiPriority w:val="24"/>
    <w:rsid w:val="003B7CFF"/>
    <w:pPr>
      <w:keepNext/>
      <w:spacing w:after="0" w:line="240" w:lineRule="auto"/>
    </w:pPr>
    <w:rPr>
      <w:rFonts w:ascii="Courier New" w:hAnsi="Courier New"/>
      <w:sz w:val="20"/>
    </w:rPr>
  </w:style>
  <w:style w:type="paragraph" w:styleId="Signature">
    <w:name w:val="Signature"/>
    <w:basedOn w:val="Normal"/>
    <w:link w:val="SignatureChar"/>
    <w:uiPriority w:val="49"/>
    <w:semiHidden/>
    <w:rsid w:val="003B7CFF"/>
    <w:pPr>
      <w:ind w:left="4320"/>
    </w:pPr>
  </w:style>
  <w:style w:type="character" w:customStyle="1" w:styleId="SignatureChar">
    <w:name w:val="Signature Char"/>
    <w:basedOn w:val="DefaultParagraphFont"/>
    <w:link w:val="Signature"/>
    <w:uiPriority w:val="49"/>
    <w:semiHidden/>
    <w:rsid w:val="003B7CFF"/>
    <w:rPr>
      <w:rFonts w:ascii="Times New Roman" w:eastAsia="Times New Roman" w:hAnsi="Times New Roman" w:cs="Times New Roman"/>
      <w:sz w:val="24"/>
      <w:szCs w:val="24"/>
      <w:lang w:val="en-GB"/>
    </w:rPr>
  </w:style>
  <w:style w:type="character" w:styleId="Strong">
    <w:name w:val="Strong"/>
    <w:uiPriority w:val="22"/>
    <w:qFormat/>
    <w:rsid w:val="003B7CFF"/>
    <w:rPr>
      <w:b/>
      <w:bCs/>
    </w:rPr>
  </w:style>
  <w:style w:type="paragraph" w:styleId="Subtitle">
    <w:name w:val="Subtitle"/>
    <w:basedOn w:val="Normal"/>
    <w:next w:val="Normal"/>
    <w:link w:val="SubtitleChar"/>
    <w:uiPriority w:val="99"/>
    <w:rsid w:val="003B7CF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B7CFF"/>
    <w:rPr>
      <w:rFonts w:eastAsiaTheme="minorEastAsia"/>
      <w:color w:val="5A5A5A" w:themeColor="text1" w:themeTint="A5"/>
      <w:spacing w:val="15"/>
      <w:lang w:val="en-GB"/>
    </w:rPr>
  </w:style>
  <w:style w:type="table" w:customStyle="1" w:styleId="TableGridLight1">
    <w:name w:val="Table Grid Light1"/>
    <w:basedOn w:val="TableNormal"/>
    <w:uiPriority w:val="40"/>
    <w:rsid w:val="00EE3A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AHeading">
    <w:name w:val="toa heading"/>
    <w:basedOn w:val="Normal"/>
    <w:next w:val="Normal"/>
    <w:uiPriority w:val="99"/>
    <w:semiHidden/>
    <w:unhideWhenUsed/>
    <w:rsid w:val="00EE3AC8"/>
    <w:pPr>
      <w:spacing w:before="120"/>
    </w:pPr>
    <w:rPr>
      <w:rFonts w:asciiTheme="majorHAnsi" w:eastAsiaTheme="majorEastAsia" w:hAnsiTheme="majorHAnsi" w:cstheme="majorBidi"/>
      <w:b/>
      <w:bCs/>
    </w:rPr>
  </w:style>
  <w:style w:type="character" w:customStyle="1" w:styleId="UnresolvedMention1">
    <w:name w:val="Unresolved Mention1"/>
    <w:basedOn w:val="DefaultParagraphFont"/>
    <w:uiPriority w:val="99"/>
    <w:semiHidden/>
    <w:unhideWhenUsed/>
    <w:rsid w:val="00EE3AC8"/>
    <w:rPr>
      <w:color w:val="808080"/>
      <w:shd w:val="clear" w:color="auto" w:fill="E6E6E6"/>
    </w:rPr>
  </w:style>
  <w:style w:type="paragraph" w:customStyle="1" w:styleId="TableCenter">
    <w:name w:val="Table Center"/>
    <w:basedOn w:val="Normal"/>
    <w:uiPriority w:val="99"/>
    <w:qFormat/>
    <w:rsid w:val="00C85970"/>
    <w:pPr>
      <w:spacing w:before="40" w:after="40" w:line="240" w:lineRule="auto"/>
      <w:jc w:val="center"/>
    </w:pPr>
    <w:rPr>
      <w:sz w:val="20"/>
    </w:rPr>
  </w:style>
  <w:style w:type="paragraph" w:customStyle="1" w:styleId="TableEndofTextTitle">
    <w:name w:val="Table End of Text Title"/>
    <w:next w:val="Paragraph"/>
    <w:uiPriority w:val="11"/>
    <w:qFormat/>
    <w:rsid w:val="003B7CFF"/>
    <w:pPr>
      <w:spacing w:after="120" w:line="240" w:lineRule="auto"/>
    </w:pPr>
    <w:rPr>
      <w:rFonts w:ascii="Times New Roman" w:eastAsia="Times New Roman" w:hAnsi="Times New Roman" w:cs="Times New Roman"/>
      <w:b/>
      <w:sz w:val="24"/>
      <w:szCs w:val="24"/>
      <w:lang w:val="en-GB"/>
    </w:rPr>
  </w:style>
  <w:style w:type="paragraph" w:customStyle="1" w:styleId="TableFixedWidth">
    <w:name w:val="Table Fixed Width"/>
    <w:uiPriority w:val="15"/>
    <w:qFormat/>
    <w:rsid w:val="003B7CFF"/>
    <w:pPr>
      <w:spacing w:after="0" w:line="240" w:lineRule="auto"/>
    </w:pPr>
    <w:rPr>
      <w:rFonts w:ascii="Courier New" w:eastAsia="Times New Roman" w:hAnsi="Courier New" w:cs="Times New Roman"/>
      <w:sz w:val="20"/>
      <w:szCs w:val="20"/>
      <w:lang w:val="en-GB"/>
    </w:rPr>
  </w:style>
  <w:style w:type="paragraph" w:styleId="NoSpacing">
    <w:name w:val="No Spacing"/>
    <w:uiPriority w:val="1"/>
    <w:qFormat/>
    <w:rsid w:val="003B7CFF"/>
    <w:pPr>
      <w:spacing w:after="0" w:line="240" w:lineRule="auto"/>
    </w:pPr>
    <w:rPr>
      <w:rFonts w:ascii="Times New Roman" w:eastAsia="Times New Roman" w:hAnsi="Times New Roman" w:cs="Times New Roman"/>
      <w:sz w:val="24"/>
      <w:szCs w:val="24"/>
      <w:lang w:val="en-GB"/>
    </w:rPr>
  </w:style>
  <w:style w:type="paragraph" w:customStyle="1" w:styleId="TableFootnoteInfo">
    <w:name w:val="Table Footnote Info"/>
    <w:basedOn w:val="Normal"/>
    <w:uiPriority w:val="14"/>
    <w:qFormat/>
    <w:rsid w:val="00DF3302"/>
    <w:pPr>
      <w:keepLines/>
      <w:spacing w:before="40" w:after="40" w:line="240" w:lineRule="auto"/>
    </w:pPr>
    <w:rPr>
      <w:sz w:val="18"/>
      <w:szCs w:val="48"/>
    </w:rPr>
  </w:style>
  <w:style w:type="paragraph" w:customStyle="1" w:styleId="TableFootnoteLetter">
    <w:name w:val="Table Footnote Letter"/>
    <w:basedOn w:val="Normal"/>
    <w:uiPriority w:val="13"/>
    <w:rsid w:val="00DF3302"/>
    <w:pPr>
      <w:keepLines/>
      <w:numPr>
        <w:numId w:val="27"/>
      </w:numPr>
      <w:spacing w:before="40" w:after="40" w:line="240" w:lineRule="auto"/>
    </w:pPr>
    <w:rPr>
      <w:sz w:val="18"/>
      <w:szCs w:val="20"/>
    </w:rPr>
  </w:style>
  <w:style w:type="paragraph" w:styleId="IntenseQuote">
    <w:name w:val="Intense Quote"/>
    <w:basedOn w:val="Normal"/>
    <w:next w:val="Normal"/>
    <w:link w:val="IntenseQuoteChar"/>
    <w:uiPriority w:val="30"/>
    <w:qFormat/>
    <w:rsid w:val="003B7C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B7CFF"/>
    <w:rPr>
      <w:rFonts w:ascii="Times New Roman" w:eastAsia="Times New Roman" w:hAnsi="Times New Roman" w:cs="Times New Roman"/>
      <w:i/>
      <w:iCs/>
      <w:color w:val="4F81BD" w:themeColor="accent1"/>
      <w:sz w:val="24"/>
      <w:szCs w:val="24"/>
      <w:lang w:val="en-GB"/>
    </w:rPr>
  </w:style>
  <w:style w:type="table" w:styleId="LightList">
    <w:name w:val="Light List"/>
    <w:basedOn w:val="TableNormal"/>
    <w:uiPriority w:val="61"/>
    <w:rsid w:val="003B7CFF"/>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Head">
    <w:name w:val="Table Head"/>
    <w:basedOn w:val="TableText"/>
    <w:uiPriority w:val="11"/>
    <w:qFormat/>
    <w:rsid w:val="00A3510E"/>
    <w:rPr>
      <w:b/>
      <w:szCs w:val="48"/>
    </w:rPr>
  </w:style>
  <w:style w:type="paragraph" w:customStyle="1" w:styleId="TableLeft">
    <w:name w:val="Table Left"/>
    <w:link w:val="TableLeftChar"/>
    <w:uiPriority w:val="99"/>
    <w:qFormat/>
    <w:rsid w:val="00C85970"/>
    <w:pPr>
      <w:spacing w:before="40" w:after="40" w:line="240" w:lineRule="auto"/>
    </w:pPr>
    <w:rPr>
      <w:rFonts w:ascii="Times New Roman" w:eastAsia="Times New Roman" w:hAnsi="Times New Roman" w:cs="Arial"/>
      <w:bCs/>
      <w:kern w:val="32"/>
      <w:sz w:val="20"/>
      <w:szCs w:val="24"/>
      <w:lang w:val="en-GB"/>
    </w:rPr>
  </w:style>
  <w:style w:type="paragraph" w:styleId="TableofFigures">
    <w:name w:val="table of figures"/>
    <w:basedOn w:val="Normal"/>
    <w:next w:val="Paragraph"/>
    <w:uiPriority w:val="40"/>
    <w:rsid w:val="003B7CFF"/>
    <w:pPr>
      <w:tabs>
        <w:tab w:val="left" w:pos="1701"/>
        <w:tab w:val="right" w:leader="dot" w:pos="9000"/>
      </w:tabs>
      <w:spacing w:before="60" w:after="0"/>
      <w:ind w:left="1701" w:right="357" w:hanging="1701"/>
    </w:pPr>
  </w:style>
  <w:style w:type="table" w:styleId="TableGrid">
    <w:name w:val="Table Grid"/>
    <w:basedOn w:val="TableNormal"/>
    <w:uiPriority w:val="59"/>
    <w:rsid w:val="003B7CFF"/>
    <w:pPr>
      <w:spacing w:after="0" w:line="240" w:lineRule="auto"/>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Continued">
    <w:name w:val="Table Title Continued"/>
    <w:basedOn w:val="Normal"/>
    <w:uiPriority w:val="10"/>
    <w:qFormat/>
    <w:rsid w:val="003B7CFF"/>
    <w:pPr>
      <w:spacing w:after="120"/>
    </w:pPr>
    <w:rPr>
      <w:b/>
    </w:rPr>
  </w:style>
  <w:style w:type="paragraph" w:styleId="Title">
    <w:name w:val="Title"/>
    <w:link w:val="TitleChar"/>
    <w:uiPriority w:val="25"/>
    <w:rsid w:val="003B7CFF"/>
    <w:pPr>
      <w:spacing w:before="240" w:after="240" w:line="240" w:lineRule="auto"/>
      <w:jc w:val="center"/>
    </w:pPr>
    <w:rPr>
      <w:rFonts w:ascii="Times New Roman" w:eastAsia="Times New Roman" w:hAnsi="Times New Roman" w:cs="Arial"/>
      <w:b/>
      <w:bCs/>
      <w:kern w:val="28"/>
      <w:sz w:val="32"/>
      <w:szCs w:val="32"/>
      <w:lang w:val="en-GB"/>
    </w:rPr>
  </w:style>
  <w:style w:type="character" w:customStyle="1" w:styleId="TitleChar">
    <w:name w:val="Title Char"/>
    <w:basedOn w:val="DefaultParagraphFont"/>
    <w:link w:val="Title"/>
    <w:uiPriority w:val="25"/>
    <w:rsid w:val="003B7CFF"/>
    <w:rPr>
      <w:rFonts w:ascii="Times New Roman" w:eastAsia="Times New Roman" w:hAnsi="Times New Roman" w:cs="Arial"/>
      <w:b/>
      <w:bCs/>
      <w:kern w:val="28"/>
      <w:sz w:val="32"/>
      <w:szCs w:val="32"/>
      <w:lang w:val="en-GB"/>
    </w:rPr>
  </w:style>
  <w:style w:type="paragraph" w:styleId="TOC1">
    <w:name w:val="toc 1"/>
    <w:next w:val="Paragraph"/>
    <w:uiPriority w:val="39"/>
    <w:rsid w:val="003B7CFF"/>
    <w:pPr>
      <w:tabs>
        <w:tab w:val="left" w:pos="1134"/>
        <w:tab w:val="right" w:leader="dot" w:pos="9000"/>
      </w:tabs>
      <w:spacing w:before="120" w:after="0" w:line="240" w:lineRule="auto"/>
      <w:ind w:left="1134" w:right="357" w:hanging="1134"/>
    </w:pPr>
    <w:rPr>
      <w:rFonts w:ascii="Times New Roman" w:eastAsia="Times New Roman" w:hAnsi="Times New Roman" w:cs="Times New Roman"/>
      <w:caps/>
      <w:sz w:val="24"/>
      <w:szCs w:val="20"/>
      <w:lang w:val="en-GB"/>
    </w:rPr>
  </w:style>
  <w:style w:type="paragraph" w:styleId="TOC2">
    <w:name w:val="toc 2"/>
    <w:basedOn w:val="TOC1"/>
    <w:next w:val="Paragraph"/>
    <w:uiPriority w:val="39"/>
    <w:rsid w:val="003B7CFF"/>
    <w:pPr>
      <w:spacing w:before="60"/>
    </w:pPr>
    <w:rPr>
      <w:caps w:val="0"/>
      <w:szCs w:val="24"/>
    </w:rPr>
  </w:style>
  <w:style w:type="paragraph" w:styleId="TOC3">
    <w:name w:val="toc 3"/>
    <w:basedOn w:val="TOC1"/>
    <w:next w:val="Paragraph"/>
    <w:uiPriority w:val="39"/>
    <w:rsid w:val="003B7CFF"/>
    <w:pPr>
      <w:spacing w:before="0"/>
    </w:pPr>
    <w:rPr>
      <w:caps w:val="0"/>
      <w:szCs w:val="24"/>
    </w:rPr>
  </w:style>
  <w:style w:type="paragraph" w:styleId="TOC4">
    <w:name w:val="toc 4"/>
    <w:basedOn w:val="Normal"/>
    <w:next w:val="Paragraph"/>
    <w:uiPriority w:val="39"/>
    <w:rsid w:val="003B7CFF"/>
    <w:pPr>
      <w:tabs>
        <w:tab w:val="left" w:pos="1134"/>
        <w:tab w:val="right" w:leader="dot" w:pos="9000"/>
      </w:tabs>
      <w:spacing w:after="0" w:line="240" w:lineRule="auto"/>
      <w:ind w:left="1134" w:right="357" w:hanging="1134"/>
    </w:pPr>
  </w:style>
  <w:style w:type="paragraph" w:styleId="TOC5">
    <w:name w:val="toc 5"/>
    <w:basedOn w:val="TOC1"/>
    <w:next w:val="Normal"/>
    <w:uiPriority w:val="39"/>
    <w:rsid w:val="003B7CFF"/>
    <w:pPr>
      <w:tabs>
        <w:tab w:val="clear" w:pos="1134"/>
      </w:tabs>
      <w:ind w:left="0" w:firstLine="0"/>
    </w:pPr>
    <w:rPr>
      <w:noProof/>
    </w:rPr>
  </w:style>
  <w:style w:type="paragraph" w:styleId="TOC6">
    <w:name w:val="toc 6"/>
    <w:basedOn w:val="TOC2"/>
    <w:next w:val="Normal"/>
    <w:uiPriority w:val="39"/>
    <w:rsid w:val="003B7CFF"/>
    <w:pPr>
      <w:tabs>
        <w:tab w:val="clear" w:pos="1134"/>
      </w:tabs>
      <w:ind w:left="0" w:firstLine="0"/>
    </w:pPr>
    <w:rPr>
      <w:noProof/>
    </w:rPr>
  </w:style>
  <w:style w:type="paragraph" w:styleId="TOC7">
    <w:name w:val="toc 7"/>
    <w:basedOn w:val="Normal"/>
    <w:next w:val="Normal"/>
    <w:uiPriority w:val="39"/>
    <w:rsid w:val="003B7CFF"/>
    <w:pPr>
      <w:tabs>
        <w:tab w:val="right" w:leader="dot" w:pos="9000"/>
      </w:tabs>
      <w:spacing w:after="0" w:line="240" w:lineRule="auto"/>
      <w:ind w:right="357"/>
    </w:pPr>
    <w:rPr>
      <w:noProof/>
    </w:rPr>
  </w:style>
  <w:style w:type="paragraph" w:styleId="TOC8">
    <w:name w:val="toc 8"/>
    <w:basedOn w:val="TOC7"/>
    <w:next w:val="Normal"/>
    <w:uiPriority w:val="39"/>
    <w:rsid w:val="003B7CFF"/>
    <w:rPr>
      <w:i/>
    </w:rPr>
  </w:style>
  <w:style w:type="paragraph" w:styleId="TOC9">
    <w:name w:val="toc 9"/>
    <w:basedOn w:val="Normal"/>
    <w:next w:val="Normal"/>
    <w:uiPriority w:val="39"/>
    <w:rsid w:val="003B7CFF"/>
    <w:pPr>
      <w:tabs>
        <w:tab w:val="left" w:pos="1134"/>
        <w:tab w:val="right" w:leader="dot" w:pos="9000"/>
      </w:tabs>
      <w:ind w:left="1134" w:right="360" w:hanging="1134"/>
    </w:pPr>
  </w:style>
  <w:style w:type="paragraph" w:styleId="TOCHeading">
    <w:name w:val="TOC Heading"/>
    <w:basedOn w:val="TOCTitle"/>
    <w:next w:val="Normal"/>
    <w:uiPriority w:val="39"/>
    <w:rsid w:val="003B7CFF"/>
    <w:pPr>
      <w:spacing w:after="0"/>
    </w:pPr>
    <w:rPr>
      <w:rFonts w:asciiTheme="majorHAnsi" w:eastAsiaTheme="majorEastAsia" w:hAnsiTheme="majorHAnsi" w:cstheme="majorBidi"/>
      <w:bCs w:val="0"/>
      <w:caps w:val="0"/>
      <w:kern w:val="0"/>
      <w:szCs w:val="32"/>
    </w:rPr>
  </w:style>
  <w:style w:type="paragraph" w:customStyle="1" w:styleId="TOCSection">
    <w:name w:val="TOC Section"/>
    <w:basedOn w:val="Heading1"/>
    <w:uiPriority w:val="25"/>
    <w:rsid w:val="003B7CFF"/>
    <w:pPr>
      <w:numPr>
        <w:numId w:val="0"/>
      </w:numPr>
      <w:tabs>
        <w:tab w:val="left" w:pos="0"/>
        <w:tab w:val="left" w:pos="480"/>
      </w:tabs>
      <w:spacing w:after="120"/>
      <w:outlineLvl w:val="9"/>
    </w:pPr>
  </w:style>
  <w:style w:type="paragraph" w:customStyle="1" w:styleId="TOCTitle">
    <w:name w:val="TOC Title"/>
    <w:basedOn w:val="Title"/>
    <w:next w:val="TOC1"/>
    <w:uiPriority w:val="25"/>
    <w:rsid w:val="003B7CFF"/>
    <w:pPr>
      <w:pageBreakBefore/>
      <w:jc w:val="left"/>
    </w:pPr>
    <w:rPr>
      <w:caps/>
      <w:sz w:val="28"/>
      <w:szCs w:val="28"/>
    </w:rPr>
  </w:style>
  <w:style w:type="character" w:customStyle="1" w:styleId="UserTips">
    <w:name w:val="User Tips"/>
    <w:uiPriority w:val="22"/>
    <w:rsid w:val="003B7CFF"/>
    <w:rPr>
      <w:i/>
      <w:vanish/>
      <w:color w:val="FF0000"/>
    </w:rPr>
  </w:style>
  <w:style w:type="paragraph" w:customStyle="1" w:styleId="AppendixAlphaSub1">
    <w:name w:val="Appendix Alpha Sub 1"/>
    <w:basedOn w:val="AppendixAlpha"/>
    <w:next w:val="Paragraph"/>
    <w:uiPriority w:val="21"/>
    <w:qFormat/>
    <w:rsid w:val="003B7CFF"/>
    <w:pPr>
      <w:pageBreakBefore w:val="0"/>
      <w:numPr>
        <w:ilvl w:val="1"/>
      </w:numPr>
      <w:spacing w:before="120"/>
    </w:pPr>
  </w:style>
  <w:style w:type="paragraph" w:styleId="Quote">
    <w:name w:val="Quote"/>
    <w:basedOn w:val="Normal"/>
    <w:next w:val="Normal"/>
    <w:link w:val="QuoteChar"/>
    <w:uiPriority w:val="29"/>
    <w:qFormat/>
    <w:rsid w:val="003B7C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7CFF"/>
    <w:rPr>
      <w:rFonts w:ascii="Times New Roman" w:eastAsia="Times New Roman" w:hAnsi="Times New Roman" w:cs="Times New Roman"/>
      <w:i/>
      <w:iCs/>
      <w:color w:val="404040" w:themeColor="text1" w:themeTint="BF"/>
      <w:sz w:val="24"/>
      <w:szCs w:val="24"/>
      <w:lang w:val="en-GB"/>
    </w:rPr>
  </w:style>
  <w:style w:type="paragraph" w:customStyle="1" w:styleId="AppendixAlphaSub2">
    <w:name w:val="Appendix Alpha Sub 2"/>
    <w:basedOn w:val="AppendixAlphaSub1"/>
    <w:next w:val="Paragraph"/>
    <w:uiPriority w:val="21"/>
    <w:unhideWhenUsed/>
    <w:qFormat/>
    <w:rsid w:val="003B7CFF"/>
    <w:pPr>
      <w:numPr>
        <w:ilvl w:val="2"/>
      </w:numPr>
    </w:pPr>
    <w:rPr>
      <w:sz w:val="26"/>
    </w:rPr>
  </w:style>
  <w:style w:type="paragraph" w:customStyle="1" w:styleId="AppendixAlphaSub3">
    <w:name w:val="Appendix Alpha Sub 3"/>
    <w:basedOn w:val="AppendixAlphaSub1"/>
    <w:next w:val="Paragraph"/>
    <w:uiPriority w:val="21"/>
    <w:unhideWhenUsed/>
    <w:qFormat/>
    <w:rsid w:val="003B7CFF"/>
    <w:pPr>
      <w:numPr>
        <w:ilvl w:val="3"/>
      </w:numPr>
    </w:pPr>
    <w:rPr>
      <w:sz w:val="24"/>
    </w:rPr>
  </w:style>
  <w:style w:type="paragraph" w:customStyle="1" w:styleId="AppendixAlphaSub4">
    <w:name w:val="Appendix Alpha Sub 4"/>
    <w:basedOn w:val="AppendixAlphaSub1"/>
    <w:next w:val="Paragraph"/>
    <w:uiPriority w:val="21"/>
    <w:unhideWhenUsed/>
    <w:qFormat/>
    <w:rsid w:val="003B7CFF"/>
    <w:pPr>
      <w:numPr>
        <w:ilvl w:val="4"/>
      </w:numPr>
      <w:spacing w:after="60"/>
    </w:pPr>
    <w:rPr>
      <w:i/>
      <w:sz w:val="24"/>
    </w:rPr>
  </w:style>
  <w:style w:type="paragraph" w:customStyle="1" w:styleId="ListNumberSmall">
    <w:name w:val="List Number Small"/>
    <w:basedOn w:val="ListBulletSmall"/>
    <w:uiPriority w:val="9"/>
    <w:qFormat/>
    <w:rsid w:val="003B7CFF"/>
    <w:pPr>
      <w:numPr>
        <w:numId w:val="13"/>
      </w:numPr>
      <w:tabs>
        <w:tab w:val="left" w:pos="425"/>
      </w:tabs>
    </w:pPr>
  </w:style>
  <w:style w:type="paragraph" w:customStyle="1" w:styleId="TableHidden">
    <w:name w:val="Table Hidden"/>
    <w:basedOn w:val="Paragraph"/>
    <w:uiPriority w:val="23"/>
    <w:qFormat/>
    <w:rsid w:val="003B7CFF"/>
    <w:rPr>
      <w:vanish/>
    </w:rPr>
  </w:style>
  <w:style w:type="paragraph" w:customStyle="1" w:styleId="FigureTitleContinued">
    <w:name w:val="Figure Title Continued"/>
    <w:basedOn w:val="FigureTitle"/>
    <w:uiPriority w:val="17"/>
    <w:qFormat/>
    <w:rsid w:val="003B7CFF"/>
    <w:rPr>
      <w:lang w:val="sv-SE"/>
    </w:rPr>
  </w:style>
  <w:style w:type="paragraph" w:customStyle="1" w:styleId="Z-LineL1">
    <w:name w:val="Z-Line L 1"/>
    <w:basedOn w:val="Normal"/>
    <w:uiPriority w:val="42"/>
    <w:rsid w:val="003B7CFF"/>
    <w:pPr>
      <w:spacing w:before="60" w:after="0" w:line="240" w:lineRule="auto"/>
    </w:pPr>
    <w:rPr>
      <w:sz w:val="20"/>
      <w:szCs w:val="20"/>
    </w:rPr>
  </w:style>
  <w:style w:type="paragraph" w:customStyle="1" w:styleId="Z-LineL2">
    <w:name w:val="Z-Line L 2"/>
    <w:basedOn w:val="Normal"/>
    <w:uiPriority w:val="42"/>
    <w:rsid w:val="003B7CFF"/>
    <w:pPr>
      <w:spacing w:before="60" w:after="0" w:line="240" w:lineRule="auto"/>
    </w:pPr>
    <w:rPr>
      <w:sz w:val="20"/>
      <w:szCs w:val="20"/>
    </w:rPr>
  </w:style>
  <w:style w:type="paragraph" w:customStyle="1" w:styleId="Z-LineL3">
    <w:name w:val="Z-Line L 3"/>
    <w:basedOn w:val="Normal"/>
    <w:uiPriority w:val="42"/>
    <w:rsid w:val="003B7CFF"/>
    <w:pPr>
      <w:spacing w:before="60" w:after="0" w:line="240" w:lineRule="auto"/>
    </w:pPr>
    <w:rPr>
      <w:sz w:val="20"/>
      <w:szCs w:val="20"/>
    </w:rPr>
  </w:style>
  <w:style w:type="paragraph" w:customStyle="1" w:styleId="Z-LineL4">
    <w:name w:val="Z-Line L 4"/>
    <w:basedOn w:val="Normal"/>
    <w:uiPriority w:val="42"/>
    <w:rsid w:val="003B7CFF"/>
    <w:pPr>
      <w:spacing w:before="60" w:after="0" w:line="240" w:lineRule="auto"/>
    </w:pPr>
    <w:rPr>
      <w:sz w:val="20"/>
      <w:szCs w:val="20"/>
    </w:rPr>
  </w:style>
  <w:style w:type="paragraph" w:customStyle="1" w:styleId="Z-LineR1">
    <w:name w:val="Z-Line R 1"/>
    <w:basedOn w:val="Normal"/>
    <w:uiPriority w:val="42"/>
    <w:rsid w:val="003B7CFF"/>
    <w:pPr>
      <w:spacing w:before="60" w:after="0" w:line="240" w:lineRule="auto"/>
    </w:pPr>
    <w:rPr>
      <w:sz w:val="20"/>
      <w:szCs w:val="20"/>
    </w:rPr>
  </w:style>
  <w:style w:type="paragraph" w:customStyle="1" w:styleId="Z-LineR2">
    <w:name w:val="Z-Line R 2"/>
    <w:basedOn w:val="Normal"/>
    <w:uiPriority w:val="42"/>
    <w:rsid w:val="003B7CFF"/>
    <w:pPr>
      <w:spacing w:before="60" w:after="0" w:line="240" w:lineRule="auto"/>
    </w:pPr>
    <w:rPr>
      <w:sz w:val="20"/>
      <w:szCs w:val="20"/>
    </w:rPr>
  </w:style>
  <w:style w:type="paragraph" w:customStyle="1" w:styleId="Z-LineR3">
    <w:name w:val="Z-Line R 3"/>
    <w:basedOn w:val="Normal"/>
    <w:uiPriority w:val="42"/>
    <w:rsid w:val="003B7CFF"/>
    <w:pPr>
      <w:spacing w:before="60" w:after="0" w:line="240" w:lineRule="auto"/>
    </w:pPr>
    <w:rPr>
      <w:sz w:val="20"/>
      <w:szCs w:val="20"/>
    </w:rPr>
  </w:style>
  <w:style w:type="paragraph" w:customStyle="1" w:styleId="Z-LineR4">
    <w:name w:val="Z-Line R 4"/>
    <w:basedOn w:val="Normal"/>
    <w:uiPriority w:val="42"/>
    <w:rsid w:val="003B7CFF"/>
    <w:pPr>
      <w:spacing w:after="60" w:line="240" w:lineRule="auto"/>
    </w:pPr>
    <w:rPr>
      <w:sz w:val="20"/>
      <w:szCs w:val="20"/>
    </w:rPr>
  </w:style>
  <w:style w:type="paragraph" w:customStyle="1" w:styleId="Z-DocumentName">
    <w:name w:val="Z-Document Name"/>
    <w:basedOn w:val="Z-LineL1"/>
    <w:uiPriority w:val="42"/>
    <w:qFormat/>
    <w:rsid w:val="003B7CFF"/>
    <w:rPr>
      <w:b/>
    </w:rPr>
  </w:style>
  <w:style w:type="character" w:styleId="BookTitle">
    <w:name w:val="Book Title"/>
    <w:basedOn w:val="DefaultParagraphFont"/>
    <w:uiPriority w:val="33"/>
    <w:qFormat/>
    <w:rsid w:val="00EE3AC8"/>
    <w:rPr>
      <w:b/>
      <w:bCs/>
      <w:i/>
      <w:iCs/>
      <w:spacing w:val="5"/>
    </w:rPr>
  </w:style>
  <w:style w:type="table" w:styleId="ColorfulGrid">
    <w:name w:val="Colorful Grid"/>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GridTable1Light1">
    <w:name w:val="Grid Table 1 Light1"/>
    <w:basedOn w:val="TableNormal"/>
    <w:uiPriority w:val="46"/>
    <w:rsid w:val="00EE3A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E3AC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E3AC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E3AC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E3AC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E3AC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E3A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E3A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EE3AC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EE3AC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EE3AC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EE3AC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EE3AC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EE3AC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EE3A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EE3A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EE3A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EE3A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EE3A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EE3A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EE3A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EE3A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EE3A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EE3A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EE3A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EE3A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EE3A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EE3A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EE3AC8"/>
    <w:rPr>
      <w:color w:val="2B579A"/>
      <w:shd w:val="clear" w:color="auto" w:fill="E6E6E6"/>
    </w:rPr>
  </w:style>
  <w:style w:type="character" w:styleId="IntenseEmphasis">
    <w:name w:val="Intense Emphasis"/>
    <w:basedOn w:val="DefaultParagraphFont"/>
    <w:uiPriority w:val="21"/>
    <w:qFormat/>
    <w:rsid w:val="00EE3AC8"/>
    <w:rPr>
      <w:i/>
      <w:iCs/>
      <w:color w:val="4F81BD" w:themeColor="accent1"/>
    </w:rPr>
  </w:style>
  <w:style w:type="character" w:styleId="IntenseReference">
    <w:name w:val="Intense Reference"/>
    <w:basedOn w:val="DefaultParagraphFont"/>
    <w:uiPriority w:val="32"/>
    <w:qFormat/>
    <w:rsid w:val="00EE3AC8"/>
    <w:rPr>
      <w:b/>
      <w:bCs/>
      <w:smallCaps/>
      <w:color w:val="4F81BD" w:themeColor="accent1"/>
      <w:spacing w:val="5"/>
    </w:rPr>
  </w:style>
  <w:style w:type="table" w:styleId="LightGrid-Accent1">
    <w:name w:val="Light Grid Accent 1"/>
    <w:basedOn w:val="TableNormal"/>
    <w:uiPriority w:val="62"/>
    <w:semiHidden/>
    <w:unhideWhenUsed/>
    <w:rsid w:val="00EE3A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EE3A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EE3A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EE3A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EE3A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EE3A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semiHidden/>
    <w:unhideWhenUsed/>
    <w:rsid w:val="00EE3A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EE3A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EE3A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EE3A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EE3A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EE3A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EE3A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E3A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EE3AC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EE3AC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EE3AC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EE3AC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EE3AC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1">
    <w:name w:val="List Table 1 Light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EE3A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EE3AC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EE3AC8"/>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EE3AC8"/>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EE3AC8"/>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EE3AC8"/>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EE3AC8"/>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EE3A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EE3AC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EE3AC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EE3AC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EE3AC8"/>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EE3AC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EE3AC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EE3A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EE3AC8"/>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EE3AC8"/>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EE3AC8"/>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EE3AC8"/>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EE3AC8"/>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EE3AC8"/>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EE3A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EE3AC8"/>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EE3AC8"/>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EE3AC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EE3AC8"/>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EE3AC8"/>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EE3AC8"/>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EE3A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EE3AC8"/>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EE3AC8"/>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EE3AC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EE3AC8"/>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EE3AC8"/>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EE3AC8"/>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EE3A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E3A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EE3A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EE3A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EE3A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EE3A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EE3A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E3A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3A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E3A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E3A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E3A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E3A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E3A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EE3AC8"/>
    <w:rPr>
      <w:color w:val="2B579A"/>
      <w:shd w:val="clear" w:color="auto" w:fill="E6E6E6"/>
    </w:rPr>
  </w:style>
  <w:style w:type="table" w:customStyle="1" w:styleId="PlainTable31">
    <w:name w:val="Plain Table 31"/>
    <w:basedOn w:val="TableNormal"/>
    <w:uiPriority w:val="43"/>
    <w:rsid w:val="00EE3A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E3A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E3A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EE3AC8"/>
    <w:rPr>
      <w:u w:val="dotted"/>
    </w:rPr>
  </w:style>
  <w:style w:type="character" w:styleId="SubtleEmphasis">
    <w:name w:val="Subtle Emphasis"/>
    <w:basedOn w:val="DefaultParagraphFont"/>
    <w:uiPriority w:val="19"/>
    <w:qFormat/>
    <w:rsid w:val="00EE3AC8"/>
    <w:rPr>
      <w:i/>
      <w:iCs/>
      <w:color w:val="404040" w:themeColor="text1" w:themeTint="BF"/>
    </w:rPr>
  </w:style>
  <w:style w:type="character" w:styleId="SubtleReference">
    <w:name w:val="Subtle Reference"/>
    <w:basedOn w:val="DefaultParagraphFont"/>
    <w:uiPriority w:val="31"/>
    <w:qFormat/>
    <w:rsid w:val="00EE3AC8"/>
    <w:rPr>
      <w:smallCaps/>
      <w:color w:val="5A5A5A" w:themeColor="text1" w:themeTint="A5"/>
    </w:rPr>
  </w:style>
  <w:style w:type="paragraph" w:customStyle="1" w:styleId="Paragraph">
    <w:name w:val="Paragraph"/>
    <w:link w:val="ParagraphChar"/>
    <w:qFormat/>
    <w:rsid w:val="00F913F9"/>
    <w:pPr>
      <w:spacing w:after="240" w:line="240" w:lineRule="auto"/>
    </w:pPr>
    <w:rPr>
      <w:rFonts w:ascii="Times New Roman" w:eastAsia="Times New Roman" w:hAnsi="Times New Roman" w:cs="Times New Roman"/>
      <w:sz w:val="24"/>
      <w:szCs w:val="24"/>
      <w:lang w:val="en-GB"/>
    </w:rPr>
  </w:style>
  <w:style w:type="character" w:customStyle="1" w:styleId="ParagraphChar">
    <w:name w:val="Paragraph Char"/>
    <w:basedOn w:val="DefaultParagraphFont"/>
    <w:link w:val="Paragraph"/>
    <w:rsid w:val="00F913F9"/>
    <w:rPr>
      <w:rFonts w:ascii="Times New Roman" w:eastAsia="Times New Roman" w:hAnsi="Times New Roman" w:cs="Times New Roman"/>
      <w:sz w:val="24"/>
      <w:szCs w:val="24"/>
      <w:lang w:val="en-GB"/>
    </w:rPr>
  </w:style>
  <w:style w:type="table" w:styleId="Table3Deffects1">
    <w:name w:val="Table 3D effects 1"/>
    <w:basedOn w:val="TableNormal"/>
    <w:semiHidden/>
    <w:rsid w:val="003B7CFF"/>
    <w:pPr>
      <w:spacing w:after="0" w:line="240" w:lineRule="auto"/>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7CFF"/>
    <w:pPr>
      <w:spacing w:after="0" w:line="240" w:lineRule="auto"/>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7CFF"/>
    <w:pPr>
      <w:spacing w:after="0" w:line="240" w:lineRule="auto"/>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Text">
    <w:name w:val="Table Text"/>
    <w:semiHidden/>
    <w:rsid w:val="003B7CFF"/>
    <w:pPr>
      <w:spacing w:before="40" w:after="40" w:line="240" w:lineRule="auto"/>
      <w:jc w:val="center"/>
    </w:pPr>
    <w:rPr>
      <w:rFonts w:ascii="Times New Roman" w:eastAsia="Times New Roman" w:hAnsi="Times New Roman" w:cs="Times New Roman"/>
      <w:sz w:val="20"/>
      <w:szCs w:val="20"/>
      <w:lang w:val="en-GB"/>
    </w:rPr>
  </w:style>
  <w:style w:type="table" w:styleId="TableGrid1">
    <w:name w:val="Table Grid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B7CFF"/>
    <w:pPr>
      <w:ind w:left="240" w:hanging="240"/>
    </w:pPr>
  </w:style>
  <w:style w:type="table" w:styleId="TableProfessional">
    <w:name w:val="Table Professional"/>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RowHead">
    <w:name w:val="Table Row Head"/>
    <w:basedOn w:val="TableText"/>
    <w:semiHidden/>
    <w:rsid w:val="003B7CFF"/>
    <w:pPr>
      <w:tabs>
        <w:tab w:val="left" w:pos="360"/>
      </w:tabs>
      <w:jc w:val="left"/>
    </w:pPr>
  </w:style>
  <w:style w:type="table" w:styleId="TableSimple1">
    <w:name w:val="Table Simple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ummaryHead">
    <w:name w:val="Table Summary Head"/>
    <w:basedOn w:val="TableText"/>
    <w:semiHidden/>
    <w:rsid w:val="003B7CFF"/>
  </w:style>
  <w:style w:type="paragraph" w:customStyle="1" w:styleId="TableSummaryTitle">
    <w:name w:val="Table Summary Title"/>
    <w:basedOn w:val="TableTitle"/>
    <w:next w:val="TableHead"/>
    <w:semiHidden/>
    <w:rsid w:val="003B7CFF"/>
    <w:pPr>
      <w:pageBreakBefore/>
    </w:pPr>
  </w:style>
  <w:style w:type="table" w:styleId="TableTheme">
    <w:name w:val="Table Theme"/>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tudyTitle">
    <w:name w:val="A-Study Title"/>
    <w:basedOn w:val="Normal"/>
    <w:rsid w:val="00B43B70"/>
    <w:pPr>
      <w:spacing w:after="120" w:line="280" w:lineRule="atLeast"/>
      <w:jc w:val="center"/>
    </w:pPr>
    <w:rPr>
      <w:rFonts w:ascii="Arial" w:hAnsi="Arial"/>
      <w:b/>
      <w:sz w:val="32"/>
      <w:szCs w:val="20"/>
    </w:rPr>
  </w:style>
  <w:style w:type="paragraph" w:customStyle="1" w:styleId="Default">
    <w:name w:val="Default"/>
    <w:rsid w:val="00377BA0"/>
    <w:pPr>
      <w:autoSpaceDE w:val="0"/>
      <w:autoSpaceDN w:val="0"/>
      <w:adjustRightInd w:val="0"/>
      <w:spacing w:after="0" w:line="240" w:lineRule="auto"/>
    </w:pPr>
    <w:rPr>
      <w:rFonts w:ascii="Cambria" w:hAnsi="Cambria" w:cs="Cambria"/>
      <w:color w:val="000000"/>
      <w:sz w:val="24"/>
      <w:szCs w:val="24"/>
    </w:rPr>
  </w:style>
  <w:style w:type="table" w:customStyle="1" w:styleId="TableGrid10">
    <w:name w:val="Table Grid1"/>
    <w:basedOn w:val="TableNormal"/>
    <w:next w:val="TableGrid"/>
    <w:uiPriority w:val="59"/>
    <w:rsid w:val="00EF1950"/>
    <w:pPr>
      <w:spacing w:after="0" w:line="240" w:lineRule="auto"/>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66B2"/>
    <w:pPr>
      <w:spacing w:after="0" w:line="240" w:lineRule="auto"/>
    </w:pPr>
    <w:rPr>
      <w:rFonts w:ascii="Times New Roman" w:eastAsia="Times New Roman" w:hAnsi="Times New Roman" w:cs="Times New Roman"/>
      <w:sz w:val="24"/>
      <w:szCs w:val="24"/>
      <w:lang w:val="en-GB"/>
    </w:rPr>
  </w:style>
  <w:style w:type="character" w:customStyle="1" w:styleId="UnresolvedMention2">
    <w:name w:val="Unresolved Mention2"/>
    <w:basedOn w:val="DefaultParagraphFont"/>
    <w:uiPriority w:val="99"/>
    <w:semiHidden/>
    <w:unhideWhenUsed/>
    <w:rsid w:val="009E54C3"/>
    <w:rPr>
      <w:color w:val="605E5C"/>
      <w:shd w:val="clear" w:color="auto" w:fill="E1DFDD"/>
    </w:rPr>
  </w:style>
  <w:style w:type="character" w:customStyle="1" w:styleId="hilighti1">
    <w:name w:val="hilighti1"/>
    <w:basedOn w:val="DefaultParagraphFont"/>
    <w:rsid w:val="00F66477"/>
    <w:rPr>
      <w:color w:val="FF0000"/>
      <w:u w:val="single"/>
    </w:rPr>
  </w:style>
  <w:style w:type="character" w:customStyle="1" w:styleId="normaltextrun">
    <w:name w:val="normaltextrun"/>
    <w:basedOn w:val="DefaultParagraphFont"/>
    <w:rsid w:val="007E6256"/>
  </w:style>
  <w:style w:type="character" w:customStyle="1" w:styleId="xmchange">
    <w:name w:val="xmchange"/>
    <w:rsid w:val="00A77DBD"/>
  </w:style>
  <w:style w:type="paragraph" w:customStyle="1" w:styleId="paragraph0">
    <w:name w:val="paragraph"/>
    <w:basedOn w:val="Normal"/>
    <w:rsid w:val="00454C76"/>
    <w:pPr>
      <w:spacing w:before="100" w:beforeAutospacing="1" w:after="100" w:afterAutospacing="1" w:line="240" w:lineRule="auto"/>
    </w:pPr>
    <w:rPr>
      <w:lang w:val="sv-SE" w:eastAsia="sv-SE"/>
    </w:rPr>
  </w:style>
  <w:style w:type="paragraph" w:customStyle="1" w:styleId="Heading5unnumbered">
    <w:name w:val="Heading 5 unnumbered"/>
    <w:basedOn w:val="Heading4Unnumbered"/>
    <w:uiPriority w:val="99"/>
    <w:qFormat/>
    <w:rsid w:val="00167CF9"/>
    <w:rPr>
      <w:rFonts w:eastAsia="Calibri,Arial"/>
      <w:b w:val="0"/>
      <w:bCs w:val="0"/>
      <w:iCs/>
      <w:bdr w:val="none" w:sz="0" w:space="0" w:color="auto" w:frame="1"/>
    </w:rPr>
  </w:style>
  <w:style w:type="table" w:customStyle="1" w:styleId="TableGrid20">
    <w:name w:val="Table Grid2"/>
    <w:basedOn w:val="TableNormal"/>
    <w:uiPriority w:val="59"/>
    <w:rsid w:val="002D2BF7"/>
    <w:pPr>
      <w:spacing w:after="0" w:line="240" w:lineRule="auto"/>
    </w:pPr>
    <w:rPr>
      <w:rFonts w:ascii="Times New Roman" w:eastAsia="SimSu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48075E"/>
    <w:rPr>
      <w:color w:val="605E5C"/>
      <w:shd w:val="clear" w:color="auto" w:fill="E1DFDD"/>
    </w:rPr>
  </w:style>
  <w:style w:type="character" w:customStyle="1" w:styleId="TableLeftChar">
    <w:name w:val="Table Left Char"/>
    <w:basedOn w:val="ParagraphChar"/>
    <w:link w:val="TableLeft"/>
    <w:uiPriority w:val="99"/>
    <w:rsid w:val="007A6A01"/>
    <w:rPr>
      <w:rFonts w:ascii="Times New Roman" w:eastAsia="Times New Roman" w:hAnsi="Times New Roman" w:cs="Arial"/>
      <w:bCs/>
      <w:kern w:val="32"/>
      <w:sz w:val="20"/>
      <w:szCs w:val="24"/>
      <w:lang w:val="en-GB"/>
    </w:rPr>
  </w:style>
  <w:style w:type="paragraph" w:customStyle="1" w:styleId="Heading6unnumbered">
    <w:name w:val="Heading 6 unnumbered"/>
    <w:basedOn w:val="Heading5unnumbered"/>
    <w:uiPriority w:val="99"/>
    <w:qFormat/>
    <w:rsid w:val="008A28BE"/>
    <w:rPr>
      <w:i w:val="0"/>
      <w:iCs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8809">
      <w:bodyDiv w:val="1"/>
      <w:marLeft w:val="0"/>
      <w:marRight w:val="0"/>
      <w:marTop w:val="0"/>
      <w:marBottom w:val="0"/>
      <w:divBdr>
        <w:top w:val="none" w:sz="0" w:space="0" w:color="auto"/>
        <w:left w:val="none" w:sz="0" w:space="0" w:color="auto"/>
        <w:bottom w:val="none" w:sz="0" w:space="0" w:color="auto"/>
        <w:right w:val="none" w:sz="0" w:space="0" w:color="auto"/>
      </w:divBdr>
    </w:div>
    <w:div w:id="312950766">
      <w:bodyDiv w:val="1"/>
      <w:marLeft w:val="0"/>
      <w:marRight w:val="0"/>
      <w:marTop w:val="0"/>
      <w:marBottom w:val="0"/>
      <w:divBdr>
        <w:top w:val="none" w:sz="0" w:space="0" w:color="auto"/>
        <w:left w:val="none" w:sz="0" w:space="0" w:color="auto"/>
        <w:bottom w:val="none" w:sz="0" w:space="0" w:color="auto"/>
        <w:right w:val="none" w:sz="0" w:space="0" w:color="auto"/>
      </w:divBdr>
    </w:div>
    <w:div w:id="333067918">
      <w:bodyDiv w:val="1"/>
      <w:marLeft w:val="0"/>
      <w:marRight w:val="0"/>
      <w:marTop w:val="0"/>
      <w:marBottom w:val="0"/>
      <w:divBdr>
        <w:top w:val="none" w:sz="0" w:space="0" w:color="auto"/>
        <w:left w:val="none" w:sz="0" w:space="0" w:color="auto"/>
        <w:bottom w:val="none" w:sz="0" w:space="0" w:color="auto"/>
        <w:right w:val="none" w:sz="0" w:space="0" w:color="auto"/>
      </w:divBdr>
    </w:div>
    <w:div w:id="378475082">
      <w:bodyDiv w:val="1"/>
      <w:marLeft w:val="0"/>
      <w:marRight w:val="0"/>
      <w:marTop w:val="0"/>
      <w:marBottom w:val="0"/>
      <w:divBdr>
        <w:top w:val="none" w:sz="0" w:space="0" w:color="auto"/>
        <w:left w:val="none" w:sz="0" w:space="0" w:color="auto"/>
        <w:bottom w:val="none" w:sz="0" w:space="0" w:color="auto"/>
        <w:right w:val="none" w:sz="0" w:space="0" w:color="auto"/>
      </w:divBdr>
    </w:div>
    <w:div w:id="441845469">
      <w:bodyDiv w:val="1"/>
      <w:marLeft w:val="0"/>
      <w:marRight w:val="0"/>
      <w:marTop w:val="0"/>
      <w:marBottom w:val="0"/>
      <w:divBdr>
        <w:top w:val="none" w:sz="0" w:space="0" w:color="auto"/>
        <w:left w:val="none" w:sz="0" w:space="0" w:color="auto"/>
        <w:bottom w:val="none" w:sz="0" w:space="0" w:color="auto"/>
        <w:right w:val="none" w:sz="0" w:space="0" w:color="auto"/>
      </w:divBdr>
    </w:div>
    <w:div w:id="557398776">
      <w:bodyDiv w:val="1"/>
      <w:marLeft w:val="0"/>
      <w:marRight w:val="0"/>
      <w:marTop w:val="0"/>
      <w:marBottom w:val="0"/>
      <w:divBdr>
        <w:top w:val="none" w:sz="0" w:space="0" w:color="auto"/>
        <w:left w:val="none" w:sz="0" w:space="0" w:color="auto"/>
        <w:bottom w:val="none" w:sz="0" w:space="0" w:color="auto"/>
        <w:right w:val="none" w:sz="0" w:space="0" w:color="auto"/>
      </w:divBdr>
    </w:div>
    <w:div w:id="574828372">
      <w:bodyDiv w:val="1"/>
      <w:marLeft w:val="0"/>
      <w:marRight w:val="0"/>
      <w:marTop w:val="0"/>
      <w:marBottom w:val="0"/>
      <w:divBdr>
        <w:top w:val="none" w:sz="0" w:space="0" w:color="auto"/>
        <w:left w:val="none" w:sz="0" w:space="0" w:color="auto"/>
        <w:bottom w:val="none" w:sz="0" w:space="0" w:color="auto"/>
        <w:right w:val="none" w:sz="0" w:space="0" w:color="auto"/>
      </w:divBdr>
    </w:div>
    <w:div w:id="590503475">
      <w:bodyDiv w:val="1"/>
      <w:marLeft w:val="0"/>
      <w:marRight w:val="0"/>
      <w:marTop w:val="0"/>
      <w:marBottom w:val="0"/>
      <w:divBdr>
        <w:top w:val="none" w:sz="0" w:space="0" w:color="auto"/>
        <w:left w:val="none" w:sz="0" w:space="0" w:color="auto"/>
        <w:bottom w:val="none" w:sz="0" w:space="0" w:color="auto"/>
        <w:right w:val="none" w:sz="0" w:space="0" w:color="auto"/>
      </w:divBdr>
    </w:div>
    <w:div w:id="597326186">
      <w:bodyDiv w:val="1"/>
      <w:marLeft w:val="0"/>
      <w:marRight w:val="0"/>
      <w:marTop w:val="0"/>
      <w:marBottom w:val="0"/>
      <w:divBdr>
        <w:top w:val="none" w:sz="0" w:space="0" w:color="auto"/>
        <w:left w:val="none" w:sz="0" w:space="0" w:color="auto"/>
        <w:bottom w:val="none" w:sz="0" w:space="0" w:color="auto"/>
        <w:right w:val="none" w:sz="0" w:space="0" w:color="auto"/>
      </w:divBdr>
    </w:div>
    <w:div w:id="656081385">
      <w:bodyDiv w:val="1"/>
      <w:marLeft w:val="0"/>
      <w:marRight w:val="0"/>
      <w:marTop w:val="0"/>
      <w:marBottom w:val="0"/>
      <w:divBdr>
        <w:top w:val="none" w:sz="0" w:space="0" w:color="auto"/>
        <w:left w:val="none" w:sz="0" w:space="0" w:color="auto"/>
        <w:bottom w:val="none" w:sz="0" w:space="0" w:color="auto"/>
        <w:right w:val="none" w:sz="0" w:space="0" w:color="auto"/>
      </w:divBdr>
    </w:div>
    <w:div w:id="661006653">
      <w:bodyDiv w:val="1"/>
      <w:marLeft w:val="0"/>
      <w:marRight w:val="0"/>
      <w:marTop w:val="0"/>
      <w:marBottom w:val="0"/>
      <w:divBdr>
        <w:top w:val="none" w:sz="0" w:space="0" w:color="auto"/>
        <w:left w:val="none" w:sz="0" w:space="0" w:color="auto"/>
        <w:bottom w:val="none" w:sz="0" w:space="0" w:color="auto"/>
        <w:right w:val="none" w:sz="0" w:space="0" w:color="auto"/>
      </w:divBdr>
    </w:div>
    <w:div w:id="687944924">
      <w:bodyDiv w:val="1"/>
      <w:marLeft w:val="0"/>
      <w:marRight w:val="0"/>
      <w:marTop w:val="0"/>
      <w:marBottom w:val="0"/>
      <w:divBdr>
        <w:top w:val="none" w:sz="0" w:space="0" w:color="auto"/>
        <w:left w:val="none" w:sz="0" w:space="0" w:color="auto"/>
        <w:bottom w:val="none" w:sz="0" w:space="0" w:color="auto"/>
        <w:right w:val="none" w:sz="0" w:space="0" w:color="auto"/>
      </w:divBdr>
    </w:div>
    <w:div w:id="799809047">
      <w:bodyDiv w:val="1"/>
      <w:marLeft w:val="0"/>
      <w:marRight w:val="0"/>
      <w:marTop w:val="0"/>
      <w:marBottom w:val="0"/>
      <w:divBdr>
        <w:top w:val="none" w:sz="0" w:space="0" w:color="auto"/>
        <w:left w:val="none" w:sz="0" w:space="0" w:color="auto"/>
        <w:bottom w:val="none" w:sz="0" w:space="0" w:color="auto"/>
        <w:right w:val="none" w:sz="0" w:space="0" w:color="auto"/>
      </w:divBdr>
    </w:div>
    <w:div w:id="924463432">
      <w:bodyDiv w:val="1"/>
      <w:marLeft w:val="0"/>
      <w:marRight w:val="0"/>
      <w:marTop w:val="0"/>
      <w:marBottom w:val="0"/>
      <w:divBdr>
        <w:top w:val="none" w:sz="0" w:space="0" w:color="auto"/>
        <w:left w:val="none" w:sz="0" w:space="0" w:color="auto"/>
        <w:bottom w:val="none" w:sz="0" w:space="0" w:color="auto"/>
        <w:right w:val="none" w:sz="0" w:space="0" w:color="auto"/>
      </w:divBdr>
    </w:div>
    <w:div w:id="1115636434">
      <w:bodyDiv w:val="1"/>
      <w:marLeft w:val="0"/>
      <w:marRight w:val="0"/>
      <w:marTop w:val="0"/>
      <w:marBottom w:val="0"/>
      <w:divBdr>
        <w:top w:val="none" w:sz="0" w:space="0" w:color="auto"/>
        <w:left w:val="none" w:sz="0" w:space="0" w:color="auto"/>
        <w:bottom w:val="none" w:sz="0" w:space="0" w:color="auto"/>
        <w:right w:val="none" w:sz="0" w:space="0" w:color="auto"/>
      </w:divBdr>
    </w:div>
    <w:div w:id="1209144684">
      <w:bodyDiv w:val="1"/>
      <w:marLeft w:val="0"/>
      <w:marRight w:val="0"/>
      <w:marTop w:val="0"/>
      <w:marBottom w:val="0"/>
      <w:divBdr>
        <w:top w:val="none" w:sz="0" w:space="0" w:color="auto"/>
        <w:left w:val="none" w:sz="0" w:space="0" w:color="auto"/>
        <w:bottom w:val="none" w:sz="0" w:space="0" w:color="auto"/>
        <w:right w:val="none" w:sz="0" w:space="0" w:color="auto"/>
      </w:divBdr>
    </w:div>
    <w:div w:id="1269698838">
      <w:bodyDiv w:val="1"/>
      <w:marLeft w:val="0"/>
      <w:marRight w:val="0"/>
      <w:marTop w:val="0"/>
      <w:marBottom w:val="0"/>
      <w:divBdr>
        <w:top w:val="none" w:sz="0" w:space="0" w:color="auto"/>
        <w:left w:val="none" w:sz="0" w:space="0" w:color="auto"/>
        <w:bottom w:val="none" w:sz="0" w:space="0" w:color="auto"/>
        <w:right w:val="none" w:sz="0" w:space="0" w:color="auto"/>
      </w:divBdr>
    </w:div>
    <w:div w:id="1365205966">
      <w:bodyDiv w:val="1"/>
      <w:marLeft w:val="0"/>
      <w:marRight w:val="0"/>
      <w:marTop w:val="0"/>
      <w:marBottom w:val="0"/>
      <w:divBdr>
        <w:top w:val="none" w:sz="0" w:space="0" w:color="auto"/>
        <w:left w:val="none" w:sz="0" w:space="0" w:color="auto"/>
        <w:bottom w:val="none" w:sz="0" w:space="0" w:color="auto"/>
        <w:right w:val="none" w:sz="0" w:space="0" w:color="auto"/>
      </w:divBdr>
    </w:div>
    <w:div w:id="1525947105">
      <w:bodyDiv w:val="1"/>
      <w:marLeft w:val="0"/>
      <w:marRight w:val="0"/>
      <w:marTop w:val="0"/>
      <w:marBottom w:val="0"/>
      <w:divBdr>
        <w:top w:val="none" w:sz="0" w:space="0" w:color="auto"/>
        <w:left w:val="none" w:sz="0" w:space="0" w:color="auto"/>
        <w:bottom w:val="none" w:sz="0" w:space="0" w:color="auto"/>
        <w:right w:val="none" w:sz="0" w:space="0" w:color="auto"/>
      </w:divBdr>
    </w:div>
    <w:div w:id="1565679156">
      <w:bodyDiv w:val="1"/>
      <w:marLeft w:val="0"/>
      <w:marRight w:val="0"/>
      <w:marTop w:val="0"/>
      <w:marBottom w:val="0"/>
      <w:divBdr>
        <w:top w:val="none" w:sz="0" w:space="0" w:color="auto"/>
        <w:left w:val="none" w:sz="0" w:space="0" w:color="auto"/>
        <w:bottom w:val="none" w:sz="0" w:space="0" w:color="auto"/>
        <w:right w:val="none" w:sz="0" w:space="0" w:color="auto"/>
      </w:divBdr>
    </w:div>
    <w:div w:id="1762525672">
      <w:bodyDiv w:val="1"/>
      <w:marLeft w:val="0"/>
      <w:marRight w:val="0"/>
      <w:marTop w:val="0"/>
      <w:marBottom w:val="0"/>
      <w:divBdr>
        <w:top w:val="none" w:sz="0" w:space="0" w:color="auto"/>
        <w:left w:val="none" w:sz="0" w:space="0" w:color="auto"/>
        <w:bottom w:val="none" w:sz="0" w:space="0" w:color="auto"/>
        <w:right w:val="none" w:sz="0" w:space="0" w:color="auto"/>
      </w:divBdr>
    </w:div>
    <w:div w:id="1779522435">
      <w:bodyDiv w:val="1"/>
      <w:marLeft w:val="0"/>
      <w:marRight w:val="0"/>
      <w:marTop w:val="0"/>
      <w:marBottom w:val="0"/>
      <w:divBdr>
        <w:top w:val="none" w:sz="0" w:space="0" w:color="auto"/>
        <w:left w:val="none" w:sz="0" w:space="0" w:color="auto"/>
        <w:bottom w:val="none" w:sz="0" w:space="0" w:color="auto"/>
        <w:right w:val="none" w:sz="0" w:space="0" w:color="auto"/>
      </w:divBdr>
    </w:div>
    <w:div w:id="1916628670">
      <w:bodyDiv w:val="1"/>
      <w:marLeft w:val="0"/>
      <w:marRight w:val="0"/>
      <w:marTop w:val="0"/>
      <w:marBottom w:val="0"/>
      <w:divBdr>
        <w:top w:val="none" w:sz="0" w:space="0" w:color="auto"/>
        <w:left w:val="none" w:sz="0" w:space="0" w:color="auto"/>
        <w:bottom w:val="none" w:sz="0" w:space="0" w:color="auto"/>
        <w:right w:val="none" w:sz="0" w:space="0" w:color="auto"/>
      </w:divBdr>
    </w:div>
    <w:div w:id="2008435041">
      <w:bodyDiv w:val="1"/>
      <w:marLeft w:val="0"/>
      <w:marRight w:val="0"/>
      <w:marTop w:val="0"/>
      <w:marBottom w:val="0"/>
      <w:divBdr>
        <w:top w:val="none" w:sz="0" w:space="0" w:color="auto"/>
        <w:left w:val="none" w:sz="0" w:space="0" w:color="auto"/>
        <w:bottom w:val="none" w:sz="0" w:space="0" w:color="auto"/>
        <w:right w:val="none" w:sz="0" w:space="0" w:color="auto"/>
      </w:divBdr>
    </w:div>
    <w:div w:id="211474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fw043\Box%20Sync\AU-COMM-REGAFFAIRS-S\Administration\Forms%20and%20Templates\Mod%201%20&amp;%20labelling\pi-annotated-template-black-triangle%201709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B5A513F9F2304C8EE8A520918F4A3F" ma:contentTypeVersion="6" ma:contentTypeDescription="Create a new document." ma:contentTypeScope="" ma:versionID="8a9f538648411229a549266d0adcf36d">
  <xsd:schema xmlns:xsd="http://www.w3.org/2001/XMLSchema" xmlns:xs="http://www.w3.org/2001/XMLSchema" xmlns:p="http://schemas.microsoft.com/office/2006/metadata/properties" xmlns:ns2="843dea17-4a78-4ebd-ac38-b3fbbbf52d45" xmlns:ns3="2766358e-c5db-4527-af22-35354282ebc6" targetNamespace="http://schemas.microsoft.com/office/2006/metadata/properties" ma:root="true" ma:fieldsID="c3f881ebe35c9e0198c0389727ca9783" ns2:_="" ns3:_="">
    <xsd:import namespace="843dea17-4a78-4ebd-ac38-b3fbbbf52d45"/>
    <xsd:import namespace="2766358e-c5db-4527-af22-35354282e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dea17-4a78-4ebd-ac38-b3fbbbf52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66358e-c5db-4527-af22-35354282eb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8D8C6D-747E-4BE0-A976-BEA60BD83F1E}">
  <ds:schemaRefs>
    <ds:schemaRef ds:uri="http://schemas.openxmlformats.org/officeDocument/2006/bibliography"/>
  </ds:schemaRefs>
</ds:datastoreItem>
</file>

<file path=customXml/itemProps2.xml><?xml version="1.0" encoding="utf-8"?>
<ds:datastoreItem xmlns:ds="http://schemas.openxmlformats.org/officeDocument/2006/customXml" ds:itemID="{C461552D-F33F-4E8E-8AA6-46C1CE003E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B5AB4D-8652-4B77-997C-E9AA9B939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dea17-4a78-4ebd-ac38-b3fbbbf52d45"/>
    <ds:schemaRef ds:uri="2766358e-c5db-4527-af22-35354282e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8541B0-3163-404B-AD13-F077C4B7A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pi-annotated-template-black-triangle 17092020.dotx</Template>
  <TotalTime>5</TotalTime>
  <Pages>57</Pages>
  <Words>19828</Words>
  <Characters>117384</Characters>
  <Application>Microsoft Office Word</Application>
  <DocSecurity>0</DocSecurity>
  <Lines>2257</Lines>
  <Paragraphs>1162</Paragraphs>
  <ScaleCrop>false</ScaleCrop>
  <HeadingPairs>
    <vt:vector size="2" baseType="variant">
      <vt:variant>
        <vt:lpstr>Title</vt:lpstr>
      </vt:variant>
      <vt:variant>
        <vt:i4>1</vt:i4>
      </vt:variant>
    </vt:vector>
  </HeadingPairs>
  <TitlesOfParts>
    <vt:vector size="1" baseType="lpstr">
      <vt:lpstr>Attachment Product information for Imfinzi</vt:lpstr>
    </vt:vector>
  </TitlesOfParts>
  <Company>AstraZeneca Pty Ltd</Company>
  <LinksUpToDate>false</LinksUpToDate>
  <CharactersWithSpaces>136050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Imfinzi</dc:title>
  <dc:subject>prescription medicines</dc:subject>
  <dc:creator>AstraZeneca Pty Ltd</dc:creator>
  <cp:keywords/>
  <dc:description/>
  <cp:lastModifiedBy>LACK, Janet</cp:lastModifiedBy>
  <cp:revision>3</cp:revision>
  <cp:lastPrinted>2021-08-18T15:45:00Z</cp:lastPrinted>
  <dcterms:created xsi:type="dcterms:W3CDTF">2023-12-20T04:11:00Z</dcterms:created>
  <dcterms:modified xsi:type="dcterms:W3CDTF">2023-12-20T04:16:00Z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ingCaptions">
    <vt:lpwstr>No</vt:lpwstr>
  </property>
  <property fmtid="{D5CDD505-2E9C-101B-9397-08002B2CF9AE}" pid="3" name="Prefix">
    <vt:lpwstr/>
  </property>
  <property fmtid="{D5CDD505-2E9C-101B-9397-08002B2CF9AE}" pid="4" name="ANGEL_Document_ID">
    <vt:lpwstr>ANGEL_DocID</vt:lpwstr>
  </property>
  <property fmtid="{D5CDD505-2E9C-101B-9397-08002B2CF9AE}" pid="5" name="ANGEL_Document_Status">
    <vt:lpwstr>ANGEL_Status </vt:lpwstr>
  </property>
  <property fmtid="{D5CDD505-2E9C-101B-9397-08002B2CF9AE}" pid="6" name="ANGEL_PPN">
    <vt:lpwstr>ANGEL_PPN</vt:lpwstr>
  </property>
  <property fmtid="{D5CDD505-2E9C-101B-9397-08002B2CF9AE}" pid="7" name="ANGEL_Product">
    <vt:lpwstr>ProductName</vt:lpwstr>
  </property>
  <property fmtid="{D5CDD505-2E9C-101B-9397-08002B2CF9AE}" pid="8" name="ANGEL_Study_Code">
    <vt:lpwstr>StudyCode</vt:lpwstr>
  </property>
  <property fmtid="{D5CDD505-2E9C-101B-9397-08002B2CF9AE}" pid="9" name="ANGEL_DosageForm">
    <vt:lpwstr>DosageForm</vt:lpwstr>
  </property>
  <property fmtid="{D5CDD505-2E9C-101B-9397-08002B2CF9AE}" pid="10" name="ANGEL_Version">
    <vt:lpwstr>ANGEL_Version</vt:lpwstr>
  </property>
  <property fmtid="{D5CDD505-2E9C-101B-9397-08002B2CF9AE}" pid="11" name="ANGEL_DocumentName">
    <vt:lpwstr>ANGEL_DocumentName</vt:lpwstr>
  </property>
  <property fmtid="{D5CDD505-2E9C-101B-9397-08002B2CF9AE}" pid="12" name="ContentTypeId">
    <vt:lpwstr>0x01010073B5A513F9F2304C8EE8A520918F4A3F</vt:lpwstr>
  </property>
</Properties>
</file>