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AABE7" w14:textId="77777777" w:rsidR="00375DF3" w:rsidRPr="00377337" w:rsidRDefault="00375DF3" w:rsidP="003B7CFF">
      <w:pPr>
        <w:pStyle w:val="Paragraph"/>
      </w:pPr>
      <w:r w:rsidRPr="00377337">
        <w:rPr>
          <w:noProof/>
        </w:rPr>
        <mc:AlternateContent>
          <mc:Choice Requires="wps">
            <w:drawing>
              <wp:inline distT="0" distB="0" distL="0" distR="0" wp14:anchorId="6D024E39" wp14:editId="0C7FD2FA">
                <wp:extent cx="252095" cy="252095"/>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154402" w14:textId="77777777" w:rsidR="00D85AD0" w:rsidRPr="00BE2A26" w:rsidRDefault="00D85AD0" w:rsidP="003B7CFF">
                            <w:pPr>
                              <w:pStyle w:val="Paragraph"/>
                            </w:pPr>
                            <w:r w:rsidRPr="00BE2A26">
                              <w:rPr>
                                <w:rFonts w:ascii="SimSun" w:eastAsia="SimSun" w:hAnsi="SimSun" w:cs="Arial" w:hint="eastAsia"/>
                                <w:sz w:val="40"/>
                              </w:rPr>
                              <w:t>▼</w:t>
                            </w:r>
                          </w:p>
                        </w:txbxContent>
                      </wps:txbx>
                      <wps:bodyPr rot="0" vert="horz" wrap="square" lIns="0" tIns="0" rIns="0" bIns="0" anchor="t" anchorCtr="0" upright="1">
                        <a:noAutofit/>
                      </wps:bodyPr>
                    </wps:wsp>
                  </a:graphicData>
                </a:graphic>
              </wp:inline>
            </w:drawing>
          </mc:Choice>
          <mc:Fallback>
            <w:pict>
              <v:shapetype w14:anchorId="6D024E39" id="_x0000_t202" coordsize="21600,21600" o:spt="202" path="m,l,21600r21600,l21600,xe">
                <v:stroke joinstyle="miter"/>
                <v:path gradientshapeok="t" o:connecttype="rect"/>
              </v:shapetype>
              <v:shape id="Text Box 1" o:spid="_x0000_s1026" type="#_x0000_t202" style="width:19.8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" stroked="f">
                <v:textbox inset="0,0,0,0">
                  <w:txbxContent>
                    <w:p w14:paraId="52154402" w14:textId="77777777" w:rsidR="00D85AD0" w:rsidRPr="00BE2A26" w:rsidRDefault="00D85AD0" w:rsidP="003B7CFF">
                      <w:pPr>
                        <w:pStyle w:val="Paragraph"/>
                      </w:pPr>
                      <w:r w:rsidRPr="00BE2A26">
                        <w:rPr>
                          <w:rFonts w:ascii="SimSun" w:eastAsia="SimSun" w:hAnsi="SimSun" w:cs="Arial" w:hint="eastAsia"/>
                          <w:sz w:val="40"/>
                        </w:rPr>
                        <w:t>▼</w:t>
                      </w:r>
                    </w:p>
                  </w:txbxContent>
                </v:textbox>
                <w10:anchorlock/>
              </v:shape>
            </w:pict>
          </mc:Fallback>
        </mc:AlternateContent>
      </w:r>
      <w:r w:rsidR="001A3992" w:rsidRPr="00377337">
        <w:t>This medicinal product is subject to additional monitoring in Australia. This will allow quick identification of new safety information. Healthcare professionals are asked to report any suspected adverse events at</w:t>
      </w:r>
      <w:r w:rsidR="008958C0">
        <w:t xml:space="preserve"> www.tga.gov.au/reporting-problems.</w:t>
      </w:r>
    </w:p>
    <w:p w14:paraId="68516CCC" w14:textId="77777777" w:rsidR="00ED27EC" w:rsidRDefault="006018AE" w:rsidP="00ED27EC">
      <w:pPr>
        <w:pStyle w:val="Heading1Unnumbered"/>
        <w:rPr>
          <w:rFonts w:eastAsia="SimSun"/>
        </w:rPr>
      </w:pPr>
      <w:r w:rsidRPr="00377337">
        <w:rPr>
          <w:rFonts w:eastAsia="SimSun"/>
        </w:rPr>
        <w:t>Australian P</w:t>
      </w:r>
      <w:r w:rsidR="00A32E10">
        <w:rPr>
          <w:rFonts w:eastAsia="SimSun"/>
        </w:rPr>
        <w:t xml:space="preserve">RODUCT </w:t>
      </w:r>
      <w:r w:rsidRPr="00377337">
        <w:rPr>
          <w:rFonts w:eastAsia="SimSun"/>
        </w:rPr>
        <w:t>I</w:t>
      </w:r>
      <w:r w:rsidR="00A32E10">
        <w:rPr>
          <w:rFonts w:eastAsia="SimSun"/>
        </w:rPr>
        <w:t>NFORMATION</w:t>
      </w:r>
    </w:p>
    <w:p w14:paraId="0548BC0A" w14:textId="27572AFC" w:rsidR="0075713D" w:rsidRPr="0075713D" w:rsidRDefault="0075713D" w:rsidP="0075713D">
      <w:pPr>
        <w:pStyle w:val="Heading1Unnumbered"/>
        <w:rPr>
          <w:rFonts w:eastAsia="SimSun"/>
        </w:rPr>
      </w:pPr>
      <w:r>
        <w:rPr>
          <w:rFonts w:eastAsia="SimSun"/>
          <w:caps w:val="0"/>
        </w:rPr>
        <w:t>IMJUDO</w:t>
      </w:r>
      <w:r w:rsidR="008A35FB" w:rsidRPr="008A35FB">
        <w:rPr>
          <w:rFonts w:eastAsia="SimSun"/>
          <w:vertAlign w:val="superscript"/>
        </w:rPr>
        <w:t>®</w:t>
      </w:r>
      <w:r w:rsidR="00ED27EC">
        <w:rPr>
          <w:rFonts w:eastAsia="SimSun"/>
          <w:caps w:val="0"/>
        </w:rPr>
        <w:t xml:space="preserve"> </w:t>
      </w:r>
      <w:r w:rsidR="00C85970">
        <w:rPr>
          <w:rFonts w:eastAsia="SimSun"/>
        </w:rPr>
        <w:br/>
      </w:r>
      <w:r>
        <w:rPr>
          <w:rFonts w:eastAsia="SimSun"/>
        </w:rPr>
        <w:t>(</w:t>
      </w:r>
      <w:proofErr w:type="spellStart"/>
      <w:r>
        <w:rPr>
          <w:rFonts w:eastAsia="SimSun"/>
          <w:caps w:val="0"/>
        </w:rPr>
        <w:t>tremelimumab</w:t>
      </w:r>
      <w:proofErr w:type="spellEnd"/>
      <w:r>
        <w:rPr>
          <w:rFonts w:eastAsia="SimSun"/>
          <w:caps w:val="0"/>
        </w:rPr>
        <w:t xml:space="preserve">) Injection, </w:t>
      </w:r>
      <w:proofErr w:type="gramStart"/>
      <w:r>
        <w:rPr>
          <w:rFonts w:eastAsia="SimSun"/>
          <w:caps w:val="0"/>
        </w:rPr>
        <w:t>concentrated</w:t>
      </w:r>
      <w:proofErr w:type="gramEnd"/>
    </w:p>
    <w:p w14:paraId="04E7826D" w14:textId="77777777" w:rsidR="001A3992" w:rsidRDefault="001A3992" w:rsidP="00EE3AC8">
      <w:pPr>
        <w:pStyle w:val="Heading1"/>
      </w:pPr>
      <w:r w:rsidRPr="00377337">
        <w:t>Name of the medicine</w:t>
      </w:r>
    </w:p>
    <w:p w14:paraId="35C4A300" w14:textId="773343C3" w:rsidR="0080644B" w:rsidRPr="0080644B" w:rsidRDefault="0075713D" w:rsidP="0080644B">
      <w:pPr>
        <w:pStyle w:val="Paragraph"/>
      </w:pPr>
      <w:proofErr w:type="spellStart"/>
      <w:r>
        <w:t>Tremelimumab</w:t>
      </w:r>
      <w:proofErr w:type="spellEnd"/>
      <w:r w:rsidR="00AB5C54">
        <w:t>.</w:t>
      </w:r>
    </w:p>
    <w:p w14:paraId="53AE0AB2" w14:textId="09E64FE4" w:rsidR="001A3992" w:rsidRDefault="001A3992" w:rsidP="00EE3AC8">
      <w:pPr>
        <w:pStyle w:val="Heading1"/>
      </w:pPr>
      <w:bookmarkStart w:id="0" w:name="_Ref505770391"/>
      <w:r w:rsidRPr="00377337">
        <w:t>Qualitative and quantitative composition</w:t>
      </w:r>
      <w:bookmarkEnd w:id="0"/>
    </w:p>
    <w:p w14:paraId="64F2CDB6" w14:textId="232C0377" w:rsidR="0075713D" w:rsidRPr="006808FA" w:rsidRDefault="0075713D" w:rsidP="0075713D">
      <w:r w:rsidRPr="006808FA">
        <w:t xml:space="preserve">Each mL contains 20 mg of </w:t>
      </w:r>
      <w:r w:rsidR="00AB5C54">
        <w:t>IMJUDO.</w:t>
      </w:r>
    </w:p>
    <w:p w14:paraId="51CAB1FB" w14:textId="77777777" w:rsidR="0075713D" w:rsidRDefault="0075713D" w:rsidP="0075713D">
      <w:pPr>
        <w:pStyle w:val="Default"/>
        <w:rPr>
          <w:color w:val="auto"/>
        </w:rPr>
      </w:pPr>
      <w:r w:rsidRPr="006808FA">
        <w:rPr>
          <w:color w:val="auto"/>
        </w:rPr>
        <w:t xml:space="preserve">Each vial of 1.25 mL contains 25 mg of </w:t>
      </w:r>
      <w:proofErr w:type="spellStart"/>
      <w:r w:rsidRPr="006808FA">
        <w:rPr>
          <w:color w:val="auto"/>
        </w:rPr>
        <w:t>tremelimumab</w:t>
      </w:r>
      <w:proofErr w:type="spellEnd"/>
      <w:r w:rsidRPr="006808FA">
        <w:rPr>
          <w:color w:val="auto"/>
        </w:rPr>
        <w:t>.</w:t>
      </w:r>
    </w:p>
    <w:p w14:paraId="681AD57B" w14:textId="77777777" w:rsidR="0075713D" w:rsidRDefault="0075713D" w:rsidP="0075713D">
      <w:pPr>
        <w:pStyle w:val="Default"/>
        <w:rPr>
          <w:color w:val="auto"/>
        </w:rPr>
      </w:pPr>
    </w:p>
    <w:p w14:paraId="687CADB7" w14:textId="77777777" w:rsidR="0075713D" w:rsidRPr="006808FA" w:rsidRDefault="0075713D" w:rsidP="00AB5C54">
      <w:pPr>
        <w:pStyle w:val="Default"/>
        <w:rPr>
          <w:color w:val="auto"/>
        </w:rPr>
      </w:pPr>
      <w:r>
        <w:rPr>
          <w:color w:val="auto"/>
        </w:rPr>
        <w:t xml:space="preserve">Each vial of 15 mL contains 300 mg of </w:t>
      </w:r>
      <w:proofErr w:type="spellStart"/>
      <w:r>
        <w:rPr>
          <w:color w:val="auto"/>
        </w:rPr>
        <w:t>tremelimumab</w:t>
      </w:r>
      <w:proofErr w:type="spellEnd"/>
      <w:r>
        <w:rPr>
          <w:color w:val="auto"/>
        </w:rPr>
        <w:t>.</w:t>
      </w:r>
    </w:p>
    <w:p w14:paraId="63466F6B" w14:textId="77777777" w:rsidR="00AB5C54" w:rsidRDefault="00AB5C54" w:rsidP="00AB5C54">
      <w:pPr>
        <w:pStyle w:val="Paragraph"/>
        <w:spacing w:after="0"/>
      </w:pPr>
      <w:bookmarkStart w:id="1" w:name="_Hlk505357644"/>
    </w:p>
    <w:p w14:paraId="3FD44242" w14:textId="6838BA0D" w:rsidR="00ED27EC" w:rsidRDefault="00ED27EC" w:rsidP="00AB5C54">
      <w:pPr>
        <w:pStyle w:val="Paragraph"/>
        <w:spacing w:after="0"/>
        <w:rPr>
          <w:rFonts w:eastAsia="SimSun"/>
        </w:rPr>
      </w:pPr>
      <w:r w:rsidRPr="007228AC">
        <w:rPr>
          <w:rFonts w:eastAsia="SimSun"/>
        </w:rPr>
        <w:t xml:space="preserve">For the full list of excipients, see Section </w:t>
      </w:r>
      <w:r w:rsidRPr="007228AC">
        <w:rPr>
          <w:rFonts w:eastAsia="SimSun"/>
        </w:rPr>
        <w:fldChar w:fldCharType="begin"/>
      </w:r>
      <w:r w:rsidRPr="007228AC">
        <w:rPr>
          <w:rFonts w:eastAsia="SimSun"/>
        </w:rPr>
        <w:instrText xml:space="preserve"> REF _Ref505768678 \r \h </w:instrText>
      </w:r>
      <w:r w:rsidR="00986EEB" w:rsidRPr="007228AC">
        <w:rPr>
          <w:rFonts w:eastAsia="SimSun"/>
        </w:rPr>
        <w:instrText xml:space="preserve"> \* MERGEFORMAT </w:instrText>
      </w:r>
      <w:r w:rsidRPr="007228AC">
        <w:rPr>
          <w:rFonts w:eastAsia="SimSun"/>
        </w:rPr>
      </w:r>
      <w:r w:rsidRPr="007228AC">
        <w:rPr>
          <w:rFonts w:eastAsia="SimSun"/>
        </w:rPr>
        <w:fldChar w:fldCharType="separate"/>
      </w:r>
      <w:r w:rsidR="0075713D">
        <w:rPr>
          <w:rFonts w:eastAsia="SimSun"/>
        </w:rPr>
        <w:t>6.1</w:t>
      </w:r>
      <w:r w:rsidRPr="007228AC">
        <w:rPr>
          <w:rFonts w:eastAsia="SimSun"/>
        </w:rPr>
        <w:fldChar w:fldCharType="end"/>
      </w:r>
      <w:r w:rsidR="007228AC" w:rsidRPr="007228AC">
        <w:rPr>
          <w:rFonts w:eastAsia="SimSun"/>
        </w:rPr>
        <w:t xml:space="preserve"> </w:t>
      </w:r>
      <w:r w:rsidR="007228AC" w:rsidRPr="007228AC">
        <w:rPr>
          <w:rFonts w:eastAsia="SimSun"/>
        </w:rPr>
        <w:fldChar w:fldCharType="begin"/>
      </w:r>
      <w:r w:rsidR="007228AC" w:rsidRPr="007228AC">
        <w:rPr>
          <w:rFonts w:eastAsia="SimSun"/>
        </w:rPr>
        <w:instrText xml:space="preserve"> REF _Ref505768678 \h </w:instrText>
      </w:r>
      <w:r w:rsidR="007228AC">
        <w:rPr>
          <w:rFonts w:eastAsia="SimSun"/>
        </w:rPr>
        <w:instrText xml:space="preserve"> \* MERGEFORMAT </w:instrText>
      </w:r>
      <w:r w:rsidR="007228AC" w:rsidRPr="007228AC">
        <w:rPr>
          <w:rFonts w:eastAsia="SimSun"/>
        </w:rPr>
      </w:r>
      <w:r w:rsidR="007228AC" w:rsidRPr="007228AC">
        <w:rPr>
          <w:rFonts w:eastAsia="SimSun"/>
        </w:rPr>
        <w:fldChar w:fldCharType="separate"/>
      </w:r>
      <w:r w:rsidR="0075713D" w:rsidRPr="00377337">
        <w:t>List of excipients</w:t>
      </w:r>
      <w:r w:rsidR="007228AC" w:rsidRPr="007228AC">
        <w:rPr>
          <w:rFonts w:eastAsia="SimSun"/>
        </w:rPr>
        <w:fldChar w:fldCharType="end"/>
      </w:r>
      <w:r w:rsidR="007228AC" w:rsidRPr="007228AC">
        <w:rPr>
          <w:rFonts w:eastAsia="SimSun"/>
        </w:rPr>
        <w:t>.</w:t>
      </w:r>
    </w:p>
    <w:bookmarkEnd w:id="1"/>
    <w:p w14:paraId="4CFEC381" w14:textId="77777777" w:rsidR="001A3992" w:rsidRDefault="001A3992" w:rsidP="00EE3AC8">
      <w:pPr>
        <w:pStyle w:val="Heading1"/>
      </w:pPr>
      <w:r w:rsidRPr="00377337">
        <w:t>Pharmaceutical form</w:t>
      </w:r>
    </w:p>
    <w:p w14:paraId="4BA8C1BF" w14:textId="6A1EE786" w:rsidR="0075713D" w:rsidRDefault="0075713D" w:rsidP="0075713D">
      <w:pPr>
        <w:pStyle w:val="Paragraph"/>
      </w:pPr>
      <w:r>
        <w:t>Injection,</w:t>
      </w:r>
      <w:r w:rsidR="009C2375">
        <w:t xml:space="preserve"> </w:t>
      </w:r>
      <w:r>
        <w:t>concentrated.</w:t>
      </w:r>
    </w:p>
    <w:p w14:paraId="042B3F22" w14:textId="3E0E2340" w:rsidR="00A83AF3" w:rsidRDefault="00A83AF3" w:rsidP="0075713D">
      <w:pPr>
        <w:pStyle w:val="Paragraph"/>
      </w:pPr>
      <w:r w:rsidRPr="006808FA">
        <w:t xml:space="preserve">Sterile, preservative-free, clear to </w:t>
      </w:r>
      <w:r>
        <w:t xml:space="preserve">slightly </w:t>
      </w:r>
      <w:r w:rsidRPr="006808FA">
        <w:t>opalescent, colo</w:t>
      </w:r>
      <w:r>
        <w:t>u</w:t>
      </w:r>
      <w:r w:rsidRPr="006808FA">
        <w:t xml:space="preserve">rless to slightly yellow solution, free from </w:t>
      </w:r>
      <w:r>
        <w:t xml:space="preserve">or practically free from </w:t>
      </w:r>
      <w:r w:rsidRPr="006808FA">
        <w:t>visible particles</w:t>
      </w:r>
      <w:r>
        <w:t>.</w:t>
      </w:r>
    </w:p>
    <w:p w14:paraId="3246E3E7" w14:textId="77777777" w:rsidR="001A3992" w:rsidRPr="00377337" w:rsidRDefault="001A3992" w:rsidP="00EE3AC8">
      <w:pPr>
        <w:pStyle w:val="Heading1"/>
      </w:pPr>
      <w:r w:rsidRPr="00377337">
        <w:t>Clinical particulars</w:t>
      </w:r>
    </w:p>
    <w:p w14:paraId="64A1E04B" w14:textId="77777777" w:rsidR="001A3992" w:rsidRDefault="001A3992" w:rsidP="00EE3AC8">
      <w:pPr>
        <w:pStyle w:val="Heading2"/>
      </w:pPr>
      <w:r w:rsidRPr="00377337">
        <w:t>Therapeutic indi</w:t>
      </w:r>
      <w:r w:rsidR="003B7CFF" w:rsidRPr="00377337">
        <w:t>cations</w:t>
      </w:r>
    </w:p>
    <w:p w14:paraId="7CF555B7" w14:textId="77777777" w:rsidR="00A83AF3" w:rsidRDefault="00A83AF3" w:rsidP="00A83AF3">
      <w:pPr>
        <w:rPr>
          <w:u w:val="single"/>
          <w:lang w:val="en-US"/>
        </w:rPr>
      </w:pPr>
      <w:bookmarkStart w:id="2" w:name="_Hlk97109702"/>
      <w:r>
        <w:rPr>
          <w:u w:val="single"/>
          <w:lang w:val="en-US"/>
        </w:rPr>
        <w:t>Hepatocellular Carcinoma (HCC)</w:t>
      </w:r>
    </w:p>
    <w:p w14:paraId="32DD8E73" w14:textId="2454F811" w:rsidR="0073379F" w:rsidRPr="0073379F" w:rsidRDefault="00A83AF3" w:rsidP="00A83AF3">
      <w:pPr>
        <w:pStyle w:val="Paragraph"/>
        <w:rPr>
          <w:bCs/>
          <w:lang w:val="en-US"/>
        </w:rPr>
      </w:pPr>
      <w:r>
        <w:rPr>
          <w:bCs/>
          <w:lang w:val="en-US"/>
        </w:rPr>
        <w:t xml:space="preserve">IMJUDO in combination with durvalumab is indicated for the treatment of </w:t>
      </w:r>
      <w:r w:rsidR="004D604B">
        <w:rPr>
          <w:bCs/>
          <w:lang w:val="en-US"/>
        </w:rPr>
        <w:t xml:space="preserve">adult </w:t>
      </w:r>
      <w:r>
        <w:rPr>
          <w:bCs/>
          <w:lang w:val="en-US"/>
        </w:rPr>
        <w:t>patients with unresectable hepatocellular carcinoma (</w:t>
      </w:r>
      <w:proofErr w:type="spellStart"/>
      <w:r>
        <w:rPr>
          <w:bCs/>
          <w:lang w:val="en-US"/>
        </w:rPr>
        <w:t>uHCC</w:t>
      </w:r>
      <w:bookmarkEnd w:id="2"/>
      <w:proofErr w:type="spellEnd"/>
      <w:r>
        <w:rPr>
          <w:bCs/>
          <w:lang w:val="en-US"/>
        </w:rPr>
        <w:t>)</w:t>
      </w:r>
      <w:r w:rsidR="00457422">
        <w:rPr>
          <w:bCs/>
          <w:lang w:val="en-US"/>
        </w:rPr>
        <w:t xml:space="preserve"> who have not received prior treatment with a PD-1/PD-L1 inhibitor</w:t>
      </w:r>
      <w:r>
        <w:rPr>
          <w:bCs/>
          <w:lang w:val="en-US"/>
        </w:rPr>
        <w:t>.</w:t>
      </w:r>
    </w:p>
    <w:p w14:paraId="353BFE42" w14:textId="77777777" w:rsidR="003B7CFF" w:rsidRDefault="001A3992" w:rsidP="003B7CFF">
      <w:pPr>
        <w:pStyle w:val="Heading2"/>
      </w:pPr>
      <w:bookmarkStart w:id="3" w:name="_Ref126746108"/>
      <w:r w:rsidRPr="00377337">
        <w:t>Dose and method of administration</w:t>
      </w:r>
      <w:bookmarkEnd w:id="3"/>
    </w:p>
    <w:p w14:paraId="1DB818F7" w14:textId="2D176ABE" w:rsidR="00C655A3" w:rsidRDefault="00C655A3" w:rsidP="00A83AF3">
      <w:pPr>
        <w:pStyle w:val="Paragraph"/>
      </w:pPr>
      <w:r>
        <w:t xml:space="preserve">IMJUDO </w:t>
      </w:r>
      <w:r w:rsidRPr="001D2B1B">
        <w:t>is for single use in one patient only. Discard any residue.</w:t>
      </w:r>
    </w:p>
    <w:p w14:paraId="3C1CE0B6" w14:textId="268D81C5" w:rsidR="00A83AF3" w:rsidRPr="00196FE9" w:rsidRDefault="00A83AF3" w:rsidP="00A83AF3">
      <w:pPr>
        <w:pStyle w:val="Paragraph"/>
        <w:rPr>
          <w:color w:val="FF0000"/>
        </w:rPr>
      </w:pPr>
      <w:r>
        <w:t xml:space="preserve">The recommended dose of IMJUDO is presented in </w:t>
      </w:r>
      <w:r w:rsidR="004852C1">
        <w:fldChar w:fldCharType="begin"/>
      </w:r>
      <w:r w:rsidR="004852C1">
        <w:instrText xml:space="preserve"> REF _Ref97639682 \h </w:instrText>
      </w:r>
      <w:r w:rsidR="004852C1">
        <w:fldChar w:fldCharType="separate"/>
      </w:r>
      <w:r w:rsidR="004852C1">
        <w:t>Table </w:t>
      </w:r>
      <w:r w:rsidR="004852C1">
        <w:rPr>
          <w:noProof/>
        </w:rPr>
        <w:t>1</w:t>
      </w:r>
      <w:r w:rsidR="004852C1">
        <w:fldChar w:fldCharType="end"/>
      </w:r>
    </w:p>
    <w:p w14:paraId="3AE57EC2" w14:textId="512207A0" w:rsidR="00A83AF3" w:rsidRDefault="00A83AF3" w:rsidP="00A83AF3">
      <w:pPr>
        <w:pStyle w:val="Paragraph"/>
      </w:pPr>
      <w:r w:rsidRPr="00314031">
        <w:t>IMJUDO is administered as an intravenous infusion over 1 hour.</w:t>
      </w:r>
    </w:p>
    <w:p w14:paraId="218B75BF" w14:textId="5BD24730" w:rsidR="00B65F2F" w:rsidRDefault="00B65F2F" w:rsidP="00A83AF3">
      <w:pPr>
        <w:pStyle w:val="Paragraph"/>
      </w:pPr>
      <w:r w:rsidRPr="0091566D">
        <w:t>The proposed combination should be administered and monitored under the</w:t>
      </w:r>
      <w:r>
        <w:t xml:space="preserve"> </w:t>
      </w:r>
      <w:r w:rsidRPr="0091566D">
        <w:t>supervision of physicians experienced with the use of immunotherapy.</w:t>
      </w:r>
    </w:p>
    <w:p w14:paraId="113CADC0" w14:textId="32648E89" w:rsidR="00A83AF3" w:rsidRPr="00314031" w:rsidRDefault="004852C1" w:rsidP="004852C1">
      <w:pPr>
        <w:pStyle w:val="TableTitle"/>
      </w:pPr>
      <w:bookmarkStart w:id="4" w:name="_Ref97639682"/>
      <w:r>
        <w:lastRenderedPageBreak/>
        <w:t>Table </w:t>
      </w:r>
      <w:r>
        <w:fldChar w:fldCharType="begin"/>
      </w:r>
      <w:r>
        <w:instrText xml:space="preserve"> SEQ Table \* ARABIC </w:instrText>
      </w:r>
      <w:r>
        <w:fldChar w:fldCharType="separate"/>
      </w:r>
      <w:r>
        <w:rPr>
          <w:noProof/>
        </w:rPr>
        <w:t>1</w:t>
      </w:r>
      <w:r>
        <w:fldChar w:fldCharType="end"/>
      </w:r>
      <w:bookmarkEnd w:id="4"/>
      <w:r>
        <w:tab/>
      </w:r>
      <w:r w:rsidRPr="00314031">
        <w:t xml:space="preserve">Recommended dosage of </w:t>
      </w:r>
      <w:proofErr w:type="gramStart"/>
      <w:r w:rsidRPr="00314031">
        <w:t>IMJUDO</w:t>
      </w:r>
      <w:proofErr w:type="gramEnd"/>
    </w:p>
    <w:tbl>
      <w:tblPr>
        <w:tblStyle w:val="TableGrid"/>
        <w:tblW w:w="0" w:type="auto"/>
        <w:tblLook w:val="04A0" w:firstRow="1" w:lastRow="0" w:firstColumn="1" w:lastColumn="0" w:noHBand="0" w:noVBand="1"/>
      </w:tblPr>
      <w:tblGrid>
        <w:gridCol w:w="2875"/>
        <w:gridCol w:w="3185"/>
        <w:gridCol w:w="3031"/>
      </w:tblGrid>
      <w:tr w:rsidR="00A83AF3" w:rsidRPr="0007452B" w14:paraId="14ED2852" w14:textId="77777777" w:rsidTr="00AB5C54">
        <w:tc>
          <w:tcPr>
            <w:tcW w:w="2875" w:type="dxa"/>
          </w:tcPr>
          <w:p w14:paraId="5FE246FC" w14:textId="77777777" w:rsidR="00A83AF3" w:rsidRPr="00AE311B" w:rsidRDefault="00A83AF3" w:rsidP="00AE311B">
            <w:pPr>
              <w:pStyle w:val="TableHead"/>
            </w:pPr>
            <w:r w:rsidRPr="00AE311B">
              <w:t>Indication</w:t>
            </w:r>
          </w:p>
        </w:tc>
        <w:tc>
          <w:tcPr>
            <w:tcW w:w="3185" w:type="dxa"/>
          </w:tcPr>
          <w:p w14:paraId="06CA2025" w14:textId="715B9979" w:rsidR="00A83AF3" w:rsidRPr="00AE311B" w:rsidRDefault="00A83AF3" w:rsidP="00AE311B">
            <w:pPr>
              <w:pStyle w:val="TableHead"/>
            </w:pPr>
            <w:r w:rsidRPr="00AE311B">
              <w:t xml:space="preserve">Recommended </w:t>
            </w:r>
            <w:r w:rsidR="007B0DDE" w:rsidRPr="00AE311B">
              <w:t>IMJUDO</w:t>
            </w:r>
            <w:r w:rsidRPr="00AE311B">
              <w:t xml:space="preserve"> dosage</w:t>
            </w:r>
          </w:p>
        </w:tc>
        <w:tc>
          <w:tcPr>
            <w:tcW w:w="3031" w:type="dxa"/>
          </w:tcPr>
          <w:p w14:paraId="133FE2D1" w14:textId="77777777" w:rsidR="00A83AF3" w:rsidRPr="00AE311B" w:rsidRDefault="00A83AF3" w:rsidP="00AE311B">
            <w:pPr>
              <w:pStyle w:val="TableHead"/>
            </w:pPr>
            <w:r w:rsidRPr="00AE311B">
              <w:t>Duration of Therapy</w:t>
            </w:r>
          </w:p>
        </w:tc>
      </w:tr>
      <w:tr w:rsidR="00A83AF3" w14:paraId="7AB17FB2" w14:textId="77777777" w:rsidTr="00AB5C54">
        <w:trPr>
          <w:trHeight w:val="2288"/>
        </w:trPr>
        <w:tc>
          <w:tcPr>
            <w:tcW w:w="2875" w:type="dxa"/>
          </w:tcPr>
          <w:p w14:paraId="693094B3" w14:textId="5357C25D" w:rsidR="00A83AF3" w:rsidRDefault="00A83AF3" w:rsidP="00AE311B">
            <w:pPr>
              <w:pStyle w:val="TableLeft"/>
            </w:pPr>
            <w:proofErr w:type="spellStart"/>
            <w:r w:rsidRPr="000D6AC4">
              <w:rPr>
                <w:lang w:eastAsia="sv-SE"/>
              </w:rPr>
              <w:t>uHCC</w:t>
            </w:r>
            <w:proofErr w:type="spellEnd"/>
            <w:r w:rsidRPr="000D6AC4">
              <w:rPr>
                <w:rStyle w:val="EndnoteReference"/>
                <w:lang w:eastAsia="sv-SE"/>
              </w:rPr>
              <w:t xml:space="preserve"> </w:t>
            </w:r>
          </w:p>
        </w:tc>
        <w:tc>
          <w:tcPr>
            <w:tcW w:w="3185" w:type="dxa"/>
          </w:tcPr>
          <w:p w14:paraId="07C578BD" w14:textId="77777777" w:rsidR="00A83AF3" w:rsidRDefault="00A83AF3" w:rsidP="00AE311B">
            <w:pPr>
              <w:pStyle w:val="TableLeft"/>
            </w:pPr>
            <w:r w:rsidRPr="000D6AC4">
              <w:t xml:space="preserve">Single </w:t>
            </w:r>
            <w:proofErr w:type="spellStart"/>
            <w:r w:rsidRPr="000D6AC4">
              <w:t>Tremelimumab</w:t>
            </w:r>
            <w:proofErr w:type="spellEnd"/>
            <w:r w:rsidRPr="000D6AC4">
              <w:t xml:space="preserve"> Regular Interval Durvalumab (STRIDE):</w:t>
            </w:r>
            <w:r w:rsidRPr="000D6AC4">
              <w:rPr>
                <w:lang w:eastAsia="sv-SE"/>
              </w:rPr>
              <w:t xml:space="preserve"> 300 </w:t>
            </w:r>
            <w:proofErr w:type="spellStart"/>
            <w:r w:rsidRPr="000D6AC4">
              <w:rPr>
                <w:lang w:eastAsia="sv-SE"/>
              </w:rPr>
              <w:t>mg</w:t>
            </w:r>
            <w:r w:rsidRPr="000D6AC4">
              <w:rPr>
                <w:vertAlign w:val="superscript"/>
                <w:lang w:eastAsia="sv-SE"/>
              </w:rPr>
              <w:t>a</w:t>
            </w:r>
            <w:proofErr w:type="spellEnd"/>
            <w:r w:rsidRPr="000D6AC4">
              <w:rPr>
                <w:b/>
                <w:lang w:eastAsia="sv-SE"/>
              </w:rPr>
              <w:t xml:space="preserve"> </w:t>
            </w:r>
            <w:r w:rsidRPr="000D6AC4">
              <w:t xml:space="preserve">as a single priming dose in combination with durvalumab 1500 </w:t>
            </w:r>
            <w:proofErr w:type="spellStart"/>
            <w:proofErr w:type="gramStart"/>
            <w:r w:rsidRPr="000D6AC4">
              <w:t>mg</w:t>
            </w:r>
            <w:r w:rsidRPr="000D6AC4">
              <w:rPr>
                <w:vertAlign w:val="superscript"/>
              </w:rPr>
              <w:t>a,b</w:t>
            </w:r>
            <w:proofErr w:type="spellEnd"/>
            <w:proofErr w:type="gramEnd"/>
            <w:r w:rsidRPr="000D6AC4">
              <w:t xml:space="preserve"> at Cycle 1/Day 1, followed by durvalumab monotherapy every 4 weeks</w:t>
            </w:r>
          </w:p>
        </w:tc>
        <w:tc>
          <w:tcPr>
            <w:tcW w:w="3031" w:type="dxa"/>
          </w:tcPr>
          <w:p w14:paraId="3DB598BE" w14:textId="11C5270E" w:rsidR="00A83AF3" w:rsidRDefault="00F828DD" w:rsidP="00AE311B">
            <w:pPr>
              <w:pStyle w:val="TableLeft"/>
            </w:pPr>
            <w:r>
              <w:t xml:space="preserve">Until disease progression or </w:t>
            </w:r>
            <w:r w:rsidR="00A83AF3" w:rsidRPr="000D6AC4">
              <w:t>unacceptable toxicity</w:t>
            </w:r>
          </w:p>
        </w:tc>
      </w:tr>
    </w:tbl>
    <w:p w14:paraId="067CC53B" w14:textId="29A751BD" w:rsidR="00A83AF3" w:rsidRPr="00AE311B" w:rsidRDefault="0002264C" w:rsidP="00AE311B">
      <w:pPr>
        <w:pStyle w:val="TableFootnoteInfo"/>
      </w:pPr>
      <w:r w:rsidRPr="0002264C">
        <w:rPr>
          <w:vertAlign w:val="superscript"/>
        </w:rPr>
        <w:t>a</w:t>
      </w:r>
      <w:r>
        <w:t xml:space="preserve"> </w:t>
      </w:r>
      <w:r w:rsidR="00A83AF3" w:rsidRPr="00AE311B">
        <w:t>Patients with a body weight of 30 kg or less must receive weight-based dosing, equivalent to IMJUDO 4 mg/kg and durvalumab 20 mg/kg until weight is greater than 30 kg.</w:t>
      </w:r>
    </w:p>
    <w:p w14:paraId="7BA71BC2" w14:textId="5F6B020C" w:rsidR="00A83AF3" w:rsidRDefault="00A83AF3" w:rsidP="00AE311B">
      <w:pPr>
        <w:pStyle w:val="TableFootnoteInfo"/>
      </w:pPr>
      <w:r w:rsidRPr="0002264C">
        <w:rPr>
          <w:vertAlign w:val="superscript"/>
        </w:rPr>
        <w:t>b</w:t>
      </w:r>
      <w:r w:rsidRPr="00AE311B">
        <w:t xml:space="preserve"> Administer IMJUDO prior to durvalumab on the same day. Refer to the Prescribing Information for durvalumab dosing information.</w:t>
      </w:r>
    </w:p>
    <w:p w14:paraId="273A60BA" w14:textId="77777777" w:rsidR="00442B68" w:rsidRPr="00AE311B" w:rsidRDefault="00442B68" w:rsidP="00AE311B">
      <w:pPr>
        <w:pStyle w:val="TableFootnoteInfo"/>
      </w:pPr>
    </w:p>
    <w:p w14:paraId="54E0CB93" w14:textId="77777777" w:rsidR="00A83AF3" w:rsidRPr="006808FA" w:rsidRDefault="00A83AF3" w:rsidP="00A83AF3">
      <w:r w:rsidRPr="006808FA">
        <w:t xml:space="preserve">Dose </w:t>
      </w:r>
      <w:r>
        <w:t>reduction or escalation</w:t>
      </w:r>
      <w:r w:rsidRPr="006808FA">
        <w:t xml:space="preserve"> is not recommended</w:t>
      </w:r>
      <w:r w:rsidRPr="008421E9">
        <w:t xml:space="preserve"> </w:t>
      </w:r>
      <w:r>
        <w:t>during treatment with IMJUDO in combination with durvalumab</w:t>
      </w:r>
      <w:r w:rsidRPr="006808FA">
        <w:t xml:space="preserve">. </w:t>
      </w:r>
      <w:r>
        <w:t>Treatment</w:t>
      </w:r>
      <w:r w:rsidRPr="006808FA">
        <w:t xml:space="preserve"> withholding or discontinuation may be required based on individual safety and tolerability.</w:t>
      </w:r>
    </w:p>
    <w:p w14:paraId="571A77F6" w14:textId="18E8B252" w:rsidR="00F057EC" w:rsidRDefault="00F0642F" w:rsidP="00A83AF3">
      <w:r>
        <w:t>I</w:t>
      </w:r>
      <w:r w:rsidRPr="006808FA">
        <w:t>mmune-mediated adverse reactions</w:t>
      </w:r>
      <w:r>
        <w:t xml:space="preserve"> requiring specific treatment modification and management are summarized in </w:t>
      </w:r>
      <w:r w:rsidR="00902D54" w:rsidRPr="0002264C">
        <w:rPr>
          <w:highlight w:val="lightGray"/>
        </w:rPr>
        <w:fldChar w:fldCharType="begin"/>
      </w:r>
      <w:r w:rsidR="00902D54" w:rsidRPr="0002264C">
        <w:instrText xml:space="preserve"> REF _Ref97640136 \h </w:instrText>
      </w:r>
      <w:r w:rsidR="00902D54" w:rsidRPr="0002264C">
        <w:rPr>
          <w:highlight w:val="lightGray"/>
        </w:rPr>
      </w:r>
      <w:r w:rsidR="00902D54" w:rsidRPr="0002264C">
        <w:rPr>
          <w:highlight w:val="lightGray"/>
        </w:rPr>
        <w:fldChar w:fldCharType="separate"/>
      </w:r>
      <w:r w:rsidR="00902D54" w:rsidRPr="0002264C">
        <w:t>Table </w:t>
      </w:r>
      <w:r w:rsidR="00902D54" w:rsidRPr="0002264C">
        <w:rPr>
          <w:noProof/>
        </w:rPr>
        <w:t>2</w:t>
      </w:r>
      <w:r w:rsidR="00902D54" w:rsidRPr="0002264C">
        <w:rPr>
          <w:highlight w:val="lightGray"/>
        </w:rPr>
        <w:fldChar w:fldCharType="end"/>
      </w:r>
      <w:r w:rsidRPr="0002264C">
        <w:t xml:space="preserve">. </w:t>
      </w:r>
      <w:r>
        <w:t>Refer to section 4.4 Special warnings and precautions for use for further monitoring and evaluation information.</w:t>
      </w:r>
    </w:p>
    <w:p w14:paraId="3F581C3A" w14:textId="495A0E4E" w:rsidR="00AB5C54" w:rsidRDefault="00902D54" w:rsidP="00902D54">
      <w:pPr>
        <w:pStyle w:val="TableTitle"/>
      </w:pPr>
      <w:bookmarkStart w:id="5" w:name="_Ref97640136"/>
      <w:bookmarkStart w:id="6" w:name="_Hlk82020574"/>
      <w:r>
        <w:t>Table </w:t>
      </w:r>
      <w:r>
        <w:fldChar w:fldCharType="begin"/>
      </w:r>
      <w:r>
        <w:instrText xml:space="preserve"> SEQ Table \* ARABIC </w:instrText>
      </w:r>
      <w:r>
        <w:fldChar w:fldCharType="separate"/>
      </w:r>
      <w:r>
        <w:rPr>
          <w:noProof/>
        </w:rPr>
        <w:t>2</w:t>
      </w:r>
      <w:r>
        <w:fldChar w:fldCharType="end"/>
      </w:r>
      <w:bookmarkEnd w:id="5"/>
      <w:r>
        <w:tab/>
        <w:t>T</w:t>
      </w:r>
      <w:r w:rsidRPr="006808FA">
        <w:t>reatment</w:t>
      </w:r>
      <w:r>
        <w:t xml:space="preserve"> </w:t>
      </w:r>
      <w:r w:rsidRPr="006808FA">
        <w:t>modifications</w:t>
      </w:r>
      <w:r>
        <w:t xml:space="preserve"> and management recommendations </w:t>
      </w:r>
      <w:r w:rsidRPr="006808FA">
        <w:t xml:space="preserve">for </w:t>
      </w:r>
      <w:r>
        <w:t>IMJUDO</w:t>
      </w:r>
      <w:r w:rsidRPr="00B41FAE">
        <w:t xml:space="preserve"> in combination</w:t>
      </w:r>
      <w:r>
        <w:t xml:space="preserve"> with durvalumab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40"/>
        <w:gridCol w:w="2255"/>
        <w:gridCol w:w="2155"/>
        <w:gridCol w:w="1978"/>
      </w:tblGrid>
      <w:tr w:rsidR="00AB5C54" w:rsidRPr="006B2EF2" w14:paraId="01714940" w14:textId="77777777" w:rsidTr="0002264C">
        <w:trPr>
          <w:trHeight w:val="864"/>
          <w:tblHeader/>
        </w:trPr>
        <w:tc>
          <w:tcPr>
            <w:tcW w:w="16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bookmarkEnd w:id="6"/>
          <w:p w14:paraId="323FB14A" w14:textId="77777777" w:rsidR="00AB5C54" w:rsidRPr="00AE311B" w:rsidRDefault="00AB5C54" w:rsidP="00AE311B">
            <w:pPr>
              <w:pStyle w:val="TableHead"/>
            </w:pPr>
            <w:r w:rsidRPr="00AE311B">
              <w:t>Adverse Reactions</w:t>
            </w:r>
          </w:p>
        </w:tc>
        <w:tc>
          <w:tcPr>
            <w:tcW w:w="11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814404" w14:textId="77777777" w:rsidR="00AB5C54" w:rsidRPr="00AE311B" w:rsidRDefault="00AB5C54" w:rsidP="00AE311B">
            <w:pPr>
              <w:pStyle w:val="TableHead"/>
            </w:pPr>
            <w:proofErr w:type="spellStart"/>
            <w:r w:rsidRPr="00AE311B">
              <w:t>Severity</w:t>
            </w:r>
            <w:r w:rsidRPr="004852C1">
              <w:rPr>
                <w:vertAlign w:val="superscript"/>
              </w:rPr>
              <w:t>a</w:t>
            </w:r>
            <w:proofErr w:type="spellEnd"/>
          </w:p>
        </w:tc>
        <w:tc>
          <w:tcPr>
            <w:tcW w:w="11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1B2905" w14:textId="77777777" w:rsidR="00AB5C54" w:rsidRPr="00AE311B" w:rsidRDefault="00AB5C54" w:rsidP="00AE311B">
            <w:pPr>
              <w:pStyle w:val="TableHead"/>
            </w:pPr>
            <w:r w:rsidRPr="00AE311B">
              <w:t>Treatment Modification</w:t>
            </w:r>
          </w:p>
        </w:tc>
        <w:tc>
          <w:tcPr>
            <w:tcW w:w="10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F0156F1" w14:textId="77777777" w:rsidR="00AB5C54" w:rsidRPr="00AE311B" w:rsidRDefault="00AB5C54" w:rsidP="00AE311B">
            <w:pPr>
              <w:pStyle w:val="TableHead"/>
            </w:pPr>
            <w:r w:rsidRPr="00AE311B">
              <w:t xml:space="preserve">Corticosteroid Treatment Unless Otherwise </w:t>
            </w:r>
            <w:proofErr w:type="spellStart"/>
            <w:r w:rsidRPr="00AE311B">
              <w:t>Specified</w:t>
            </w:r>
            <w:r w:rsidRPr="004852C1">
              <w:rPr>
                <w:vertAlign w:val="superscript"/>
              </w:rPr>
              <w:t>b</w:t>
            </w:r>
            <w:proofErr w:type="spellEnd"/>
          </w:p>
        </w:tc>
      </w:tr>
      <w:tr w:rsidR="00AB5C54" w:rsidRPr="006B2EF2" w14:paraId="4C91A7D2" w14:textId="77777777" w:rsidTr="0002264C">
        <w:trPr>
          <w:trHeight w:val="972"/>
        </w:trPr>
        <w:tc>
          <w:tcPr>
            <w:tcW w:w="168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13CCBA" w14:textId="77777777" w:rsidR="00AB5C54" w:rsidRPr="006B2EF2" w:rsidRDefault="00AB5C54" w:rsidP="00CF7FD4">
            <w:pPr>
              <w:pStyle w:val="TableLeft"/>
              <w:rPr>
                <w:rFonts w:eastAsia="Calibri"/>
              </w:rPr>
            </w:pPr>
            <w:r w:rsidRPr="006B2EF2">
              <w:t>Immune-mediated pneumonitis/interstitial lung disease</w:t>
            </w:r>
          </w:p>
        </w:tc>
        <w:tc>
          <w:tcPr>
            <w:tcW w:w="11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A1E96A" w14:textId="77777777" w:rsidR="00AB5C54" w:rsidRPr="006B2EF2" w:rsidRDefault="00AB5C54" w:rsidP="005C792D">
            <w:pPr>
              <w:pStyle w:val="TableCenter"/>
              <w:rPr>
                <w:rFonts w:eastAsia="PMingLiU"/>
              </w:rPr>
            </w:pPr>
            <w:r w:rsidRPr="006B2EF2">
              <w:t>Grade 2</w:t>
            </w:r>
          </w:p>
        </w:tc>
        <w:tc>
          <w:tcPr>
            <w:tcW w:w="11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8477D3" w14:textId="77777777" w:rsidR="00AB5C54" w:rsidRPr="006B2EF2" w:rsidRDefault="00AB5C54" w:rsidP="005C792D">
            <w:pPr>
              <w:pStyle w:val="TableCenter"/>
            </w:pPr>
            <w:r w:rsidRPr="006B2EF2">
              <w:t xml:space="preserve">Withhold </w:t>
            </w:r>
            <w:proofErr w:type="spellStart"/>
            <w:r w:rsidRPr="006B2EF2">
              <w:t>dose</w:t>
            </w:r>
            <w:r>
              <w:rPr>
                <w:vertAlign w:val="superscript"/>
              </w:rPr>
              <w:t>c</w:t>
            </w:r>
            <w:proofErr w:type="spellEnd"/>
          </w:p>
        </w:tc>
        <w:tc>
          <w:tcPr>
            <w:tcW w:w="1027"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76F5BE47" w14:textId="77777777" w:rsidR="00AB5C54" w:rsidRPr="006B2EF2" w:rsidRDefault="00AB5C54" w:rsidP="005C792D">
            <w:pPr>
              <w:pStyle w:val="TableCenter"/>
            </w:pPr>
            <w:r w:rsidRPr="006B2EF2">
              <w:t>Initiate 1 to 2 mg/kg/day prednisone or equivalent followed by a taper</w:t>
            </w:r>
          </w:p>
        </w:tc>
      </w:tr>
      <w:tr w:rsidR="00AB5C54" w:rsidRPr="006B2EF2" w14:paraId="5D0BB487" w14:textId="77777777" w:rsidTr="0002264C">
        <w:trPr>
          <w:trHeight w:val="7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E01136" w14:textId="77777777" w:rsidR="00AB5C54" w:rsidRPr="006B2EF2" w:rsidRDefault="00AB5C54" w:rsidP="00CF7FD4">
            <w:pPr>
              <w:pStyle w:val="TableLeft"/>
              <w:rPr>
                <w:rFonts w:eastAsia="Calibri"/>
                <w:sz w:val="22"/>
                <w:szCs w:val="22"/>
              </w:rPr>
            </w:pPr>
          </w:p>
        </w:tc>
        <w:tc>
          <w:tcPr>
            <w:tcW w:w="11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010A00" w14:textId="77777777" w:rsidR="00AB5C54" w:rsidRPr="006B2EF2" w:rsidRDefault="00AB5C54" w:rsidP="00AB5C54">
            <w:pPr>
              <w:spacing w:after="0" w:line="240" w:lineRule="auto"/>
              <w:ind w:right="14"/>
              <w:jc w:val="center"/>
              <w:rPr>
                <w:rFonts w:eastAsia="Calibri"/>
              </w:rPr>
            </w:pPr>
            <w:r w:rsidRPr="006B2EF2">
              <w:t>Grade 3 or 4</w:t>
            </w:r>
          </w:p>
        </w:tc>
        <w:tc>
          <w:tcPr>
            <w:tcW w:w="11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E9837C" w14:textId="77777777" w:rsidR="00AB5C54" w:rsidRPr="006B2EF2" w:rsidRDefault="00AB5C54" w:rsidP="00AB5C54">
            <w:pPr>
              <w:spacing w:after="0" w:line="240" w:lineRule="auto"/>
              <w:ind w:left="14" w:right="14"/>
              <w:jc w:val="center"/>
              <w:rPr>
                <w:rFonts w:eastAsia="PMingLiU"/>
              </w:rPr>
            </w:pPr>
            <w:r w:rsidRPr="006B2EF2">
              <w:t>Permanently discontinue</w:t>
            </w:r>
          </w:p>
        </w:tc>
        <w:tc>
          <w:tcPr>
            <w:tcW w:w="1027"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65EB96" w14:textId="77777777" w:rsidR="00AB5C54" w:rsidRPr="006B2EF2" w:rsidRDefault="00AB5C54" w:rsidP="00CF7FD4">
            <w:pPr>
              <w:pStyle w:val="TableCenter"/>
            </w:pPr>
          </w:p>
        </w:tc>
      </w:tr>
      <w:tr w:rsidR="005E1291" w:rsidRPr="006B2EF2" w14:paraId="714FEC5D" w14:textId="77777777" w:rsidTr="00B65F2F">
        <w:trPr>
          <w:trHeight w:val="924"/>
        </w:trPr>
        <w:tc>
          <w:tcPr>
            <w:tcW w:w="0" w:type="auto"/>
            <w:vMerge w:val="restart"/>
            <w:tcBorders>
              <w:left w:val="single" w:sz="4" w:space="0" w:color="auto"/>
              <w:right w:val="single" w:sz="4" w:space="0" w:color="auto"/>
            </w:tcBorders>
            <w:vAlign w:val="center"/>
          </w:tcPr>
          <w:p w14:paraId="23C763D9" w14:textId="7C0B9D72" w:rsidR="005E1291" w:rsidRDefault="005E1291" w:rsidP="00787156">
            <w:pPr>
              <w:pStyle w:val="TableLeft"/>
            </w:pPr>
            <w:r w:rsidRPr="004129AD">
              <w:t>Immune</w:t>
            </w:r>
            <w:r>
              <w:noBreakHyphen/>
            </w:r>
            <w:r w:rsidRPr="004129AD">
              <w:t>mediated hepatitis</w:t>
            </w:r>
          </w:p>
        </w:tc>
        <w:tc>
          <w:tcPr>
            <w:tcW w:w="11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4E4590" w14:textId="0B50AE7C" w:rsidR="005E1291" w:rsidRPr="00CD19EA" w:rsidRDefault="005E1291" w:rsidP="00787156">
            <w:pPr>
              <w:pStyle w:val="TableCenter"/>
            </w:pPr>
            <w:r w:rsidRPr="009F5679">
              <w:rPr>
                <w:rFonts w:eastAsia="SimSun"/>
                <w:color w:val="000000"/>
                <w:kern w:val="24"/>
              </w:rPr>
              <w:t>ALT or AST &gt; 3 ≤ 5 x ULN or total bilirubin &gt; 1.5 ≤ 3 x ULN</w:t>
            </w:r>
          </w:p>
        </w:tc>
        <w:tc>
          <w:tcPr>
            <w:tcW w:w="1119" w:type="pct"/>
            <w:tcBorders>
              <w:top w:val="single" w:sz="4" w:space="0" w:color="auto"/>
              <w:left w:val="single" w:sz="4" w:space="0" w:color="auto"/>
              <w:bottom w:val="single" w:sz="4" w:space="0" w:color="auto"/>
              <w:right w:val="single" w:sz="4" w:space="0" w:color="auto"/>
            </w:tcBorders>
            <w:vAlign w:val="center"/>
          </w:tcPr>
          <w:p w14:paraId="5CCF74F6" w14:textId="0738B791" w:rsidR="005E1291" w:rsidRPr="005B4A2C" w:rsidRDefault="005E1291" w:rsidP="00787156">
            <w:pPr>
              <w:pStyle w:val="TableCenter"/>
            </w:pPr>
            <w:r w:rsidRPr="004129AD">
              <w:t xml:space="preserve">Withhold </w:t>
            </w:r>
            <w:proofErr w:type="spellStart"/>
            <w:r>
              <w:t>dose</w:t>
            </w:r>
            <w:r w:rsidRPr="3BFAFAB6">
              <w:rPr>
                <w:vertAlign w:val="superscript"/>
              </w:rPr>
              <w:t>c</w:t>
            </w:r>
            <w:proofErr w:type="spellEnd"/>
          </w:p>
        </w:tc>
        <w:tc>
          <w:tcPr>
            <w:tcW w:w="1027" w:type="pct"/>
            <w:vMerge w:val="restart"/>
            <w:tcBorders>
              <w:left w:val="single" w:sz="4" w:space="0" w:color="auto"/>
              <w:right w:val="single" w:sz="4" w:space="0" w:color="auto"/>
            </w:tcBorders>
            <w:vAlign w:val="center"/>
          </w:tcPr>
          <w:p w14:paraId="1041BD9E" w14:textId="77777777" w:rsidR="005E1291" w:rsidRPr="004129AD" w:rsidRDefault="005E1291" w:rsidP="005E1291">
            <w:pPr>
              <w:ind w:left="14" w:right="14"/>
              <w:jc w:val="center"/>
            </w:pPr>
            <w:r w:rsidRPr="004129AD">
              <w:t>Initiate 1 to 2</w:t>
            </w:r>
            <w:r>
              <w:t> </w:t>
            </w:r>
            <w:r w:rsidRPr="004129AD">
              <w:t xml:space="preserve">mg/kg/day prednisone or equivalent followed by a </w:t>
            </w:r>
            <w:proofErr w:type="gramStart"/>
            <w:r w:rsidRPr="004129AD">
              <w:t>taper</w:t>
            </w:r>
            <w:proofErr w:type="gramEnd"/>
          </w:p>
          <w:p w14:paraId="1DC6DE6E" w14:textId="77777777" w:rsidR="005E1291" w:rsidRPr="006B2EF2" w:rsidRDefault="005E1291" w:rsidP="00787156">
            <w:pPr>
              <w:pStyle w:val="TableCenter"/>
              <w:rPr>
                <w:sz w:val="22"/>
                <w:szCs w:val="22"/>
              </w:rPr>
            </w:pPr>
          </w:p>
        </w:tc>
      </w:tr>
      <w:tr w:rsidR="005E1291" w:rsidRPr="006B2EF2" w14:paraId="7471658A" w14:textId="77777777" w:rsidTr="00B65F2F">
        <w:trPr>
          <w:trHeight w:val="924"/>
        </w:trPr>
        <w:tc>
          <w:tcPr>
            <w:tcW w:w="0" w:type="auto"/>
            <w:vMerge/>
            <w:tcBorders>
              <w:left w:val="single" w:sz="4" w:space="0" w:color="auto"/>
              <w:right w:val="single" w:sz="4" w:space="0" w:color="auto"/>
            </w:tcBorders>
            <w:vAlign w:val="center"/>
          </w:tcPr>
          <w:p w14:paraId="716486CD" w14:textId="77777777" w:rsidR="005E1291" w:rsidRDefault="005E1291" w:rsidP="00787156">
            <w:pPr>
              <w:pStyle w:val="TableLeft"/>
            </w:pPr>
          </w:p>
        </w:tc>
        <w:tc>
          <w:tcPr>
            <w:tcW w:w="11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94633B" w14:textId="31428977" w:rsidR="005E1291" w:rsidRPr="00CD19EA" w:rsidRDefault="005E1291" w:rsidP="00787156">
            <w:pPr>
              <w:pStyle w:val="TableCenter"/>
            </w:pPr>
            <w:r>
              <w:rPr>
                <w:lang w:eastAsia="sv-SE"/>
              </w:rPr>
              <w:t>ALT or AST &gt; 5-≤ 10 x ULN</w:t>
            </w:r>
          </w:p>
        </w:tc>
        <w:tc>
          <w:tcPr>
            <w:tcW w:w="1119" w:type="pct"/>
            <w:tcBorders>
              <w:top w:val="single" w:sz="4" w:space="0" w:color="auto"/>
              <w:left w:val="single" w:sz="4" w:space="0" w:color="auto"/>
              <w:bottom w:val="single" w:sz="4" w:space="0" w:color="auto"/>
              <w:right w:val="single" w:sz="4" w:space="0" w:color="auto"/>
            </w:tcBorders>
            <w:vAlign w:val="center"/>
          </w:tcPr>
          <w:p w14:paraId="2FAF928B" w14:textId="25E6EBC7" w:rsidR="005E1291" w:rsidRPr="005B4A2C" w:rsidRDefault="005E1291" w:rsidP="00787156">
            <w:pPr>
              <w:pStyle w:val="TableCenter"/>
            </w:pPr>
            <w:r>
              <w:t xml:space="preserve">Withhold durvalumab and permanently discontinue </w:t>
            </w:r>
            <w:proofErr w:type="spellStart"/>
            <w:r>
              <w:t>tremelimumab</w:t>
            </w:r>
            <w:proofErr w:type="spellEnd"/>
          </w:p>
        </w:tc>
        <w:tc>
          <w:tcPr>
            <w:tcW w:w="1027" w:type="pct"/>
            <w:vMerge/>
            <w:tcBorders>
              <w:left w:val="single" w:sz="4" w:space="0" w:color="auto"/>
              <w:right w:val="single" w:sz="4" w:space="0" w:color="auto"/>
            </w:tcBorders>
            <w:vAlign w:val="center"/>
          </w:tcPr>
          <w:p w14:paraId="7D95BC9A" w14:textId="77777777" w:rsidR="005E1291" w:rsidRPr="006B2EF2" w:rsidRDefault="005E1291" w:rsidP="00787156">
            <w:pPr>
              <w:pStyle w:val="TableCenter"/>
              <w:rPr>
                <w:sz w:val="22"/>
                <w:szCs w:val="22"/>
              </w:rPr>
            </w:pPr>
          </w:p>
        </w:tc>
      </w:tr>
      <w:tr w:rsidR="005E1291" w:rsidRPr="006B2EF2" w14:paraId="05CEC8E7" w14:textId="77777777" w:rsidTr="00B65F2F">
        <w:trPr>
          <w:trHeight w:val="924"/>
        </w:trPr>
        <w:tc>
          <w:tcPr>
            <w:tcW w:w="0" w:type="auto"/>
            <w:vMerge/>
            <w:tcBorders>
              <w:left w:val="single" w:sz="4" w:space="0" w:color="auto"/>
              <w:right w:val="single" w:sz="4" w:space="0" w:color="auto"/>
            </w:tcBorders>
            <w:vAlign w:val="center"/>
          </w:tcPr>
          <w:p w14:paraId="7E2EAF34" w14:textId="1F25D817" w:rsidR="005E1291" w:rsidRDefault="005E1291" w:rsidP="00787156">
            <w:pPr>
              <w:pStyle w:val="TableLeft"/>
            </w:pPr>
          </w:p>
        </w:tc>
        <w:tc>
          <w:tcPr>
            <w:tcW w:w="11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04570C" w14:textId="60A05978" w:rsidR="005E1291" w:rsidRPr="00CD19EA" w:rsidRDefault="005E1291" w:rsidP="00787156">
            <w:pPr>
              <w:pStyle w:val="TableCenter"/>
            </w:pPr>
            <w:r>
              <w:rPr>
                <w:lang w:eastAsia="sv-SE"/>
              </w:rPr>
              <w:t xml:space="preserve">Concurrent ALT or AST &gt; 3 x ULN </w:t>
            </w:r>
            <w:r w:rsidRPr="00A91928">
              <w:rPr>
                <w:lang w:eastAsia="sv-SE"/>
              </w:rPr>
              <w:t>and</w:t>
            </w:r>
            <w:r>
              <w:rPr>
                <w:lang w:eastAsia="sv-SE"/>
              </w:rPr>
              <w:t xml:space="preserve"> total bilirubin &gt; 2 x </w:t>
            </w:r>
            <w:proofErr w:type="spellStart"/>
            <w:r>
              <w:rPr>
                <w:lang w:eastAsia="sv-SE"/>
              </w:rPr>
              <w:t>ULN</w:t>
            </w:r>
            <w:r>
              <w:rPr>
                <w:vertAlign w:val="superscript"/>
                <w:lang w:eastAsia="sv-SE"/>
              </w:rPr>
              <w:t>d</w:t>
            </w:r>
            <w:proofErr w:type="spellEnd"/>
          </w:p>
        </w:tc>
        <w:tc>
          <w:tcPr>
            <w:tcW w:w="1119" w:type="pct"/>
            <w:vMerge w:val="restart"/>
            <w:tcBorders>
              <w:top w:val="single" w:sz="4" w:space="0" w:color="auto"/>
              <w:left w:val="single" w:sz="4" w:space="0" w:color="auto"/>
              <w:right w:val="single" w:sz="4" w:space="0" w:color="auto"/>
            </w:tcBorders>
            <w:vAlign w:val="center"/>
          </w:tcPr>
          <w:p w14:paraId="218C5CA0" w14:textId="26EFEA51" w:rsidR="005E1291" w:rsidRPr="005B4A2C" w:rsidRDefault="005E1291" w:rsidP="00787156">
            <w:pPr>
              <w:pStyle w:val="TableCenter"/>
            </w:pPr>
            <w:r w:rsidRPr="004129AD">
              <w:t>Permanently discontinue</w:t>
            </w:r>
          </w:p>
        </w:tc>
        <w:tc>
          <w:tcPr>
            <w:tcW w:w="1027" w:type="pct"/>
            <w:vMerge/>
            <w:tcBorders>
              <w:left w:val="single" w:sz="4" w:space="0" w:color="auto"/>
              <w:right w:val="single" w:sz="4" w:space="0" w:color="auto"/>
            </w:tcBorders>
            <w:vAlign w:val="center"/>
          </w:tcPr>
          <w:p w14:paraId="20CA23DE" w14:textId="77777777" w:rsidR="005E1291" w:rsidRPr="006B2EF2" w:rsidRDefault="005E1291" w:rsidP="00787156">
            <w:pPr>
              <w:pStyle w:val="TableCenter"/>
              <w:rPr>
                <w:sz w:val="22"/>
                <w:szCs w:val="22"/>
              </w:rPr>
            </w:pPr>
          </w:p>
        </w:tc>
      </w:tr>
      <w:tr w:rsidR="005E1291" w:rsidRPr="006B2EF2" w14:paraId="580604BB" w14:textId="77777777" w:rsidTr="00B65F2F">
        <w:trPr>
          <w:trHeight w:val="924"/>
        </w:trPr>
        <w:tc>
          <w:tcPr>
            <w:tcW w:w="0" w:type="auto"/>
            <w:vMerge/>
            <w:tcBorders>
              <w:left w:val="single" w:sz="4" w:space="0" w:color="auto"/>
              <w:bottom w:val="single" w:sz="4" w:space="0" w:color="auto"/>
              <w:right w:val="single" w:sz="4" w:space="0" w:color="auto"/>
            </w:tcBorders>
            <w:vAlign w:val="center"/>
          </w:tcPr>
          <w:p w14:paraId="77797D71" w14:textId="77777777" w:rsidR="005E1291" w:rsidRDefault="005E1291" w:rsidP="00787156">
            <w:pPr>
              <w:pStyle w:val="TableLeft"/>
            </w:pPr>
          </w:p>
        </w:tc>
        <w:tc>
          <w:tcPr>
            <w:tcW w:w="11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CE5782" w14:textId="02953620" w:rsidR="005E1291" w:rsidRPr="00CD19EA" w:rsidRDefault="005E1291" w:rsidP="00787156">
            <w:pPr>
              <w:pStyle w:val="TableCenter"/>
            </w:pPr>
            <w:r w:rsidRPr="00EC3951">
              <w:rPr>
                <w:rFonts w:eastAsia="SimSun"/>
                <w:color w:val="000000"/>
                <w:kern w:val="24"/>
              </w:rPr>
              <w:t xml:space="preserve">ALT or AST &gt; 10 x ULN </w:t>
            </w:r>
            <w:r>
              <w:rPr>
                <w:rFonts w:eastAsia="SimSun"/>
                <w:color w:val="000000"/>
                <w:kern w:val="24"/>
              </w:rPr>
              <w:t>OR</w:t>
            </w:r>
            <w:r w:rsidRPr="00EC3951">
              <w:rPr>
                <w:rFonts w:eastAsia="SimSun"/>
                <w:color w:val="000000"/>
                <w:kern w:val="24"/>
              </w:rPr>
              <w:t xml:space="preserve"> total bilirubin &gt; 3 x ULN</w:t>
            </w:r>
          </w:p>
        </w:tc>
        <w:tc>
          <w:tcPr>
            <w:tcW w:w="1119" w:type="pct"/>
            <w:vMerge/>
            <w:tcBorders>
              <w:left w:val="single" w:sz="4" w:space="0" w:color="auto"/>
              <w:bottom w:val="single" w:sz="4" w:space="0" w:color="auto"/>
              <w:right w:val="single" w:sz="4" w:space="0" w:color="auto"/>
            </w:tcBorders>
            <w:vAlign w:val="center"/>
          </w:tcPr>
          <w:p w14:paraId="28FFC8A8" w14:textId="77777777" w:rsidR="005E1291" w:rsidRPr="005B4A2C" w:rsidRDefault="005E1291" w:rsidP="00787156">
            <w:pPr>
              <w:pStyle w:val="TableCenter"/>
            </w:pPr>
          </w:p>
        </w:tc>
        <w:tc>
          <w:tcPr>
            <w:tcW w:w="1027" w:type="pct"/>
            <w:vMerge/>
            <w:tcBorders>
              <w:left w:val="single" w:sz="4" w:space="0" w:color="auto"/>
              <w:bottom w:val="single" w:sz="4" w:space="0" w:color="auto"/>
              <w:right w:val="single" w:sz="4" w:space="0" w:color="auto"/>
            </w:tcBorders>
            <w:vAlign w:val="center"/>
          </w:tcPr>
          <w:p w14:paraId="77C191DF" w14:textId="77777777" w:rsidR="005E1291" w:rsidRPr="006B2EF2" w:rsidRDefault="005E1291" w:rsidP="00787156">
            <w:pPr>
              <w:pStyle w:val="TableCenter"/>
              <w:rPr>
                <w:sz w:val="22"/>
                <w:szCs w:val="22"/>
              </w:rPr>
            </w:pPr>
          </w:p>
        </w:tc>
      </w:tr>
      <w:tr w:rsidR="005E1291" w:rsidRPr="006B2EF2" w14:paraId="4626129A" w14:textId="77777777" w:rsidTr="00B65F2F">
        <w:trPr>
          <w:trHeight w:val="924"/>
        </w:trPr>
        <w:tc>
          <w:tcPr>
            <w:tcW w:w="1683"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7689BF3B" w14:textId="48052317" w:rsidR="005E1291" w:rsidRPr="006B2EF2" w:rsidRDefault="005E1291" w:rsidP="005E1291">
            <w:pPr>
              <w:pStyle w:val="TableLeft"/>
            </w:pPr>
            <w:r w:rsidRPr="00545EBC">
              <w:rPr>
                <w:rFonts w:eastAsia="SimSun"/>
                <w:color w:val="000000"/>
                <w:kern w:val="24"/>
              </w:rPr>
              <w:t xml:space="preserve">Immune-mediated hepatitis </w:t>
            </w:r>
            <w:r w:rsidRPr="00A91928">
              <w:rPr>
                <w:color w:val="242424"/>
                <w:shd w:val="clear" w:color="auto" w:fill="FFFFFF"/>
              </w:rPr>
              <w:t xml:space="preserve">in HCC (or secondary tumour involvement of the liver with abnormal baseline </w:t>
            </w:r>
            <w:proofErr w:type="gramStart"/>
            <w:r w:rsidRPr="00A91928">
              <w:rPr>
                <w:color w:val="242424"/>
                <w:shd w:val="clear" w:color="auto" w:fill="FFFFFF"/>
              </w:rPr>
              <w:t>value</w:t>
            </w:r>
            <w:r w:rsidRPr="00A91928">
              <w:rPr>
                <w:color w:val="000000"/>
                <w:shd w:val="clear" w:color="auto" w:fill="FFFFFF"/>
              </w:rPr>
              <w:t>s)</w:t>
            </w:r>
            <w:r w:rsidRPr="00A91928">
              <w:rPr>
                <w:color w:val="000000"/>
                <w:shd w:val="clear" w:color="auto" w:fill="FFFFFF"/>
                <w:vertAlign w:val="superscript"/>
              </w:rPr>
              <w:t>e</w:t>
            </w:r>
            <w:proofErr w:type="gramEnd"/>
            <w:r w:rsidR="00BC1FEB">
              <w:rPr>
                <w:color w:val="000000"/>
                <w:shd w:val="clear" w:color="auto" w:fill="FFFFFF"/>
                <w:vertAlign w:val="superscript"/>
              </w:rPr>
              <w:t xml:space="preserve"> </w:t>
            </w:r>
          </w:p>
        </w:tc>
        <w:tc>
          <w:tcPr>
            <w:tcW w:w="11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7A34A5" w14:textId="2A7880BE" w:rsidR="005E1291" w:rsidRPr="006B2EF2" w:rsidRDefault="005E1291" w:rsidP="005E1291">
            <w:pPr>
              <w:pStyle w:val="TableCenter"/>
            </w:pPr>
            <w:r>
              <w:rPr>
                <w:color w:val="000000"/>
                <w:lang w:eastAsia="sv-SE"/>
              </w:rPr>
              <w:t xml:space="preserve">ALT or AST </w:t>
            </w:r>
            <w:r w:rsidRPr="00545EBC">
              <w:rPr>
                <w:color w:val="000000"/>
                <w:lang w:eastAsia="sv-SE"/>
              </w:rPr>
              <w:t xml:space="preserve">&gt; </w:t>
            </w:r>
            <w:r w:rsidRPr="00545EBC">
              <w:rPr>
                <w:color w:val="000000"/>
                <w:lang w:val="en-US"/>
              </w:rPr>
              <w:t>2.5-</w:t>
            </w:r>
            <w:r w:rsidRPr="00545EBC">
              <w:rPr>
                <w:rFonts w:eastAsia="SimSun" w:cs="Arial"/>
                <w:color w:val="000000"/>
                <w:kern w:val="24"/>
              </w:rPr>
              <w:t xml:space="preserve">≤ </w:t>
            </w:r>
            <w:r w:rsidRPr="00545EBC">
              <w:rPr>
                <w:color w:val="000000"/>
                <w:lang w:val="en-US"/>
              </w:rPr>
              <w:t>5</w:t>
            </w:r>
            <w:r w:rsidR="00B30810">
              <w:rPr>
                <w:color w:val="000000"/>
                <w:lang w:val="en-US"/>
              </w:rPr>
              <w:t xml:space="preserve"> </w:t>
            </w:r>
            <w:r w:rsidR="00B30810" w:rsidRPr="00545EBC">
              <w:rPr>
                <w:color w:val="000000"/>
                <w:lang w:val="en-US"/>
              </w:rPr>
              <w:t>x</w:t>
            </w:r>
            <w:r w:rsidRPr="00545EBC">
              <w:rPr>
                <w:color w:val="000000"/>
                <w:lang w:val="en-US"/>
              </w:rPr>
              <w:t xml:space="preserve"> BLV and </w:t>
            </w:r>
            <w:r w:rsidRPr="00545EBC">
              <w:rPr>
                <w:rFonts w:eastAsia="SimSun" w:cs="Arial"/>
                <w:color w:val="000000"/>
                <w:kern w:val="24"/>
              </w:rPr>
              <w:t xml:space="preserve">≤ </w:t>
            </w:r>
            <w:r w:rsidRPr="00545EBC">
              <w:rPr>
                <w:color w:val="000000"/>
                <w:lang w:val="en-US"/>
              </w:rPr>
              <w:t>20</w:t>
            </w:r>
            <w:r w:rsidR="00B30810">
              <w:rPr>
                <w:color w:val="000000"/>
                <w:lang w:val="en-US"/>
              </w:rPr>
              <w:t xml:space="preserve"> </w:t>
            </w:r>
            <w:r w:rsidRPr="00545EBC">
              <w:rPr>
                <w:color w:val="000000"/>
                <w:lang w:val="en-US"/>
              </w:rPr>
              <w:t>x</w:t>
            </w:r>
            <w:r w:rsidR="00B30810">
              <w:rPr>
                <w:color w:val="000000"/>
                <w:lang w:val="en-US"/>
              </w:rPr>
              <w:t xml:space="preserve"> </w:t>
            </w:r>
            <w:r w:rsidRPr="00545EBC">
              <w:rPr>
                <w:color w:val="000000"/>
                <w:lang w:val="en-US"/>
              </w:rPr>
              <w:t>ULN</w:t>
            </w:r>
          </w:p>
        </w:tc>
        <w:tc>
          <w:tcPr>
            <w:tcW w:w="11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425B4E" w14:textId="0088EEBC" w:rsidR="005E1291" w:rsidRPr="006B2EF2" w:rsidRDefault="005E1291" w:rsidP="005E1291">
            <w:pPr>
              <w:pStyle w:val="TableCenter"/>
            </w:pPr>
            <w:r w:rsidRPr="005F11D2">
              <w:rPr>
                <w:rFonts w:eastAsia="SimSun"/>
                <w:color w:val="000000"/>
                <w:kern w:val="24"/>
              </w:rPr>
              <w:t>Withhold dose</w:t>
            </w:r>
            <w:r w:rsidRPr="005F11D2">
              <w:rPr>
                <w:rFonts w:eastAsia="SimSun"/>
                <w:color w:val="000000"/>
                <w:kern w:val="24"/>
                <w:position w:val="5"/>
                <w:vertAlign w:val="superscript"/>
              </w:rPr>
              <w:t>c</w:t>
            </w:r>
          </w:p>
        </w:tc>
        <w:tc>
          <w:tcPr>
            <w:tcW w:w="1027"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0B5B679" w14:textId="77B83EC5" w:rsidR="005E1291" w:rsidRPr="006B2EF2" w:rsidRDefault="005E1291" w:rsidP="005E1291">
            <w:pPr>
              <w:pStyle w:val="TableCenter"/>
            </w:pPr>
            <w:r w:rsidRPr="007D5975">
              <w:t>Initiate 1 to 2 mg/kg/day prednisone or equivalent followed by a taper</w:t>
            </w:r>
          </w:p>
        </w:tc>
      </w:tr>
      <w:tr w:rsidR="005E1291" w:rsidRPr="006B2EF2" w14:paraId="714069F0" w14:textId="77777777" w:rsidTr="00B65F2F">
        <w:trPr>
          <w:trHeight w:val="924"/>
        </w:trPr>
        <w:tc>
          <w:tcPr>
            <w:tcW w:w="1683" w:type="pct"/>
            <w:vMerge/>
            <w:tcBorders>
              <w:left w:val="single" w:sz="4" w:space="0" w:color="auto"/>
              <w:right w:val="single" w:sz="4" w:space="0" w:color="auto"/>
            </w:tcBorders>
            <w:tcMar>
              <w:top w:w="0" w:type="dxa"/>
              <w:left w:w="108" w:type="dxa"/>
              <w:bottom w:w="0" w:type="dxa"/>
              <w:right w:w="108" w:type="dxa"/>
            </w:tcMar>
            <w:vAlign w:val="center"/>
          </w:tcPr>
          <w:p w14:paraId="77E28FD8" w14:textId="77777777" w:rsidR="005E1291" w:rsidRPr="006B2EF2" w:rsidRDefault="005E1291" w:rsidP="005E1291">
            <w:pPr>
              <w:pStyle w:val="TableLeft"/>
            </w:pPr>
          </w:p>
        </w:tc>
        <w:tc>
          <w:tcPr>
            <w:tcW w:w="11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B53E7D" w14:textId="731C4027" w:rsidR="005E1291" w:rsidRPr="006B2EF2" w:rsidRDefault="005E1291" w:rsidP="005E1291">
            <w:pPr>
              <w:pStyle w:val="TableCenter"/>
            </w:pPr>
            <w:r>
              <w:rPr>
                <w:lang w:val="en-US"/>
              </w:rPr>
              <w:t xml:space="preserve">ALT or AST </w:t>
            </w:r>
            <w:r w:rsidRPr="00545EBC">
              <w:rPr>
                <w:lang w:val="en-US"/>
              </w:rPr>
              <w:t>&gt;</w:t>
            </w:r>
            <w:r w:rsidRPr="00545EBC">
              <w:rPr>
                <w:color w:val="000000"/>
                <w:lang w:val="en-US"/>
              </w:rPr>
              <w:t>5-7</w:t>
            </w:r>
            <w:r w:rsidR="00B30810">
              <w:rPr>
                <w:color w:val="000000"/>
                <w:lang w:val="en-US"/>
              </w:rPr>
              <w:t xml:space="preserve"> </w:t>
            </w:r>
            <w:r w:rsidR="00B30810" w:rsidRPr="00545EBC">
              <w:rPr>
                <w:color w:val="000000"/>
                <w:lang w:val="en-US"/>
              </w:rPr>
              <w:t>x</w:t>
            </w:r>
            <w:r w:rsidRPr="00545EBC">
              <w:rPr>
                <w:color w:val="000000"/>
                <w:lang w:val="en-US"/>
              </w:rPr>
              <w:t xml:space="preserve"> BLV and </w:t>
            </w:r>
            <w:r w:rsidRPr="00545EBC">
              <w:rPr>
                <w:rFonts w:eastAsia="SimSun" w:cs="Arial"/>
                <w:color w:val="000000"/>
                <w:kern w:val="24"/>
              </w:rPr>
              <w:t xml:space="preserve">≤ </w:t>
            </w:r>
            <w:r w:rsidRPr="00545EBC">
              <w:rPr>
                <w:color w:val="000000"/>
                <w:lang w:val="en-US"/>
              </w:rPr>
              <w:t>20</w:t>
            </w:r>
            <w:r w:rsidR="00B30810">
              <w:rPr>
                <w:color w:val="000000"/>
                <w:lang w:val="en-US"/>
              </w:rPr>
              <w:t xml:space="preserve"> </w:t>
            </w:r>
            <w:r w:rsidR="00B30810" w:rsidRPr="00545EBC">
              <w:rPr>
                <w:color w:val="000000"/>
                <w:lang w:val="en-US"/>
              </w:rPr>
              <w:t>x</w:t>
            </w:r>
            <w:r w:rsidRPr="00545EBC">
              <w:rPr>
                <w:color w:val="000000"/>
                <w:lang w:val="en-US"/>
              </w:rPr>
              <w:t xml:space="preserve"> ULN</w:t>
            </w:r>
            <w:r>
              <w:rPr>
                <w:color w:val="000000"/>
                <w:lang w:val="en-US"/>
              </w:rPr>
              <w:t xml:space="preserve"> OR</w:t>
            </w:r>
            <w:r w:rsidRPr="00545EBC">
              <w:rPr>
                <w:color w:val="000000"/>
                <w:lang w:val="en-US"/>
              </w:rPr>
              <w:t xml:space="preserve"> </w:t>
            </w:r>
            <w:r>
              <w:rPr>
                <w:color w:val="000000"/>
                <w:lang w:val="en-US"/>
              </w:rPr>
              <w:t xml:space="preserve">concurrent </w:t>
            </w:r>
            <w:r w:rsidR="00E902E6">
              <w:rPr>
                <w:color w:val="000000"/>
                <w:lang w:val="en-US"/>
              </w:rPr>
              <w:t xml:space="preserve">ALT or AST </w:t>
            </w:r>
            <w:r w:rsidRPr="00545EBC">
              <w:rPr>
                <w:color w:val="000000"/>
                <w:lang w:val="en-US"/>
              </w:rPr>
              <w:t>2.5-5</w:t>
            </w:r>
            <w:r w:rsidR="00B30810">
              <w:rPr>
                <w:color w:val="000000"/>
                <w:lang w:val="en-US"/>
              </w:rPr>
              <w:t xml:space="preserve"> </w:t>
            </w:r>
            <w:r w:rsidR="00B30810" w:rsidRPr="00545EBC">
              <w:rPr>
                <w:color w:val="000000"/>
                <w:lang w:val="en-US"/>
              </w:rPr>
              <w:t>x</w:t>
            </w:r>
            <w:r w:rsidRPr="00545EBC">
              <w:rPr>
                <w:color w:val="000000"/>
                <w:lang w:val="en-US"/>
              </w:rPr>
              <w:t xml:space="preserve"> BLV and </w:t>
            </w:r>
            <w:r w:rsidRPr="00545EBC">
              <w:rPr>
                <w:rFonts w:eastAsia="SimSun" w:cs="Arial"/>
                <w:color w:val="000000"/>
                <w:kern w:val="24"/>
              </w:rPr>
              <w:t xml:space="preserve">≤ </w:t>
            </w:r>
            <w:r w:rsidRPr="00545EBC">
              <w:rPr>
                <w:color w:val="000000"/>
                <w:lang w:val="en-US"/>
              </w:rPr>
              <w:t>20</w:t>
            </w:r>
            <w:r w:rsidR="00B30810">
              <w:rPr>
                <w:color w:val="000000"/>
                <w:lang w:val="en-US"/>
              </w:rPr>
              <w:t xml:space="preserve"> </w:t>
            </w:r>
            <w:r w:rsidR="00B30810" w:rsidRPr="00545EBC">
              <w:rPr>
                <w:color w:val="000000"/>
                <w:lang w:val="en-US"/>
              </w:rPr>
              <w:t>x</w:t>
            </w:r>
            <w:r w:rsidR="00B30810">
              <w:rPr>
                <w:color w:val="000000"/>
                <w:lang w:val="en-US"/>
              </w:rPr>
              <w:t xml:space="preserve"> </w:t>
            </w:r>
            <w:r w:rsidRPr="00545EBC">
              <w:rPr>
                <w:color w:val="000000"/>
                <w:lang w:val="en-US"/>
              </w:rPr>
              <w:t xml:space="preserve">ULN </w:t>
            </w:r>
            <w:r>
              <w:rPr>
                <w:color w:val="000000"/>
                <w:lang w:val="en-US"/>
              </w:rPr>
              <w:t>AND</w:t>
            </w:r>
            <w:r w:rsidRPr="00545EBC">
              <w:rPr>
                <w:color w:val="000000"/>
                <w:lang w:val="en-US"/>
              </w:rPr>
              <w:t xml:space="preserve"> total </w:t>
            </w:r>
            <w:r w:rsidRPr="007D5975">
              <w:rPr>
                <w:color w:val="000000"/>
                <w:lang w:val="en-US"/>
              </w:rPr>
              <w:t xml:space="preserve">bilirubin &gt; 1.5 - &lt; 2 x </w:t>
            </w:r>
            <w:proofErr w:type="spellStart"/>
            <w:r w:rsidRPr="007D5975">
              <w:rPr>
                <w:color w:val="000000"/>
                <w:lang w:val="en-US"/>
              </w:rPr>
              <w:t>ULN</w:t>
            </w:r>
            <w:r>
              <w:rPr>
                <w:color w:val="000000"/>
                <w:vertAlign w:val="superscript"/>
                <w:lang w:val="en-US"/>
              </w:rPr>
              <w:t>d</w:t>
            </w:r>
            <w:proofErr w:type="spellEnd"/>
          </w:p>
        </w:tc>
        <w:tc>
          <w:tcPr>
            <w:tcW w:w="11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2B2657" w14:textId="203B5F71" w:rsidR="005E1291" w:rsidRPr="006B2EF2" w:rsidRDefault="005E1291" w:rsidP="005E1291">
            <w:pPr>
              <w:pStyle w:val="TableCenter"/>
            </w:pPr>
            <w:r w:rsidRPr="00D87638">
              <w:t>Withhold durvalu</w:t>
            </w:r>
            <w:r>
              <w:t>ma</w:t>
            </w:r>
            <w:r w:rsidRPr="00D87638">
              <w:t xml:space="preserve">b and permanently discontinue </w:t>
            </w:r>
            <w:proofErr w:type="spellStart"/>
            <w:r w:rsidRPr="00D87638">
              <w:t>tremelimumab</w:t>
            </w:r>
            <w:proofErr w:type="spellEnd"/>
          </w:p>
        </w:tc>
        <w:tc>
          <w:tcPr>
            <w:tcW w:w="1027" w:type="pct"/>
            <w:vMerge/>
            <w:tcBorders>
              <w:left w:val="single" w:sz="4" w:space="0" w:color="auto"/>
              <w:right w:val="single" w:sz="4" w:space="0" w:color="auto"/>
            </w:tcBorders>
            <w:tcMar>
              <w:top w:w="0" w:type="dxa"/>
              <w:left w:w="108" w:type="dxa"/>
              <w:bottom w:w="0" w:type="dxa"/>
              <w:right w:w="108" w:type="dxa"/>
            </w:tcMar>
            <w:vAlign w:val="center"/>
          </w:tcPr>
          <w:p w14:paraId="176AA4C9" w14:textId="77777777" w:rsidR="005E1291" w:rsidRPr="006B2EF2" w:rsidRDefault="005E1291" w:rsidP="005E1291">
            <w:pPr>
              <w:pStyle w:val="TableCenter"/>
            </w:pPr>
          </w:p>
        </w:tc>
      </w:tr>
      <w:tr w:rsidR="005E1291" w:rsidRPr="006B2EF2" w14:paraId="24E5F073" w14:textId="77777777" w:rsidTr="00B65F2F">
        <w:trPr>
          <w:trHeight w:val="924"/>
        </w:trPr>
        <w:tc>
          <w:tcPr>
            <w:tcW w:w="1683" w:type="pct"/>
            <w:vMerge/>
            <w:tcBorders>
              <w:left w:val="single" w:sz="4" w:space="0" w:color="auto"/>
              <w:right w:val="single" w:sz="4" w:space="0" w:color="auto"/>
            </w:tcBorders>
            <w:tcMar>
              <w:top w:w="0" w:type="dxa"/>
              <w:left w:w="108" w:type="dxa"/>
              <w:bottom w:w="0" w:type="dxa"/>
              <w:right w:w="108" w:type="dxa"/>
            </w:tcMar>
            <w:vAlign w:val="center"/>
          </w:tcPr>
          <w:p w14:paraId="6CF22246" w14:textId="77777777" w:rsidR="005E1291" w:rsidRPr="006B2EF2" w:rsidRDefault="005E1291" w:rsidP="005E1291">
            <w:pPr>
              <w:pStyle w:val="TableLeft"/>
            </w:pPr>
          </w:p>
        </w:tc>
        <w:tc>
          <w:tcPr>
            <w:tcW w:w="11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19C1C1" w14:textId="109A7938" w:rsidR="005E1291" w:rsidRPr="006B2EF2" w:rsidRDefault="005E1291" w:rsidP="005E1291">
            <w:pPr>
              <w:pStyle w:val="TableCenter"/>
            </w:pPr>
            <w:r>
              <w:rPr>
                <w:lang w:val="en-US"/>
              </w:rPr>
              <w:t xml:space="preserve">ALT or AST </w:t>
            </w:r>
            <w:r w:rsidRPr="00545EBC">
              <w:rPr>
                <w:lang w:val="en-US"/>
              </w:rPr>
              <w:t xml:space="preserve">&gt; 7 </w:t>
            </w:r>
            <w:r w:rsidR="00B30810" w:rsidRPr="00545EBC">
              <w:rPr>
                <w:lang w:val="en-US"/>
              </w:rPr>
              <w:t>x</w:t>
            </w:r>
            <w:r w:rsidRPr="00545EBC">
              <w:rPr>
                <w:lang w:val="en-US"/>
              </w:rPr>
              <w:t xml:space="preserve"> BLV </w:t>
            </w:r>
            <w:r>
              <w:rPr>
                <w:lang w:val="en-US"/>
              </w:rPr>
              <w:t xml:space="preserve">OR </w:t>
            </w:r>
            <w:r w:rsidRPr="00545EBC">
              <w:rPr>
                <w:lang w:val="en-US"/>
              </w:rPr>
              <w:t>&gt; 20</w:t>
            </w:r>
            <w:r w:rsidR="00B30810">
              <w:rPr>
                <w:lang w:val="en-US"/>
              </w:rPr>
              <w:t xml:space="preserve"> x </w:t>
            </w:r>
            <w:r w:rsidRPr="00545EBC">
              <w:rPr>
                <w:lang w:val="en-US"/>
              </w:rPr>
              <w:t>ULN</w:t>
            </w:r>
            <w:r w:rsidRPr="007D5975">
              <w:rPr>
                <w:lang w:val="en-US"/>
              </w:rPr>
              <w:t xml:space="preserve"> whichever occurs first </w:t>
            </w:r>
            <w:r>
              <w:rPr>
                <w:lang w:val="en-US"/>
              </w:rPr>
              <w:t>OR</w:t>
            </w:r>
            <w:r w:rsidRPr="007D5975">
              <w:rPr>
                <w:lang w:val="en-US"/>
              </w:rPr>
              <w:t xml:space="preserve"> bilirubin &gt; 3</w:t>
            </w:r>
            <w:r w:rsidR="00B30810">
              <w:rPr>
                <w:lang w:val="en-US"/>
              </w:rPr>
              <w:t xml:space="preserve"> </w:t>
            </w:r>
            <w:r w:rsidR="00E902E6">
              <w:rPr>
                <w:lang w:val="en-US"/>
              </w:rPr>
              <w:t>x</w:t>
            </w:r>
            <w:r w:rsidR="00B30810">
              <w:rPr>
                <w:lang w:val="en-US"/>
              </w:rPr>
              <w:t xml:space="preserve"> </w:t>
            </w:r>
            <w:r w:rsidRPr="007D5975">
              <w:rPr>
                <w:lang w:val="en-US"/>
              </w:rPr>
              <w:t>ULN</w:t>
            </w:r>
          </w:p>
        </w:tc>
        <w:tc>
          <w:tcPr>
            <w:tcW w:w="11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2AD95D" w14:textId="20C92DEC" w:rsidR="005E1291" w:rsidRPr="006B2EF2" w:rsidRDefault="005E1291" w:rsidP="005E1291">
            <w:pPr>
              <w:pStyle w:val="TableCenter"/>
            </w:pPr>
            <w:r w:rsidRPr="00D87638">
              <w:t>Permanently discontinue</w:t>
            </w:r>
          </w:p>
        </w:tc>
        <w:tc>
          <w:tcPr>
            <w:tcW w:w="1027"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61E18CDD" w14:textId="77777777" w:rsidR="005E1291" w:rsidRPr="006B2EF2" w:rsidRDefault="005E1291" w:rsidP="005E1291">
            <w:pPr>
              <w:pStyle w:val="TableCenter"/>
            </w:pPr>
          </w:p>
        </w:tc>
      </w:tr>
      <w:tr w:rsidR="005E1291" w:rsidRPr="006B2EF2" w14:paraId="6750BA49" w14:textId="77777777" w:rsidTr="0002264C">
        <w:trPr>
          <w:trHeight w:val="924"/>
        </w:trPr>
        <w:tc>
          <w:tcPr>
            <w:tcW w:w="1683"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052B60F4" w14:textId="77777777" w:rsidR="005E1291" w:rsidRPr="006B2EF2" w:rsidRDefault="005E1291" w:rsidP="005E1291">
            <w:pPr>
              <w:pStyle w:val="TableLeft"/>
              <w:rPr>
                <w:rFonts w:eastAsia="Calibri"/>
              </w:rPr>
            </w:pPr>
            <w:r w:rsidRPr="006B2EF2">
              <w:t>Immune-mediated colitis</w:t>
            </w:r>
            <w:r>
              <w:t xml:space="preserve"> </w:t>
            </w:r>
            <w:r w:rsidRPr="006B2EF2">
              <w:t>or diarrh</w:t>
            </w:r>
            <w:r>
              <w:t>o</w:t>
            </w:r>
            <w:r w:rsidRPr="006B2EF2">
              <w:t>ea</w:t>
            </w:r>
          </w:p>
          <w:p w14:paraId="6C3327DC" w14:textId="77777777" w:rsidR="005E1291" w:rsidRPr="006B2EF2" w:rsidRDefault="005E1291" w:rsidP="005E1291">
            <w:pPr>
              <w:pStyle w:val="TableLeft"/>
              <w:rPr>
                <w:rFonts w:eastAsia="Calibri"/>
              </w:rPr>
            </w:pPr>
          </w:p>
        </w:tc>
        <w:tc>
          <w:tcPr>
            <w:tcW w:w="11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8D1E1C" w14:textId="77777777" w:rsidR="005E1291" w:rsidRPr="006B2EF2" w:rsidRDefault="005E1291" w:rsidP="005E1291">
            <w:pPr>
              <w:pStyle w:val="TableCenter"/>
              <w:rPr>
                <w:rFonts w:eastAsia="PMingLiU"/>
              </w:rPr>
            </w:pPr>
            <w:r w:rsidRPr="006B2EF2">
              <w:t>Grade 2</w:t>
            </w:r>
            <w:r>
              <w:t xml:space="preserve"> </w:t>
            </w:r>
          </w:p>
        </w:tc>
        <w:tc>
          <w:tcPr>
            <w:tcW w:w="11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C8BCF7" w14:textId="77777777" w:rsidR="005E1291" w:rsidRPr="006B2EF2" w:rsidRDefault="005E1291" w:rsidP="005E1291">
            <w:pPr>
              <w:pStyle w:val="TableCenter"/>
            </w:pPr>
            <w:r w:rsidRPr="006B2EF2">
              <w:t xml:space="preserve">Withhold </w:t>
            </w:r>
            <w:proofErr w:type="spellStart"/>
            <w:r w:rsidRPr="006B2EF2">
              <w:t>dose</w:t>
            </w:r>
            <w:r>
              <w:rPr>
                <w:vertAlign w:val="superscript"/>
              </w:rPr>
              <w:t>c</w:t>
            </w:r>
            <w:proofErr w:type="spellEnd"/>
          </w:p>
        </w:tc>
        <w:tc>
          <w:tcPr>
            <w:tcW w:w="102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060A54" w14:textId="77777777" w:rsidR="005E1291" w:rsidRDefault="005E1291" w:rsidP="005E1291">
            <w:pPr>
              <w:pStyle w:val="TableCenter"/>
            </w:pPr>
            <w:r w:rsidRPr="006B2EF2">
              <w:t xml:space="preserve">Initiate 1 to 2 mg/kg/day prednisone or equivalent followed by a </w:t>
            </w:r>
            <w:proofErr w:type="gramStart"/>
            <w:r w:rsidRPr="006B2EF2">
              <w:t>taper</w:t>
            </w:r>
            <w:proofErr w:type="gramEnd"/>
          </w:p>
          <w:p w14:paraId="37C6F924" w14:textId="77777777" w:rsidR="005E1291" w:rsidRPr="006B2EF2" w:rsidRDefault="005E1291" w:rsidP="005E1291">
            <w:pPr>
              <w:pStyle w:val="TableCenter"/>
            </w:pPr>
          </w:p>
        </w:tc>
      </w:tr>
      <w:tr w:rsidR="005E1291" w:rsidRPr="006B2EF2" w14:paraId="45E4307B" w14:textId="77777777" w:rsidTr="0002264C">
        <w:trPr>
          <w:trHeight w:val="624"/>
        </w:trPr>
        <w:tc>
          <w:tcPr>
            <w:tcW w:w="0" w:type="auto"/>
            <w:vMerge/>
            <w:tcBorders>
              <w:left w:val="single" w:sz="4" w:space="0" w:color="auto"/>
              <w:right w:val="single" w:sz="4" w:space="0" w:color="auto"/>
            </w:tcBorders>
            <w:vAlign w:val="center"/>
            <w:hideMark/>
          </w:tcPr>
          <w:p w14:paraId="1F07650D" w14:textId="77777777" w:rsidR="005E1291" w:rsidRPr="006B2EF2" w:rsidRDefault="005E1291" w:rsidP="005E1291">
            <w:pPr>
              <w:pStyle w:val="TableLeft"/>
              <w:rPr>
                <w:rFonts w:eastAsia="Calibri"/>
                <w:sz w:val="22"/>
                <w:szCs w:val="22"/>
              </w:rPr>
            </w:pPr>
          </w:p>
        </w:tc>
        <w:tc>
          <w:tcPr>
            <w:tcW w:w="11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BC7817" w14:textId="77777777" w:rsidR="005E1291" w:rsidRPr="006B2EF2" w:rsidRDefault="005E1291" w:rsidP="005E1291">
            <w:pPr>
              <w:pStyle w:val="TableCenter"/>
              <w:rPr>
                <w:rFonts w:eastAsia="Calibri"/>
              </w:rPr>
            </w:pPr>
            <w:r w:rsidRPr="006B2EF2">
              <w:t xml:space="preserve">Grade </w:t>
            </w:r>
            <w:r>
              <w:t xml:space="preserve">3 or </w:t>
            </w:r>
            <w:r w:rsidRPr="006B2EF2">
              <w:t>4</w:t>
            </w:r>
            <w:r>
              <w:t xml:space="preserve"> </w:t>
            </w:r>
          </w:p>
        </w:tc>
        <w:tc>
          <w:tcPr>
            <w:tcW w:w="11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57F86D" w14:textId="77777777" w:rsidR="005E1291" w:rsidRPr="006B2EF2" w:rsidRDefault="005E1291" w:rsidP="005E1291">
            <w:pPr>
              <w:pStyle w:val="TableCenter"/>
              <w:rPr>
                <w:rFonts w:eastAsia="PMingLiU"/>
              </w:rPr>
            </w:pPr>
            <w:r w:rsidRPr="006B2EF2">
              <w:t>Permanently</w:t>
            </w:r>
            <w:r>
              <w:t xml:space="preserve"> </w:t>
            </w:r>
            <w:r w:rsidRPr="006B2EF2">
              <w:t>discontinue</w:t>
            </w:r>
          </w:p>
        </w:tc>
        <w:tc>
          <w:tcPr>
            <w:tcW w:w="1027" w:type="pct"/>
            <w:vMerge/>
            <w:tcBorders>
              <w:top w:val="single" w:sz="4" w:space="0" w:color="auto"/>
              <w:left w:val="single" w:sz="4" w:space="0" w:color="auto"/>
              <w:bottom w:val="single" w:sz="4" w:space="0" w:color="auto"/>
              <w:right w:val="single" w:sz="4" w:space="0" w:color="auto"/>
            </w:tcBorders>
            <w:vAlign w:val="center"/>
            <w:hideMark/>
          </w:tcPr>
          <w:p w14:paraId="1FE240FF" w14:textId="77777777" w:rsidR="005E1291" w:rsidRPr="006B2EF2" w:rsidRDefault="005E1291" w:rsidP="005E1291">
            <w:pPr>
              <w:pStyle w:val="TableCenter"/>
              <w:rPr>
                <w:sz w:val="22"/>
                <w:szCs w:val="22"/>
              </w:rPr>
            </w:pPr>
          </w:p>
        </w:tc>
      </w:tr>
      <w:tr w:rsidR="005E1291" w:rsidRPr="006B2EF2" w14:paraId="272E74E7" w14:textId="77777777" w:rsidTr="0002264C">
        <w:trPr>
          <w:trHeight w:val="972"/>
        </w:trPr>
        <w:tc>
          <w:tcPr>
            <w:tcW w:w="1683"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5E24C136" w14:textId="77777777" w:rsidR="005E1291" w:rsidRPr="006B2EF2" w:rsidRDefault="005E1291" w:rsidP="005E1291">
            <w:pPr>
              <w:pStyle w:val="TableLeft"/>
            </w:pPr>
          </w:p>
        </w:tc>
        <w:tc>
          <w:tcPr>
            <w:tcW w:w="11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152F5A" w14:textId="77777777" w:rsidR="005E1291" w:rsidRPr="006B2EF2" w:rsidRDefault="005E1291" w:rsidP="005E1291">
            <w:pPr>
              <w:pStyle w:val="TableCenter"/>
            </w:pPr>
            <w:r>
              <w:t>Intestinal perforation of ANY grade</w:t>
            </w:r>
          </w:p>
        </w:tc>
        <w:tc>
          <w:tcPr>
            <w:tcW w:w="11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C65767" w14:textId="77777777" w:rsidR="005E1291" w:rsidRPr="006B2EF2" w:rsidRDefault="005E1291" w:rsidP="005E1291">
            <w:pPr>
              <w:pStyle w:val="TableCenter"/>
            </w:pPr>
            <w:r>
              <w:t xml:space="preserve">Permanently discontinue </w:t>
            </w:r>
          </w:p>
        </w:tc>
        <w:tc>
          <w:tcPr>
            <w:tcW w:w="10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13DDBD" w14:textId="77777777" w:rsidR="005E1291" w:rsidRPr="006B2EF2" w:rsidRDefault="005E1291" w:rsidP="005E1291">
            <w:pPr>
              <w:pStyle w:val="TableCenter"/>
            </w:pPr>
            <w:r>
              <w:t>Consult a surgeon immediately if an intestinal perforation is suspected</w:t>
            </w:r>
          </w:p>
        </w:tc>
      </w:tr>
      <w:tr w:rsidR="005E1291" w:rsidRPr="006B2EF2" w14:paraId="5B76A540" w14:textId="77777777" w:rsidTr="0002264C">
        <w:trPr>
          <w:trHeight w:val="972"/>
        </w:trPr>
        <w:tc>
          <w:tcPr>
            <w:tcW w:w="16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478235" w14:textId="77777777" w:rsidR="005E1291" w:rsidRPr="006B2EF2" w:rsidRDefault="005E1291" w:rsidP="005E1291">
            <w:pPr>
              <w:pStyle w:val="TableLeft"/>
            </w:pPr>
            <w:r w:rsidRPr="006B2EF2">
              <w:t xml:space="preserve">Immune-mediated </w:t>
            </w:r>
            <w:r>
              <w:t>h</w:t>
            </w:r>
            <w:r w:rsidRPr="006B2EF2">
              <w:t>yperthyroidism</w:t>
            </w:r>
            <w:r>
              <w:t>, thyroiditis</w:t>
            </w:r>
          </w:p>
        </w:tc>
        <w:tc>
          <w:tcPr>
            <w:tcW w:w="11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5AFF40" w14:textId="77777777" w:rsidR="005E1291" w:rsidRPr="006B2EF2" w:rsidRDefault="005E1291" w:rsidP="005E1291">
            <w:pPr>
              <w:pStyle w:val="TableCenter"/>
            </w:pPr>
            <w:r w:rsidRPr="006B2EF2">
              <w:t>Grade 2-4</w:t>
            </w:r>
          </w:p>
        </w:tc>
        <w:tc>
          <w:tcPr>
            <w:tcW w:w="11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FF057B" w14:textId="77777777" w:rsidR="005E1291" w:rsidRPr="006B2EF2" w:rsidRDefault="005E1291" w:rsidP="005E1291">
            <w:pPr>
              <w:pStyle w:val="TableCenter"/>
            </w:pPr>
            <w:r w:rsidRPr="006B2EF2">
              <w:t>Withhold dose until clinically stable</w:t>
            </w:r>
          </w:p>
        </w:tc>
        <w:tc>
          <w:tcPr>
            <w:tcW w:w="10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9820140" w14:textId="77777777" w:rsidR="005E1291" w:rsidRPr="006B2EF2" w:rsidRDefault="005E1291" w:rsidP="005E1291">
            <w:pPr>
              <w:pStyle w:val="TableCenter"/>
            </w:pPr>
            <w:r w:rsidRPr="006B2EF2">
              <w:t>Symptomatic management</w:t>
            </w:r>
          </w:p>
        </w:tc>
      </w:tr>
      <w:tr w:rsidR="005E1291" w:rsidRPr="006B2EF2" w14:paraId="129F344A" w14:textId="77777777" w:rsidTr="0002264C">
        <w:trPr>
          <w:trHeight w:val="972"/>
        </w:trPr>
        <w:tc>
          <w:tcPr>
            <w:tcW w:w="16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AE8082" w14:textId="77777777" w:rsidR="005E1291" w:rsidRPr="006B2EF2" w:rsidRDefault="005E1291" w:rsidP="005E1291">
            <w:pPr>
              <w:pStyle w:val="TableLeft"/>
            </w:pPr>
            <w:r w:rsidRPr="006B2EF2">
              <w:lastRenderedPageBreak/>
              <w:t xml:space="preserve">Immune-mediated </w:t>
            </w:r>
            <w:r>
              <w:t>h</w:t>
            </w:r>
            <w:r w:rsidRPr="006B2EF2">
              <w:t xml:space="preserve">ypothyroidism </w:t>
            </w:r>
          </w:p>
        </w:tc>
        <w:tc>
          <w:tcPr>
            <w:tcW w:w="11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84E985" w14:textId="77777777" w:rsidR="005E1291" w:rsidRPr="006B2EF2" w:rsidRDefault="005E1291" w:rsidP="005E1291">
            <w:pPr>
              <w:pStyle w:val="TableCenter"/>
            </w:pPr>
            <w:r w:rsidRPr="006B2EF2">
              <w:t>Grade 2-4</w:t>
            </w:r>
          </w:p>
        </w:tc>
        <w:tc>
          <w:tcPr>
            <w:tcW w:w="11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BFF7B8A" w14:textId="77777777" w:rsidR="005E1291" w:rsidRPr="006B2EF2" w:rsidRDefault="005E1291" w:rsidP="005E1291">
            <w:pPr>
              <w:pStyle w:val="TableCenter"/>
            </w:pPr>
            <w:r w:rsidRPr="006B2EF2">
              <w:t>No changes</w:t>
            </w:r>
          </w:p>
        </w:tc>
        <w:tc>
          <w:tcPr>
            <w:tcW w:w="10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333505F" w14:textId="77777777" w:rsidR="005E1291" w:rsidRPr="006B2EF2" w:rsidRDefault="005E1291" w:rsidP="005E1291">
            <w:pPr>
              <w:pStyle w:val="TableCenter"/>
            </w:pPr>
            <w:r w:rsidRPr="006B2EF2">
              <w:rPr>
                <w:shd w:val="clear" w:color="auto" w:fill="FFFFFF"/>
              </w:rPr>
              <w:t>Initiate thyroid hormone replacement as clinically indicated</w:t>
            </w:r>
          </w:p>
        </w:tc>
      </w:tr>
      <w:tr w:rsidR="005E1291" w:rsidRPr="006B2EF2" w14:paraId="08B38E40" w14:textId="77777777" w:rsidTr="0002264C">
        <w:trPr>
          <w:trHeight w:val="972"/>
        </w:trPr>
        <w:tc>
          <w:tcPr>
            <w:tcW w:w="168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0A5C464" w14:textId="77777777" w:rsidR="005E1291" w:rsidRPr="006B2EF2" w:rsidRDefault="005E1291" w:rsidP="005E1291">
            <w:pPr>
              <w:pStyle w:val="TableLeft"/>
            </w:pPr>
            <w:r w:rsidRPr="006B2EF2">
              <w:t xml:space="preserve">Immune-mediated </w:t>
            </w:r>
            <w:r>
              <w:t>a</w:t>
            </w:r>
            <w:r w:rsidRPr="006B2EF2">
              <w:t>drenal insufficiency,</w:t>
            </w:r>
            <w:r w:rsidRPr="006B2EF2">
              <w:br/>
            </w:r>
            <w:proofErr w:type="spellStart"/>
            <w:r>
              <w:t>h</w:t>
            </w:r>
            <w:r w:rsidRPr="006B2EF2">
              <w:t>ypophysitis</w:t>
            </w:r>
            <w:proofErr w:type="spellEnd"/>
            <w:r w:rsidRPr="006B2EF2">
              <w:t>/hypopituitarism</w:t>
            </w:r>
          </w:p>
        </w:tc>
        <w:tc>
          <w:tcPr>
            <w:tcW w:w="117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26BEB12" w14:textId="77777777" w:rsidR="005E1291" w:rsidRPr="006B2EF2" w:rsidRDefault="005E1291" w:rsidP="005E1291">
            <w:pPr>
              <w:pStyle w:val="TableCenter"/>
            </w:pPr>
            <w:r w:rsidRPr="006B2EF2">
              <w:t>Grade 2-4</w:t>
            </w:r>
          </w:p>
        </w:tc>
        <w:tc>
          <w:tcPr>
            <w:tcW w:w="111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125FAF7" w14:textId="77777777" w:rsidR="005E1291" w:rsidRPr="006B2EF2" w:rsidRDefault="005E1291" w:rsidP="005E1291">
            <w:pPr>
              <w:pStyle w:val="TableCenter"/>
            </w:pPr>
            <w:r w:rsidRPr="006B2EF2">
              <w:t>Withhold dose until clinically stable</w:t>
            </w:r>
          </w:p>
        </w:tc>
        <w:tc>
          <w:tcPr>
            <w:tcW w:w="102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919AAA0" w14:textId="77777777" w:rsidR="005E1291" w:rsidRPr="006B2EF2" w:rsidRDefault="005E1291" w:rsidP="005E1291">
            <w:pPr>
              <w:pStyle w:val="TableCenter"/>
            </w:pPr>
            <w:r w:rsidRPr="006B2EF2">
              <w:t>Initiate 1 to 2 mg/kg/day prednisone or equivalent followed by a taper and hormone replacement as clinically indicated</w:t>
            </w:r>
          </w:p>
        </w:tc>
      </w:tr>
      <w:tr w:rsidR="005E1291" w:rsidRPr="006B2EF2" w14:paraId="2E091718" w14:textId="77777777" w:rsidTr="0002264C">
        <w:trPr>
          <w:trHeight w:val="1377"/>
        </w:trPr>
        <w:tc>
          <w:tcPr>
            <w:tcW w:w="168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B64E3B8" w14:textId="77777777" w:rsidR="005E1291" w:rsidRPr="006B2EF2" w:rsidRDefault="005E1291" w:rsidP="005E1291">
            <w:pPr>
              <w:pStyle w:val="TableLeft"/>
            </w:pPr>
            <w:r w:rsidRPr="006B2EF2">
              <w:t>Immune-mediated Type 1 diabetes mellitus</w:t>
            </w:r>
            <w:r>
              <w:rPr>
                <w:rStyle w:val="EndnoteReference"/>
              </w:rPr>
              <w:t xml:space="preserve">  </w:t>
            </w:r>
          </w:p>
        </w:tc>
        <w:tc>
          <w:tcPr>
            <w:tcW w:w="117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8810C12" w14:textId="77777777" w:rsidR="005E1291" w:rsidRPr="006B2EF2" w:rsidRDefault="005E1291" w:rsidP="005E1291">
            <w:pPr>
              <w:pStyle w:val="TableCenter"/>
            </w:pPr>
            <w:r w:rsidRPr="006B2EF2">
              <w:t>Grade 2-4</w:t>
            </w:r>
          </w:p>
        </w:tc>
        <w:tc>
          <w:tcPr>
            <w:tcW w:w="111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9B8DCB1" w14:textId="77777777" w:rsidR="005E1291" w:rsidRPr="006B2EF2" w:rsidRDefault="005E1291" w:rsidP="005E1291">
            <w:pPr>
              <w:pStyle w:val="TableCenter"/>
            </w:pPr>
            <w:r w:rsidRPr="006B2EF2">
              <w:t>No changes</w:t>
            </w:r>
          </w:p>
        </w:tc>
        <w:tc>
          <w:tcPr>
            <w:tcW w:w="102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3F73716" w14:textId="77777777" w:rsidR="005E1291" w:rsidRPr="006B2EF2" w:rsidRDefault="005E1291" w:rsidP="005E1291">
            <w:pPr>
              <w:pStyle w:val="TableCenter"/>
            </w:pPr>
            <w:r w:rsidRPr="006B2EF2">
              <w:rPr>
                <w:shd w:val="clear" w:color="auto" w:fill="FFFFFF"/>
              </w:rPr>
              <w:t>Initiate treatment with insulin as clinically indicated</w:t>
            </w:r>
          </w:p>
        </w:tc>
      </w:tr>
      <w:tr w:rsidR="005E1291" w:rsidRPr="006B2EF2" w14:paraId="51C3CC5C" w14:textId="77777777" w:rsidTr="0002264C">
        <w:trPr>
          <w:trHeight w:val="1556"/>
        </w:trPr>
        <w:tc>
          <w:tcPr>
            <w:tcW w:w="168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C7ADDD" w14:textId="77777777" w:rsidR="005E1291" w:rsidRPr="006B2EF2" w:rsidRDefault="005E1291" w:rsidP="005E1291">
            <w:pPr>
              <w:pStyle w:val="TableLeft"/>
              <w:rPr>
                <w:rFonts w:eastAsia="Calibri"/>
              </w:rPr>
            </w:pPr>
            <w:r w:rsidRPr="006B2EF2">
              <w:t xml:space="preserve">Immune-mediated nephritis </w:t>
            </w:r>
          </w:p>
        </w:tc>
        <w:tc>
          <w:tcPr>
            <w:tcW w:w="11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65CF53" w14:textId="77777777" w:rsidR="005E1291" w:rsidRPr="006B2EF2" w:rsidRDefault="005E1291" w:rsidP="005E1291">
            <w:pPr>
              <w:pStyle w:val="TableCenter"/>
              <w:rPr>
                <w:rFonts w:ascii="PMingLiU" w:eastAsia="PMingLiU" w:hAnsi="PMingLiU" w:cs="PMingLiU"/>
              </w:rPr>
            </w:pPr>
            <w:r w:rsidRPr="006B2EF2">
              <w:t>Grade 2 with serum creatinine &gt; 1.5-3 x (ULN or baseline)</w:t>
            </w:r>
          </w:p>
        </w:tc>
        <w:tc>
          <w:tcPr>
            <w:tcW w:w="11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CF8D67" w14:textId="77777777" w:rsidR="005E1291" w:rsidRPr="006B2EF2" w:rsidRDefault="005E1291" w:rsidP="005E1291">
            <w:pPr>
              <w:pStyle w:val="TableCenter"/>
            </w:pPr>
            <w:r w:rsidRPr="006B2EF2">
              <w:t xml:space="preserve">Withhold </w:t>
            </w:r>
            <w:proofErr w:type="spellStart"/>
            <w:r w:rsidRPr="006B2EF2">
              <w:t>dose</w:t>
            </w:r>
            <w:r>
              <w:rPr>
                <w:vertAlign w:val="superscript"/>
              </w:rPr>
              <w:t>c</w:t>
            </w:r>
            <w:proofErr w:type="spellEnd"/>
          </w:p>
        </w:tc>
        <w:tc>
          <w:tcPr>
            <w:tcW w:w="102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7071A1" w14:textId="77777777" w:rsidR="005E1291" w:rsidRPr="006B2EF2" w:rsidRDefault="005E1291" w:rsidP="005E1291">
            <w:pPr>
              <w:pStyle w:val="TableCenter"/>
            </w:pPr>
            <w:r w:rsidRPr="006B2EF2">
              <w:t>Initiate 1 to 2 mg/kg/day prednisone or equivalent followed by a taper</w:t>
            </w:r>
          </w:p>
        </w:tc>
      </w:tr>
      <w:tr w:rsidR="005E1291" w:rsidRPr="006B2EF2" w14:paraId="3A8CAD80" w14:textId="77777777" w:rsidTr="0002264C">
        <w:trPr>
          <w:trHeight w:val="26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83B8F7" w14:textId="77777777" w:rsidR="005E1291" w:rsidRPr="006B2EF2" w:rsidRDefault="005E1291" w:rsidP="005E1291">
            <w:pPr>
              <w:pStyle w:val="TableLeft"/>
              <w:rPr>
                <w:rFonts w:eastAsia="Calibri"/>
                <w:sz w:val="22"/>
                <w:szCs w:val="22"/>
              </w:rPr>
            </w:pPr>
          </w:p>
        </w:tc>
        <w:tc>
          <w:tcPr>
            <w:tcW w:w="11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B5BD556" w14:textId="77777777" w:rsidR="005E1291" w:rsidRPr="006B2EF2" w:rsidRDefault="005E1291" w:rsidP="005E1291">
            <w:pPr>
              <w:pStyle w:val="TableCenter"/>
              <w:rPr>
                <w:rFonts w:ascii="Calibri" w:eastAsia="Calibri" w:hAnsi="Calibri" w:cs="Calibri"/>
              </w:rPr>
            </w:pPr>
            <w:r w:rsidRPr="006B2EF2">
              <w:t>Grade 3 with serum creatinine &gt; 3 x baseline or &gt; 3-6 x ULN; Grade 4 with serum creatinine &gt; 6 x ULN</w:t>
            </w:r>
          </w:p>
        </w:tc>
        <w:tc>
          <w:tcPr>
            <w:tcW w:w="11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143CE0" w14:textId="77777777" w:rsidR="005E1291" w:rsidRPr="006B2EF2" w:rsidRDefault="005E1291" w:rsidP="005E1291">
            <w:pPr>
              <w:pStyle w:val="TableCenter"/>
              <w:rPr>
                <w:rFonts w:eastAsia="PMingLiU"/>
              </w:rPr>
            </w:pPr>
            <w:r w:rsidRPr="006B2EF2">
              <w:t>Permanently discontinue</w:t>
            </w:r>
          </w:p>
        </w:tc>
        <w:tc>
          <w:tcPr>
            <w:tcW w:w="1027" w:type="pct"/>
            <w:vMerge/>
            <w:tcBorders>
              <w:top w:val="single" w:sz="4" w:space="0" w:color="auto"/>
              <w:left w:val="single" w:sz="4" w:space="0" w:color="auto"/>
              <w:bottom w:val="single" w:sz="4" w:space="0" w:color="auto"/>
              <w:right w:val="single" w:sz="4" w:space="0" w:color="auto"/>
            </w:tcBorders>
            <w:vAlign w:val="center"/>
            <w:hideMark/>
          </w:tcPr>
          <w:p w14:paraId="3C704826" w14:textId="77777777" w:rsidR="005E1291" w:rsidRPr="006B2EF2" w:rsidRDefault="005E1291" w:rsidP="005E1291">
            <w:pPr>
              <w:pStyle w:val="TableCenter"/>
              <w:rPr>
                <w:sz w:val="22"/>
                <w:szCs w:val="22"/>
              </w:rPr>
            </w:pPr>
          </w:p>
        </w:tc>
      </w:tr>
      <w:tr w:rsidR="005E1291" w:rsidRPr="006B2EF2" w14:paraId="33F0026E" w14:textId="77777777" w:rsidTr="0002264C">
        <w:trPr>
          <w:trHeight w:val="958"/>
        </w:trPr>
        <w:tc>
          <w:tcPr>
            <w:tcW w:w="168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E8DD38" w14:textId="77777777" w:rsidR="005E1291" w:rsidRPr="006B2EF2" w:rsidRDefault="005E1291" w:rsidP="005E1291">
            <w:pPr>
              <w:pStyle w:val="TableLeft"/>
              <w:rPr>
                <w:rFonts w:eastAsia="Calibri"/>
              </w:rPr>
            </w:pPr>
            <w:r w:rsidRPr="006B2EF2">
              <w:t>Immune-mediated rash or dermatitis</w:t>
            </w:r>
            <w:r>
              <w:t xml:space="preserve"> (including pemphigoid)</w:t>
            </w:r>
            <w:r>
              <w:rPr>
                <w:rStyle w:val="EndnoteReference"/>
              </w:rPr>
              <w:t xml:space="preserve">  </w:t>
            </w:r>
          </w:p>
        </w:tc>
        <w:tc>
          <w:tcPr>
            <w:tcW w:w="1171" w:type="pc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1D7B7F65" w14:textId="77777777" w:rsidR="005E1291" w:rsidRPr="006B2EF2" w:rsidRDefault="005E1291" w:rsidP="005E1291">
            <w:pPr>
              <w:pStyle w:val="TableCenter"/>
              <w:rPr>
                <w:rFonts w:ascii="PMingLiU" w:eastAsia="PMingLiU" w:hAnsi="PMingLiU" w:cs="PMingLiU"/>
              </w:rPr>
            </w:pPr>
            <w:r w:rsidRPr="006B2EF2">
              <w:t>Grade 2 for &gt; 1 week</w:t>
            </w:r>
            <w:r>
              <w:t xml:space="preserve"> or Grade 3</w:t>
            </w:r>
          </w:p>
        </w:tc>
        <w:tc>
          <w:tcPr>
            <w:tcW w:w="11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D2F533" w14:textId="77777777" w:rsidR="005E1291" w:rsidRPr="006B2EF2" w:rsidRDefault="005E1291" w:rsidP="005E1291">
            <w:pPr>
              <w:pStyle w:val="TableCenter"/>
            </w:pPr>
            <w:r w:rsidRPr="006B2EF2">
              <w:t xml:space="preserve">Withhold </w:t>
            </w:r>
            <w:proofErr w:type="spellStart"/>
            <w:r w:rsidRPr="006B2EF2">
              <w:t>dose</w:t>
            </w:r>
            <w:r>
              <w:rPr>
                <w:vertAlign w:val="superscript"/>
              </w:rPr>
              <w:t>c</w:t>
            </w:r>
            <w:proofErr w:type="spellEnd"/>
          </w:p>
        </w:tc>
        <w:tc>
          <w:tcPr>
            <w:tcW w:w="102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9155F26" w14:textId="77777777" w:rsidR="005E1291" w:rsidRPr="006B2EF2" w:rsidRDefault="005E1291" w:rsidP="005E1291">
            <w:pPr>
              <w:pStyle w:val="TableCenter"/>
            </w:pPr>
            <w:r w:rsidRPr="006B2EF2">
              <w:t>Initiate 1 to 2 mg/kg/day prednisone or equivalent followed by a taper</w:t>
            </w:r>
          </w:p>
        </w:tc>
      </w:tr>
      <w:tr w:rsidR="005E1291" w:rsidRPr="006B2EF2" w14:paraId="7D641601" w14:textId="77777777" w:rsidTr="0002264C">
        <w:trPr>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9A16B2" w14:textId="77777777" w:rsidR="005E1291" w:rsidRPr="006B2EF2" w:rsidRDefault="005E1291" w:rsidP="005E1291">
            <w:pPr>
              <w:pStyle w:val="TableLeft"/>
              <w:rPr>
                <w:rFonts w:eastAsia="Calibri"/>
                <w:sz w:val="22"/>
                <w:szCs w:val="22"/>
              </w:rPr>
            </w:pPr>
          </w:p>
        </w:tc>
        <w:tc>
          <w:tcPr>
            <w:tcW w:w="11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65713F" w14:textId="77777777" w:rsidR="005E1291" w:rsidRPr="006B2EF2" w:rsidRDefault="005E1291" w:rsidP="005E1291">
            <w:pPr>
              <w:pStyle w:val="TableCenter"/>
              <w:rPr>
                <w:rFonts w:eastAsia="Calibri"/>
              </w:rPr>
            </w:pPr>
            <w:r w:rsidRPr="006B2EF2">
              <w:t>Grade 4</w:t>
            </w:r>
            <w:r>
              <w:t xml:space="preserve"> </w:t>
            </w:r>
          </w:p>
        </w:tc>
        <w:tc>
          <w:tcPr>
            <w:tcW w:w="11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B65BC6" w14:textId="77777777" w:rsidR="005E1291" w:rsidRPr="006B2EF2" w:rsidRDefault="005E1291" w:rsidP="005E1291">
            <w:pPr>
              <w:pStyle w:val="TableCenter"/>
              <w:rPr>
                <w:rFonts w:eastAsia="PMingLiU"/>
              </w:rPr>
            </w:pPr>
            <w:r w:rsidRPr="006B2EF2">
              <w:t>Permanently discontinue</w:t>
            </w:r>
          </w:p>
        </w:tc>
        <w:tc>
          <w:tcPr>
            <w:tcW w:w="1027" w:type="pct"/>
            <w:vMerge/>
            <w:tcBorders>
              <w:top w:val="single" w:sz="4" w:space="0" w:color="auto"/>
              <w:left w:val="single" w:sz="4" w:space="0" w:color="auto"/>
              <w:bottom w:val="single" w:sz="4" w:space="0" w:color="auto"/>
              <w:right w:val="single" w:sz="4" w:space="0" w:color="auto"/>
            </w:tcBorders>
            <w:vAlign w:val="center"/>
            <w:hideMark/>
          </w:tcPr>
          <w:p w14:paraId="03EB8543" w14:textId="77777777" w:rsidR="005E1291" w:rsidRPr="006B2EF2" w:rsidRDefault="005E1291" w:rsidP="005E1291">
            <w:pPr>
              <w:pStyle w:val="TableCenter"/>
              <w:rPr>
                <w:sz w:val="22"/>
                <w:szCs w:val="22"/>
              </w:rPr>
            </w:pPr>
          </w:p>
        </w:tc>
      </w:tr>
      <w:tr w:rsidR="005E1291" w:rsidRPr="006B2EF2" w14:paraId="3DDEDFEB" w14:textId="77777777" w:rsidTr="0002264C">
        <w:trPr>
          <w:trHeight w:val="576"/>
        </w:trPr>
        <w:tc>
          <w:tcPr>
            <w:tcW w:w="1683" w:type="pct"/>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03AD2D30" w14:textId="77777777" w:rsidR="005E1291" w:rsidRPr="006B2EF2" w:rsidRDefault="005E1291" w:rsidP="005E1291">
            <w:pPr>
              <w:pStyle w:val="TableLeft"/>
            </w:pPr>
            <w:r w:rsidRPr="006B2EF2">
              <w:lastRenderedPageBreak/>
              <w:t>Immune-mediated myocarditis</w:t>
            </w:r>
            <w:r>
              <w:rPr>
                <w:rStyle w:val="EndnoteReference"/>
              </w:rPr>
              <w:t xml:space="preserve">  </w:t>
            </w:r>
          </w:p>
        </w:tc>
        <w:tc>
          <w:tcPr>
            <w:tcW w:w="11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AB31A0" w14:textId="77777777" w:rsidR="005E1291" w:rsidRPr="006B2EF2" w:rsidRDefault="005E1291" w:rsidP="005E1291">
            <w:pPr>
              <w:pStyle w:val="TableCenter"/>
            </w:pPr>
            <w:r w:rsidRPr="006B2EF2">
              <w:t xml:space="preserve">Grade </w:t>
            </w:r>
            <w:r>
              <w:t>2-</w:t>
            </w:r>
            <w:r w:rsidRPr="006B2EF2">
              <w:t>4</w:t>
            </w:r>
          </w:p>
        </w:tc>
        <w:tc>
          <w:tcPr>
            <w:tcW w:w="11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9BA0E4" w14:textId="77777777" w:rsidR="005E1291" w:rsidRPr="006B2EF2" w:rsidRDefault="005E1291" w:rsidP="005E1291">
            <w:pPr>
              <w:pStyle w:val="TableCenter"/>
            </w:pPr>
            <w:r w:rsidRPr="006B2EF2">
              <w:t>Permanently discontinue</w:t>
            </w:r>
          </w:p>
        </w:tc>
        <w:tc>
          <w:tcPr>
            <w:tcW w:w="1027" w:type="pct"/>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74781587" w14:textId="11290375" w:rsidR="005E1291" w:rsidRPr="006B2EF2" w:rsidRDefault="005E1291" w:rsidP="005E1291">
            <w:pPr>
              <w:pStyle w:val="TableCenter"/>
            </w:pPr>
            <w:r w:rsidRPr="006B2EF2">
              <w:t xml:space="preserve">Initiate </w:t>
            </w:r>
            <w:r>
              <w:t>2</w:t>
            </w:r>
            <w:r w:rsidRPr="006B2EF2">
              <w:t xml:space="preserve"> to </w:t>
            </w:r>
            <w:r>
              <w:t>4</w:t>
            </w:r>
            <w:r w:rsidRPr="006B2EF2">
              <w:t xml:space="preserve"> mg/kg/day prednisone or equivalent followed by a </w:t>
            </w:r>
            <w:proofErr w:type="spellStart"/>
            <w:r w:rsidRPr="006B2EF2">
              <w:t>taper</w:t>
            </w:r>
            <w:r w:rsidR="007F52C9">
              <w:rPr>
                <w:vertAlign w:val="superscript"/>
              </w:rPr>
              <w:t>f</w:t>
            </w:r>
            <w:proofErr w:type="spellEnd"/>
          </w:p>
        </w:tc>
      </w:tr>
      <w:tr w:rsidR="005E1291" w:rsidRPr="006B2EF2" w14:paraId="5BD0EDBE" w14:textId="77777777" w:rsidTr="0002264C">
        <w:trPr>
          <w:trHeight w:val="576"/>
        </w:trPr>
        <w:tc>
          <w:tcPr>
            <w:tcW w:w="1683"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2A410839" w14:textId="77777777" w:rsidR="005E1291" w:rsidRPr="006B2EF2" w:rsidRDefault="005E1291" w:rsidP="005E1291">
            <w:pPr>
              <w:pStyle w:val="TableLeft"/>
            </w:pPr>
            <w:r w:rsidRPr="006B2EF2">
              <w:t>Immune-mediated myositis/polymyositis</w:t>
            </w:r>
            <w:r>
              <w:rPr>
                <w:rStyle w:val="EndnoteReference"/>
              </w:rPr>
              <w:t xml:space="preserve">  </w:t>
            </w:r>
          </w:p>
        </w:tc>
        <w:tc>
          <w:tcPr>
            <w:tcW w:w="11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E541FC" w14:textId="77777777" w:rsidR="005E1291" w:rsidRPr="006B2EF2" w:rsidRDefault="005E1291" w:rsidP="005E1291">
            <w:pPr>
              <w:pStyle w:val="TableCenter"/>
            </w:pPr>
            <w:r w:rsidRPr="006B2EF2">
              <w:t>Grade 2 or 3</w:t>
            </w:r>
          </w:p>
        </w:tc>
        <w:tc>
          <w:tcPr>
            <w:tcW w:w="11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211AC4" w14:textId="6D765620" w:rsidR="005E1291" w:rsidRPr="006B2EF2" w:rsidRDefault="005E1291" w:rsidP="005E1291">
            <w:pPr>
              <w:pStyle w:val="TableCenter"/>
            </w:pPr>
            <w:r w:rsidRPr="006B2EF2">
              <w:t xml:space="preserve">Withhold </w:t>
            </w:r>
            <w:proofErr w:type="spellStart"/>
            <w:proofErr w:type="gramStart"/>
            <w:r w:rsidRPr="006B2EF2">
              <w:t>dose</w:t>
            </w:r>
            <w:r>
              <w:rPr>
                <w:vertAlign w:val="superscript"/>
              </w:rPr>
              <w:t>c</w:t>
            </w:r>
            <w:r w:rsidRPr="006B2EF2">
              <w:rPr>
                <w:vertAlign w:val="superscript"/>
              </w:rPr>
              <w:t>,</w:t>
            </w:r>
            <w:r w:rsidR="007F52C9">
              <w:rPr>
                <w:vertAlign w:val="superscript"/>
              </w:rPr>
              <w:t>g</w:t>
            </w:r>
            <w:proofErr w:type="spellEnd"/>
            <w:proofErr w:type="gramEnd"/>
          </w:p>
        </w:tc>
        <w:tc>
          <w:tcPr>
            <w:tcW w:w="1027"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220CB037" w14:textId="77777777" w:rsidR="005E1291" w:rsidRPr="006B2EF2" w:rsidRDefault="005E1291" w:rsidP="005E1291">
            <w:pPr>
              <w:pStyle w:val="TableCenter"/>
            </w:pPr>
            <w:r w:rsidRPr="006B2EF2">
              <w:t xml:space="preserve">Initiate 1 to </w:t>
            </w:r>
            <w:r>
              <w:t>2</w:t>
            </w:r>
            <w:r w:rsidRPr="006B2EF2">
              <w:t> mg/kg/day prednisone or equivalent followed by a taper</w:t>
            </w:r>
          </w:p>
        </w:tc>
      </w:tr>
      <w:tr w:rsidR="005E1291" w:rsidRPr="006B2EF2" w14:paraId="059DE0DF" w14:textId="77777777" w:rsidTr="0002264C">
        <w:trPr>
          <w:trHeight w:val="576"/>
        </w:trPr>
        <w:tc>
          <w:tcPr>
            <w:tcW w:w="1683"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793D81F7" w14:textId="77777777" w:rsidR="005E1291" w:rsidRPr="006B2EF2" w:rsidRDefault="005E1291" w:rsidP="005E1291">
            <w:pPr>
              <w:pStyle w:val="TableLeft"/>
            </w:pPr>
          </w:p>
        </w:tc>
        <w:tc>
          <w:tcPr>
            <w:tcW w:w="11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AFC8CE" w14:textId="77777777" w:rsidR="005E1291" w:rsidRPr="006B2EF2" w:rsidRDefault="005E1291" w:rsidP="005E1291">
            <w:pPr>
              <w:pStyle w:val="TableCenter"/>
            </w:pPr>
            <w:r w:rsidRPr="006B2EF2">
              <w:t>Grade 4</w:t>
            </w:r>
          </w:p>
        </w:tc>
        <w:tc>
          <w:tcPr>
            <w:tcW w:w="11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B76C37" w14:textId="77777777" w:rsidR="005E1291" w:rsidRPr="006B2EF2" w:rsidRDefault="005E1291" w:rsidP="005E1291">
            <w:pPr>
              <w:pStyle w:val="TableCenter"/>
            </w:pPr>
            <w:r w:rsidRPr="006B2EF2">
              <w:t>Permanently discontinue</w:t>
            </w:r>
          </w:p>
        </w:tc>
        <w:tc>
          <w:tcPr>
            <w:tcW w:w="1027"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40BF4A9B" w14:textId="77777777" w:rsidR="005E1291" w:rsidRPr="006B2EF2" w:rsidRDefault="005E1291" w:rsidP="005E1291">
            <w:pPr>
              <w:pStyle w:val="TableCenter"/>
            </w:pPr>
          </w:p>
        </w:tc>
      </w:tr>
      <w:tr w:rsidR="005E1291" w:rsidRPr="006B2EF2" w14:paraId="33BE84C2" w14:textId="77777777" w:rsidTr="0002264C">
        <w:trPr>
          <w:trHeight w:val="576"/>
        </w:trPr>
        <w:tc>
          <w:tcPr>
            <w:tcW w:w="168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C88635" w14:textId="77777777" w:rsidR="005E1291" w:rsidRPr="006B2EF2" w:rsidRDefault="005E1291" w:rsidP="005E1291">
            <w:pPr>
              <w:pStyle w:val="TableLeft"/>
            </w:pPr>
            <w:r w:rsidRPr="006B2EF2">
              <w:t>Infusion-related reactions</w:t>
            </w:r>
          </w:p>
        </w:tc>
        <w:tc>
          <w:tcPr>
            <w:tcW w:w="11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D165C2" w14:textId="77777777" w:rsidR="005E1291" w:rsidRPr="006B2EF2" w:rsidRDefault="005E1291" w:rsidP="005E1291">
            <w:pPr>
              <w:pStyle w:val="TableCenter"/>
            </w:pPr>
            <w:r w:rsidRPr="006B2EF2">
              <w:t>Grade 1 or 2</w:t>
            </w:r>
          </w:p>
        </w:tc>
        <w:tc>
          <w:tcPr>
            <w:tcW w:w="11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B39C0C1" w14:textId="77777777" w:rsidR="005E1291" w:rsidRPr="006B2EF2" w:rsidRDefault="005E1291" w:rsidP="005E1291">
            <w:pPr>
              <w:pStyle w:val="TableCenter"/>
            </w:pPr>
            <w:r w:rsidRPr="006B2EF2">
              <w:t>Interrupt or slow the rate of infusion</w:t>
            </w:r>
          </w:p>
        </w:tc>
        <w:tc>
          <w:tcPr>
            <w:tcW w:w="10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A4A0ED" w14:textId="77777777" w:rsidR="005E1291" w:rsidRPr="006B2EF2" w:rsidRDefault="005E1291" w:rsidP="005E1291">
            <w:pPr>
              <w:pStyle w:val="TableCenter"/>
              <w:rPr>
                <w:szCs w:val="22"/>
              </w:rPr>
            </w:pPr>
            <w:r w:rsidRPr="006B2EF2">
              <w:t>May consider pre-medications for prophylaxis of subsequent infusion reactions</w:t>
            </w:r>
          </w:p>
        </w:tc>
      </w:tr>
      <w:tr w:rsidR="005E1291" w:rsidRPr="006B2EF2" w14:paraId="6EAF748C" w14:textId="77777777" w:rsidTr="006C05CF">
        <w:trPr>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F7C618" w14:textId="77777777" w:rsidR="005E1291" w:rsidRPr="0002264C" w:rsidRDefault="005E1291" w:rsidP="005E1291">
            <w:pPr>
              <w:pStyle w:val="TableLeft"/>
            </w:pPr>
          </w:p>
        </w:tc>
        <w:tc>
          <w:tcPr>
            <w:tcW w:w="11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77425C" w14:textId="77777777" w:rsidR="005E1291" w:rsidRPr="006B2EF2" w:rsidRDefault="005E1291" w:rsidP="005E1291">
            <w:pPr>
              <w:pStyle w:val="TableCenter"/>
            </w:pPr>
            <w:r w:rsidRPr="006B2EF2">
              <w:t>Grade 3 or 4</w:t>
            </w:r>
          </w:p>
        </w:tc>
        <w:tc>
          <w:tcPr>
            <w:tcW w:w="11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39B3BD" w14:textId="77777777" w:rsidR="005E1291" w:rsidRPr="006B2EF2" w:rsidRDefault="005E1291" w:rsidP="005E1291">
            <w:pPr>
              <w:pStyle w:val="TableCenter"/>
            </w:pPr>
            <w:r w:rsidRPr="006B2EF2">
              <w:t>Permanently discontinue</w:t>
            </w:r>
          </w:p>
        </w:tc>
        <w:tc>
          <w:tcPr>
            <w:tcW w:w="10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B13E4B" w14:textId="77777777" w:rsidR="005E1291" w:rsidRPr="006B2EF2" w:rsidRDefault="005E1291" w:rsidP="005E1291">
            <w:pPr>
              <w:pStyle w:val="TableCenter"/>
            </w:pPr>
            <w:r w:rsidRPr="006E12A6">
              <w:t>Manage severe infusion-related reactions per institutional standard,</w:t>
            </w:r>
            <w:r w:rsidRPr="006E12A6">
              <w:br/>
              <w:t>appropriate clinical practice guidelines and</w:t>
            </w:r>
            <w:r>
              <w:t>/or</w:t>
            </w:r>
            <w:r w:rsidRPr="006E12A6">
              <w:t xml:space="preserve"> society guidelines</w:t>
            </w:r>
          </w:p>
        </w:tc>
      </w:tr>
      <w:tr w:rsidR="005E1291" w:rsidRPr="006B2EF2" w14:paraId="2B717631" w14:textId="77777777" w:rsidTr="00144E10">
        <w:trPr>
          <w:trHeight w:val="188"/>
        </w:trPr>
        <w:tc>
          <w:tcPr>
            <w:tcW w:w="0" w:type="auto"/>
            <w:vMerge w:val="restart"/>
            <w:tcBorders>
              <w:top w:val="single" w:sz="4" w:space="0" w:color="auto"/>
              <w:left w:val="single" w:sz="4" w:space="0" w:color="auto"/>
              <w:right w:val="single" w:sz="4" w:space="0" w:color="auto"/>
            </w:tcBorders>
            <w:vAlign w:val="center"/>
          </w:tcPr>
          <w:p w14:paraId="5C170CA1" w14:textId="3DBECE83" w:rsidR="005E1291" w:rsidRPr="0002264C" w:rsidRDefault="005E1291" w:rsidP="005E1291">
            <w:pPr>
              <w:pStyle w:val="TableLeft"/>
            </w:pPr>
            <w:r>
              <w:t xml:space="preserve"> </w:t>
            </w:r>
            <w:r>
              <w:rPr>
                <w:szCs w:val="22"/>
              </w:rPr>
              <w:t xml:space="preserve">Immune-mediated </w:t>
            </w:r>
            <w:r>
              <w:t>m</w:t>
            </w:r>
            <w:r w:rsidRPr="0002264C">
              <w:t xml:space="preserve">yasthenia gravis  </w:t>
            </w:r>
          </w:p>
        </w:tc>
        <w:tc>
          <w:tcPr>
            <w:tcW w:w="1171"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025D0323" w14:textId="0AD1625C" w:rsidR="005E1291" w:rsidRPr="0002264C" w:rsidRDefault="005E1291" w:rsidP="005E1291">
            <w:pPr>
              <w:pStyle w:val="TableLeft"/>
              <w:jc w:val="center"/>
            </w:pPr>
          </w:p>
          <w:p w14:paraId="7B4C5A5F" w14:textId="097E7F57" w:rsidR="005E1291" w:rsidRPr="0002264C" w:rsidRDefault="005E1291" w:rsidP="005E1291">
            <w:pPr>
              <w:pStyle w:val="TableCenter"/>
            </w:pPr>
            <w:r>
              <w:t xml:space="preserve">Grade 2-4 </w:t>
            </w:r>
          </w:p>
        </w:tc>
        <w:tc>
          <w:tcPr>
            <w:tcW w:w="1119" w:type="pct"/>
            <w:tcBorders>
              <w:top w:val="single" w:sz="4" w:space="0" w:color="auto"/>
              <w:left w:val="single" w:sz="4" w:space="0" w:color="auto"/>
              <w:bottom w:val="nil"/>
              <w:right w:val="single" w:sz="4" w:space="0" w:color="auto"/>
            </w:tcBorders>
            <w:tcMar>
              <w:top w:w="0" w:type="dxa"/>
              <w:left w:w="108" w:type="dxa"/>
              <w:bottom w:w="0" w:type="dxa"/>
              <w:right w:w="108" w:type="dxa"/>
            </w:tcMar>
            <w:vAlign w:val="center"/>
          </w:tcPr>
          <w:p w14:paraId="3B33DF34" w14:textId="5FF3A722" w:rsidR="005E1291" w:rsidRPr="0002264C" w:rsidRDefault="005E1291" w:rsidP="005E1291">
            <w:pPr>
              <w:pStyle w:val="TableLeft"/>
            </w:pPr>
          </w:p>
        </w:tc>
        <w:tc>
          <w:tcPr>
            <w:tcW w:w="1027"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5006AEEC" w14:textId="77777777" w:rsidR="005E1291" w:rsidRPr="0002264C" w:rsidRDefault="005E1291" w:rsidP="005E1291">
            <w:pPr>
              <w:pStyle w:val="TableLeft"/>
              <w:jc w:val="center"/>
            </w:pPr>
            <w:r w:rsidRPr="006B2EF2">
              <w:t>Initiate 1 to 2 mg/kg/day prednisone or equivalent followed by a taper</w:t>
            </w:r>
          </w:p>
        </w:tc>
      </w:tr>
      <w:tr w:rsidR="005E1291" w:rsidRPr="006B2EF2" w14:paraId="34B0687C" w14:textId="77777777" w:rsidTr="00144E10">
        <w:trPr>
          <w:trHeight w:val="188"/>
        </w:trPr>
        <w:tc>
          <w:tcPr>
            <w:tcW w:w="0" w:type="auto"/>
            <w:vMerge/>
            <w:tcBorders>
              <w:left w:val="single" w:sz="4" w:space="0" w:color="auto"/>
              <w:right w:val="single" w:sz="4" w:space="0" w:color="auto"/>
            </w:tcBorders>
            <w:vAlign w:val="center"/>
          </w:tcPr>
          <w:p w14:paraId="3AD00334" w14:textId="77777777" w:rsidR="005E1291" w:rsidRPr="0002264C" w:rsidRDefault="005E1291" w:rsidP="005E1291">
            <w:pPr>
              <w:pStyle w:val="TableLeft"/>
            </w:pPr>
          </w:p>
        </w:tc>
        <w:tc>
          <w:tcPr>
            <w:tcW w:w="1171"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5917ADB8" w14:textId="7DD57E58" w:rsidR="005E1291" w:rsidRPr="004D3AEB" w:rsidRDefault="005E1291" w:rsidP="005E1291">
            <w:pPr>
              <w:pStyle w:val="TableCenter"/>
              <w:rPr>
                <w:i/>
                <w:iCs/>
              </w:rPr>
            </w:pPr>
          </w:p>
        </w:tc>
        <w:tc>
          <w:tcPr>
            <w:tcW w:w="1119" w:type="pct"/>
            <w:tcBorders>
              <w:top w:val="nil"/>
              <w:left w:val="single" w:sz="4" w:space="0" w:color="auto"/>
              <w:right w:val="single" w:sz="4" w:space="0" w:color="auto"/>
            </w:tcBorders>
            <w:tcMar>
              <w:top w:w="0" w:type="dxa"/>
              <w:left w:w="108" w:type="dxa"/>
              <w:bottom w:w="0" w:type="dxa"/>
              <w:right w:w="108" w:type="dxa"/>
            </w:tcMar>
            <w:vAlign w:val="center"/>
          </w:tcPr>
          <w:p w14:paraId="7C703EC9" w14:textId="77777777" w:rsidR="005E1291" w:rsidRDefault="005E1291" w:rsidP="005E1291">
            <w:pPr>
              <w:pStyle w:val="TableCenter"/>
            </w:pPr>
            <w:r>
              <w:t>Permanently discontinue</w:t>
            </w:r>
          </w:p>
        </w:tc>
        <w:tc>
          <w:tcPr>
            <w:tcW w:w="1027" w:type="pct"/>
            <w:vMerge/>
            <w:tcBorders>
              <w:left w:val="single" w:sz="4" w:space="0" w:color="auto"/>
              <w:right w:val="single" w:sz="4" w:space="0" w:color="auto"/>
            </w:tcBorders>
            <w:tcMar>
              <w:top w:w="0" w:type="dxa"/>
              <w:left w:w="108" w:type="dxa"/>
              <w:bottom w:w="0" w:type="dxa"/>
              <w:right w:w="108" w:type="dxa"/>
            </w:tcMar>
            <w:vAlign w:val="center"/>
          </w:tcPr>
          <w:p w14:paraId="7925A824" w14:textId="77777777" w:rsidR="005E1291" w:rsidRDefault="005E1291" w:rsidP="005E1291">
            <w:pPr>
              <w:pStyle w:val="TableCenter"/>
            </w:pPr>
          </w:p>
        </w:tc>
      </w:tr>
      <w:tr w:rsidR="005E1291" w:rsidRPr="006B2EF2" w14:paraId="0D7EF1CD" w14:textId="77777777" w:rsidTr="0002264C">
        <w:trPr>
          <w:trHeight w:val="576"/>
        </w:trPr>
        <w:tc>
          <w:tcPr>
            <w:tcW w:w="0" w:type="auto"/>
            <w:tcBorders>
              <w:top w:val="single" w:sz="4" w:space="0" w:color="auto"/>
              <w:left w:val="single" w:sz="4" w:space="0" w:color="auto"/>
              <w:right w:val="single" w:sz="4" w:space="0" w:color="auto"/>
            </w:tcBorders>
            <w:vAlign w:val="center"/>
          </w:tcPr>
          <w:p w14:paraId="6EA53D2D" w14:textId="6C950ABB" w:rsidR="005E1291" w:rsidRPr="009374E9" w:rsidRDefault="005E1291" w:rsidP="005E1291">
            <w:pPr>
              <w:pStyle w:val="TableLeft"/>
              <w:rPr>
                <w:szCs w:val="22"/>
              </w:rPr>
            </w:pPr>
            <w:r>
              <w:t xml:space="preserve"> </w:t>
            </w:r>
            <w:r>
              <w:rPr>
                <w:szCs w:val="22"/>
              </w:rPr>
              <w:t xml:space="preserve">Immune-mediated </w:t>
            </w:r>
            <w:r>
              <w:t>e</w:t>
            </w:r>
            <w:r w:rsidRPr="0002264C">
              <w:t>ncephalitis</w:t>
            </w:r>
          </w:p>
        </w:tc>
        <w:tc>
          <w:tcPr>
            <w:tcW w:w="11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28E946" w14:textId="6F572D5B" w:rsidR="005E1291" w:rsidRDefault="005E1291" w:rsidP="005E1291">
            <w:pPr>
              <w:pStyle w:val="TableCenter"/>
            </w:pPr>
            <w:r>
              <w:t>Grade 2-4</w:t>
            </w:r>
          </w:p>
        </w:tc>
        <w:tc>
          <w:tcPr>
            <w:tcW w:w="11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89FB12" w14:textId="77777777" w:rsidR="005E1291" w:rsidRDefault="005E1291" w:rsidP="005E1291">
            <w:pPr>
              <w:pStyle w:val="TableCenter"/>
            </w:pPr>
            <w:r>
              <w:t>Permanently discontinue</w:t>
            </w:r>
          </w:p>
        </w:tc>
        <w:tc>
          <w:tcPr>
            <w:tcW w:w="1027"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0871B6D0" w14:textId="2D1EF3B3" w:rsidR="00D70987" w:rsidRDefault="005E1291" w:rsidP="00D70987">
            <w:pPr>
              <w:pStyle w:val="TableCenter"/>
            </w:pPr>
            <w:r>
              <w:t>Initiate 1 mg/kg/day to 2 mg/kg/day prednisone or equivalent followed by a taper</w:t>
            </w:r>
          </w:p>
        </w:tc>
      </w:tr>
      <w:tr w:rsidR="00D07709" w:rsidRPr="006B2EF2" w14:paraId="18E16653" w14:textId="77777777" w:rsidTr="0002264C">
        <w:trPr>
          <w:trHeight w:val="576"/>
        </w:trPr>
        <w:tc>
          <w:tcPr>
            <w:tcW w:w="0" w:type="auto"/>
            <w:tcBorders>
              <w:top w:val="single" w:sz="4" w:space="0" w:color="auto"/>
              <w:left w:val="single" w:sz="4" w:space="0" w:color="auto"/>
              <w:right w:val="single" w:sz="4" w:space="0" w:color="auto"/>
            </w:tcBorders>
            <w:vAlign w:val="center"/>
          </w:tcPr>
          <w:p w14:paraId="5E1A5153" w14:textId="247951B9" w:rsidR="00D07709" w:rsidRDefault="00D07709" w:rsidP="00D07709">
            <w:pPr>
              <w:pStyle w:val="TableLeft"/>
            </w:pPr>
            <w:r>
              <w:t xml:space="preserve"> </w:t>
            </w:r>
            <w:r>
              <w:rPr>
                <w:szCs w:val="22"/>
              </w:rPr>
              <w:t xml:space="preserve">Immune-mediated </w:t>
            </w:r>
            <w:r>
              <w:t>Guillain-Barr</w:t>
            </w:r>
            <w:r w:rsidRPr="0014250C">
              <w:rPr>
                <w:szCs w:val="22"/>
              </w:rPr>
              <w:t>é</w:t>
            </w:r>
            <w:r>
              <w:t xml:space="preserve"> syndrome</w:t>
            </w:r>
          </w:p>
        </w:tc>
        <w:tc>
          <w:tcPr>
            <w:tcW w:w="11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AECB99" w14:textId="24B0FD8E" w:rsidR="00D07709" w:rsidRDefault="00D07709" w:rsidP="00D07709">
            <w:pPr>
              <w:pStyle w:val="TableCenter"/>
            </w:pPr>
            <w:r>
              <w:t>Grade 2-4</w:t>
            </w:r>
          </w:p>
        </w:tc>
        <w:tc>
          <w:tcPr>
            <w:tcW w:w="11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C57C61" w14:textId="34FBEC61" w:rsidR="00D07709" w:rsidRDefault="00D07709" w:rsidP="00D07709">
            <w:pPr>
              <w:pStyle w:val="TableCenter"/>
            </w:pPr>
            <w:r>
              <w:t>Permanently discontinue</w:t>
            </w:r>
          </w:p>
        </w:tc>
        <w:tc>
          <w:tcPr>
            <w:tcW w:w="1027"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1141803D" w14:textId="6F141E98" w:rsidR="00D07709" w:rsidRDefault="00D07709" w:rsidP="00D07709">
            <w:pPr>
              <w:pStyle w:val="TableCenter"/>
            </w:pPr>
            <w:r>
              <w:t xml:space="preserve">Initiate 1 to 2 mg/kg/day prednisone or </w:t>
            </w:r>
            <w:r>
              <w:lastRenderedPageBreak/>
              <w:t>equivalent followed by a taper</w:t>
            </w:r>
          </w:p>
        </w:tc>
      </w:tr>
      <w:tr w:rsidR="00D07709" w:rsidRPr="006B2EF2" w14:paraId="38A05B4C" w14:textId="77777777" w:rsidTr="0002264C">
        <w:trPr>
          <w:trHeight w:val="576"/>
        </w:trPr>
        <w:tc>
          <w:tcPr>
            <w:tcW w:w="0" w:type="auto"/>
            <w:vMerge w:val="restart"/>
            <w:tcBorders>
              <w:top w:val="single" w:sz="4" w:space="0" w:color="auto"/>
              <w:left w:val="single" w:sz="4" w:space="0" w:color="auto"/>
              <w:right w:val="single" w:sz="4" w:space="0" w:color="auto"/>
            </w:tcBorders>
            <w:vAlign w:val="center"/>
          </w:tcPr>
          <w:p w14:paraId="5A0F0DB4" w14:textId="635E94CC" w:rsidR="00D07709" w:rsidRPr="007B5777" w:rsidRDefault="00D07709" w:rsidP="00D07709">
            <w:pPr>
              <w:pStyle w:val="TableLeft"/>
              <w:rPr>
                <w:szCs w:val="22"/>
              </w:rPr>
            </w:pPr>
            <w:r>
              <w:rPr>
                <w:szCs w:val="22"/>
              </w:rPr>
              <w:lastRenderedPageBreak/>
              <w:t xml:space="preserve"> </w:t>
            </w:r>
            <w:r w:rsidRPr="002836E1">
              <w:rPr>
                <w:szCs w:val="22"/>
              </w:rPr>
              <w:t xml:space="preserve">Other immune-mediated </w:t>
            </w:r>
            <w:r>
              <w:rPr>
                <w:szCs w:val="22"/>
              </w:rPr>
              <w:br/>
              <w:t xml:space="preserve"> </w:t>
            </w:r>
            <w:r w:rsidRPr="002836E1">
              <w:rPr>
                <w:szCs w:val="22"/>
              </w:rPr>
              <w:t xml:space="preserve">adverse </w:t>
            </w:r>
            <w:proofErr w:type="spellStart"/>
            <w:r w:rsidRPr="002836E1">
              <w:rPr>
                <w:szCs w:val="22"/>
              </w:rPr>
              <w:t>reactions</w:t>
            </w:r>
            <w:r>
              <w:rPr>
                <w:szCs w:val="22"/>
                <w:vertAlign w:val="superscript"/>
              </w:rPr>
              <w:t>h</w:t>
            </w:r>
            <w:proofErr w:type="spellEnd"/>
            <w:r>
              <w:rPr>
                <w:szCs w:val="22"/>
                <w:vertAlign w:val="superscript"/>
              </w:rPr>
              <w:t xml:space="preserve"> </w:t>
            </w:r>
            <w:r>
              <w:rPr>
                <w:rStyle w:val="EndnoteReference"/>
                <w:szCs w:val="22"/>
              </w:rPr>
              <w:t xml:space="preserve">  </w:t>
            </w:r>
          </w:p>
        </w:tc>
        <w:tc>
          <w:tcPr>
            <w:tcW w:w="11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657020" w14:textId="77777777" w:rsidR="00D07709" w:rsidRDefault="00D07709" w:rsidP="00D07709">
            <w:pPr>
              <w:pStyle w:val="TableCenter"/>
            </w:pPr>
          </w:p>
          <w:p w14:paraId="0E8D9021" w14:textId="2E9EDBDD" w:rsidR="00D07709" w:rsidRPr="006B2EF2" w:rsidRDefault="00D07709" w:rsidP="00D07709">
            <w:pPr>
              <w:pStyle w:val="TableCenter"/>
            </w:pPr>
            <w:r>
              <w:t>Grade 2 or 3</w:t>
            </w:r>
          </w:p>
        </w:tc>
        <w:tc>
          <w:tcPr>
            <w:tcW w:w="11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4DBA9B" w14:textId="77777777" w:rsidR="00D07709" w:rsidRDefault="00D07709" w:rsidP="00D07709">
            <w:pPr>
              <w:pStyle w:val="TableCenter"/>
            </w:pPr>
          </w:p>
          <w:p w14:paraId="67DEFE61" w14:textId="131204C5" w:rsidR="00D07709" w:rsidRPr="006B2EF2" w:rsidRDefault="00D07709" w:rsidP="00D07709">
            <w:pPr>
              <w:pStyle w:val="TableCenter"/>
            </w:pPr>
            <w:r>
              <w:t xml:space="preserve">Withhold </w:t>
            </w:r>
            <w:proofErr w:type="spellStart"/>
            <w:r>
              <w:t>dose</w:t>
            </w:r>
            <w:r w:rsidRPr="00826528">
              <w:rPr>
                <w:vertAlign w:val="superscript"/>
              </w:rPr>
              <w:t>c</w:t>
            </w:r>
            <w:proofErr w:type="spellEnd"/>
          </w:p>
        </w:tc>
        <w:tc>
          <w:tcPr>
            <w:tcW w:w="1027"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70D1B883" w14:textId="28B12F83" w:rsidR="00D07709" w:rsidRPr="006B2EF2" w:rsidRDefault="00D07709" w:rsidP="00D07709">
            <w:pPr>
              <w:pStyle w:val="TableCenter"/>
            </w:pPr>
            <w:r>
              <w:t xml:space="preserve">Initiate </w:t>
            </w:r>
            <w:r>
              <w:br/>
              <w:t xml:space="preserve">1 mg/kg/day to </w:t>
            </w:r>
            <w:r>
              <w:br/>
              <w:t xml:space="preserve">2 mg/kg/day prednisone or equivalent followed by a taper </w:t>
            </w:r>
          </w:p>
        </w:tc>
      </w:tr>
      <w:tr w:rsidR="00D07709" w:rsidRPr="006B2EF2" w14:paraId="38503EF3" w14:textId="77777777" w:rsidTr="0002264C">
        <w:trPr>
          <w:trHeight w:val="576"/>
        </w:trPr>
        <w:tc>
          <w:tcPr>
            <w:tcW w:w="0" w:type="auto"/>
            <w:vMerge/>
            <w:tcBorders>
              <w:left w:val="single" w:sz="4" w:space="0" w:color="auto"/>
              <w:bottom w:val="single" w:sz="4" w:space="0" w:color="auto"/>
              <w:right w:val="single" w:sz="4" w:space="0" w:color="auto"/>
            </w:tcBorders>
            <w:vAlign w:val="center"/>
          </w:tcPr>
          <w:p w14:paraId="7ADB470D" w14:textId="77777777" w:rsidR="00D07709" w:rsidRPr="006B2EF2" w:rsidRDefault="00D07709" w:rsidP="00D07709">
            <w:pPr>
              <w:spacing w:after="0" w:line="240" w:lineRule="auto"/>
              <w:ind w:left="90"/>
              <w:rPr>
                <w:sz w:val="22"/>
                <w:szCs w:val="22"/>
              </w:rPr>
            </w:pPr>
          </w:p>
        </w:tc>
        <w:tc>
          <w:tcPr>
            <w:tcW w:w="11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41B2C3" w14:textId="77777777" w:rsidR="00D07709" w:rsidRPr="006B2EF2" w:rsidRDefault="00D07709" w:rsidP="00D07709">
            <w:pPr>
              <w:pStyle w:val="TableCenter"/>
            </w:pPr>
            <w:r>
              <w:t>Grade 4</w:t>
            </w:r>
          </w:p>
        </w:tc>
        <w:tc>
          <w:tcPr>
            <w:tcW w:w="11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73B230" w14:textId="77777777" w:rsidR="00D07709" w:rsidRPr="006B2EF2" w:rsidRDefault="00D07709" w:rsidP="00D07709">
            <w:pPr>
              <w:pStyle w:val="TableCenter"/>
            </w:pPr>
            <w:r>
              <w:t>Permanently discontinue</w:t>
            </w:r>
          </w:p>
        </w:tc>
        <w:tc>
          <w:tcPr>
            <w:tcW w:w="1027"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0987C2FE" w14:textId="77777777" w:rsidR="00D07709" w:rsidRPr="006B2EF2" w:rsidRDefault="00D07709" w:rsidP="00D07709">
            <w:pPr>
              <w:jc w:val="center"/>
            </w:pPr>
          </w:p>
        </w:tc>
      </w:tr>
    </w:tbl>
    <w:p w14:paraId="798BBE59" w14:textId="5FCE8D7C" w:rsidR="00AB5C54" w:rsidRPr="009E6C3D" w:rsidRDefault="00AB5C54" w:rsidP="00CF0F19">
      <w:pPr>
        <w:pStyle w:val="TableFootnoteLetter"/>
        <w:rPr>
          <w:szCs w:val="18"/>
        </w:rPr>
      </w:pPr>
      <w:r w:rsidRPr="007C7448">
        <w:t>Common Terminology Criteria for Adverse Events, version 4.03. ALT: alanine aminotransferase; AST: aspartate aminotransferase; ULN: upper limit of normal</w:t>
      </w:r>
      <w:r w:rsidR="00D07709">
        <w:t>; BLV: baseline value</w:t>
      </w:r>
      <w:r w:rsidRPr="007C7448">
        <w:t>.</w:t>
      </w:r>
    </w:p>
    <w:p w14:paraId="011266E1" w14:textId="5360917E" w:rsidR="00AB5C54" w:rsidRPr="007C7448" w:rsidRDefault="00AB5C54" w:rsidP="00CF0F19">
      <w:pPr>
        <w:pStyle w:val="TableFootnoteLetter"/>
      </w:pPr>
      <w:r w:rsidRPr="007C7448">
        <w:t>Upon improvement to ≤</w:t>
      </w:r>
      <w:r w:rsidRPr="00974C4A">
        <w:t> </w:t>
      </w:r>
      <w:r w:rsidRPr="007C7448">
        <w:t>Grade 1, corticosteroid taper should be initiated and continued over at least 1 month.</w:t>
      </w:r>
      <w:r>
        <w:t xml:space="preserve"> </w:t>
      </w:r>
      <w:r w:rsidRPr="007C7448">
        <w:t xml:space="preserve">Consider increasing dose of corticosteroids and/or using </w:t>
      </w:r>
      <w:r>
        <w:t>additional</w:t>
      </w:r>
      <w:r w:rsidRPr="007C7448">
        <w:t xml:space="preserve"> systemic immunosuppressants if there is worsening or no improvement. </w:t>
      </w:r>
    </w:p>
    <w:p w14:paraId="3A0173AC" w14:textId="47BE4110" w:rsidR="00AB5C54" w:rsidRDefault="00AB5C54" w:rsidP="00CF0F19">
      <w:pPr>
        <w:pStyle w:val="TableFootnoteLetter"/>
      </w:pPr>
      <w:r w:rsidRPr="007C7448">
        <w:t>After withhold</w:t>
      </w:r>
      <w:r>
        <w:t>ing</w:t>
      </w:r>
      <w:r w:rsidRPr="007C7448">
        <w:t xml:space="preserve">, </w:t>
      </w:r>
      <w:r w:rsidR="007B0DDE">
        <w:t>IMJUDO</w:t>
      </w:r>
      <w:r>
        <w:t xml:space="preserve"> and/or durvalumab</w:t>
      </w:r>
      <w:r w:rsidRPr="007C7448">
        <w:t xml:space="preserve"> can be resumed </w:t>
      </w:r>
      <w:r>
        <w:t xml:space="preserve">within 12 weeks </w:t>
      </w:r>
      <w:r w:rsidRPr="007C7448">
        <w:t>if the adverse reactions improved to ≤</w:t>
      </w:r>
      <w:r w:rsidRPr="00974C4A">
        <w:t> </w:t>
      </w:r>
      <w:r w:rsidRPr="007C7448">
        <w:t>Grade 1 and the corticosteroid dose has been reduced to ≤</w:t>
      </w:r>
      <w:r w:rsidRPr="00974C4A">
        <w:t> </w:t>
      </w:r>
      <w:r w:rsidRPr="007C7448">
        <w:t>10 mg prednisone or equivalent per day.</w:t>
      </w:r>
      <w:r>
        <w:t xml:space="preserve"> </w:t>
      </w:r>
      <w:r w:rsidR="007B0DDE">
        <w:t>IMJUDO</w:t>
      </w:r>
      <w:r>
        <w:t xml:space="preserve"> and durvalumab should be permanently discontinued for recurrent Grade 3 adverse reactions, as applicable.</w:t>
      </w:r>
    </w:p>
    <w:p w14:paraId="7BA16D43" w14:textId="2E2F60FF" w:rsidR="00926F3E" w:rsidRPr="00351189" w:rsidRDefault="00926F3E" w:rsidP="00926F3E">
      <w:pPr>
        <w:pStyle w:val="TableFootnoteLetter"/>
      </w:pPr>
      <w:bookmarkStart w:id="7" w:name="_Hlk119327290"/>
      <w:r w:rsidRPr="009F3CB0">
        <w:rPr>
          <w:lang w:val="en-US"/>
        </w:rPr>
        <w:t>For patients with alternative cause follow the recommendations for AST or ALT increases without concurrent bilirubin elevations</w:t>
      </w:r>
      <w:r>
        <w:rPr>
          <w:lang w:val="en-US"/>
        </w:rPr>
        <w:t>.</w:t>
      </w:r>
    </w:p>
    <w:p w14:paraId="68D2D77B" w14:textId="18B8A94E" w:rsidR="00926F3E" w:rsidRDefault="00926F3E" w:rsidP="00926F3E">
      <w:pPr>
        <w:pStyle w:val="TableFootnoteLetter"/>
      </w:pPr>
      <w:r w:rsidRPr="007D5975">
        <w:rPr>
          <w:lang w:val="en-US"/>
        </w:rPr>
        <w:t>If AST and ALT are less than or equal to ULN at baseline in patients with liver involvement, withhold or permanently discontinue durvalumab based on recommendations for hepatitis with no liver involvement.</w:t>
      </w:r>
      <w:bookmarkEnd w:id="7"/>
    </w:p>
    <w:p w14:paraId="64BF4E39" w14:textId="719CE284" w:rsidR="00AB5C54" w:rsidRDefault="00AB5C54" w:rsidP="00CF0F19">
      <w:pPr>
        <w:pStyle w:val="TableFootnoteLetter"/>
      </w:pPr>
      <w:r w:rsidRPr="00D372FB">
        <w:t xml:space="preserve">If no improvement within </w:t>
      </w:r>
      <w:r>
        <w:t>2</w:t>
      </w:r>
      <w:r w:rsidRPr="00D372FB">
        <w:t xml:space="preserve"> to </w:t>
      </w:r>
      <w:r>
        <w:t>3</w:t>
      </w:r>
      <w:r w:rsidRPr="00D372FB">
        <w:t xml:space="preserve"> days despite corticosteroids, promptly start </w:t>
      </w:r>
      <w:r>
        <w:t xml:space="preserve">additional </w:t>
      </w:r>
      <w:r w:rsidRPr="00D372FB">
        <w:t>immunosuppressive therapy. Upon resolution (Grade 0), corticosteroid taper should be initiated and continued over at least 1 month</w:t>
      </w:r>
      <w:r>
        <w:t>.</w:t>
      </w:r>
    </w:p>
    <w:p w14:paraId="1A28C39D" w14:textId="780F11B9" w:rsidR="00AB5C54" w:rsidRDefault="00AB5C54" w:rsidP="00CF0F19">
      <w:pPr>
        <w:pStyle w:val="TableFootnoteLetter"/>
      </w:pPr>
      <w:r w:rsidRPr="004D3FD9">
        <w:t xml:space="preserve">Permanently discontinue </w:t>
      </w:r>
      <w:r w:rsidR="007B0DDE">
        <w:t>IMJUDO</w:t>
      </w:r>
      <w:r>
        <w:t xml:space="preserve"> and durvalumab</w:t>
      </w:r>
      <w:r w:rsidRPr="004D3FD9">
        <w:t xml:space="preserve"> if the adverse reaction does not resolve to ≤ Grade 1 within 30 days or if there are signs of respiratory insufficiency</w:t>
      </w:r>
      <w:r w:rsidRPr="00736924">
        <w:t>.</w:t>
      </w:r>
    </w:p>
    <w:p w14:paraId="0429ADD7" w14:textId="13B9DEC2" w:rsidR="00A83AF3" w:rsidRDefault="00AB5C54" w:rsidP="00CF0F19">
      <w:pPr>
        <w:pStyle w:val="TableFootnoteLetter"/>
      </w:pPr>
      <w:r>
        <w:t xml:space="preserve">Includes </w:t>
      </w:r>
      <w:r w:rsidRPr="00236789">
        <w:t>immune thrombocytopenia</w:t>
      </w:r>
      <w:r>
        <w:t xml:space="preserve"> and </w:t>
      </w:r>
      <w:proofErr w:type="gramStart"/>
      <w:r>
        <w:t>pancreatitis</w:t>
      </w:r>
      <w:proofErr w:type="gramEnd"/>
    </w:p>
    <w:p w14:paraId="57E31C71" w14:textId="77777777" w:rsidR="007D498D" w:rsidRDefault="007D498D" w:rsidP="007D498D">
      <w:pPr>
        <w:pStyle w:val="TableFootnoteInfo"/>
      </w:pPr>
    </w:p>
    <w:p w14:paraId="43CAE2A7" w14:textId="614E9627" w:rsidR="00A83AF3" w:rsidRDefault="00AB5C54" w:rsidP="00AB5C54">
      <w:r>
        <w:t xml:space="preserve">For suspected immune-mediated adverse reactions, adequate evaluation should be performed to confirm </w:t>
      </w:r>
      <w:r w:rsidR="0008020C">
        <w:t>a</w:t>
      </w:r>
      <w:r>
        <w:t xml:space="preserve">etiology or exclude alternate </w:t>
      </w:r>
      <w:r w:rsidR="0008020C">
        <w:t>a</w:t>
      </w:r>
      <w:r>
        <w:t>etiologies.</w:t>
      </w:r>
    </w:p>
    <w:p w14:paraId="7CE04616" w14:textId="1A0CB7E5" w:rsidR="006B79F6" w:rsidRPr="006B79F6" w:rsidRDefault="00AB5C54" w:rsidP="006B79F6">
      <w:pPr>
        <w:rPr>
          <w:i/>
          <w:color w:val="00B0F0"/>
        </w:rPr>
      </w:pPr>
      <w:r>
        <w:t xml:space="preserve">For non-immune-mediated adverse reactions, withhold </w:t>
      </w:r>
      <w:r w:rsidR="007B0DDE">
        <w:t>IMJUDO</w:t>
      </w:r>
      <w:r>
        <w:t xml:space="preserve"> and/or durvalumab for Grade 2 and 3 adverse reactions until ≤ Grade 1 or return to baseline. </w:t>
      </w:r>
      <w:r w:rsidR="007B0DDE">
        <w:t>IMJUDO</w:t>
      </w:r>
      <w:r>
        <w:t xml:space="preserve"> and durvalumab should be discontinued for Grade 4 adverse reactions (</w:t>
      </w:r>
      <w:proofErr w:type="gramStart"/>
      <w:r>
        <w:t>with the exception of</w:t>
      </w:r>
      <w:proofErr w:type="gramEnd"/>
      <w:r>
        <w:t xml:space="preserve"> Grade 4 laboratory abnormalities, about which the decision to discontinue should be based on accompanying clinical signs/symptoms and clinical judgment.</w:t>
      </w:r>
    </w:p>
    <w:p w14:paraId="1A81677F" w14:textId="0CD0BB42" w:rsidR="00ED27EC" w:rsidRDefault="00ED27EC" w:rsidP="00ED27EC">
      <w:pPr>
        <w:pStyle w:val="Heading3Unnumbered"/>
      </w:pPr>
      <w:r>
        <w:t>Special patient populations</w:t>
      </w:r>
    </w:p>
    <w:p w14:paraId="523BB59B" w14:textId="426305B1" w:rsidR="004B5500" w:rsidRDefault="004B5500" w:rsidP="004B5500">
      <w:pPr>
        <w:rPr>
          <w:szCs w:val="20"/>
        </w:rPr>
      </w:pPr>
      <w:r>
        <w:t xml:space="preserve">Based on a population pharmacokinetic analysis, no dose adjustment of </w:t>
      </w:r>
      <w:r w:rsidR="007B0DDE">
        <w:t>IMJUDO</w:t>
      </w:r>
      <w:r>
        <w:t xml:space="preserve"> is recommended based on patient age, body weight, </w:t>
      </w:r>
      <w:proofErr w:type="gramStart"/>
      <w:r>
        <w:t>gender</w:t>
      </w:r>
      <w:proofErr w:type="gramEnd"/>
      <w:r>
        <w:t xml:space="preserve"> and race (see </w:t>
      </w:r>
      <w:r w:rsidR="008F22C7">
        <w:t>S</w:t>
      </w:r>
      <w:r>
        <w:t xml:space="preserve">ection </w:t>
      </w:r>
      <w:r w:rsidR="00A95C69">
        <w:fldChar w:fldCharType="begin"/>
      </w:r>
      <w:r w:rsidR="00A95C69">
        <w:instrText xml:space="preserve"> REF _Ref126745924 \r \h </w:instrText>
      </w:r>
      <w:r w:rsidR="00A95C69">
        <w:fldChar w:fldCharType="separate"/>
      </w:r>
      <w:r w:rsidR="00A95C69">
        <w:t>5.2</w:t>
      </w:r>
      <w:r w:rsidR="00A95C69">
        <w:fldChar w:fldCharType="end"/>
      </w:r>
      <w:r w:rsidR="00A95C69">
        <w:t xml:space="preserve"> </w:t>
      </w:r>
      <w:r w:rsidR="00A95C69">
        <w:fldChar w:fldCharType="begin"/>
      </w:r>
      <w:r w:rsidR="00A95C69">
        <w:instrText xml:space="preserve"> REF _Ref126745924 \h </w:instrText>
      </w:r>
      <w:r w:rsidR="00A95C69">
        <w:fldChar w:fldCharType="separate"/>
      </w:r>
      <w:r w:rsidR="00A95C69">
        <w:t>Pharmacokinetic properties</w:t>
      </w:r>
      <w:r w:rsidR="00A95C69">
        <w:fldChar w:fldCharType="end"/>
      </w:r>
      <w:r>
        <w:t>).</w:t>
      </w:r>
    </w:p>
    <w:p w14:paraId="716C21BD" w14:textId="004858CB" w:rsidR="00ED27EC" w:rsidRDefault="00ED27EC" w:rsidP="00ED27EC">
      <w:pPr>
        <w:pStyle w:val="Heading4Unnumbered"/>
      </w:pPr>
      <w:r>
        <w:lastRenderedPageBreak/>
        <w:t>Renal impairment</w:t>
      </w:r>
    </w:p>
    <w:p w14:paraId="2766DD10" w14:textId="652F932D" w:rsidR="000A1F3C" w:rsidRDefault="000A1F3C" w:rsidP="000A1F3C">
      <w:pPr>
        <w:autoSpaceDE w:val="0"/>
        <w:autoSpaceDN w:val="0"/>
        <w:adjustRightInd w:val="0"/>
        <w:rPr>
          <w:rFonts w:eastAsia="TimesNewRoman"/>
        </w:rPr>
      </w:pPr>
      <w:r>
        <w:t xml:space="preserve">Based on a population pharmacokinetic analysis, no dose adjustment of </w:t>
      </w:r>
      <w:r w:rsidR="007B0DDE">
        <w:t>IMJUDO</w:t>
      </w:r>
      <w:r>
        <w:t xml:space="preserve"> is recommended in patients with </w:t>
      </w:r>
      <w:r w:rsidR="00E902E6">
        <w:t xml:space="preserve">mild or moderate </w:t>
      </w:r>
      <w:r>
        <w:t xml:space="preserve">renal impairment. </w:t>
      </w:r>
      <w:r w:rsidR="007B0DDE">
        <w:t>IMJUDO</w:t>
      </w:r>
      <w:r>
        <w:t xml:space="preserve"> has not been studied in patients with severe renal impairment </w:t>
      </w:r>
      <w:r>
        <w:rPr>
          <w:rFonts w:eastAsia="TimesNewRoman"/>
        </w:rPr>
        <w:t>(</w:t>
      </w:r>
      <w:r w:rsidR="008F22C7">
        <w:rPr>
          <w:rFonts w:eastAsia="TimesNewRoman"/>
        </w:rPr>
        <w:t>s</w:t>
      </w:r>
      <w:r>
        <w:rPr>
          <w:rFonts w:eastAsia="TimesNewRoman"/>
        </w:rPr>
        <w:t xml:space="preserve">ee </w:t>
      </w:r>
      <w:r w:rsidR="008F22C7">
        <w:rPr>
          <w:rFonts w:eastAsia="TimesNewRoman"/>
        </w:rPr>
        <w:t>S</w:t>
      </w:r>
      <w:r>
        <w:rPr>
          <w:rFonts w:eastAsia="TimesNewRoman"/>
        </w:rPr>
        <w:t xml:space="preserve">ection </w:t>
      </w:r>
      <w:r w:rsidR="00A95C69">
        <w:rPr>
          <w:rFonts w:eastAsia="TimesNewRoman"/>
        </w:rPr>
        <w:fldChar w:fldCharType="begin"/>
      </w:r>
      <w:r w:rsidR="00A95C69">
        <w:rPr>
          <w:rFonts w:eastAsia="TimesNewRoman"/>
        </w:rPr>
        <w:instrText xml:space="preserve"> REF _Ref126745924 \r \h </w:instrText>
      </w:r>
      <w:r w:rsidR="00A95C69">
        <w:rPr>
          <w:rFonts w:eastAsia="TimesNewRoman"/>
        </w:rPr>
      </w:r>
      <w:r w:rsidR="00A95C69">
        <w:rPr>
          <w:rFonts w:eastAsia="TimesNewRoman"/>
        </w:rPr>
        <w:fldChar w:fldCharType="separate"/>
      </w:r>
      <w:r w:rsidR="00A95C69">
        <w:rPr>
          <w:rFonts w:eastAsia="TimesNewRoman"/>
        </w:rPr>
        <w:t>5.2</w:t>
      </w:r>
      <w:r w:rsidR="00A95C69">
        <w:rPr>
          <w:rFonts w:eastAsia="TimesNewRoman"/>
        </w:rPr>
        <w:fldChar w:fldCharType="end"/>
      </w:r>
      <w:r w:rsidR="00A95C69">
        <w:rPr>
          <w:rFonts w:eastAsia="TimesNewRoman"/>
        </w:rPr>
        <w:t xml:space="preserve"> </w:t>
      </w:r>
      <w:r w:rsidR="00A95C69">
        <w:rPr>
          <w:rFonts w:eastAsia="TimesNewRoman"/>
        </w:rPr>
        <w:fldChar w:fldCharType="begin"/>
      </w:r>
      <w:r w:rsidR="00A95C69">
        <w:rPr>
          <w:rFonts w:eastAsia="TimesNewRoman"/>
        </w:rPr>
        <w:instrText xml:space="preserve"> REF _Ref126745924 \h </w:instrText>
      </w:r>
      <w:r w:rsidR="00A95C69">
        <w:rPr>
          <w:rFonts w:eastAsia="TimesNewRoman"/>
        </w:rPr>
      </w:r>
      <w:r w:rsidR="00A95C69">
        <w:rPr>
          <w:rFonts w:eastAsia="TimesNewRoman"/>
        </w:rPr>
        <w:fldChar w:fldCharType="separate"/>
      </w:r>
      <w:r w:rsidR="00A95C69">
        <w:t>Pharmacokinetic properties</w:t>
      </w:r>
      <w:r w:rsidR="00A95C69">
        <w:rPr>
          <w:rFonts w:eastAsia="TimesNewRoman"/>
        </w:rPr>
        <w:fldChar w:fldCharType="end"/>
      </w:r>
      <w:r>
        <w:rPr>
          <w:rFonts w:eastAsia="TimesNewRoman"/>
        </w:rPr>
        <w:t>)</w:t>
      </w:r>
      <w:r>
        <w:rPr>
          <w:rFonts w:eastAsia="TimesNewRoman"/>
          <w:sz w:val="22"/>
          <w:szCs w:val="22"/>
        </w:rPr>
        <w:t>.</w:t>
      </w:r>
    </w:p>
    <w:p w14:paraId="1C82E454" w14:textId="1D13C14F" w:rsidR="00ED27EC" w:rsidRDefault="00ED27EC" w:rsidP="00ED27EC">
      <w:pPr>
        <w:pStyle w:val="Heading4Unnumbered"/>
      </w:pPr>
      <w:r>
        <w:t>Hepatic impairment</w:t>
      </w:r>
    </w:p>
    <w:p w14:paraId="65C2C519" w14:textId="1CF09494" w:rsidR="000A1F3C" w:rsidRDefault="000A1F3C" w:rsidP="000A1F3C">
      <w:pPr>
        <w:pStyle w:val="CommentText"/>
        <w:rPr>
          <w:rFonts w:eastAsia="TimesNewRoman"/>
          <w:sz w:val="24"/>
          <w:szCs w:val="24"/>
        </w:rPr>
      </w:pPr>
      <w:r>
        <w:rPr>
          <w:sz w:val="24"/>
          <w:szCs w:val="24"/>
        </w:rPr>
        <w:t xml:space="preserve">Based on a population pharmacokinetic analysis, no dose adjustment of </w:t>
      </w:r>
      <w:r w:rsidR="007B0DDE">
        <w:rPr>
          <w:sz w:val="24"/>
          <w:szCs w:val="24"/>
        </w:rPr>
        <w:t>IMJUDO</w:t>
      </w:r>
      <w:r>
        <w:rPr>
          <w:sz w:val="24"/>
          <w:szCs w:val="24"/>
        </w:rPr>
        <w:t xml:space="preserve"> is recommended for patients with mild or moderate hepatic impairment. </w:t>
      </w:r>
      <w:r w:rsidR="007B0DDE">
        <w:rPr>
          <w:sz w:val="24"/>
          <w:szCs w:val="24"/>
        </w:rPr>
        <w:t>IMJUDO</w:t>
      </w:r>
      <w:r>
        <w:rPr>
          <w:sz w:val="24"/>
          <w:szCs w:val="24"/>
        </w:rPr>
        <w:t xml:space="preserve"> has not been studied in patients with severe hepatic impairment</w:t>
      </w:r>
      <w:r>
        <w:rPr>
          <w:sz w:val="24"/>
          <w:szCs w:val="24"/>
          <w:lang w:val="en-US"/>
        </w:rPr>
        <w:t xml:space="preserve"> </w:t>
      </w:r>
      <w:r>
        <w:rPr>
          <w:rFonts w:eastAsia="TimesNewRoman"/>
          <w:sz w:val="24"/>
          <w:szCs w:val="24"/>
        </w:rPr>
        <w:t>(</w:t>
      </w:r>
      <w:r w:rsidR="008F22C7">
        <w:rPr>
          <w:sz w:val="24"/>
          <w:szCs w:val="24"/>
        </w:rPr>
        <w:t>s</w:t>
      </w:r>
      <w:r w:rsidRPr="007B0DDE">
        <w:rPr>
          <w:sz w:val="24"/>
          <w:szCs w:val="24"/>
        </w:rPr>
        <w:t xml:space="preserve">ee </w:t>
      </w:r>
      <w:r w:rsidR="008F22C7">
        <w:rPr>
          <w:sz w:val="24"/>
          <w:szCs w:val="24"/>
        </w:rPr>
        <w:t>S</w:t>
      </w:r>
      <w:r w:rsidRPr="007B0DDE">
        <w:rPr>
          <w:sz w:val="24"/>
          <w:szCs w:val="24"/>
        </w:rPr>
        <w:t xml:space="preserve">ection </w:t>
      </w:r>
      <w:r w:rsidR="00A95C69">
        <w:rPr>
          <w:sz w:val="24"/>
          <w:szCs w:val="24"/>
        </w:rPr>
        <w:fldChar w:fldCharType="begin"/>
      </w:r>
      <w:r w:rsidR="00A95C69">
        <w:rPr>
          <w:sz w:val="24"/>
          <w:szCs w:val="24"/>
        </w:rPr>
        <w:instrText xml:space="preserve"> REF _Ref126745924 \r \h </w:instrText>
      </w:r>
      <w:r w:rsidR="00A95C69">
        <w:rPr>
          <w:sz w:val="24"/>
          <w:szCs w:val="24"/>
        </w:rPr>
      </w:r>
      <w:r w:rsidR="00A95C69">
        <w:rPr>
          <w:sz w:val="24"/>
          <w:szCs w:val="24"/>
        </w:rPr>
        <w:fldChar w:fldCharType="separate"/>
      </w:r>
      <w:r w:rsidR="00A95C69">
        <w:rPr>
          <w:sz w:val="24"/>
          <w:szCs w:val="24"/>
        </w:rPr>
        <w:t>5.2</w:t>
      </w:r>
      <w:r w:rsidR="00A95C69">
        <w:rPr>
          <w:sz w:val="24"/>
          <w:szCs w:val="24"/>
        </w:rPr>
        <w:fldChar w:fldCharType="end"/>
      </w:r>
      <w:r w:rsidR="00A95C69">
        <w:rPr>
          <w:sz w:val="24"/>
          <w:szCs w:val="24"/>
        </w:rPr>
        <w:t xml:space="preserve"> </w:t>
      </w:r>
      <w:r w:rsidR="00A95C69" w:rsidRPr="00A95C69">
        <w:rPr>
          <w:sz w:val="24"/>
          <w:szCs w:val="24"/>
        </w:rPr>
        <w:fldChar w:fldCharType="begin"/>
      </w:r>
      <w:r w:rsidR="00A95C69" w:rsidRPr="00A95C69">
        <w:rPr>
          <w:sz w:val="24"/>
          <w:szCs w:val="24"/>
        </w:rPr>
        <w:instrText xml:space="preserve"> REF _Ref126745924 \h </w:instrText>
      </w:r>
      <w:r w:rsidR="00A95C69">
        <w:rPr>
          <w:sz w:val="24"/>
          <w:szCs w:val="24"/>
        </w:rPr>
        <w:instrText xml:space="preserve"> \* MERGEFORMAT </w:instrText>
      </w:r>
      <w:r w:rsidR="00A95C69" w:rsidRPr="00A95C69">
        <w:rPr>
          <w:sz w:val="24"/>
          <w:szCs w:val="24"/>
        </w:rPr>
      </w:r>
      <w:r w:rsidR="00A95C69" w:rsidRPr="00A95C69">
        <w:rPr>
          <w:sz w:val="24"/>
          <w:szCs w:val="24"/>
        </w:rPr>
        <w:fldChar w:fldCharType="separate"/>
      </w:r>
      <w:r w:rsidR="00A95C69" w:rsidRPr="00A95C69">
        <w:rPr>
          <w:sz w:val="24"/>
          <w:szCs w:val="24"/>
        </w:rPr>
        <w:t>Pharmacokinetic properties</w:t>
      </w:r>
      <w:r w:rsidR="00A95C69" w:rsidRPr="00A95C69">
        <w:rPr>
          <w:sz w:val="24"/>
          <w:szCs w:val="24"/>
        </w:rPr>
        <w:fldChar w:fldCharType="end"/>
      </w:r>
      <w:r>
        <w:rPr>
          <w:rFonts w:eastAsia="TimesNewRoman"/>
          <w:sz w:val="24"/>
          <w:szCs w:val="24"/>
        </w:rPr>
        <w:t>).</w:t>
      </w:r>
    </w:p>
    <w:p w14:paraId="56B8BAC7" w14:textId="640C5DB3" w:rsidR="00ED27EC" w:rsidRDefault="00ED27EC" w:rsidP="00ED27EC">
      <w:pPr>
        <w:pStyle w:val="Heading4Unnumbered"/>
      </w:pPr>
      <w:r>
        <w:t xml:space="preserve">Use in the </w:t>
      </w:r>
      <w:proofErr w:type="gramStart"/>
      <w:r>
        <w:t>elderly</w:t>
      </w:r>
      <w:proofErr w:type="gramEnd"/>
    </w:p>
    <w:p w14:paraId="07E253A4" w14:textId="33472655" w:rsidR="00ED27EC" w:rsidRDefault="000F79CB" w:rsidP="006B79F6">
      <w:bookmarkStart w:id="8" w:name="_Hlk97206289"/>
      <w:r>
        <w:t>No dose adjustment is required for elderly patients (≥ 65 years of age) (</w:t>
      </w:r>
      <w:r w:rsidRPr="00BC15E5">
        <w:t xml:space="preserve">see </w:t>
      </w:r>
      <w:r w:rsidR="006B79F6" w:rsidRPr="00BC15E5">
        <w:t>S</w:t>
      </w:r>
      <w:r w:rsidRPr="00BC15E5">
        <w:t xml:space="preserve">ections </w:t>
      </w:r>
      <w:r w:rsidR="00A95C69">
        <w:fldChar w:fldCharType="begin"/>
      </w:r>
      <w:r w:rsidR="00A95C69">
        <w:instrText xml:space="preserve"> REF _Ref126592519 \r \h </w:instrText>
      </w:r>
      <w:r w:rsidR="00A95C69">
        <w:fldChar w:fldCharType="separate"/>
      </w:r>
      <w:r w:rsidR="00A95C69">
        <w:t>5.1</w:t>
      </w:r>
      <w:r w:rsidR="00A95C69">
        <w:fldChar w:fldCharType="end"/>
      </w:r>
      <w:r w:rsidR="00A95C69">
        <w:t xml:space="preserve"> </w:t>
      </w:r>
      <w:r w:rsidR="00A95C69">
        <w:fldChar w:fldCharType="begin"/>
      </w:r>
      <w:r w:rsidR="00A95C69">
        <w:instrText xml:space="preserve"> REF _Ref126592519 \h </w:instrText>
      </w:r>
      <w:r w:rsidR="00A95C69">
        <w:fldChar w:fldCharType="separate"/>
      </w:r>
      <w:r w:rsidR="00A95C69">
        <w:t>Pharmacodynamic properties</w:t>
      </w:r>
      <w:r w:rsidR="00A95C69">
        <w:fldChar w:fldCharType="end"/>
      </w:r>
      <w:r w:rsidR="008F22C7" w:rsidRPr="00BC15E5">
        <w:rPr>
          <w:sz w:val="23"/>
          <w:szCs w:val="23"/>
        </w:rPr>
        <w:t xml:space="preserve"> </w:t>
      </w:r>
      <w:r w:rsidRPr="00BC15E5">
        <w:t xml:space="preserve">and </w:t>
      </w:r>
      <w:r w:rsidR="00A95C69">
        <w:fldChar w:fldCharType="begin"/>
      </w:r>
      <w:r w:rsidR="00A95C69">
        <w:instrText xml:space="preserve"> REF _Ref126745924 \r \h </w:instrText>
      </w:r>
      <w:r w:rsidR="00A95C69">
        <w:fldChar w:fldCharType="separate"/>
      </w:r>
      <w:r w:rsidR="00A95C69">
        <w:t>5.2</w:t>
      </w:r>
      <w:r w:rsidR="00A95C69">
        <w:fldChar w:fldCharType="end"/>
      </w:r>
      <w:r w:rsidR="00A95C69">
        <w:t xml:space="preserve"> </w:t>
      </w:r>
      <w:r w:rsidR="00A95C69">
        <w:fldChar w:fldCharType="begin"/>
      </w:r>
      <w:r w:rsidR="00A95C69">
        <w:instrText xml:space="preserve"> REF _Ref126745924 \h </w:instrText>
      </w:r>
      <w:r w:rsidR="00A95C69">
        <w:fldChar w:fldCharType="separate"/>
      </w:r>
      <w:r w:rsidR="00A95C69">
        <w:t>Pharmacokinetic properties</w:t>
      </w:r>
      <w:r w:rsidR="00A95C69">
        <w:fldChar w:fldCharType="end"/>
      </w:r>
      <w:r>
        <w:t xml:space="preserve">) </w:t>
      </w:r>
      <w:bookmarkEnd w:id="8"/>
    </w:p>
    <w:p w14:paraId="10AF6AE9" w14:textId="33A0C0D3" w:rsidR="00ED27EC" w:rsidRDefault="001B114A" w:rsidP="00ED27EC">
      <w:pPr>
        <w:pStyle w:val="Heading4Unnumbered"/>
      </w:pPr>
      <w:r w:rsidRPr="001B114A">
        <w:t xml:space="preserve">Paediatric </w:t>
      </w:r>
      <w:r w:rsidR="00C9314A">
        <w:t>use</w:t>
      </w:r>
    </w:p>
    <w:p w14:paraId="04478DB4" w14:textId="32DB9A9A" w:rsidR="007B0DDE" w:rsidRDefault="007B0DDE" w:rsidP="007B0DDE">
      <w:r>
        <w:t xml:space="preserve">The safety and effectiveness of IMJUDO have not been established in </w:t>
      </w:r>
      <w:r w:rsidR="00FD448F">
        <w:t>patients</w:t>
      </w:r>
      <w:r>
        <w:t xml:space="preserve"> less than 18 years.  </w:t>
      </w:r>
    </w:p>
    <w:p w14:paraId="3EB6EC75" w14:textId="77777777" w:rsidR="00ED27EC" w:rsidRDefault="00ED27EC" w:rsidP="00ED27EC">
      <w:pPr>
        <w:pStyle w:val="Heading3Unnumbered"/>
      </w:pPr>
      <w:r>
        <w:t>Method of administration</w:t>
      </w:r>
    </w:p>
    <w:p w14:paraId="20914458" w14:textId="77777777" w:rsidR="0066101A" w:rsidRDefault="0066101A" w:rsidP="0066101A">
      <w:pPr>
        <w:pStyle w:val="Heading4Unnumbered"/>
        <w:rPr>
          <w:szCs w:val="24"/>
        </w:rPr>
      </w:pPr>
      <w:r>
        <w:t>Preparation of solution</w:t>
      </w:r>
    </w:p>
    <w:p w14:paraId="7FF7950B" w14:textId="32F83423" w:rsidR="0066101A" w:rsidRDefault="00846CCE" w:rsidP="0066101A">
      <w:pPr>
        <w:autoSpaceDE w:val="0"/>
        <w:autoSpaceDN w:val="0"/>
        <w:adjustRightInd w:val="0"/>
        <w:spacing w:line="240" w:lineRule="auto"/>
      </w:pPr>
      <w:r>
        <w:t>IMJUDO</w:t>
      </w:r>
      <w:r w:rsidR="0066101A">
        <w:t xml:space="preserve"> is supplied as a single-dose vial and </w:t>
      </w:r>
      <w:r w:rsidR="0066101A">
        <w:rPr>
          <w:lang w:val="en-US"/>
        </w:rPr>
        <w:t>does not contain any preservatives, aseptic technique must be observed</w:t>
      </w:r>
      <w:r w:rsidR="0066101A">
        <w:t>.</w:t>
      </w:r>
    </w:p>
    <w:p w14:paraId="581DC639" w14:textId="6B8E0381" w:rsidR="0066101A" w:rsidRDefault="0066101A" w:rsidP="0066101A">
      <w:pPr>
        <w:pStyle w:val="ListParagraph"/>
        <w:numPr>
          <w:ilvl w:val="0"/>
          <w:numId w:val="44"/>
        </w:numPr>
        <w:spacing w:line="240" w:lineRule="auto"/>
        <w:contextualSpacing w:val="0"/>
        <w:rPr>
          <w:rFonts w:eastAsia="Times New Roman,Calibri,Times N"/>
        </w:rPr>
      </w:pPr>
      <w:r>
        <w:rPr>
          <w:rFonts w:eastAsia="Times New Roman,Calibri,Times N"/>
        </w:rPr>
        <w:t xml:space="preserve">Visually inspect drug product for particulate matter and discolouration. </w:t>
      </w:r>
      <w:r w:rsidR="00846CCE">
        <w:t>IMJUDO</w:t>
      </w:r>
      <w:r>
        <w:t xml:space="preserve"> is clear to slightly opalescent, colourless to slightly yellow</w:t>
      </w:r>
      <w:r>
        <w:rPr>
          <w:sz w:val="28"/>
          <w:szCs w:val="28"/>
        </w:rPr>
        <w:t xml:space="preserve"> </w:t>
      </w:r>
      <w:r>
        <w:t>solution</w:t>
      </w:r>
      <w:r>
        <w:rPr>
          <w:rFonts w:eastAsia="Times New Roman,Calibri,Times N"/>
        </w:rPr>
        <w:t xml:space="preserve">. Discard the vial if the solution is cloudy, </w:t>
      </w:r>
      <w:proofErr w:type="gramStart"/>
      <w:r>
        <w:rPr>
          <w:rFonts w:eastAsia="Times New Roman,Calibri,Times N"/>
        </w:rPr>
        <w:t>discoloured</w:t>
      </w:r>
      <w:proofErr w:type="gramEnd"/>
      <w:r>
        <w:rPr>
          <w:rFonts w:eastAsia="Times New Roman,Calibri,Times N"/>
        </w:rPr>
        <w:t xml:space="preserve"> or visible particles are observed. Do not shake the vial.</w:t>
      </w:r>
      <w:proofErr w:type="gramStart"/>
      <w:r w:rsidR="00905962" w:rsidRPr="00905962">
        <w:rPr>
          <w:rFonts w:eastAsia="Times New Roman,Calibri,Times N"/>
          <w:vertAlign w:val="superscript"/>
        </w:rPr>
        <w:t>, ,</w:t>
      </w:r>
      <w:proofErr w:type="gramEnd"/>
      <w:r w:rsidR="00905962">
        <w:rPr>
          <w:rFonts w:eastAsia="Times New Roman,Calibri,Times N"/>
        </w:rPr>
        <w:t xml:space="preserve"> </w:t>
      </w:r>
    </w:p>
    <w:p w14:paraId="094A6309" w14:textId="6326D96F" w:rsidR="0066101A" w:rsidRDefault="0066101A" w:rsidP="0066101A">
      <w:pPr>
        <w:pStyle w:val="ListParagraph"/>
        <w:numPr>
          <w:ilvl w:val="0"/>
          <w:numId w:val="44"/>
        </w:numPr>
        <w:spacing w:line="240" w:lineRule="auto"/>
        <w:contextualSpacing w:val="0"/>
        <w:rPr>
          <w:rFonts w:eastAsia="Times New Roman,Calibri,Times N"/>
        </w:rPr>
      </w:pPr>
      <w:r>
        <w:rPr>
          <w:rFonts w:eastAsia="Times New Roman,Calibri,Times N"/>
        </w:rPr>
        <w:t xml:space="preserve">Withdraw the required volume from the vial(s) of </w:t>
      </w:r>
      <w:r w:rsidR="00846CCE">
        <w:rPr>
          <w:rFonts w:eastAsia="Times New Roman,Calibri,Times N"/>
        </w:rPr>
        <w:t>IMJUDO</w:t>
      </w:r>
      <w:r>
        <w:rPr>
          <w:rFonts w:eastAsia="Times New Roman,Calibri,Times N"/>
        </w:rPr>
        <w:t xml:space="preserve"> and transfer into an intravenous (IV) bag containing 0.9% Sodium Chloride Injection, or 5% Dextrose Injection. Mix diluted solution by gentle inversion. The final concentration of the diluted solution should be between 0.1 mg/mL and 10 mg/</w:t>
      </w:r>
      <w:proofErr w:type="spellStart"/>
      <w:r>
        <w:rPr>
          <w:rFonts w:eastAsia="Times New Roman,Calibri,Times N"/>
        </w:rPr>
        <w:t>mL.</w:t>
      </w:r>
      <w:proofErr w:type="spellEnd"/>
      <w:r>
        <w:rPr>
          <w:rFonts w:eastAsia="Times New Roman,Calibri,Times N"/>
        </w:rPr>
        <w:t xml:space="preserve"> Do not freeze or shake the solution.</w:t>
      </w:r>
    </w:p>
    <w:p w14:paraId="05C5FA15" w14:textId="77777777" w:rsidR="0066101A" w:rsidRDefault="0066101A" w:rsidP="0066101A">
      <w:pPr>
        <w:pStyle w:val="ListParagraph"/>
        <w:numPr>
          <w:ilvl w:val="0"/>
          <w:numId w:val="44"/>
        </w:numPr>
        <w:spacing w:line="240" w:lineRule="auto"/>
        <w:contextualSpacing w:val="0"/>
        <w:rPr>
          <w:rFonts w:eastAsia="Times New Roman,Calibri,Times N"/>
        </w:rPr>
      </w:pPr>
      <w:r>
        <w:rPr>
          <w:rFonts w:eastAsia="Times New Roman,Calibri,Times N"/>
        </w:rPr>
        <w:t>Care must be taken to ensure the sterility of prepared solutions.</w:t>
      </w:r>
    </w:p>
    <w:p w14:paraId="1717B8BF" w14:textId="77777777" w:rsidR="0066101A" w:rsidRDefault="0066101A" w:rsidP="0066101A">
      <w:pPr>
        <w:pStyle w:val="ListParagraph"/>
        <w:numPr>
          <w:ilvl w:val="0"/>
          <w:numId w:val="44"/>
        </w:numPr>
        <w:spacing w:line="240" w:lineRule="auto"/>
        <w:contextualSpacing w:val="0"/>
        <w:rPr>
          <w:rFonts w:eastAsia="Times New Roman,Calibri,Times N"/>
        </w:rPr>
      </w:pPr>
      <w:r>
        <w:rPr>
          <w:rFonts w:eastAsia="Times New Roman,Calibri,Times N"/>
        </w:rPr>
        <w:t>Do not re-enter the vial after withdrawal of drug.</w:t>
      </w:r>
    </w:p>
    <w:p w14:paraId="041724F2" w14:textId="3D001FF2" w:rsidR="0066101A" w:rsidRDefault="0066101A" w:rsidP="0066101A">
      <w:pPr>
        <w:pStyle w:val="ListParagraph"/>
        <w:numPr>
          <w:ilvl w:val="0"/>
          <w:numId w:val="44"/>
        </w:numPr>
        <w:spacing w:line="240" w:lineRule="auto"/>
        <w:contextualSpacing w:val="0"/>
        <w:rPr>
          <w:rFonts w:eastAsia="Times New Roman,Calibri,Times N"/>
        </w:rPr>
      </w:pPr>
      <w:r>
        <w:rPr>
          <w:rFonts w:eastAsia="Times New Roman,Calibri,Times N"/>
        </w:rPr>
        <w:t>Discard any unused portion left in the vial.</w:t>
      </w:r>
    </w:p>
    <w:p w14:paraId="407E692A" w14:textId="77777777" w:rsidR="00D96FD2" w:rsidRPr="00D96FD2" w:rsidRDefault="00D96FD2" w:rsidP="00D96FD2">
      <w:pPr>
        <w:pStyle w:val="Heading4Unnumbered"/>
      </w:pPr>
      <w:r w:rsidRPr="00D96FD2">
        <w:t>After preparation of infusion solution</w:t>
      </w:r>
    </w:p>
    <w:p w14:paraId="4C953C62" w14:textId="4753035B" w:rsidR="00D96FD2" w:rsidRDefault="00D96FD2" w:rsidP="00D96FD2">
      <w:pPr>
        <w:autoSpaceDE w:val="0"/>
        <w:autoSpaceDN w:val="0"/>
        <w:adjustRightInd w:val="0"/>
        <w:spacing w:line="240" w:lineRule="auto"/>
        <w:rPr>
          <w:lang w:val="en-US"/>
        </w:rPr>
      </w:pPr>
      <w:r>
        <w:rPr>
          <w:lang w:val="en-US"/>
        </w:rPr>
        <w:t xml:space="preserve">IMJUDO </w:t>
      </w:r>
      <w:r w:rsidRPr="00D96FD2">
        <w:rPr>
          <w:lang w:val="en-US"/>
        </w:rPr>
        <w:t xml:space="preserve">does not contain a preservative. </w:t>
      </w:r>
      <w:r w:rsidRPr="00D96FD2">
        <w:rPr>
          <w:rFonts w:eastAsia="Calibri,Times New Roman"/>
        </w:rPr>
        <w:t xml:space="preserve">Administer </w:t>
      </w:r>
      <w:r w:rsidRPr="006808FA">
        <w:t xml:space="preserve">infusion solution immediately </w:t>
      </w:r>
      <w:r w:rsidRPr="00D96FD2">
        <w:rPr>
          <w:rFonts w:eastAsia="Calibri,Times New Roman"/>
        </w:rPr>
        <w:t xml:space="preserve">once prepared. </w:t>
      </w:r>
      <w:r w:rsidRPr="00D96FD2">
        <w:rPr>
          <w:lang w:val="en-US"/>
        </w:rPr>
        <w:t xml:space="preserve">If infusion solution is not administered immediately and it needs to be stored, </w:t>
      </w:r>
      <w:r w:rsidR="007E274A">
        <w:rPr>
          <w:lang w:val="en-US"/>
        </w:rPr>
        <w:t xml:space="preserve">the total time from preparation to the start of administration should not </w:t>
      </w:r>
      <w:proofErr w:type="gramStart"/>
      <w:r w:rsidR="007E274A">
        <w:rPr>
          <w:lang w:val="en-US"/>
        </w:rPr>
        <w:t xml:space="preserve">exceed </w:t>
      </w:r>
      <w:r w:rsidRPr="00D96FD2">
        <w:rPr>
          <w:lang w:val="en-US"/>
        </w:rPr>
        <w:t>:</w:t>
      </w:r>
      <w:proofErr w:type="gramEnd"/>
    </w:p>
    <w:p w14:paraId="7E32D764" w14:textId="56B4897B" w:rsidR="007E274A" w:rsidRDefault="00F31D3D" w:rsidP="007E274A">
      <w:pPr>
        <w:pStyle w:val="ListParagraph"/>
        <w:numPr>
          <w:ilvl w:val="0"/>
          <w:numId w:val="49"/>
        </w:numPr>
        <w:autoSpaceDE w:val="0"/>
        <w:autoSpaceDN w:val="0"/>
        <w:adjustRightInd w:val="0"/>
        <w:spacing w:line="240" w:lineRule="auto"/>
        <w:rPr>
          <w:lang w:val="en-US"/>
        </w:rPr>
      </w:pPr>
      <w:r>
        <w:rPr>
          <w:lang w:val="en-US"/>
        </w:rPr>
        <w:t>28 days</w:t>
      </w:r>
      <w:r w:rsidR="007E274A">
        <w:rPr>
          <w:lang w:val="en-US"/>
        </w:rPr>
        <w:t xml:space="preserve"> in a refrigerator at 2ºC to 8ºC</w:t>
      </w:r>
    </w:p>
    <w:p w14:paraId="40278217" w14:textId="3EB314F8" w:rsidR="00D96FD2" w:rsidRPr="0067286B" w:rsidRDefault="007E274A" w:rsidP="00D96FD2">
      <w:pPr>
        <w:pStyle w:val="ListParagraph"/>
        <w:numPr>
          <w:ilvl w:val="0"/>
          <w:numId w:val="49"/>
        </w:numPr>
        <w:autoSpaceDE w:val="0"/>
        <w:autoSpaceDN w:val="0"/>
        <w:adjustRightInd w:val="0"/>
        <w:spacing w:line="240" w:lineRule="auto"/>
        <w:rPr>
          <w:lang w:val="en-US"/>
        </w:rPr>
      </w:pPr>
      <w:r>
        <w:rPr>
          <w:lang w:val="en-US"/>
        </w:rPr>
        <w:t>24 hours at room temperature up to 30ºC</w:t>
      </w:r>
    </w:p>
    <w:p w14:paraId="06F11C2D" w14:textId="34106B19" w:rsidR="0066101A" w:rsidRPr="0066101A" w:rsidRDefault="0066101A" w:rsidP="0066101A">
      <w:pPr>
        <w:pStyle w:val="Heading4Unnumbered"/>
      </w:pPr>
      <w:r w:rsidRPr="0066101A">
        <w:lastRenderedPageBreak/>
        <w:t>Administration</w:t>
      </w:r>
    </w:p>
    <w:p w14:paraId="6AD2B007" w14:textId="238F8E99" w:rsidR="0066101A" w:rsidRDefault="0066101A" w:rsidP="0066101A">
      <w:pPr>
        <w:pStyle w:val="ListParagraph"/>
        <w:numPr>
          <w:ilvl w:val="0"/>
          <w:numId w:val="44"/>
        </w:numPr>
        <w:spacing w:line="240" w:lineRule="auto"/>
        <w:contextualSpacing w:val="0"/>
        <w:rPr>
          <w:rFonts w:eastAsia="Times New Roman,Calibri,Times N"/>
          <w:lang w:val="en-US"/>
        </w:rPr>
      </w:pPr>
      <w:r>
        <w:rPr>
          <w:rFonts w:eastAsia="Times New Roman,Calibri,Times N"/>
        </w:rPr>
        <w:t xml:space="preserve">Administer infusion solution intravenously over 1 hour through an intravenous line containing a sterile, low-protein binding </w:t>
      </w:r>
      <w:proofErr w:type="gramStart"/>
      <w:r>
        <w:rPr>
          <w:rFonts w:eastAsia="Times New Roman,Calibri,Times N"/>
        </w:rPr>
        <w:t>0.2 or 0.22 micron</w:t>
      </w:r>
      <w:proofErr w:type="gramEnd"/>
      <w:r>
        <w:rPr>
          <w:rFonts w:eastAsia="Times New Roman,Calibri,Times N"/>
        </w:rPr>
        <w:t xml:space="preserve"> filter.</w:t>
      </w:r>
    </w:p>
    <w:p w14:paraId="2FB7F9E6" w14:textId="06E99F77" w:rsidR="0066101A" w:rsidRDefault="0066101A" w:rsidP="0066101A">
      <w:pPr>
        <w:pStyle w:val="ListParagraph"/>
        <w:numPr>
          <w:ilvl w:val="0"/>
          <w:numId w:val="44"/>
        </w:numPr>
        <w:spacing w:line="240" w:lineRule="auto"/>
        <w:contextualSpacing w:val="0"/>
      </w:pPr>
      <w:r>
        <w:rPr>
          <w:rFonts w:eastAsia="Times New Roman,Calibri,Times N"/>
        </w:rPr>
        <w:t>Do not co-administer other drugs through the same infusion line.</w:t>
      </w:r>
    </w:p>
    <w:p w14:paraId="3FFAC20C" w14:textId="68ED7CAA" w:rsidR="0066101A" w:rsidRDefault="0066101A" w:rsidP="0066101A">
      <w:r>
        <w:t>Any unused medicinal product or waste material should be disposed of in accordance with local requirements.</w:t>
      </w:r>
    </w:p>
    <w:p w14:paraId="573174A1" w14:textId="77777777" w:rsidR="001A3992" w:rsidRDefault="001A3992" w:rsidP="00EE3AC8">
      <w:pPr>
        <w:pStyle w:val="Heading2"/>
      </w:pPr>
      <w:r w:rsidRPr="00377337">
        <w:t>Contraindications</w:t>
      </w:r>
    </w:p>
    <w:p w14:paraId="7E2F9548" w14:textId="3D3FD694" w:rsidR="00C85696" w:rsidRPr="00C85696" w:rsidRDefault="00D532B5" w:rsidP="00C85696">
      <w:pPr>
        <w:pStyle w:val="Paragraph"/>
      </w:pPr>
      <w:r>
        <w:t xml:space="preserve">Hypersensitivity to the active substance or to any of the excipients listed in Section </w:t>
      </w:r>
      <w:r>
        <w:fldChar w:fldCharType="begin"/>
      </w:r>
      <w:r>
        <w:instrText xml:space="preserve"> REF _Ref135662046 \r \h </w:instrText>
      </w:r>
      <w:r>
        <w:fldChar w:fldCharType="separate"/>
      </w:r>
      <w:r>
        <w:t>6.1</w:t>
      </w:r>
      <w:r>
        <w:fldChar w:fldCharType="end"/>
      </w:r>
      <w:r>
        <w:t xml:space="preserve"> </w:t>
      </w:r>
      <w:r>
        <w:fldChar w:fldCharType="begin"/>
      </w:r>
      <w:r>
        <w:instrText xml:space="preserve"> REF _Ref135662046 \h </w:instrText>
      </w:r>
      <w:r>
        <w:fldChar w:fldCharType="separate"/>
      </w:r>
      <w:r w:rsidRPr="00377337">
        <w:t>List of excipients</w:t>
      </w:r>
      <w:r>
        <w:fldChar w:fldCharType="end"/>
      </w:r>
      <w:r w:rsidR="00846CCE">
        <w:t>.</w:t>
      </w:r>
    </w:p>
    <w:p w14:paraId="027EF21B" w14:textId="77777777" w:rsidR="001A3992" w:rsidRDefault="00E74A56" w:rsidP="003B7CFF">
      <w:pPr>
        <w:pStyle w:val="Heading2"/>
      </w:pPr>
      <w:bookmarkStart w:id="9" w:name="_Ref126746347"/>
      <w:r w:rsidRPr="00377337">
        <w:t>Special warnings and p</w:t>
      </w:r>
      <w:r w:rsidR="001A3992" w:rsidRPr="00377337">
        <w:t xml:space="preserve">recautions </w:t>
      </w:r>
      <w:r w:rsidRPr="00377337">
        <w:t>for use</w:t>
      </w:r>
      <w:bookmarkEnd w:id="9"/>
    </w:p>
    <w:p w14:paraId="13678D37" w14:textId="19927439" w:rsidR="00A04C8F" w:rsidRDefault="00A04C8F" w:rsidP="00A04C8F">
      <w:pPr>
        <w:pStyle w:val="Heading3Unnumbered"/>
        <w:rPr>
          <w:lang w:val="en-US"/>
        </w:rPr>
      </w:pPr>
      <w:r>
        <w:rPr>
          <w:rFonts w:eastAsiaTheme="minorEastAsia"/>
          <w:lang w:val="en-US"/>
        </w:rPr>
        <w:t xml:space="preserve">Immune-mediated </w:t>
      </w:r>
      <w:r>
        <w:rPr>
          <w:rFonts w:eastAsiaTheme="minorEastAsia"/>
        </w:rPr>
        <w:t>adverse reactions</w:t>
      </w:r>
    </w:p>
    <w:p w14:paraId="57865E05" w14:textId="0C43DA24" w:rsidR="00392063" w:rsidRDefault="00392063" w:rsidP="00392063">
      <w:pPr>
        <w:rPr>
          <w:lang w:val="en-US"/>
        </w:rPr>
      </w:pPr>
      <w:r>
        <w:rPr>
          <w:lang w:val="en-US"/>
        </w:rPr>
        <w:t xml:space="preserve">Refer to </w:t>
      </w:r>
      <w:r w:rsidR="00521FEB">
        <w:rPr>
          <w:lang w:val="en-US"/>
        </w:rPr>
        <w:t>S</w:t>
      </w:r>
      <w:r>
        <w:rPr>
          <w:lang w:val="en-US"/>
        </w:rPr>
        <w:t xml:space="preserve">ection </w:t>
      </w:r>
      <w:r w:rsidR="00A95C69">
        <w:rPr>
          <w:lang w:val="en-US"/>
        </w:rPr>
        <w:fldChar w:fldCharType="begin"/>
      </w:r>
      <w:r w:rsidR="00A95C69">
        <w:rPr>
          <w:lang w:val="en-US"/>
        </w:rPr>
        <w:instrText xml:space="preserve"> REF _Ref126746108 \r \h </w:instrText>
      </w:r>
      <w:r w:rsidR="00A95C69">
        <w:rPr>
          <w:lang w:val="en-US"/>
        </w:rPr>
      </w:r>
      <w:r w:rsidR="00A95C69">
        <w:rPr>
          <w:lang w:val="en-US"/>
        </w:rPr>
        <w:fldChar w:fldCharType="separate"/>
      </w:r>
      <w:r w:rsidR="00A95C69">
        <w:rPr>
          <w:lang w:val="en-US"/>
        </w:rPr>
        <w:t>4.2</w:t>
      </w:r>
      <w:r w:rsidR="00A95C69">
        <w:rPr>
          <w:lang w:val="en-US"/>
        </w:rPr>
        <w:fldChar w:fldCharType="end"/>
      </w:r>
      <w:r w:rsidR="00A95C69">
        <w:rPr>
          <w:lang w:val="en-US"/>
        </w:rPr>
        <w:t xml:space="preserve"> </w:t>
      </w:r>
      <w:r w:rsidR="00A95C69">
        <w:rPr>
          <w:lang w:val="en-US"/>
        </w:rPr>
        <w:fldChar w:fldCharType="begin"/>
      </w:r>
      <w:r w:rsidR="00A95C69">
        <w:rPr>
          <w:lang w:val="en-US"/>
        </w:rPr>
        <w:instrText xml:space="preserve"> REF _Ref126746108 \h </w:instrText>
      </w:r>
      <w:r w:rsidR="00A95C69">
        <w:rPr>
          <w:lang w:val="en-US"/>
        </w:rPr>
      </w:r>
      <w:r w:rsidR="00A95C69">
        <w:rPr>
          <w:lang w:val="en-US"/>
        </w:rPr>
        <w:fldChar w:fldCharType="separate"/>
      </w:r>
      <w:r w:rsidR="00A95C69" w:rsidRPr="00377337">
        <w:t>Dose and method of administration</w:t>
      </w:r>
      <w:r w:rsidR="00A95C69">
        <w:rPr>
          <w:lang w:val="en-US"/>
        </w:rPr>
        <w:fldChar w:fldCharType="end"/>
      </w:r>
      <w:r>
        <w:rPr>
          <w:lang w:val="en-US"/>
        </w:rPr>
        <w:t xml:space="preserve">, Table 2 for </w:t>
      </w:r>
      <w:r w:rsidR="00500507">
        <w:t>recommended</w:t>
      </w:r>
      <w:r>
        <w:t xml:space="preserve"> treatment modifications and management </w:t>
      </w:r>
      <w:r>
        <w:rPr>
          <w:lang w:val="en-US"/>
        </w:rPr>
        <w:t xml:space="preserve">of immune-mediated adverse reactions. </w:t>
      </w:r>
    </w:p>
    <w:p w14:paraId="5AFE0B15" w14:textId="270DEA51" w:rsidR="00A04C8F" w:rsidRDefault="00A04C8F" w:rsidP="00392063">
      <w:pPr>
        <w:rPr>
          <w:szCs w:val="20"/>
        </w:rPr>
      </w:pPr>
      <w:r>
        <w:rPr>
          <w:lang w:val="en-US"/>
        </w:rPr>
        <w:t>The IMJUDO Consumer Medicine Information (CMI) should be provided to the patient prior to administration of the first dose of IMJUDO.</w:t>
      </w:r>
    </w:p>
    <w:p w14:paraId="58D1B9E2" w14:textId="77777777" w:rsidR="00392063" w:rsidRDefault="00392063" w:rsidP="00521FEB">
      <w:pPr>
        <w:pStyle w:val="Heading3Unnumbered"/>
        <w:rPr>
          <w:rFonts w:eastAsiaTheme="minorEastAsia"/>
        </w:rPr>
      </w:pPr>
      <w:r>
        <w:rPr>
          <w:rFonts w:eastAsiaTheme="minorEastAsia"/>
          <w:lang w:val="en-US"/>
        </w:rPr>
        <w:t xml:space="preserve">Immune-mediated </w:t>
      </w:r>
      <w:r>
        <w:rPr>
          <w:rFonts w:eastAsiaTheme="minorEastAsia"/>
        </w:rPr>
        <w:t>pneumonitis</w:t>
      </w:r>
    </w:p>
    <w:p w14:paraId="00D50BAA" w14:textId="0D05A7A8" w:rsidR="00392063" w:rsidRDefault="00392063" w:rsidP="00392063">
      <w:pPr>
        <w:autoSpaceDE w:val="0"/>
        <w:autoSpaceDN w:val="0"/>
        <w:rPr>
          <w:rStyle w:val="xmchange"/>
          <w:rFonts w:eastAsia="Calibri,Arial"/>
          <w:bdr w:val="none" w:sz="0" w:space="0" w:color="auto" w:frame="1"/>
          <w:vertAlign w:val="superscript"/>
        </w:rPr>
      </w:pPr>
      <w:r>
        <w:t xml:space="preserve">Immune-mediated pneumonitis or interstitial lung disease, defined as requiring use of systemic corticosteroids and with no clear alternate </w:t>
      </w:r>
      <w:r w:rsidR="00A04C8F">
        <w:t>a</w:t>
      </w:r>
      <w:r>
        <w:t xml:space="preserve">etiology, occurred in patients receiving </w:t>
      </w:r>
      <w:r w:rsidR="00521FEB">
        <w:t>IMJUDO</w:t>
      </w:r>
      <w:r>
        <w:t xml:space="preserve"> in combination with durvalumab (see </w:t>
      </w:r>
      <w:r w:rsidR="00FD3A2B">
        <w:t>S</w:t>
      </w:r>
      <w:r>
        <w:t xml:space="preserve">ection </w:t>
      </w:r>
      <w:r w:rsidR="00274115">
        <w:fldChar w:fldCharType="begin"/>
      </w:r>
      <w:r w:rsidR="00274115">
        <w:instrText xml:space="preserve"> REF _Ref126744983 \r \h </w:instrText>
      </w:r>
      <w:r w:rsidR="00274115">
        <w:fldChar w:fldCharType="separate"/>
      </w:r>
      <w:r w:rsidR="00274115">
        <w:t>4.8</w:t>
      </w:r>
      <w:r w:rsidR="00274115">
        <w:fldChar w:fldCharType="end"/>
      </w:r>
      <w:r w:rsidR="00274115">
        <w:t xml:space="preserve"> </w:t>
      </w:r>
      <w:r w:rsidR="00274115">
        <w:fldChar w:fldCharType="begin"/>
      </w:r>
      <w:r w:rsidR="00274115">
        <w:instrText xml:space="preserve"> REF _Ref126744983 \h </w:instrText>
      </w:r>
      <w:r w:rsidR="00274115">
        <w:fldChar w:fldCharType="separate"/>
      </w:r>
      <w:r w:rsidR="00274115" w:rsidRPr="00377337">
        <w:t>Adverse effects (Undesirable effects)</w:t>
      </w:r>
      <w:r w:rsidR="00274115">
        <w:fldChar w:fldCharType="end"/>
      </w:r>
      <w:r>
        <w:t xml:space="preserve">). Patients </w:t>
      </w:r>
      <w:r>
        <w:rPr>
          <w:rStyle w:val="xmchange"/>
          <w:rFonts w:eastAsia="Calibri,Arial"/>
          <w:bdr w:val="none" w:sz="0" w:space="0" w:color="auto" w:frame="1"/>
        </w:rPr>
        <w:t xml:space="preserve">should be monitored for signs and symptoms of pneumonitis. Suspected pneumonitis should be confirmed with radiographic imaging and </w:t>
      </w:r>
      <w:r>
        <w:rPr>
          <w:lang w:val="en-US"/>
        </w:rPr>
        <w:t xml:space="preserve">other infectious and disease-related etiologies </w:t>
      </w:r>
      <w:proofErr w:type="gramStart"/>
      <w:r>
        <w:rPr>
          <w:lang w:val="en-US"/>
        </w:rPr>
        <w:t>excluded, and</w:t>
      </w:r>
      <w:proofErr w:type="gramEnd"/>
      <w:r>
        <w:rPr>
          <w:rStyle w:val="HTMLDefinition"/>
          <w:rFonts w:eastAsia="Calibri,Arial"/>
          <w:bdr w:val="none" w:sz="0" w:space="0" w:color="auto" w:frame="1"/>
        </w:rPr>
        <w:t xml:space="preserve"> </w:t>
      </w:r>
      <w:r>
        <w:rPr>
          <w:rStyle w:val="xmchange"/>
          <w:rFonts w:eastAsia="Calibri,Arial"/>
          <w:bdr w:val="none" w:sz="0" w:space="0" w:color="auto" w:frame="1"/>
        </w:rPr>
        <w:t xml:space="preserve">managed as recommended in </w:t>
      </w:r>
      <w:r w:rsidR="00FD3A2B">
        <w:rPr>
          <w:rStyle w:val="xmchange"/>
          <w:rFonts w:eastAsia="Calibri,Arial"/>
          <w:bdr w:val="none" w:sz="0" w:space="0" w:color="auto" w:frame="1"/>
        </w:rPr>
        <w:t>S</w:t>
      </w:r>
      <w:r>
        <w:rPr>
          <w:rStyle w:val="xmchange"/>
          <w:rFonts w:eastAsia="Calibri,Arial"/>
          <w:bdr w:val="none" w:sz="0" w:space="0" w:color="auto" w:frame="1"/>
        </w:rPr>
        <w:t xml:space="preserve">ection </w:t>
      </w:r>
      <w:r w:rsidR="00072AC8">
        <w:rPr>
          <w:rStyle w:val="xmchange"/>
          <w:rFonts w:eastAsia="Calibri,Arial"/>
          <w:bdr w:val="none" w:sz="0" w:space="0" w:color="auto" w:frame="1"/>
        </w:rPr>
        <w:fldChar w:fldCharType="begin"/>
      </w:r>
      <w:r w:rsidR="00072AC8">
        <w:rPr>
          <w:rStyle w:val="xmchange"/>
          <w:rFonts w:eastAsia="Calibri,Arial"/>
          <w:bdr w:val="none" w:sz="0" w:space="0" w:color="auto" w:frame="1"/>
        </w:rPr>
        <w:instrText xml:space="preserve"> REF _Ref126746108 \r \h </w:instrText>
      </w:r>
      <w:r w:rsidR="00072AC8">
        <w:rPr>
          <w:rStyle w:val="xmchange"/>
          <w:rFonts w:eastAsia="Calibri,Arial"/>
          <w:bdr w:val="none" w:sz="0" w:space="0" w:color="auto" w:frame="1"/>
        </w:rPr>
      </w:r>
      <w:r w:rsidR="00072AC8">
        <w:rPr>
          <w:rStyle w:val="xmchange"/>
          <w:rFonts w:eastAsia="Calibri,Arial"/>
          <w:bdr w:val="none" w:sz="0" w:space="0" w:color="auto" w:frame="1"/>
        </w:rPr>
        <w:fldChar w:fldCharType="separate"/>
      </w:r>
      <w:r w:rsidR="00072AC8">
        <w:rPr>
          <w:rStyle w:val="xmchange"/>
          <w:rFonts w:eastAsia="Calibri,Arial"/>
          <w:bdr w:val="none" w:sz="0" w:space="0" w:color="auto" w:frame="1"/>
        </w:rPr>
        <w:t>4.2</w:t>
      </w:r>
      <w:r w:rsidR="00072AC8">
        <w:rPr>
          <w:rStyle w:val="xmchange"/>
          <w:rFonts w:eastAsia="Calibri,Arial"/>
          <w:bdr w:val="none" w:sz="0" w:space="0" w:color="auto" w:frame="1"/>
        </w:rPr>
        <w:fldChar w:fldCharType="end"/>
      </w:r>
      <w:r w:rsidR="00072AC8">
        <w:rPr>
          <w:rStyle w:val="xmchange"/>
          <w:rFonts w:eastAsia="Calibri,Arial"/>
          <w:bdr w:val="none" w:sz="0" w:space="0" w:color="auto" w:frame="1"/>
        </w:rPr>
        <w:t xml:space="preserve"> </w:t>
      </w:r>
      <w:r w:rsidR="00072AC8">
        <w:rPr>
          <w:rStyle w:val="xmchange"/>
          <w:rFonts w:eastAsia="Calibri,Arial"/>
          <w:bdr w:val="none" w:sz="0" w:space="0" w:color="auto" w:frame="1"/>
        </w:rPr>
        <w:fldChar w:fldCharType="begin"/>
      </w:r>
      <w:r w:rsidR="00072AC8">
        <w:rPr>
          <w:rStyle w:val="xmchange"/>
          <w:rFonts w:eastAsia="Calibri,Arial"/>
          <w:bdr w:val="none" w:sz="0" w:space="0" w:color="auto" w:frame="1"/>
        </w:rPr>
        <w:instrText xml:space="preserve"> REF _Ref126746108 \h </w:instrText>
      </w:r>
      <w:r w:rsidR="00072AC8">
        <w:rPr>
          <w:rStyle w:val="xmchange"/>
          <w:rFonts w:eastAsia="Calibri,Arial"/>
          <w:bdr w:val="none" w:sz="0" w:space="0" w:color="auto" w:frame="1"/>
        </w:rPr>
      </w:r>
      <w:r w:rsidR="00072AC8">
        <w:rPr>
          <w:rStyle w:val="xmchange"/>
          <w:rFonts w:eastAsia="Calibri,Arial"/>
          <w:bdr w:val="none" w:sz="0" w:space="0" w:color="auto" w:frame="1"/>
        </w:rPr>
        <w:fldChar w:fldCharType="separate"/>
      </w:r>
      <w:r w:rsidR="00072AC8" w:rsidRPr="00377337">
        <w:t>Dose and method of administration</w:t>
      </w:r>
      <w:r w:rsidR="00072AC8">
        <w:rPr>
          <w:rStyle w:val="xmchange"/>
          <w:rFonts w:eastAsia="Calibri,Arial"/>
          <w:bdr w:val="none" w:sz="0" w:space="0" w:color="auto" w:frame="1"/>
        </w:rPr>
        <w:fldChar w:fldCharType="end"/>
      </w:r>
      <w:r w:rsidR="00FD3A2B">
        <w:rPr>
          <w:lang w:val="en-US"/>
        </w:rPr>
        <w:t>.</w:t>
      </w:r>
    </w:p>
    <w:p w14:paraId="082D3634" w14:textId="77777777" w:rsidR="00392063" w:rsidRPr="00521FEB" w:rsidRDefault="00392063" w:rsidP="00521FEB">
      <w:pPr>
        <w:pStyle w:val="Heading3Unnumbered"/>
        <w:rPr>
          <w:rFonts w:eastAsiaTheme="minorEastAsia"/>
          <w:lang w:val="en-US"/>
        </w:rPr>
      </w:pPr>
      <w:r w:rsidRPr="00521FEB">
        <w:rPr>
          <w:rFonts w:eastAsiaTheme="minorEastAsia"/>
          <w:lang w:val="en-US"/>
        </w:rPr>
        <w:t>Immune-mediated hepatitis</w:t>
      </w:r>
    </w:p>
    <w:p w14:paraId="49851A45" w14:textId="312070E3" w:rsidR="00392063" w:rsidRDefault="00392063" w:rsidP="00392063">
      <w:pPr>
        <w:autoSpaceDE w:val="0"/>
        <w:autoSpaceDN w:val="0"/>
        <w:rPr>
          <w:rStyle w:val="xmchange"/>
          <w:rFonts w:eastAsia="Calibri,Arial"/>
          <w:bdr w:val="none" w:sz="0" w:space="0" w:color="auto" w:frame="1"/>
        </w:rPr>
      </w:pPr>
      <w:r>
        <w:t xml:space="preserve">Immune-mediated hepatitis, defined as requiring use of systemic corticosteroids and with no clear alternate </w:t>
      </w:r>
      <w:r w:rsidR="007A5719">
        <w:t>a</w:t>
      </w:r>
      <w:r>
        <w:t xml:space="preserve">etiology, occurred in patients receiving </w:t>
      </w:r>
      <w:r w:rsidR="00521FEB">
        <w:t>IMJUDO</w:t>
      </w:r>
      <w:r>
        <w:t xml:space="preserve"> in combination with durvalumab (see </w:t>
      </w:r>
      <w:r w:rsidR="00FD3A2B">
        <w:t>S</w:t>
      </w:r>
      <w:r>
        <w:t xml:space="preserve">ection </w:t>
      </w:r>
      <w:r w:rsidR="00274115">
        <w:fldChar w:fldCharType="begin"/>
      </w:r>
      <w:r w:rsidR="00274115">
        <w:instrText xml:space="preserve"> REF _Ref126744983 \r \h </w:instrText>
      </w:r>
      <w:r w:rsidR="00274115">
        <w:fldChar w:fldCharType="separate"/>
      </w:r>
      <w:r w:rsidR="00274115">
        <w:t>4.8</w:t>
      </w:r>
      <w:r w:rsidR="00274115">
        <w:fldChar w:fldCharType="end"/>
      </w:r>
      <w:r w:rsidR="00274115">
        <w:t xml:space="preserve"> </w:t>
      </w:r>
      <w:r w:rsidR="00274115">
        <w:fldChar w:fldCharType="begin"/>
      </w:r>
      <w:r w:rsidR="00274115">
        <w:instrText xml:space="preserve"> REF _Ref126744983 \h </w:instrText>
      </w:r>
      <w:r w:rsidR="00274115">
        <w:fldChar w:fldCharType="separate"/>
      </w:r>
      <w:r w:rsidR="00274115" w:rsidRPr="00377337">
        <w:t>Adverse effects (Undesirable effects)</w:t>
      </w:r>
      <w:r w:rsidR="00274115">
        <w:fldChar w:fldCharType="end"/>
      </w:r>
      <w:r>
        <w:t xml:space="preserve">). Patients should be monitored for abnormal liver tests prior to and periodically during treatment with </w:t>
      </w:r>
      <w:r w:rsidR="00521FEB">
        <w:t>IMJUDO</w:t>
      </w:r>
      <w:r>
        <w:t xml:space="preserve"> in combination with durvalumab. Immune-mediated hepatitis should </w:t>
      </w:r>
      <w:r>
        <w:rPr>
          <w:rStyle w:val="xmchange"/>
          <w:rFonts w:eastAsia="Calibri,Arial"/>
          <w:bdr w:val="none" w:sz="0" w:space="0" w:color="auto" w:frame="1"/>
        </w:rPr>
        <w:t xml:space="preserve">be managed as recommended in </w:t>
      </w:r>
      <w:r w:rsidR="003D19FD">
        <w:rPr>
          <w:rStyle w:val="xmchange"/>
          <w:rFonts w:eastAsia="Calibri,Arial"/>
          <w:bdr w:val="none" w:sz="0" w:space="0" w:color="auto" w:frame="1"/>
        </w:rPr>
        <w:t>S</w:t>
      </w:r>
      <w:r>
        <w:rPr>
          <w:rStyle w:val="xmchange"/>
          <w:rFonts w:eastAsia="Calibri,Arial"/>
          <w:bdr w:val="none" w:sz="0" w:space="0" w:color="auto" w:frame="1"/>
        </w:rPr>
        <w:t xml:space="preserve">ection </w:t>
      </w:r>
      <w:r w:rsidR="00072AC8">
        <w:rPr>
          <w:rStyle w:val="xmchange"/>
          <w:rFonts w:eastAsia="Calibri,Arial"/>
          <w:bdr w:val="none" w:sz="0" w:space="0" w:color="auto" w:frame="1"/>
        </w:rPr>
        <w:fldChar w:fldCharType="begin"/>
      </w:r>
      <w:r w:rsidR="00072AC8">
        <w:rPr>
          <w:rStyle w:val="xmchange"/>
          <w:rFonts w:eastAsia="Calibri,Arial"/>
          <w:bdr w:val="none" w:sz="0" w:space="0" w:color="auto" w:frame="1"/>
        </w:rPr>
        <w:instrText xml:space="preserve"> REF _Ref126746108 \r \h </w:instrText>
      </w:r>
      <w:r w:rsidR="00072AC8">
        <w:rPr>
          <w:rStyle w:val="xmchange"/>
          <w:rFonts w:eastAsia="Calibri,Arial"/>
          <w:bdr w:val="none" w:sz="0" w:space="0" w:color="auto" w:frame="1"/>
        </w:rPr>
      </w:r>
      <w:r w:rsidR="00072AC8">
        <w:rPr>
          <w:rStyle w:val="xmchange"/>
          <w:rFonts w:eastAsia="Calibri,Arial"/>
          <w:bdr w:val="none" w:sz="0" w:space="0" w:color="auto" w:frame="1"/>
        </w:rPr>
        <w:fldChar w:fldCharType="separate"/>
      </w:r>
      <w:r w:rsidR="00072AC8">
        <w:rPr>
          <w:rStyle w:val="xmchange"/>
          <w:rFonts w:eastAsia="Calibri,Arial"/>
          <w:bdr w:val="none" w:sz="0" w:space="0" w:color="auto" w:frame="1"/>
        </w:rPr>
        <w:t>4.2</w:t>
      </w:r>
      <w:r w:rsidR="00072AC8">
        <w:rPr>
          <w:rStyle w:val="xmchange"/>
          <w:rFonts w:eastAsia="Calibri,Arial"/>
          <w:bdr w:val="none" w:sz="0" w:space="0" w:color="auto" w:frame="1"/>
        </w:rPr>
        <w:fldChar w:fldCharType="end"/>
      </w:r>
      <w:r w:rsidR="00072AC8">
        <w:rPr>
          <w:rStyle w:val="xmchange"/>
          <w:rFonts w:eastAsia="Calibri,Arial"/>
          <w:bdr w:val="none" w:sz="0" w:space="0" w:color="auto" w:frame="1"/>
        </w:rPr>
        <w:t xml:space="preserve"> </w:t>
      </w:r>
      <w:r w:rsidR="00072AC8">
        <w:rPr>
          <w:rStyle w:val="xmchange"/>
          <w:rFonts w:eastAsia="Calibri,Arial"/>
          <w:bdr w:val="none" w:sz="0" w:space="0" w:color="auto" w:frame="1"/>
        </w:rPr>
        <w:fldChar w:fldCharType="begin"/>
      </w:r>
      <w:r w:rsidR="00072AC8">
        <w:rPr>
          <w:rStyle w:val="xmchange"/>
          <w:rFonts w:eastAsia="Calibri,Arial"/>
          <w:bdr w:val="none" w:sz="0" w:space="0" w:color="auto" w:frame="1"/>
        </w:rPr>
        <w:instrText xml:space="preserve"> REF _Ref126746108 \h </w:instrText>
      </w:r>
      <w:r w:rsidR="00072AC8">
        <w:rPr>
          <w:rStyle w:val="xmchange"/>
          <w:rFonts w:eastAsia="Calibri,Arial"/>
          <w:bdr w:val="none" w:sz="0" w:space="0" w:color="auto" w:frame="1"/>
        </w:rPr>
      </w:r>
      <w:r w:rsidR="00072AC8">
        <w:rPr>
          <w:rStyle w:val="xmchange"/>
          <w:rFonts w:eastAsia="Calibri,Arial"/>
          <w:bdr w:val="none" w:sz="0" w:space="0" w:color="auto" w:frame="1"/>
        </w:rPr>
        <w:fldChar w:fldCharType="separate"/>
      </w:r>
      <w:r w:rsidR="00072AC8" w:rsidRPr="00377337">
        <w:t>Dose and method of administration</w:t>
      </w:r>
      <w:r w:rsidR="00072AC8">
        <w:rPr>
          <w:rStyle w:val="xmchange"/>
          <w:rFonts w:eastAsia="Calibri,Arial"/>
          <w:bdr w:val="none" w:sz="0" w:space="0" w:color="auto" w:frame="1"/>
        </w:rPr>
        <w:fldChar w:fldCharType="end"/>
      </w:r>
      <w:r>
        <w:rPr>
          <w:rStyle w:val="xmchange"/>
          <w:rFonts w:eastAsia="Calibri,Arial"/>
          <w:bdr w:val="none" w:sz="0" w:space="0" w:color="auto" w:frame="1"/>
        </w:rPr>
        <w:t>.</w:t>
      </w:r>
    </w:p>
    <w:p w14:paraId="124DA2F2" w14:textId="77777777" w:rsidR="00392063" w:rsidRPr="00521FEB" w:rsidRDefault="00392063" w:rsidP="00521FEB">
      <w:pPr>
        <w:pStyle w:val="Heading3Unnumbered"/>
        <w:rPr>
          <w:rFonts w:eastAsiaTheme="minorEastAsia"/>
          <w:lang w:val="en-US"/>
        </w:rPr>
      </w:pPr>
      <w:r w:rsidRPr="00521FEB">
        <w:rPr>
          <w:rFonts w:eastAsiaTheme="minorEastAsia"/>
          <w:lang w:val="en-US"/>
        </w:rPr>
        <w:t>Immune-mediated colitis</w:t>
      </w:r>
    </w:p>
    <w:p w14:paraId="4770DFDA" w14:textId="1BBA0F7C" w:rsidR="00392063" w:rsidRDefault="00392063" w:rsidP="00392063">
      <w:pPr>
        <w:autoSpaceDE w:val="0"/>
        <w:autoSpaceDN w:val="0"/>
        <w:rPr>
          <w:rFonts w:eastAsiaTheme="minorEastAsia"/>
        </w:rPr>
      </w:pPr>
      <w:r>
        <w:t xml:space="preserve">Immune-mediated colitis or diarrhoea, defined as requiring use of systemic corticosteroids and with no clear alternate </w:t>
      </w:r>
      <w:r w:rsidR="007A5719">
        <w:t>a</w:t>
      </w:r>
      <w:r>
        <w:t xml:space="preserve">etiology, occurred in patients receiving </w:t>
      </w:r>
      <w:r w:rsidR="00521FEB">
        <w:t>IMJUDO</w:t>
      </w:r>
      <w:r>
        <w:t xml:space="preserve"> in combination with durvalumab (see </w:t>
      </w:r>
      <w:r w:rsidR="003D19FD">
        <w:t>S</w:t>
      </w:r>
      <w:r>
        <w:t xml:space="preserve">ection </w:t>
      </w:r>
      <w:r w:rsidR="00274115">
        <w:fldChar w:fldCharType="begin"/>
      </w:r>
      <w:r w:rsidR="00274115">
        <w:instrText xml:space="preserve"> REF _Ref126744983 \r \h </w:instrText>
      </w:r>
      <w:r w:rsidR="00274115">
        <w:fldChar w:fldCharType="separate"/>
      </w:r>
      <w:r w:rsidR="00274115">
        <w:t>4.8</w:t>
      </w:r>
      <w:r w:rsidR="00274115">
        <w:fldChar w:fldCharType="end"/>
      </w:r>
      <w:r w:rsidR="00274115">
        <w:t xml:space="preserve"> </w:t>
      </w:r>
      <w:r w:rsidR="00274115">
        <w:fldChar w:fldCharType="begin"/>
      </w:r>
      <w:r w:rsidR="00274115">
        <w:instrText xml:space="preserve"> REF _Ref126744983 \h </w:instrText>
      </w:r>
      <w:r w:rsidR="00274115">
        <w:fldChar w:fldCharType="separate"/>
      </w:r>
      <w:r w:rsidR="00274115" w:rsidRPr="00377337">
        <w:t>Adverse effects (Undesirable effects)</w:t>
      </w:r>
      <w:r w:rsidR="00274115">
        <w:fldChar w:fldCharType="end"/>
      </w:r>
      <w:r>
        <w:t xml:space="preserve">). Intestinal perforation and large intestine perforation were reported in patients receiving </w:t>
      </w:r>
      <w:r w:rsidR="00521FEB">
        <w:t>IMJUDO</w:t>
      </w:r>
      <w:r>
        <w:t xml:space="preserve"> in combination with durvalumab. Patients should be monitored for signs and symptoms of colitis/diarrhoea and intestinal perforation </w:t>
      </w:r>
      <w:r>
        <w:rPr>
          <w:rStyle w:val="xmchange"/>
          <w:rFonts w:eastAsia="Calibri,Arial"/>
          <w:bdr w:val="none" w:sz="0" w:space="0" w:color="auto" w:frame="1"/>
        </w:rPr>
        <w:t xml:space="preserve">and managed as recommended in </w:t>
      </w:r>
      <w:r w:rsidR="003D19FD">
        <w:rPr>
          <w:rStyle w:val="xmchange"/>
          <w:rFonts w:eastAsia="Calibri,Arial"/>
          <w:bdr w:val="none" w:sz="0" w:space="0" w:color="auto" w:frame="1"/>
        </w:rPr>
        <w:t>S</w:t>
      </w:r>
      <w:r>
        <w:rPr>
          <w:rStyle w:val="xmchange"/>
          <w:rFonts w:eastAsia="Calibri,Arial"/>
          <w:bdr w:val="none" w:sz="0" w:space="0" w:color="auto" w:frame="1"/>
        </w:rPr>
        <w:t xml:space="preserve">ection </w:t>
      </w:r>
      <w:r w:rsidR="00072AC8">
        <w:rPr>
          <w:rStyle w:val="xmchange"/>
          <w:rFonts w:eastAsia="Calibri,Arial"/>
          <w:bdr w:val="none" w:sz="0" w:space="0" w:color="auto" w:frame="1"/>
        </w:rPr>
        <w:fldChar w:fldCharType="begin"/>
      </w:r>
      <w:r w:rsidR="00072AC8">
        <w:rPr>
          <w:rStyle w:val="xmchange"/>
          <w:rFonts w:eastAsia="Calibri,Arial"/>
          <w:bdr w:val="none" w:sz="0" w:space="0" w:color="auto" w:frame="1"/>
        </w:rPr>
        <w:instrText xml:space="preserve"> REF _Ref126746108 \r \h </w:instrText>
      </w:r>
      <w:r w:rsidR="00072AC8">
        <w:rPr>
          <w:rStyle w:val="xmchange"/>
          <w:rFonts w:eastAsia="Calibri,Arial"/>
          <w:bdr w:val="none" w:sz="0" w:space="0" w:color="auto" w:frame="1"/>
        </w:rPr>
      </w:r>
      <w:r w:rsidR="00072AC8">
        <w:rPr>
          <w:rStyle w:val="xmchange"/>
          <w:rFonts w:eastAsia="Calibri,Arial"/>
          <w:bdr w:val="none" w:sz="0" w:space="0" w:color="auto" w:frame="1"/>
        </w:rPr>
        <w:fldChar w:fldCharType="separate"/>
      </w:r>
      <w:r w:rsidR="00072AC8">
        <w:rPr>
          <w:rStyle w:val="xmchange"/>
          <w:rFonts w:eastAsia="Calibri,Arial"/>
          <w:bdr w:val="none" w:sz="0" w:space="0" w:color="auto" w:frame="1"/>
        </w:rPr>
        <w:t>4.2</w:t>
      </w:r>
      <w:r w:rsidR="00072AC8">
        <w:rPr>
          <w:rStyle w:val="xmchange"/>
          <w:rFonts w:eastAsia="Calibri,Arial"/>
          <w:bdr w:val="none" w:sz="0" w:space="0" w:color="auto" w:frame="1"/>
        </w:rPr>
        <w:fldChar w:fldCharType="end"/>
      </w:r>
      <w:r w:rsidR="00072AC8">
        <w:rPr>
          <w:rStyle w:val="xmchange"/>
          <w:rFonts w:eastAsia="Calibri,Arial"/>
          <w:bdr w:val="none" w:sz="0" w:space="0" w:color="auto" w:frame="1"/>
        </w:rPr>
        <w:t xml:space="preserve"> </w:t>
      </w:r>
      <w:r w:rsidR="00072AC8">
        <w:rPr>
          <w:rStyle w:val="xmchange"/>
          <w:rFonts w:eastAsia="Calibri,Arial"/>
          <w:bdr w:val="none" w:sz="0" w:space="0" w:color="auto" w:frame="1"/>
        </w:rPr>
        <w:fldChar w:fldCharType="begin"/>
      </w:r>
      <w:r w:rsidR="00072AC8">
        <w:rPr>
          <w:rStyle w:val="xmchange"/>
          <w:rFonts w:eastAsia="Calibri,Arial"/>
          <w:bdr w:val="none" w:sz="0" w:space="0" w:color="auto" w:frame="1"/>
        </w:rPr>
        <w:instrText xml:space="preserve"> REF _Ref126746108 \h </w:instrText>
      </w:r>
      <w:r w:rsidR="00072AC8">
        <w:rPr>
          <w:rStyle w:val="xmchange"/>
          <w:rFonts w:eastAsia="Calibri,Arial"/>
          <w:bdr w:val="none" w:sz="0" w:space="0" w:color="auto" w:frame="1"/>
        </w:rPr>
      </w:r>
      <w:r w:rsidR="00072AC8">
        <w:rPr>
          <w:rStyle w:val="xmchange"/>
          <w:rFonts w:eastAsia="Calibri,Arial"/>
          <w:bdr w:val="none" w:sz="0" w:space="0" w:color="auto" w:frame="1"/>
        </w:rPr>
        <w:fldChar w:fldCharType="separate"/>
      </w:r>
      <w:r w:rsidR="00072AC8" w:rsidRPr="00377337">
        <w:t>Dose and method of administration</w:t>
      </w:r>
      <w:r w:rsidR="00072AC8">
        <w:rPr>
          <w:rStyle w:val="xmchange"/>
          <w:rFonts w:eastAsia="Calibri,Arial"/>
          <w:bdr w:val="none" w:sz="0" w:space="0" w:color="auto" w:frame="1"/>
        </w:rPr>
        <w:fldChar w:fldCharType="end"/>
      </w:r>
      <w:r>
        <w:t>.</w:t>
      </w:r>
    </w:p>
    <w:p w14:paraId="5048820A" w14:textId="77777777" w:rsidR="00392063" w:rsidRPr="00521FEB" w:rsidRDefault="00392063" w:rsidP="00521FEB">
      <w:pPr>
        <w:pStyle w:val="Heading3Unnumbered"/>
        <w:rPr>
          <w:rFonts w:eastAsiaTheme="minorEastAsia"/>
          <w:lang w:val="en-US"/>
        </w:rPr>
      </w:pPr>
      <w:r w:rsidRPr="00521FEB">
        <w:rPr>
          <w:rFonts w:eastAsiaTheme="minorEastAsia"/>
          <w:lang w:val="en-US"/>
        </w:rPr>
        <w:lastRenderedPageBreak/>
        <w:t>Immune-mediated endocrinopathies</w:t>
      </w:r>
    </w:p>
    <w:p w14:paraId="08B19D4B" w14:textId="77777777" w:rsidR="00392063" w:rsidRDefault="00392063" w:rsidP="00521FEB">
      <w:pPr>
        <w:pStyle w:val="Heading4Unnumbered"/>
        <w:rPr>
          <w:rFonts w:eastAsiaTheme="minorEastAsia"/>
        </w:rPr>
      </w:pPr>
      <w:r>
        <w:t>Immune-mediated hypothyroidism/hyperthyroidism/thyroiditis</w:t>
      </w:r>
    </w:p>
    <w:p w14:paraId="20EBE9B0" w14:textId="5BEA5C41" w:rsidR="00392063" w:rsidRDefault="00392063" w:rsidP="00392063">
      <w:pPr>
        <w:rPr>
          <w:sz w:val="22"/>
          <w:szCs w:val="22"/>
        </w:rPr>
      </w:pPr>
      <w:r>
        <w:t xml:space="preserve">Immune-mediated hypothyroidism, hyperthyroidism or thyroiditis have occurred in patients receiving </w:t>
      </w:r>
      <w:r w:rsidR="00521FEB">
        <w:t>IMJUDO</w:t>
      </w:r>
      <w:r>
        <w:t xml:space="preserve"> in combination with durvalumab (see </w:t>
      </w:r>
      <w:r w:rsidR="003D19FD">
        <w:t>S</w:t>
      </w:r>
      <w:r>
        <w:t xml:space="preserve">ection </w:t>
      </w:r>
      <w:r w:rsidR="00274115">
        <w:fldChar w:fldCharType="begin"/>
      </w:r>
      <w:r w:rsidR="00274115">
        <w:instrText xml:space="preserve"> REF _Ref126744983 \r \h </w:instrText>
      </w:r>
      <w:r w:rsidR="00274115">
        <w:fldChar w:fldCharType="separate"/>
      </w:r>
      <w:r w:rsidR="00274115">
        <w:t>4.8</w:t>
      </w:r>
      <w:r w:rsidR="00274115">
        <w:fldChar w:fldCharType="end"/>
      </w:r>
      <w:r w:rsidR="00274115">
        <w:t xml:space="preserve"> </w:t>
      </w:r>
      <w:r w:rsidR="00274115">
        <w:fldChar w:fldCharType="begin"/>
      </w:r>
      <w:r w:rsidR="00274115">
        <w:instrText xml:space="preserve"> REF _Ref126744983 \h </w:instrText>
      </w:r>
      <w:r w:rsidR="00274115">
        <w:fldChar w:fldCharType="separate"/>
      </w:r>
      <w:r w:rsidR="00274115" w:rsidRPr="00377337">
        <w:t>Adverse effects (Undesirable effects)</w:t>
      </w:r>
      <w:r w:rsidR="00274115">
        <w:fldChar w:fldCharType="end"/>
      </w:r>
      <w:r>
        <w:t>). Patients should be monitored for abnormal thyroid function tests prior to and periodically during treatment and managed as recommended</w:t>
      </w:r>
      <w:r>
        <w:rPr>
          <w:i/>
          <w:iCs/>
        </w:rPr>
        <w:t xml:space="preserve"> </w:t>
      </w:r>
      <w:r>
        <w:t xml:space="preserve">in </w:t>
      </w:r>
      <w:r w:rsidR="003D19FD">
        <w:t>S</w:t>
      </w:r>
      <w:r>
        <w:t xml:space="preserve">ection </w:t>
      </w:r>
      <w:r w:rsidR="00072AC8">
        <w:rPr>
          <w:rStyle w:val="xmchange"/>
          <w:rFonts w:eastAsia="Calibri,Arial"/>
          <w:bdr w:val="none" w:sz="0" w:space="0" w:color="auto" w:frame="1"/>
        </w:rPr>
        <w:fldChar w:fldCharType="begin"/>
      </w:r>
      <w:r w:rsidR="00072AC8">
        <w:rPr>
          <w:rStyle w:val="xmchange"/>
          <w:rFonts w:eastAsia="Calibri,Arial"/>
          <w:bdr w:val="none" w:sz="0" w:space="0" w:color="auto" w:frame="1"/>
        </w:rPr>
        <w:instrText xml:space="preserve"> REF _Ref126746108 \r \h </w:instrText>
      </w:r>
      <w:r w:rsidR="00072AC8">
        <w:rPr>
          <w:rStyle w:val="xmchange"/>
          <w:rFonts w:eastAsia="Calibri,Arial"/>
          <w:bdr w:val="none" w:sz="0" w:space="0" w:color="auto" w:frame="1"/>
        </w:rPr>
      </w:r>
      <w:r w:rsidR="00072AC8">
        <w:rPr>
          <w:rStyle w:val="xmchange"/>
          <w:rFonts w:eastAsia="Calibri,Arial"/>
          <w:bdr w:val="none" w:sz="0" w:space="0" w:color="auto" w:frame="1"/>
        </w:rPr>
        <w:fldChar w:fldCharType="separate"/>
      </w:r>
      <w:r w:rsidR="00072AC8">
        <w:rPr>
          <w:rStyle w:val="xmchange"/>
          <w:rFonts w:eastAsia="Calibri,Arial"/>
          <w:bdr w:val="none" w:sz="0" w:space="0" w:color="auto" w:frame="1"/>
        </w:rPr>
        <w:t>4.2</w:t>
      </w:r>
      <w:r w:rsidR="00072AC8">
        <w:rPr>
          <w:rStyle w:val="xmchange"/>
          <w:rFonts w:eastAsia="Calibri,Arial"/>
          <w:bdr w:val="none" w:sz="0" w:space="0" w:color="auto" w:frame="1"/>
        </w:rPr>
        <w:fldChar w:fldCharType="end"/>
      </w:r>
      <w:r w:rsidR="00072AC8">
        <w:rPr>
          <w:rStyle w:val="xmchange"/>
          <w:rFonts w:eastAsia="Calibri,Arial"/>
          <w:bdr w:val="none" w:sz="0" w:space="0" w:color="auto" w:frame="1"/>
        </w:rPr>
        <w:t xml:space="preserve"> </w:t>
      </w:r>
      <w:r w:rsidR="00072AC8">
        <w:rPr>
          <w:rStyle w:val="xmchange"/>
          <w:rFonts w:eastAsia="Calibri,Arial"/>
          <w:bdr w:val="none" w:sz="0" w:space="0" w:color="auto" w:frame="1"/>
        </w:rPr>
        <w:fldChar w:fldCharType="begin"/>
      </w:r>
      <w:r w:rsidR="00072AC8">
        <w:rPr>
          <w:rStyle w:val="xmchange"/>
          <w:rFonts w:eastAsia="Calibri,Arial"/>
          <w:bdr w:val="none" w:sz="0" w:space="0" w:color="auto" w:frame="1"/>
        </w:rPr>
        <w:instrText xml:space="preserve"> REF _Ref126746108 \h </w:instrText>
      </w:r>
      <w:r w:rsidR="00072AC8">
        <w:rPr>
          <w:rStyle w:val="xmchange"/>
          <w:rFonts w:eastAsia="Calibri,Arial"/>
          <w:bdr w:val="none" w:sz="0" w:space="0" w:color="auto" w:frame="1"/>
        </w:rPr>
      </w:r>
      <w:r w:rsidR="00072AC8">
        <w:rPr>
          <w:rStyle w:val="xmchange"/>
          <w:rFonts w:eastAsia="Calibri,Arial"/>
          <w:bdr w:val="none" w:sz="0" w:space="0" w:color="auto" w:frame="1"/>
        </w:rPr>
        <w:fldChar w:fldCharType="separate"/>
      </w:r>
      <w:r w:rsidR="00072AC8" w:rsidRPr="00377337">
        <w:t>Dose and method of administration</w:t>
      </w:r>
      <w:r w:rsidR="00072AC8">
        <w:rPr>
          <w:rStyle w:val="xmchange"/>
          <w:rFonts w:eastAsia="Calibri,Arial"/>
          <w:bdr w:val="none" w:sz="0" w:space="0" w:color="auto" w:frame="1"/>
        </w:rPr>
        <w:fldChar w:fldCharType="end"/>
      </w:r>
      <w:r>
        <w:t>.</w:t>
      </w:r>
    </w:p>
    <w:p w14:paraId="1570DB8F" w14:textId="77777777" w:rsidR="00392063" w:rsidRDefault="00392063" w:rsidP="00521FEB">
      <w:pPr>
        <w:pStyle w:val="Heading4Unnumbered"/>
        <w:rPr>
          <w:szCs w:val="20"/>
        </w:rPr>
      </w:pPr>
      <w:r w:rsidRPr="00521FEB">
        <w:t>Immune-mediated adrenal insufficiency</w:t>
      </w:r>
    </w:p>
    <w:p w14:paraId="25A3AF87" w14:textId="65C61570" w:rsidR="00392063" w:rsidRDefault="00392063" w:rsidP="00392063">
      <w:r>
        <w:t xml:space="preserve">Immune-mediated adrenal insufficiency occurred in patients receiving </w:t>
      </w:r>
      <w:r w:rsidR="00521FEB">
        <w:t>IMJUDO</w:t>
      </w:r>
      <w:r>
        <w:t xml:space="preserve"> in combination with durvalumab (see </w:t>
      </w:r>
      <w:r w:rsidR="003D19FD">
        <w:t>S</w:t>
      </w:r>
      <w:r>
        <w:t xml:space="preserve">ection </w:t>
      </w:r>
      <w:r w:rsidR="00274115">
        <w:fldChar w:fldCharType="begin"/>
      </w:r>
      <w:r w:rsidR="00274115">
        <w:instrText xml:space="preserve"> REF _Ref126744983 \r \h </w:instrText>
      </w:r>
      <w:r w:rsidR="00274115">
        <w:fldChar w:fldCharType="separate"/>
      </w:r>
      <w:r w:rsidR="00274115">
        <w:t>4.8</w:t>
      </w:r>
      <w:r w:rsidR="00274115">
        <w:fldChar w:fldCharType="end"/>
      </w:r>
      <w:r w:rsidR="00274115">
        <w:t xml:space="preserve"> </w:t>
      </w:r>
      <w:r w:rsidR="00274115">
        <w:fldChar w:fldCharType="begin"/>
      </w:r>
      <w:r w:rsidR="00274115">
        <w:instrText xml:space="preserve"> REF _Ref126744983 \h </w:instrText>
      </w:r>
      <w:r w:rsidR="00274115">
        <w:fldChar w:fldCharType="separate"/>
      </w:r>
      <w:r w:rsidR="00274115" w:rsidRPr="00377337">
        <w:t>Adverse effects (Undesirable effects)</w:t>
      </w:r>
      <w:r w:rsidR="00274115">
        <w:fldChar w:fldCharType="end"/>
      </w:r>
      <w:r>
        <w:t xml:space="preserve">). Patients should be monitored for clinical signs and symptoms of adrenal insufficiency and managed as recommended in </w:t>
      </w:r>
      <w:r w:rsidR="003D19FD">
        <w:t>S</w:t>
      </w:r>
      <w:r>
        <w:t xml:space="preserve">ection </w:t>
      </w:r>
      <w:r w:rsidR="00072AC8">
        <w:rPr>
          <w:rStyle w:val="xmchange"/>
          <w:rFonts w:eastAsia="Calibri,Arial"/>
          <w:bdr w:val="none" w:sz="0" w:space="0" w:color="auto" w:frame="1"/>
        </w:rPr>
        <w:fldChar w:fldCharType="begin"/>
      </w:r>
      <w:r w:rsidR="00072AC8">
        <w:rPr>
          <w:rStyle w:val="xmchange"/>
          <w:rFonts w:eastAsia="Calibri,Arial"/>
          <w:bdr w:val="none" w:sz="0" w:space="0" w:color="auto" w:frame="1"/>
        </w:rPr>
        <w:instrText xml:space="preserve"> REF _Ref126746108 \r \h </w:instrText>
      </w:r>
      <w:r w:rsidR="00072AC8">
        <w:rPr>
          <w:rStyle w:val="xmchange"/>
          <w:rFonts w:eastAsia="Calibri,Arial"/>
          <w:bdr w:val="none" w:sz="0" w:space="0" w:color="auto" w:frame="1"/>
        </w:rPr>
      </w:r>
      <w:r w:rsidR="00072AC8">
        <w:rPr>
          <w:rStyle w:val="xmchange"/>
          <w:rFonts w:eastAsia="Calibri,Arial"/>
          <w:bdr w:val="none" w:sz="0" w:space="0" w:color="auto" w:frame="1"/>
        </w:rPr>
        <w:fldChar w:fldCharType="separate"/>
      </w:r>
      <w:r w:rsidR="00072AC8">
        <w:rPr>
          <w:rStyle w:val="xmchange"/>
          <w:rFonts w:eastAsia="Calibri,Arial"/>
          <w:bdr w:val="none" w:sz="0" w:space="0" w:color="auto" w:frame="1"/>
        </w:rPr>
        <w:t>4.2</w:t>
      </w:r>
      <w:r w:rsidR="00072AC8">
        <w:rPr>
          <w:rStyle w:val="xmchange"/>
          <w:rFonts w:eastAsia="Calibri,Arial"/>
          <w:bdr w:val="none" w:sz="0" w:space="0" w:color="auto" w:frame="1"/>
        </w:rPr>
        <w:fldChar w:fldCharType="end"/>
      </w:r>
      <w:r w:rsidR="00072AC8">
        <w:rPr>
          <w:rStyle w:val="xmchange"/>
          <w:rFonts w:eastAsia="Calibri,Arial"/>
          <w:bdr w:val="none" w:sz="0" w:space="0" w:color="auto" w:frame="1"/>
        </w:rPr>
        <w:t xml:space="preserve"> </w:t>
      </w:r>
      <w:r w:rsidR="00072AC8">
        <w:rPr>
          <w:rStyle w:val="xmchange"/>
          <w:rFonts w:eastAsia="Calibri,Arial"/>
          <w:bdr w:val="none" w:sz="0" w:space="0" w:color="auto" w:frame="1"/>
        </w:rPr>
        <w:fldChar w:fldCharType="begin"/>
      </w:r>
      <w:r w:rsidR="00072AC8">
        <w:rPr>
          <w:rStyle w:val="xmchange"/>
          <w:rFonts w:eastAsia="Calibri,Arial"/>
          <w:bdr w:val="none" w:sz="0" w:space="0" w:color="auto" w:frame="1"/>
        </w:rPr>
        <w:instrText xml:space="preserve"> REF _Ref126746108 \h </w:instrText>
      </w:r>
      <w:r w:rsidR="00072AC8">
        <w:rPr>
          <w:rStyle w:val="xmchange"/>
          <w:rFonts w:eastAsia="Calibri,Arial"/>
          <w:bdr w:val="none" w:sz="0" w:space="0" w:color="auto" w:frame="1"/>
        </w:rPr>
      </w:r>
      <w:r w:rsidR="00072AC8">
        <w:rPr>
          <w:rStyle w:val="xmchange"/>
          <w:rFonts w:eastAsia="Calibri,Arial"/>
          <w:bdr w:val="none" w:sz="0" w:space="0" w:color="auto" w:frame="1"/>
        </w:rPr>
        <w:fldChar w:fldCharType="separate"/>
      </w:r>
      <w:r w:rsidR="00072AC8" w:rsidRPr="00377337">
        <w:t>Dose and method of administration</w:t>
      </w:r>
      <w:r w:rsidR="00072AC8">
        <w:rPr>
          <w:rStyle w:val="xmchange"/>
          <w:rFonts w:eastAsia="Calibri,Arial"/>
          <w:bdr w:val="none" w:sz="0" w:space="0" w:color="auto" w:frame="1"/>
        </w:rPr>
        <w:fldChar w:fldCharType="end"/>
      </w:r>
      <w:r>
        <w:t>.</w:t>
      </w:r>
    </w:p>
    <w:p w14:paraId="139198D3" w14:textId="77777777" w:rsidR="00392063" w:rsidRDefault="00392063" w:rsidP="00521FEB">
      <w:pPr>
        <w:pStyle w:val="Heading4Unnumbered"/>
      </w:pPr>
      <w:r w:rsidRPr="00521FEB">
        <w:t>Immune-mediated type 1 diabetes mellitus</w:t>
      </w:r>
    </w:p>
    <w:p w14:paraId="53A094C4" w14:textId="1BE1276A" w:rsidR="00392063" w:rsidRDefault="00392063" w:rsidP="00392063">
      <w:r>
        <w:t xml:space="preserve">Immune-mediated type 1 diabetes mellitus, which can present with diabetic ketoacidosis, occurred in patients receiving </w:t>
      </w:r>
      <w:r w:rsidR="00521FEB">
        <w:t>IMJUDO</w:t>
      </w:r>
      <w:r>
        <w:t xml:space="preserve"> in combination with durvalumab (see </w:t>
      </w:r>
      <w:r w:rsidR="003D19FD">
        <w:t>S</w:t>
      </w:r>
      <w:r>
        <w:t xml:space="preserve">ection </w:t>
      </w:r>
      <w:r w:rsidR="00992705">
        <w:fldChar w:fldCharType="begin"/>
      </w:r>
      <w:r w:rsidR="00992705">
        <w:instrText xml:space="preserve"> REF _Ref126744983 \r \h </w:instrText>
      </w:r>
      <w:r w:rsidR="00992705">
        <w:fldChar w:fldCharType="separate"/>
      </w:r>
      <w:r w:rsidR="00992705">
        <w:t>4.8</w:t>
      </w:r>
      <w:r w:rsidR="00992705">
        <w:fldChar w:fldCharType="end"/>
      </w:r>
      <w:r w:rsidR="00992705">
        <w:t xml:space="preserve"> </w:t>
      </w:r>
      <w:r w:rsidR="00992705">
        <w:fldChar w:fldCharType="begin"/>
      </w:r>
      <w:r w:rsidR="00992705">
        <w:instrText xml:space="preserve"> REF _Ref126744983 \h </w:instrText>
      </w:r>
      <w:r w:rsidR="00992705">
        <w:fldChar w:fldCharType="separate"/>
      </w:r>
      <w:r w:rsidR="00992705" w:rsidRPr="00377337">
        <w:t>Adverse effects (Undesirable effects)</w:t>
      </w:r>
      <w:r w:rsidR="00992705">
        <w:fldChar w:fldCharType="end"/>
      </w:r>
      <w:r>
        <w:t xml:space="preserve">). Patients should be monitored for clinical signs and symptoms of type 1 diabetes mellitus and managed as recommended in </w:t>
      </w:r>
      <w:r w:rsidR="003D19FD">
        <w:t>S</w:t>
      </w:r>
      <w:r>
        <w:t xml:space="preserve">ection </w:t>
      </w:r>
      <w:r w:rsidR="00072AC8">
        <w:rPr>
          <w:rStyle w:val="xmchange"/>
          <w:rFonts w:eastAsia="Calibri,Arial"/>
          <w:bdr w:val="none" w:sz="0" w:space="0" w:color="auto" w:frame="1"/>
        </w:rPr>
        <w:fldChar w:fldCharType="begin"/>
      </w:r>
      <w:r w:rsidR="00072AC8">
        <w:rPr>
          <w:rStyle w:val="xmchange"/>
          <w:rFonts w:eastAsia="Calibri,Arial"/>
          <w:bdr w:val="none" w:sz="0" w:space="0" w:color="auto" w:frame="1"/>
        </w:rPr>
        <w:instrText xml:space="preserve"> REF _Ref126746108 \r \h </w:instrText>
      </w:r>
      <w:r w:rsidR="00072AC8">
        <w:rPr>
          <w:rStyle w:val="xmchange"/>
          <w:rFonts w:eastAsia="Calibri,Arial"/>
          <w:bdr w:val="none" w:sz="0" w:space="0" w:color="auto" w:frame="1"/>
        </w:rPr>
      </w:r>
      <w:r w:rsidR="00072AC8">
        <w:rPr>
          <w:rStyle w:val="xmchange"/>
          <w:rFonts w:eastAsia="Calibri,Arial"/>
          <w:bdr w:val="none" w:sz="0" w:space="0" w:color="auto" w:frame="1"/>
        </w:rPr>
        <w:fldChar w:fldCharType="separate"/>
      </w:r>
      <w:r w:rsidR="00072AC8">
        <w:rPr>
          <w:rStyle w:val="xmchange"/>
          <w:rFonts w:eastAsia="Calibri,Arial"/>
          <w:bdr w:val="none" w:sz="0" w:space="0" w:color="auto" w:frame="1"/>
        </w:rPr>
        <w:t>4.2</w:t>
      </w:r>
      <w:r w:rsidR="00072AC8">
        <w:rPr>
          <w:rStyle w:val="xmchange"/>
          <w:rFonts w:eastAsia="Calibri,Arial"/>
          <w:bdr w:val="none" w:sz="0" w:space="0" w:color="auto" w:frame="1"/>
        </w:rPr>
        <w:fldChar w:fldCharType="end"/>
      </w:r>
      <w:r w:rsidR="00072AC8">
        <w:rPr>
          <w:rStyle w:val="xmchange"/>
          <w:rFonts w:eastAsia="Calibri,Arial"/>
          <w:bdr w:val="none" w:sz="0" w:space="0" w:color="auto" w:frame="1"/>
        </w:rPr>
        <w:t xml:space="preserve"> </w:t>
      </w:r>
      <w:r w:rsidR="00072AC8">
        <w:rPr>
          <w:rStyle w:val="xmchange"/>
          <w:rFonts w:eastAsia="Calibri,Arial"/>
          <w:bdr w:val="none" w:sz="0" w:space="0" w:color="auto" w:frame="1"/>
        </w:rPr>
        <w:fldChar w:fldCharType="begin"/>
      </w:r>
      <w:r w:rsidR="00072AC8">
        <w:rPr>
          <w:rStyle w:val="xmchange"/>
          <w:rFonts w:eastAsia="Calibri,Arial"/>
          <w:bdr w:val="none" w:sz="0" w:space="0" w:color="auto" w:frame="1"/>
        </w:rPr>
        <w:instrText xml:space="preserve"> REF _Ref126746108 \h </w:instrText>
      </w:r>
      <w:r w:rsidR="00072AC8">
        <w:rPr>
          <w:rStyle w:val="xmchange"/>
          <w:rFonts w:eastAsia="Calibri,Arial"/>
          <w:bdr w:val="none" w:sz="0" w:space="0" w:color="auto" w:frame="1"/>
        </w:rPr>
      </w:r>
      <w:r w:rsidR="00072AC8">
        <w:rPr>
          <w:rStyle w:val="xmchange"/>
          <w:rFonts w:eastAsia="Calibri,Arial"/>
          <w:bdr w:val="none" w:sz="0" w:space="0" w:color="auto" w:frame="1"/>
        </w:rPr>
        <w:fldChar w:fldCharType="separate"/>
      </w:r>
      <w:r w:rsidR="00072AC8" w:rsidRPr="00377337">
        <w:t>Dose and method of administration</w:t>
      </w:r>
      <w:r w:rsidR="00072AC8">
        <w:rPr>
          <w:rStyle w:val="xmchange"/>
          <w:rFonts w:eastAsia="Calibri,Arial"/>
          <w:bdr w:val="none" w:sz="0" w:space="0" w:color="auto" w:frame="1"/>
        </w:rPr>
        <w:fldChar w:fldCharType="end"/>
      </w:r>
      <w:r>
        <w:t>.</w:t>
      </w:r>
    </w:p>
    <w:p w14:paraId="5278134C" w14:textId="77777777" w:rsidR="00392063" w:rsidRDefault="00392063" w:rsidP="00521FEB">
      <w:pPr>
        <w:pStyle w:val="Heading4Unnumbered"/>
      </w:pPr>
      <w:r w:rsidRPr="00521FEB">
        <w:t xml:space="preserve">Immune-mediated </w:t>
      </w:r>
      <w:proofErr w:type="spellStart"/>
      <w:r w:rsidRPr="00521FEB">
        <w:t>hypophysitis</w:t>
      </w:r>
      <w:proofErr w:type="spellEnd"/>
      <w:r w:rsidRPr="00521FEB">
        <w:t>/hypopituitarism</w:t>
      </w:r>
    </w:p>
    <w:p w14:paraId="63891A42" w14:textId="6D0ED77B" w:rsidR="00392063" w:rsidRDefault="00392063" w:rsidP="00392063">
      <w:r>
        <w:t xml:space="preserve">Immune-mediated </w:t>
      </w:r>
      <w:proofErr w:type="spellStart"/>
      <w:r>
        <w:t>hypophysitis</w:t>
      </w:r>
      <w:proofErr w:type="spellEnd"/>
      <w:r>
        <w:t xml:space="preserve"> or hypopituitarism occurred in patients receiving </w:t>
      </w:r>
      <w:r w:rsidR="00521FEB">
        <w:t>IMJUDO</w:t>
      </w:r>
      <w:r>
        <w:t xml:space="preserve"> in combination with durvalumab (see </w:t>
      </w:r>
      <w:r w:rsidR="009C2C62">
        <w:t>S</w:t>
      </w:r>
      <w:r>
        <w:t xml:space="preserve">ection </w:t>
      </w:r>
      <w:r w:rsidR="00992705">
        <w:fldChar w:fldCharType="begin"/>
      </w:r>
      <w:r w:rsidR="00992705">
        <w:instrText xml:space="preserve"> REF _Ref126744983 \r \h </w:instrText>
      </w:r>
      <w:r w:rsidR="00992705">
        <w:fldChar w:fldCharType="separate"/>
      </w:r>
      <w:r w:rsidR="00992705">
        <w:t>4.8</w:t>
      </w:r>
      <w:r w:rsidR="00992705">
        <w:fldChar w:fldCharType="end"/>
      </w:r>
      <w:r w:rsidR="00992705">
        <w:t xml:space="preserve"> </w:t>
      </w:r>
      <w:r w:rsidR="00992705">
        <w:fldChar w:fldCharType="begin"/>
      </w:r>
      <w:r w:rsidR="00992705">
        <w:instrText xml:space="preserve"> REF _Ref126744983 \h </w:instrText>
      </w:r>
      <w:r w:rsidR="00992705">
        <w:fldChar w:fldCharType="separate"/>
      </w:r>
      <w:r w:rsidR="00992705" w:rsidRPr="00377337">
        <w:t>Adverse effects (Undesirable effects)</w:t>
      </w:r>
      <w:r w:rsidR="00992705">
        <w:fldChar w:fldCharType="end"/>
      </w:r>
      <w:r>
        <w:t xml:space="preserve">). Patients should be monitored for clinical signs and symptoms of </w:t>
      </w:r>
      <w:proofErr w:type="spellStart"/>
      <w:r>
        <w:t>hypophysitis</w:t>
      </w:r>
      <w:proofErr w:type="spellEnd"/>
      <w:r>
        <w:t xml:space="preserve"> or hypopituitarism and managed as recommended in </w:t>
      </w:r>
      <w:r w:rsidR="009C2C62">
        <w:t>S</w:t>
      </w:r>
      <w:r>
        <w:t xml:space="preserve">ection </w:t>
      </w:r>
      <w:r w:rsidR="00072AC8">
        <w:rPr>
          <w:rStyle w:val="xmchange"/>
          <w:rFonts w:eastAsia="Calibri,Arial"/>
          <w:bdr w:val="none" w:sz="0" w:space="0" w:color="auto" w:frame="1"/>
        </w:rPr>
        <w:fldChar w:fldCharType="begin"/>
      </w:r>
      <w:r w:rsidR="00072AC8">
        <w:rPr>
          <w:rStyle w:val="xmchange"/>
          <w:rFonts w:eastAsia="Calibri,Arial"/>
          <w:bdr w:val="none" w:sz="0" w:space="0" w:color="auto" w:frame="1"/>
        </w:rPr>
        <w:instrText xml:space="preserve"> REF _Ref126746108 \r \h </w:instrText>
      </w:r>
      <w:r w:rsidR="00072AC8">
        <w:rPr>
          <w:rStyle w:val="xmchange"/>
          <w:rFonts w:eastAsia="Calibri,Arial"/>
          <w:bdr w:val="none" w:sz="0" w:space="0" w:color="auto" w:frame="1"/>
        </w:rPr>
      </w:r>
      <w:r w:rsidR="00072AC8">
        <w:rPr>
          <w:rStyle w:val="xmchange"/>
          <w:rFonts w:eastAsia="Calibri,Arial"/>
          <w:bdr w:val="none" w:sz="0" w:space="0" w:color="auto" w:frame="1"/>
        </w:rPr>
        <w:fldChar w:fldCharType="separate"/>
      </w:r>
      <w:r w:rsidR="00072AC8">
        <w:rPr>
          <w:rStyle w:val="xmchange"/>
          <w:rFonts w:eastAsia="Calibri,Arial"/>
          <w:bdr w:val="none" w:sz="0" w:space="0" w:color="auto" w:frame="1"/>
        </w:rPr>
        <w:t>4.2</w:t>
      </w:r>
      <w:r w:rsidR="00072AC8">
        <w:rPr>
          <w:rStyle w:val="xmchange"/>
          <w:rFonts w:eastAsia="Calibri,Arial"/>
          <w:bdr w:val="none" w:sz="0" w:space="0" w:color="auto" w:frame="1"/>
        </w:rPr>
        <w:fldChar w:fldCharType="end"/>
      </w:r>
      <w:r w:rsidR="00072AC8">
        <w:rPr>
          <w:rStyle w:val="xmchange"/>
          <w:rFonts w:eastAsia="Calibri,Arial"/>
          <w:bdr w:val="none" w:sz="0" w:space="0" w:color="auto" w:frame="1"/>
        </w:rPr>
        <w:t xml:space="preserve"> </w:t>
      </w:r>
      <w:r w:rsidR="00072AC8">
        <w:rPr>
          <w:rStyle w:val="xmchange"/>
          <w:rFonts w:eastAsia="Calibri,Arial"/>
          <w:bdr w:val="none" w:sz="0" w:space="0" w:color="auto" w:frame="1"/>
        </w:rPr>
        <w:fldChar w:fldCharType="begin"/>
      </w:r>
      <w:r w:rsidR="00072AC8">
        <w:rPr>
          <w:rStyle w:val="xmchange"/>
          <w:rFonts w:eastAsia="Calibri,Arial"/>
          <w:bdr w:val="none" w:sz="0" w:space="0" w:color="auto" w:frame="1"/>
        </w:rPr>
        <w:instrText xml:space="preserve"> REF _Ref126746108 \h </w:instrText>
      </w:r>
      <w:r w:rsidR="00072AC8">
        <w:rPr>
          <w:rStyle w:val="xmchange"/>
          <w:rFonts w:eastAsia="Calibri,Arial"/>
          <w:bdr w:val="none" w:sz="0" w:space="0" w:color="auto" w:frame="1"/>
        </w:rPr>
      </w:r>
      <w:r w:rsidR="00072AC8">
        <w:rPr>
          <w:rStyle w:val="xmchange"/>
          <w:rFonts w:eastAsia="Calibri,Arial"/>
          <w:bdr w:val="none" w:sz="0" w:space="0" w:color="auto" w:frame="1"/>
        </w:rPr>
        <w:fldChar w:fldCharType="separate"/>
      </w:r>
      <w:r w:rsidR="00072AC8" w:rsidRPr="00377337">
        <w:t>Dose and method of administration</w:t>
      </w:r>
      <w:r w:rsidR="00072AC8">
        <w:rPr>
          <w:rStyle w:val="xmchange"/>
          <w:rFonts w:eastAsia="Calibri,Arial"/>
          <w:bdr w:val="none" w:sz="0" w:space="0" w:color="auto" w:frame="1"/>
        </w:rPr>
        <w:fldChar w:fldCharType="end"/>
      </w:r>
      <w:r>
        <w:t>.</w:t>
      </w:r>
    </w:p>
    <w:p w14:paraId="1DC1330A" w14:textId="77777777" w:rsidR="00392063" w:rsidRPr="00521FEB" w:rsidRDefault="00392063" w:rsidP="00521FEB">
      <w:pPr>
        <w:pStyle w:val="Heading3Unnumbered"/>
        <w:rPr>
          <w:rFonts w:eastAsiaTheme="minorEastAsia"/>
          <w:lang w:val="en-US"/>
        </w:rPr>
      </w:pPr>
      <w:r w:rsidRPr="00521FEB">
        <w:rPr>
          <w:rFonts w:eastAsiaTheme="minorEastAsia"/>
          <w:lang w:val="en-US"/>
        </w:rPr>
        <w:t xml:space="preserve">Immune-mediated nephritis </w:t>
      </w:r>
    </w:p>
    <w:p w14:paraId="17CFD10A" w14:textId="4295E2EA" w:rsidR="00392063" w:rsidRDefault="00392063" w:rsidP="00392063">
      <w:pPr>
        <w:autoSpaceDE w:val="0"/>
        <w:autoSpaceDN w:val="0"/>
        <w:rPr>
          <w:rStyle w:val="xmchange"/>
          <w:rFonts w:eastAsia="Calibri,Arial"/>
          <w:bdr w:val="none" w:sz="0" w:space="0" w:color="auto" w:frame="1"/>
        </w:rPr>
      </w:pPr>
      <w:r>
        <w:t xml:space="preserve">Immune-mediated nephritis, defined as requiring use of systemic corticosteroids and with no clear alternate </w:t>
      </w:r>
      <w:r w:rsidR="007A5719">
        <w:t>a</w:t>
      </w:r>
      <w:r>
        <w:t xml:space="preserve">etiology, occurred in patients receiving </w:t>
      </w:r>
      <w:r w:rsidR="00521FEB">
        <w:t>IMJUDO</w:t>
      </w:r>
      <w:r>
        <w:t xml:space="preserve"> in combination with durvalumab (see </w:t>
      </w:r>
      <w:r w:rsidR="009C2C62">
        <w:t>S</w:t>
      </w:r>
      <w:r>
        <w:t xml:space="preserve">ection </w:t>
      </w:r>
      <w:r w:rsidR="00992705">
        <w:fldChar w:fldCharType="begin"/>
      </w:r>
      <w:r w:rsidR="00992705">
        <w:instrText xml:space="preserve"> REF _Ref126744983 \r \h </w:instrText>
      </w:r>
      <w:r w:rsidR="00992705">
        <w:fldChar w:fldCharType="separate"/>
      </w:r>
      <w:r w:rsidR="00992705">
        <w:t>4.8</w:t>
      </w:r>
      <w:r w:rsidR="00992705">
        <w:fldChar w:fldCharType="end"/>
      </w:r>
      <w:r w:rsidR="00992705">
        <w:t xml:space="preserve"> </w:t>
      </w:r>
      <w:r w:rsidR="00992705">
        <w:fldChar w:fldCharType="begin"/>
      </w:r>
      <w:r w:rsidR="00992705">
        <w:instrText xml:space="preserve"> REF _Ref126744983 \h </w:instrText>
      </w:r>
      <w:r w:rsidR="00992705">
        <w:fldChar w:fldCharType="separate"/>
      </w:r>
      <w:r w:rsidR="00992705" w:rsidRPr="00377337">
        <w:t>Adverse effects (Undesirable effects)</w:t>
      </w:r>
      <w:r w:rsidR="00992705">
        <w:fldChar w:fldCharType="end"/>
      </w:r>
      <w:r>
        <w:t xml:space="preserve">). Patients should be monitored for abnormal renal function tests prior to and periodically during treatment with </w:t>
      </w:r>
      <w:r w:rsidR="00521FEB">
        <w:t>IMJUDO</w:t>
      </w:r>
      <w:r>
        <w:t xml:space="preserve"> in combination with durvalumab and managed as recommended in</w:t>
      </w:r>
      <w:r>
        <w:rPr>
          <w:rStyle w:val="xmchange"/>
          <w:rFonts w:eastAsia="Calibri,Arial"/>
          <w:bdr w:val="none" w:sz="0" w:space="0" w:color="auto" w:frame="1"/>
        </w:rPr>
        <w:t xml:space="preserve"> </w:t>
      </w:r>
      <w:r w:rsidR="009C2C62">
        <w:rPr>
          <w:rStyle w:val="xmchange"/>
          <w:rFonts w:eastAsia="Calibri,Arial"/>
          <w:bdr w:val="none" w:sz="0" w:space="0" w:color="auto" w:frame="1"/>
        </w:rPr>
        <w:t>S</w:t>
      </w:r>
      <w:r>
        <w:rPr>
          <w:rStyle w:val="xmchange"/>
          <w:rFonts w:eastAsia="Calibri,Arial"/>
          <w:bdr w:val="none" w:sz="0" w:space="0" w:color="auto" w:frame="1"/>
        </w:rPr>
        <w:t xml:space="preserve">ection </w:t>
      </w:r>
      <w:r w:rsidR="00072AC8">
        <w:rPr>
          <w:rStyle w:val="xmchange"/>
          <w:rFonts w:eastAsia="Calibri,Arial"/>
          <w:bdr w:val="none" w:sz="0" w:space="0" w:color="auto" w:frame="1"/>
        </w:rPr>
        <w:fldChar w:fldCharType="begin"/>
      </w:r>
      <w:r w:rsidR="00072AC8">
        <w:rPr>
          <w:rStyle w:val="xmchange"/>
          <w:rFonts w:eastAsia="Calibri,Arial"/>
          <w:bdr w:val="none" w:sz="0" w:space="0" w:color="auto" w:frame="1"/>
        </w:rPr>
        <w:instrText xml:space="preserve"> REF _Ref126746108 \r \h </w:instrText>
      </w:r>
      <w:r w:rsidR="00072AC8">
        <w:rPr>
          <w:rStyle w:val="xmchange"/>
          <w:rFonts w:eastAsia="Calibri,Arial"/>
          <w:bdr w:val="none" w:sz="0" w:space="0" w:color="auto" w:frame="1"/>
        </w:rPr>
      </w:r>
      <w:r w:rsidR="00072AC8">
        <w:rPr>
          <w:rStyle w:val="xmchange"/>
          <w:rFonts w:eastAsia="Calibri,Arial"/>
          <w:bdr w:val="none" w:sz="0" w:space="0" w:color="auto" w:frame="1"/>
        </w:rPr>
        <w:fldChar w:fldCharType="separate"/>
      </w:r>
      <w:r w:rsidR="00072AC8">
        <w:rPr>
          <w:rStyle w:val="xmchange"/>
          <w:rFonts w:eastAsia="Calibri,Arial"/>
          <w:bdr w:val="none" w:sz="0" w:space="0" w:color="auto" w:frame="1"/>
        </w:rPr>
        <w:t>4.2</w:t>
      </w:r>
      <w:r w:rsidR="00072AC8">
        <w:rPr>
          <w:rStyle w:val="xmchange"/>
          <w:rFonts w:eastAsia="Calibri,Arial"/>
          <w:bdr w:val="none" w:sz="0" w:space="0" w:color="auto" w:frame="1"/>
        </w:rPr>
        <w:fldChar w:fldCharType="end"/>
      </w:r>
      <w:r w:rsidR="00072AC8">
        <w:rPr>
          <w:rStyle w:val="xmchange"/>
          <w:rFonts w:eastAsia="Calibri,Arial"/>
          <w:bdr w:val="none" w:sz="0" w:space="0" w:color="auto" w:frame="1"/>
        </w:rPr>
        <w:t xml:space="preserve"> </w:t>
      </w:r>
      <w:r w:rsidR="00072AC8">
        <w:rPr>
          <w:rStyle w:val="xmchange"/>
          <w:rFonts w:eastAsia="Calibri,Arial"/>
          <w:bdr w:val="none" w:sz="0" w:space="0" w:color="auto" w:frame="1"/>
        </w:rPr>
        <w:fldChar w:fldCharType="begin"/>
      </w:r>
      <w:r w:rsidR="00072AC8">
        <w:rPr>
          <w:rStyle w:val="xmchange"/>
          <w:rFonts w:eastAsia="Calibri,Arial"/>
          <w:bdr w:val="none" w:sz="0" w:space="0" w:color="auto" w:frame="1"/>
        </w:rPr>
        <w:instrText xml:space="preserve"> REF _Ref126746108 \h </w:instrText>
      </w:r>
      <w:r w:rsidR="00072AC8">
        <w:rPr>
          <w:rStyle w:val="xmchange"/>
          <w:rFonts w:eastAsia="Calibri,Arial"/>
          <w:bdr w:val="none" w:sz="0" w:space="0" w:color="auto" w:frame="1"/>
        </w:rPr>
      </w:r>
      <w:r w:rsidR="00072AC8">
        <w:rPr>
          <w:rStyle w:val="xmchange"/>
          <w:rFonts w:eastAsia="Calibri,Arial"/>
          <w:bdr w:val="none" w:sz="0" w:space="0" w:color="auto" w:frame="1"/>
        </w:rPr>
        <w:fldChar w:fldCharType="separate"/>
      </w:r>
      <w:r w:rsidR="00072AC8" w:rsidRPr="00377337">
        <w:t>Dose and method of administration</w:t>
      </w:r>
      <w:r w:rsidR="00072AC8">
        <w:rPr>
          <w:rStyle w:val="xmchange"/>
          <w:rFonts w:eastAsia="Calibri,Arial"/>
          <w:bdr w:val="none" w:sz="0" w:space="0" w:color="auto" w:frame="1"/>
        </w:rPr>
        <w:fldChar w:fldCharType="end"/>
      </w:r>
      <w:r>
        <w:rPr>
          <w:rStyle w:val="xmchange"/>
          <w:rFonts w:eastAsia="Calibri,Arial"/>
          <w:bdr w:val="none" w:sz="0" w:space="0" w:color="auto" w:frame="1"/>
        </w:rPr>
        <w:t>.</w:t>
      </w:r>
    </w:p>
    <w:p w14:paraId="1A932E46" w14:textId="77777777" w:rsidR="00392063" w:rsidRPr="00521FEB" w:rsidRDefault="00392063" w:rsidP="00521FEB">
      <w:pPr>
        <w:pStyle w:val="Heading3Unnumbered"/>
        <w:rPr>
          <w:rFonts w:eastAsiaTheme="minorEastAsia"/>
          <w:lang w:val="en-US"/>
        </w:rPr>
      </w:pPr>
      <w:r w:rsidRPr="00521FEB">
        <w:rPr>
          <w:rFonts w:eastAsiaTheme="minorEastAsia"/>
          <w:lang w:val="en-US"/>
        </w:rPr>
        <w:t>Immune-mediated rash</w:t>
      </w:r>
    </w:p>
    <w:p w14:paraId="1B62EB67" w14:textId="4F03C7F3" w:rsidR="00392063" w:rsidRDefault="00392063" w:rsidP="00392063">
      <w:pPr>
        <w:autoSpaceDE w:val="0"/>
        <w:autoSpaceDN w:val="0"/>
        <w:rPr>
          <w:rStyle w:val="xmchange"/>
          <w:rFonts w:eastAsia="Calibri,Arial"/>
          <w:bdr w:val="none" w:sz="0" w:space="0" w:color="auto" w:frame="1"/>
        </w:rPr>
      </w:pPr>
      <w:r>
        <w:t xml:space="preserve">Immune-mediated rash or dermatitis (including pemphigoid), defined as requiring use of systemic corticosteroids and with no clear alternate </w:t>
      </w:r>
      <w:r w:rsidR="007A5719">
        <w:t>a</w:t>
      </w:r>
      <w:r>
        <w:t xml:space="preserve">etiology, occurred in patients receiving </w:t>
      </w:r>
      <w:r w:rsidR="00521FEB">
        <w:t>IMJUDO</w:t>
      </w:r>
      <w:r>
        <w:t xml:space="preserve"> in combination with durvalumab (see </w:t>
      </w:r>
      <w:r w:rsidR="009C2C62">
        <w:t>S</w:t>
      </w:r>
      <w:r>
        <w:t xml:space="preserve">ection </w:t>
      </w:r>
      <w:r w:rsidR="00992705">
        <w:fldChar w:fldCharType="begin"/>
      </w:r>
      <w:r w:rsidR="00992705">
        <w:instrText xml:space="preserve"> REF _Ref126744983 \r \h </w:instrText>
      </w:r>
      <w:r w:rsidR="00992705">
        <w:fldChar w:fldCharType="separate"/>
      </w:r>
      <w:r w:rsidR="00992705">
        <w:t>4.8</w:t>
      </w:r>
      <w:r w:rsidR="00992705">
        <w:fldChar w:fldCharType="end"/>
      </w:r>
      <w:r w:rsidR="00992705">
        <w:t xml:space="preserve"> </w:t>
      </w:r>
      <w:r w:rsidR="00992705">
        <w:fldChar w:fldCharType="begin"/>
      </w:r>
      <w:r w:rsidR="00992705">
        <w:instrText xml:space="preserve"> REF _Ref126744983 \h </w:instrText>
      </w:r>
      <w:r w:rsidR="00992705">
        <w:fldChar w:fldCharType="separate"/>
      </w:r>
      <w:r w:rsidR="00992705" w:rsidRPr="00377337">
        <w:t>Adverse effects (Undesirable effects)</w:t>
      </w:r>
      <w:r w:rsidR="00992705">
        <w:fldChar w:fldCharType="end"/>
      </w:r>
      <w:r>
        <w:t>). Patients should be monitored for signs and symptoms of rash or dermatitis and managed as recommended in</w:t>
      </w:r>
      <w:r>
        <w:rPr>
          <w:i/>
        </w:rPr>
        <w:t xml:space="preserve"> </w:t>
      </w:r>
      <w:r w:rsidR="009C2C62">
        <w:rPr>
          <w:rStyle w:val="xmchange"/>
          <w:rFonts w:eastAsia="Calibri,Arial"/>
          <w:bdr w:val="none" w:sz="0" w:space="0" w:color="auto" w:frame="1"/>
        </w:rPr>
        <w:t>S</w:t>
      </w:r>
      <w:r>
        <w:rPr>
          <w:rStyle w:val="xmchange"/>
          <w:rFonts w:eastAsia="Calibri,Arial"/>
          <w:bdr w:val="none" w:sz="0" w:space="0" w:color="auto" w:frame="1"/>
        </w:rPr>
        <w:t xml:space="preserve">ection </w:t>
      </w:r>
      <w:r w:rsidR="00072AC8">
        <w:rPr>
          <w:rStyle w:val="xmchange"/>
          <w:rFonts w:eastAsia="Calibri,Arial"/>
          <w:bdr w:val="none" w:sz="0" w:space="0" w:color="auto" w:frame="1"/>
        </w:rPr>
        <w:fldChar w:fldCharType="begin"/>
      </w:r>
      <w:r w:rsidR="00072AC8">
        <w:rPr>
          <w:rStyle w:val="xmchange"/>
          <w:rFonts w:eastAsia="Calibri,Arial"/>
          <w:bdr w:val="none" w:sz="0" w:space="0" w:color="auto" w:frame="1"/>
        </w:rPr>
        <w:instrText xml:space="preserve"> REF _Ref126746108 \r \h </w:instrText>
      </w:r>
      <w:r w:rsidR="00072AC8">
        <w:rPr>
          <w:rStyle w:val="xmchange"/>
          <w:rFonts w:eastAsia="Calibri,Arial"/>
          <w:bdr w:val="none" w:sz="0" w:space="0" w:color="auto" w:frame="1"/>
        </w:rPr>
      </w:r>
      <w:r w:rsidR="00072AC8">
        <w:rPr>
          <w:rStyle w:val="xmchange"/>
          <w:rFonts w:eastAsia="Calibri,Arial"/>
          <w:bdr w:val="none" w:sz="0" w:space="0" w:color="auto" w:frame="1"/>
        </w:rPr>
        <w:fldChar w:fldCharType="separate"/>
      </w:r>
      <w:r w:rsidR="00072AC8">
        <w:rPr>
          <w:rStyle w:val="xmchange"/>
          <w:rFonts w:eastAsia="Calibri,Arial"/>
          <w:bdr w:val="none" w:sz="0" w:space="0" w:color="auto" w:frame="1"/>
        </w:rPr>
        <w:t>4.2</w:t>
      </w:r>
      <w:r w:rsidR="00072AC8">
        <w:rPr>
          <w:rStyle w:val="xmchange"/>
          <w:rFonts w:eastAsia="Calibri,Arial"/>
          <w:bdr w:val="none" w:sz="0" w:space="0" w:color="auto" w:frame="1"/>
        </w:rPr>
        <w:fldChar w:fldCharType="end"/>
      </w:r>
      <w:r w:rsidR="00072AC8">
        <w:rPr>
          <w:rStyle w:val="xmchange"/>
          <w:rFonts w:eastAsia="Calibri,Arial"/>
          <w:bdr w:val="none" w:sz="0" w:space="0" w:color="auto" w:frame="1"/>
        </w:rPr>
        <w:t xml:space="preserve"> </w:t>
      </w:r>
      <w:r w:rsidR="00072AC8">
        <w:rPr>
          <w:rStyle w:val="xmchange"/>
          <w:rFonts w:eastAsia="Calibri,Arial"/>
          <w:bdr w:val="none" w:sz="0" w:space="0" w:color="auto" w:frame="1"/>
        </w:rPr>
        <w:fldChar w:fldCharType="begin"/>
      </w:r>
      <w:r w:rsidR="00072AC8">
        <w:rPr>
          <w:rStyle w:val="xmchange"/>
          <w:rFonts w:eastAsia="Calibri,Arial"/>
          <w:bdr w:val="none" w:sz="0" w:space="0" w:color="auto" w:frame="1"/>
        </w:rPr>
        <w:instrText xml:space="preserve"> REF _Ref126746108 \h </w:instrText>
      </w:r>
      <w:r w:rsidR="00072AC8">
        <w:rPr>
          <w:rStyle w:val="xmchange"/>
          <w:rFonts w:eastAsia="Calibri,Arial"/>
          <w:bdr w:val="none" w:sz="0" w:space="0" w:color="auto" w:frame="1"/>
        </w:rPr>
      </w:r>
      <w:r w:rsidR="00072AC8">
        <w:rPr>
          <w:rStyle w:val="xmchange"/>
          <w:rFonts w:eastAsia="Calibri,Arial"/>
          <w:bdr w:val="none" w:sz="0" w:space="0" w:color="auto" w:frame="1"/>
        </w:rPr>
        <w:fldChar w:fldCharType="separate"/>
      </w:r>
      <w:r w:rsidR="00072AC8" w:rsidRPr="00377337">
        <w:t>Dose and method of administration</w:t>
      </w:r>
      <w:r w:rsidR="00072AC8">
        <w:rPr>
          <w:rStyle w:val="xmchange"/>
          <w:rFonts w:eastAsia="Calibri,Arial"/>
          <w:bdr w:val="none" w:sz="0" w:space="0" w:color="auto" w:frame="1"/>
        </w:rPr>
        <w:fldChar w:fldCharType="end"/>
      </w:r>
      <w:r>
        <w:rPr>
          <w:rStyle w:val="xmchange"/>
          <w:rFonts w:eastAsia="Calibri,Arial"/>
          <w:bdr w:val="none" w:sz="0" w:space="0" w:color="auto" w:frame="1"/>
        </w:rPr>
        <w:t>.</w:t>
      </w:r>
    </w:p>
    <w:p w14:paraId="33470557" w14:textId="77777777" w:rsidR="005217B2" w:rsidRPr="005217B2" w:rsidRDefault="005217B2" w:rsidP="005217B2">
      <w:pPr>
        <w:pStyle w:val="Heading3Unnumbered"/>
        <w:rPr>
          <w:rFonts w:eastAsiaTheme="minorEastAsia"/>
          <w:lang w:val="en-US"/>
        </w:rPr>
      </w:pPr>
      <w:r w:rsidRPr="005217B2">
        <w:rPr>
          <w:rFonts w:eastAsiaTheme="minorEastAsia"/>
          <w:lang w:val="en-US"/>
        </w:rPr>
        <w:t xml:space="preserve">Immune-mediated myocarditis </w:t>
      </w:r>
    </w:p>
    <w:p w14:paraId="11EA0567" w14:textId="2A6F9D61" w:rsidR="005217B2" w:rsidRPr="005217B2" w:rsidRDefault="005217B2" w:rsidP="005217B2">
      <w:pPr>
        <w:rPr>
          <w:rStyle w:val="xmchange"/>
        </w:rPr>
      </w:pPr>
      <w:r>
        <w:t xml:space="preserve">Immune-mediated myocarditis, which can be fatal, occurred in patients receiving </w:t>
      </w:r>
      <w:r w:rsidR="00A04C8F">
        <w:t xml:space="preserve">IMJUDO </w:t>
      </w:r>
      <w:r>
        <w:t xml:space="preserve">in combination with durvalumab (see </w:t>
      </w:r>
      <w:r w:rsidR="00992705">
        <w:t xml:space="preserve">Section </w:t>
      </w:r>
      <w:r w:rsidR="00992705">
        <w:fldChar w:fldCharType="begin"/>
      </w:r>
      <w:r w:rsidR="00992705">
        <w:instrText xml:space="preserve"> REF _Ref126744983 \r \h </w:instrText>
      </w:r>
      <w:r w:rsidR="00992705">
        <w:fldChar w:fldCharType="separate"/>
      </w:r>
      <w:r w:rsidR="00992705">
        <w:t>4.8</w:t>
      </w:r>
      <w:r w:rsidR="00992705">
        <w:fldChar w:fldCharType="end"/>
      </w:r>
      <w:r w:rsidR="00992705">
        <w:t xml:space="preserve"> </w:t>
      </w:r>
      <w:r w:rsidR="00992705">
        <w:fldChar w:fldCharType="begin"/>
      </w:r>
      <w:r w:rsidR="00992705">
        <w:instrText xml:space="preserve"> REF _Ref126744983 \h </w:instrText>
      </w:r>
      <w:r w:rsidR="00992705">
        <w:fldChar w:fldCharType="separate"/>
      </w:r>
      <w:r w:rsidR="00992705" w:rsidRPr="00377337">
        <w:t>Adverse effects (Undesirable effects)</w:t>
      </w:r>
      <w:r w:rsidR="00992705">
        <w:fldChar w:fldCharType="end"/>
      </w:r>
      <w:r>
        <w:t xml:space="preserve">). </w:t>
      </w:r>
      <w:r w:rsidRPr="005A6351">
        <w:t xml:space="preserve">Patients </w:t>
      </w:r>
      <w:r w:rsidRPr="005A6351">
        <w:lastRenderedPageBreak/>
        <w:t xml:space="preserve">should be monitored for signs and </w:t>
      </w:r>
      <w:r w:rsidRPr="00235453">
        <w:t>symptoms of immune-</w:t>
      </w:r>
      <w:r w:rsidRPr="00C261F6">
        <w:t>mediated</w:t>
      </w:r>
      <w:r w:rsidRPr="005A6351">
        <w:t xml:space="preserve"> myocarditis</w:t>
      </w:r>
      <w:r w:rsidRPr="00C261F6">
        <w:t xml:space="preserve"> </w:t>
      </w:r>
      <w:r>
        <w:t xml:space="preserve">and </w:t>
      </w:r>
      <w:r w:rsidRPr="00C261F6">
        <w:t xml:space="preserve">managed as recommended in </w:t>
      </w:r>
      <w:r>
        <w:t>s</w:t>
      </w:r>
      <w:r w:rsidRPr="00C261F6">
        <w:t xml:space="preserve">ection </w:t>
      </w:r>
      <w:r w:rsidR="00072AC8">
        <w:rPr>
          <w:rStyle w:val="xmchange"/>
          <w:rFonts w:eastAsia="Calibri,Arial"/>
          <w:bdr w:val="none" w:sz="0" w:space="0" w:color="auto" w:frame="1"/>
        </w:rPr>
        <w:fldChar w:fldCharType="begin"/>
      </w:r>
      <w:r w:rsidR="00072AC8">
        <w:rPr>
          <w:rStyle w:val="xmchange"/>
          <w:rFonts w:eastAsia="Calibri,Arial"/>
          <w:bdr w:val="none" w:sz="0" w:space="0" w:color="auto" w:frame="1"/>
        </w:rPr>
        <w:instrText xml:space="preserve"> REF _Ref126746108 \r \h </w:instrText>
      </w:r>
      <w:r w:rsidR="00072AC8">
        <w:rPr>
          <w:rStyle w:val="xmchange"/>
          <w:rFonts w:eastAsia="Calibri,Arial"/>
          <w:bdr w:val="none" w:sz="0" w:space="0" w:color="auto" w:frame="1"/>
        </w:rPr>
      </w:r>
      <w:r w:rsidR="00072AC8">
        <w:rPr>
          <w:rStyle w:val="xmchange"/>
          <w:rFonts w:eastAsia="Calibri,Arial"/>
          <w:bdr w:val="none" w:sz="0" w:space="0" w:color="auto" w:frame="1"/>
        </w:rPr>
        <w:fldChar w:fldCharType="separate"/>
      </w:r>
      <w:r w:rsidR="00072AC8">
        <w:rPr>
          <w:rStyle w:val="xmchange"/>
          <w:rFonts w:eastAsia="Calibri,Arial"/>
          <w:bdr w:val="none" w:sz="0" w:space="0" w:color="auto" w:frame="1"/>
        </w:rPr>
        <w:t>4.2</w:t>
      </w:r>
      <w:r w:rsidR="00072AC8">
        <w:rPr>
          <w:rStyle w:val="xmchange"/>
          <w:rFonts w:eastAsia="Calibri,Arial"/>
          <w:bdr w:val="none" w:sz="0" w:space="0" w:color="auto" w:frame="1"/>
        </w:rPr>
        <w:fldChar w:fldCharType="end"/>
      </w:r>
      <w:r w:rsidR="00072AC8">
        <w:rPr>
          <w:rStyle w:val="xmchange"/>
          <w:rFonts w:eastAsia="Calibri,Arial"/>
          <w:bdr w:val="none" w:sz="0" w:space="0" w:color="auto" w:frame="1"/>
        </w:rPr>
        <w:t xml:space="preserve"> </w:t>
      </w:r>
      <w:r w:rsidR="00072AC8">
        <w:rPr>
          <w:rStyle w:val="xmchange"/>
          <w:rFonts w:eastAsia="Calibri,Arial"/>
          <w:bdr w:val="none" w:sz="0" w:space="0" w:color="auto" w:frame="1"/>
        </w:rPr>
        <w:fldChar w:fldCharType="begin"/>
      </w:r>
      <w:r w:rsidR="00072AC8">
        <w:rPr>
          <w:rStyle w:val="xmchange"/>
          <w:rFonts w:eastAsia="Calibri,Arial"/>
          <w:bdr w:val="none" w:sz="0" w:space="0" w:color="auto" w:frame="1"/>
        </w:rPr>
        <w:instrText xml:space="preserve"> REF _Ref126746108 \h </w:instrText>
      </w:r>
      <w:r w:rsidR="00072AC8">
        <w:rPr>
          <w:rStyle w:val="xmchange"/>
          <w:rFonts w:eastAsia="Calibri,Arial"/>
          <w:bdr w:val="none" w:sz="0" w:space="0" w:color="auto" w:frame="1"/>
        </w:rPr>
      </w:r>
      <w:r w:rsidR="00072AC8">
        <w:rPr>
          <w:rStyle w:val="xmchange"/>
          <w:rFonts w:eastAsia="Calibri,Arial"/>
          <w:bdr w:val="none" w:sz="0" w:space="0" w:color="auto" w:frame="1"/>
        </w:rPr>
        <w:fldChar w:fldCharType="separate"/>
      </w:r>
      <w:r w:rsidR="00072AC8" w:rsidRPr="00377337">
        <w:t>Dose and method of administration</w:t>
      </w:r>
      <w:r w:rsidR="00072AC8">
        <w:rPr>
          <w:rStyle w:val="xmchange"/>
          <w:rFonts w:eastAsia="Calibri,Arial"/>
          <w:bdr w:val="none" w:sz="0" w:space="0" w:color="auto" w:frame="1"/>
        </w:rPr>
        <w:fldChar w:fldCharType="end"/>
      </w:r>
      <w:r w:rsidRPr="005A6351">
        <w:t>.</w:t>
      </w:r>
      <w:r w:rsidRPr="005217B2">
        <w:rPr>
          <w:rStyle w:val="xmchange"/>
        </w:rPr>
        <w:t xml:space="preserve"> </w:t>
      </w:r>
    </w:p>
    <w:p w14:paraId="3CED9C32" w14:textId="77777777" w:rsidR="00392063" w:rsidRPr="00521FEB" w:rsidRDefault="00392063" w:rsidP="00521FEB">
      <w:pPr>
        <w:pStyle w:val="Heading3Unnumbered"/>
        <w:rPr>
          <w:rFonts w:eastAsiaTheme="minorEastAsia"/>
          <w:lang w:val="en-US"/>
        </w:rPr>
      </w:pPr>
      <w:bookmarkStart w:id="10" w:name="_Hlk41504172"/>
      <w:r w:rsidRPr="00521FEB">
        <w:rPr>
          <w:rFonts w:eastAsiaTheme="minorEastAsia"/>
          <w:lang w:val="en-US"/>
        </w:rPr>
        <w:t>Other immune-mediated adverse reactions</w:t>
      </w:r>
    </w:p>
    <w:p w14:paraId="028DF279" w14:textId="31D4D586" w:rsidR="00392063" w:rsidRDefault="00392063" w:rsidP="00392063">
      <w:pPr>
        <w:rPr>
          <w:rFonts w:eastAsiaTheme="minorEastAsia"/>
        </w:rPr>
      </w:pPr>
      <w:r>
        <w:t xml:space="preserve">Given the mechanism of action of </w:t>
      </w:r>
      <w:r w:rsidR="00521FEB">
        <w:t>IMJUDO</w:t>
      </w:r>
      <w:r>
        <w:t xml:space="preserve"> and durvalumab, other potential immune-mediated adverse reactions may occur in patients receiving the combination of </w:t>
      </w:r>
      <w:r w:rsidR="00521FEB">
        <w:t>IMJUDO</w:t>
      </w:r>
      <w:r>
        <w:t xml:space="preserve"> with durvalumab. The following immune-mediated adverse reactions have been observed: myasthenia gravis, myositis, polymyositis,</w:t>
      </w:r>
      <w:r w:rsidR="00D07709">
        <w:t xml:space="preserve"> Guillain-Barr</w:t>
      </w:r>
      <w:r w:rsidR="00D07709" w:rsidRPr="00135B81">
        <w:t>é</w:t>
      </w:r>
      <w:r w:rsidR="00D07709">
        <w:t xml:space="preserve"> syndrome,</w:t>
      </w:r>
      <w:r>
        <w:t xml:space="preserve"> immune thrombocytopenia, pancreatitis, and encephalitis</w:t>
      </w:r>
      <w:r w:rsidR="005319E6">
        <w:t xml:space="preserve"> (see Section </w:t>
      </w:r>
      <w:r w:rsidR="00992705">
        <w:fldChar w:fldCharType="begin"/>
      </w:r>
      <w:r w:rsidR="00992705">
        <w:instrText xml:space="preserve"> REF _Ref126744983 \r \h </w:instrText>
      </w:r>
      <w:r w:rsidR="00992705">
        <w:fldChar w:fldCharType="separate"/>
      </w:r>
      <w:r w:rsidR="00992705">
        <w:t>4.8</w:t>
      </w:r>
      <w:r w:rsidR="00992705">
        <w:fldChar w:fldCharType="end"/>
      </w:r>
      <w:r w:rsidR="00992705">
        <w:t xml:space="preserve"> </w:t>
      </w:r>
      <w:r w:rsidR="00992705">
        <w:fldChar w:fldCharType="begin"/>
      </w:r>
      <w:r w:rsidR="00992705">
        <w:instrText xml:space="preserve"> REF _Ref126744983 \h </w:instrText>
      </w:r>
      <w:r w:rsidR="00992705">
        <w:fldChar w:fldCharType="separate"/>
      </w:r>
      <w:r w:rsidR="00992705" w:rsidRPr="00377337">
        <w:t>Adverse effects (Undesirable effects)</w:t>
      </w:r>
      <w:r w:rsidR="00992705">
        <w:fldChar w:fldCharType="end"/>
      </w:r>
      <w:r w:rsidR="00992705">
        <w:t>)</w:t>
      </w:r>
      <w:r>
        <w:t>.</w:t>
      </w:r>
      <w:r>
        <w:rPr>
          <w:sz w:val="22"/>
          <w:szCs w:val="22"/>
        </w:rPr>
        <w:t xml:space="preserve"> </w:t>
      </w:r>
      <w:r>
        <w:t xml:space="preserve">Patients should be monitored for signs and symptoms and managed as recommended in </w:t>
      </w:r>
      <w:r w:rsidR="009C2C62">
        <w:t>S</w:t>
      </w:r>
      <w:r>
        <w:t xml:space="preserve">ection </w:t>
      </w:r>
      <w:r w:rsidR="00072AC8">
        <w:rPr>
          <w:rStyle w:val="xmchange"/>
          <w:rFonts w:eastAsia="Calibri,Arial"/>
          <w:bdr w:val="none" w:sz="0" w:space="0" w:color="auto" w:frame="1"/>
        </w:rPr>
        <w:fldChar w:fldCharType="begin"/>
      </w:r>
      <w:r w:rsidR="00072AC8">
        <w:rPr>
          <w:rStyle w:val="xmchange"/>
          <w:rFonts w:eastAsia="Calibri,Arial"/>
          <w:bdr w:val="none" w:sz="0" w:space="0" w:color="auto" w:frame="1"/>
        </w:rPr>
        <w:instrText xml:space="preserve"> REF _Ref126746108 \r \h </w:instrText>
      </w:r>
      <w:r w:rsidR="00072AC8">
        <w:rPr>
          <w:rStyle w:val="xmchange"/>
          <w:rFonts w:eastAsia="Calibri,Arial"/>
          <w:bdr w:val="none" w:sz="0" w:space="0" w:color="auto" w:frame="1"/>
        </w:rPr>
      </w:r>
      <w:r w:rsidR="00072AC8">
        <w:rPr>
          <w:rStyle w:val="xmchange"/>
          <w:rFonts w:eastAsia="Calibri,Arial"/>
          <w:bdr w:val="none" w:sz="0" w:space="0" w:color="auto" w:frame="1"/>
        </w:rPr>
        <w:fldChar w:fldCharType="separate"/>
      </w:r>
      <w:r w:rsidR="00072AC8">
        <w:rPr>
          <w:rStyle w:val="xmchange"/>
          <w:rFonts w:eastAsia="Calibri,Arial"/>
          <w:bdr w:val="none" w:sz="0" w:space="0" w:color="auto" w:frame="1"/>
        </w:rPr>
        <w:t>4.2</w:t>
      </w:r>
      <w:r w:rsidR="00072AC8">
        <w:rPr>
          <w:rStyle w:val="xmchange"/>
          <w:rFonts w:eastAsia="Calibri,Arial"/>
          <w:bdr w:val="none" w:sz="0" w:space="0" w:color="auto" w:frame="1"/>
        </w:rPr>
        <w:fldChar w:fldCharType="end"/>
      </w:r>
      <w:r w:rsidR="00072AC8">
        <w:rPr>
          <w:rStyle w:val="xmchange"/>
          <w:rFonts w:eastAsia="Calibri,Arial"/>
          <w:bdr w:val="none" w:sz="0" w:space="0" w:color="auto" w:frame="1"/>
        </w:rPr>
        <w:t xml:space="preserve"> </w:t>
      </w:r>
      <w:r w:rsidR="00072AC8">
        <w:rPr>
          <w:rStyle w:val="xmchange"/>
          <w:rFonts w:eastAsia="Calibri,Arial"/>
          <w:bdr w:val="none" w:sz="0" w:space="0" w:color="auto" w:frame="1"/>
        </w:rPr>
        <w:fldChar w:fldCharType="begin"/>
      </w:r>
      <w:r w:rsidR="00072AC8">
        <w:rPr>
          <w:rStyle w:val="xmchange"/>
          <w:rFonts w:eastAsia="Calibri,Arial"/>
          <w:bdr w:val="none" w:sz="0" w:space="0" w:color="auto" w:frame="1"/>
        </w:rPr>
        <w:instrText xml:space="preserve"> REF _Ref126746108 \h </w:instrText>
      </w:r>
      <w:r w:rsidR="00072AC8">
        <w:rPr>
          <w:rStyle w:val="xmchange"/>
          <w:rFonts w:eastAsia="Calibri,Arial"/>
          <w:bdr w:val="none" w:sz="0" w:space="0" w:color="auto" w:frame="1"/>
        </w:rPr>
      </w:r>
      <w:r w:rsidR="00072AC8">
        <w:rPr>
          <w:rStyle w:val="xmchange"/>
          <w:rFonts w:eastAsia="Calibri,Arial"/>
          <w:bdr w:val="none" w:sz="0" w:space="0" w:color="auto" w:frame="1"/>
        </w:rPr>
        <w:fldChar w:fldCharType="separate"/>
      </w:r>
      <w:r w:rsidR="00072AC8" w:rsidRPr="00377337">
        <w:t>Dose and method of administration</w:t>
      </w:r>
      <w:r w:rsidR="00072AC8">
        <w:rPr>
          <w:rStyle w:val="xmchange"/>
          <w:rFonts w:eastAsia="Calibri,Arial"/>
          <w:bdr w:val="none" w:sz="0" w:space="0" w:color="auto" w:frame="1"/>
        </w:rPr>
        <w:fldChar w:fldCharType="end"/>
      </w:r>
      <w:r>
        <w:t>.</w:t>
      </w:r>
    </w:p>
    <w:bookmarkEnd w:id="10"/>
    <w:p w14:paraId="1A9BCA4D" w14:textId="77777777" w:rsidR="00392063" w:rsidRPr="00521FEB" w:rsidRDefault="00392063" w:rsidP="00521FEB">
      <w:pPr>
        <w:pStyle w:val="Heading3Unnumbered"/>
        <w:rPr>
          <w:rFonts w:eastAsiaTheme="minorEastAsia"/>
          <w:lang w:val="en-US"/>
        </w:rPr>
      </w:pPr>
      <w:r w:rsidRPr="00521FEB">
        <w:rPr>
          <w:rFonts w:eastAsiaTheme="minorEastAsia"/>
          <w:lang w:val="en-US"/>
        </w:rPr>
        <w:t>Infusion-related reactions</w:t>
      </w:r>
    </w:p>
    <w:p w14:paraId="65ACA43F" w14:textId="7554D9D5" w:rsidR="00392063" w:rsidRDefault="00392063" w:rsidP="00392063">
      <w:pPr>
        <w:rPr>
          <w:rFonts w:eastAsiaTheme="minorEastAsia"/>
        </w:rPr>
      </w:pPr>
      <w:r>
        <w:t xml:space="preserve">Patients should be monitored for signs and symptoms of infusion-related reactions and managed as recommended in </w:t>
      </w:r>
      <w:r w:rsidR="009C2C62">
        <w:t>S</w:t>
      </w:r>
      <w:r>
        <w:t xml:space="preserve">ection </w:t>
      </w:r>
      <w:r w:rsidR="00072AC8">
        <w:rPr>
          <w:rStyle w:val="xmchange"/>
          <w:rFonts w:eastAsia="Calibri,Arial"/>
          <w:bdr w:val="none" w:sz="0" w:space="0" w:color="auto" w:frame="1"/>
        </w:rPr>
        <w:fldChar w:fldCharType="begin"/>
      </w:r>
      <w:r w:rsidR="00072AC8">
        <w:rPr>
          <w:rStyle w:val="xmchange"/>
          <w:rFonts w:eastAsia="Calibri,Arial"/>
          <w:bdr w:val="none" w:sz="0" w:space="0" w:color="auto" w:frame="1"/>
        </w:rPr>
        <w:instrText xml:space="preserve"> REF _Ref126746108 \r \h </w:instrText>
      </w:r>
      <w:r w:rsidR="00072AC8">
        <w:rPr>
          <w:rStyle w:val="xmchange"/>
          <w:rFonts w:eastAsia="Calibri,Arial"/>
          <w:bdr w:val="none" w:sz="0" w:space="0" w:color="auto" w:frame="1"/>
        </w:rPr>
      </w:r>
      <w:r w:rsidR="00072AC8">
        <w:rPr>
          <w:rStyle w:val="xmchange"/>
          <w:rFonts w:eastAsia="Calibri,Arial"/>
          <w:bdr w:val="none" w:sz="0" w:space="0" w:color="auto" w:frame="1"/>
        </w:rPr>
        <w:fldChar w:fldCharType="separate"/>
      </w:r>
      <w:r w:rsidR="00072AC8">
        <w:rPr>
          <w:rStyle w:val="xmchange"/>
          <w:rFonts w:eastAsia="Calibri,Arial"/>
          <w:bdr w:val="none" w:sz="0" w:space="0" w:color="auto" w:frame="1"/>
        </w:rPr>
        <w:t>4.2</w:t>
      </w:r>
      <w:r w:rsidR="00072AC8">
        <w:rPr>
          <w:rStyle w:val="xmchange"/>
          <w:rFonts w:eastAsia="Calibri,Arial"/>
          <w:bdr w:val="none" w:sz="0" w:space="0" w:color="auto" w:frame="1"/>
        </w:rPr>
        <w:fldChar w:fldCharType="end"/>
      </w:r>
      <w:r w:rsidR="00072AC8">
        <w:rPr>
          <w:rStyle w:val="xmchange"/>
          <w:rFonts w:eastAsia="Calibri,Arial"/>
          <w:bdr w:val="none" w:sz="0" w:space="0" w:color="auto" w:frame="1"/>
        </w:rPr>
        <w:t xml:space="preserve"> </w:t>
      </w:r>
      <w:r w:rsidR="00072AC8">
        <w:rPr>
          <w:rStyle w:val="xmchange"/>
          <w:rFonts w:eastAsia="Calibri,Arial"/>
          <w:bdr w:val="none" w:sz="0" w:space="0" w:color="auto" w:frame="1"/>
        </w:rPr>
        <w:fldChar w:fldCharType="begin"/>
      </w:r>
      <w:r w:rsidR="00072AC8">
        <w:rPr>
          <w:rStyle w:val="xmchange"/>
          <w:rFonts w:eastAsia="Calibri,Arial"/>
          <w:bdr w:val="none" w:sz="0" w:space="0" w:color="auto" w:frame="1"/>
        </w:rPr>
        <w:instrText xml:space="preserve"> REF _Ref126746108 \h </w:instrText>
      </w:r>
      <w:r w:rsidR="00072AC8">
        <w:rPr>
          <w:rStyle w:val="xmchange"/>
          <w:rFonts w:eastAsia="Calibri,Arial"/>
          <w:bdr w:val="none" w:sz="0" w:space="0" w:color="auto" w:frame="1"/>
        </w:rPr>
      </w:r>
      <w:r w:rsidR="00072AC8">
        <w:rPr>
          <w:rStyle w:val="xmchange"/>
          <w:rFonts w:eastAsia="Calibri,Arial"/>
          <w:bdr w:val="none" w:sz="0" w:space="0" w:color="auto" w:frame="1"/>
        </w:rPr>
        <w:fldChar w:fldCharType="separate"/>
      </w:r>
      <w:r w:rsidR="00072AC8" w:rsidRPr="00377337">
        <w:t>Dose and method of administration</w:t>
      </w:r>
      <w:r w:rsidR="00072AC8">
        <w:rPr>
          <w:rStyle w:val="xmchange"/>
          <w:rFonts w:eastAsia="Calibri,Arial"/>
          <w:bdr w:val="none" w:sz="0" w:space="0" w:color="auto" w:frame="1"/>
        </w:rPr>
        <w:fldChar w:fldCharType="end"/>
      </w:r>
      <w:r>
        <w:t xml:space="preserve">. Severe infusion-related reactions have been reported in patients receiving </w:t>
      </w:r>
      <w:r w:rsidR="00521FEB">
        <w:t>IMJUDO</w:t>
      </w:r>
      <w:r>
        <w:t xml:space="preserve"> in combination with durvalumab (see </w:t>
      </w:r>
      <w:r w:rsidR="009C2C62">
        <w:t>S</w:t>
      </w:r>
      <w:r>
        <w:t xml:space="preserve">ection </w:t>
      </w:r>
      <w:r w:rsidR="00992705">
        <w:fldChar w:fldCharType="begin"/>
      </w:r>
      <w:r w:rsidR="00992705">
        <w:instrText xml:space="preserve"> REF _Ref126744983 \r \h </w:instrText>
      </w:r>
      <w:r w:rsidR="00992705">
        <w:fldChar w:fldCharType="separate"/>
      </w:r>
      <w:r w:rsidR="00992705">
        <w:t>4.8</w:t>
      </w:r>
      <w:r w:rsidR="00992705">
        <w:fldChar w:fldCharType="end"/>
      </w:r>
      <w:r w:rsidR="00992705">
        <w:t xml:space="preserve"> </w:t>
      </w:r>
      <w:r w:rsidR="00992705">
        <w:fldChar w:fldCharType="begin"/>
      </w:r>
      <w:r w:rsidR="00992705">
        <w:instrText xml:space="preserve"> REF _Ref126744983 \h </w:instrText>
      </w:r>
      <w:r w:rsidR="00992705">
        <w:fldChar w:fldCharType="separate"/>
      </w:r>
      <w:r w:rsidR="00992705" w:rsidRPr="00377337">
        <w:t>Adverse effects (Undesirable effects)</w:t>
      </w:r>
      <w:r w:rsidR="00992705">
        <w:fldChar w:fldCharType="end"/>
      </w:r>
      <w:r>
        <w:t>).</w:t>
      </w:r>
    </w:p>
    <w:p w14:paraId="10DEB316" w14:textId="77777777" w:rsidR="001A3992" w:rsidRDefault="001A3992" w:rsidP="00D347D7">
      <w:pPr>
        <w:pStyle w:val="Heading3Unnumbered"/>
      </w:pPr>
      <w:r w:rsidRPr="00377337">
        <w:t xml:space="preserve">Use in the </w:t>
      </w:r>
      <w:proofErr w:type="gramStart"/>
      <w:r w:rsidRPr="00377337">
        <w:t>elderly</w:t>
      </w:r>
      <w:proofErr w:type="gramEnd"/>
    </w:p>
    <w:p w14:paraId="4A89178D" w14:textId="24504FC8" w:rsidR="004F6D0B" w:rsidRPr="00FD448F" w:rsidRDefault="001002DD" w:rsidP="001002DD">
      <w:pPr>
        <w:rPr>
          <w:szCs w:val="20"/>
          <w:vertAlign w:val="superscript"/>
        </w:rPr>
      </w:pPr>
      <w:r>
        <w:t xml:space="preserve">No dose adjustment is required for elderly patients (≥ 65 years of age). Of the 462 patients with </w:t>
      </w:r>
      <w:proofErr w:type="spellStart"/>
      <w:r>
        <w:t>uHCC</w:t>
      </w:r>
      <w:proofErr w:type="spellEnd"/>
      <w:r>
        <w:t xml:space="preserve"> treated with STRIDE, 173 patients were 65 years or older. No overall clinically meaningful differences in safety or efficacy were reported between patients ≥ 65 years of age and younger patients.</w:t>
      </w:r>
      <w:r w:rsidR="007A1D9F" w:rsidRPr="007A1D9F">
        <w:rPr>
          <w:vertAlign w:val="superscript"/>
        </w:rPr>
        <w:t>,</w:t>
      </w:r>
    </w:p>
    <w:p w14:paraId="676F8829" w14:textId="77777777" w:rsidR="001A3992" w:rsidRDefault="001A3992" w:rsidP="00D347D7">
      <w:pPr>
        <w:pStyle w:val="Heading3Unnumbered"/>
      </w:pPr>
      <w:r w:rsidRPr="00377337">
        <w:t>Paediatric use</w:t>
      </w:r>
    </w:p>
    <w:p w14:paraId="3CC78A2D" w14:textId="16250B33" w:rsidR="002803FC" w:rsidRDefault="00FD448F" w:rsidP="00FD448F">
      <w:r>
        <w:t xml:space="preserve">The safety and effectiveness of IMJUDO have not been established in patients aged less than 18 years.  </w:t>
      </w:r>
    </w:p>
    <w:p w14:paraId="262B4FA9" w14:textId="5CA63216" w:rsidR="00552432" w:rsidRDefault="00552432" w:rsidP="003B6B32">
      <w:pPr>
        <w:pStyle w:val="Heading3Unnumbered"/>
      </w:pPr>
      <w:r>
        <w:t xml:space="preserve">Patients excluded from clinical </w:t>
      </w:r>
      <w:proofErr w:type="gramStart"/>
      <w:r>
        <w:t>studies</w:t>
      </w:r>
      <w:proofErr w:type="gramEnd"/>
    </w:p>
    <w:p w14:paraId="001FF426" w14:textId="7F614EC6" w:rsidR="00552432" w:rsidRDefault="003B15CC" w:rsidP="00FD448F">
      <w:r>
        <w:t xml:space="preserve">Patients with the following were excluded from clinical studies: Child-Pugh Score B or C, main portal vein thrombosis, liver transplant, uncontrolled hypertension, history of, or current brain metastases, spinal cord compression, co-infection of viral hepatitis B and hepatitis C, active or prior documented gastrointestinal (GI) bleeding within 12 months, ascites requiring non-pharmacologic intervention within 6 months, hepatic encephalopathy within 12 months before the start of treatment, active or prior documented autoimmune or inflammatory disorders. In the absence of data, </w:t>
      </w:r>
      <w:proofErr w:type="spellStart"/>
      <w:r>
        <w:t>tremelimumab</w:t>
      </w:r>
      <w:proofErr w:type="spellEnd"/>
      <w:r>
        <w:t xml:space="preserve"> should be used with caution in these populations after careful consideration of the potential benefit/risk on an individual basis.</w:t>
      </w:r>
    </w:p>
    <w:p w14:paraId="532A8ADB" w14:textId="098C81B4" w:rsidR="00552432" w:rsidRDefault="00552432" w:rsidP="008D37D0">
      <w:pPr>
        <w:pStyle w:val="Heading3Unnumbered"/>
      </w:pPr>
      <w:r>
        <w:t>Sodium content</w:t>
      </w:r>
    </w:p>
    <w:p w14:paraId="1AD5FCB8" w14:textId="1DC2A768" w:rsidR="008D37D0" w:rsidRPr="00FD448F" w:rsidRDefault="008D37D0" w:rsidP="00FD448F">
      <w:r>
        <w:t xml:space="preserve">This medicinal product contains less than 1 mmol sodium (23 mg) per dose, </w:t>
      </w:r>
      <w:proofErr w:type="gramStart"/>
      <w:r>
        <w:t>that is to say essentially</w:t>
      </w:r>
      <w:proofErr w:type="gramEnd"/>
      <w:r>
        <w:t xml:space="preserve"> ‘sodium-free’.</w:t>
      </w:r>
    </w:p>
    <w:p w14:paraId="579AA8C4" w14:textId="77777777" w:rsidR="001A3992" w:rsidRDefault="001A3992" w:rsidP="00D347D7">
      <w:pPr>
        <w:pStyle w:val="Heading3Unnumbered"/>
      </w:pPr>
      <w:r w:rsidRPr="00377337">
        <w:lastRenderedPageBreak/>
        <w:t>Effects on laboratory tests</w:t>
      </w:r>
    </w:p>
    <w:p w14:paraId="63494D2E" w14:textId="7353494A" w:rsidR="002803FC" w:rsidRPr="00BC3FD9" w:rsidRDefault="00BC3FD9" w:rsidP="00CF5E6B">
      <w:r w:rsidRPr="00BC3FD9">
        <w:t xml:space="preserve">Please refer to Section </w:t>
      </w:r>
      <w:r w:rsidR="00992705">
        <w:fldChar w:fldCharType="begin"/>
      </w:r>
      <w:r w:rsidR="00992705">
        <w:instrText xml:space="preserve"> REF _Ref126744983 \r \h </w:instrText>
      </w:r>
      <w:r w:rsidR="00992705">
        <w:fldChar w:fldCharType="separate"/>
      </w:r>
      <w:r w:rsidR="00992705">
        <w:t>4.8</w:t>
      </w:r>
      <w:r w:rsidR="00992705">
        <w:fldChar w:fldCharType="end"/>
      </w:r>
      <w:r w:rsidR="00992705">
        <w:t xml:space="preserve"> </w:t>
      </w:r>
      <w:r w:rsidR="00992705">
        <w:fldChar w:fldCharType="begin"/>
      </w:r>
      <w:r w:rsidR="00992705">
        <w:instrText xml:space="preserve"> REF _Ref126744983 \h </w:instrText>
      </w:r>
      <w:r w:rsidR="00992705">
        <w:fldChar w:fldCharType="separate"/>
      </w:r>
      <w:r w:rsidR="00992705" w:rsidRPr="00377337">
        <w:t>Adverse effects (Undesirable effects)</w:t>
      </w:r>
      <w:r w:rsidR="00992705">
        <w:fldChar w:fldCharType="end"/>
      </w:r>
      <w:r w:rsidR="000D1264">
        <w:t>.</w:t>
      </w:r>
    </w:p>
    <w:p w14:paraId="6621BFCC" w14:textId="77777777" w:rsidR="001A3992" w:rsidRDefault="001A3992" w:rsidP="00EE3AC8">
      <w:pPr>
        <w:pStyle w:val="Heading2"/>
      </w:pPr>
      <w:bookmarkStart w:id="11" w:name="_Ref505770425"/>
      <w:r w:rsidRPr="00377337">
        <w:t>Interactions with other medicines and other forms of interactions</w:t>
      </w:r>
      <w:bookmarkEnd w:id="11"/>
    </w:p>
    <w:p w14:paraId="627055D9" w14:textId="1B18990B" w:rsidR="00E45826" w:rsidRPr="00EC60F8" w:rsidRDefault="00E4602A" w:rsidP="00072AC8">
      <w:proofErr w:type="spellStart"/>
      <w:r>
        <w:t>Tremelimumab</w:t>
      </w:r>
      <w:proofErr w:type="spellEnd"/>
      <w:r>
        <w:t xml:space="preserve"> is an immunoglobulin and the primary elimination pathways of </w:t>
      </w:r>
      <w:proofErr w:type="spellStart"/>
      <w:r>
        <w:t>tremelimumab</w:t>
      </w:r>
      <w:proofErr w:type="spellEnd"/>
      <w:r>
        <w:t xml:space="preserve"> are protein catabolism via reticuloendothelial system or target-mediated disposition; therefore, no formal pharmacokinetic (PK) drug-drug interaction studies have been conducted with </w:t>
      </w:r>
      <w:proofErr w:type="spellStart"/>
      <w:r>
        <w:t>tremelimumab</w:t>
      </w:r>
      <w:proofErr w:type="spellEnd"/>
      <w:r>
        <w:t xml:space="preserve"> since no metabolic drug-drug interactions are expected. </w:t>
      </w:r>
      <w:r w:rsidR="000C2CA1">
        <w:rPr>
          <w:lang w:val="en-US"/>
        </w:rPr>
        <w:t xml:space="preserve">PK drug-drug interaction between </w:t>
      </w:r>
      <w:proofErr w:type="spellStart"/>
      <w:r w:rsidR="000C2CA1">
        <w:rPr>
          <w:lang w:val="en-US"/>
        </w:rPr>
        <w:t>tremelimumab</w:t>
      </w:r>
      <w:proofErr w:type="spellEnd"/>
      <w:r w:rsidR="000C2CA1">
        <w:rPr>
          <w:lang w:val="en-US"/>
        </w:rPr>
        <w:t xml:space="preserve"> in combination with durvalumab was assessed in the HIMALAYA study and no clinically meaningful PK drug-drug interaction was identified.</w:t>
      </w:r>
    </w:p>
    <w:p w14:paraId="0A9A5F98" w14:textId="77777777" w:rsidR="001A3992" w:rsidRDefault="001A3992" w:rsidP="00EE3AC8">
      <w:pPr>
        <w:pStyle w:val="Heading2"/>
      </w:pPr>
      <w:r w:rsidRPr="00377337">
        <w:t>Fer</w:t>
      </w:r>
      <w:r w:rsidR="00EC60F8">
        <w:t>tility, pregnancy and lactation</w:t>
      </w:r>
    </w:p>
    <w:p w14:paraId="6872BC57" w14:textId="77777777" w:rsidR="001A3992" w:rsidRDefault="001A3992" w:rsidP="0026491B">
      <w:pPr>
        <w:pStyle w:val="Heading3Unnumbered"/>
      </w:pPr>
      <w:r w:rsidRPr="00377337">
        <w:t>Effects on fertility</w:t>
      </w:r>
    </w:p>
    <w:p w14:paraId="279B9B9C" w14:textId="71BED3CD" w:rsidR="009225AA" w:rsidRDefault="009225AA" w:rsidP="00446EDD">
      <w:pPr>
        <w:pStyle w:val="Paragraph"/>
      </w:pPr>
      <w:r>
        <w:t xml:space="preserve">There are no data on the potential effects of </w:t>
      </w:r>
      <w:proofErr w:type="spellStart"/>
      <w:r>
        <w:t>tremelimumab</w:t>
      </w:r>
      <w:proofErr w:type="spellEnd"/>
      <w:r>
        <w:t xml:space="preserve"> on fertility in humans.</w:t>
      </w:r>
    </w:p>
    <w:p w14:paraId="5E68451D" w14:textId="320FBFD0" w:rsidR="00375C4E" w:rsidRPr="00F17C29" w:rsidRDefault="00375C4E" w:rsidP="00375C4E">
      <w:r w:rsidRPr="00375C4E">
        <w:t xml:space="preserve">Animal fertility studies have not been conducted with </w:t>
      </w:r>
      <w:proofErr w:type="spellStart"/>
      <w:r w:rsidRPr="00375C4E">
        <w:t>tremelimumab</w:t>
      </w:r>
      <w:proofErr w:type="spellEnd"/>
      <w:r w:rsidRPr="00375C4E">
        <w:t xml:space="preserve">. </w:t>
      </w:r>
      <w:r w:rsidR="004E412F">
        <w:t xml:space="preserve">Thus, the effect of </w:t>
      </w:r>
      <w:proofErr w:type="spellStart"/>
      <w:r w:rsidR="004E412F">
        <w:t>tremelimumab</w:t>
      </w:r>
      <w:proofErr w:type="spellEnd"/>
      <w:r w:rsidR="004E412F">
        <w:t xml:space="preserve"> on male and female fertility is unknown.</w:t>
      </w:r>
    </w:p>
    <w:p w14:paraId="4B06E150" w14:textId="514479A6" w:rsidR="001A3992" w:rsidRDefault="00446EDD" w:rsidP="0026491B">
      <w:pPr>
        <w:pStyle w:val="Heading3Unnumbered"/>
      </w:pPr>
      <w:r>
        <w:t xml:space="preserve">Use in pregnancy </w:t>
      </w:r>
      <w:r w:rsidR="00E45826">
        <w:t xml:space="preserve">– Category </w:t>
      </w:r>
      <w:r w:rsidR="005A7B7F">
        <w:t>D</w:t>
      </w:r>
    </w:p>
    <w:p w14:paraId="176CF039" w14:textId="74984F7E" w:rsidR="00372C3C" w:rsidRDefault="00372C3C" w:rsidP="00372C3C">
      <w:pPr>
        <w:rPr>
          <w:szCs w:val="20"/>
          <w:vertAlign w:val="superscript"/>
        </w:rPr>
      </w:pPr>
      <w:r>
        <w:t xml:space="preserve">There are no data on the use of </w:t>
      </w:r>
      <w:proofErr w:type="spellStart"/>
      <w:r>
        <w:t>tremelimumab</w:t>
      </w:r>
      <w:proofErr w:type="spellEnd"/>
      <w:r>
        <w:t xml:space="preserve"> in pregnant women. Based on its mechanism of action</w:t>
      </w:r>
      <w:r w:rsidR="005C613D">
        <w:t xml:space="preserve"> and findings from animal studies with drug</w:t>
      </w:r>
      <w:r w:rsidR="00700C8D">
        <w:t>s</w:t>
      </w:r>
      <w:r w:rsidR="005C613D">
        <w:t xml:space="preserve"> of </w:t>
      </w:r>
      <w:r w:rsidR="00193A51">
        <w:t>same</w:t>
      </w:r>
      <w:r w:rsidR="005C613D">
        <w:t xml:space="preserve"> pharmacological class</w:t>
      </w:r>
      <w:r>
        <w:t xml:space="preserve">, </w:t>
      </w:r>
      <w:proofErr w:type="spellStart"/>
      <w:r>
        <w:t>tremelimumab</w:t>
      </w:r>
      <w:proofErr w:type="spellEnd"/>
      <w:r>
        <w:t xml:space="preserve"> has the potential to impact pregnancy maintenance and may cause fetal harm when administered to a pregnant woman. </w:t>
      </w:r>
      <w:r w:rsidR="005C613D">
        <w:t>In animal studies, CTLA-4 blockade is associated with higher in</w:t>
      </w:r>
      <w:r w:rsidR="000A6059">
        <w:t xml:space="preserve">cidence of pregnancy loss. </w:t>
      </w:r>
      <w:r>
        <w:t xml:space="preserve">IgG2 is known to cross the placental barrier. </w:t>
      </w:r>
      <w:proofErr w:type="spellStart"/>
      <w:r>
        <w:t>Tremelimumab</w:t>
      </w:r>
      <w:proofErr w:type="spellEnd"/>
      <w:r>
        <w:t xml:space="preserve"> is not recommended during pregnancy and in women of childbearing potential not using effective contraception during treatment and for at least 3 months after the last dose.</w:t>
      </w:r>
    </w:p>
    <w:p w14:paraId="45C2176E" w14:textId="092B3140" w:rsidR="00E422B6" w:rsidRPr="00D02EFE" w:rsidRDefault="00D02EFE" w:rsidP="00D02EFE">
      <w:pPr>
        <w:rPr>
          <w:noProof/>
          <w:szCs w:val="20"/>
          <w:vertAlign w:val="superscript"/>
        </w:rPr>
      </w:pPr>
      <w:r w:rsidRPr="00375C4E">
        <w:t xml:space="preserve">In reproduction studies, </w:t>
      </w:r>
      <w:r w:rsidR="000A6059">
        <w:t xml:space="preserve">intravenous </w:t>
      </w:r>
      <w:r w:rsidRPr="00375C4E">
        <w:t xml:space="preserve">administration of </w:t>
      </w:r>
      <w:proofErr w:type="spellStart"/>
      <w:r w:rsidRPr="00375C4E">
        <w:t>tremelimumab</w:t>
      </w:r>
      <w:proofErr w:type="spellEnd"/>
      <w:r w:rsidRPr="00375C4E">
        <w:t xml:space="preserve"> </w:t>
      </w:r>
      <w:r w:rsidR="000A6059">
        <w:t xml:space="preserve">at doses up to 30 mg/kg/week </w:t>
      </w:r>
      <w:r w:rsidRPr="00375C4E">
        <w:t>to pregnant cynomolgus monkeys during the period of organogenesis was not associated with</w:t>
      </w:r>
      <w:r w:rsidR="000A6059">
        <w:t>-</w:t>
      </w:r>
      <w:r w:rsidRPr="00375C4E">
        <w:t>maternal toxicity or effects</w:t>
      </w:r>
      <w:r w:rsidR="000A6059">
        <w:t>,</w:t>
      </w:r>
      <w:r w:rsidRPr="00375C4E">
        <w:t xml:space="preserve"> pregnancy losses, fetal weights, or external, visceral, skeletal abnormalities or weights of selected fetal organ</w:t>
      </w:r>
      <w:r w:rsidRPr="00A14A72">
        <w:t>s</w:t>
      </w:r>
      <w:r w:rsidR="000A6059">
        <w:t xml:space="preserve"> at clinically relevant exposures</w:t>
      </w:r>
      <w:r w:rsidRPr="00A14A72">
        <w:t>.</w:t>
      </w:r>
    </w:p>
    <w:p w14:paraId="7D82C1D6" w14:textId="6FEB493D" w:rsidR="001A3992" w:rsidRDefault="00446EDD" w:rsidP="0026491B">
      <w:pPr>
        <w:pStyle w:val="Heading3Unnumbered"/>
      </w:pPr>
      <w:r>
        <w:t xml:space="preserve">Use in </w:t>
      </w:r>
      <w:proofErr w:type="gramStart"/>
      <w:r>
        <w:t>lactation</w:t>
      </w:r>
      <w:proofErr w:type="gramEnd"/>
    </w:p>
    <w:p w14:paraId="30659A4E" w14:textId="668255FB" w:rsidR="003B31BD" w:rsidRDefault="003B31BD" w:rsidP="003B31BD">
      <w:pPr>
        <w:pStyle w:val="Paragraph"/>
      </w:pPr>
      <w:r>
        <w:t xml:space="preserve">There is no information regarding the presence of </w:t>
      </w:r>
      <w:proofErr w:type="spellStart"/>
      <w:r>
        <w:t>tremelimumab</w:t>
      </w:r>
      <w:proofErr w:type="spellEnd"/>
      <w:r>
        <w:t xml:space="preserve"> in human milk, the absorption and effects on the breastfed infant, or the effects on milk production. </w:t>
      </w:r>
      <w:r>
        <w:rPr>
          <w:shd w:val="clear" w:color="auto" w:fill="FFFFFF"/>
        </w:rPr>
        <w:t xml:space="preserve">IgG2 is excreted in human milk. Because of the potential for adverse reactions </w:t>
      </w:r>
      <w:r>
        <w:t xml:space="preserve">from </w:t>
      </w:r>
      <w:proofErr w:type="spellStart"/>
      <w:r>
        <w:t>tremelimumab</w:t>
      </w:r>
      <w:proofErr w:type="spellEnd"/>
      <w:r>
        <w:rPr>
          <w:shd w:val="clear" w:color="auto" w:fill="FFFFFF"/>
        </w:rPr>
        <w:t xml:space="preserve"> in breastfed infants, lactating women are advised not to breastfeed during treatment and for at least 3 months after the last dose.</w:t>
      </w:r>
    </w:p>
    <w:p w14:paraId="4028559F" w14:textId="77777777" w:rsidR="001A3992" w:rsidRDefault="001A3992" w:rsidP="003B7CFF">
      <w:pPr>
        <w:pStyle w:val="Heading2"/>
      </w:pPr>
      <w:r w:rsidRPr="00377337">
        <w:t>Effects on ability to drive and use machines</w:t>
      </w:r>
    </w:p>
    <w:p w14:paraId="6281DBD0" w14:textId="27D660DC" w:rsidR="003816F6" w:rsidRDefault="003816F6" w:rsidP="003816F6">
      <w:r>
        <w:t xml:space="preserve">Based on its pharmacodynamic properties, </w:t>
      </w:r>
      <w:proofErr w:type="spellStart"/>
      <w:r>
        <w:t>tremelimumab</w:t>
      </w:r>
      <w:proofErr w:type="spellEnd"/>
      <w:r>
        <w:t xml:space="preserve"> is unlikely to affect the ability to drive and use machines.</w:t>
      </w:r>
      <w:r w:rsidR="00CD2B2A">
        <w:t xml:space="preserve"> </w:t>
      </w:r>
      <w:r>
        <w:t>However, if patients experience adverse reactions affecting their ability to concentrate and react, they should be advised to use caution when driving or operating machinery.</w:t>
      </w:r>
    </w:p>
    <w:p w14:paraId="097A1E1B" w14:textId="0E4DB8D5" w:rsidR="001A3992" w:rsidRDefault="001A3992" w:rsidP="00EE3AC8">
      <w:pPr>
        <w:pStyle w:val="Heading2"/>
      </w:pPr>
      <w:bookmarkStart w:id="12" w:name="_Ref126744983"/>
      <w:r w:rsidRPr="00377337">
        <w:lastRenderedPageBreak/>
        <w:t>Adverse effects (Undesirable effects)</w:t>
      </w:r>
      <w:bookmarkEnd w:id="12"/>
    </w:p>
    <w:p w14:paraId="7E8657C9" w14:textId="0F55F222" w:rsidR="008137CC" w:rsidRPr="000D6AC4" w:rsidRDefault="00487761" w:rsidP="008137CC">
      <w:pPr>
        <w:pStyle w:val="Heading3Unnumbered"/>
        <w:rPr>
          <w:lang w:val="en-US"/>
        </w:rPr>
      </w:pPr>
      <w:r>
        <w:rPr>
          <w:lang w:val="en-US"/>
        </w:rPr>
        <w:t>Clinical trials experience</w:t>
      </w:r>
    </w:p>
    <w:p w14:paraId="02E2BFD8" w14:textId="2DC1397B" w:rsidR="008137CC" w:rsidRDefault="008137CC" w:rsidP="008137CC">
      <w:pPr>
        <w:spacing w:after="0" w:line="240" w:lineRule="auto"/>
        <w:jc w:val="both"/>
      </w:pPr>
      <w:r w:rsidRPr="000D6AC4">
        <w:t>The safety of STRIDE is based on data in 462 patients from the HIMALAYA study and Study 22 (</w:t>
      </w:r>
      <w:proofErr w:type="spellStart"/>
      <w:r w:rsidRPr="000D6AC4">
        <w:t>uHCC</w:t>
      </w:r>
      <w:proofErr w:type="spellEnd"/>
      <w:r w:rsidRPr="000D6AC4">
        <w:t xml:space="preserve">, HCC pool). </w:t>
      </w:r>
    </w:p>
    <w:p w14:paraId="68C6E984" w14:textId="77777777" w:rsidR="002134C4" w:rsidRPr="000D6AC4" w:rsidRDefault="002134C4" w:rsidP="008137CC">
      <w:pPr>
        <w:spacing w:after="0" w:line="240" w:lineRule="auto"/>
        <w:jc w:val="both"/>
      </w:pPr>
    </w:p>
    <w:p w14:paraId="4FE684D4" w14:textId="6F36AE1B" w:rsidR="008137CC" w:rsidRPr="008137CC" w:rsidRDefault="00487761" w:rsidP="008137CC">
      <w:pPr>
        <w:pStyle w:val="Heading3Unnumbered"/>
        <w:rPr>
          <w:lang w:val="en-US"/>
        </w:rPr>
      </w:pPr>
      <w:r>
        <w:rPr>
          <w:lang w:val="en-US"/>
        </w:rPr>
        <w:t>HIMALAYA study</w:t>
      </w:r>
    </w:p>
    <w:p w14:paraId="59829E2C" w14:textId="5539D407" w:rsidR="008137CC" w:rsidRDefault="00487761" w:rsidP="008137CC">
      <w:pPr>
        <w:spacing w:after="0" w:line="240" w:lineRule="auto"/>
        <w:jc w:val="both"/>
      </w:pPr>
      <w:r>
        <w:t xml:space="preserve">The safety of IMJUDO administered in combination with durvalumab was evaluated in a total of 388 patients with </w:t>
      </w:r>
      <w:proofErr w:type="spellStart"/>
      <w:r>
        <w:t>uHCC</w:t>
      </w:r>
      <w:proofErr w:type="spellEnd"/>
      <w:r>
        <w:t xml:space="preserve"> in HIMALAYA, a randomised, open-label, multicentre study (see </w:t>
      </w:r>
      <w:r w:rsidR="00700C8D">
        <w:t>Section</w:t>
      </w:r>
      <w:r w:rsidR="00072AC8">
        <w:t xml:space="preserve"> </w:t>
      </w:r>
      <w:r>
        <w:fldChar w:fldCharType="begin"/>
      </w:r>
      <w:r>
        <w:instrText xml:space="preserve"> REF _Ref126592519 \r \h </w:instrText>
      </w:r>
      <w:r>
        <w:fldChar w:fldCharType="separate"/>
      </w:r>
      <w:r>
        <w:t>5.1</w:t>
      </w:r>
      <w:r>
        <w:fldChar w:fldCharType="end"/>
      </w:r>
      <w:r w:rsidR="00072AC8">
        <w:t xml:space="preserve"> </w:t>
      </w:r>
      <w:r w:rsidR="00685C75">
        <w:fldChar w:fldCharType="begin"/>
      </w:r>
      <w:r w:rsidR="00685C75">
        <w:instrText xml:space="preserve"> REF _Ref126592519 \h </w:instrText>
      </w:r>
      <w:r w:rsidR="00685C75">
        <w:fldChar w:fldCharType="separate"/>
      </w:r>
      <w:r w:rsidR="00685C75">
        <w:t>Pharmacodynamic properties</w:t>
      </w:r>
      <w:r w:rsidR="00685C75">
        <w:fldChar w:fldCharType="end"/>
      </w:r>
      <w:r w:rsidR="00685C75">
        <w:t xml:space="preserve"> - </w:t>
      </w:r>
      <w:r>
        <w:t>Clinical trials)</w:t>
      </w:r>
      <w:r w:rsidR="00685C75">
        <w:t>. Patients received IMJUDO 300 mg administered as a single intravenous infusion in combination with durvalumab 1,500 mg on the same day, followed by durvalumab every 4 weeks or sorafenib 400 mg given orally twice daily.</w:t>
      </w:r>
    </w:p>
    <w:p w14:paraId="6B33E696" w14:textId="46012416" w:rsidR="00F27615" w:rsidRDefault="00F27615" w:rsidP="008137CC">
      <w:pPr>
        <w:spacing w:after="0" w:line="240" w:lineRule="auto"/>
        <w:jc w:val="both"/>
      </w:pPr>
    </w:p>
    <w:p w14:paraId="34D228F9" w14:textId="036714AE" w:rsidR="001D0859" w:rsidRPr="001D0859" w:rsidRDefault="001D0859" w:rsidP="001D0859">
      <w:pPr>
        <w:rPr>
          <w:rFonts w:eastAsiaTheme="minorHAnsi"/>
          <w:lang w:val="en-AU"/>
        </w:rPr>
      </w:pPr>
      <w:r w:rsidRPr="001D0859">
        <w:rPr>
          <w:rFonts w:eastAsiaTheme="minorHAnsi"/>
          <w:lang w:val="en-AU"/>
        </w:rPr>
        <w:t xml:space="preserve">Serious adverse </w:t>
      </w:r>
      <w:r>
        <w:rPr>
          <w:rFonts w:eastAsiaTheme="minorHAnsi"/>
          <w:lang w:val="en-AU"/>
        </w:rPr>
        <w:t>event</w:t>
      </w:r>
      <w:r w:rsidRPr="001D0859">
        <w:rPr>
          <w:rFonts w:eastAsiaTheme="minorHAnsi"/>
          <w:lang w:val="en-AU"/>
        </w:rPr>
        <w:t>s occurred in 41% of patients who received IMJUDO in combination with</w:t>
      </w:r>
      <w:r>
        <w:rPr>
          <w:rFonts w:eastAsiaTheme="minorHAnsi"/>
          <w:lang w:val="en-AU"/>
        </w:rPr>
        <w:t xml:space="preserve"> </w:t>
      </w:r>
      <w:r w:rsidRPr="001D0859">
        <w:rPr>
          <w:rFonts w:eastAsiaTheme="minorHAnsi"/>
          <w:lang w:val="en-AU"/>
        </w:rPr>
        <w:t xml:space="preserve">durvalumab. Serious adverse </w:t>
      </w:r>
      <w:r>
        <w:rPr>
          <w:rFonts w:eastAsiaTheme="minorHAnsi"/>
          <w:lang w:val="en-AU"/>
        </w:rPr>
        <w:t>event</w:t>
      </w:r>
      <w:r w:rsidRPr="001D0859">
        <w:rPr>
          <w:rFonts w:eastAsiaTheme="minorHAnsi"/>
          <w:lang w:val="en-AU"/>
        </w:rPr>
        <w:t>s in &gt; 1% of patients included h</w:t>
      </w:r>
      <w:r>
        <w:rPr>
          <w:rFonts w:eastAsiaTheme="minorHAnsi"/>
          <w:lang w:val="en-AU"/>
        </w:rPr>
        <w:t>a</w:t>
      </w:r>
      <w:r w:rsidRPr="001D0859">
        <w:rPr>
          <w:rFonts w:eastAsiaTheme="minorHAnsi"/>
          <w:lang w:val="en-AU"/>
        </w:rPr>
        <w:t>emorrhage (6%), diarrh</w:t>
      </w:r>
      <w:r>
        <w:rPr>
          <w:rFonts w:eastAsiaTheme="minorHAnsi"/>
          <w:lang w:val="en-AU"/>
        </w:rPr>
        <w:t>o</w:t>
      </w:r>
      <w:r w:rsidRPr="001D0859">
        <w:rPr>
          <w:rFonts w:eastAsiaTheme="minorHAnsi"/>
          <w:lang w:val="en-AU"/>
        </w:rPr>
        <w:t>ea</w:t>
      </w:r>
      <w:r>
        <w:rPr>
          <w:rFonts w:eastAsiaTheme="minorHAnsi"/>
          <w:lang w:val="en-AU"/>
        </w:rPr>
        <w:t xml:space="preserve"> </w:t>
      </w:r>
      <w:r w:rsidRPr="001D0859">
        <w:rPr>
          <w:rFonts w:eastAsiaTheme="minorHAnsi"/>
          <w:lang w:val="en-AU"/>
        </w:rPr>
        <w:t>(4%),</w:t>
      </w:r>
      <w:r>
        <w:rPr>
          <w:rFonts w:eastAsiaTheme="minorHAnsi"/>
          <w:lang w:val="en-AU"/>
        </w:rPr>
        <w:t xml:space="preserve"> </w:t>
      </w:r>
      <w:r w:rsidRPr="001D0859">
        <w:rPr>
          <w:rFonts w:eastAsiaTheme="minorHAnsi"/>
          <w:lang w:val="en-AU"/>
        </w:rPr>
        <w:t>sepsis (2.1%), pneumonia (2.1%), rash (1.5%), vomiting (1.3%), acute kidney injury (1.3%), and anaemia</w:t>
      </w:r>
      <w:r>
        <w:rPr>
          <w:rFonts w:eastAsiaTheme="minorHAnsi"/>
          <w:lang w:val="en-AU"/>
        </w:rPr>
        <w:t xml:space="preserve"> </w:t>
      </w:r>
      <w:r w:rsidRPr="001D0859">
        <w:rPr>
          <w:rFonts w:eastAsiaTheme="minorHAnsi"/>
          <w:lang w:val="en-AU"/>
        </w:rPr>
        <w:t xml:space="preserve">(1.3%). Fatal adverse </w:t>
      </w:r>
      <w:r>
        <w:rPr>
          <w:rFonts w:eastAsiaTheme="minorHAnsi"/>
          <w:lang w:val="en-AU"/>
        </w:rPr>
        <w:t>event</w:t>
      </w:r>
      <w:r w:rsidRPr="001D0859">
        <w:rPr>
          <w:rFonts w:eastAsiaTheme="minorHAnsi"/>
          <w:lang w:val="en-AU"/>
        </w:rPr>
        <w:t>s occurred in 8% of patients who received IMJUDO in combination with</w:t>
      </w:r>
      <w:r>
        <w:rPr>
          <w:rFonts w:eastAsiaTheme="minorHAnsi"/>
          <w:lang w:val="en-AU"/>
        </w:rPr>
        <w:t xml:space="preserve"> </w:t>
      </w:r>
      <w:r w:rsidRPr="001D0859">
        <w:rPr>
          <w:rFonts w:eastAsiaTheme="minorHAnsi"/>
          <w:lang w:val="en-AU"/>
        </w:rPr>
        <w:t>durvalumab, including death (1%), h</w:t>
      </w:r>
      <w:r>
        <w:rPr>
          <w:rFonts w:eastAsiaTheme="minorHAnsi"/>
          <w:lang w:val="en-AU"/>
        </w:rPr>
        <w:t>a</w:t>
      </w:r>
      <w:r w:rsidRPr="001D0859">
        <w:rPr>
          <w:rFonts w:eastAsiaTheme="minorHAnsi"/>
          <w:lang w:val="en-AU"/>
        </w:rPr>
        <w:t>emorrhage intracranial (0.5%), cardiac arrest (0.5%), pneumonitis</w:t>
      </w:r>
      <w:r>
        <w:rPr>
          <w:rFonts w:eastAsiaTheme="minorHAnsi"/>
          <w:lang w:val="en-AU"/>
        </w:rPr>
        <w:t xml:space="preserve"> </w:t>
      </w:r>
      <w:r w:rsidRPr="001D0859">
        <w:rPr>
          <w:rFonts w:eastAsiaTheme="minorHAnsi"/>
          <w:lang w:val="en-AU"/>
        </w:rPr>
        <w:t>(0.5%), hepatic failure (0.5%), and immune-mediated hepatitis (0.5%). The most common adverse</w:t>
      </w:r>
      <w:r>
        <w:rPr>
          <w:rFonts w:eastAsiaTheme="minorHAnsi"/>
          <w:lang w:val="en-AU"/>
        </w:rPr>
        <w:t xml:space="preserve"> event</w:t>
      </w:r>
      <w:r w:rsidRPr="001D0859">
        <w:rPr>
          <w:rFonts w:eastAsiaTheme="minorHAnsi"/>
          <w:lang w:val="en-AU"/>
        </w:rPr>
        <w:t>s (occurring in ≥ 20% of patients) were rash, diarrh</w:t>
      </w:r>
      <w:r>
        <w:rPr>
          <w:rFonts w:eastAsiaTheme="minorHAnsi"/>
          <w:lang w:val="en-AU"/>
        </w:rPr>
        <w:t>o</w:t>
      </w:r>
      <w:r w:rsidRPr="001D0859">
        <w:rPr>
          <w:rFonts w:eastAsiaTheme="minorHAnsi"/>
          <w:lang w:val="en-AU"/>
        </w:rPr>
        <w:t>ea, fatigue, pruritus, musculoskeletal pain, and</w:t>
      </w:r>
      <w:r>
        <w:rPr>
          <w:rFonts w:eastAsiaTheme="minorHAnsi"/>
          <w:lang w:val="en-AU"/>
        </w:rPr>
        <w:t xml:space="preserve"> </w:t>
      </w:r>
      <w:r w:rsidRPr="001D0859">
        <w:rPr>
          <w:rFonts w:eastAsiaTheme="minorHAnsi"/>
          <w:lang w:val="en-AU"/>
        </w:rPr>
        <w:t>abdominal pain.</w:t>
      </w:r>
    </w:p>
    <w:p w14:paraId="27812CD9" w14:textId="148B6D45" w:rsidR="00716C93" w:rsidRPr="001D0859" w:rsidRDefault="001D0859" w:rsidP="00716C93">
      <w:pPr>
        <w:rPr>
          <w:rFonts w:eastAsiaTheme="minorHAnsi"/>
          <w:lang w:val="en-AU"/>
        </w:rPr>
      </w:pPr>
      <w:r w:rsidRPr="001D0859">
        <w:rPr>
          <w:rFonts w:eastAsiaTheme="minorHAnsi"/>
          <w:lang w:val="en-AU"/>
        </w:rPr>
        <w:t xml:space="preserve">Permanent discontinuation of the treatment regimen due to an adverse </w:t>
      </w:r>
      <w:r>
        <w:rPr>
          <w:rFonts w:eastAsiaTheme="minorHAnsi"/>
          <w:lang w:val="en-AU"/>
        </w:rPr>
        <w:t>event</w:t>
      </w:r>
      <w:r w:rsidRPr="001D0859">
        <w:rPr>
          <w:rFonts w:eastAsiaTheme="minorHAnsi"/>
          <w:lang w:val="en-AU"/>
        </w:rPr>
        <w:t xml:space="preserve"> occurred in 14% of</w:t>
      </w:r>
      <w:r>
        <w:rPr>
          <w:rFonts w:eastAsiaTheme="minorHAnsi"/>
          <w:lang w:val="en-AU"/>
        </w:rPr>
        <w:t xml:space="preserve"> </w:t>
      </w:r>
      <w:r w:rsidRPr="001D0859">
        <w:rPr>
          <w:rFonts w:eastAsiaTheme="minorHAnsi"/>
          <w:lang w:val="en-AU"/>
        </w:rPr>
        <w:t xml:space="preserve">patients; the most common adverse </w:t>
      </w:r>
      <w:r>
        <w:rPr>
          <w:rFonts w:eastAsiaTheme="minorHAnsi"/>
          <w:lang w:val="en-AU"/>
        </w:rPr>
        <w:t>event</w:t>
      </w:r>
      <w:r w:rsidRPr="001D0859">
        <w:rPr>
          <w:rFonts w:eastAsiaTheme="minorHAnsi"/>
          <w:lang w:val="en-AU"/>
        </w:rPr>
        <w:t>s leading to treatment discontinuation (≥ 1%) were</w:t>
      </w:r>
      <w:r w:rsidR="00716C93">
        <w:rPr>
          <w:rFonts w:eastAsiaTheme="minorHAnsi"/>
          <w:lang w:val="en-AU"/>
        </w:rPr>
        <w:t xml:space="preserve"> </w:t>
      </w:r>
      <w:r w:rsidRPr="001D0859">
        <w:rPr>
          <w:rFonts w:eastAsiaTheme="minorHAnsi"/>
          <w:lang w:val="en-AU"/>
        </w:rPr>
        <w:t>h</w:t>
      </w:r>
      <w:r w:rsidR="00716C93">
        <w:rPr>
          <w:rFonts w:eastAsiaTheme="minorHAnsi"/>
          <w:lang w:val="en-AU"/>
        </w:rPr>
        <w:t>a</w:t>
      </w:r>
      <w:r w:rsidRPr="001D0859">
        <w:rPr>
          <w:rFonts w:eastAsiaTheme="minorHAnsi"/>
          <w:lang w:val="en-AU"/>
        </w:rPr>
        <w:t>emorrhage (1.8%), diarrh</w:t>
      </w:r>
      <w:r w:rsidR="00716C93">
        <w:rPr>
          <w:rFonts w:eastAsiaTheme="minorHAnsi"/>
          <w:lang w:val="en-AU"/>
        </w:rPr>
        <w:t>o</w:t>
      </w:r>
      <w:r w:rsidRPr="001D0859">
        <w:rPr>
          <w:rFonts w:eastAsiaTheme="minorHAnsi"/>
          <w:lang w:val="en-AU"/>
        </w:rPr>
        <w:t>ea (1.5%), AST increased (1%), and hepatitis (1%).</w:t>
      </w:r>
    </w:p>
    <w:p w14:paraId="2AAA68B7" w14:textId="4E0A9967" w:rsidR="001D0859" w:rsidRPr="00716C93" w:rsidRDefault="001D0859" w:rsidP="00716C93">
      <w:pPr>
        <w:rPr>
          <w:rFonts w:eastAsiaTheme="minorHAnsi"/>
          <w:lang w:val="en-AU"/>
        </w:rPr>
      </w:pPr>
      <w:r w:rsidRPr="001D0859">
        <w:rPr>
          <w:rFonts w:eastAsiaTheme="minorHAnsi"/>
          <w:lang w:val="en-AU"/>
        </w:rPr>
        <w:t xml:space="preserve">Dosage interruptions or delay of the treatment regimen due to an adverse </w:t>
      </w:r>
      <w:r w:rsidR="00716C93">
        <w:rPr>
          <w:rFonts w:eastAsiaTheme="minorHAnsi"/>
          <w:lang w:val="en-AU"/>
        </w:rPr>
        <w:t>event</w:t>
      </w:r>
      <w:r w:rsidRPr="001D0859">
        <w:rPr>
          <w:rFonts w:eastAsiaTheme="minorHAnsi"/>
          <w:lang w:val="en-AU"/>
        </w:rPr>
        <w:t xml:space="preserve"> occurred in 35% of</w:t>
      </w:r>
      <w:r w:rsidR="00716C93">
        <w:rPr>
          <w:rFonts w:eastAsiaTheme="minorHAnsi"/>
          <w:lang w:val="en-AU"/>
        </w:rPr>
        <w:t xml:space="preserve"> </w:t>
      </w:r>
      <w:r w:rsidRPr="001D0859">
        <w:rPr>
          <w:rFonts w:eastAsiaTheme="minorHAnsi"/>
          <w:lang w:val="en-AU"/>
        </w:rPr>
        <w:t xml:space="preserve">patients. Adverse </w:t>
      </w:r>
      <w:r w:rsidR="00716C93">
        <w:rPr>
          <w:rFonts w:eastAsiaTheme="minorHAnsi"/>
          <w:lang w:val="en-AU"/>
        </w:rPr>
        <w:t>event</w:t>
      </w:r>
      <w:r w:rsidRPr="001D0859">
        <w:rPr>
          <w:rFonts w:eastAsiaTheme="minorHAnsi"/>
          <w:lang w:val="en-AU"/>
        </w:rPr>
        <w:t>s which required dosage interruption or delay in ≥ 1% of patients included ALT</w:t>
      </w:r>
      <w:r w:rsidR="00716C93">
        <w:rPr>
          <w:rFonts w:eastAsiaTheme="minorHAnsi"/>
          <w:lang w:val="en-AU"/>
        </w:rPr>
        <w:t xml:space="preserve"> </w:t>
      </w:r>
      <w:r w:rsidRPr="001D0859">
        <w:rPr>
          <w:rFonts w:eastAsiaTheme="minorHAnsi"/>
          <w:lang w:val="en-AU"/>
        </w:rPr>
        <w:t>increased (3.6%), diarrh</w:t>
      </w:r>
      <w:r w:rsidR="00716C93">
        <w:rPr>
          <w:rFonts w:eastAsiaTheme="minorHAnsi"/>
          <w:lang w:val="en-AU"/>
        </w:rPr>
        <w:t>o</w:t>
      </w:r>
      <w:r w:rsidRPr="001D0859">
        <w:rPr>
          <w:rFonts w:eastAsiaTheme="minorHAnsi"/>
          <w:lang w:val="en-AU"/>
        </w:rPr>
        <w:t>ea (3.6%), rash (3.6%), amylase increased (3.4%), AST increased (3.1%), lipase</w:t>
      </w:r>
      <w:r w:rsidR="00716C93">
        <w:rPr>
          <w:rFonts w:eastAsiaTheme="minorHAnsi"/>
          <w:lang w:val="en-AU"/>
        </w:rPr>
        <w:t xml:space="preserve"> </w:t>
      </w:r>
      <w:r w:rsidRPr="001D0859">
        <w:rPr>
          <w:rFonts w:eastAsiaTheme="minorHAnsi"/>
          <w:lang w:val="en-AU"/>
        </w:rPr>
        <w:t>increased (2.8%), pneumonia (1.5%), hepatitis (1.5%), pyrexia (1.5%), an</w:t>
      </w:r>
      <w:r w:rsidR="00716C93">
        <w:rPr>
          <w:rFonts w:eastAsiaTheme="minorHAnsi"/>
          <w:lang w:val="en-AU"/>
        </w:rPr>
        <w:t>a</w:t>
      </w:r>
      <w:r w:rsidRPr="001D0859">
        <w:rPr>
          <w:rFonts w:eastAsiaTheme="minorHAnsi"/>
          <w:lang w:val="en-AU"/>
        </w:rPr>
        <w:t>emia (1.3%), thrombocytopenia</w:t>
      </w:r>
      <w:r w:rsidR="00716C93">
        <w:rPr>
          <w:rFonts w:eastAsiaTheme="minorHAnsi"/>
          <w:lang w:val="en-AU"/>
        </w:rPr>
        <w:t xml:space="preserve"> </w:t>
      </w:r>
      <w:r w:rsidRPr="001D0859">
        <w:rPr>
          <w:rFonts w:eastAsiaTheme="minorHAnsi"/>
          <w:lang w:val="en-AU"/>
        </w:rPr>
        <w:t>(1%), hyperthyroidism (1%), pneumonitis (1%), and blood creatinine increased (1%).</w:t>
      </w:r>
    </w:p>
    <w:p w14:paraId="4D0B7C01" w14:textId="2338DE65" w:rsidR="00F27615" w:rsidRPr="000D6AC4" w:rsidRDefault="00F27615" w:rsidP="008137CC">
      <w:pPr>
        <w:spacing w:after="0" w:line="240" w:lineRule="auto"/>
        <w:jc w:val="both"/>
      </w:pPr>
      <w:r>
        <w:t xml:space="preserve">Table 3 summarises the adverse </w:t>
      </w:r>
      <w:r w:rsidR="00685C75">
        <w:t>event</w:t>
      </w:r>
      <w:r>
        <w:t xml:space="preserve">s that occurred in patients treated with </w:t>
      </w:r>
      <w:r w:rsidR="004B1319">
        <w:t>STRIDE</w:t>
      </w:r>
      <w:r>
        <w:t xml:space="preserve"> in the HIMALAYA study.</w:t>
      </w:r>
    </w:p>
    <w:p w14:paraId="56B87C53" w14:textId="77777777" w:rsidR="008137CC" w:rsidRPr="008137CC" w:rsidRDefault="008137CC" w:rsidP="00DF0DDB">
      <w:pPr>
        <w:pStyle w:val="TableTitle"/>
      </w:pPr>
    </w:p>
    <w:p w14:paraId="573B1D0D" w14:textId="1DB288BA" w:rsidR="006D31B1" w:rsidRDefault="00A67547" w:rsidP="00A67547">
      <w:pPr>
        <w:pStyle w:val="TableTitle"/>
        <w:rPr>
          <w:bCs/>
        </w:rPr>
      </w:pPr>
      <w:bookmarkStart w:id="13" w:name="_Ref97644951"/>
      <w:r>
        <w:t>Table </w:t>
      </w:r>
      <w:r>
        <w:fldChar w:fldCharType="begin"/>
      </w:r>
      <w:r>
        <w:instrText xml:space="preserve"> SEQ Table \* ARABIC </w:instrText>
      </w:r>
      <w:r>
        <w:fldChar w:fldCharType="separate"/>
      </w:r>
      <w:r>
        <w:rPr>
          <w:noProof/>
        </w:rPr>
        <w:t>3</w:t>
      </w:r>
      <w:r>
        <w:fldChar w:fldCharType="end"/>
      </w:r>
      <w:bookmarkEnd w:id="13"/>
      <w:r>
        <w:tab/>
      </w:r>
      <w:r>
        <w:rPr>
          <w:bCs/>
        </w:rPr>
        <w:t xml:space="preserve">Adverse </w:t>
      </w:r>
      <w:r w:rsidR="004B1319">
        <w:rPr>
          <w:bCs/>
        </w:rPr>
        <w:t>events</w:t>
      </w:r>
      <w:r w:rsidR="00F27615">
        <w:rPr>
          <w:bCs/>
        </w:rPr>
        <w:t xml:space="preserve"> </w:t>
      </w:r>
      <w:r w:rsidR="004B1319">
        <w:rPr>
          <w:bCs/>
        </w:rPr>
        <w:t>o</w:t>
      </w:r>
      <w:r w:rsidR="00F27615">
        <w:rPr>
          <w:bCs/>
        </w:rPr>
        <w:t xml:space="preserve">ccurring in ≥ 10% </w:t>
      </w:r>
      <w:r w:rsidR="004B1319">
        <w:rPr>
          <w:bCs/>
        </w:rPr>
        <w:t>of p</w:t>
      </w:r>
      <w:r w:rsidR="00F27615">
        <w:rPr>
          <w:bCs/>
        </w:rPr>
        <w:t xml:space="preserve">atients in the </w:t>
      </w:r>
      <w:r w:rsidR="004B1319">
        <w:rPr>
          <w:bCs/>
        </w:rPr>
        <w:t xml:space="preserve">STRIDE treatment arm (regardless of causality) in the </w:t>
      </w:r>
      <w:r w:rsidR="00F27615">
        <w:rPr>
          <w:bCs/>
        </w:rPr>
        <w:t xml:space="preserve">HIMALAYA </w:t>
      </w:r>
      <w:proofErr w:type="gramStart"/>
      <w:r w:rsidR="00F27615">
        <w:rPr>
          <w:bCs/>
        </w:rPr>
        <w:t>study</w:t>
      </w:r>
      <w:proofErr w:type="gramEnd"/>
    </w:p>
    <w:tbl>
      <w:tblPr>
        <w:tblStyle w:val="TableGrid"/>
        <w:tblW w:w="5005" w:type="pct"/>
        <w:tblInd w:w="-5" w:type="dxa"/>
        <w:tblLook w:val="04A0" w:firstRow="1" w:lastRow="0" w:firstColumn="1" w:lastColumn="0" w:noHBand="0" w:noVBand="1"/>
      </w:tblPr>
      <w:tblGrid>
        <w:gridCol w:w="3651"/>
        <w:gridCol w:w="1459"/>
        <w:gridCol w:w="1554"/>
        <w:gridCol w:w="1334"/>
        <w:gridCol w:w="1640"/>
      </w:tblGrid>
      <w:tr w:rsidR="006B1A28" w:rsidRPr="00855ED1" w14:paraId="45575BAE" w14:textId="77777777" w:rsidTr="007D612E">
        <w:trPr>
          <w:tblHeader/>
        </w:trPr>
        <w:tc>
          <w:tcPr>
            <w:tcW w:w="1894" w:type="pct"/>
            <w:vAlign w:val="center"/>
          </w:tcPr>
          <w:p w14:paraId="765B4F72" w14:textId="77777777" w:rsidR="006B1A28" w:rsidRPr="00855ED1" w:rsidRDefault="006B1A28" w:rsidP="00CA07F3">
            <w:pPr>
              <w:pStyle w:val="TableHead"/>
              <w:jc w:val="left"/>
              <w:rPr>
                <w:lang w:eastAsia="en-US"/>
              </w:rPr>
            </w:pPr>
          </w:p>
        </w:tc>
        <w:tc>
          <w:tcPr>
            <w:tcW w:w="1563" w:type="pct"/>
            <w:gridSpan w:val="2"/>
          </w:tcPr>
          <w:p w14:paraId="2803CC37" w14:textId="1F788811" w:rsidR="006B1A28" w:rsidRPr="00855ED1" w:rsidRDefault="004B1319" w:rsidP="00CA07F3">
            <w:pPr>
              <w:pStyle w:val="TableHead"/>
              <w:rPr>
                <w:lang w:eastAsia="en-US"/>
              </w:rPr>
            </w:pPr>
            <w:r>
              <w:rPr>
                <w:lang w:eastAsia="en-US"/>
              </w:rPr>
              <w:t>STRIDE</w:t>
            </w:r>
          </w:p>
          <w:p w14:paraId="34BE20F0" w14:textId="77777777" w:rsidR="006B1A28" w:rsidRPr="00855ED1" w:rsidRDefault="006B1A28" w:rsidP="00CA07F3">
            <w:pPr>
              <w:pStyle w:val="TableHead"/>
              <w:rPr>
                <w:lang w:eastAsia="en-US"/>
              </w:rPr>
            </w:pPr>
            <w:r w:rsidRPr="00855ED1">
              <w:rPr>
                <w:lang w:eastAsia="en-US"/>
              </w:rPr>
              <w:t>(N=388)</w:t>
            </w:r>
          </w:p>
        </w:tc>
        <w:tc>
          <w:tcPr>
            <w:tcW w:w="1543" w:type="pct"/>
            <w:gridSpan w:val="2"/>
          </w:tcPr>
          <w:p w14:paraId="7D02718C" w14:textId="77777777" w:rsidR="006B1A28" w:rsidRPr="00855ED1" w:rsidRDefault="006B1A28" w:rsidP="00CA07F3">
            <w:pPr>
              <w:pStyle w:val="TableHead"/>
              <w:rPr>
                <w:lang w:eastAsia="en-US"/>
              </w:rPr>
            </w:pPr>
            <w:r w:rsidRPr="00855ED1">
              <w:rPr>
                <w:lang w:eastAsia="en-US"/>
              </w:rPr>
              <w:t>Sorafenib</w:t>
            </w:r>
          </w:p>
          <w:p w14:paraId="61CB0A4F" w14:textId="77777777" w:rsidR="006B1A28" w:rsidRPr="00855ED1" w:rsidRDefault="006B1A28" w:rsidP="00CA07F3">
            <w:pPr>
              <w:pStyle w:val="TableHead"/>
              <w:rPr>
                <w:lang w:eastAsia="en-US"/>
              </w:rPr>
            </w:pPr>
            <w:r w:rsidRPr="00855ED1">
              <w:rPr>
                <w:lang w:eastAsia="en-US"/>
              </w:rPr>
              <w:t>(N=374)</w:t>
            </w:r>
          </w:p>
        </w:tc>
      </w:tr>
      <w:tr w:rsidR="006B1A28" w:rsidRPr="002644CA" w14:paraId="6602AA6F" w14:textId="77777777" w:rsidTr="007D612E">
        <w:trPr>
          <w:tblHeader/>
        </w:trPr>
        <w:tc>
          <w:tcPr>
            <w:tcW w:w="1894" w:type="pct"/>
            <w:vAlign w:val="center"/>
          </w:tcPr>
          <w:p w14:paraId="4364FA07" w14:textId="75F1C97E" w:rsidR="006B1A28" w:rsidRPr="002644CA" w:rsidRDefault="006B1A28" w:rsidP="00CA07F3">
            <w:pPr>
              <w:pStyle w:val="TableLeft"/>
              <w:rPr>
                <w:b/>
                <w:bCs w:val="0"/>
                <w:szCs w:val="20"/>
                <w:lang w:eastAsia="en-US"/>
              </w:rPr>
            </w:pPr>
            <w:r w:rsidRPr="002644CA">
              <w:rPr>
                <w:b/>
                <w:bCs w:val="0"/>
                <w:szCs w:val="20"/>
                <w:lang w:eastAsia="en-US"/>
              </w:rPr>
              <w:t xml:space="preserve">Adverse </w:t>
            </w:r>
            <w:r w:rsidR="004B1319">
              <w:rPr>
                <w:b/>
                <w:bCs w:val="0"/>
                <w:szCs w:val="20"/>
                <w:lang w:eastAsia="en-US"/>
              </w:rPr>
              <w:t>events</w:t>
            </w:r>
          </w:p>
        </w:tc>
        <w:tc>
          <w:tcPr>
            <w:tcW w:w="757" w:type="pct"/>
          </w:tcPr>
          <w:p w14:paraId="13D8B3E4" w14:textId="77777777" w:rsidR="006B1A28" w:rsidRPr="002644CA" w:rsidRDefault="006B1A28" w:rsidP="00CA07F3">
            <w:pPr>
              <w:pStyle w:val="TableLeft"/>
              <w:jc w:val="center"/>
              <w:rPr>
                <w:b/>
                <w:bCs w:val="0"/>
                <w:szCs w:val="20"/>
                <w:lang w:eastAsia="en-US"/>
              </w:rPr>
            </w:pPr>
            <w:r w:rsidRPr="002644CA">
              <w:rPr>
                <w:b/>
                <w:bCs w:val="0"/>
                <w:szCs w:val="20"/>
                <w:lang w:eastAsia="en-US"/>
              </w:rPr>
              <w:t>All Grades (%)</w:t>
            </w:r>
          </w:p>
        </w:tc>
        <w:tc>
          <w:tcPr>
            <w:tcW w:w="806" w:type="pct"/>
          </w:tcPr>
          <w:p w14:paraId="7B79E108" w14:textId="77777777" w:rsidR="006B1A28" w:rsidRPr="002644CA" w:rsidRDefault="006B1A28" w:rsidP="00CA07F3">
            <w:pPr>
              <w:pStyle w:val="TableLeft"/>
              <w:jc w:val="center"/>
              <w:rPr>
                <w:b/>
                <w:bCs w:val="0"/>
                <w:szCs w:val="20"/>
                <w:lang w:eastAsia="en-US"/>
              </w:rPr>
            </w:pPr>
            <w:r w:rsidRPr="002644CA">
              <w:rPr>
                <w:b/>
                <w:bCs w:val="0"/>
                <w:szCs w:val="20"/>
                <w:lang w:eastAsia="en-US"/>
              </w:rPr>
              <w:t>Grade 3-4 (%)</w:t>
            </w:r>
          </w:p>
        </w:tc>
        <w:tc>
          <w:tcPr>
            <w:tcW w:w="692" w:type="pct"/>
          </w:tcPr>
          <w:p w14:paraId="0DBADA62" w14:textId="77777777" w:rsidR="006B1A28" w:rsidRPr="002644CA" w:rsidRDefault="006B1A28" w:rsidP="00CA07F3">
            <w:pPr>
              <w:pStyle w:val="TableLeft"/>
              <w:jc w:val="center"/>
              <w:rPr>
                <w:b/>
                <w:bCs w:val="0"/>
                <w:szCs w:val="20"/>
                <w:lang w:eastAsia="en-US"/>
              </w:rPr>
            </w:pPr>
            <w:r w:rsidRPr="002644CA">
              <w:rPr>
                <w:b/>
                <w:bCs w:val="0"/>
                <w:szCs w:val="20"/>
                <w:lang w:eastAsia="en-US"/>
              </w:rPr>
              <w:t>All Grades (%)</w:t>
            </w:r>
          </w:p>
        </w:tc>
        <w:tc>
          <w:tcPr>
            <w:tcW w:w="851" w:type="pct"/>
          </w:tcPr>
          <w:p w14:paraId="5458996C" w14:textId="77777777" w:rsidR="006B1A28" w:rsidRPr="002644CA" w:rsidRDefault="006B1A28" w:rsidP="00CA07F3">
            <w:pPr>
              <w:pStyle w:val="TableLeft"/>
              <w:jc w:val="center"/>
              <w:rPr>
                <w:b/>
                <w:bCs w:val="0"/>
                <w:szCs w:val="20"/>
                <w:lang w:eastAsia="en-US"/>
              </w:rPr>
            </w:pPr>
            <w:r w:rsidRPr="002644CA">
              <w:rPr>
                <w:b/>
                <w:bCs w:val="0"/>
                <w:szCs w:val="20"/>
                <w:lang w:eastAsia="en-US"/>
              </w:rPr>
              <w:t>Grade 3-4 (%)</w:t>
            </w:r>
          </w:p>
        </w:tc>
      </w:tr>
      <w:tr w:rsidR="006B1A28" w:rsidRPr="002644CA" w14:paraId="2D91DB6E" w14:textId="77777777" w:rsidTr="006B1A28">
        <w:tc>
          <w:tcPr>
            <w:tcW w:w="3457" w:type="pct"/>
            <w:gridSpan w:val="3"/>
          </w:tcPr>
          <w:p w14:paraId="0F515B3D" w14:textId="77777777" w:rsidR="006B1A28" w:rsidRPr="002644CA" w:rsidRDefault="006B1A28" w:rsidP="00CA07F3">
            <w:pPr>
              <w:pStyle w:val="TableLeft"/>
              <w:rPr>
                <w:szCs w:val="20"/>
                <w:lang w:eastAsia="en-GB"/>
              </w:rPr>
            </w:pPr>
            <w:r w:rsidRPr="002644CA">
              <w:rPr>
                <w:b/>
                <w:bCs w:val="0"/>
                <w:szCs w:val="20"/>
                <w:lang w:eastAsia="en-US"/>
              </w:rPr>
              <w:t>Gastrointestinal disorders</w:t>
            </w:r>
            <w:r w:rsidRPr="002644CA">
              <w:rPr>
                <w:b/>
                <w:bCs w:val="0"/>
                <w:szCs w:val="20"/>
              </w:rPr>
              <w:t xml:space="preserve"> </w:t>
            </w:r>
          </w:p>
        </w:tc>
        <w:tc>
          <w:tcPr>
            <w:tcW w:w="1543" w:type="pct"/>
            <w:gridSpan w:val="2"/>
          </w:tcPr>
          <w:p w14:paraId="3F25F0C0" w14:textId="77777777" w:rsidR="006B1A28" w:rsidRPr="002644CA" w:rsidRDefault="006B1A28" w:rsidP="00CA07F3">
            <w:pPr>
              <w:spacing w:before="40" w:after="40"/>
              <w:rPr>
                <w:b/>
                <w:bCs/>
                <w:sz w:val="20"/>
                <w:szCs w:val="20"/>
                <w:lang w:eastAsia="en-GB"/>
              </w:rPr>
            </w:pPr>
          </w:p>
        </w:tc>
      </w:tr>
      <w:tr w:rsidR="006B1A28" w:rsidRPr="002644CA" w14:paraId="3BFC9665" w14:textId="77777777" w:rsidTr="00AD685F">
        <w:tc>
          <w:tcPr>
            <w:tcW w:w="1894" w:type="pct"/>
          </w:tcPr>
          <w:p w14:paraId="4F9BD118" w14:textId="6B46119A" w:rsidR="006B1A28" w:rsidRPr="002644CA" w:rsidRDefault="006B1A28" w:rsidP="00CA07F3">
            <w:pPr>
              <w:spacing w:before="40" w:after="40"/>
              <w:rPr>
                <w:sz w:val="20"/>
                <w:szCs w:val="20"/>
                <w:lang w:val="sv-SE" w:eastAsia="en-GB"/>
              </w:rPr>
            </w:pPr>
            <w:r w:rsidRPr="002644CA">
              <w:rPr>
                <w:sz w:val="20"/>
                <w:szCs w:val="20"/>
              </w:rPr>
              <w:t>Diarrh</w:t>
            </w:r>
            <w:r>
              <w:rPr>
                <w:sz w:val="20"/>
                <w:szCs w:val="20"/>
              </w:rPr>
              <w:t>o</w:t>
            </w:r>
            <w:r w:rsidRPr="002644CA">
              <w:rPr>
                <w:sz w:val="20"/>
                <w:szCs w:val="20"/>
              </w:rPr>
              <w:t>ea</w:t>
            </w:r>
            <w:r w:rsidR="00AD685F" w:rsidRPr="00AD685F">
              <w:rPr>
                <w:sz w:val="20"/>
                <w:szCs w:val="20"/>
                <w:vertAlign w:val="superscript"/>
              </w:rPr>
              <w:t>1</w:t>
            </w:r>
          </w:p>
        </w:tc>
        <w:tc>
          <w:tcPr>
            <w:tcW w:w="757" w:type="pct"/>
            <w:vAlign w:val="bottom"/>
          </w:tcPr>
          <w:p w14:paraId="27B16029" w14:textId="6A18955B" w:rsidR="006B1A28" w:rsidRPr="002644CA" w:rsidRDefault="006B1A28" w:rsidP="00CA07F3">
            <w:pPr>
              <w:spacing w:before="40" w:after="40"/>
              <w:jc w:val="center"/>
              <w:rPr>
                <w:sz w:val="20"/>
                <w:szCs w:val="20"/>
                <w:lang w:val="sv-SE" w:eastAsia="en-GB"/>
              </w:rPr>
            </w:pPr>
            <w:r>
              <w:rPr>
                <w:sz w:val="20"/>
                <w:szCs w:val="20"/>
              </w:rPr>
              <w:t>27</w:t>
            </w:r>
          </w:p>
        </w:tc>
        <w:tc>
          <w:tcPr>
            <w:tcW w:w="806" w:type="pct"/>
          </w:tcPr>
          <w:p w14:paraId="5AC2C196" w14:textId="0289BAF4" w:rsidR="006B1A28" w:rsidRPr="002644CA" w:rsidRDefault="006B1A28" w:rsidP="00CA07F3">
            <w:pPr>
              <w:spacing w:before="40" w:after="40"/>
              <w:jc w:val="center"/>
              <w:rPr>
                <w:sz w:val="20"/>
                <w:szCs w:val="20"/>
                <w:lang w:val="sv-SE" w:eastAsia="en-GB"/>
              </w:rPr>
            </w:pPr>
            <w:r>
              <w:rPr>
                <w:sz w:val="20"/>
                <w:szCs w:val="20"/>
              </w:rPr>
              <w:t>6</w:t>
            </w:r>
          </w:p>
        </w:tc>
        <w:tc>
          <w:tcPr>
            <w:tcW w:w="692" w:type="pct"/>
            <w:vAlign w:val="bottom"/>
          </w:tcPr>
          <w:p w14:paraId="7C897646" w14:textId="3E3A46F8" w:rsidR="006B1A28" w:rsidRPr="002644CA" w:rsidRDefault="006B1A28" w:rsidP="00CA07F3">
            <w:pPr>
              <w:spacing w:before="40" w:after="40"/>
              <w:jc w:val="center"/>
              <w:rPr>
                <w:sz w:val="20"/>
                <w:szCs w:val="20"/>
                <w:lang w:val="sv-SE" w:eastAsia="en-GB"/>
              </w:rPr>
            </w:pPr>
            <w:r>
              <w:rPr>
                <w:sz w:val="20"/>
                <w:szCs w:val="20"/>
              </w:rPr>
              <w:t>45</w:t>
            </w:r>
          </w:p>
        </w:tc>
        <w:tc>
          <w:tcPr>
            <w:tcW w:w="851" w:type="pct"/>
          </w:tcPr>
          <w:p w14:paraId="408B5304" w14:textId="77777777" w:rsidR="006B1A28" w:rsidRPr="002644CA" w:rsidRDefault="006B1A28" w:rsidP="00CA07F3">
            <w:pPr>
              <w:spacing w:before="40" w:after="40"/>
              <w:jc w:val="center"/>
              <w:rPr>
                <w:sz w:val="20"/>
                <w:szCs w:val="20"/>
                <w:lang w:val="sv-SE" w:eastAsia="en-GB"/>
              </w:rPr>
            </w:pPr>
            <w:r w:rsidRPr="002644CA">
              <w:rPr>
                <w:sz w:val="20"/>
                <w:szCs w:val="20"/>
              </w:rPr>
              <w:t>4.3</w:t>
            </w:r>
          </w:p>
        </w:tc>
      </w:tr>
      <w:tr w:rsidR="006B1A28" w:rsidRPr="002644CA" w14:paraId="319B018A" w14:textId="77777777" w:rsidTr="00AD685F">
        <w:tc>
          <w:tcPr>
            <w:tcW w:w="1894" w:type="pct"/>
          </w:tcPr>
          <w:p w14:paraId="642287A4" w14:textId="5DAB2A50" w:rsidR="006B1A28" w:rsidRPr="002644CA" w:rsidRDefault="006B1A28" w:rsidP="00CA07F3">
            <w:pPr>
              <w:spacing w:before="40" w:after="40"/>
              <w:rPr>
                <w:sz w:val="20"/>
                <w:szCs w:val="20"/>
                <w:lang w:val="sv-SE" w:eastAsia="en-GB"/>
              </w:rPr>
            </w:pPr>
            <w:r w:rsidRPr="002644CA">
              <w:rPr>
                <w:sz w:val="20"/>
                <w:szCs w:val="20"/>
              </w:rPr>
              <w:lastRenderedPageBreak/>
              <w:t>Abdominal pain</w:t>
            </w:r>
            <w:r w:rsidR="00AD685F" w:rsidRPr="00AD685F">
              <w:rPr>
                <w:sz w:val="20"/>
                <w:szCs w:val="20"/>
                <w:vertAlign w:val="superscript"/>
              </w:rPr>
              <w:t>1</w:t>
            </w:r>
          </w:p>
        </w:tc>
        <w:tc>
          <w:tcPr>
            <w:tcW w:w="757" w:type="pct"/>
            <w:vAlign w:val="bottom"/>
          </w:tcPr>
          <w:p w14:paraId="1BBA8E73" w14:textId="0BAB2FE3" w:rsidR="006B1A28" w:rsidRPr="002644CA" w:rsidRDefault="006B1A28" w:rsidP="00CA07F3">
            <w:pPr>
              <w:spacing w:before="40" w:after="40"/>
              <w:jc w:val="center"/>
              <w:rPr>
                <w:sz w:val="20"/>
                <w:szCs w:val="20"/>
                <w:lang w:val="sv-SE" w:eastAsia="en-GB"/>
              </w:rPr>
            </w:pPr>
            <w:r>
              <w:rPr>
                <w:sz w:val="20"/>
                <w:szCs w:val="20"/>
              </w:rPr>
              <w:t>20</w:t>
            </w:r>
          </w:p>
        </w:tc>
        <w:tc>
          <w:tcPr>
            <w:tcW w:w="806" w:type="pct"/>
          </w:tcPr>
          <w:p w14:paraId="5EF78C85" w14:textId="07B042BE" w:rsidR="006B1A28" w:rsidRPr="002644CA" w:rsidRDefault="006B1A28" w:rsidP="00CA07F3">
            <w:pPr>
              <w:spacing w:before="40" w:after="40"/>
              <w:jc w:val="center"/>
              <w:rPr>
                <w:sz w:val="20"/>
                <w:szCs w:val="20"/>
                <w:lang w:val="sv-SE" w:eastAsia="en-GB"/>
              </w:rPr>
            </w:pPr>
            <w:r w:rsidRPr="002644CA">
              <w:rPr>
                <w:sz w:val="20"/>
                <w:szCs w:val="20"/>
              </w:rPr>
              <w:t>1.</w:t>
            </w:r>
            <w:r>
              <w:rPr>
                <w:sz w:val="20"/>
                <w:szCs w:val="20"/>
              </w:rPr>
              <w:t>8</w:t>
            </w:r>
          </w:p>
        </w:tc>
        <w:tc>
          <w:tcPr>
            <w:tcW w:w="692" w:type="pct"/>
            <w:vAlign w:val="bottom"/>
          </w:tcPr>
          <w:p w14:paraId="59D6B3BD" w14:textId="08772DC8" w:rsidR="006B1A28" w:rsidRPr="002644CA" w:rsidRDefault="006B1A28" w:rsidP="00CA07F3">
            <w:pPr>
              <w:spacing w:before="40" w:after="40"/>
              <w:jc w:val="center"/>
              <w:rPr>
                <w:sz w:val="20"/>
                <w:szCs w:val="20"/>
                <w:lang w:val="sv-SE" w:eastAsia="en-GB"/>
              </w:rPr>
            </w:pPr>
            <w:r>
              <w:rPr>
                <w:sz w:val="20"/>
                <w:szCs w:val="20"/>
              </w:rPr>
              <w:t>24</w:t>
            </w:r>
          </w:p>
        </w:tc>
        <w:tc>
          <w:tcPr>
            <w:tcW w:w="851" w:type="pct"/>
          </w:tcPr>
          <w:p w14:paraId="1CBA494E" w14:textId="06AE9AF4" w:rsidR="006B1A28" w:rsidRPr="002644CA" w:rsidRDefault="006B1A28" w:rsidP="00CA07F3">
            <w:pPr>
              <w:spacing w:before="40" w:after="40"/>
              <w:jc w:val="center"/>
              <w:rPr>
                <w:sz w:val="20"/>
                <w:szCs w:val="20"/>
                <w:lang w:val="sv-SE" w:eastAsia="en-GB"/>
              </w:rPr>
            </w:pPr>
            <w:r>
              <w:rPr>
                <w:sz w:val="20"/>
                <w:szCs w:val="20"/>
              </w:rPr>
              <w:t>4</w:t>
            </w:r>
          </w:p>
        </w:tc>
      </w:tr>
      <w:tr w:rsidR="006B1A28" w:rsidRPr="002644CA" w14:paraId="3DEC7788" w14:textId="77777777" w:rsidTr="00AD685F">
        <w:tc>
          <w:tcPr>
            <w:tcW w:w="1894" w:type="pct"/>
          </w:tcPr>
          <w:p w14:paraId="2296DA8F" w14:textId="77777777" w:rsidR="006B1A28" w:rsidRPr="002644CA" w:rsidRDefault="006B1A28" w:rsidP="00CA07F3">
            <w:pPr>
              <w:spacing w:before="40" w:after="40"/>
              <w:rPr>
                <w:sz w:val="20"/>
                <w:szCs w:val="20"/>
                <w:lang w:val="sv-SE" w:eastAsia="en-GB"/>
              </w:rPr>
            </w:pPr>
            <w:r w:rsidRPr="002644CA">
              <w:rPr>
                <w:sz w:val="20"/>
                <w:szCs w:val="20"/>
              </w:rPr>
              <w:t>Nausea</w:t>
            </w:r>
          </w:p>
        </w:tc>
        <w:tc>
          <w:tcPr>
            <w:tcW w:w="757" w:type="pct"/>
            <w:vAlign w:val="bottom"/>
          </w:tcPr>
          <w:p w14:paraId="104B681C" w14:textId="5AD7978D" w:rsidR="006B1A28" w:rsidRPr="002644CA" w:rsidRDefault="006B1A28" w:rsidP="00CA07F3">
            <w:pPr>
              <w:spacing w:before="40" w:after="40"/>
              <w:jc w:val="center"/>
              <w:rPr>
                <w:sz w:val="20"/>
                <w:szCs w:val="20"/>
                <w:lang w:val="sv-SE" w:eastAsia="en-GB"/>
              </w:rPr>
            </w:pPr>
            <w:r w:rsidRPr="002644CA">
              <w:rPr>
                <w:sz w:val="20"/>
                <w:szCs w:val="20"/>
              </w:rPr>
              <w:t>12</w:t>
            </w:r>
          </w:p>
        </w:tc>
        <w:tc>
          <w:tcPr>
            <w:tcW w:w="806" w:type="pct"/>
          </w:tcPr>
          <w:p w14:paraId="37E5AA94" w14:textId="77777777" w:rsidR="006B1A28" w:rsidRPr="002644CA" w:rsidRDefault="006B1A28" w:rsidP="00CA07F3">
            <w:pPr>
              <w:spacing w:before="40" w:after="40"/>
              <w:jc w:val="center"/>
              <w:rPr>
                <w:sz w:val="20"/>
                <w:szCs w:val="20"/>
                <w:lang w:val="sv-SE" w:eastAsia="en-GB"/>
              </w:rPr>
            </w:pPr>
            <w:r w:rsidRPr="002644CA">
              <w:rPr>
                <w:sz w:val="20"/>
                <w:szCs w:val="20"/>
              </w:rPr>
              <w:t>0</w:t>
            </w:r>
          </w:p>
        </w:tc>
        <w:tc>
          <w:tcPr>
            <w:tcW w:w="692" w:type="pct"/>
            <w:vAlign w:val="bottom"/>
          </w:tcPr>
          <w:p w14:paraId="00CDB048" w14:textId="1BDDD0F8" w:rsidR="006B1A28" w:rsidRPr="002644CA" w:rsidRDefault="006B1A28" w:rsidP="00CA07F3">
            <w:pPr>
              <w:spacing w:before="40" w:after="40"/>
              <w:jc w:val="center"/>
              <w:rPr>
                <w:sz w:val="20"/>
                <w:szCs w:val="20"/>
                <w:lang w:val="sv-SE" w:eastAsia="en-GB"/>
              </w:rPr>
            </w:pPr>
            <w:r w:rsidRPr="002644CA">
              <w:rPr>
                <w:sz w:val="20"/>
                <w:szCs w:val="20"/>
              </w:rPr>
              <w:t>14</w:t>
            </w:r>
          </w:p>
        </w:tc>
        <w:tc>
          <w:tcPr>
            <w:tcW w:w="851" w:type="pct"/>
          </w:tcPr>
          <w:p w14:paraId="6DF07CB1" w14:textId="77777777" w:rsidR="006B1A28" w:rsidRPr="002644CA" w:rsidRDefault="006B1A28" w:rsidP="00CA07F3">
            <w:pPr>
              <w:spacing w:before="40" w:after="40"/>
              <w:jc w:val="center"/>
              <w:rPr>
                <w:sz w:val="20"/>
                <w:szCs w:val="20"/>
                <w:lang w:val="sv-SE" w:eastAsia="en-GB"/>
              </w:rPr>
            </w:pPr>
            <w:r w:rsidRPr="002644CA">
              <w:rPr>
                <w:sz w:val="20"/>
                <w:szCs w:val="20"/>
              </w:rPr>
              <w:t>0</w:t>
            </w:r>
          </w:p>
        </w:tc>
      </w:tr>
      <w:tr w:rsidR="006B1A28" w:rsidRPr="002644CA" w14:paraId="5EB47479" w14:textId="77777777" w:rsidTr="00CA07F3">
        <w:tc>
          <w:tcPr>
            <w:tcW w:w="5000" w:type="pct"/>
            <w:gridSpan w:val="5"/>
            <w:vAlign w:val="center"/>
          </w:tcPr>
          <w:p w14:paraId="33B26AB5" w14:textId="77777777" w:rsidR="006B1A28" w:rsidRPr="002644CA" w:rsidRDefault="006B1A28" w:rsidP="00CA07F3">
            <w:pPr>
              <w:spacing w:before="40" w:after="40"/>
              <w:rPr>
                <w:b/>
                <w:sz w:val="20"/>
                <w:szCs w:val="20"/>
              </w:rPr>
            </w:pPr>
            <w:r w:rsidRPr="002644CA">
              <w:rPr>
                <w:b/>
                <w:bCs/>
                <w:sz w:val="20"/>
                <w:szCs w:val="20"/>
              </w:rPr>
              <w:t>Skin and subcutaneous tissue disorders</w:t>
            </w:r>
          </w:p>
        </w:tc>
      </w:tr>
      <w:tr w:rsidR="006B1A28" w:rsidRPr="002644CA" w14:paraId="39234B6B" w14:textId="77777777" w:rsidTr="00AD685F">
        <w:tc>
          <w:tcPr>
            <w:tcW w:w="1894" w:type="pct"/>
          </w:tcPr>
          <w:p w14:paraId="4BE5342D" w14:textId="0A832365" w:rsidR="006B1A28" w:rsidRPr="002644CA" w:rsidRDefault="006B1A28" w:rsidP="00CA07F3">
            <w:pPr>
              <w:spacing w:before="40" w:after="40"/>
              <w:rPr>
                <w:sz w:val="20"/>
                <w:szCs w:val="20"/>
                <w:lang w:val="sv-SE" w:eastAsia="en-GB"/>
              </w:rPr>
            </w:pPr>
            <w:r>
              <w:rPr>
                <w:sz w:val="20"/>
                <w:szCs w:val="20"/>
              </w:rPr>
              <w:t>Rash</w:t>
            </w:r>
            <w:r w:rsidR="00AD685F" w:rsidRPr="00AD685F">
              <w:rPr>
                <w:sz w:val="20"/>
                <w:szCs w:val="20"/>
                <w:vertAlign w:val="superscript"/>
              </w:rPr>
              <w:t>1</w:t>
            </w:r>
          </w:p>
        </w:tc>
        <w:tc>
          <w:tcPr>
            <w:tcW w:w="757" w:type="pct"/>
            <w:vAlign w:val="bottom"/>
          </w:tcPr>
          <w:p w14:paraId="330F839B" w14:textId="7FA99C1F" w:rsidR="006B1A28" w:rsidRPr="002644CA" w:rsidRDefault="006B1A28" w:rsidP="00CA07F3">
            <w:pPr>
              <w:spacing w:before="40" w:after="40"/>
              <w:jc w:val="center"/>
              <w:rPr>
                <w:sz w:val="20"/>
                <w:szCs w:val="20"/>
                <w:lang w:val="sv-SE" w:eastAsia="en-GB"/>
              </w:rPr>
            </w:pPr>
            <w:r>
              <w:rPr>
                <w:sz w:val="20"/>
                <w:szCs w:val="20"/>
              </w:rPr>
              <w:t>32</w:t>
            </w:r>
          </w:p>
        </w:tc>
        <w:tc>
          <w:tcPr>
            <w:tcW w:w="806" w:type="pct"/>
          </w:tcPr>
          <w:p w14:paraId="7538A24E" w14:textId="4513E5E3" w:rsidR="006B1A28" w:rsidRPr="002644CA" w:rsidRDefault="006B1A28" w:rsidP="00CA07F3">
            <w:pPr>
              <w:spacing w:before="40" w:after="40"/>
              <w:jc w:val="center"/>
              <w:rPr>
                <w:sz w:val="20"/>
                <w:szCs w:val="20"/>
                <w:lang w:val="sv-SE" w:eastAsia="en-GB"/>
              </w:rPr>
            </w:pPr>
            <w:r>
              <w:rPr>
                <w:sz w:val="20"/>
                <w:szCs w:val="20"/>
              </w:rPr>
              <w:t>2.8</w:t>
            </w:r>
          </w:p>
        </w:tc>
        <w:tc>
          <w:tcPr>
            <w:tcW w:w="692" w:type="pct"/>
            <w:vAlign w:val="bottom"/>
          </w:tcPr>
          <w:p w14:paraId="18B771BD" w14:textId="44D5C25A" w:rsidR="006B1A28" w:rsidRPr="002644CA" w:rsidRDefault="00AD685F" w:rsidP="00CA07F3">
            <w:pPr>
              <w:spacing w:before="40" w:after="40"/>
              <w:jc w:val="center"/>
              <w:rPr>
                <w:sz w:val="20"/>
                <w:szCs w:val="20"/>
                <w:lang w:val="sv-SE" w:eastAsia="en-GB"/>
              </w:rPr>
            </w:pPr>
            <w:r>
              <w:rPr>
                <w:sz w:val="20"/>
                <w:szCs w:val="20"/>
              </w:rPr>
              <w:t>57</w:t>
            </w:r>
          </w:p>
        </w:tc>
        <w:tc>
          <w:tcPr>
            <w:tcW w:w="851" w:type="pct"/>
          </w:tcPr>
          <w:p w14:paraId="50932C9C" w14:textId="18261E51" w:rsidR="006B1A28" w:rsidRPr="002644CA" w:rsidRDefault="00AD685F" w:rsidP="00CA07F3">
            <w:pPr>
              <w:spacing w:before="40" w:after="40"/>
              <w:jc w:val="center"/>
              <w:rPr>
                <w:sz w:val="20"/>
                <w:szCs w:val="20"/>
                <w:lang w:val="sv-SE" w:eastAsia="en-GB"/>
              </w:rPr>
            </w:pPr>
            <w:r>
              <w:rPr>
                <w:sz w:val="20"/>
                <w:szCs w:val="20"/>
              </w:rPr>
              <w:t>12</w:t>
            </w:r>
          </w:p>
        </w:tc>
      </w:tr>
      <w:tr w:rsidR="006B1A28" w:rsidRPr="002644CA" w14:paraId="363A3622" w14:textId="77777777" w:rsidTr="00AD685F">
        <w:tc>
          <w:tcPr>
            <w:tcW w:w="1894" w:type="pct"/>
          </w:tcPr>
          <w:p w14:paraId="1A110D2F" w14:textId="788C320A" w:rsidR="006B1A28" w:rsidRPr="002644CA" w:rsidRDefault="006B1A28" w:rsidP="00CA07F3">
            <w:pPr>
              <w:spacing w:before="40" w:after="40"/>
              <w:rPr>
                <w:sz w:val="20"/>
                <w:szCs w:val="20"/>
                <w:lang w:val="sv-SE" w:eastAsia="en-GB"/>
              </w:rPr>
            </w:pPr>
            <w:r>
              <w:rPr>
                <w:sz w:val="20"/>
                <w:szCs w:val="20"/>
              </w:rPr>
              <w:t>Pruritus</w:t>
            </w:r>
          </w:p>
        </w:tc>
        <w:tc>
          <w:tcPr>
            <w:tcW w:w="757" w:type="pct"/>
            <w:vAlign w:val="bottom"/>
          </w:tcPr>
          <w:p w14:paraId="1B33783A" w14:textId="6739C52C" w:rsidR="006B1A28" w:rsidRPr="002644CA" w:rsidRDefault="006B1A28" w:rsidP="00CA07F3">
            <w:pPr>
              <w:spacing w:before="40" w:after="40"/>
              <w:jc w:val="center"/>
              <w:rPr>
                <w:sz w:val="20"/>
                <w:szCs w:val="20"/>
                <w:lang w:val="sv-SE" w:eastAsia="en-GB"/>
              </w:rPr>
            </w:pPr>
            <w:r>
              <w:rPr>
                <w:sz w:val="20"/>
                <w:szCs w:val="20"/>
              </w:rPr>
              <w:t>23</w:t>
            </w:r>
          </w:p>
        </w:tc>
        <w:tc>
          <w:tcPr>
            <w:tcW w:w="806" w:type="pct"/>
          </w:tcPr>
          <w:p w14:paraId="20980CBC" w14:textId="348CC2E7" w:rsidR="006B1A28" w:rsidRPr="002644CA" w:rsidRDefault="00AD685F" w:rsidP="00CA07F3">
            <w:pPr>
              <w:spacing w:before="40" w:after="40"/>
              <w:jc w:val="center"/>
              <w:rPr>
                <w:sz w:val="20"/>
                <w:szCs w:val="20"/>
                <w:lang w:val="sv-SE" w:eastAsia="en-GB"/>
              </w:rPr>
            </w:pPr>
            <w:r>
              <w:rPr>
                <w:sz w:val="20"/>
                <w:szCs w:val="20"/>
              </w:rPr>
              <w:t>0</w:t>
            </w:r>
          </w:p>
        </w:tc>
        <w:tc>
          <w:tcPr>
            <w:tcW w:w="692" w:type="pct"/>
            <w:vAlign w:val="bottom"/>
          </w:tcPr>
          <w:p w14:paraId="042D3C9A" w14:textId="424E971C" w:rsidR="006B1A28" w:rsidRPr="002644CA" w:rsidRDefault="00AD685F" w:rsidP="00CA07F3">
            <w:pPr>
              <w:spacing w:before="40" w:after="40"/>
              <w:jc w:val="center"/>
              <w:rPr>
                <w:sz w:val="20"/>
                <w:szCs w:val="20"/>
                <w:lang w:val="sv-SE" w:eastAsia="en-GB"/>
              </w:rPr>
            </w:pPr>
            <w:r>
              <w:rPr>
                <w:sz w:val="20"/>
                <w:szCs w:val="20"/>
              </w:rPr>
              <w:t>6</w:t>
            </w:r>
          </w:p>
        </w:tc>
        <w:tc>
          <w:tcPr>
            <w:tcW w:w="851" w:type="pct"/>
          </w:tcPr>
          <w:p w14:paraId="567A8B2E" w14:textId="1FEF0498" w:rsidR="006B1A28" w:rsidRPr="002644CA" w:rsidRDefault="00AD685F" w:rsidP="00CA07F3">
            <w:pPr>
              <w:spacing w:before="40" w:after="40"/>
              <w:jc w:val="center"/>
              <w:rPr>
                <w:sz w:val="20"/>
                <w:szCs w:val="20"/>
                <w:lang w:val="sv-SE" w:eastAsia="en-GB"/>
              </w:rPr>
            </w:pPr>
            <w:r>
              <w:rPr>
                <w:sz w:val="20"/>
                <w:szCs w:val="20"/>
              </w:rPr>
              <w:t>0.3</w:t>
            </w:r>
          </w:p>
        </w:tc>
      </w:tr>
      <w:tr w:rsidR="006B1A28" w:rsidRPr="002644CA" w14:paraId="70F80667" w14:textId="77777777" w:rsidTr="00CA07F3">
        <w:tc>
          <w:tcPr>
            <w:tcW w:w="5000" w:type="pct"/>
            <w:gridSpan w:val="5"/>
            <w:vAlign w:val="center"/>
          </w:tcPr>
          <w:p w14:paraId="723B88B2" w14:textId="77777777" w:rsidR="006B1A28" w:rsidRPr="002644CA" w:rsidRDefault="006B1A28" w:rsidP="00CA07F3">
            <w:pPr>
              <w:spacing w:before="40" w:after="40"/>
              <w:rPr>
                <w:b/>
                <w:bCs/>
                <w:sz w:val="20"/>
                <w:szCs w:val="20"/>
                <w:lang w:eastAsia="en-GB"/>
              </w:rPr>
            </w:pPr>
            <w:r w:rsidRPr="002644CA">
              <w:rPr>
                <w:b/>
                <w:bCs/>
                <w:sz w:val="20"/>
                <w:szCs w:val="20"/>
              </w:rPr>
              <w:t>Metabolism and nutrition disorders</w:t>
            </w:r>
          </w:p>
        </w:tc>
      </w:tr>
      <w:tr w:rsidR="006B1A28" w:rsidRPr="002644CA" w14:paraId="42B2AB8A" w14:textId="77777777" w:rsidTr="00AD685F">
        <w:tc>
          <w:tcPr>
            <w:tcW w:w="1894" w:type="pct"/>
            <w:vAlign w:val="center"/>
          </w:tcPr>
          <w:p w14:paraId="761A936D" w14:textId="77777777" w:rsidR="006B1A28" w:rsidRPr="002644CA" w:rsidRDefault="006B1A28" w:rsidP="00CA07F3">
            <w:pPr>
              <w:spacing w:before="40" w:after="40"/>
              <w:rPr>
                <w:sz w:val="20"/>
                <w:szCs w:val="20"/>
                <w:lang w:val="sv-SE" w:eastAsia="en-GB"/>
              </w:rPr>
            </w:pPr>
            <w:r w:rsidRPr="002644CA">
              <w:rPr>
                <w:sz w:val="20"/>
                <w:szCs w:val="20"/>
              </w:rPr>
              <w:t>Decreased appetite</w:t>
            </w:r>
          </w:p>
        </w:tc>
        <w:tc>
          <w:tcPr>
            <w:tcW w:w="757" w:type="pct"/>
            <w:vAlign w:val="bottom"/>
          </w:tcPr>
          <w:p w14:paraId="7496C018" w14:textId="7229B8A6" w:rsidR="006B1A28" w:rsidRPr="002644CA" w:rsidRDefault="006B1A28" w:rsidP="00CA07F3">
            <w:pPr>
              <w:spacing w:before="40" w:after="40"/>
              <w:jc w:val="center"/>
              <w:rPr>
                <w:sz w:val="20"/>
                <w:szCs w:val="20"/>
                <w:lang w:val="sv-SE" w:eastAsia="en-GB"/>
              </w:rPr>
            </w:pPr>
            <w:r w:rsidRPr="002644CA">
              <w:rPr>
                <w:sz w:val="20"/>
                <w:szCs w:val="20"/>
              </w:rPr>
              <w:t>17</w:t>
            </w:r>
          </w:p>
        </w:tc>
        <w:tc>
          <w:tcPr>
            <w:tcW w:w="806" w:type="pct"/>
          </w:tcPr>
          <w:p w14:paraId="56545087" w14:textId="77777777" w:rsidR="006B1A28" w:rsidRPr="002644CA" w:rsidRDefault="006B1A28" w:rsidP="00CA07F3">
            <w:pPr>
              <w:spacing w:before="40" w:after="40"/>
              <w:jc w:val="center"/>
              <w:rPr>
                <w:sz w:val="20"/>
                <w:szCs w:val="20"/>
                <w:lang w:val="sv-SE" w:eastAsia="en-GB"/>
              </w:rPr>
            </w:pPr>
            <w:r w:rsidRPr="002644CA">
              <w:rPr>
                <w:sz w:val="20"/>
                <w:szCs w:val="20"/>
              </w:rPr>
              <w:t>1.3</w:t>
            </w:r>
          </w:p>
        </w:tc>
        <w:tc>
          <w:tcPr>
            <w:tcW w:w="692" w:type="pct"/>
            <w:vAlign w:val="bottom"/>
          </w:tcPr>
          <w:p w14:paraId="7BA235F6" w14:textId="54DDD08C" w:rsidR="006B1A28" w:rsidRPr="002644CA" w:rsidRDefault="00AD685F" w:rsidP="00CA07F3">
            <w:pPr>
              <w:spacing w:before="40" w:after="40"/>
              <w:jc w:val="center"/>
              <w:rPr>
                <w:sz w:val="20"/>
                <w:szCs w:val="20"/>
                <w:lang w:val="sv-SE" w:eastAsia="en-GB"/>
              </w:rPr>
            </w:pPr>
            <w:r>
              <w:rPr>
                <w:sz w:val="20"/>
                <w:szCs w:val="20"/>
              </w:rPr>
              <w:t>18</w:t>
            </w:r>
          </w:p>
        </w:tc>
        <w:tc>
          <w:tcPr>
            <w:tcW w:w="851" w:type="pct"/>
          </w:tcPr>
          <w:p w14:paraId="18FD264A" w14:textId="77777777" w:rsidR="006B1A28" w:rsidRPr="002644CA" w:rsidRDefault="006B1A28" w:rsidP="00CA07F3">
            <w:pPr>
              <w:spacing w:before="40" w:after="40"/>
              <w:jc w:val="center"/>
              <w:rPr>
                <w:sz w:val="20"/>
                <w:szCs w:val="20"/>
                <w:lang w:val="sv-SE" w:eastAsia="en-GB"/>
              </w:rPr>
            </w:pPr>
            <w:r w:rsidRPr="002644CA">
              <w:rPr>
                <w:sz w:val="20"/>
                <w:szCs w:val="20"/>
              </w:rPr>
              <w:t>0.8</w:t>
            </w:r>
          </w:p>
        </w:tc>
      </w:tr>
      <w:tr w:rsidR="006B1A28" w:rsidRPr="002644CA" w14:paraId="4D97FD1E" w14:textId="77777777" w:rsidTr="00CA07F3">
        <w:tc>
          <w:tcPr>
            <w:tcW w:w="5000" w:type="pct"/>
            <w:gridSpan w:val="5"/>
            <w:vAlign w:val="center"/>
          </w:tcPr>
          <w:p w14:paraId="5B6BB1FC" w14:textId="77777777" w:rsidR="006B1A28" w:rsidRPr="002644CA" w:rsidRDefault="006B1A28" w:rsidP="00CA07F3">
            <w:pPr>
              <w:spacing w:before="40" w:after="40"/>
              <w:rPr>
                <w:sz w:val="20"/>
                <w:szCs w:val="20"/>
                <w:lang w:eastAsia="en-GB"/>
              </w:rPr>
            </w:pPr>
            <w:r w:rsidRPr="002644CA">
              <w:rPr>
                <w:b/>
                <w:bCs/>
                <w:sz w:val="20"/>
                <w:szCs w:val="20"/>
              </w:rPr>
              <w:t>General disorders and administration site conditions</w:t>
            </w:r>
          </w:p>
        </w:tc>
      </w:tr>
      <w:tr w:rsidR="006B1A28" w:rsidRPr="002644CA" w14:paraId="4D582FEA" w14:textId="77777777" w:rsidTr="00AD685F">
        <w:tc>
          <w:tcPr>
            <w:tcW w:w="1894" w:type="pct"/>
          </w:tcPr>
          <w:p w14:paraId="7289D34D" w14:textId="63F1957B" w:rsidR="006B1A28" w:rsidRPr="002644CA" w:rsidRDefault="006B1A28" w:rsidP="00CA07F3">
            <w:pPr>
              <w:spacing w:before="40" w:after="40"/>
              <w:rPr>
                <w:sz w:val="20"/>
                <w:szCs w:val="20"/>
                <w:lang w:val="sv-SE" w:eastAsia="en-GB"/>
              </w:rPr>
            </w:pPr>
            <w:r w:rsidRPr="002644CA">
              <w:rPr>
                <w:sz w:val="20"/>
                <w:szCs w:val="20"/>
              </w:rPr>
              <w:t>Fatigue</w:t>
            </w:r>
            <w:r w:rsidR="00AD685F" w:rsidRPr="00AD685F">
              <w:rPr>
                <w:sz w:val="20"/>
                <w:szCs w:val="20"/>
                <w:vertAlign w:val="superscript"/>
              </w:rPr>
              <w:t>1</w:t>
            </w:r>
          </w:p>
        </w:tc>
        <w:tc>
          <w:tcPr>
            <w:tcW w:w="757" w:type="pct"/>
            <w:vAlign w:val="bottom"/>
          </w:tcPr>
          <w:p w14:paraId="2C7C1E25" w14:textId="05E0C40D" w:rsidR="006B1A28" w:rsidRPr="002644CA" w:rsidRDefault="00AD685F" w:rsidP="00CA07F3">
            <w:pPr>
              <w:spacing w:before="40" w:after="40"/>
              <w:jc w:val="center"/>
              <w:rPr>
                <w:sz w:val="20"/>
                <w:szCs w:val="20"/>
                <w:lang w:val="sv-SE" w:eastAsia="en-GB"/>
              </w:rPr>
            </w:pPr>
            <w:r>
              <w:rPr>
                <w:sz w:val="20"/>
                <w:szCs w:val="20"/>
              </w:rPr>
              <w:t>26</w:t>
            </w:r>
          </w:p>
        </w:tc>
        <w:tc>
          <w:tcPr>
            <w:tcW w:w="806" w:type="pct"/>
          </w:tcPr>
          <w:p w14:paraId="309D3DF2" w14:textId="1E2A41C5" w:rsidR="006B1A28" w:rsidRPr="002644CA" w:rsidRDefault="00AD685F" w:rsidP="00CA07F3">
            <w:pPr>
              <w:spacing w:before="40" w:after="40"/>
              <w:jc w:val="center"/>
              <w:rPr>
                <w:sz w:val="20"/>
                <w:szCs w:val="20"/>
                <w:lang w:val="sv-SE" w:eastAsia="en-GB"/>
              </w:rPr>
            </w:pPr>
            <w:r>
              <w:rPr>
                <w:sz w:val="20"/>
                <w:szCs w:val="20"/>
              </w:rPr>
              <w:t>3.9</w:t>
            </w:r>
          </w:p>
        </w:tc>
        <w:tc>
          <w:tcPr>
            <w:tcW w:w="692" w:type="pct"/>
            <w:vAlign w:val="bottom"/>
          </w:tcPr>
          <w:p w14:paraId="1B5E31DA" w14:textId="48AA804C" w:rsidR="006B1A28" w:rsidRPr="002644CA" w:rsidRDefault="00AD685F" w:rsidP="00CA07F3">
            <w:pPr>
              <w:spacing w:before="40" w:after="40"/>
              <w:jc w:val="center"/>
              <w:rPr>
                <w:sz w:val="20"/>
                <w:szCs w:val="20"/>
                <w:lang w:val="sv-SE" w:eastAsia="en-GB"/>
              </w:rPr>
            </w:pPr>
            <w:r>
              <w:rPr>
                <w:sz w:val="20"/>
                <w:szCs w:val="20"/>
              </w:rPr>
              <w:t>30</w:t>
            </w:r>
          </w:p>
        </w:tc>
        <w:tc>
          <w:tcPr>
            <w:tcW w:w="851" w:type="pct"/>
          </w:tcPr>
          <w:p w14:paraId="07AB2FDF" w14:textId="7A27D8A5" w:rsidR="006B1A28" w:rsidRPr="002644CA" w:rsidRDefault="00AD685F" w:rsidP="00CA07F3">
            <w:pPr>
              <w:spacing w:before="40" w:after="40"/>
              <w:jc w:val="center"/>
              <w:rPr>
                <w:sz w:val="20"/>
                <w:szCs w:val="20"/>
                <w:lang w:val="sv-SE" w:eastAsia="en-GB"/>
              </w:rPr>
            </w:pPr>
            <w:r>
              <w:rPr>
                <w:sz w:val="20"/>
                <w:szCs w:val="20"/>
              </w:rPr>
              <w:t>6</w:t>
            </w:r>
          </w:p>
        </w:tc>
      </w:tr>
      <w:tr w:rsidR="006B1A28" w:rsidRPr="002644CA" w14:paraId="0929141A" w14:textId="77777777" w:rsidTr="00AD685F">
        <w:tc>
          <w:tcPr>
            <w:tcW w:w="1894" w:type="pct"/>
          </w:tcPr>
          <w:p w14:paraId="4B32FCCC" w14:textId="46008DF0" w:rsidR="006B1A28" w:rsidRPr="002644CA" w:rsidRDefault="006B1A28" w:rsidP="00CA07F3">
            <w:pPr>
              <w:spacing w:before="40" w:after="40"/>
              <w:rPr>
                <w:sz w:val="20"/>
                <w:szCs w:val="20"/>
                <w:lang w:val="sv-SE" w:eastAsia="en-GB"/>
              </w:rPr>
            </w:pPr>
            <w:r w:rsidRPr="002644CA">
              <w:rPr>
                <w:sz w:val="20"/>
                <w:szCs w:val="20"/>
              </w:rPr>
              <w:t>Pyrexia</w:t>
            </w:r>
            <w:r w:rsidR="00AD685F" w:rsidRPr="00AD685F">
              <w:rPr>
                <w:sz w:val="20"/>
                <w:szCs w:val="20"/>
                <w:vertAlign w:val="superscript"/>
              </w:rPr>
              <w:t>1</w:t>
            </w:r>
          </w:p>
        </w:tc>
        <w:tc>
          <w:tcPr>
            <w:tcW w:w="757" w:type="pct"/>
            <w:vAlign w:val="bottom"/>
          </w:tcPr>
          <w:p w14:paraId="7E190150" w14:textId="0C127367" w:rsidR="006B1A28" w:rsidRPr="002644CA" w:rsidRDefault="006B1A28" w:rsidP="00CA07F3">
            <w:pPr>
              <w:spacing w:before="40" w:after="40"/>
              <w:jc w:val="center"/>
              <w:rPr>
                <w:sz w:val="20"/>
                <w:szCs w:val="20"/>
                <w:lang w:val="sv-SE" w:eastAsia="en-GB"/>
              </w:rPr>
            </w:pPr>
            <w:r w:rsidRPr="002644CA">
              <w:rPr>
                <w:sz w:val="20"/>
                <w:szCs w:val="20"/>
              </w:rPr>
              <w:t>1</w:t>
            </w:r>
            <w:r w:rsidR="00AD685F">
              <w:rPr>
                <w:sz w:val="20"/>
                <w:szCs w:val="20"/>
              </w:rPr>
              <w:t>3</w:t>
            </w:r>
          </w:p>
        </w:tc>
        <w:tc>
          <w:tcPr>
            <w:tcW w:w="806" w:type="pct"/>
          </w:tcPr>
          <w:p w14:paraId="205446C9" w14:textId="77777777" w:rsidR="006B1A28" w:rsidRPr="002644CA" w:rsidRDefault="006B1A28" w:rsidP="00CA07F3">
            <w:pPr>
              <w:spacing w:before="40" w:after="40"/>
              <w:jc w:val="center"/>
              <w:rPr>
                <w:sz w:val="20"/>
                <w:szCs w:val="20"/>
                <w:lang w:val="sv-SE" w:eastAsia="en-GB"/>
              </w:rPr>
            </w:pPr>
            <w:r w:rsidRPr="002644CA">
              <w:rPr>
                <w:sz w:val="20"/>
                <w:szCs w:val="20"/>
              </w:rPr>
              <w:t>0.3</w:t>
            </w:r>
          </w:p>
        </w:tc>
        <w:tc>
          <w:tcPr>
            <w:tcW w:w="692" w:type="pct"/>
            <w:vAlign w:val="bottom"/>
          </w:tcPr>
          <w:p w14:paraId="5C2C5613" w14:textId="08F35B10" w:rsidR="006B1A28" w:rsidRPr="002644CA" w:rsidRDefault="00AD685F" w:rsidP="00CA07F3">
            <w:pPr>
              <w:spacing w:before="40" w:after="40"/>
              <w:jc w:val="center"/>
              <w:rPr>
                <w:sz w:val="20"/>
                <w:szCs w:val="20"/>
                <w:lang w:val="sv-SE" w:eastAsia="en-GB"/>
              </w:rPr>
            </w:pPr>
            <w:r>
              <w:rPr>
                <w:sz w:val="20"/>
                <w:szCs w:val="20"/>
              </w:rPr>
              <w:t>9</w:t>
            </w:r>
          </w:p>
        </w:tc>
        <w:tc>
          <w:tcPr>
            <w:tcW w:w="851" w:type="pct"/>
          </w:tcPr>
          <w:p w14:paraId="2BEEF490" w14:textId="4593B926" w:rsidR="006B1A28" w:rsidRPr="002644CA" w:rsidRDefault="006B1A28" w:rsidP="00CA07F3">
            <w:pPr>
              <w:spacing w:before="40" w:after="40"/>
              <w:jc w:val="center"/>
              <w:rPr>
                <w:sz w:val="20"/>
                <w:szCs w:val="20"/>
                <w:lang w:val="sv-SE" w:eastAsia="en-GB"/>
              </w:rPr>
            </w:pPr>
            <w:r w:rsidRPr="002644CA">
              <w:rPr>
                <w:sz w:val="20"/>
                <w:szCs w:val="20"/>
              </w:rPr>
              <w:t>0</w:t>
            </w:r>
            <w:r w:rsidR="00AD685F">
              <w:rPr>
                <w:sz w:val="20"/>
                <w:szCs w:val="20"/>
              </w:rPr>
              <w:t>.3</w:t>
            </w:r>
          </w:p>
        </w:tc>
      </w:tr>
      <w:tr w:rsidR="006B1A28" w:rsidRPr="002644CA" w14:paraId="4DDFB122" w14:textId="77777777" w:rsidTr="00AD685F">
        <w:tc>
          <w:tcPr>
            <w:tcW w:w="3457" w:type="pct"/>
            <w:gridSpan w:val="3"/>
            <w:vAlign w:val="center"/>
          </w:tcPr>
          <w:p w14:paraId="07F4F07B" w14:textId="77777777" w:rsidR="006B1A28" w:rsidRPr="002644CA" w:rsidRDefault="006B1A28" w:rsidP="00CA07F3">
            <w:pPr>
              <w:spacing w:before="40" w:after="40"/>
              <w:rPr>
                <w:sz w:val="20"/>
                <w:szCs w:val="20"/>
                <w:lang w:val="sv-SE" w:eastAsia="en-GB"/>
              </w:rPr>
            </w:pPr>
            <w:r w:rsidRPr="002644CA">
              <w:rPr>
                <w:b/>
                <w:bCs/>
                <w:sz w:val="20"/>
                <w:szCs w:val="20"/>
              </w:rPr>
              <w:t>Psychiatric disorders</w:t>
            </w:r>
          </w:p>
        </w:tc>
        <w:tc>
          <w:tcPr>
            <w:tcW w:w="692" w:type="pct"/>
          </w:tcPr>
          <w:p w14:paraId="5ABA59A7" w14:textId="77777777" w:rsidR="006B1A28" w:rsidRPr="002644CA" w:rsidRDefault="006B1A28" w:rsidP="00CA07F3">
            <w:pPr>
              <w:spacing w:before="40" w:after="40"/>
              <w:rPr>
                <w:b/>
                <w:sz w:val="20"/>
                <w:szCs w:val="20"/>
              </w:rPr>
            </w:pPr>
          </w:p>
        </w:tc>
        <w:tc>
          <w:tcPr>
            <w:tcW w:w="851" w:type="pct"/>
          </w:tcPr>
          <w:p w14:paraId="3A0E33A2" w14:textId="77777777" w:rsidR="006B1A28" w:rsidRPr="002644CA" w:rsidRDefault="006B1A28" w:rsidP="00CA07F3">
            <w:pPr>
              <w:spacing w:before="40" w:after="40"/>
              <w:rPr>
                <w:b/>
                <w:sz w:val="20"/>
                <w:szCs w:val="20"/>
              </w:rPr>
            </w:pPr>
          </w:p>
        </w:tc>
      </w:tr>
      <w:tr w:rsidR="006B1A28" w:rsidRPr="002644CA" w14:paraId="1AA29FC7" w14:textId="77777777" w:rsidTr="00AD685F">
        <w:tc>
          <w:tcPr>
            <w:tcW w:w="1894" w:type="pct"/>
          </w:tcPr>
          <w:p w14:paraId="199B32AE" w14:textId="77777777" w:rsidR="006B1A28" w:rsidRPr="002644CA" w:rsidRDefault="006B1A28" w:rsidP="00CA07F3">
            <w:pPr>
              <w:spacing w:before="40" w:after="40"/>
              <w:rPr>
                <w:sz w:val="20"/>
                <w:szCs w:val="20"/>
                <w:lang w:val="sv-SE" w:eastAsia="en-GB"/>
              </w:rPr>
            </w:pPr>
            <w:r w:rsidRPr="002644CA">
              <w:rPr>
                <w:sz w:val="20"/>
                <w:szCs w:val="20"/>
              </w:rPr>
              <w:t>Insomnia</w:t>
            </w:r>
          </w:p>
        </w:tc>
        <w:tc>
          <w:tcPr>
            <w:tcW w:w="757" w:type="pct"/>
            <w:vAlign w:val="bottom"/>
          </w:tcPr>
          <w:p w14:paraId="71F40211" w14:textId="667A699D" w:rsidR="006B1A28" w:rsidRPr="002644CA" w:rsidRDefault="006B1A28" w:rsidP="00CA07F3">
            <w:pPr>
              <w:spacing w:before="40" w:after="40"/>
              <w:jc w:val="center"/>
              <w:rPr>
                <w:sz w:val="20"/>
                <w:szCs w:val="20"/>
                <w:lang w:val="sv-SE" w:eastAsia="en-GB"/>
              </w:rPr>
            </w:pPr>
            <w:r w:rsidRPr="002644CA">
              <w:rPr>
                <w:sz w:val="20"/>
                <w:szCs w:val="20"/>
              </w:rPr>
              <w:t>10</w:t>
            </w:r>
          </w:p>
        </w:tc>
        <w:tc>
          <w:tcPr>
            <w:tcW w:w="806" w:type="pct"/>
          </w:tcPr>
          <w:p w14:paraId="3900439B" w14:textId="77777777" w:rsidR="006B1A28" w:rsidRPr="002644CA" w:rsidRDefault="006B1A28" w:rsidP="00CA07F3">
            <w:pPr>
              <w:spacing w:before="40" w:after="40"/>
              <w:jc w:val="center"/>
              <w:rPr>
                <w:sz w:val="20"/>
                <w:szCs w:val="20"/>
                <w:lang w:val="sv-SE" w:eastAsia="en-GB"/>
              </w:rPr>
            </w:pPr>
            <w:r w:rsidRPr="002644CA">
              <w:rPr>
                <w:sz w:val="20"/>
                <w:szCs w:val="20"/>
              </w:rPr>
              <w:t>0.3</w:t>
            </w:r>
          </w:p>
        </w:tc>
        <w:tc>
          <w:tcPr>
            <w:tcW w:w="692" w:type="pct"/>
            <w:vAlign w:val="bottom"/>
          </w:tcPr>
          <w:p w14:paraId="5A2E6DD8" w14:textId="77777777" w:rsidR="006B1A28" w:rsidRPr="002644CA" w:rsidRDefault="006B1A28" w:rsidP="00CA07F3">
            <w:pPr>
              <w:spacing w:before="40" w:after="40"/>
              <w:jc w:val="center"/>
              <w:rPr>
                <w:sz w:val="20"/>
                <w:szCs w:val="20"/>
                <w:lang w:val="sv-SE" w:eastAsia="en-GB"/>
              </w:rPr>
            </w:pPr>
            <w:r w:rsidRPr="002644CA">
              <w:rPr>
                <w:sz w:val="20"/>
                <w:szCs w:val="20"/>
              </w:rPr>
              <w:t>4.3</w:t>
            </w:r>
          </w:p>
        </w:tc>
        <w:tc>
          <w:tcPr>
            <w:tcW w:w="851" w:type="pct"/>
          </w:tcPr>
          <w:p w14:paraId="4238DDD2" w14:textId="77777777" w:rsidR="006B1A28" w:rsidRPr="002644CA" w:rsidRDefault="006B1A28" w:rsidP="00CA07F3">
            <w:pPr>
              <w:spacing w:before="40" w:after="40"/>
              <w:jc w:val="center"/>
              <w:rPr>
                <w:sz w:val="20"/>
                <w:szCs w:val="20"/>
                <w:lang w:val="sv-SE" w:eastAsia="en-GB"/>
              </w:rPr>
            </w:pPr>
            <w:r w:rsidRPr="002644CA">
              <w:rPr>
                <w:sz w:val="20"/>
                <w:szCs w:val="20"/>
              </w:rPr>
              <w:t>0</w:t>
            </w:r>
          </w:p>
        </w:tc>
      </w:tr>
      <w:tr w:rsidR="006B1A28" w:rsidRPr="002644CA" w14:paraId="63B45C01" w14:textId="77777777" w:rsidTr="00CA07F3">
        <w:tc>
          <w:tcPr>
            <w:tcW w:w="5000" w:type="pct"/>
            <w:gridSpan w:val="5"/>
          </w:tcPr>
          <w:p w14:paraId="6BD84AA4" w14:textId="77777777" w:rsidR="006B1A28" w:rsidRPr="002644CA" w:rsidRDefault="006B1A28" w:rsidP="00CA07F3">
            <w:pPr>
              <w:spacing w:before="40" w:after="40"/>
              <w:rPr>
                <w:sz w:val="20"/>
                <w:szCs w:val="20"/>
              </w:rPr>
            </w:pPr>
            <w:r w:rsidRPr="002644CA">
              <w:rPr>
                <w:b/>
                <w:bCs/>
                <w:sz w:val="20"/>
                <w:szCs w:val="20"/>
              </w:rPr>
              <w:t>Endocrine disorders</w:t>
            </w:r>
          </w:p>
        </w:tc>
      </w:tr>
      <w:tr w:rsidR="006B1A28" w:rsidRPr="002644CA" w14:paraId="6BD78070" w14:textId="77777777" w:rsidTr="00AD685F">
        <w:tc>
          <w:tcPr>
            <w:tcW w:w="1894" w:type="pct"/>
            <w:vAlign w:val="center"/>
          </w:tcPr>
          <w:p w14:paraId="193A77E5" w14:textId="1E520C80" w:rsidR="006B1A28" w:rsidRPr="002644CA" w:rsidRDefault="006B1A28" w:rsidP="00CA07F3">
            <w:pPr>
              <w:spacing w:before="40" w:after="40"/>
              <w:rPr>
                <w:sz w:val="20"/>
                <w:szCs w:val="20"/>
              </w:rPr>
            </w:pPr>
            <w:r w:rsidRPr="002644CA">
              <w:rPr>
                <w:sz w:val="20"/>
                <w:szCs w:val="20"/>
              </w:rPr>
              <w:t>Hypothyroidism</w:t>
            </w:r>
            <w:r w:rsidR="00AD685F" w:rsidRPr="00AD685F">
              <w:rPr>
                <w:sz w:val="20"/>
                <w:szCs w:val="20"/>
                <w:vertAlign w:val="superscript"/>
              </w:rPr>
              <w:t>1</w:t>
            </w:r>
          </w:p>
        </w:tc>
        <w:tc>
          <w:tcPr>
            <w:tcW w:w="757" w:type="pct"/>
            <w:vAlign w:val="bottom"/>
          </w:tcPr>
          <w:p w14:paraId="73164463" w14:textId="2D4AE2F8" w:rsidR="006B1A28" w:rsidRPr="002644CA" w:rsidRDefault="006B1A28" w:rsidP="00CA07F3">
            <w:pPr>
              <w:spacing w:before="40" w:after="40"/>
              <w:jc w:val="center"/>
              <w:rPr>
                <w:sz w:val="20"/>
                <w:szCs w:val="20"/>
              </w:rPr>
            </w:pPr>
            <w:r w:rsidRPr="002644CA">
              <w:rPr>
                <w:sz w:val="20"/>
                <w:szCs w:val="20"/>
              </w:rPr>
              <w:t>1</w:t>
            </w:r>
            <w:r w:rsidR="00AD685F">
              <w:rPr>
                <w:sz w:val="20"/>
                <w:szCs w:val="20"/>
              </w:rPr>
              <w:t>4</w:t>
            </w:r>
          </w:p>
        </w:tc>
        <w:tc>
          <w:tcPr>
            <w:tcW w:w="806" w:type="pct"/>
          </w:tcPr>
          <w:p w14:paraId="384A6CA5" w14:textId="77777777" w:rsidR="006B1A28" w:rsidRPr="002644CA" w:rsidRDefault="006B1A28" w:rsidP="00CA07F3">
            <w:pPr>
              <w:spacing w:before="40" w:after="40"/>
              <w:jc w:val="center"/>
              <w:rPr>
                <w:sz w:val="20"/>
                <w:szCs w:val="20"/>
              </w:rPr>
            </w:pPr>
            <w:r w:rsidRPr="002644CA">
              <w:rPr>
                <w:sz w:val="20"/>
                <w:szCs w:val="20"/>
              </w:rPr>
              <w:t>0</w:t>
            </w:r>
          </w:p>
        </w:tc>
        <w:tc>
          <w:tcPr>
            <w:tcW w:w="692" w:type="pct"/>
            <w:vAlign w:val="bottom"/>
          </w:tcPr>
          <w:p w14:paraId="1A36D853" w14:textId="5B10ADFF" w:rsidR="006B1A28" w:rsidRPr="002644CA" w:rsidRDefault="00AD685F" w:rsidP="00CA07F3">
            <w:pPr>
              <w:spacing w:before="40" w:after="40"/>
              <w:jc w:val="center"/>
              <w:rPr>
                <w:sz w:val="20"/>
                <w:szCs w:val="20"/>
              </w:rPr>
            </w:pPr>
            <w:r>
              <w:rPr>
                <w:sz w:val="20"/>
                <w:szCs w:val="20"/>
              </w:rPr>
              <w:t>6</w:t>
            </w:r>
          </w:p>
        </w:tc>
        <w:tc>
          <w:tcPr>
            <w:tcW w:w="851" w:type="pct"/>
          </w:tcPr>
          <w:p w14:paraId="4515AE96" w14:textId="77777777" w:rsidR="006B1A28" w:rsidRPr="002644CA" w:rsidRDefault="006B1A28" w:rsidP="00CA07F3">
            <w:pPr>
              <w:spacing w:before="40" w:after="40"/>
              <w:jc w:val="center"/>
              <w:rPr>
                <w:sz w:val="20"/>
                <w:szCs w:val="20"/>
              </w:rPr>
            </w:pPr>
            <w:r w:rsidRPr="002644CA">
              <w:rPr>
                <w:sz w:val="20"/>
                <w:szCs w:val="20"/>
              </w:rPr>
              <w:t>0</w:t>
            </w:r>
          </w:p>
        </w:tc>
      </w:tr>
      <w:tr w:rsidR="00AD685F" w:rsidRPr="002644CA" w14:paraId="776AA3E8" w14:textId="77777777" w:rsidTr="00AD685F">
        <w:tc>
          <w:tcPr>
            <w:tcW w:w="5000" w:type="pct"/>
            <w:gridSpan w:val="5"/>
            <w:vAlign w:val="center"/>
          </w:tcPr>
          <w:p w14:paraId="7E49FC8D" w14:textId="03435FC6" w:rsidR="00AD685F" w:rsidRPr="002644CA" w:rsidRDefault="00AD685F" w:rsidP="00AD685F">
            <w:pPr>
              <w:spacing w:before="40" w:after="40"/>
              <w:rPr>
                <w:sz w:val="20"/>
                <w:szCs w:val="20"/>
              </w:rPr>
            </w:pPr>
            <w:r>
              <w:rPr>
                <w:b/>
                <w:bCs/>
                <w:sz w:val="20"/>
                <w:szCs w:val="20"/>
              </w:rPr>
              <w:t>Musculoskeletal and Connective Tissue Disorders</w:t>
            </w:r>
          </w:p>
        </w:tc>
      </w:tr>
      <w:tr w:rsidR="00AD685F" w:rsidRPr="002644CA" w14:paraId="7D859A79" w14:textId="77777777" w:rsidTr="00AD685F">
        <w:tc>
          <w:tcPr>
            <w:tcW w:w="1894" w:type="pct"/>
            <w:vAlign w:val="center"/>
          </w:tcPr>
          <w:p w14:paraId="6361160F" w14:textId="4CB65BF2" w:rsidR="00AD685F" w:rsidRPr="002644CA" w:rsidRDefault="00AD685F" w:rsidP="00CA07F3">
            <w:pPr>
              <w:spacing w:before="40" w:after="40"/>
              <w:rPr>
                <w:sz w:val="20"/>
                <w:szCs w:val="20"/>
              </w:rPr>
            </w:pPr>
            <w:r>
              <w:rPr>
                <w:sz w:val="20"/>
                <w:szCs w:val="20"/>
              </w:rPr>
              <w:t>Musculoskeletal pain</w:t>
            </w:r>
            <w:r w:rsidRPr="00AD685F">
              <w:rPr>
                <w:sz w:val="20"/>
                <w:szCs w:val="20"/>
                <w:vertAlign w:val="superscript"/>
              </w:rPr>
              <w:t>1</w:t>
            </w:r>
          </w:p>
        </w:tc>
        <w:tc>
          <w:tcPr>
            <w:tcW w:w="757" w:type="pct"/>
            <w:vAlign w:val="bottom"/>
          </w:tcPr>
          <w:p w14:paraId="1E981DA9" w14:textId="180350EA" w:rsidR="00AD685F" w:rsidRPr="002644CA" w:rsidRDefault="00AD685F" w:rsidP="00CA07F3">
            <w:pPr>
              <w:spacing w:before="40" w:after="40"/>
              <w:jc w:val="center"/>
              <w:rPr>
                <w:sz w:val="20"/>
                <w:szCs w:val="20"/>
              </w:rPr>
            </w:pPr>
            <w:r>
              <w:rPr>
                <w:sz w:val="20"/>
                <w:szCs w:val="20"/>
              </w:rPr>
              <w:t>22</w:t>
            </w:r>
          </w:p>
        </w:tc>
        <w:tc>
          <w:tcPr>
            <w:tcW w:w="806" w:type="pct"/>
          </w:tcPr>
          <w:p w14:paraId="4CB69890" w14:textId="065BC017" w:rsidR="00AD685F" w:rsidRPr="002644CA" w:rsidRDefault="00AD685F" w:rsidP="00CA07F3">
            <w:pPr>
              <w:spacing w:before="40" w:after="40"/>
              <w:jc w:val="center"/>
              <w:rPr>
                <w:sz w:val="20"/>
                <w:szCs w:val="20"/>
              </w:rPr>
            </w:pPr>
            <w:r>
              <w:rPr>
                <w:sz w:val="20"/>
                <w:szCs w:val="20"/>
              </w:rPr>
              <w:t>2.6</w:t>
            </w:r>
          </w:p>
        </w:tc>
        <w:tc>
          <w:tcPr>
            <w:tcW w:w="692" w:type="pct"/>
            <w:vAlign w:val="bottom"/>
          </w:tcPr>
          <w:p w14:paraId="1407A0AF" w14:textId="4DB42C2F" w:rsidR="00AD685F" w:rsidRDefault="00AD685F" w:rsidP="00CA07F3">
            <w:pPr>
              <w:spacing w:before="40" w:after="40"/>
              <w:jc w:val="center"/>
              <w:rPr>
                <w:sz w:val="20"/>
                <w:szCs w:val="20"/>
              </w:rPr>
            </w:pPr>
            <w:r>
              <w:rPr>
                <w:sz w:val="20"/>
                <w:szCs w:val="20"/>
              </w:rPr>
              <w:t>17</w:t>
            </w:r>
          </w:p>
        </w:tc>
        <w:tc>
          <w:tcPr>
            <w:tcW w:w="851" w:type="pct"/>
          </w:tcPr>
          <w:p w14:paraId="03AC2149" w14:textId="22B0A60F" w:rsidR="00AD685F" w:rsidRPr="002644CA" w:rsidRDefault="00AD685F" w:rsidP="00CA07F3">
            <w:pPr>
              <w:spacing w:before="40" w:after="40"/>
              <w:jc w:val="center"/>
              <w:rPr>
                <w:sz w:val="20"/>
                <w:szCs w:val="20"/>
              </w:rPr>
            </w:pPr>
            <w:r>
              <w:rPr>
                <w:sz w:val="20"/>
                <w:szCs w:val="20"/>
              </w:rPr>
              <w:t>0.8</w:t>
            </w:r>
          </w:p>
        </w:tc>
      </w:tr>
    </w:tbl>
    <w:p w14:paraId="74171CB7" w14:textId="635919BF" w:rsidR="006D31B1" w:rsidRDefault="00AD685F" w:rsidP="007F26DF">
      <w:pPr>
        <w:pStyle w:val="TableFootnoteInfo"/>
        <w:rPr>
          <w:vertAlign w:val="superscript"/>
          <w:lang w:val="en-US"/>
        </w:rPr>
      </w:pPr>
      <w:r>
        <w:rPr>
          <w:vertAlign w:val="superscript"/>
          <w:lang w:val="en-US"/>
        </w:rPr>
        <w:t>1</w:t>
      </w:r>
      <w:r w:rsidR="006D31B1" w:rsidRPr="00BA3159">
        <w:rPr>
          <w:vertAlign w:val="superscript"/>
          <w:lang w:val="en-US"/>
        </w:rPr>
        <w:t xml:space="preserve"> </w:t>
      </w:r>
      <w:r>
        <w:t>Represents a composite of multiple related terms</w:t>
      </w:r>
      <w:r w:rsidR="006D31B1" w:rsidRPr="00F273C4">
        <w:t>.</w:t>
      </w:r>
    </w:p>
    <w:p w14:paraId="5D9B520C" w14:textId="3EFB9918" w:rsidR="006D31B1" w:rsidRPr="00BA3159" w:rsidRDefault="006D31B1" w:rsidP="00AD685F">
      <w:pPr>
        <w:pStyle w:val="TableFootnoteInfo"/>
      </w:pPr>
    </w:p>
    <w:p w14:paraId="6F7C0490" w14:textId="270E4C51" w:rsidR="00454712" w:rsidRDefault="00454712" w:rsidP="00454712">
      <w:pPr>
        <w:spacing w:after="0" w:line="240" w:lineRule="auto"/>
        <w:jc w:val="both"/>
      </w:pPr>
      <w:r>
        <w:t xml:space="preserve">Table 4 summarises the laboratory abnormalities that occurred in patients treated with </w:t>
      </w:r>
      <w:r w:rsidR="004B1319">
        <w:t>STRIDE</w:t>
      </w:r>
      <w:r>
        <w:t xml:space="preserve"> in the HIMALAYA study.</w:t>
      </w:r>
    </w:p>
    <w:p w14:paraId="38886C28" w14:textId="77777777" w:rsidR="00454712" w:rsidRPr="000D6AC4" w:rsidRDefault="00454712" w:rsidP="00454712">
      <w:pPr>
        <w:spacing w:after="0" w:line="240" w:lineRule="auto"/>
        <w:jc w:val="both"/>
      </w:pPr>
    </w:p>
    <w:p w14:paraId="6FDBADFD" w14:textId="4DC3F598" w:rsidR="007F26DF" w:rsidRPr="00454712" w:rsidRDefault="00454712" w:rsidP="00454712">
      <w:pPr>
        <w:pStyle w:val="TableTitle"/>
      </w:pPr>
      <w:r w:rsidRPr="00454712">
        <w:t>Table 4</w:t>
      </w:r>
      <w:r w:rsidRPr="00454712">
        <w:tab/>
      </w:r>
      <w:r>
        <w:t xml:space="preserve">Laboratory </w:t>
      </w:r>
      <w:r w:rsidR="004B1319">
        <w:t>a</w:t>
      </w:r>
      <w:r>
        <w:t xml:space="preserve">bnormalities </w:t>
      </w:r>
      <w:r w:rsidR="004B1319">
        <w:t>w</w:t>
      </w:r>
      <w:r>
        <w:t xml:space="preserve">orsening from </w:t>
      </w:r>
      <w:r w:rsidR="004B1319">
        <w:t>b</w:t>
      </w:r>
      <w:r>
        <w:t>aseline</w:t>
      </w:r>
      <w:r w:rsidRPr="00454712">
        <w:t xml:space="preserve"> </w:t>
      </w:r>
      <w:r w:rsidR="004B1319">
        <w:t>o</w:t>
      </w:r>
      <w:r w:rsidRPr="00454712">
        <w:t xml:space="preserve">ccurring in ≥ </w:t>
      </w:r>
      <w:r>
        <w:t>2</w:t>
      </w:r>
      <w:r w:rsidRPr="00454712">
        <w:t xml:space="preserve">0% </w:t>
      </w:r>
      <w:r>
        <w:t xml:space="preserve">of </w:t>
      </w:r>
      <w:r w:rsidR="004B1319">
        <w:t>p</w:t>
      </w:r>
      <w:r w:rsidRPr="00454712">
        <w:t xml:space="preserve">atients </w:t>
      </w:r>
      <w:r w:rsidR="004B1319">
        <w:t xml:space="preserve">treated with STRIDE </w:t>
      </w:r>
      <w:r w:rsidRPr="00454712">
        <w:t xml:space="preserve">in the HIMALAYA </w:t>
      </w:r>
      <w:proofErr w:type="gramStart"/>
      <w:r w:rsidRPr="00454712">
        <w:t>study</w:t>
      </w:r>
      <w:proofErr w:type="gramEnd"/>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1344"/>
        <w:gridCol w:w="1775"/>
        <w:gridCol w:w="1775"/>
        <w:gridCol w:w="1775"/>
      </w:tblGrid>
      <w:tr w:rsidR="00454712" w:rsidRPr="00156BA7" w14:paraId="1FA6B7DD" w14:textId="77777777" w:rsidTr="007D612E">
        <w:trPr>
          <w:trHeight w:val="547"/>
          <w:tblHeader/>
        </w:trPr>
        <w:tc>
          <w:tcPr>
            <w:tcW w:w="1540" w:type="pct"/>
            <w:tcBorders>
              <w:top w:val="single" w:sz="4" w:space="0" w:color="auto"/>
              <w:left w:val="single" w:sz="4" w:space="0" w:color="auto"/>
              <w:bottom w:val="single" w:sz="4" w:space="0" w:color="auto"/>
              <w:right w:val="single" w:sz="4" w:space="0" w:color="auto"/>
            </w:tcBorders>
            <w:shd w:val="clear" w:color="auto" w:fill="auto"/>
          </w:tcPr>
          <w:p w14:paraId="758F3502" w14:textId="77777777" w:rsidR="00454712" w:rsidRPr="00156BA7" w:rsidRDefault="00454712" w:rsidP="00CA07F3">
            <w:pPr>
              <w:spacing w:before="40" w:after="40" w:line="240" w:lineRule="auto"/>
              <w:rPr>
                <w:b/>
                <w:bCs/>
                <w:sz w:val="22"/>
                <w:szCs w:val="22"/>
              </w:rPr>
            </w:pPr>
          </w:p>
        </w:tc>
        <w:tc>
          <w:tcPr>
            <w:tcW w:w="1618" w:type="pct"/>
            <w:gridSpan w:val="2"/>
            <w:tcBorders>
              <w:top w:val="single" w:sz="4" w:space="0" w:color="auto"/>
              <w:left w:val="single" w:sz="4" w:space="0" w:color="auto"/>
              <w:bottom w:val="single" w:sz="4" w:space="0" w:color="auto"/>
              <w:right w:val="single" w:sz="4" w:space="0" w:color="auto"/>
            </w:tcBorders>
            <w:shd w:val="clear" w:color="auto" w:fill="auto"/>
          </w:tcPr>
          <w:p w14:paraId="11F18A56" w14:textId="11C2C9D9" w:rsidR="00454712" w:rsidRPr="00156BA7" w:rsidRDefault="000F57DD" w:rsidP="00CA07F3">
            <w:pPr>
              <w:spacing w:before="40" w:after="40" w:line="240" w:lineRule="auto"/>
              <w:jc w:val="center"/>
              <w:rPr>
                <w:b/>
                <w:bCs/>
                <w:sz w:val="22"/>
                <w:szCs w:val="22"/>
              </w:rPr>
            </w:pPr>
            <w:r>
              <w:rPr>
                <w:b/>
                <w:bCs/>
                <w:sz w:val="22"/>
                <w:szCs w:val="22"/>
              </w:rPr>
              <w:t>STRIDE</w:t>
            </w:r>
          </w:p>
        </w:tc>
        <w:tc>
          <w:tcPr>
            <w:tcW w:w="1842" w:type="pct"/>
            <w:gridSpan w:val="2"/>
            <w:tcBorders>
              <w:top w:val="single" w:sz="4" w:space="0" w:color="auto"/>
              <w:left w:val="single" w:sz="4" w:space="0" w:color="auto"/>
              <w:bottom w:val="single" w:sz="4" w:space="0" w:color="auto"/>
              <w:right w:val="single" w:sz="4" w:space="0" w:color="auto"/>
            </w:tcBorders>
          </w:tcPr>
          <w:p w14:paraId="7A54BB6A" w14:textId="77777777" w:rsidR="00454712" w:rsidRPr="00156BA7" w:rsidRDefault="00454712" w:rsidP="00CA07F3">
            <w:pPr>
              <w:spacing w:before="40" w:after="40" w:line="240" w:lineRule="auto"/>
              <w:jc w:val="center"/>
              <w:rPr>
                <w:b/>
                <w:bCs/>
                <w:sz w:val="22"/>
                <w:szCs w:val="22"/>
              </w:rPr>
            </w:pPr>
            <w:r w:rsidRPr="00156BA7">
              <w:rPr>
                <w:b/>
                <w:bCs/>
                <w:sz w:val="22"/>
                <w:szCs w:val="22"/>
              </w:rPr>
              <w:t>Sorafenib</w:t>
            </w:r>
          </w:p>
        </w:tc>
      </w:tr>
      <w:tr w:rsidR="00454712" w:rsidRPr="00156BA7" w14:paraId="7AE4F38A" w14:textId="77777777" w:rsidTr="007D612E">
        <w:trPr>
          <w:tblHeader/>
        </w:trPr>
        <w:tc>
          <w:tcPr>
            <w:tcW w:w="1540" w:type="pct"/>
            <w:shd w:val="clear" w:color="auto" w:fill="auto"/>
          </w:tcPr>
          <w:p w14:paraId="59E8518E" w14:textId="453E7B28" w:rsidR="00454712" w:rsidRPr="00156BA7" w:rsidRDefault="00454712" w:rsidP="00CA07F3">
            <w:pPr>
              <w:spacing w:before="40" w:after="40" w:line="240" w:lineRule="auto"/>
              <w:rPr>
                <w:b/>
                <w:bCs/>
                <w:sz w:val="22"/>
                <w:szCs w:val="22"/>
              </w:rPr>
            </w:pPr>
            <w:r w:rsidRPr="00156BA7">
              <w:rPr>
                <w:b/>
                <w:bCs/>
                <w:sz w:val="22"/>
                <w:szCs w:val="22"/>
              </w:rPr>
              <w:t xml:space="preserve">Laboratory </w:t>
            </w:r>
            <w:r w:rsidR="004B1319">
              <w:rPr>
                <w:b/>
                <w:bCs/>
                <w:sz w:val="22"/>
                <w:szCs w:val="22"/>
              </w:rPr>
              <w:t>a</w:t>
            </w:r>
            <w:r w:rsidRPr="00156BA7">
              <w:rPr>
                <w:b/>
                <w:bCs/>
                <w:sz w:val="22"/>
                <w:szCs w:val="22"/>
              </w:rPr>
              <w:t>bnormality</w:t>
            </w:r>
          </w:p>
        </w:tc>
        <w:tc>
          <w:tcPr>
            <w:tcW w:w="697" w:type="pct"/>
          </w:tcPr>
          <w:p w14:paraId="408D9E3C" w14:textId="76470E5C" w:rsidR="00454712" w:rsidRPr="00156BA7" w:rsidRDefault="00454712" w:rsidP="00CA07F3">
            <w:pPr>
              <w:spacing w:before="40" w:after="40" w:line="240" w:lineRule="auto"/>
              <w:jc w:val="center"/>
              <w:rPr>
                <w:b/>
                <w:bCs/>
                <w:sz w:val="22"/>
                <w:szCs w:val="22"/>
              </w:rPr>
            </w:pPr>
            <w:r w:rsidRPr="00156BA7">
              <w:rPr>
                <w:b/>
                <w:bCs/>
                <w:sz w:val="22"/>
                <w:szCs w:val="22"/>
              </w:rPr>
              <w:t>Any grade</w:t>
            </w:r>
            <w:r w:rsidR="007D612E">
              <w:rPr>
                <w:b/>
                <w:bCs/>
                <w:sz w:val="22"/>
                <w:szCs w:val="22"/>
                <w:vertAlign w:val="superscript"/>
              </w:rPr>
              <w:t>1</w:t>
            </w:r>
            <w:r w:rsidRPr="00156BA7">
              <w:rPr>
                <w:b/>
                <w:bCs/>
                <w:sz w:val="22"/>
                <w:szCs w:val="22"/>
                <w:vertAlign w:val="superscript"/>
              </w:rPr>
              <w:t xml:space="preserve"> </w:t>
            </w:r>
            <w:r w:rsidRPr="00156BA7">
              <w:rPr>
                <w:b/>
                <w:bCs/>
                <w:sz w:val="22"/>
                <w:szCs w:val="22"/>
              </w:rPr>
              <w:t>(%)</w:t>
            </w:r>
            <w:r w:rsidR="007D612E">
              <w:rPr>
                <w:b/>
                <w:bCs/>
                <w:sz w:val="22"/>
                <w:szCs w:val="22"/>
                <w:vertAlign w:val="superscript"/>
              </w:rPr>
              <w:t>2</w:t>
            </w:r>
          </w:p>
        </w:tc>
        <w:tc>
          <w:tcPr>
            <w:tcW w:w="921" w:type="pct"/>
            <w:shd w:val="clear" w:color="auto" w:fill="auto"/>
          </w:tcPr>
          <w:p w14:paraId="13FC41FC" w14:textId="33E9C275" w:rsidR="00454712" w:rsidRPr="00156BA7" w:rsidRDefault="00454712" w:rsidP="00CA07F3">
            <w:pPr>
              <w:spacing w:before="40" w:after="40" w:line="240" w:lineRule="auto"/>
              <w:jc w:val="center"/>
              <w:rPr>
                <w:b/>
                <w:bCs/>
                <w:sz w:val="22"/>
                <w:szCs w:val="22"/>
              </w:rPr>
            </w:pPr>
            <w:r w:rsidRPr="00156BA7">
              <w:rPr>
                <w:b/>
                <w:bCs/>
                <w:sz w:val="22"/>
                <w:szCs w:val="22"/>
              </w:rPr>
              <w:t>Grade 3</w:t>
            </w:r>
            <w:r w:rsidR="007D612E">
              <w:rPr>
                <w:b/>
                <w:bCs/>
                <w:sz w:val="22"/>
                <w:szCs w:val="22"/>
                <w:vertAlign w:val="superscript"/>
              </w:rPr>
              <w:t>1</w:t>
            </w:r>
            <w:r w:rsidRPr="00156BA7">
              <w:rPr>
                <w:b/>
                <w:bCs/>
                <w:sz w:val="22"/>
                <w:szCs w:val="22"/>
              </w:rPr>
              <w:t xml:space="preserve"> or 4 (%)</w:t>
            </w:r>
            <w:r w:rsidR="007D612E">
              <w:rPr>
                <w:b/>
                <w:bCs/>
                <w:sz w:val="22"/>
                <w:szCs w:val="22"/>
                <w:vertAlign w:val="superscript"/>
              </w:rPr>
              <w:t>2</w:t>
            </w:r>
          </w:p>
        </w:tc>
        <w:tc>
          <w:tcPr>
            <w:tcW w:w="921" w:type="pct"/>
          </w:tcPr>
          <w:p w14:paraId="4F7C2063" w14:textId="0BA11716" w:rsidR="00454712" w:rsidRPr="00156BA7" w:rsidRDefault="00454712" w:rsidP="00CA07F3">
            <w:pPr>
              <w:spacing w:before="40" w:after="40" w:line="240" w:lineRule="auto"/>
              <w:jc w:val="center"/>
              <w:rPr>
                <w:b/>
                <w:bCs/>
                <w:sz w:val="22"/>
                <w:szCs w:val="22"/>
              </w:rPr>
            </w:pPr>
            <w:r w:rsidRPr="00156BA7">
              <w:rPr>
                <w:b/>
                <w:bCs/>
                <w:sz w:val="22"/>
                <w:szCs w:val="22"/>
              </w:rPr>
              <w:t>Any grade</w:t>
            </w:r>
            <w:r w:rsidR="007D612E">
              <w:rPr>
                <w:b/>
                <w:bCs/>
                <w:sz w:val="22"/>
                <w:szCs w:val="22"/>
                <w:vertAlign w:val="superscript"/>
              </w:rPr>
              <w:t>1</w:t>
            </w:r>
            <w:r w:rsidRPr="00156BA7">
              <w:rPr>
                <w:b/>
                <w:bCs/>
                <w:sz w:val="22"/>
                <w:szCs w:val="22"/>
                <w:vertAlign w:val="superscript"/>
              </w:rPr>
              <w:t xml:space="preserve"> </w:t>
            </w:r>
            <w:r w:rsidRPr="00156BA7">
              <w:rPr>
                <w:b/>
                <w:bCs/>
                <w:sz w:val="22"/>
                <w:szCs w:val="22"/>
              </w:rPr>
              <w:t>(%)</w:t>
            </w:r>
            <w:r w:rsidR="007D612E">
              <w:rPr>
                <w:b/>
                <w:bCs/>
                <w:sz w:val="22"/>
                <w:szCs w:val="22"/>
                <w:vertAlign w:val="superscript"/>
              </w:rPr>
              <w:t>2</w:t>
            </w:r>
          </w:p>
        </w:tc>
        <w:tc>
          <w:tcPr>
            <w:tcW w:w="921" w:type="pct"/>
          </w:tcPr>
          <w:p w14:paraId="67F34683" w14:textId="07446A85" w:rsidR="00454712" w:rsidRPr="00156BA7" w:rsidRDefault="00454712" w:rsidP="00CA07F3">
            <w:pPr>
              <w:spacing w:before="40" w:after="40" w:line="240" w:lineRule="auto"/>
              <w:jc w:val="center"/>
              <w:rPr>
                <w:b/>
                <w:bCs/>
                <w:sz w:val="22"/>
                <w:szCs w:val="22"/>
              </w:rPr>
            </w:pPr>
            <w:r w:rsidRPr="00156BA7">
              <w:rPr>
                <w:b/>
                <w:bCs/>
                <w:sz w:val="22"/>
                <w:szCs w:val="22"/>
              </w:rPr>
              <w:t>Grade 3</w:t>
            </w:r>
            <w:r w:rsidR="007D612E">
              <w:rPr>
                <w:b/>
                <w:bCs/>
                <w:sz w:val="22"/>
                <w:szCs w:val="22"/>
                <w:vertAlign w:val="superscript"/>
              </w:rPr>
              <w:t>1</w:t>
            </w:r>
            <w:r w:rsidRPr="00156BA7">
              <w:rPr>
                <w:b/>
                <w:bCs/>
                <w:sz w:val="22"/>
                <w:szCs w:val="22"/>
              </w:rPr>
              <w:t xml:space="preserve"> or 4 (%)</w:t>
            </w:r>
            <w:r w:rsidR="007D612E">
              <w:rPr>
                <w:b/>
                <w:bCs/>
                <w:sz w:val="22"/>
                <w:szCs w:val="22"/>
                <w:vertAlign w:val="superscript"/>
              </w:rPr>
              <w:t>2</w:t>
            </w:r>
          </w:p>
        </w:tc>
      </w:tr>
      <w:tr w:rsidR="00454712" w:rsidRPr="00156BA7" w14:paraId="5DEEE5FE" w14:textId="77777777" w:rsidTr="00CA07F3">
        <w:tc>
          <w:tcPr>
            <w:tcW w:w="3158" w:type="pct"/>
            <w:gridSpan w:val="3"/>
            <w:shd w:val="clear" w:color="auto" w:fill="auto"/>
          </w:tcPr>
          <w:p w14:paraId="3C60012D" w14:textId="77777777" w:rsidR="00454712" w:rsidRPr="00156BA7" w:rsidRDefault="00454712" w:rsidP="00CA07F3">
            <w:pPr>
              <w:spacing w:before="40" w:after="40" w:line="240" w:lineRule="auto"/>
              <w:rPr>
                <w:b/>
                <w:bCs/>
                <w:sz w:val="20"/>
                <w:szCs w:val="20"/>
              </w:rPr>
            </w:pPr>
            <w:r w:rsidRPr="00156BA7">
              <w:rPr>
                <w:b/>
                <w:bCs/>
                <w:sz w:val="20"/>
                <w:szCs w:val="20"/>
              </w:rPr>
              <w:t>Chemistry</w:t>
            </w:r>
          </w:p>
        </w:tc>
        <w:tc>
          <w:tcPr>
            <w:tcW w:w="1842" w:type="pct"/>
            <w:gridSpan w:val="2"/>
          </w:tcPr>
          <w:p w14:paraId="4A19E18E" w14:textId="77777777" w:rsidR="00454712" w:rsidRPr="00156BA7" w:rsidRDefault="00454712" w:rsidP="00CA07F3">
            <w:pPr>
              <w:spacing w:before="40" w:after="40" w:line="240" w:lineRule="auto"/>
              <w:rPr>
                <w:b/>
                <w:bCs/>
                <w:sz w:val="20"/>
                <w:szCs w:val="20"/>
              </w:rPr>
            </w:pPr>
          </w:p>
        </w:tc>
      </w:tr>
      <w:tr w:rsidR="00053E43" w:rsidRPr="00156BA7" w14:paraId="66B0207D" w14:textId="77777777" w:rsidTr="00D5097A">
        <w:tc>
          <w:tcPr>
            <w:tcW w:w="1540" w:type="pct"/>
            <w:shd w:val="clear" w:color="auto" w:fill="auto"/>
          </w:tcPr>
          <w:p w14:paraId="30FA2035" w14:textId="02AD047F" w:rsidR="00053E43" w:rsidRPr="00156BA7" w:rsidRDefault="00053E43" w:rsidP="00053E43">
            <w:pPr>
              <w:spacing w:before="40" w:after="40" w:line="240" w:lineRule="auto"/>
              <w:rPr>
                <w:bCs/>
                <w:sz w:val="20"/>
                <w:szCs w:val="20"/>
              </w:rPr>
            </w:pPr>
            <w:r w:rsidRPr="00156BA7">
              <w:rPr>
                <w:sz w:val="20"/>
                <w:szCs w:val="20"/>
              </w:rPr>
              <w:t xml:space="preserve">Aspartate </w:t>
            </w:r>
            <w:r>
              <w:rPr>
                <w:sz w:val="20"/>
                <w:szCs w:val="20"/>
              </w:rPr>
              <w:t>a</w:t>
            </w:r>
            <w:r w:rsidRPr="00156BA7">
              <w:rPr>
                <w:sz w:val="20"/>
                <w:szCs w:val="20"/>
              </w:rPr>
              <w:t>minotransferase increased</w:t>
            </w:r>
          </w:p>
        </w:tc>
        <w:tc>
          <w:tcPr>
            <w:tcW w:w="697" w:type="pct"/>
          </w:tcPr>
          <w:p w14:paraId="06B2706B" w14:textId="4E63658D" w:rsidR="00053E43" w:rsidRPr="00053E43" w:rsidRDefault="00053E43" w:rsidP="00053E43">
            <w:pPr>
              <w:spacing w:before="40" w:after="40" w:line="240" w:lineRule="auto"/>
              <w:jc w:val="center"/>
              <w:rPr>
                <w:bCs/>
                <w:sz w:val="20"/>
                <w:szCs w:val="20"/>
              </w:rPr>
            </w:pPr>
            <w:r w:rsidRPr="00053E43">
              <w:rPr>
                <w:sz w:val="20"/>
                <w:szCs w:val="20"/>
                <w:lang w:val="en-AU"/>
              </w:rPr>
              <w:t>63.1</w:t>
            </w:r>
          </w:p>
        </w:tc>
        <w:tc>
          <w:tcPr>
            <w:tcW w:w="921" w:type="pct"/>
            <w:shd w:val="clear" w:color="auto" w:fill="auto"/>
          </w:tcPr>
          <w:p w14:paraId="068F6036" w14:textId="4919C0EF" w:rsidR="00053E43" w:rsidRPr="00053E43" w:rsidRDefault="00053E43" w:rsidP="00053E43">
            <w:pPr>
              <w:spacing w:before="40" w:after="40" w:line="240" w:lineRule="auto"/>
              <w:jc w:val="center"/>
              <w:rPr>
                <w:bCs/>
                <w:sz w:val="20"/>
                <w:szCs w:val="20"/>
              </w:rPr>
            </w:pPr>
            <w:r w:rsidRPr="00053E43">
              <w:rPr>
                <w:sz w:val="20"/>
                <w:szCs w:val="20"/>
                <w:lang w:val="en-AU"/>
              </w:rPr>
              <w:t>26.8</w:t>
            </w:r>
          </w:p>
        </w:tc>
        <w:tc>
          <w:tcPr>
            <w:tcW w:w="921" w:type="pct"/>
          </w:tcPr>
          <w:p w14:paraId="456AB8F4" w14:textId="5DF382D3" w:rsidR="00053E43" w:rsidRPr="00053E43" w:rsidRDefault="00053E43" w:rsidP="00053E43">
            <w:pPr>
              <w:spacing w:before="40" w:after="40" w:line="240" w:lineRule="auto"/>
              <w:jc w:val="center"/>
              <w:rPr>
                <w:sz w:val="20"/>
                <w:szCs w:val="20"/>
              </w:rPr>
            </w:pPr>
            <w:r w:rsidRPr="00053E43">
              <w:rPr>
                <w:sz w:val="20"/>
                <w:szCs w:val="20"/>
                <w:lang w:val="en-AU"/>
              </w:rPr>
              <w:t>54.6</w:t>
            </w:r>
          </w:p>
        </w:tc>
        <w:tc>
          <w:tcPr>
            <w:tcW w:w="921" w:type="pct"/>
          </w:tcPr>
          <w:p w14:paraId="2A465178" w14:textId="1E4AD18D" w:rsidR="00053E43" w:rsidRPr="00053E43" w:rsidRDefault="00053E43" w:rsidP="00053E43">
            <w:pPr>
              <w:spacing w:before="40" w:after="40" w:line="240" w:lineRule="auto"/>
              <w:jc w:val="center"/>
              <w:rPr>
                <w:sz w:val="20"/>
                <w:szCs w:val="20"/>
              </w:rPr>
            </w:pPr>
            <w:r w:rsidRPr="00053E43">
              <w:rPr>
                <w:sz w:val="20"/>
                <w:szCs w:val="20"/>
                <w:lang w:val="en-AU"/>
              </w:rPr>
              <w:t>21.1</w:t>
            </w:r>
          </w:p>
        </w:tc>
      </w:tr>
      <w:tr w:rsidR="00053E43" w:rsidRPr="00156BA7" w14:paraId="14F6AF1F" w14:textId="77777777" w:rsidTr="00D5097A">
        <w:tc>
          <w:tcPr>
            <w:tcW w:w="1540" w:type="pct"/>
            <w:shd w:val="clear" w:color="auto" w:fill="auto"/>
          </w:tcPr>
          <w:p w14:paraId="0DDB4896" w14:textId="7C1438E6" w:rsidR="00053E43" w:rsidRPr="00156BA7" w:rsidRDefault="00053E43" w:rsidP="00053E43">
            <w:pPr>
              <w:spacing w:before="40" w:after="40" w:line="240" w:lineRule="auto"/>
              <w:rPr>
                <w:sz w:val="20"/>
                <w:szCs w:val="20"/>
              </w:rPr>
            </w:pPr>
            <w:r w:rsidRPr="00156BA7">
              <w:rPr>
                <w:sz w:val="20"/>
                <w:szCs w:val="20"/>
              </w:rPr>
              <w:t xml:space="preserve">Alanine </w:t>
            </w:r>
            <w:r>
              <w:rPr>
                <w:sz w:val="20"/>
                <w:szCs w:val="20"/>
              </w:rPr>
              <w:t>a</w:t>
            </w:r>
            <w:r w:rsidRPr="00156BA7">
              <w:rPr>
                <w:sz w:val="20"/>
                <w:szCs w:val="20"/>
              </w:rPr>
              <w:t>minotransferase increased</w:t>
            </w:r>
          </w:p>
        </w:tc>
        <w:tc>
          <w:tcPr>
            <w:tcW w:w="697" w:type="pct"/>
          </w:tcPr>
          <w:p w14:paraId="307C488F" w14:textId="708FFAB7" w:rsidR="00053E43" w:rsidRPr="00053E43" w:rsidRDefault="00053E43" w:rsidP="00053E43">
            <w:pPr>
              <w:spacing w:before="40" w:after="40" w:line="240" w:lineRule="auto"/>
              <w:jc w:val="center"/>
              <w:rPr>
                <w:sz w:val="20"/>
                <w:szCs w:val="20"/>
              </w:rPr>
            </w:pPr>
            <w:r w:rsidRPr="00053E43">
              <w:rPr>
                <w:sz w:val="20"/>
                <w:szCs w:val="20"/>
                <w:lang w:val="en-AU"/>
              </w:rPr>
              <w:t>56.2</w:t>
            </w:r>
          </w:p>
        </w:tc>
        <w:tc>
          <w:tcPr>
            <w:tcW w:w="921" w:type="pct"/>
            <w:shd w:val="clear" w:color="auto" w:fill="auto"/>
          </w:tcPr>
          <w:p w14:paraId="2AF853EB" w14:textId="26CFC71F" w:rsidR="00053E43" w:rsidRPr="00053E43" w:rsidRDefault="00053E43" w:rsidP="00053E43">
            <w:pPr>
              <w:spacing w:before="40" w:after="40" w:line="240" w:lineRule="auto"/>
              <w:jc w:val="center"/>
              <w:rPr>
                <w:sz w:val="20"/>
                <w:szCs w:val="20"/>
              </w:rPr>
            </w:pPr>
            <w:r w:rsidRPr="00053E43">
              <w:rPr>
                <w:sz w:val="20"/>
                <w:szCs w:val="20"/>
                <w:lang w:val="en-AU"/>
              </w:rPr>
              <w:t>17.8</w:t>
            </w:r>
          </w:p>
        </w:tc>
        <w:tc>
          <w:tcPr>
            <w:tcW w:w="921" w:type="pct"/>
          </w:tcPr>
          <w:p w14:paraId="13B81A2B" w14:textId="6082428E" w:rsidR="00053E43" w:rsidRPr="00053E43" w:rsidRDefault="00053E43" w:rsidP="00053E43">
            <w:pPr>
              <w:spacing w:before="40" w:after="40" w:line="240" w:lineRule="auto"/>
              <w:jc w:val="center"/>
              <w:rPr>
                <w:bCs/>
                <w:sz w:val="20"/>
                <w:szCs w:val="20"/>
              </w:rPr>
            </w:pPr>
            <w:r w:rsidRPr="00053E43">
              <w:rPr>
                <w:sz w:val="20"/>
                <w:szCs w:val="20"/>
                <w:lang w:val="en-AU"/>
              </w:rPr>
              <w:t>52.6</w:t>
            </w:r>
          </w:p>
        </w:tc>
        <w:tc>
          <w:tcPr>
            <w:tcW w:w="921" w:type="pct"/>
          </w:tcPr>
          <w:p w14:paraId="18D09527" w14:textId="3B2E9F4E" w:rsidR="00053E43" w:rsidRPr="00053E43" w:rsidRDefault="00053E43" w:rsidP="00053E43">
            <w:pPr>
              <w:spacing w:before="40" w:after="40" w:line="240" w:lineRule="auto"/>
              <w:jc w:val="center"/>
              <w:rPr>
                <w:bCs/>
                <w:sz w:val="20"/>
                <w:szCs w:val="20"/>
              </w:rPr>
            </w:pPr>
            <w:r w:rsidRPr="00053E43">
              <w:rPr>
                <w:sz w:val="20"/>
                <w:szCs w:val="20"/>
                <w:lang w:val="en-AU"/>
              </w:rPr>
              <w:t>12.2</w:t>
            </w:r>
          </w:p>
        </w:tc>
      </w:tr>
      <w:tr w:rsidR="00053E43" w:rsidRPr="00156BA7" w14:paraId="2F95B975" w14:textId="77777777" w:rsidTr="00D5097A">
        <w:tc>
          <w:tcPr>
            <w:tcW w:w="1540" w:type="pct"/>
            <w:shd w:val="clear" w:color="auto" w:fill="auto"/>
          </w:tcPr>
          <w:p w14:paraId="56A8E358" w14:textId="77777777" w:rsidR="00053E43" w:rsidRPr="00156BA7" w:rsidRDefault="00053E43" w:rsidP="00053E43">
            <w:pPr>
              <w:spacing w:before="40" w:after="40" w:line="240" w:lineRule="auto"/>
              <w:rPr>
                <w:bCs/>
                <w:sz w:val="20"/>
                <w:szCs w:val="20"/>
              </w:rPr>
            </w:pPr>
            <w:r w:rsidRPr="00156BA7">
              <w:rPr>
                <w:sz w:val="20"/>
                <w:szCs w:val="20"/>
              </w:rPr>
              <w:t>Sodium decreased</w:t>
            </w:r>
          </w:p>
        </w:tc>
        <w:tc>
          <w:tcPr>
            <w:tcW w:w="697" w:type="pct"/>
          </w:tcPr>
          <w:p w14:paraId="282691D1" w14:textId="1D63214B" w:rsidR="00053E43" w:rsidRPr="00053E43" w:rsidRDefault="00053E43" w:rsidP="00053E43">
            <w:pPr>
              <w:spacing w:before="40" w:after="40" w:line="240" w:lineRule="auto"/>
              <w:jc w:val="center"/>
              <w:rPr>
                <w:bCs/>
                <w:sz w:val="20"/>
                <w:szCs w:val="20"/>
              </w:rPr>
            </w:pPr>
            <w:r w:rsidRPr="00053E43">
              <w:rPr>
                <w:sz w:val="20"/>
                <w:szCs w:val="20"/>
                <w:lang w:val="en-AU"/>
              </w:rPr>
              <w:t>46.0</w:t>
            </w:r>
          </w:p>
        </w:tc>
        <w:tc>
          <w:tcPr>
            <w:tcW w:w="921" w:type="pct"/>
            <w:shd w:val="clear" w:color="auto" w:fill="auto"/>
          </w:tcPr>
          <w:p w14:paraId="6AB4D983" w14:textId="6483E328" w:rsidR="00053E43" w:rsidRPr="00053E43" w:rsidRDefault="00053E43" w:rsidP="00053E43">
            <w:pPr>
              <w:spacing w:before="40" w:after="40" w:line="240" w:lineRule="auto"/>
              <w:jc w:val="center"/>
              <w:rPr>
                <w:bCs/>
                <w:sz w:val="20"/>
                <w:szCs w:val="20"/>
              </w:rPr>
            </w:pPr>
            <w:r w:rsidRPr="00053E43">
              <w:rPr>
                <w:sz w:val="20"/>
                <w:szCs w:val="20"/>
                <w:lang w:val="en-AU"/>
              </w:rPr>
              <w:t>15.3</w:t>
            </w:r>
          </w:p>
        </w:tc>
        <w:tc>
          <w:tcPr>
            <w:tcW w:w="921" w:type="pct"/>
          </w:tcPr>
          <w:p w14:paraId="37096795" w14:textId="68D38B62" w:rsidR="00053E43" w:rsidRPr="00053E43" w:rsidRDefault="00053E43" w:rsidP="00053E43">
            <w:pPr>
              <w:spacing w:before="40" w:after="40" w:line="240" w:lineRule="auto"/>
              <w:jc w:val="center"/>
              <w:rPr>
                <w:bCs/>
                <w:sz w:val="20"/>
                <w:szCs w:val="20"/>
              </w:rPr>
            </w:pPr>
            <w:r w:rsidRPr="00053E43">
              <w:rPr>
                <w:sz w:val="20"/>
                <w:szCs w:val="20"/>
                <w:lang w:val="en-AU"/>
              </w:rPr>
              <w:t>39.8</w:t>
            </w:r>
          </w:p>
        </w:tc>
        <w:tc>
          <w:tcPr>
            <w:tcW w:w="921" w:type="pct"/>
          </w:tcPr>
          <w:p w14:paraId="7ED795AB" w14:textId="3CE654CF" w:rsidR="00053E43" w:rsidRPr="00053E43" w:rsidRDefault="00053E43" w:rsidP="00053E43">
            <w:pPr>
              <w:spacing w:before="40" w:after="40" w:line="240" w:lineRule="auto"/>
              <w:jc w:val="center"/>
              <w:rPr>
                <w:bCs/>
                <w:sz w:val="20"/>
                <w:szCs w:val="20"/>
              </w:rPr>
            </w:pPr>
            <w:r w:rsidRPr="00053E43">
              <w:rPr>
                <w:sz w:val="20"/>
                <w:szCs w:val="20"/>
                <w:lang w:val="en-AU"/>
              </w:rPr>
              <w:t>11.1</w:t>
            </w:r>
          </w:p>
        </w:tc>
      </w:tr>
      <w:tr w:rsidR="00053E43" w:rsidRPr="00156BA7" w14:paraId="27EF1A73" w14:textId="77777777" w:rsidTr="00D5097A">
        <w:tc>
          <w:tcPr>
            <w:tcW w:w="1540" w:type="pct"/>
            <w:shd w:val="clear" w:color="auto" w:fill="auto"/>
          </w:tcPr>
          <w:p w14:paraId="1DF88C8E" w14:textId="77777777" w:rsidR="00053E43" w:rsidRPr="00156BA7" w:rsidRDefault="00053E43" w:rsidP="00053E43">
            <w:pPr>
              <w:spacing w:before="40" w:after="40" w:line="240" w:lineRule="auto"/>
              <w:rPr>
                <w:sz w:val="20"/>
                <w:szCs w:val="20"/>
              </w:rPr>
            </w:pPr>
            <w:r w:rsidRPr="00156BA7">
              <w:rPr>
                <w:sz w:val="20"/>
                <w:szCs w:val="20"/>
              </w:rPr>
              <w:t>Bilirubin increased</w:t>
            </w:r>
          </w:p>
        </w:tc>
        <w:tc>
          <w:tcPr>
            <w:tcW w:w="697" w:type="pct"/>
          </w:tcPr>
          <w:p w14:paraId="6334EF43" w14:textId="02C3ED0A" w:rsidR="00053E43" w:rsidRPr="00053E43" w:rsidRDefault="00053E43" w:rsidP="00053E43">
            <w:pPr>
              <w:spacing w:before="40" w:after="40" w:line="240" w:lineRule="auto"/>
              <w:jc w:val="center"/>
              <w:rPr>
                <w:sz w:val="20"/>
                <w:szCs w:val="20"/>
              </w:rPr>
            </w:pPr>
            <w:r w:rsidRPr="00053E43">
              <w:rPr>
                <w:sz w:val="20"/>
                <w:szCs w:val="20"/>
                <w:lang w:val="en-AU"/>
              </w:rPr>
              <w:t>41.4</w:t>
            </w:r>
          </w:p>
        </w:tc>
        <w:tc>
          <w:tcPr>
            <w:tcW w:w="921" w:type="pct"/>
            <w:shd w:val="clear" w:color="auto" w:fill="auto"/>
          </w:tcPr>
          <w:p w14:paraId="00CBC8B7" w14:textId="2CB9C0F4" w:rsidR="00053E43" w:rsidRPr="00053E43" w:rsidRDefault="00053E43" w:rsidP="00053E43">
            <w:pPr>
              <w:spacing w:before="40" w:after="40" w:line="240" w:lineRule="auto"/>
              <w:jc w:val="center"/>
              <w:rPr>
                <w:sz w:val="20"/>
                <w:szCs w:val="20"/>
              </w:rPr>
            </w:pPr>
            <w:r w:rsidRPr="00053E43">
              <w:rPr>
                <w:sz w:val="20"/>
                <w:szCs w:val="20"/>
                <w:lang w:val="en-AU"/>
              </w:rPr>
              <w:t>8.2</w:t>
            </w:r>
          </w:p>
        </w:tc>
        <w:tc>
          <w:tcPr>
            <w:tcW w:w="921" w:type="pct"/>
          </w:tcPr>
          <w:p w14:paraId="24DFD31F" w14:textId="52E7DC89" w:rsidR="00053E43" w:rsidRPr="00053E43" w:rsidRDefault="00053E43" w:rsidP="00053E43">
            <w:pPr>
              <w:spacing w:before="40" w:after="40" w:line="240" w:lineRule="auto"/>
              <w:jc w:val="center"/>
              <w:rPr>
                <w:sz w:val="20"/>
                <w:szCs w:val="20"/>
              </w:rPr>
            </w:pPr>
            <w:r w:rsidRPr="00053E43">
              <w:rPr>
                <w:sz w:val="20"/>
                <w:szCs w:val="20"/>
                <w:lang w:val="en-AU"/>
              </w:rPr>
              <w:t>47.4</w:t>
            </w:r>
          </w:p>
        </w:tc>
        <w:tc>
          <w:tcPr>
            <w:tcW w:w="921" w:type="pct"/>
          </w:tcPr>
          <w:p w14:paraId="39B32068" w14:textId="33E6BF9D" w:rsidR="00053E43" w:rsidRPr="00053E43" w:rsidRDefault="00053E43" w:rsidP="00053E43">
            <w:pPr>
              <w:spacing w:before="40" w:after="40" w:line="240" w:lineRule="auto"/>
              <w:jc w:val="center"/>
              <w:rPr>
                <w:sz w:val="20"/>
                <w:szCs w:val="20"/>
              </w:rPr>
            </w:pPr>
            <w:r w:rsidRPr="00053E43">
              <w:rPr>
                <w:sz w:val="20"/>
                <w:szCs w:val="20"/>
                <w:lang w:val="en-AU"/>
              </w:rPr>
              <w:t>10.5</w:t>
            </w:r>
          </w:p>
        </w:tc>
      </w:tr>
      <w:tr w:rsidR="00053E43" w:rsidRPr="00156BA7" w14:paraId="757B13A3" w14:textId="77777777" w:rsidTr="00D5097A">
        <w:tc>
          <w:tcPr>
            <w:tcW w:w="1540" w:type="pct"/>
            <w:shd w:val="clear" w:color="auto" w:fill="auto"/>
          </w:tcPr>
          <w:p w14:paraId="1AD675B6" w14:textId="25AC556F" w:rsidR="00053E43" w:rsidRPr="00156BA7" w:rsidRDefault="00053E43" w:rsidP="00053E43">
            <w:pPr>
              <w:spacing w:before="40" w:after="40" w:line="240" w:lineRule="auto"/>
              <w:rPr>
                <w:sz w:val="20"/>
                <w:szCs w:val="20"/>
              </w:rPr>
            </w:pPr>
            <w:r w:rsidRPr="00156BA7">
              <w:rPr>
                <w:sz w:val="20"/>
                <w:szCs w:val="20"/>
              </w:rPr>
              <w:t xml:space="preserve">Alkaline </w:t>
            </w:r>
            <w:r>
              <w:rPr>
                <w:sz w:val="20"/>
                <w:szCs w:val="20"/>
              </w:rPr>
              <w:t>p</w:t>
            </w:r>
            <w:r w:rsidRPr="00156BA7">
              <w:rPr>
                <w:sz w:val="20"/>
                <w:szCs w:val="20"/>
              </w:rPr>
              <w:t>hosphatase increased</w:t>
            </w:r>
          </w:p>
        </w:tc>
        <w:tc>
          <w:tcPr>
            <w:tcW w:w="697" w:type="pct"/>
          </w:tcPr>
          <w:p w14:paraId="306E88FB" w14:textId="76D4BC93" w:rsidR="00053E43" w:rsidRPr="00053E43" w:rsidRDefault="00053E43" w:rsidP="00053E43">
            <w:pPr>
              <w:spacing w:before="40" w:after="40" w:line="240" w:lineRule="auto"/>
              <w:jc w:val="center"/>
              <w:rPr>
                <w:sz w:val="20"/>
                <w:szCs w:val="20"/>
              </w:rPr>
            </w:pPr>
            <w:r w:rsidRPr="00053E43">
              <w:rPr>
                <w:sz w:val="20"/>
                <w:szCs w:val="20"/>
                <w:lang w:val="en-AU"/>
              </w:rPr>
              <w:t>41.2</w:t>
            </w:r>
          </w:p>
        </w:tc>
        <w:tc>
          <w:tcPr>
            <w:tcW w:w="921" w:type="pct"/>
            <w:shd w:val="clear" w:color="auto" w:fill="auto"/>
          </w:tcPr>
          <w:p w14:paraId="1B89D210" w14:textId="47D568FC" w:rsidR="00053E43" w:rsidRPr="00053E43" w:rsidRDefault="00053E43" w:rsidP="00053E43">
            <w:pPr>
              <w:spacing w:before="40" w:after="40" w:line="240" w:lineRule="auto"/>
              <w:jc w:val="center"/>
              <w:rPr>
                <w:sz w:val="20"/>
                <w:szCs w:val="20"/>
              </w:rPr>
            </w:pPr>
            <w:r w:rsidRPr="00053E43">
              <w:rPr>
                <w:sz w:val="20"/>
                <w:szCs w:val="20"/>
                <w:lang w:val="en-AU"/>
              </w:rPr>
              <w:t>8.3</w:t>
            </w:r>
          </w:p>
        </w:tc>
        <w:tc>
          <w:tcPr>
            <w:tcW w:w="921" w:type="pct"/>
          </w:tcPr>
          <w:p w14:paraId="114C713A" w14:textId="0F0BD725" w:rsidR="00053E43" w:rsidRPr="00053E43" w:rsidRDefault="00053E43" w:rsidP="00053E43">
            <w:pPr>
              <w:spacing w:before="40" w:after="40" w:line="240" w:lineRule="auto"/>
              <w:jc w:val="center"/>
              <w:rPr>
                <w:bCs/>
                <w:sz w:val="20"/>
                <w:szCs w:val="20"/>
              </w:rPr>
            </w:pPr>
            <w:r w:rsidRPr="00053E43">
              <w:rPr>
                <w:sz w:val="20"/>
                <w:szCs w:val="20"/>
                <w:lang w:val="en-AU"/>
              </w:rPr>
              <w:t>44.4</w:t>
            </w:r>
          </w:p>
        </w:tc>
        <w:tc>
          <w:tcPr>
            <w:tcW w:w="921" w:type="pct"/>
          </w:tcPr>
          <w:p w14:paraId="3CA08780" w14:textId="1DFFB30D" w:rsidR="00053E43" w:rsidRPr="00053E43" w:rsidRDefault="00053E43" w:rsidP="00053E43">
            <w:pPr>
              <w:spacing w:before="40" w:after="40" w:line="240" w:lineRule="auto"/>
              <w:jc w:val="center"/>
              <w:rPr>
                <w:bCs/>
                <w:sz w:val="20"/>
                <w:szCs w:val="20"/>
              </w:rPr>
            </w:pPr>
            <w:r w:rsidRPr="00053E43">
              <w:rPr>
                <w:sz w:val="20"/>
                <w:szCs w:val="20"/>
                <w:lang w:val="en-AU"/>
              </w:rPr>
              <w:t>5.4</w:t>
            </w:r>
          </w:p>
        </w:tc>
      </w:tr>
      <w:tr w:rsidR="00053E43" w:rsidRPr="00156BA7" w14:paraId="7E564B18" w14:textId="77777777" w:rsidTr="00D5097A">
        <w:tc>
          <w:tcPr>
            <w:tcW w:w="1540" w:type="pct"/>
            <w:shd w:val="clear" w:color="auto" w:fill="auto"/>
          </w:tcPr>
          <w:p w14:paraId="0DAD41C3" w14:textId="77777777" w:rsidR="00053E43" w:rsidRPr="00156BA7" w:rsidRDefault="00053E43" w:rsidP="00053E43">
            <w:pPr>
              <w:spacing w:before="40" w:after="40" w:line="240" w:lineRule="auto"/>
              <w:rPr>
                <w:sz w:val="20"/>
                <w:szCs w:val="20"/>
              </w:rPr>
            </w:pPr>
            <w:r w:rsidRPr="00156BA7">
              <w:rPr>
                <w:sz w:val="20"/>
                <w:szCs w:val="20"/>
              </w:rPr>
              <w:t>Glucose increased</w:t>
            </w:r>
          </w:p>
        </w:tc>
        <w:tc>
          <w:tcPr>
            <w:tcW w:w="697" w:type="pct"/>
          </w:tcPr>
          <w:p w14:paraId="4AC09EE5" w14:textId="61ABC6FE" w:rsidR="00053E43" w:rsidRPr="00053E43" w:rsidRDefault="00053E43" w:rsidP="00053E43">
            <w:pPr>
              <w:spacing w:before="40" w:after="40" w:line="240" w:lineRule="auto"/>
              <w:jc w:val="center"/>
              <w:rPr>
                <w:sz w:val="20"/>
                <w:szCs w:val="20"/>
              </w:rPr>
            </w:pPr>
            <w:r w:rsidRPr="00053E43">
              <w:rPr>
                <w:sz w:val="20"/>
                <w:szCs w:val="20"/>
                <w:lang w:val="en-AU"/>
              </w:rPr>
              <w:t>38.9</w:t>
            </w:r>
          </w:p>
        </w:tc>
        <w:tc>
          <w:tcPr>
            <w:tcW w:w="921" w:type="pct"/>
            <w:shd w:val="clear" w:color="auto" w:fill="auto"/>
          </w:tcPr>
          <w:p w14:paraId="5A9C94DA" w14:textId="722745A5" w:rsidR="00053E43" w:rsidRPr="00053E43" w:rsidRDefault="00053E43" w:rsidP="00053E43">
            <w:pPr>
              <w:spacing w:before="40" w:after="40" w:line="240" w:lineRule="auto"/>
              <w:jc w:val="center"/>
              <w:rPr>
                <w:sz w:val="20"/>
                <w:szCs w:val="20"/>
              </w:rPr>
            </w:pPr>
            <w:r w:rsidRPr="00053E43">
              <w:rPr>
                <w:sz w:val="20"/>
                <w:szCs w:val="20"/>
                <w:lang w:val="en-AU"/>
              </w:rPr>
              <w:t>13.5</w:t>
            </w:r>
          </w:p>
        </w:tc>
        <w:tc>
          <w:tcPr>
            <w:tcW w:w="921" w:type="pct"/>
          </w:tcPr>
          <w:p w14:paraId="44074AFC" w14:textId="289119FD" w:rsidR="00053E43" w:rsidRPr="00053E43" w:rsidRDefault="00053E43" w:rsidP="00053E43">
            <w:pPr>
              <w:spacing w:before="40" w:after="40" w:line="240" w:lineRule="auto"/>
              <w:jc w:val="center"/>
              <w:rPr>
                <w:sz w:val="20"/>
                <w:szCs w:val="20"/>
              </w:rPr>
            </w:pPr>
            <w:r w:rsidRPr="00053E43">
              <w:rPr>
                <w:sz w:val="20"/>
                <w:szCs w:val="20"/>
                <w:lang w:val="en-AU"/>
              </w:rPr>
              <w:t>29.1</w:t>
            </w:r>
          </w:p>
        </w:tc>
        <w:tc>
          <w:tcPr>
            <w:tcW w:w="921" w:type="pct"/>
          </w:tcPr>
          <w:p w14:paraId="66D46C94" w14:textId="24CBBC7C" w:rsidR="00053E43" w:rsidRPr="00053E43" w:rsidRDefault="00053E43" w:rsidP="00053E43">
            <w:pPr>
              <w:spacing w:before="40" w:after="40" w:line="240" w:lineRule="auto"/>
              <w:jc w:val="center"/>
              <w:rPr>
                <w:sz w:val="20"/>
                <w:szCs w:val="20"/>
              </w:rPr>
            </w:pPr>
            <w:r w:rsidRPr="00053E43">
              <w:rPr>
                <w:sz w:val="20"/>
                <w:szCs w:val="20"/>
                <w:lang w:val="en-AU"/>
              </w:rPr>
              <w:t>3.7</w:t>
            </w:r>
          </w:p>
        </w:tc>
      </w:tr>
      <w:tr w:rsidR="00053E43" w:rsidRPr="00156BA7" w14:paraId="5E14306F" w14:textId="77777777" w:rsidTr="00D5097A">
        <w:tc>
          <w:tcPr>
            <w:tcW w:w="1540" w:type="pct"/>
            <w:shd w:val="clear" w:color="auto" w:fill="auto"/>
          </w:tcPr>
          <w:p w14:paraId="4F8BD60C" w14:textId="77777777" w:rsidR="00053E43" w:rsidRPr="00156BA7" w:rsidRDefault="00053E43" w:rsidP="00053E43">
            <w:pPr>
              <w:spacing w:before="40" w:after="40" w:line="240" w:lineRule="auto"/>
              <w:rPr>
                <w:sz w:val="20"/>
                <w:szCs w:val="20"/>
              </w:rPr>
            </w:pPr>
            <w:r w:rsidRPr="00156BA7">
              <w:rPr>
                <w:sz w:val="20"/>
                <w:szCs w:val="20"/>
              </w:rPr>
              <w:t>Calcium decreased</w:t>
            </w:r>
          </w:p>
        </w:tc>
        <w:tc>
          <w:tcPr>
            <w:tcW w:w="697" w:type="pct"/>
          </w:tcPr>
          <w:p w14:paraId="429F6DCA" w14:textId="30C1D2DF" w:rsidR="00053E43" w:rsidRPr="00053E43" w:rsidRDefault="00053E43" w:rsidP="00053E43">
            <w:pPr>
              <w:spacing w:before="40" w:after="40" w:line="240" w:lineRule="auto"/>
              <w:jc w:val="center"/>
              <w:rPr>
                <w:sz w:val="20"/>
                <w:szCs w:val="20"/>
              </w:rPr>
            </w:pPr>
            <w:r w:rsidRPr="00053E43">
              <w:rPr>
                <w:sz w:val="20"/>
                <w:szCs w:val="20"/>
                <w:lang w:val="en-AU"/>
              </w:rPr>
              <w:t>33.5</w:t>
            </w:r>
          </w:p>
        </w:tc>
        <w:tc>
          <w:tcPr>
            <w:tcW w:w="921" w:type="pct"/>
            <w:shd w:val="clear" w:color="auto" w:fill="auto"/>
          </w:tcPr>
          <w:p w14:paraId="7943B9A4" w14:textId="66BF3934" w:rsidR="00053E43" w:rsidRPr="00053E43" w:rsidRDefault="00053E43" w:rsidP="00053E43">
            <w:pPr>
              <w:spacing w:before="40" w:after="40" w:line="240" w:lineRule="auto"/>
              <w:jc w:val="center"/>
              <w:rPr>
                <w:sz w:val="20"/>
                <w:szCs w:val="20"/>
              </w:rPr>
            </w:pPr>
            <w:r w:rsidRPr="00053E43">
              <w:rPr>
                <w:sz w:val="20"/>
                <w:szCs w:val="20"/>
                <w:lang w:val="en-AU"/>
              </w:rPr>
              <w:t>0</w:t>
            </w:r>
          </w:p>
        </w:tc>
        <w:tc>
          <w:tcPr>
            <w:tcW w:w="921" w:type="pct"/>
          </w:tcPr>
          <w:p w14:paraId="3635D1EC" w14:textId="63ABFBEC" w:rsidR="00053E43" w:rsidRPr="00053E43" w:rsidRDefault="00053E43" w:rsidP="00053E43">
            <w:pPr>
              <w:spacing w:before="40" w:after="40" w:line="240" w:lineRule="auto"/>
              <w:jc w:val="center"/>
              <w:rPr>
                <w:sz w:val="20"/>
                <w:szCs w:val="20"/>
              </w:rPr>
            </w:pPr>
            <w:r w:rsidRPr="00053E43">
              <w:rPr>
                <w:sz w:val="20"/>
                <w:szCs w:val="20"/>
                <w:lang w:val="en-AU"/>
              </w:rPr>
              <w:t>43.0</w:t>
            </w:r>
          </w:p>
        </w:tc>
        <w:tc>
          <w:tcPr>
            <w:tcW w:w="921" w:type="pct"/>
          </w:tcPr>
          <w:p w14:paraId="49C322A0" w14:textId="23E87E69" w:rsidR="00053E43" w:rsidRPr="00053E43" w:rsidRDefault="00053E43" w:rsidP="00053E43">
            <w:pPr>
              <w:spacing w:before="40" w:after="40" w:line="240" w:lineRule="auto"/>
              <w:jc w:val="center"/>
              <w:rPr>
                <w:sz w:val="20"/>
                <w:szCs w:val="20"/>
              </w:rPr>
            </w:pPr>
            <w:r w:rsidRPr="00053E43">
              <w:rPr>
                <w:sz w:val="20"/>
                <w:szCs w:val="20"/>
                <w:lang w:val="en-AU"/>
              </w:rPr>
              <w:t>0.3</w:t>
            </w:r>
          </w:p>
        </w:tc>
      </w:tr>
      <w:tr w:rsidR="00053E43" w:rsidRPr="00156BA7" w14:paraId="426A645B" w14:textId="77777777" w:rsidTr="00D5097A">
        <w:tc>
          <w:tcPr>
            <w:tcW w:w="1540" w:type="pct"/>
            <w:shd w:val="clear" w:color="auto" w:fill="auto"/>
          </w:tcPr>
          <w:p w14:paraId="47930A22" w14:textId="77777777" w:rsidR="00053E43" w:rsidRPr="00156BA7" w:rsidRDefault="00053E43" w:rsidP="00053E43">
            <w:pPr>
              <w:spacing w:before="40" w:after="40" w:line="240" w:lineRule="auto"/>
              <w:rPr>
                <w:sz w:val="20"/>
                <w:szCs w:val="20"/>
              </w:rPr>
            </w:pPr>
            <w:r w:rsidRPr="00156BA7">
              <w:rPr>
                <w:sz w:val="20"/>
                <w:szCs w:val="20"/>
              </w:rPr>
              <w:t>Albumin decreased</w:t>
            </w:r>
          </w:p>
        </w:tc>
        <w:tc>
          <w:tcPr>
            <w:tcW w:w="697" w:type="pct"/>
          </w:tcPr>
          <w:p w14:paraId="6EF8A532" w14:textId="0A10120F" w:rsidR="00053E43" w:rsidRPr="00053E43" w:rsidRDefault="00053E43" w:rsidP="00053E43">
            <w:pPr>
              <w:spacing w:before="40" w:after="40" w:line="240" w:lineRule="auto"/>
              <w:jc w:val="center"/>
              <w:rPr>
                <w:sz w:val="20"/>
                <w:szCs w:val="20"/>
              </w:rPr>
            </w:pPr>
            <w:r w:rsidRPr="00053E43">
              <w:rPr>
                <w:sz w:val="20"/>
                <w:szCs w:val="20"/>
                <w:lang w:val="en-AU"/>
              </w:rPr>
              <w:t>31.3</w:t>
            </w:r>
          </w:p>
        </w:tc>
        <w:tc>
          <w:tcPr>
            <w:tcW w:w="921" w:type="pct"/>
            <w:shd w:val="clear" w:color="auto" w:fill="auto"/>
          </w:tcPr>
          <w:p w14:paraId="53E6701D" w14:textId="5C3861D3" w:rsidR="00053E43" w:rsidRPr="00053E43" w:rsidRDefault="00053E43" w:rsidP="00053E43">
            <w:pPr>
              <w:spacing w:before="40" w:after="40" w:line="240" w:lineRule="auto"/>
              <w:jc w:val="center"/>
              <w:rPr>
                <w:sz w:val="20"/>
                <w:szCs w:val="20"/>
              </w:rPr>
            </w:pPr>
            <w:r w:rsidRPr="00053E43">
              <w:rPr>
                <w:sz w:val="20"/>
                <w:szCs w:val="20"/>
                <w:lang w:val="en-AU"/>
              </w:rPr>
              <w:t>0.5</w:t>
            </w:r>
          </w:p>
        </w:tc>
        <w:tc>
          <w:tcPr>
            <w:tcW w:w="921" w:type="pct"/>
          </w:tcPr>
          <w:p w14:paraId="4A67F99A" w14:textId="7D96364F" w:rsidR="00053E43" w:rsidRPr="00053E43" w:rsidRDefault="00053E43" w:rsidP="00053E43">
            <w:pPr>
              <w:spacing w:before="40" w:after="40" w:line="240" w:lineRule="auto"/>
              <w:jc w:val="center"/>
              <w:rPr>
                <w:sz w:val="20"/>
                <w:szCs w:val="20"/>
              </w:rPr>
            </w:pPr>
            <w:r w:rsidRPr="00053E43">
              <w:rPr>
                <w:sz w:val="20"/>
                <w:szCs w:val="20"/>
                <w:lang w:val="en-AU"/>
              </w:rPr>
              <w:t>37.1</w:t>
            </w:r>
          </w:p>
        </w:tc>
        <w:tc>
          <w:tcPr>
            <w:tcW w:w="921" w:type="pct"/>
          </w:tcPr>
          <w:p w14:paraId="11DF6675" w14:textId="6D8E1640" w:rsidR="00053E43" w:rsidRPr="00053E43" w:rsidRDefault="00053E43" w:rsidP="00053E43">
            <w:pPr>
              <w:spacing w:before="40" w:after="40" w:line="240" w:lineRule="auto"/>
              <w:jc w:val="center"/>
              <w:rPr>
                <w:sz w:val="20"/>
                <w:szCs w:val="20"/>
              </w:rPr>
            </w:pPr>
            <w:r w:rsidRPr="00053E43">
              <w:rPr>
                <w:sz w:val="20"/>
                <w:szCs w:val="20"/>
                <w:lang w:val="en-AU"/>
              </w:rPr>
              <w:t>1.7</w:t>
            </w:r>
          </w:p>
        </w:tc>
      </w:tr>
      <w:tr w:rsidR="00053E43" w:rsidRPr="00156BA7" w14:paraId="34424813" w14:textId="77777777" w:rsidTr="00D5097A">
        <w:tc>
          <w:tcPr>
            <w:tcW w:w="1540" w:type="pct"/>
            <w:shd w:val="clear" w:color="auto" w:fill="auto"/>
          </w:tcPr>
          <w:p w14:paraId="0698C656" w14:textId="77777777" w:rsidR="00053E43" w:rsidRPr="00156BA7" w:rsidRDefault="00053E43" w:rsidP="00053E43">
            <w:pPr>
              <w:spacing w:before="40" w:after="40" w:line="240" w:lineRule="auto"/>
              <w:rPr>
                <w:sz w:val="20"/>
                <w:szCs w:val="20"/>
              </w:rPr>
            </w:pPr>
            <w:r w:rsidRPr="00156BA7">
              <w:rPr>
                <w:sz w:val="20"/>
                <w:szCs w:val="20"/>
              </w:rPr>
              <w:t>Potassium increased</w:t>
            </w:r>
          </w:p>
        </w:tc>
        <w:tc>
          <w:tcPr>
            <w:tcW w:w="697" w:type="pct"/>
          </w:tcPr>
          <w:p w14:paraId="2DFD8B77" w14:textId="7CEBECEC" w:rsidR="00053E43" w:rsidRPr="00053E43" w:rsidRDefault="00053E43" w:rsidP="00053E43">
            <w:pPr>
              <w:spacing w:before="40" w:after="40" w:line="240" w:lineRule="auto"/>
              <w:jc w:val="center"/>
              <w:rPr>
                <w:sz w:val="20"/>
                <w:szCs w:val="20"/>
              </w:rPr>
            </w:pPr>
            <w:r w:rsidRPr="00053E43">
              <w:rPr>
                <w:sz w:val="20"/>
                <w:szCs w:val="20"/>
                <w:lang w:val="en-AU"/>
              </w:rPr>
              <w:t>28.4</w:t>
            </w:r>
          </w:p>
        </w:tc>
        <w:tc>
          <w:tcPr>
            <w:tcW w:w="921" w:type="pct"/>
            <w:shd w:val="clear" w:color="auto" w:fill="auto"/>
          </w:tcPr>
          <w:p w14:paraId="72DC0CE0" w14:textId="01816D12" w:rsidR="00053E43" w:rsidRPr="00053E43" w:rsidRDefault="00053E43" w:rsidP="00053E43">
            <w:pPr>
              <w:spacing w:before="40" w:after="40" w:line="240" w:lineRule="auto"/>
              <w:jc w:val="center"/>
              <w:rPr>
                <w:sz w:val="20"/>
                <w:szCs w:val="20"/>
              </w:rPr>
            </w:pPr>
            <w:r w:rsidRPr="00053E43">
              <w:rPr>
                <w:sz w:val="20"/>
                <w:szCs w:val="20"/>
                <w:lang w:val="en-AU"/>
              </w:rPr>
              <w:t>3.8</w:t>
            </w:r>
          </w:p>
        </w:tc>
        <w:tc>
          <w:tcPr>
            <w:tcW w:w="921" w:type="pct"/>
          </w:tcPr>
          <w:p w14:paraId="7EE6D380" w14:textId="497C32A1" w:rsidR="00053E43" w:rsidRPr="00053E43" w:rsidRDefault="00053E43" w:rsidP="00053E43">
            <w:pPr>
              <w:spacing w:before="40" w:after="40" w:line="240" w:lineRule="auto"/>
              <w:jc w:val="center"/>
              <w:rPr>
                <w:sz w:val="20"/>
                <w:szCs w:val="20"/>
              </w:rPr>
            </w:pPr>
            <w:r w:rsidRPr="00053E43">
              <w:rPr>
                <w:sz w:val="20"/>
                <w:szCs w:val="20"/>
                <w:lang w:val="en-AU"/>
              </w:rPr>
              <w:t>21.3</w:t>
            </w:r>
          </w:p>
        </w:tc>
        <w:tc>
          <w:tcPr>
            <w:tcW w:w="921" w:type="pct"/>
          </w:tcPr>
          <w:p w14:paraId="784CC584" w14:textId="2573634D" w:rsidR="00053E43" w:rsidRPr="00053E43" w:rsidRDefault="00053E43" w:rsidP="00053E43">
            <w:pPr>
              <w:spacing w:before="40" w:after="40" w:line="240" w:lineRule="auto"/>
              <w:jc w:val="center"/>
              <w:rPr>
                <w:sz w:val="20"/>
                <w:szCs w:val="20"/>
              </w:rPr>
            </w:pPr>
            <w:r w:rsidRPr="00053E43">
              <w:rPr>
                <w:sz w:val="20"/>
                <w:szCs w:val="20"/>
                <w:lang w:val="en-AU"/>
              </w:rPr>
              <w:t>2.6</w:t>
            </w:r>
          </w:p>
        </w:tc>
      </w:tr>
      <w:tr w:rsidR="00053E43" w:rsidRPr="00156BA7" w14:paraId="7F506722" w14:textId="77777777" w:rsidTr="00D5097A">
        <w:tc>
          <w:tcPr>
            <w:tcW w:w="1540" w:type="pct"/>
            <w:shd w:val="clear" w:color="auto" w:fill="auto"/>
          </w:tcPr>
          <w:p w14:paraId="6DD3C2C3" w14:textId="77777777" w:rsidR="00053E43" w:rsidRPr="00156BA7" w:rsidRDefault="00053E43" w:rsidP="00053E43">
            <w:pPr>
              <w:spacing w:before="40" w:after="40" w:line="240" w:lineRule="auto"/>
              <w:rPr>
                <w:sz w:val="20"/>
                <w:szCs w:val="20"/>
              </w:rPr>
            </w:pPr>
            <w:r w:rsidRPr="00156BA7">
              <w:rPr>
                <w:sz w:val="20"/>
                <w:szCs w:val="20"/>
              </w:rPr>
              <w:t>Creatinine increased</w:t>
            </w:r>
          </w:p>
        </w:tc>
        <w:tc>
          <w:tcPr>
            <w:tcW w:w="697" w:type="pct"/>
          </w:tcPr>
          <w:p w14:paraId="6FE3A614" w14:textId="4AE07DFB" w:rsidR="00053E43" w:rsidRPr="00053E43" w:rsidRDefault="00053E43" w:rsidP="00053E43">
            <w:pPr>
              <w:spacing w:before="40" w:after="40" w:line="240" w:lineRule="auto"/>
              <w:jc w:val="center"/>
              <w:rPr>
                <w:sz w:val="20"/>
                <w:szCs w:val="20"/>
              </w:rPr>
            </w:pPr>
            <w:r w:rsidRPr="00053E43">
              <w:rPr>
                <w:sz w:val="20"/>
                <w:szCs w:val="20"/>
                <w:lang w:val="en-AU"/>
              </w:rPr>
              <w:t>20.9</w:t>
            </w:r>
          </w:p>
        </w:tc>
        <w:tc>
          <w:tcPr>
            <w:tcW w:w="921" w:type="pct"/>
            <w:shd w:val="clear" w:color="auto" w:fill="auto"/>
          </w:tcPr>
          <w:p w14:paraId="0B673532" w14:textId="44A08BF4" w:rsidR="00053E43" w:rsidRPr="00053E43" w:rsidRDefault="00053E43" w:rsidP="00053E43">
            <w:pPr>
              <w:spacing w:before="40" w:after="40" w:line="240" w:lineRule="auto"/>
              <w:jc w:val="center"/>
              <w:rPr>
                <w:sz w:val="20"/>
                <w:szCs w:val="20"/>
              </w:rPr>
            </w:pPr>
            <w:r w:rsidRPr="00053E43">
              <w:rPr>
                <w:sz w:val="20"/>
                <w:szCs w:val="20"/>
                <w:lang w:val="en-AU"/>
              </w:rPr>
              <w:t>1.3</w:t>
            </w:r>
          </w:p>
        </w:tc>
        <w:tc>
          <w:tcPr>
            <w:tcW w:w="921" w:type="pct"/>
          </w:tcPr>
          <w:p w14:paraId="1170703F" w14:textId="1B98038C" w:rsidR="00053E43" w:rsidRPr="00053E43" w:rsidRDefault="00053E43" w:rsidP="00053E43">
            <w:pPr>
              <w:spacing w:before="40" w:after="40" w:line="240" w:lineRule="auto"/>
              <w:jc w:val="center"/>
              <w:rPr>
                <w:sz w:val="20"/>
                <w:szCs w:val="20"/>
              </w:rPr>
            </w:pPr>
            <w:r w:rsidRPr="00053E43">
              <w:rPr>
                <w:sz w:val="20"/>
                <w:szCs w:val="20"/>
                <w:lang w:val="en-AU"/>
              </w:rPr>
              <w:t>14.8</w:t>
            </w:r>
          </w:p>
        </w:tc>
        <w:tc>
          <w:tcPr>
            <w:tcW w:w="921" w:type="pct"/>
          </w:tcPr>
          <w:p w14:paraId="218ED364" w14:textId="1908B6EA" w:rsidR="00053E43" w:rsidRPr="00053E43" w:rsidRDefault="00053E43" w:rsidP="00053E43">
            <w:pPr>
              <w:spacing w:before="40" w:after="40" w:line="240" w:lineRule="auto"/>
              <w:jc w:val="center"/>
              <w:rPr>
                <w:sz w:val="20"/>
                <w:szCs w:val="20"/>
              </w:rPr>
            </w:pPr>
            <w:r w:rsidRPr="00053E43">
              <w:rPr>
                <w:sz w:val="20"/>
                <w:szCs w:val="20"/>
                <w:lang w:val="en-AU"/>
              </w:rPr>
              <w:t>0.9</w:t>
            </w:r>
          </w:p>
        </w:tc>
      </w:tr>
      <w:tr w:rsidR="00053E43" w:rsidRPr="00156BA7" w14:paraId="198F7552" w14:textId="77777777" w:rsidTr="00053E43">
        <w:tc>
          <w:tcPr>
            <w:tcW w:w="3158" w:type="pct"/>
            <w:gridSpan w:val="3"/>
            <w:shd w:val="clear" w:color="auto" w:fill="auto"/>
          </w:tcPr>
          <w:p w14:paraId="4A919250" w14:textId="77777777" w:rsidR="00053E43" w:rsidRPr="00053E43" w:rsidRDefault="00053E43" w:rsidP="00053E43">
            <w:pPr>
              <w:spacing w:before="40" w:after="40" w:line="240" w:lineRule="auto"/>
              <w:rPr>
                <w:sz w:val="20"/>
                <w:szCs w:val="20"/>
              </w:rPr>
            </w:pPr>
            <w:r w:rsidRPr="00053E43">
              <w:rPr>
                <w:b/>
                <w:sz w:val="20"/>
                <w:szCs w:val="20"/>
              </w:rPr>
              <w:lastRenderedPageBreak/>
              <w:t>Haematology</w:t>
            </w:r>
          </w:p>
        </w:tc>
        <w:tc>
          <w:tcPr>
            <w:tcW w:w="1842" w:type="pct"/>
            <w:gridSpan w:val="2"/>
          </w:tcPr>
          <w:p w14:paraId="195629D4" w14:textId="77777777" w:rsidR="00053E43" w:rsidRPr="00053E43" w:rsidRDefault="00053E43" w:rsidP="00053E43">
            <w:pPr>
              <w:spacing w:before="40" w:after="40" w:line="240" w:lineRule="auto"/>
              <w:rPr>
                <w:b/>
                <w:sz w:val="20"/>
                <w:szCs w:val="20"/>
              </w:rPr>
            </w:pPr>
          </w:p>
        </w:tc>
      </w:tr>
      <w:tr w:rsidR="00053E43" w:rsidRPr="00156BA7" w14:paraId="61930E72" w14:textId="77777777" w:rsidTr="00D5097A">
        <w:tc>
          <w:tcPr>
            <w:tcW w:w="1540" w:type="pct"/>
            <w:shd w:val="clear" w:color="auto" w:fill="auto"/>
            <w:vAlign w:val="center"/>
          </w:tcPr>
          <w:p w14:paraId="2F949352" w14:textId="77777777" w:rsidR="00053E43" w:rsidRPr="00156BA7" w:rsidRDefault="00053E43" w:rsidP="00053E43">
            <w:pPr>
              <w:spacing w:before="40" w:after="40" w:line="240" w:lineRule="auto"/>
              <w:rPr>
                <w:sz w:val="20"/>
                <w:szCs w:val="20"/>
              </w:rPr>
            </w:pPr>
            <w:r w:rsidRPr="00156BA7">
              <w:rPr>
                <w:sz w:val="20"/>
                <w:szCs w:val="20"/>
              </w:rPr>
              <w:t>Haemoglobin decreased</w:t>
            </w:r>
          </w:p>
        </w:tc>
        <w:tc>
          <w:tcPr>
            <w:tcW w:w="697" w:type="pct"/>
          </w:tcPr>
          <w:p w14:paraId="71E48408" w14:textId="12889AB7" w:rsidR="00053E43" w:rsidRPr="00053E43" w:rsidRDefault="00053E43" w:rsidP="00053E43">
            <w:pPr>
              <w:spacing w:before="40" w:after="40" w:line="240" w:lineRule="auto"/>
              <w:jc w:val="center"/>
              <w:rPr>
                <w:sz w:val="20"/>
                <w:szCs w:val="20"/>
              </w:rPr>
            </w:pPr>
            <w:r w:rsidRPr="00053E43">
              <w:rPr>
                <w:sz w:val="20"/>
                <w:szCs w:val="20"/>
                <w:lang w:val="en-AU"/>
              </w:rPr>
              <w:t>51.6</w:t>
            </w:r>
          </w:p>
        </w:tc>
        <w:tc>
          <w:tcPr>
            <w:tcW w:w="921" w:type="pct"/>
            <w:shd w:val="clear" w:color="auto" w:fill="auto"/>
          </w:tcPr>
          <w:p w14:paraId="66AA1F8A" w14:textId="3C401F6F" w:rsidR="00053E43" w:rsidRPr="00053E43" w:rsidRDefault="00053E43" w:rsidP="00053E43">
            <w:pPr>
              <w:spacing w:before="40" w:after="40" w:line="240" w:lineRule="auto"/>
              <w:jc w:val="center"/>
              <w:rPr>
                <w:sz w:val="20"/>
                <w:szCs w:val="20"/>
              </w:rPr>
            </w:pPr>
            <w:r w:rsidRPr="00053E43">
              <w:rPr>
                <w:sz w:val="20"/>
                <w:szCs w:val="20"/>
                <w:lang w:val="en-AU"/>
              </w:rPr>
              <w:t>4.8</w:t>
            </w:r>
          </w:p>
        </w:tc>
        <w:tc>
          <w:tcPr>
            <w:tcW w:w="921" w:type="pct"/>
          </w:tcPr>
          <w:p w14:paraId="2788DC0F" w14:textId="189DE044" w:rsidR="00053E43" w:rsidRPr="00053E43" w:rsidRDefault="00053E43" w:rsidP="00053E43">
            <w:pPr>
              <w:spacing w:before="40" w:after="40" w:line="240" w:lineRule="auto"/>
              <w:jc w:val="center"/>
              <w:rPr>
                <w:sz w:val="20"/>
                <w:szCs w:val="20"/>
              </w:rPr>
            </w:pPr>
            <w:r w:rsidRPr="00053E43">
              <w:rPr>
                <w:sz w:val="20"/>
                <w:szCs w:val="20"/>
                <w:lang w:val="en-AU"/>
              </w:rPr>
              <w:t>40.3</w:t>
            </w:r>
          </w:p>
        </w:tc>
        <w:tc>
          <w:tcPr>
            <w:tcW w:w="921" w:type="pct"/>
          </w:tcPr>
          <w:p w14:paraId="486EE6A4" w14:textId="59AB8BBB" w:rsidR="00053E43" w:rsidRPr="00053E43" w:rsidRDefault="00053E43" w:rsidP="00053E43">
            <w:pPr>
              <w:spacing w:before="40" w:after="40" w:line="240" w:lineRule="auto"/>
              <w:jc w:val="center"/>
              <w:rPr>
                <w:sz w:val="20"/>
                <w:szCs w:val="20"/>
              </w:rPr>
            </w:pPr>
            <w:r w:rsidRPr="00053E43">
              <w:rPr>
                <w:sz w:val="20"/>
                <w:szCs w:val="20"/>
                <w:lang w:val="en-AU"/>
              </w:rPr>
              <w:t>6.0</w:t>
            </w:r>
          </w:p>
        </w:tc>
      </w:tr>
      <w:tr w:rsidR="00053E43" w:rsidRPr="00156BA7" w14:paraId="20A22CEE" w14:textId="77777777" w:rsidTr="00D5097A">
        <w:tc>
          <w:tcPr>
            <w:tcW w:w="1540" w:type="pct"/>
            <w:shd w:val="clear" w:color="auto" w:fill="auto"/>
            <w:vAlign w:val="center"/>
          </w:tcPr>
          <w:p w14:paraId="619E28B1" w14:textId="77777777" w:rsidR="00053E43" w:rsidRPr="00156BA7" w:rsidRDefault="00053E43" w:rsidP="00053E43">
            <w:pPr>
              <w:spacing w:before="40" w:after="40" w:line="240" w:lineRule="auto"/>
              <w:rPr>
                <w:sz w:val="20"/>
                <w:szCs w:val="20"/>
              </w:rPr>
            </w:pPr>
            <w:r w:rsidRPr="00156BA7">
              <w:rPr>
                <w:sz w:val="20"/>
                <w:szCs w:val="20"/>
              </w:rPr>
              <w:t>Lymphocytes decreased</w:t>
            </w:r>
          </w:p>
        </w:tc>
        <w:tc>
          <w:tcPr>
            <w:tcW w:w="697" w:type="pct"/>
          </w:tcPr>
          <w:p w14:paraId="0B8C031E" w14:textId="4E6C4C95" w:rsidR="00053E43" w:rsidRPr="00053E43" w:rsidRDefault="00053E43" w:rsidP="00053E43">
            <w:pPr>
              <w:spacing w:before="40" w:after="40" w:line="240" w:lineRule="auto"/>
              <w:jc w:val="center"/>
              <w:rPr>
                <w:sz w:val="20"/>
                <w:szCs w:val="20"/>
              </w:rPr>
            </w:pPr>
            <w:r w:rsidRPr="00053E43">
              <w:rPr>
                <w:sz w:val="20"/>
                <w:szCs w:val="20"/>
                <w:lang w:val="en-AU"/>
              </w:rPr>
              <w:t>41.4</w:t>
            </w:r>
          </w:p>
        </w:tc>
        <w:tc>
          <w:tcPr>
            <w:tcW w:w="921" w:type="pct"/>
            <w:shd w:val="clear" w:color="auto" w:fill="auto"/>
          </w:tcPr>
          <w:p w14:paraId="15605032" w14:textId="6A07898F" w:rsidR="00053E43" w:rsidRPr="00053E43" w:rsidRDefault="00053E43" w:rsidP="00053E43">
            <w:pPr>
              <w:spacing w:before="40" w:after="40" w:line="240" w:lineRule="auto"/>
              <w:jc w:val="center"/>
              <w:rPr>
                <w:sz w:val="20"/>
                <w:szCs w:val="20"/>
              </w:rPr>
            </w:pPr>
            <w:r w:rsidRPr="00053E43">
              <w:rPr>
                <w:sz w:val="20"/>
                <w:szCs w:val="20"/>
                <w:lang w:val="en-AU"/>
              </w:rPr>
              <w:t>11.1</w:t>
            </w:r>
          </w:p>
        </w:tc>
        <w:tc>
          <w:tcPr>
            <w:tcW w:w="921" w:type="pct"/>
          </w:tcPr>
          <w:p w14:paraId="2AF14DC8" w14:textId="15E79FA9" w:rsidR="00053E43" w:rsidRPr="00053E43" w:rsidRDefault="00053E43" w:rsidP="00053E43">
            <w:pPr>
              <w:spacing w:before="40" w:after="40" w:line="240" w:lineRule="auto"/>
              <w:jc w:val="center"/>
              <w:rPr>
                <w:sz w:val="20"/>
                <w:szCs w:val="20"/>
              </w:rPr>
            </w:pPr>
            <w:r w:rsidRPr="00053E43">
              <w:rPr>
                <w:sz w:val="20"/>
                <w:szCs w:val="20"/>
                <w:lang w:val="en-AU"/>
              </w:rPr>
              <w:t>39.3</w:t>
            </w:r>
          </w:p>
        </w:tc>
        <w:tc>
          <w:tcPr>
            <w:tcW w:w="921" w:type="pct"/>
          </w:tcPr>
          <w:p w14:paraId="0641AD4E" w14:textId="706949F5" w:rsidR="00053E43" w:rsidRPr="00053E43" w:rsidRDefault="00053E43" w:rsidP="00053E43">
            <w:pPr>
              <w:spacing w:before="40" w:after="40" w:line="240" w:lineRule="auto"/>
              <w:jc w:val="center"/>
              <w:rPr>
                <w:sz w:val="20"/>
                <w:szCs w:val="20"/>
              </w:rPr>
            </w:pPr>
            <w:r w:rsidRPr="00053E43">
              <w:rPr>
                <w:sz w:val="20"/>
                <w:szCs w:val="20"/>
                <w:lang w:val="en-AU"/>
              </w:rPr>
              <w:t>10.0</w:t>
            </w:r>
          </w:p>
        </w:tc>
      </w:tr>
      <w:tr w:rsidR="00053E43" w:rsidRPr="00156BA7" w14:paraId="17F4D7D1" w14:textId="77777777" w:rsidTr="00D5097A">
        <w:tc>
          <w:tcPr>
            <w:tcW w:w="1540" w:type="pct"/>
            <w:shd w:val="clear" w:color="auto" w:fill="auto"/>
            <w:vAlign w:val="center"/>
          </w:tcPr>
          <w:p w14:paraId="08A264A8" w14:textId="77777777" w:rsidR="00053E43" w:rsidRPr="00156BA7" w:rsidRDefault="00053E43" w:rsidP="00053E43">
            <w:pPr>
              <w:spacing w:before="40" w:after="40" w:line="240" w:lineRule="auto"/>
              <w:rPr>
                <w:sz w:val="20"/>
                <w:szCs w:val="20"/>
              </w:rPr>
            </w:pPr>
            <w:r w:rsidRPr="00156BA7">
              <w:rPr>
                <w:sz w:val="20"/>
                <w:szCs w:val="20"/>
              </w:rPr>
              <w:t>Platelets decreased</w:t>
            </w:r>
          </w:p>
        </w:tc>
        <w:tc>
          <w:tcPr>
            <w:tcW w:w="697" w:type="pct"/>
          </w:tcPr>
          <w:p w14:paraId="58FC2B5D" w14:textId="710FB2CA" w:rsidR="00053E43" w:rsidRPr="00053E43" w:rsidRDefault="00053E43" w:rsidP="00053E43">
            <w:pPr>
              <w:spacing w:before="40" w:after="40" w:line="240" w:lineRule="auto"/>
              <w:jc w:val="center"/>
              <w:rPr>
                <w:sz w:val="20"/>
                <w:szCs w:val="20"/>
              </w:rPr>
            </w:pPr>
            <w:r w:rsidRPr="00053E43">
              <w:rPr>
                <w:sz w:val="20"/>
                <w:szCs w:val="20"/>
                <w:lang w:val="en-AU"/>
              </w:rPr>
              <w:t>28.8</w:t>
            </w:r>
          </w:p>
        </w:tc>
        <w:tc>
          <w:tcPr>
            <w:tcW w:w="921" w:type="pct"/>
            <w:shd w:val="clear" w:color="auto" w:fill="auto"/>
          </w:tcPr>
          <w:p w14:paraId="5D1880AD" w14:textId="0F68E428" w:rsidR="00053E43" w:rsidRPr="00053E43" w:rsidRDefault="00053E43" w:rsidP="00053E43">
            <w:pPr>
              <w:spacing w:before="40" w:after="40" w:line="240" w:lineRule="auto"/>
              <w:jc w:val="center"/>
              <w:rPr>
                <w:sz w:val="20"/>
                <w:szCs w:val="20"/>
              </w:rPr>
            </w:pPr>
            <w:r w:rsidRPr="00053E43">
              <w:rPr>
                <w:sz w:val="20"/>
                <w:szCs w:val="20"/>
                <w:lang w:val="en-AU"/>
              </w:rPr>
              <w:t>1.6</w:t>
            </w:r>
          </w:p>
        </w:tc>
        <w:tc>
          <w:tcPr>
            <w:tcW w:w="921" w:type="pct"/>
          </w:tcPr>
          <w:p w14:paraId="100D4A49" w14:textId="7E8612A2" w:rsidR="00053E43" w:rsidRPr="00053E43" w:rsidRDefault="00053E43" w:rsidP="00053E43">
            <w:pPr>
              <w:spacing w:before="40" w:after="40" w:line="240" w:lineRule="auto"/>
              <w:jc w:val="center"/>
              <w:rPr>
                <w:sz w:val="20"/>
                <w:szCs w:val="20"/>
              </w:rPr>
            </w:pPr>
            <w:r w:rsidRPr="00053E43">
              <w:rPr>
                <w:sz w:val="20"/>
                <w:szCs w:val="20"/>
                <w:lang w:val="en-AU"/>
              </w:rPr>
              <w:t>34.7</w:t>
            </w:r>
          </w:p>
        </w:tc>
        <w:tc>
          <w:tcPr>
            <w:tcW w:w="921" w:type="pct"/>
          </w:tcPr>
          <w:p w14:paraId="68E79966" w14:textId="4092392E" w:rsidR="00053E43" w:rsidRPr="00053E43" w:rsidRDefault="00053E43" w:rsidP="00053E43">
            <w:pPr>
              <w:spacing w:before="40" w:after="40" w:line="240" w:lineRule="auto"/>
              <w:jc w:val="center"/>
              <w:rPr>
                <w:sz w:val="20"/>
                <w:szCs w:val="20"/>
              </w:rPr>
            </w:pPr>
            <w:r w:rsidRPr="00053E43">
              <w:rPr>
                <w:sz w:val="20"/>
                <w:szCs w:val="20"/>
                <w:lang w:val="en-AU"/>
              </w:rPr>
              <w:t>3.1</w:t>
            </w:r>
          </w:p>
        </w:tc>
      </w:tr>
      <w:tr w:rsidR="00053E43" w:rsidRPr="00156BA7" w14:paraId="0B30A331" w14:textId="77777777" w:rsidTr="00D5097A">
        <w:tc>
          <w:tcPr>
            <w:tcW w:w="1540" w:type="pct"/>
            <w:tcBorders>
              <w:bottom w:val="single" w:sz="4" w:space="0" w:color="auto"/>
            </w:tcBorders>
            <w:shd w:val="clear" w:color="auto" w:fill="auto"/>
            <w:vAlign w:val="center"/>
          </w:tcPr>
          <w:p w14:paraId="270826C6" w14:textId="77777777" w:rsidR="00053E43" w:rsidRPr="00156BA7" w:rsidRDefault="00053E43" w:rsidP="00053E43">
            <w:pPr>
              <w:spacing w:before="40" w:after="40" w:line="240" w:lineRule="auto"/>
              <w:rPr>
                <w:sz w:val="20"/>
                <w:szCs w:val="20"/>
              </w:rPr>
            </w:pPr>
            <w:r w:rsidRPr="00156BA7">
              <w:rPr>
                <w:sz w:val="20"/>
                <w:szCs w:val="20"/>
              </w:rPr>
              <w:t>Leukocytes decreased</w:t>
            </w:r>
          </w:p>
        </w:tc>
        <w:tc>
          <w:tcPr>
            <w:tcW w:w="697" w:type="pct"/>
            <w:tcBorders>
              <w:bottom w:val="single" w:sz="4" w:space="0" w:color="auto"/>
            </w:tcBorders>
          </w:tcPr>
          <w:p w14:paraId="7EC43618" w14:textId="0E62AE84" w:rsidR="00053E43" w:rsidRPr="00053E43" w:rsidRDefault="00053E43" w:rsidP="00053E43">
            <w:pPr>
              <w:spacing w:before="40" w:after="40" w:line="240" w:lineRule="auto"/>
              <w:jc w:val="center"/>
              <w:rPr>
                <w:sz w:val="20"/>
                <w:szCs w:val="20"/>
              </w:rPr>
            </w:pPr>
            <w:r w:rsidRPr="00053E43">
              <w:rPr>
                <w:sz w:val="20"/>
                <w:szCs w:val="20"/>
                <w:lang w:val="en-AU"/>
              </w:rPr>
              <w:t>20.2</w:t>
            </w:r>
          </w:p>
        </w:tc>
        <w:tc>
          <w:tcPr>
            <w:tcW w:w="921" w:type="pct"/>
            <w:tcBorders>
              <w:bottom w:val="single" w:sz="4" w:space="0" w:color="auto"/>
            </w:tcBorders>
            <w:shd w:val="clear" w:color="auto" w:fill="auto"/>
          </w:tcPr>
          <w:p w14:paraId="485C3173" w14:textId="43303733" w:rsidR="00053E43" w:rsidRPr="00053E43" w:rsidRDefault="00053E43" w:rsidP="00053E43">
            <w:pPr>
              <w:spacing w:before="40" w:after="40" w:line="240" w:lineRule="auto"/>
              <w:jc w:val="center"/>
              <w:rPr>
                <w:sz w:val="20"/>
                <w:szCs w:val="20"/>
              </w:rPr>
            </w:pPr>
            <w:r w:rsidRPr="00053E43">
              <w:rPr>
                <w:sz w:val="20"/>
                <w:szCs w:val="20"/>
                <w:lang w:val="en-AU"/>
              </w:rPr>
              <w:t>0.8</w:t>
            </w:r>
          </w:p>
        </w:tc>
        <w:tc>
          <w:tcPr>
            <w:tcW w:w="921" w:type="pct"/>
            <w:tcBorders>
              <w:bottom w:val="single" w:sz="4" w:space="0" w:color="auto"/>
            </w:tcBorders>
          </w:tcPr>
          <w:p w14:paraId="13E1F700" w14:textId="5C277A4E" w:rsidR="00053E43" w:rsidRPr="00053E43" w:rsidRDefault="00053E43" w:rsidP="00053E43">
            <w:pPr>
              <w:spacing w:before="40" w:after="40" w:line="240" w:lineRule="auto"/>
              <w:jc w:val="center"/>
              <w:rPr>
                <w:sz w:val="20"/>
                <w:szCs w:val="20"/>
              </w:rPr>
            </w:pPr>
            <w:r w:rsidRPr="00053E43">
              <w:rPr>
                <w:sz w:val="20"/>
                <w:szCs w:val="20"/>
                <w:lang w:val="en-AU"/>
              </w:rPr>
              <w:t>30.1</w:t>
            </w:r>
          </w:p>
        </w:tc>
        <w:tc>
          <w:tcPr>
            <w:tcW w:w="921" w:type="pct"/>
            <w:tcBorders>
              <w:bottom w:val="single" w:sz="4" w:space="0" w:color="auto"/>
            </w:tcBorders>
          </w:tcPr>
          <w:p w14:paraId="5ECD75E4" w14:textId="204D9C35" w:rsidR="00053E43" w:rsidRPr="00053E43" w:rsidRDefault="00053E43" w:rsidP="00053E43">
            <w:pPr>
              <w:spacing w:before="40" w:after="40" w:line="240" w:lineRule="auto"/>
              <w:jc w:val="center"/>
              <w:rPr>
                <w:sz w:val="20"/>
                <w:szCs w:val="20"/>
              </w:rPr>
            </w:pPr>
            <w:r w:rsidRPr="00053E43">
              <w:rPr>
                <w:sz w:val="20"/>
                <w:szCs w:val="20"/>
                <w:lang w:val="en-AU"/>
              </w:rPr>
              <w:t>1.1</w:t>
            </w:r>
          </w:p>
        </w:tc>
      </w:tr>
      <w:tr w:rsidR="00454712" w:rsidRPr="00581C70" w14:paraId="0F24B3B1" w14:textId="77777777" w:rsidTr="00CA07F3">
        <w:tc>
          <w:tcPr>
            <w:tcW w:w="5000" w:type="pct"/>
            <w:gridSpan w:val="5"/>
            <w:tcBorders>
              <w:left w:val="nil"/>
              <w:bottom w:val="nil"/>
              <w:right w:val="nil"/>
            </w:tcBorders>
            <w:shd w:val="clear" w:color="auto" w:fill="auto"/>
            <w:vAlign w:val="center"/>
          </w:tcPr>
          <w:p w14:paraId="63F14FD6" w14:textId="529E37E8" w:rsidR="00454712" w:rsidRPr="00D2674F" w:rsidRDefault="00454712" w:rsidP="00CA07F3">
            <w:pPr>
              <w:spacing w:after="0"/>
              <w:rPr>
                <w:sz w:val="20"/>
                <w:szCs w:val="20"/>
              </w:rPr>
            </w:pPr>
            <w:r w:rsidRPr="00D2674F">
              <w:rPr>
                <w:sz w:val="20"/>
                <w:szCs w:val="20"/>
                <w:vertAlign w:val="superscript"/>
              </w:rPr>
              <w:t xml:space="preserve">1 </w:t>
            </w:r>
            <w:r w:rsidR="007D612E">
              <w:rPr>
                <w:sz w:val="20"/>
                <w:szCs w:val="20"/>
              </w:rPr>
              <w:t>Graded according to NCI CTCAE version 4.03.</w:t>
            </w:r>
          </w:p>
          <w:p w14:paraId="39F1DFD5" w14:textId="5103DBD3" w:rsidR="00454712" w:rsidRPr="00581C70" w:rsidRDefault="00454712" w:rsidP="00267826">
            <w:pPr>
              <w:spacing w:after="0"/>
              <w:rPr>
                <w:sz w:val="20"/>
                <w:szCs w:val="20"/>
              </w:rPr>
            </w:pPr>
            <w:r w:rsidRPr="00D2674F">
              <w:rPr>
                <w:sz w:val="20"/>
                <w:szCs w:val="20"/>
                <w:vertAlign w:val="superscript"/>
              </w:rPr>
              <w:t>2</w:t>
            </w:r>
            <w:r w:rsidR="00267826">
              <w:rPr>
                <w:sz w:val="20"/>
                <w:szCs w:val="20"/>
                <w:vertAlign w:val="superscript"/>
              </w:rPr>
              <w:t xml:space="preserve"> </w:t>
            </w:r>
            <w:r w:rsidRPr="00D2674F">
              <w:rPr>
                <w:sz w:val="20"/>
                <w:szCs w:val="20"/>
              </w:rPr>
              <w:t xml:space="preserve">Each test incidence is based on the number of patients who had both baseline and at least one on-study laboratory measurement available: </w:t>
            </w:r>
            <w:r>
              <w:rPr>
                <w:sz w:val="20"/>
                <w:szCs w:val="20"/>
              </w:rPr>
              <w:t>I</w:t>
            </w:r>
            <w:r w:rsidR="00267826">
              <w:rPr>
                <w:sz w:val="20"/>
                <w:szCs w:val="20"/>
              </w:rPr>
              <w:t>MJUDO</w:t>
            </w:r>
            <w:r>
              <w:rPr>
                <w:sz w:val="20"/>
                <w:szCs w:val="20"/>
              </w:rPr>
              <w:t xml:space="preserve"> with </w:t>
            </w:r>
            <w:r w:rsidR="00267826">
              <w:rPr>
                <w:sz w:val="20"/>
                <w:szCs w:val="20"/>
              </w:rPr>
              <w:t>durvalumab</w:t>
            </w:r>
            <w:r w:rsidRPr="00D2674F">
              <w:rPr>
                <w:sz w:val="20"/>
                <w:szCs w:val="20"/>
              </w:rPr>
              <w:t xml:space="preserve"> (range: </w:t>
            </w:r>
            <w:r>
              <w:rPr>
                <w:sz w:val="20"/>
                <w:szCs w:val="20"/>
              </w:rPr>
              <w:t>367-378</w:t>
            </w:r>
            <w:r w:rsidRPr="00D2674F">
              <w:rPr>
                <w:sz w:val="20"/>
                <w:szCs w:val="20"/>
              </w:rPr>
              <w:t xml:space="preserve">) </w:t>
            </w:r>
            <w:r>
              <w:rPr>
                <w:sz w:val="20"/>
                <w:szCs w:val="20"/>
              </w:rPr>
              <w:t>and sorafenib (range:344-352)</w:t>
            </w:r>
            <w:r w:rsidRPr="00D2674F">
              <w:rPr>
                <w:sz w:val="20"/>
                <w:szCs w:val="20"/>
              </w:rPr>
              <w:t xml:space="preserve">. </w:t>
            </w:r>
          </w:p>
        </w:tc>
      </w:tr>
    </w:tbl>
    <w:p w14:paraId="6D1E43B2" w14:textId="77777777" w:rsidR="00454712" w:rsidRDefault="00454712" w:rsidP="008137CC">
      <w:pPr>
        <w:spacing w:after="0"/>
      </w:pPr>
    </w:p>
    <w:p w14:paraId="3D6EBA3E" w14:textId="34B71CE1" w:rsidR="008137CC" w:rsidRDefault="008137CC" w:rsidP="008137CC">
      <w:pPr>
        <w:spacing w:after="0"/>
      </w:pPr>
      <w:r w:rsidRPr="00DF1C18">
        <w:t>The safety of STRIDE is based on data in 462 patients from the HCC pool (</w:t>
      </w:r>
      <w:proofErr w:type="spellStart"/>
      <w:r w:rsidRPr="00DF1C18">
        <w:t>uHCC</w:t>
      </w:r>
      <w:proofErr w:type="spellEnd"/>
      <w:r w:rsidRPr="00DF1C18">
        <w:t xml:space="preserve">) and was consistent with known </w:t>
      </w:r>
      <w:r w:rsidR="00417FEE" w:rsidRPr="00DF1C18">
        <w:t>IMJUDO</w:t>
      </w:r>
      <w:r w:rsidRPr="00DF1C18">
        <w:t xml:space="preserve"> + durvalumab safety profile.</w:t>
      </w:r>
      <w:r>
        <w:t xml:space="preserve"> </w:t>
      </w:r>
    </w:p>
    <w:p w14:paraId="40BFB66E" w14:textId="747BC203" w:rsidR="002134C4" w:rsidRDefault="002134C4" w:rsidP="008137CC">
      <w:pPr>
        <w:spacing w:after="0"/>
      </w:pPr>
    </w:p>
    <w:p w14:paraId="4ACED3BE" w14:textId="4EE52D57" w:rsidR="00571E1D" w:rsidRDefault="00571E1D" w:rsidP="00BC042B">
      <w:pPr>
        <w:pStyle w:val="Heading3Unnumbered"/>
      </w:pPr>
      <w:r>
        <w:t>Tabulated list of adverse reactions</w:t>
      </w:r>
    </w:p>
    <w:p w14:paraId="48E63538" w14:textId="39867F28" w:rsidR="00BC042B" w:rsidRPr="000D6AC4" w:rsidRDefault="0033442D" w:rsidP="00BC042B">
      <w:pPr>
        <w:spacing w:after="0" w:line="240" w:lineRule="auto"/>
        <w:jc w:val="both"/>
      </w:pPr>
      <w:r>
        <w:t>Table 5</w:t>
      </w:r>
      <w:r w:rsidR="00BC042B">
        <w:t xml:space="preserve"> </w:t>
      </w:r>
      <w:r w:rsidR="00BC042B" w:rsidRPr="000D6AC4">
        <w:t>lists the incidence of ADRs in patients treated with STRIDE in the HCC pool</w:t>
      </w:r>
      <w:r w:rsidR="00BC042B" w:rsidRPr="000D6AC4">
        <w:rPr>
          <w:bCs/>
        </w:rPr>
        <w:t>.</w:t>
      </w:r>
      <w:r w:rsidR="00BC042B" w:rsidRPr="000D6AC4">
        <w:t xml:space="preserve"> Adverse drug reactions are listed according to system organ class in MedDRA. Within each system organ class, the adverse drug reactions are presented in decreasing frequency. Within each frequency grouping, ADRs are presented in order of decreasing seriousness. In addition, the corresponding frequency category for each ADR is based on the CIOMS III convention and is defined as: very common (≥ 1/10); common (≥ 1/100 to &lt; 1/10); uncommon (≥ 1/1,000 to &lt; 1/100); rare (≥ 1/10,000 to &lt; 1/1000); very rare (&lt; 1/10,000); not determined (cannot be estimated from available data).</w:t>
      </w:r>
    </w:p>
    <w:p w14:paraId="42948B79" w14:textId="77777777" w:rsidR="00BC042B" w:rsidRPr="008137CC" w:rsidRDefault="00BC042B" w:rsidP="00BC042B">
      <w:pPr>
        <w:pStyle w:val="TableTitle"/>
      </w:pPr>
    </w:p>
    <w:p w14:paraId="57B76A89" w14:textId="5C78D73E" w:rsidR="00BC042B" w:rsidRDefault="00BC042B" w:rsidP="00BC042B">
      <w:pPr>
        <w:pStyle w:val="TableTitle"/>
        <w:rPr>
          <w:bCs/>
        </w:rPr>
      </w:pPr>
      <w:r>
        <w:t>Table 5</w:t>
      </w:r>
      <w:r>
        <w:tab/>
      </w:r>
      <w:r>
        <w:rPr>
          <w:bCs/>
        </w:rPr>
        <w:t xml:space="preserve">Adverse Drug Reactions in patients with </w:t>
      </w:r>
      <w:proofErr w:type="spellStart"/>
      <w:r>
        <w:rPr>
          <w:bCs/>
        </w:rPr>
        <w:t>uHCC</w:t>
      </w:r>
      <w:proofErr w:type="spellEnd"/>
      <w:r>
        <w:rPr>
          <w:bCs/>
        </w:rPr>
        <w:t xml:space="preserve"> treated with STRIDE (with causality)</w:t>
      </w:r>
    </w:p>
    <w:tbl>
      <w:tblPr>
        <w:tblStyle w:val="TableGrid"/>
        <w:tblW w:w="5000" w:type="pct"/>
        <w:tblLayout w:type="fixed"/>
        <w:tblLook w:val="04A0" w:firstRow="1" w:lastRow="0" w:firstColumn="1" w:lastColumn="0" w:noHBand="0" w:noVBand="1"/>
      </w:tblPr>
      <w:tblGrid>
        <w:gridCol w:w="3149"/>
        <w:gridCol w:w="1800"/>
        <w:gridCol w:w="1504"/>
        <w:gridCol w:w="1648"/>
        <w:gridCol w:w="1527"/>
      </w:tblGrid>
      <w:tr w:rsidR="00BC042B" w14:paraId="50B1142C" w14:textId="77777777" w:rsidTr="009764CD">
        <w:trPr>
          <w:trHeight w:val="681"/>
          <w:tblHeader/>
        </w:trPr>
        <w:tc>
          <w:tcPr>
            <w:tcW w:w="1635" w:type="pct"/>
            <w:vAlign w:val="center"/>
          </w:tcPr>
          <w:p w14:paraId="327EF1D9" w14:textId="77777777" w:rsidR="00BC042B" w:rsidRDefault="00BC042B" w:rsidP="009764CD">
            <w:pPr>
              <w:jc w:val="center"/>
              <w:rPr>
                <w:b/>
              </w:rPr>
            </w:pPr>
          </w:p>
        </w:tc>
        <w:tc>
          <w:tcPr>
            <w:tcW w:w="3365" w:type="pct"/>
            <w:gridSpan w:val="4"/>
          </w:tcPr>
          <w:p w14:paraId="4B10D0C5" w14:textId="77777777" w:rsidR="00BC042B" w:rsidRDefault="00BC042B" w:rsidP="009764CD">
            <w:pPr>
              <w:pStyle w:val="TableHead"/>
            </w:pPr>
            <w:r w:rsidRPr="12F03C00">
              <w:t>STRIDE</w:t>
            </w:r>
          </w:p>
          <w:p w14:paraId="5F260595" w14:textId="77777777" w:rsidR="00BC042B" w:rsidRPr="009525EA" w:rsidRDefault="00BC042B" w:rsidP="009764CD">
            <w:pPr>
              <w:pStyle w:val="TableHead"/>
            </w:pPr>
            <w:r w:rsidRPr="12F03C00">
              <w:t xml:space="preserve">(n=462) </w:t>
            </w:r>
          </w:p>
        </w:tc>
      </w:tr>
      <w:tr w:rsidR="00BC042B" w14:paraId="26385498" w14:textId="77777777" w:rsidTr="009764CD">
        <w:trPr>
          <w:tblHeader/>
        </w:trPr>
        <w:tc>
          <w:tcPr>
            <w:tcW w:w="1635" w:type="pct"/>
            <w:vAlign w:val="center"/>
          </w:tcPr>
          <w:p w14:paraId="345FBD2B" w14:textId="0E2E8015" w:rsidR="00BC042B" w:rsidRDefault="00BC042B" w:rsidP="009764CD">
            <w:pPr>
              <w:pStyle w:val="TableHead"/>
            </w:pPr>
            <w:r>
              <w:t>Adverse Drug Reaction</w:t>
            </w:r>
          </w:p>
        </w:tc>
        <w:tc>
          <w:tcPr>
            <w:tcW w:w="1716" w:type="pct"/>
            <w:gridSpan w:val="2"/>
          </w:tcPr>
          <w:p w14:paraId="57E8E4A6" w14:textId="77777777" w:rsidR="00BC042B" w:rsidRDefault="00BC042B" w:rsidP="009764CD">
            <w:pPr>
              <w:pStyle w:val="TableHead"/>
            </w:pPr>
            <w:r>
              <w:t>Frequency of any Grade</w:t>
            </w:r>
          </w:p>
        </w:tc>
        <w:tc>
          <w:tcPr>
            <w:tcW w:w="1649" w:type="pct"/>
            <w:gridSpan w:val="2"/>
          </w:tcPr>
          <w:p w14:paraId="1C989FD4" w14:textId="77777777" w:rsidR="00BC042B" w:rsidRDefault="00BC042B" w:rsidP="009764CD">
            <w:pPr>
              <w:pStyle w:val="TableHead"/>
            </w:pPr>
            <w:r>
              <w:t>Frequency of Grade 3-4</w:t>
            </w:r>
          </w:p>
        </w:tc>
      </w:tr>
      <w:tr w:rsidR="00BC042B" w14:paraId="030DDA2E" w14:textId="77777777" w:rsidTr="009764CD">
        <w:tc>
          <w:tcPr>
            <w:tcW w:w="5000" w:type="pct"/>
            <w:gridSpan w:val="5"/>
            <w:vAlign w:val="center"/>
          </w:tcPr>
          <w:p w14:paraId="5A12171F" w14:textId="77777777" w:rsidR="00BC042B" w:rsidRPr="00DF0DDB" w:rsidRDefault="00BC042B" w:rsidP="009764CD">
            <w:pPr>
              <w:pStyle w:val="TableHead"/>
              <w:jc w:val="left"/>
            </w:pPr>
            <w:r w:rsidRPr="00DF0DDB">
              <w:t>Blood and Lymphatic System Disorders</w:t>
            </w:r>
          </w:p>
        </w:tc>
      </w:tr>
      <w:tr w:rsidR="00BC042B" w14:paraId="307D6357" w14:textId="77777777" w:rsidTr="009764CD">
        <w:tc>
          <w:tcPr>
            <w:tcW w:w="1635" w:type="pct"/>
          </w:tcPr>
          <w:p w14:paraId="4577C8FD" w14:textId="77777777" w:rsidR="00BC042B" w:rsidRPr="007B7B9E" w:rsidRDefault="00BC042B" w:rsidP="009764CD">
            <w:pPr>
              <w:pStyle w:val="TableCenter"/>
              <w:rPr>
                <w:b/>
              </w:rPr>
            </w:pPr>
            <w:r>
              <w:t>Immune thrombocytopenia</w:t>
            </w:r>
          </w:p>
        </w:tc>
        <w:tc>
          <w:tcPr>
            <w:tcW w:w="935" w:type="pct"/>
          </w:tcPr>
          <w:p w14:paraId="1F66672F" w14:textId="426FA272" w:rsidR="00BC042B" w:rsidRPr="00D95F6F" w:rsidRDefault="00BC042B" w:rsidP="009764CD">
            <w:pPr>
              <w:pStyle w:val="TableCenter"/>
              <w:rPr>
                <w:vertAlign w:val="superscript"/>
              </w:rPr>
            </w:pPr>
            <w:r>
              <w:t xml:space="preserve">Not </w:t>
            </w:r>
            <w:proofErr w:type="spellStart"/>
            <w:r>
              <w:t>determined</w:t>
            </w:r>
            <w:r w:rsidR="002B61A7">
              <w:rPr>
                <w:vertAlign w:val="superscript"/>
              </w:rPr>
              <w:t>a</w:t>
            </w:r>
            <w:proofErr w:type="spellEnd"/>
          </w:p>
        </w:tc>
        <w:tc>
          <w:tcPr>
            <w:tcW w:w="781" w:type="pct"/>
          </w:tcPr>
          <w:p w14:paraId="36913551" w14:textId="77777777" w:rsidR="00BC042B" w:rsidRPr="00FA2BBC" w:rsidRDefault="00BC042B" w:rsidP="009764CD">
            <w:pPr>
              <w:pStyle w:val="TableCenter"/>
              <w:rPr>
                <w:bCs/>
              </w:rPr>
            </w:pPr>
          </w:p>
        </w:tc>
        <w:tc>
          <w:tcPr>
            <w:tcW w:w="856" w:type="pct"/>
          </w:tcPr>
          <w:p w14:paraId="7BB72396" w14:textId="77777777" w:rsidR="00BC042B" w:rsidRPr="007B7B9E" w:rsidRDefault="00BC042B" w:rsidP="009764CD">
            <w:pPr>
              <w:pStyle w:val="TableCenter"/>
              <w:rPr>
                <w:b/>
              </w:rPr>
            </w:pPr>
          </w:p>
        </w:tc>
        <w:tc>
          <w:tcPr>
            <w:tcW w:w="793" w:type="pct"/>
          </w:tcPr>
          <w:p w14:paraId="3BDD366A" w14:textId="77777777" w:rsidR="00BC042B" w:rsidRPr="00FA2BBC" w:rsidRDefault="00BC042B" w:rsidP="009764CD">
            <w:pPr>
              <w:pStyle w:val="TableCenter"/>
              <w:rPr>
                <w:bCs/>
              </w:rPr>
            </w:pPr>
          </w:p>
        </w:tc>
      </w:tr>
      <w:tr w:rsidR="00BC042B" w14:paraId="4A5CD4A2" w14:textId="77777777" w:rsidTr="009764CD">
        <w:tc>
          <w:tcPr>
            <w:tcW w:w="5000" w:type="pct"/>
            <w:gridSpan w:val="5"/>
            <w:vAlign w:val="center"/>
          </w:tcPr>
          <w:p w14:paraId="5558CA7C" w14:textId="77777777" w:rsidR="00BC042B" w:rsidRDefault="00BC042B" w:rsidP="009764CD">
            <w:pPr>
              <w:pStyle w:val="TableHead"/>
              <w:jc w:val="left"/>
            </w:pPr>
            <w:r w:rsidRPr="007B7B9E">
              <w:t>Cardiac disorders</w:t>
            </w:r>
          </w:p>
        </w:tc>
      </w:tr>
      <w:tr w:rsidR="00BC042B" w14:paraId="4C986623" w14:textId="77777777" w:rsidTr="009764CD">
        <w:tc>
          <w:tcPr>
            <w:tcW w:w="1635" w:type="pct"/>
            <w:vAlign w:val="center"/>
          </w:tcPr>
          <w:p w14:paraId="66561FAB" w14:textId="77777777" w:rsidR="00BC042B" w:rsidRDefault="00BC042B" w:rsidP="009764CD">
            <w:pPr>
              <w:pStyle w:val="TableCenter"/>
            </w:pPr>
            <w:r>
              <w:t>Myocarditis</w:t>
            </w:r>
          </w:p>
        </w:tc>
        <w:tc>
          <w:tcPr>
            <w:tcW w:w="935" w:type="pct"/>
          </w:tcPr>
          <w:p w14:paraId="1109D4A4" w14:textId="77777777" w:rsidR="00BC042B" w:rsidRPr="000A7D0B" w:rsidRDefault="00BC042B" w:rsidP="009764CD">
            <w:pPr>
              <w:pStyle w:val="TableCenter"/>
              <w:rPr>
                <w:lang w:val="sv-SE" w:eastAsia="en-GB"/>
              </w:rPr>
            </w:pPr>
            <w:r w:rsidRPr="000A7D0B">
              <w:rPr>
                <w:lang w:val="sv-SE" w:eastAsia="en-GB"/>
              </w:rPr>
              <w:t>Uncommon</w:t>
            </w:r>
          </w:p>
        </w:tc>
        <w:tc>
          <w:tcPr>
            <w:tcW w:w="781" w:type="pct"/>
          </w:tcPr>
          <w:p w14:paraId="412F522C" w14:textId="77777777" w:rsidR="00BC042B" w:rsidRPr="000A7D0B" w:rsidRDefault="00BC042B" w:rsidP="009764CD">
            <w:pPr>
              <w:pStyle w:val="TableCenter"/>
              <w:rPr>
                <w:lang w:val="sv-SE" w:eastAsia="en-GB"/>
              </w:rPr>
            </w:pPr>
            <w:r w:rsidRPr="000A7D0B">
              <w:rPr>
                <w:lang w:val="sv-SE" w:eastAsia="en-GB"/>
              </w:rPr>
              <w:t>2 (0.4</w:t>
            </w:r>
            <w:r>
              <w:rPr>
                <w:lang w:val="sv-SE" w:eastAsia="en-GB"/>
              </w:rPr>
              <w:t>%</w:t>
            </w:r>
            <w:r w:rsidRPr="000A7D0B">
              <w:rPr>
                <w:lang w:val="sv-SE" w:eastAsia="en-GB"/>
              </w:rPr>
              <w:t>)</w:t>
            </w:r>
          </w:p>
        </w:tc>
        <w:tc>
          <w:tcPr>
            <w:tcW w:w="856" w:type="pct"/>
          </w:tcPr>
          <w:p w14:paraId="4F703D79" w14:textId="77777777" w:rsidR="00BC042B" w:rsidRPr="0023722A" w:rsidRDefault="00BC042B" w:rsidP="009764CD">
            <w:pPr>
              <w:pStyle w:val="TableCenter"/>
              <w:rPr>
                <w:lang w:val="sv-SE" w:eastAsia="en-GB"/>
              </w:rPr>
            </w:pPr>
          </w:p>
        </w:tc>
        <w:tc>
          <w:tcPr>
            <w:tcW w:w="793" w:type="pct"/>
          </w:tcPr>
          <w:p w14:paraId="1FF31C7B" w14:textId="77777777" w:rsidR="00BC042B" w:rsidRPr="0023722A" w:rsidRDefault="00BC042B" w:rsidP="009764CD">
            <w:pPr>
              <w:pStyle w:val="TableCenter"/>
              <w:rPr>
                <w:lang w:val="sv-SE" w:eastAsia="en-GB"/>
              </w:rPr>
            </w:pPr>
            <w:r>
              <w:rPr>
                <w:bCs/>
              </w:rPr>
              <w:t>0</w:t>
            </w:r>
          </w:p>
        </w:tc>
      </w:tr>
      <w:tr w:rsidR="00BC042B" w14:paraId="60B98D13" w14:textId="77777777" w:rsidTr="009764CD">
        <w:tc>
          <w:tcPr>
            <w:tcW w:w="5000" w:type="pct"/>
            <w:gridSpan w:val="5"/>
            <w:vAlign w:val="center"/>
          </w:tcPr>
          <w:p w14:paraId="0D93232F" w14:textId="77777777" w:rsidR="00BC042B" w:rsidRPr="000A7D0B" w:rsidRDefault="00BC042B" w:rsidP="009764CD">
            <w:pPr>
              <w:pStyle w:val="TableHead"/>
              <w:jc w:val="left"/>
              <w:rPr>
                <w:lang w:val="sv-SE" w:eastAsia="en-GB"/>
              </w:rPr>
            </w:pPr>
            <w:r w:rsidRPr="000A7D0B">
              <w:rPr>
                <w:lang w:val="sv-SE" w:eastAsia="en-GB"/>
              </w:rPr>
              <w:t>Endocrine disorders</w:t>
            </w:r>
          </w:p>
        </w:tc>
      </w:tr>
      <w:tr w:rsidR="00BC042B" w14:paraId="0FB3974D" w14:textId="77777777" w:rsidTr="009764CD">
        <w:tc>
          <w:tcPr>
            <w:tcW w:w="1635" w:type="pct"/>
            <w:vAlign w:val="center"/>
          </w:tcPr>
          <w:p w14:paraId="49660B49" w14:textId="77777777" w:rsidR="00BC042B" w:rsidRPr="001A7347" w:rsidRDefault="00BC042B" w:rsidP="009764CD">
            <w:pPr>
              <w:pStyle w:val="TableCenter"/>
            </w:pPr>
            <w:r w:rsidRPr="00103DA0">
              <w:rPr>
                <w:lang w:val="sv-SE" w:eastAsia="en-GB"/>
              </w:rPr>
              <w:t>Adrenal insufficiency</w:t>
            </w:r>
          </w:p>
        </w:tc>
        <w:tc>
          <w:tcPr>
            <w:tcW w:w="935" w:type="pct"/>
          </w:tcPr>
          <w:p w14:paraId="6ACBD33F" w14:textId="77777777" w:rsidR="00BC042B" w:rsidRPr="000A7D0B" w:rsidRDefault="00BC042B" w:rsidP="009764CD">
            <w:pPr>
              <w:pStyle w:val="TableCenter"/>
              <w:rPr>
                <w:lang w:val="sv-SE" w:eastAsia="en-GB"/>
              </w:rPr>
            </w:pPr>
            <w:r w:rsidRPr="000A7D0B">
              <w:rPr>
                <w:lang w:val="sv-SE" w:eastAsia="en-GB"/>
              </w:rPr>
              <w:t>Common</w:t>
            </w:r>
          </w:p>
        </w:tc>
        <w:tc>
          <w:tcPr>
            <w:tcW w:w="781" w:type="pct"/>
          </w:tcPr>
          <w:p w14:paraId="28740F06" w14:textId="77777777" w:rsidR="00BC042B" w:rsidRPr="000A7D0B" w:rsidRDefault="00BC042B" w:rsidP="009764CD">
            <w:pPr>
              <w:pStyle w:val="TableCenter"/>
              <w:rPr>
                <w:lang w:val="sv-SE" w:eastAsia="en-GB"/>
              </w:rPr>
            </w:pPr>
            <w:r w:rsidRPr="000A7D0B">
              <w:rPr>
                <w:lang w:val="sv-SE" w:eastAsia="en-GB"/>
              </w:rPr>
              <w:t>6 (1.3</w:t>
            </w:r>
            <w:r>
              <w:rPr>
                <w:lang w:val="sv-SE" w:eastAsia="en-GB"/>
              </w:rPr>
              <w:t>%</w:t>
            </w:r>
            <w:r w:rsidRPr="000A7D0B">
              <w:rPr>
                <w:lang w:val="sv-SE" w:eastAsia="en-GB"/>
              </w:rPr>
              <w:t>)</w:t>
            </w:r>
          </w:p>
        </w:tc>
        <w:tc>
          <w:tcPr>
            <w:tcW w:w="856" w:type="pct"/>
          </w:tcPr>
          <w:p w14:paraId="07712BD4" w14:textId="77777777" w:rsidR="00BC042B" w:rsidRPr="0023722A" w:rsidRDefault="00BC042B" w:rsidP="009764CD">
            <w:pPr>
              <w:pStyle w:val="TableCenter"/>
              <w:rPr>
                <w:lang w:val="sv-SE" w:eastAsia="en-GB"/>
              </w:rPr>
            </w:pPr>
            <w:r w:rsidRPr="0023722A">
              <w:rPr>
                <w:lang w:val="sv-SE" w:eastAsia="en-GB"/>
              </w:rPr>
              <w:t>Uncommon</w:t>
            </w:r>
          </w:p>
        </w:tc>
        <w:tc>
          <w:tcPr>
            <w:tcW w:w="793" w:type="pct"/>
          </w:tcPr>
          <w:p w14:paraId="1BAB24E8" w14:textId="77777777" w:rsidR="00BC042B" w:rsidRPr="0023722A" w:rsidRDefault="00BC042B" w:rsidP="009764CD">
            <w:pPr>
              <w:pStyle w:val="TableCenter"/>
              <w:rPr>
                <w:lang w:val="sv-SE" w:eastAsia="en-GB"/>
              </w:rPr>
            </w:pPr>
            <w:r w:rsidRPr="009A2AF9">
              <w:rPr>
                <w:lang w:val="sv-SE" w:eastAsia="en-GB"/>
              </w:rPr>
              <w:t>1 (0.2</w:t>
            </w:r>
            <w:r>
              <w:rPr>
                <w:lang w:val="sv-SE" w:eastAsia="en-GB"/>
              </w:rPr>
              <w:t>%</w:t>
            </w:r>
            <w:r w:rsidRPr="009A2AF9">
              <w:rPr>
                <w:lang w:val="sv-SE" w:eastAsia="en-GB"/>
              </w:rPr>
              <w:t>)</w:t>
            </w:r>
          </w:p>
        </w:tc>
      </w:tr>
      <w:tr w:rsidR="00BC042B" w14:paraId="577B362E" w14:textId="77777777" w:rsidTr="009764CD">
        <w:tc>
          <w:tcPr>
            <w:tcW w:w="1635" w:type="pct"/>
            <w:vAlign w:val="center"/>
          </w:tcPr>
          <w:p w14:paraId="77C00F3B" w14:textId="77777777" w:rsidR="00BC042B" w:rsidRPr="007B7B9E" w:rsidRDefault="00BC042B" w:rsidP="009764CD">
            <w:pPr>
              <w:pStyle w:val="TableCenter"/>
              <w:rPr>
                <w:lang w:val="sv-SE" w:eastAsia="en-GB"/>
              </w:rPr>
            </w:pPr>
            <w:r>
              <w:t>Diabetes insipidus</w:t>
            </w:r>
          </w:p>
        </w:tc>
        <w:tc>
          <w:tcPr>
            <w:tcW w:w="935" w:type="pct"/>
          </w:tcPr>
          <w:p w14:paraId="1E15355C" w14:textId="56C7EA45" w:rsidR="00BC042B" w:rsidRPr="000A7D0B" w:rsidRDefault="00BC042B" w:rsidP="009764CD">
            <w:pPr>
              <w:pStyle w:val="TableCenter"/>
              <w:rPr>
                <w:lang w:val="sv-SE" w:eastAsia="en-GB"/>
              </w:rPr>
            </w:pPr>
            <w:r w:rsidRPr="00D95F6F">
              <w:rPr>
                <w:bCs/>
              </w:rPr>
              <w:t xml:space="preserve">Not </w:t>
            </w:r>
            <w:proofErr w:type="spellStart"/>
            <w:r w:rsidRPr="00D95F6F">
              <w:rPr>
                <w:bCs/>
              </w:rPr>
              <w:t>determined</w:t>
            </w:r>
            <w:r w:rsidR="002B61A7">
              <w:rPr>
                <w:vertAlign w:val="superscript"/>
              </w:rPr>
              <w:t>a</w:t>
            </w:r>
            <w:proofErr w:type="spellEnd"/>
          </w:p>
        </w:tc>
        <w:tc>
          <w:tcPr>
            <w:tcW w:w="781" w:type="pct"/>
          </w:tcPr>
          <w:p w14:paraId="2EACC5B1" w14:textId="77777777" w:rsidR="00BC042B" w:rsidRPr="000A7D0B" w:rsidRDefault="00BC042B" w:rsidP="009764CD">
            <w:pPr>
              <w:pStyle w:val="TableCenter"/>
              <w:rPr>
                <w:lang w:val="sv-SE" w:eastAsia="en-GB"/>
              </w:rPr>
            </w:pPr>
          </w:p>
        </w:tc>
        <w:tc>
          <w:tcPr>
            <w:tcW w:w="856" w:type="pct"/>
          </w:tcPr>
          <w:p w14:paraId="3528E4C7" w14:textId="77777777" w:rsidR="00BC042B" w:rsidRPr="0023722A" w:rsidRDefault="00BC042B" w:rsidP="009764CD">
            <w:pPr>
              <w:pStyle w:val="TableCenter"/>
              <w:rPr>
                <w:lang w:val="sv-SE" w:eastAsia="en-GB"/>
              </w:rPr>
            </w:pPr>
          </w:p>
        </w:tc>
        <w:tc>
          <w:tcPr>
            <w:tcW w:w="793" w:type="pct"/>
          </w:tcPr>
          <w:p w14:paraId="7CDD7916" w14:textId="77777777" w:rsidR="00BC042B" w:rsidRPr="009A2AF9" w:rsidRDefault="00BC042B" w:rsidP="009764CD">
            <w:pPr>
              <w:pStyle w:val="TableCenter"/>
              <w:rPr>
                <w:lang w:val="sv-SE" w:eastAsia="en-GB"/>
              </w:rPr>
            </w:pPr>
          </w:p>
        </w:tc>
      </w:tr>
      <w:tr w:rsidR="00BC042B" w14:paraId="65E4AF6C" w14:textId="77777777" w:rsidTr="009764CD">
        <w:tc>
          <w:tcPr>
            <w:tcW w:w="1635" w:type="pct"/>
            <w:vAlign w:val="center"/>
          </w:tcPr>
          <w:p w14:paraId="2CDA5FD9" w14:textId="35E4AF66" w:rsidR="00BC042B" w:rsidRPr="001A7347" w:rsidRDefault="00BC042B" w:rsidP="009764CD">
            <w:pPr>
              <w:pStyle w:val="TableCenter"/>
            </w:pPr>
            <w:r w:rsidRPr="007B7B9E">
              <w:rPr>
                <w:lang w:val="sv-SE" w:eastAsia="en-GB"/>
              </w:rPr>
              <w:t>Hyperthyroidism</w:t>
            </w:r>
            <w:r w:rsidR="002B61A7">
              <w:rPr>
                <w:vertAlign w:val="superscript"/>
                <w:lang w:val="sv-SE" w:eastAsia="en-GB"/>
              </w:rPr>
              <w:t>b</w:t>
            </w:r>
          </w:p>
        </w:tc>
        <w:tc>
          <w:tcPr>
            <w:tcW w:w="935" w:type="pct"/>
          </w:tcPr>
          <w:p w14:paraId="509BD934" w14:textId="77777777" w:rsidR="00BC042B" w:rsidRPr="000A7D0B" w:rsidRDefault="00BC042B" w:rsidP="009764CD">
            <w:pPr>
              <w:pStyle w:val="TableCenter"/>
              <w:rPr>
                <w:lang w:val="sv-SE" w:eastAsia="en-GB"/>
              </w:rPr>
            </w:pPr>
            <w:r w:rsidRPr="000A7D0B">
              <w:rPr>
                <w:lang w:val="sv-SE" w:eastAsia="en-GB"/>
              </w:rPr>
              <w:t>Common</w:t>
            </w:r>
          </w:p>
        </w:tc>
        <w:tc>
          <w:tcPr>
            <w:tcW w:w="781" w:type="pct"/>
          </w:tcPr>
          <w:p w14:paraId="05E883C6" w14:textId="77777777" w:rsidR="00BC042B" w:rsidRPr="000A7D0B" w:rsidRDefault="00BC042B" w:rsidP="009764CD">
            <w:pPr>
              <w:pStyle w:val="TableCenter"/>
              <w:rPr>
                <w:lang w:val="sv-SE" w:eastAsia="en-GB"/>
              </w:rPr>
            </w:pPr>
            <w:r w:rsidRPr="000A7D0B">
              <w:rPr>
                <w:lang w:val="sv-SE" w:eastAsia="en-GB"/>
              </w:rPr>
              <w:t>44 (9.5</w:t>
            </w:r>
            <w:r>
              <w:rPr>
                <w:lang w:val="sv-SE" w:eastAsia="en-GB"/>
              </w:rPr>
              <w:t>%</w:t>
            </w:r>
            <w:r w:rsidRPr="000A7D0B">
              <w:rPr>
                <w:lang w:val="sv-SE" w:eastAsia="en-GB"/>
              </w:rPr>
              <w:t>)</w:t>
            </w:r>
          </w:p>
        </w:tc>
        <w:tc>
          <w:tcPr>
            <w:tcW w:w="856" w:type="pct"/>
          </w:tcPr>
          <w:p w14:paraId="4413FB47" w14:textId="77777777" w:rsidR="00BC042B" w:rsidRPr="0023722A" w:rsidRDefault="00BC042B" w:rsidP="009764CD">
            <w:pPr>
              <w:pStyle w:val="TableCenter"/>
              <w:rPr>
                <w:lang w:val="sv-SE" w:eastAsia="en-GB"/>
              </w:rPr>
            </w:pPr>
            <w:r w:rsidRPr="0023722A">
              <w:rPr>
                <w:lang w:val="sv-SE" w:eastAsia="en-GB"/>
              </w:rPr>
              <w:t>Uncommon</w:t>
            </w:r>
          </w:p>
        </w:tc>
        <w:tc>
          <w:tcPr>
            <w:tcW w:w="793" w:type="pct"/>
          </w:tcPr>
          <w:p w14:paraId="4D9B9D0C" w14:textId="77777777" w:rsidR="00BC042B" w:rsidRPr="0023722A" w:rsidRDefault="00BC042B" w:rsidP="009764CD">
            <w:pPr>
              <w:pStyle w:val="TableCenter"/>
              <w:rPr>
                <w:lang w:val="sv-SE" w:eastAsia="en-GB"/>
              </w:rPr>
            </w:pPr>
            <w:r w:rsidRPr="0023722A">
              <w:rPr>
                <w:lang w:val="sv-SE" w:eastAsia="en-GB"/>
              </w:rPr>
              <w:t>1 (0.2</w:t>
            </w:r>
            <w:r>
              <w:rPr>
                <w:lang w:val="sv-SE" w:eastAsia="en-GB"/>
              </w:rPr>
              <w:t>%</w:t>
            </w:r>
            <w:r w:rsidRPr="0023722A">
              <w:rPr>
                <w:lang w:val="sv-SE" w:eastAsia="en-GB"/>
              </w:rPr>
              <w:t>)</w:t>
            </w:r>
          </w:p>
        </w:tc>
      </w:tr>
      <w:tr w:rsidR="00BC042B" w14:paraId="083ED4B1" w14:textId="77777777" w:rsidTr="009764CD">
        <w:tc>
          <w:tcPr>
            <w:tcW w:w="1635" w:type="pct"/>
            <w:vAlign w:val="center"/>
          </w:tcPr>
          <w:p w14:paraId="112AA8D0" w14:textId="77777777" w:rsidR="00BC042B" w:rsidRPr="001A7347" w:rsidRDefault="00BC042B" w:rsidP="009764CD">
            <w:pPr>
              <w:pStyle w:val="TableCenter"/>
            </w:pPr>
            <w:r w:rsidRPr="007B7B9E">
              <w:rPr>
                <w:lang w:val="sv-SE" w:eastAsia="en-GB"/>
              </w:rPr>
              <w:t>Hypopituitarism/Hypophysitis</w:t>
            </w:r>
          </w:p>
        </w:tc>
        <w:tc>
          <w:tcPr>
            <w:tcW w:w="935" w:type="pct"/>
          </w:tcPr>
          <w:p w14:paraId="2C9B0097" w14:textId="77777777" w:rsidR="00BC042B" w:rsidRPr="000A7D0B" w:rsidRDefault="00BC042B" w:rsidP="009764CD">
            <w:pPr>
              <w:pStyle w:val="TableCenter"/>
              <w:rPr>
                <w:lang w:val="sv-SE" w:eastAsia="en-GB"/>
              </w:rPr>
            </w:pPr>
            <w:r w:rsidRPr="000A7D0B">
              <w:rPr>
                <w:lang w:val="sv-SE" w:eastAsia="en-GB"/>
              </w:rPr>
              <w:t>Uncommon</w:t>
            </w:r>
          </w:p>
        </w:tc>
        <w:tc>
          <w:tcPr>
            <w:tcW w:w="781" w:type="pct"/>
          </w:tcPr>
          <w:p w14:paraId="51727034" w14:textId="77777777" w:rsidR="00BC042B" w:rsidRPr="000A7D0B" w:rsidRDefault="00BC042B" w:rsidP="009764CD">
            <w:pPr>
              <w:pStyle w:val="TableCenter"/>
              <w:rPr>
                <w:lang w:val="sv-SE" w:eastAsia="en-GB"/>
              </w:rPr>
            </w:pPr>
            <w:r w:rsidRPr="000A7D0B">
              <w:rPr>
                <w:lang w:val="sv-SE" w:eastAsia="en-GB"/>
              </w:rPr>
              <w:t>4 (0.9</w:t>
            </w:r>
            <w:r>
              <w:rPr>
                <w:lang w:val="sv-SE" w:eastAsia="en-GB"/>
              </w:rPr>
              <w:t>%</w:t>
            </w:r>
            <w:r w:rsidRPr="000A7D0B">
              <w:rPr>
                <w:lang w:val="sv-SE" w:eastAsia="en-GB"/>
              </w:rPr>
              <w:t>)</w:t>
            </w:r>
          </w:p>
        </w:tc>
        <w:tc>
          <w:tcPr>
            <w:tcW w:w="856" w:type="pct"/>
          </w:tcPr>
          <w:p w14:paraId="2E476271" w14:textId="77777777" w:rsidR="00BC042B" w:rsidRPr="0023722A" w:rsidRDefault="00BC042B" w:rsidP="009764CD">
            <w:pPr>
              <w:pStyle w:val="TableCenter"/>
              <w:rPr>
                <w:lang w:val="sv-SE" w:eastAsia="en-GB"/>
              </w:rPr>
            </w:pPr>
          </w:p>
        </w:tc>
        <w:tc>
          <w:tcPr>
            <w:tcW w:w="793" w:type="pct"/>
          </w:tcPr>
          <w:p w14:paraId="039863F1" w14:textId="77777777" w:rsidR="00BC042B" w:rsidRPr="0023722A" w:rsidRDefault="00BC042B" w:rsidP="009764CD">
            <w:pPr>
              <w:pStyle w:val="TableCenter"/>
              <w:rPr>
                <w:lang w:val="sv-SE" w:eastAsia="en-GB"/>
              </w:rPr>
            </w:pPr>
            <w:r>
              <w:rPr>
                <w:bCs/>
              </w:rPr>
              <w:t>0</w:t>
            </w:r>
          </w:p>
        </w:tc>
      </w:tr>
      <w:tr w:rsidR="00BC042B" w14:paraId="436E7B2E" w14:textId="77777777" w:rsidTr="009764CD">
        <w:tc>
          <w:tcPr>
            <w:tcW w:w="1635" w:type="pct"/>
            <w:vAlign w:val="center"/>
          </w:tcPr>
          <w:p w14:paraId="6D72505B" w14:textId="59929416" w:rsidR="00BC042B" w:rsidRPr="001A7347" w:rsidRDefault="00BC042B" w:rsidP="009764CD">
            <w:pPr>
              <w:pStyle w:val="TableCenter"/>
            </w:pPr>
            <w:r w:rsidRPr="007B7B9E">
              <w:rPr>
                <w:lang w:val="sv-SE" w:eastAsia="en-GB"/>
              </w:rPr>
              <w:t>Hypothyroidism</w:t>
            </w:r>
            <w:r w:rsidR="002B61A7">
              <w:rPr>
                <w:vertAlign w:val="superscript"/>
                <w:lang w:val="sv-SE" w:eastAsia="en-GB"/>
              </w:rPr>
              <w:t>c</w:t>
            </w:r>
          </w:p>
        </w:tc>
        <w:tc>
          <w:tcPr>
            <w:tcW w:w="935" w:type="pct"/>
          </w:tcPr>
          <w:p w14:paraId="5581ACE4" w14:textId="77777777" w:rsidR="00BC042B" w:rsidRPr="000A7D0B" w:rsidRDefault="00BC042B" w:rsidP="009764CD">
            <w:pPr>
              <w:pStyle w:val="TableCenter"/>
              <w:rPr>
                <w:lang w:val="sv-SE" w:eastAsia="en-GB"/>
              </w:rPr>
            </w:pPr>
            <w:r w:rsidRPr="000A7D0B">
              <w:rPr>
                <w:lang w:val="sv-SE" w:eastAsia="en-GB"/>
              </w:rPr>
              <w:t>Very common</w:t>
            </w:r>
          </w:p>
        </w:tc>
        <w:tc>
          <w:tcPr>
            <w:tcW w:w="781" w:type="pct"/>
          </w:tcPr>
          <w:p w14:paraId="6AD28E27" w14:textId="77777777" w:rsidR="00BC042B" w:rsidRPr="000A7D0B" w:rsidRDefault="00BC042B" w:rsidP="009764CD">
            <w:pPr>
              <w:pStyle w:val="TableCenter"/>
              <w:rPr>
                <w:lang w:val="sv-SE" w:eastAsia="en-GB"/>
              </w:rPr>
            </w:pPr>
            <w:r w:rsidRPr="000A7D0B">
              <w:rPr>
                <w:lang w:val="sv-SE" w:eastAsia="en-GB"/>
              </w:rPr>
              <w:t>60 (13.0</w:t>
            </w:r>
            <w:r>
              <w:rPr>
                <w:lang w:val="sv-SE" w:eastAsia="en-GB"/>
              </w:rPr>
              <w:t>%</w:t>
            </w:r>
            <w:r w:rsidRPr="000A7D0B">
              <w:rPr>
                <w:lang w:val="sv-SE" w:eastAsia="en-GB"/>
              </w:rPr>
              <w:t>)</w:t>
            </w:r>
          </w:p>
        </w:tc>
        <w:tc>
          <w:tcPr>
            <w:tcW w:w="856" w:type="pct"/>
          </w:tcPr>
          <w:p w14:paraId="2AA45A84" w14:textId="77777777" w:rsidR="00BC042B" w:rsidRPr="0023722A" w:rsidRDefault="00BC042B" w:rsidP="009764CD">
            <w:pPr>
              <w:pStyle w:val="TableCenter"/>
              <w:rPr>
                <w:lang w:val="sv-SE" w:eastAsia="en-GB"/>
              </w:rPr>
            </w:pPr>
          </w:p>
        </w:tc>
        <w:tc>
          <w:tcPr>
            <w:tcW w:w="793" w:type="pct"/>
          </w:tcPr>
          <w:p w14:paraId="7E31469A" w14:textId="77777777" w:rsidR="00BC042B" w:rsidRPr="0023722A" w:rsidRDefault="00BC042B" w:rsidP="009764CD">
            <w:pPr>
              <w:pStyle w:val="TableCenter"/>
              <w:rPr>
                <w:lang w:val="sv-SE" w:eastAsia="en-GB"/>
              </w:rPr>
            </w:pPr>
            <w:r>
              <w:rPr>
                <w:bCs/>
              </w:rPr>
              <w:t>0</w:t>
            </w:r>
          </w:p>
        </w:tc>
      </w:tr>
      <w:tr w:rsidR="00BC042B" w14:paraId="6A95D39F" w14:textId="77777777" w:rsidTr="009764CD">
        <w:tc>
          <w:tcPr>
            <w:tcW w:w="1635" w:type="pct"/>
          </w:tcPr>
          <w:p w14:paraId="007869A8" w14:textId="4C35E9CF" w:rsidR="00BC042B" w:rsidRPr="001A7347" w:rsidRDefault="00BC042B" w:rsidP="009764CD">
            <w:pPr>
              <w:pStyle w:val="TableCenter"/>
            </w:pPr>
            <w:r w:rsidRPr="007B7B9E">
              <w:rPr>
                <w:lang w:val="sv-SE" w:eastAsia="en-GB"/>
              </w:rPr>
              <w:t>Thyroiditis</w:t>
            </w:r>
            <w:r w:rsidR="002B61A7">
              <w:rPr>
                <w:vertAlign w:val="superscript"/>
                <w:lang w:val="sv-SE" w:eastAsia="en-GB"/>
              </w:rPr>
              <w:t>d</w:t>
            </w:r>
          </w:p>
        </w:tc>
        <w:tc>
          <w:tcPr>
            <w:tcW w:w="935" w:type="pct"/>
          </w:tcPr>
          <w:p w14:paraId="267A129F" w14:textId="77777777" w:rsidR="00BC042B" w:rsidRPr="000A7D0B" w:rsidRDefault="00BC042B" w:rsidP="009764CD">
            <w:pPr>
              <w:pStyle w:val="TableCenter"/>
              <w:rPr>
                <w:lang w:val="sv-SE" w:eastAsia="en-GB"/>
              </w:rPr>
            </w:pPr>
            <w:r w:rsidRPr="000A7D0B">
              <w:rPr>
                <w:lang w:val="sv-SE" w:eastAsia="en-GB"/>
              </w:rPr>
              <w:t>Common</w:t>
            </w:r>
          </w:p>
        </w:tc>
        <w:tc>
          <w:tcPr>
            <w:tcW w:w="781" w:type="pct"/>
          </w:tcPr>
          <w:p w14:paraId="34292745" w14:textId="77777777" w:rsidR="00BC042B" w:rsidRPr="000A7D0B" w:rsidRDefault="00BC042B" w:rsidP="009764CD">
            <w:pPr>
              <w:pStyle w:val="TableCenter"/>
              <w:rPr>
                <w:lang w:val="sv-SE" w:eastAsia="en-GB"/>
              </w:rPr>
            </w:pPr>
            <w:r w:rsidRPr="000A7D0B">
              <w:rPr>
                <w:lang w:val="sv-SE" w:eastAsia="en-GB"/>
              </w:rPr>
              <w:t>8 (1.7</w:t>
            </w:r>
            <w:r>
              <w:rPr>
                <w:lang w:val="sv-SE" w:eastAsia="en-GB"/>
              </w:rPr>
              <w:t>%</w:t>
            </w:r>
            <w:r w:rsidRPr="000A7D0B">
              <w:rPr>
                <w:lang w:val="sv-SE" w:eastAsia="en-GB"/>
              </w:rPr>
              <w:t>)</w:t>
            </w:r>
          </w:p>
        </w:tc>
        <w:tc>
          <w:tcPr>
            <w:tcW w:w="856" w:type="pct"/>
          </w:tcPr>
          <w:p w14:paraId="29D44850" w14:textId="77777777" w:rsidR="00BC042B" w:rsidRPr="0023722A" w:rsidRDefault="00BC042B" w:rsidP="009764CD">
            <w:pPr>
              <w:pStyle w:val="TableCenter"/>
              <w:rPr>
                <w:lang w:val="sv-SE" w:eastAsia="en-GB"/>
              </w:rPr>
            </w:pPr>
          </w:p>
        </w:tc>
        <w:tc>
          <w:tcPr>
            <w:tcW w:w="793" w:type="pct"/>
          </w:tcPr>
          <w:p w14:paraId="4FE6F6C5" w14:textId="77777777" w:rsidR="00BC042B" w:rsidRPr="0023722A" w:rsidRDefault="00BC042B" w:rsidP="009764CD">
            <w:pPr>
              <w:pStyle w:val="TableCenter"/>
              <w:rPr>
                <w:lang w:val="sv-SE" w:eastAsia="en-GB"/>
              </w:rPr>
            </w:pPr>
            <w:r>
              <w:rPr>
                <w:bCs/>
              </w:rPr>
              <w:t>0</w:t>
            </w:r>
          </w:p>
        </w:tc>
      </w:tr>
      <w:tr w:rsidR="00BC042B" w14:paraId="6EB473BE" w14:textId="77777777" w:rsidTr="009764CD">
        <w:tc>
          <w:tcPr>
            <w:tcW w:w="1635" w:type="pct"/>
          </w:tcPr>
          <w:p w14:paraId="10E45A13" w14:textId="77777777" w:rsidR="00BC042B" w:rsidRPr="007B7B9E" w:rsidRDefault="00BC042B" w:rsidP="009764CD">
            <w:pPr>
              <w:pStyle w:val="TableCenter"/>
              <w:rPr>
                <w:lang w:val="sv-SE" w:eastAsia="en-GB"/>
              </w:rPr>
            </w:pPr>
            <w:r w:rsidRPr="004E33A7">
              <w:lastRenderedPageBreak/>
              <w:t>Type 1 diabetes mellitus</w:t>
            </w:r>
          </w:p>
        </w:tc>
        <w:tc>
          <w:tcPr>
            <w:tcW w:w="935" w:type="pct"/>
          </w:tcPr>
          <w:p w14:paraId="2360402E" w14:textId="79EF6897" w:rsidR="00BC042B" w:rsidRPr="000A7D0B" w:rsidRDefault="00BC042B" w:rsidP="009764CD">
            <w:pPr>
              <w:pStyle w:val="TableCenter"/>
              <w:rPr>
                <w:lang w:val="sv-SE" w:eastAsia="en-GB"/>
              </w:rPr>
            </w:pPr>
            <w:r w:rsidRPr="00D95F6F">
              <w:rPr>
                <w:bCs/>
              </w:rPr>
              <w:t xml:space="preserve">Not </w:t>
            </w:r>
            <w:proofErr w:type="spellStart"/>
            <w:r w:rsidRPr="00D95F6F">
              <w:rPr>
                <w:bCs/>
              </w:rPr>
              <w:t>determined</w:t>
            </w:r>
            <w:r w:rsidR="002B61A7">
              <w:rPr>
                <w:bCs/>
                <w:vertAlign w:val="superscript"/>
              </w:rPr>
              <w:t>a</w:t>
            </w:r>
            <w:proofErr w:type="spellEnd"/>
          </w:p>
        </w:tc>
        <w:tc>
          <w:tcPr>
            <w:tcW w:w="781" w:type="pct"/>
          </w:tcPr>
          <w:p w14:paraId="3E8ADDCF" w14:textId="77777777" w:rsidR="00BC042B" w:rsidRPr="000A7D0B" w:rsidRDefault="00BC042B" w:rsidP="009764CD">
            <w:pPr>
              <w:pStyle w:val="TableCenter"/>
              <w:rPr>
                <w:lang w:val="sv-SE" w:eastAsia="en-GB"/>
              </w:rPr>
            </w:pPr>
          </w:p>
        </w:tc>
        <w:tc>
          <w:tcPr>
            <w:tcW w:w="856" w:type="pct"/>
          </w:tcPr>
          <w:p w14:paraId="706C1168" w14:textId="77777777" w:rsidR="00BC042B" w:rsidRPr="0023722A" w:rsidRDefault="00BC042B" w:rsidP="009764CD">
            <w:pPr>
              <w:pStyle w:val="TableCenter"/>
              <w:rPr>
                <w:lang w:val="sv-SE" w:eastAsia="en-GB"/>
              </w:rPr>
            </w:pPr>
          </w:p>
        </w:tc>
        <w:tc>
          <w:tcPr>
            <w:tcW w:w="793" w:type="pct"/>
          </w:tcPr>
          <w:p w14:paraId="7CE4C05C" w14:textId="77777777" w:rsidR="00BC042B" w:rsidRPr="0023722A" w:rsidRDefault="00BC042B" w:rsidP="009764CD">
            <w:pPr>
              <w:pStyle w:val="TableCenter"/>
              <w:rPr>
                <w:lang w:val="sv-SE" w:eastAsia="en-GB"/>
              </w:rPr>
            </w:pPr>
          </w:p>
        </w:tc>
      </w:tr>
      <w:tr w:rsidR="00BC042B" w14:paraId="1141D360" w14:textId="77777777" w:rsidTr="009764CD">
        <w:tc>
          <w:tcPr>
            <w:tcW w:w="5000" w:type="pct"/>
            <w:gridSpan w:val="5"/>
          </w:tcPr>
          <w:p w14:paraId="1BC936A3" w14:textId="77777777" w:rsidR="00BC042B" w:rsidRPr="000A7D0B" w:rsidRDefault="00BC042B" w:rsidP="009764CD">
            <w:pPr>
              <w:pStyle w:val="TableHead"/>
              <w:jc w:val="left"/>
              <w:rPr>
                <w:lang w:val="sv-SE" w:eastAsia="en-GB"/>
              </w:rPr>
            </w:pPr>
            <w:r w:rsidRPr="000A7D0B">
              <w:rPr>
                <w:lang w:val="sv-SE" w:eastAsia="en-GB"/>
              </w:rPr>
              <w:t>Gastrointestinal disorders</w:t>
            </w:r>
          </w:p>
        </w:tc>
      </w:tr>
      <w:tr w:rsidR="00BC042B" w14:paraId="1682A22A" w14:textId="77777777" w:rsidTr="009764CD">
        <w:trPr>
          <w:trHeight w:val="406"/>
        </w:trPr>
        <w:tc>
          <w:tcPr>
            <w:tcW w:w="1635" w:type="pct"/>
          </w:tcPr>
          <w:p w14:paraId="2556BA48" w14:textId="56762CE2" w:rsidR="00BC042B" w:rsidRPr="000A7D0B" w:rsidRDefault="00BC042B" w:rsidP="009764CD">
            <w:pPr>
              <w:pStyle w:val="TableCenter"/>
              <w:rPr>
                <w:lang w:val="sv-SE" w:eastAsia="en-GB"/>
              </w:rPr>
            </w:pPr>
            <w:r w:rsidRPr="007B7B9E">
              <w:rPr>
                <w:lang w:val="sv-SE" w:eastAsia="en-GB"/>
              </w:rPr>
              <w:t>Abdominal pain</w:t>
            </w:r>
            <w:r w:rsidR="002B61A7">
              <w:rPr>
                <w:vertAlign w:val="superscript"/>
                <w:lang w:val="sv-SE" w:eastAsia="en-GB"/>
              </w:rPr>
              <w:t>e</w:t>
            </w:r>
          </w:p>
        </w:tc>
        <w:tc>
          <w:tcPr>
            <w:tcW w:w="935" w:type="pct"/>
          </w:tcPr>
          <w:p w14:paraId="0B351CAC" w14:textId="77777777" w:rsidR="00BC042B" w:rsidRPr="000A7D0B" w:rsidRDefault="00BC042B" w:rsidP="009764CD">
            <w:pPr>
              <w:pStyle w:val="TableCenter"/>
              <w:rPr>
                <w:lang w:val="sv-SE" w:eastAsia="en-GB"/>
              </w:rPr>
            </w:pPr>
            <w:r w:rsidRPr="000A7D0B">
              <w:rPr>
                <w:lang w:val="sv-SE" w:eastAsia="en-GB"/>
              </w:rPr>
              <w:t>Very common</w:t>
            </w:r>
          </w:p>
        </w:tc>
        <w:tc>
          <w:tcPr>
            <w:tcW w:w="781" w:type="pct"/>
          </w:tcPr>
          <w:p w14:paraId="0F99B506" w14:textId="77777777" w:rsidR="00BC042B" w:rsidRPr="000A7D0B" w:rsidRDefault="00BC042B" w:rsidP="009764CD">
            <w:pPr>
              <w:pStyle w:val="TableCenter"/>
              <w:rPr>
                <w:lang w:val="sv-SE" w:eastAsia="en-GB"/>
              </w:rPr>
            </w:pPr>
            <w:r w:rsidRPr="000A7D0B">
              <w:rPr>
                <w:lang w:val="sv-SE" w:eastAsia="en-GB"/>
              </w:rPr>
              <w:t>91 (19.7</w:t>
            </w:r>
            <w:r>
              <w:rPr>
                <w:lang w:val="sv-SE" w:eastAsia="en-GB"/>
              </w:rPr>
              <w:t>%</w:t>
            </w:r>
            <w:r w:rsidRPr="000A7D0B">
              <w:rPr>
                <w:lang w:val="sv-SE" w:eastAsia="en-GB"/>
              </w:rPr>
              <w:t>)</w:t>
            </w:r>
          </w:p>
        </w:tc>
        <w:tc>
          <w:tcPr>
            <w:tcW w:w="856" w:type="pct"/>
          </w:tcPr>
          <w:p w14:paraId="16C2660C" w14:textId="77777777" w:rsidR="00BC042B" w:rsidRPr="0023722A" w:rsidRDefault="00BC042B" w:rsidP="009764CD">
            <w:pPr>
              <w:pStyle w:val="TableCenter"/>
              <w:rPr>
                <w:lang w:val="sv-SE" w:eastAsia="en-GB"/>
              </w:rPr>
            </w:pPr>
            <w:r w:rsidRPr="0023722A">
              <w:rPr>
                <w:lang w:val="sv-SE" w:eastAsia="en-GB"/>
              </w:rPr>
              <w:t>Common</w:t>
            </w:r>
          </w:p>
        </w:tc>
        <w:tc>
          <w:tcPr>
            <w:tcW w:w="793" w:type="pct"/>
          </w:tcPr>
          <w:p w14:paraId="3AD19D0C" w14:textId="77777777" w:rsidR="00BC042B" w:rsidRPr="0023722A" w:rsidRDefault="00BC042B" w:rsidP="009764CD">
            <w:pPr>
              <w:pStyle w:val="TableCenter"/>
              <w:rPr>
                <w:lang w:val="sv-SE" w:eastAsia="en-GB"/>
              </w:rPr>
            </w:pPr>
            <w:r w:rsidRPr="0023722A">
              <w:rPr>
                <w:lang w:val="sv-SE" w:eastAsia="en-GB"/>
              </w:rPr>
              <w:t>10 (2.2</w:t>
            </w:r>
            <w:r>
              <w:rPr>
                <w:lang w:val="sv-SE" w:eastAsia="en-GB"/>
              </w:rPr>
              <w:t>%</w:t>
            </w:r>
            <w:r w:rsidRPr="0023722A">
              <w:rPr>
                <w:lang w:val="sv-SE" w:eastAsia="en-GB"/>
              </w:rPr>
              <w:t>)</w:t>
            </w:r>
          </w:p>
        </w:tc>
      </w:tr>
      <w:tr w:rsidR="00BC042B" w14:paraId="0E56D939" w14:textId="77777777" w:rsidTr="009764CD">
        <w:trPr>
          <w:trHeight w:val="406"/>
        </w:trPr>
        <w:tc>
          <w:tcPr>
            <w:tcW w:w="1635" w:type="pct"/>
          </w:tcPr>
          <w:p w14:paraId="2C93DFB4" w14:textId="77777777" w:rsidR="00BC042B" w:rsidRPr="000A7D0B" w:rsidRDefault="00BC042B" w:rsidP="009764CD">
            <w:pPr>
              <w:pStyle w:val="TableCenter"/>
              <w:rPr>
                <w:lang w:val="sv-SE" w:eastAsia="en-GB"/>
              </w:rPr>
            </w:pPr>
            <w:r w:rsidRPr="007B7B9E">
              <w:rPr>
                <w:lang w:val="sv-SE" w:eastAsia="en-GB"/>
              </w:rPr>
              <w:t>Amylase increased</w:t>
            </w:r>
          </w:p>
        </w:tc>
        <w:tc>
          <w:tcPr>
            <w:tcW w:w="935" w:type="pct"/>
          </w:tcPr>
          <w:p w14:paraId="3FF9C9F1" w14:textId="77777777" w:rsidR="00BC042B" w:rsidRPr="000A7D0B" w:rsidRDefault="00BC042B" w:rsidP="009764CD">
            <w:pPr>
              <w:pStyle w:val="TableCenter"/>
              <w:rPr>
                <w:lang w:val="sv-SE" w:eastAsia="en-GB"/>
              </w:rPr>
            </w:pPr>
            <w:r w:rsidRPr="000A7D0B">
              <w:rPr>
                <w:lang w:val="sv-SE" w:eastAsia="en-GB"/>
              </w:rPr>
              <w:t>Common</w:t>
            </w:r>
          </w:p>
        </w:tc>
        <w:tc>
          <w:tcPr>
            <w:tcW w:w="781" w:type="pct"/>
          </w:tcPr>
          <w:p w14:paraId="6CC4FC50" w14:textId="77777777" w:rsidR="00BC042B" w:rsidRPr="000A7D0B" w:rsidRDefault="00BC042B" w:rsidP="009764CD">
            <w:pPr>
              <w:pStyle w:val="TableCenter"/>
              <w:rPr>
                <w:lang w:val="sv-SE" w:eastAsia="en-GB"/>
              </w:rPr>
            </w:pPr>
            <w:r w:rsidRPr="000A7D0B">
              <w:rPr>
                <w:lang w:val="sv-SE" w:eastAsia="en-GB"/>
              </w:rPr>
              <w:t>41 (8.9</w:t>
            </w:r>
            <w:r>
              <w:rPr>
                <w:lang w:val="sv-SE" w:eastAsia="en-GB"/>
              </w:rPr>
              <w:t>%</w:t>
            </w:r>
            <w:r w:rsidRPr="000A7D0B">
              <w:rPr>
                <w:lang w:val="sv-SE" w:eastAsia="en-GB"/>
              </w:rPr>
              <w:t>)</w:t>
            </w:r>
          </w:p>
        </w:tc>
        <w:tc>
          <w:tcPr>
            <w:tcW w:w="856" w:type="pct"/>
          </w:tcPr>
          <w:p w14:paraId="5C107A21" w14:textId="77777777" w:rsidR="00BC042B" w:rsidRPr="0023722A" w:rsidRDefault="00BC042B" w:rsidP="009764CD">
            <w:pPr>
              <w:pStyle w:val="TableCenter"/>
              <w:rPr>
                <w:lang w:val="sv-SE" w:eastAsia="en-GB"/>
              </w:rPr>
            </w:pPr>
            <w:r w:rsidRPr="0023722A">
              <w:rPr>
                <w:lang w:val="sv-SE" w:eastAsia="en-GB"/>
              </w:rPr>
              <w:t>Common</w:t>
            </w:r>
          </w:p>
        </w:tc>
        <w:tc>
          <w:tcPr>
            <w:tcW w:w="793" w:type="pct"/>
          </w:tcPr>
          <w:p w14:paraId="7F2A2192" w14:textId="77777777" w:rsidR="00BC042B" w:rsidRPr="0023722A" w:rsidRDefault="00BC042B" w:rsidP="009764CD">
            <w:pPr>
              <w:pStyle w:val="TableCenter"/>
              <w:rPr>
                <w:lang w:val="sv-SE" w:eastAsia="en-GB"/>
              </w:rPr>
            </w:pPr>
            <w:r w:rsidRPr="0023722A">
              <w:rPr>
                <w:lang w:val="sv-SE" w:eastAsia="en-GB"/>
              </w:rPr>
              <w:t>20 (4.3</w:t>
            </w:r>
            <w:r>
              <w:rPr>
                <w:lang w:val="sv-SE" w:eastAsia="en-GB"/>
              </w:rPr>
              <w:t>%</w:t>
            </w:r>
            <w:r w:rsidRPr="0023722A">
              <w:rPr>
                <w:lang w:val="sv-SE" w:eastAsia="en-GB"/>
              </w:rPr>
              <w:t>)</w:t>
            </w:r>
          </w:p>
        </w:tc>
      </w:tr>
      <w:tr w:rsidR="00BC042B" w14:paraId="4EA8D1F3" w14:textId="77777777" w:rsidTr="009764CD">
        <w:trPr>
          <w:trHeight w:val="406"/>
        </w:trPr>
        <w:tc>
          <w:tcPr>
            <w:tcW w:w="1635" w:type="pct"/>
          </w:tcPr>
          <w:p w14:paraId="34D82ADC" w14:textId="621BD940" w:rsidR="00BC042B" w:rsidRPr="000A7D0B" w:rsidRDefault="00BC042B" w:rsidP="009764CD">
            <w:pPr>
              <w:pStyle w:val="TableCenter"/>
              <w:rPr>
                <w:lang w:val="sv-SE" w:eastAsia="en-GB"/>
              </w:rPr>
            </w:pPr>
            <w:r w:rsidRPr="007B7B9E">
              <w:rPr>
                <w:lang w:val="sv-SE" w:eastAsia="en-GB"/>
              </w:rPr>
              <w:t>Colitis</w:t>
            </w:r>
            <w:r w:rsidR="002B61A7">
              <w:rPr>
                <w:vertAlign w:val="superscript"/>
                <w:lang w:val="sv-SE" w:eastAsia="en-GB"/>
              </w:rPr>
              <w:t>f</w:t>
            </w:r>
          </w:p>
        </w:tc>
        <w:tc>
          <w:tcPr>
            <w:tcW w:w="935" w:type="pct"/>
          </w:tcPr>
          <w:p w14:paraId="63F11AE1" w14:textId="77777777" w:rsidR="00BC042B" w:rsidRPr="000A7D0B" w:rsidRDefault="00BC042B" w:rsidP="009764CD">
            <w:pPr>
              <w:pStyle w:val="TableCenter"/>
              <w:rPr>
                <w:lang w:val="sv-SE" w:eastAsia="en-GB"/>
              </w:rPr>
            </w:pPr>
            <w:r w:rsidRPr="000A7D0B">
              <w:rPr>
                <w:lang w:val="sv-SE" w:eastAsia="en-GB"/>
              </w:rPr>
              <w:t>Common</w:t>
            </w:r>
          </w:p>
        </w:tc>
        <w:tc>
          <w:tcPr>
            <w:tcW w:w="781" w:type="pct"/>
          </w:tcPr>
          <w:p w14:paraId="33A1053A" w14:textId="77777777" w:rsidR="00BC042B" w:rsidRPr="000A7D0B" w:rsidRDefault="00BC042B" w:rsidP="009764CD">
            <w:pPr>
              <w:pStyle w:val="TableCenter"/>
              <w:rPr>
                <w:lang w:val="sv-SE" w:eastAsia="en-GB"/>
              </w:rPr>
            </w:pPr>
            <w:r w:rsidRPr="000A7D0B">
              <w:rPr>
                <w:lang w:val="sv-SE" w:eastAsia="en-GB"/>
              </w:rPr>
              <w:t>16 (3.5</w:t>
            </w:r>
            <w:r>
              <w:rPr>
                <w:lang w:val="sv-SE" w:eastAsia="en-GB"/>
              </w:rPr>
              <w:t>%</w:t>
            </w:r>
            <w:r w:rsidRPr="000A7D0B">
              <w:rPr>
                <w:lang w:val="sv-SE" w:eastAsia="en-GB"/>
              </w:rPr>
              <w:t>)</w:t>
            </w:r>
          </w:p>
        </w:tc>
        <w:tc>
          <w:tcPr>
            <w:tcW w:w="856" w:type="pct"/>
          </w:tcPr>
          <w:p w14:paraId="43525398" w14:textId="77777777" w:rsidR="00BC042B" w:rsidRPr="0023722A" w:rsidRDefault="00BC042B" w:rsidP="009764CD">
            <w:pPr>
              <w:pStyle w:val="TableCenter"/>
              <w:rPr>
                <w:lang w:val="sv-SE" w:eastAsia="en-GB"/>
              </w:rPr>
            </w:pPr>
            <w:r w:rsidRPr="0023722A">
              <w:rPr>
                <w:lang w:val="sv-SE" w:eastAsia="en-GB"/>
              </w:rPr>
              <w:t>Common</w:t>
            </w:r>
          </w:p>
        </w:tc>
        <w:tc>
          <w:tcPr>
            <w:tcW w:w="793" w:type="pct"/>
          </w:tcPr>
          <w:p w14:paraId="485DB9AC" w14:textId="77777777" w:rsidR="00BC042B" w:rsidRPr="0023722A" w:rsidRDefault="00BC042B" w:rsidP="009764CD">
            <w:pPr>
              <w:pStyle w:val="TableCenter"/>
              <w:rPr>
                <w:lang w:val="sv-SE" w:eastAsia="en-GB"/>
              </w:rPr>
            </w:pPr>
            <w:r w:rsidRPr="0023722A">
              <w:rPr>
                <w:lang w:val="sv-SE" w:eastAsia="en-GB"/>
              </w:rPr>
              <w:t>12 (2.6</w:t>
            </w:r>
            <w:r>
              <w:rPr>
                <w:lang w:val="sv-SE" w:eastAsia="en-GB"/>
              </w:rPr>
              <w:t>%)</w:t>
            </w:r>
          </w:p>
        </w:tc>
      </w:tr>
      <w:tr w:rsidR="00BC042B" w14:paraId="5D1C8666" w14:textId="77777777" w:rsidTr="009764CD">
        <w:trPr>
          <w:trHeight w:val="406"/>
        </w:trPr>
        <w:tc>
          <w:tcPr>
            <w:tcW w:w="1635" w:type="pct"/>
          </w:tcPr>
          <w:p w14:paraId="3D8B48A5" w14:textId="77777777" w:rsidR="00BC042B" w:rsidRPr="000A7D0B" w:rsidRDefault="00BC042B" w:rsidP="009764CD">
            <w:pPr>
              <w:pStyle w:val="TableCenter"/>
              <w:rPr>
                <w:lang w:val="sv-SE" w:eastAsia="en-GB"/>
              </w:rPr>
            </w:pPr>
            <w:r w:rsidRPr="007B7B9E">
              <w:rPr>
                <w:lang w:val="sv-SE" w:eastAsia="en-GB"/>
              </w:rPr>
              <w:t>Diarrhoea</w:t>
            </w:r>
          </w:p>
        </w:tc>
        <w:tc>
          <w:tcPr>
            <w:tcW w:w="935" w:type="pct"/>
          </w:tcPr>
          <w:p w14:paraId="236EB4F7" w14:textId="77777777" w:rsidR="00BC042B" w:rsidRPr="000A7D0B" w:rsidRDefault="00BC042B" w:rsidP="009764CD">
            <w:pPr>
              <w:pStyle w:val="TableCenter"/>
              <w:rPr>
                <w:lang w:val="sv-SE" w:eastAsia="en-GB"/>
              </w:rPr>
            </w:pPr>
            <w:r w:rsidRPr="000A7D0B">
              <w:rPr>
                <w:lang w:val="sv-SE" w:eastAsia="en-GB"/>
              </w:rPr>
              <w:t>Very common</w:t>
            </w:r>
          </w:p>
        </w:tc>
        <w:tc>
          <w:tcPr>
            <w:tcW w:w="781" w:type="pct"/>
          </w:tcPr>
          <w:p w14:paraId="69212518" w14:textId="77777777" w:rsidR="00BC042B" w:rsidRPr="000A7D0B" w:rsidRDefault="00BC042B" w:rsidP="009764CD">
            <w:pPr>
              <w:pStyle w:val="TableCenter"/>
              <w:rPr>
                <w:lang w:val="sv-SE" w:eastAsia="en-GB"/>
              </w:rPr>
            </w:pPr>
            <w:r w:rsidRPr="000A7D0B">
              <w:rPr>
                <w:lang w:val="sv-SE" w:eastAsia="en-GB"/>
              </w:rPr>
              <w:t>117 (25.3</w:t>
            </w:r>
            <w:r>
              <w:rPr>
                <w:lang w:val="sv-SE" w:eastAsia="en-GB"/>
              </w:rPr>
              <w:t>%</w:t>
            </w:r>
            <w:r w:rsidRPr="000A7D0B">
              <w:rPr>
                <w:lang w:val="sv-SE" w:eastAsia="en-GB"/>
              </w:rPr>
              <w:t>)</w:t>
            </w:r>
          </w:p>
        </w:tc>
        <w:tc>
          <w:tcPr>
            <w:tcW w:w="856" w:type="pct"/>
          </w:tcPr>
          <w:p w14:paraId="379900DB" w14:textId="77777777" w:rsidR="00BC042B" w:rsidRPr="0023722A" w:rsidRDefault="00BC042B" w:rsidP="009764CD">
            <w:pPr>
              <w:pStyle w:val="TableCenter"/>
              <w:rPr>
                <w:lang w:val="sv-SE" w:eastAsia="en-GB"/>
              </w:rPr>
            </w:pPr>
            <w:r w:rsidRPr="0023722A">
              <w:rPr>
                <w:lang w:val="sv-SE" w:eastAsia="en-GB"/>
              </w:rPr>
              <w:t>Common</w:t>
            </w:r>
          </w:p>
        </w:tc>
        <w:tc>
          <w:tcPr>
            <w:tcW w:w="793" w:type="pct"/>
          </w:tcPr>
          <w:p w14:paraId="03C2A40F" w14:textId="77777777" w:rsidR="00BC042B" w:rsidRPr="0023722A" w:rsidRDefault="00BC042B" w:rsidP="009764CD">
            <w:pPr>
              <w:pStyle w:val="TableCenter"/>
              <w:rPr>
                <w:lang w:val="sv-SE" w:eastAsia="en-GB"/>
              </w:rPr>
            </w:pPr>
            <w:r w:rsidRPr="0023722A">
              <w:rPr>
                <w:lang w:val="sv-SE" w:eastAsia="en-GB"/>
              </w:rPr>
              <w:t>18 (3.9</w:t>
            </w:r>
            <w:r>
              <w:rPr>
                <w:lang w:val="sv-SE" w:eastAsia="en-GB"/>
              </w:rPr>
              <w:t>%</w:t>
            </w:r>
            <w:r w:rsidRPr="0023722A">
              <w:rPr>
                <w:lang w:val="sv-SE" w:eastAsia="en-GB"/>
              </w:rPr>
              <w:t>)</w:t>
            </w:r>
          </w:p>
        </w:tc>
      </w:tr>
      <w:tr w:rsidR="00BC042B" w14:paraId="08CC8463" w14:textId="77777777" w:rsidTr="009764CD">
        <w:trPr>
          <w:trHeight w:val="406"/>
        </w:trPr>
        <w:tc>
          <w:tcPr>
            <w:tcW w:w="1635" w:type="pct"/>
          </w:tcPr>
          <w:p w14:paraId="2A5CE4AD" w14:textId="77777777" w:rsidR="00BC042B" w:rsidRPr="007B7B9E" w:rsidRDefault="00BC042B" w:rsidP="009764CD">
            <w:pPr>
              <w:pStyle w:val="TableCenter"/>
              <w:rPr>
                <w:lang w:val="sv-SE" w:eastAsia="en-GB"/>
              </w:rPr>
            </w:pPr>
            <w:r>
              <w:t>Intestinal perforation</w:t>
            </w:r>
          </w:p>
        </w:tc>
        <w:tc>
          <w:tcPr>
            <w:tcW w:w="935" w:type="pct"/>
          </w:tcPr>
          <w:p w14:paraId="48BD90B9" w14:textId="4A6234BA" w:rsidR="00BC042B" w:rsidRPr="000A7D0B" w:rsidRDefault="00BC042B" w:rsidP="009764CD">
            <w:pPr>
              <w:pStyle w:val="TableCenter"/>
              <w:rPr>
                <w:lang w:val="sv-SE" w:eastAsia="en-GB"/>
              </w:rPr>
            </w:pPr>
            <w:r w:rsidRPr="00D95F6F">
              <w:rPr>
                <w:bCs/>
              </w:rPr>
              <w:t xml:space="preserve">Not </w:t>
            </w:r>
            <w:proofErr w:type="spellStart"/>
            <w:r w:rsidRPr="00D95F6F">
              <w:rPr>
                <w:bCs/>
              </w:rPr>
              <w:t>determined</w:t>
            </w:r>
            <w:r w:rsidR="002B61A7">
              <w:rPr>
                <w:bCs/>
                <w:vertAlign w:val="superscript"/>
              </w:rPr>
              <w:t>s</w:t>
            </w:r>
            <w:proofErr w:type="spellEnd"/>
          </w:p>
        </w:tc>
        <w:tc>
          <w:tcPr>
            <w:tcW w:w="781" w:type="pct"/>
          </w:tcPr>
          <w:p w14:paraId="2B65D4D0" w14:textId="77777777" w:rsidR="00BC042B" w:rsidRPr="000A7D0B" w:rsidRDefault="00BC042B" w:rsidP="009764CD">
            <w:pPr>
              <w:pStyle w:val="TableCenter"/>
              <w:rPr>
                <w:lang w:val="sv-SE" w:eastAsia="en-GB"/>
              </w:rPr>
            </w:pPr>
          </w:p>
        </w:tc>
        <w:tc>
          <w:tcPr>
            <w:tcW w:w="856" w:type="pct"/>
          </w:tcPr>
          <w:p w14:paraId="7CA1ED9A" w14:textId="77777777" w:rsidR="00BC042B" w:rsidRPr="0023722A" w:rsidRDefault="00BC042B" w:rsidP="009764CD">
            <w:pPr>
              <w:pStyle w:val="TableCenter"/>
              <w:rPr>
                <w:lang w:val="sv-SE" w:eastAsia="en-GB"/>
              </w:rPr>
            </w:pPr>
          </w:p>
        </w:tc>
        <w:tc>
          <w:tcPr>
            <w:tcW w:w="793" w:type="pct"/>
          </w:tcPr>
          <w:p w14:paraId="6B251611" w14:textId="77777777" w:rsidR="00BC042B" w:rsidRPr="0023722A" w:rsidRDefault="00BC042B" w:rsidP="009764CD">
            <w:pPr>
              <w:pStyle w:val="TableCenter"/>
              <w:rPr>
                <w:lang w:val="sv-SE" w:eastAsia="en-GB"/>
              </w:rPr>
            </w:pPr>
          </w:p>
        </w:tc>
      </w:tr>
      <w:tr w:rsidR="00BC042B" w14:paraId="28D0FC29" w14:textId="77777777" w:rsidTr="009764CD">
        <w:trPr>
          <w:trHeight w:val="406"/>
        </w:trPr>
        <w:tc>
          <w:tcPr>
            <w:tcW w:w="1635" w:type="pct"/>
          </w:tcPr>
          <w:p w14:paraId="28FF8755" w14:textId="77777777" w:rsidR="00BC042B" w:rsidRPr="007B7B9E" w:rsidRDefault="00BC042B" w:rsidP="009764CD">
            <w:pPr>
              <w:pStyle w:val="TableCenter"/>
              <w:rPr>
                <w:lang w:val="sv-SE" w:eastAsia="en-GB"/>
              </w:rPr>
            </w:pPr>
            <w:r>
              <w:t>Large intestine perforation</w:t>
            </w:r>
          </w:p>
        </w:tc>
        <w:tc>
          <w:tcPr>
            <w:tcW w:w="935" w:type="pct"/>
          </w:tcPr>
          <w:p w14:paraId="6DF798A6" w14:textId="38441229" w:rsidR="00BC042B" w:rsidRPr="000A7D0B" w:rsidRDefault="00BC042B" w:rsidP="009764CD">
            <w:pPr>
              <w:pStyle w:val="TableCenter"/>
              <w:rPr>
                <w:lang w:val="sv-SE" w:eastAsia="en-GB"/>
              </w:rPr>
            </w:pPr>
            <w:r w:rsidRPr="00D95F6F">
              <w:rPr>
                <w:bCs/>
              </w:rPr>
              <w:t xml:space="preserve">Not </w:t>
            </w:r>
            <w:proofErr w:type="spellStart"/>
            <w:r w:rsidRPr="00D95F6F">
              <w:rPr>
                <w:bCs/>
              </w:rPr>
              <w:t>determined</w:t>
            </w:r>
            <w:r w:rsidR="002B61A7">
              <w:rPr>
                <w:bCs/>
                <w:vertAlign w:val="superscript"/>
              </w:rPr>
              <w:t>s</w:t>
            </w:r>
            <w:proofErr w:type="spellEnd"/>
          </w:p>
        </w:tc>
        <w:tc>
          <w:tcPr>
            <w:tcW w:w="781" w:type="pct"/>
          </w:tcPr>
          <w:p w14:paraId="4EA8112A" w14:textId="77777777" w:rsidR="00BC042B" w:rsidRPr="000A7D0B" w:rsidRDefault="00BC042B" w:rsidP="009764CD">
            <w:pPr>
              <w:pStyle w:val="TableCenter"/>
              <w:rPr>
                <w:lang w:val="sv-SE" w:eastAsia="en-GB"/>
              </w:rPr>
            </w:pPr>
          </w:p>
        </w:tc>
        <w:tc>
          <w:tcPr>
            <w:tcW w:w="856" w:type="pct"/>
          </w:tcPr>
          <w:p w14:paraId="20A751A6" w14:textId="77777777" w:rsidR="00BC042B" w:rsidRPr="0023722A" w:rsidRDefault="00BC042B" w:rsidP="009764CD">
            <w:pPr>
              <w:pStyle w:val="TableCenter"/>
              <w:rPr>
                <w:lang w:val="sv-SE" w:eastAsia="en-GB"/>
              </w:rPr>
            </w:pPr>
          </w:p>
        </w:tc>
        <w:tc>
          <w:tcPr>
            <w:tcW w:w="793" w:type="pct"/>
          </w:tcPr>
          <w:p w14:paraId="4DF41B88" w14:textId="77777777" w:rsidR="00BC042B" w:rsidRPr="0023722A" w:rsidRDefault="00BC042B" w:rsidP="009764CD">
            <w:pPr>
              <w:pStyle w:val="TableCenter"/>
              <w:rPr>
                <w:lang w:val="sv-SE" w:eastAsia="en-GB"/>
              </w:rPr>
            </w:pPr>
          </w:p>
        </w:tc>
      </w:tr>
      <w:tr w:rsidR="00BC042B" w14:paraId="275A6BA4" w14:textId="77777777" w:rsidTr="009764CD">
        <w:trPr>
          <w:trHeight w:val="406"/>
        </w:trPr>
        <w:tc>
          <w:tcPr>
            <w:tcW w:w="1635" w:type="pct"/>
          </w:tcPr>
          <w:p w14:paraId="74667CDE" w14:textId="77777777" w:rsidR="00BC042B" w:rsidRPr="007B7B9E" w:rsidRDefault="00BC042B" w:rsidP="009764CD">
            <w:pPr>
              <w:pStyle w:val="TableCenter"/>
              <w:rPr>
                <w:lang w:val="sv-SE" w:eastAsia="en-GB"/>
              </w:rPr>
            </w:pPr>
            <w:r w:rsidRPr="007B7B9E">
              <w:rPr>
                <w:lang w:val="sv-SE" w:eastAsia="en-GB"/>
              </w:rPr>
              <w:t>Lipase increased</w:t>
            </w:r>
          </w:p>
        </w:tc>
        <w:tc>
          <w:tcPr>
            <w:tcW w:w="935" w:type="pct"/>
          </w:tcPr>
          <w:p w14:paraId="1AD157E6" w14:textId="77777777" w:rsidR="00BC042B" w:rsidRPr="000A7D0B" w:rsidRDefault="00BC042B" w:rsidP="009764CD">
            <w:pPr>
              <w:pStyle w:val="TableCenter"/>
              <w:rPr>
                <w:lang w:val="sv-SE" w:eastAsia="en-GB"/>
              </w:rPr>
            </w:pPr>
            <w:r w:rsidRPr="000A7D0B">
              <w:rPr>
                <w:lang w:val="sv-SE" w:eastAsia="en-GB"/>
              </w:rPr>
              <w:t>Common</w:t>
            </w:r>
          </w:p>
        </w:tc>
        <w:tc>
          <w:tcPr>
            <w:tcW w:w="781" w:type="pct"/>
          </w:tcPr>
          <w:p w14:paraId="6C25C0C8" w14:textId="77777777" w:rsidR="00BC042B" w:rsidRPr="000A7D0B" w:rsidRDefault="00BC042B" w:rsidP="009764CD">
            <w:pPr>
              <w:pStyle w:val="TableCenter"/>
              <w:rPr>
                <w:lang w:val="sv-SE" w:eastAsia="en-GB"/>
              </w:rPr>
            </w:pPr>
            <w:r w:rsidRPr="000A7D0B">
              <w:rPr>
                <w:lang w:val="sv-SE" w:eastAsia="en-GB"/>
              </w:rPr>
              <w:t>46 (10.0</w:t>
            </w:r>
            <w:r>
              <w:rPr>
                <w:lang w:val="sv-SE" w:eastAsia="en-GB"/>
              </w:rPr>
              <w:t>%</w:t>
            </w:r>
            <w:r w:rsidRPr="000A7D0B">
              <w:rPr>
                <w:lang w:val="sv-SE" w:eastAsia="en-GB"/>
              </w:rPr>
              <w:t>)</w:t>
            </w:r>
          </w:p>
        </w:tc>
        <w:tc>
          <w:tcPr>
            <w:tcW w:w="856" w:type="pct"/>
          </w:tcPr>
          <w:p w14:paraId="7F61BBA1" w14:textId="77777777" w:rsidR="00BC042B" w:rsidRPr="0023722A" w:rsidRDefault="00BC042B" w:rsidP="009764CD">
            <w:pPr>
              <w:pStyle w:val="TableCenter"/>
              <w:rPr>
                <w:lang w:val="sv-SE" w:eastAsia="en-GB"/>
              </w:rPr>
            </w:pPr>
            <w:r w:rsidRPr="0023722A">
              <w:rPr>
                <w:lang w:val="sv-SE" w:eastAsia="en-GB"/>
              </w:rPr>
              <w:t>Common</w:t>
            </w:r>
          </w:p>
        </w:tc>
        <w:tc>
          <w:tcPr>
            <w:tcW w:w="793" w:type="pct"/>
          </w:tcPr>
          <w:p w14:paraId="6367FCCF" w14:textId="77777777" w:rsidR="00BC042B" w:rsidRPr="0023722A" w:rsidRDefault="00BC042B" w:rsidP="009764CD">
            <w:pPr>
              <w:pStyle w:val="TableCenter"/>
              <w:rPr>
                <w:lang w:val="sv-SE" w:eastAsia="en-GB"/>
              </w:rPr>
            </w:pPr>
            <w:r w:rsidRPr="0023722A">
              <w:rPr>
                <w:lang w:val="sv-SE" w:eastAsia="en-GB"/>
              </w:rPr>
              <w:t>33 (7.1</w:t>
            </w:r>
            <w:r>
              <w:rPr>
                <w:lang w:val="sv-SE" w:eastAsia="en-GB"/>
              </w:rPr>
              <w:t>%</w:t>
            </w:r>
            <w:r w:rsidRPr="0023722A">
              <w:rPr>
                <w:lang w:val="sv-SE" w:eastAsia="en-GB"/>
              </w:rPr>
              <w:t>)</w:t>
            </w:r>
          </w:p>
        </w:tc>
      </w:tr>
      <w:tr w:rsidR="00BC042B" w14:paraId="67779D75" w14:textId="77777777" w:rsidTr="009764CD">
        <w:trPr>
          <w:trHeight w:val="406"/>
        </w:trPr>
        <w:tc>
          <w:tcPr>
            <w:tcW w:w="1635" w:type="pct"/>
          </w:tcPr>
          <w:p w14:paraId="52E02F45" w14:textId="20319DF4" w:rsidR="00BC042B" w:rsidRPr="007B7B9E" w:rsidRDefault="00BC042B" w:rsidP="009764CD">
            <w:pPr>
              <w:pStyle w:val="TableCenter"/>
              <w:rPr>
                <w:lang w:val="sv-SE" w:eastAsia="en-GB"/>
              </w:rPr>
            </w:pPr>
            <w:r w:rsidRPr="007B7B9E">
              <w:rPr>
                <w:lang w:val="sv-SE" w:eastAsia="en-GB"/>
              </w:rPr>
              <w:t>Pancreatitis</w:t>
            </w:r>
            <w:r w:rsidR="002B61A7">
              <w:rPr>
                <w:vertAlign w:val="superscript"/>
                <w:lang w:val="sv-SE" w:eastAsia="en-GB"/>
              </w:rPr>
              <w:t>g</w:t>
            </w:r>
          </w:p>
        </w:tc>
        <w:tc>
          <w:tcPr>
            <w:tcW w:w="935" w:type="pct"/>
          </w:tcPr>
          <w:p w14:paraId="7D8248D9" w14:textId="77777777" w:rsidR="00BC042B" w:rsidRPr="000A7D0B" w:rsidRDefault="00BC042B" w:rsidP="009764CD">
            <w:pPr>
              <w:pStyle w:val="TableCenter"/>
              <w:rPr>
                <w:lang w:val="sv-SE" w:eastAsia="en-GB"/>
              </w:rPr>
            </w:pPr>
            <w:r w:rsidRPr="000A7D0B">
              <w:rPr>
                <w:lang w:val="sv-SE" w:eastAsia="en-GB"/>
              </w:rPr>
              <w:t>Common</w:t>
            </w:r>
          </w:p>
        </w:tc>
        <w:tc>
          <w:tcPr>
            <w:tcW w:w="781" w:type="pct"/>
          </w:tcPr>
          <w:p w14:paraId="0A31A46C" w14:textId="77777777" w:rsidR="00BC042B" w:rsidRPr="000A7D0B" w:rsidRDefault="00BC042B" w:rsidP="009764CD">
            <w:pPr>
              <w:pStyle w:val="TableCenter"/>
              <w:rPr>
                <w:lang w:val="sv-SE" w:eastAsia="en-GB"/>
              </w:rPr>
            </w:pPr>
            <w:r w:rsidRPr="000A7D0B">
              <w:rPr>
                <w:lang w:val="sv-SE" w:eastAsia="en-GB"/>
              </w:rPr>
              <w:t>6 (1.3</w:t>
            </w:r>
            <w:r>
              <w:rPr>
                <w:lang w:val="sv-SE" w:eastAsia="en-GB"/>
              </w:rPr>
              <w:t>%</w:t>
            </w:r>
            <w:r w:rsidRPr="000A7D0B">
              <w:rPr>
                <w:lang w:val="sv-SE" w:eastAsia="en-GB"/>
              </w:rPr>
              <w:t>)</w:t>
            </w:r>
          </w:p>
        </w:tc>
        <w:tc>
          <w:tcPr>
            <w:tcW w:w="856" w:type="pct"/>
          </w:tcPr>
          <w:p w14:paraId="2D7D72D1" w14:textId="77777777" w:rsidR="00BC042B" w:rsidRPr="0023722A" w:rsidRDefault="00BC042B" w:rsidP="009764CD">
            <w:pPr>
              <w:pStyle w:val="TableCenter"/>
              <w:rPr>
                <w:lang w:val="sv-SE" w:eastAsia="en-GB"/>
              </w:rPr>
            </w:pPr>
            <w:r w:rsidRPr="0023722A">
              <w:rPr>
                <w:lang w:val="sv-SE" w:eastAsia="en-GB"/>
              </w:rPr>
              <w:t>Uncommon</w:t>
            </w:r>
          </w:p>
        </w:tc>
        <w:tc>
          <w:tcPr>
            <w:tcW w:w="793" w:type="pct"/>
          </w:tcPr>
          <w:p w14:paraId="40AA7C84" w14:textId="77777777" w:rsidR="00BC042B" w:rsidRPr="0023722A" w:rsidRDefault="00BC042B" w:rsidP="009764CD">
            <w:pPr>
              <w:pStyle w:val="TableCenter"/>
              <w:rPr>
                <w:lang w:val="sv-SE" w:eastAsia="en-GB"/>
              </w:rPr>
            </w:pPr>
            <w:r w:rsidRPr="0023722A">
              <w:rPr>
                <w:lang w:val="sv-SE" w:eastAsia="en-GB"/>
              </w:rPr>
              <w:t>3 (0.6</w:t>
            </w:r>
            <w:r>
              <w:rPr>
                <w:lang w:val="sv-SE" w:eastAsia="en-GB"/>
              </w:rPr>
              <w:t>%</w:t>
            </w:r>
            <w:r w:rsidRPr="0023722A">
              <w:rPr>
                <w:lang w:val="sv-SE" w:eastAsia="en-GB"/>
              </w:rPr>
              <w:t>)</w:t>
            </w:r>
          </w:p>
        </w:tc>
      </w:tr>
      <w:tr w:rsidR="00BC042B" w14:paraId="2799B419" w14:textId="77777777" w:rsidTr="009764CD">
        <w:trPr>
          <w:trHeight w:val="406"/>
        </w:trPr>
        <w:tc>
          <w:tcPr>
            <w:tcW w:w="5000" w:type="pct"/>
            <w:gridSpan w:val="5"/>
          </w:tcPr>
          <w:p w14:paraId="72E0729C" w14:textId="77777777" w:rsidR="00BC042B" w:rsidRPr="007B7B9E" w:rsidRDefault="00BC042B" w:rsidP="009764CD">
            <w:pPr>
              <w:pStyle w:val="TableHead"/>
              <w:jc w:val="left"/>
              <w:rPr>
                <w:lang w:val="en-US" w:eastAsia="en-GB"/>
              </w:rPr>
            </w:pPr>
            <w:r w:rsidRPr="007B7B9E">
              <w:rPr>
                <w:lang w:val="en-US" w:eastAsia="en-GB"/>
              </w:rPr>
              <w:t>General disorders and administration site</w:t>
            </w:r>
            <w:r>
              <w:rPr>
                <w:lang w:val="en-US" w:eastAsia="en-GB"/>
              </w:rPr>
              <w:t xml:space="preserve"> </w:t>
            </w:r>
            <w:r w:rsidRPr="007B7B9E">
              <w:rPr>
                <w:lang w:val="en-US" w:eastAsia="en-GB"/>
              </w:rPr>
              <w:t>conditions</w:t>
            </w:r>
          </w:p>
        </w:tc>
      </w:tr>
      <w:tr w:rsidR="00BC042B" w14:paraId="04CFEC13" w14:textId="77777777" w:rsidTr="009764CD">
        <w:trPr>
          <w:trHeight w:val="406"/>
        </w:trPr>
        <w:tc>
          <w:tcPr>
            <w:tcW w:w="1635" w:type="pct"/>
          </w:tcPr>
          <w:p w14:paraId="4E9EEC70" w14:textId="58CF33D8" w:rsidR="00BC042B" w:rsidRPr="007B7B9E" w:rsidRDefault="00BC042B" w:rsidP="009764CD">
            <w:pPr>
              <w:pStyle w:val="TableCenter"/>
              <w:rPr>
                <w:lang w:val="en-US" w:eastAsia="en-GB"/>
              </w:rPr>
            </w:pPr>
            <w:r w:rsidRPr="007B7B9E">
              <w:rPr>
                <w:lang w:val="sv-SE" w:eastAsia="en-GB"/>
              </w:rPr>
              <w:t>Oedema peripheral</w:t>
            </w:r>
            <w:r w:rsidR="002B61A7">
              <w:rPr>
                <w:vertAlign w:val="superscript"/>
                <w:lang w:val="sv-SE" w:eastAsia="en-GB"/>
              </w:rPr>
              <w:t>h</w:t>
            </w:r>
          </w:p>
        </w:tc>
        <w:tc>
          <w:tcPr>
            <w:tcW w:w="935" w:type="pct"/>
          </w:tcPr>
          <w:p w14:paraId="41E157DC" w14:textId="77777777" w:rsidR="00BC042B" w:rsidRPr="007D772C" w:rsidRDefault="00BC042B" w:rsidP="009764CD">
            <w:pPr>
              <w:pStyle w:val="TableCenter"/>
              <w:rPr>
                <w:lang w:val="sv-SE" w:eastAsia="en-GB"/>
              </w:rPr>
            </w:pPr>
            <w:r w:rsidRPr="007D772C">
              <w:rPr>
                <w:lang w:val="sv-SE" w:eastAsia="en-GB"/>
              </w:rPr>
              <w:t>Very common</w:t>
            </w:r>
          </w:p>
        </w:tc>
        <w:tc>
          <w:tcPr>
            <w:tcW w:w="781" w:type="pct"/>
          </w:tcPr>
          <w:p w14:paraId="7CF45E39" w14:textId="77777777" w:rsidR="00BC042B" w:rsidRPr="007D772C" w:rsidRDefault="00BC042B" w:rsidP="009764CD">
            <w:pPr>
              <w:pStyle w:val="TableCenter"/>
              <w:rPr>
                <w:lang w:val="sv-SE" w:eastAsia="en-GB"/>
              </w:rPr>
            </w:pPr>
            <w:r w:rsidRPr="007D772C">
              <w:rPr>
                <w:lang w:val="sv-SE" w:eastAsia="en-GB"/>
              </w:rPr>
              <w:t>48 (10.4</w:t>
            </w:r>
            <w:r>
              <w:rPr>
                <w:lang w:val="sv-SE" w:eastAsia="en-GB"/>
              </w:rPr>
              <w:t>%</w:t>
            </w:r>
            <w:r w:rsidRPr="007D772C">
              <w:rPr>
                <w:lang w:val="sv-SE" w:eastAsia="en-GB"/>
              </w:rPr>
              <w:t>)</w:t>
            </w:r>
          </w:p>
        </w:tc>
        <w:tc>
          <w:tcPr>
            <w:tcW w:w="856" w:type="pct"/>
          </w:tcPr>
          <w:p w14:paraId="45CF9F9A" w14:textId="77777777" w:rsidR="00BC042B" w:rsidRPr="0023722A" w:rsidRDefault="00BC042B" w:rsidP="009764CD">
            <w:pPr>
              <w:pStyle w:val="TableCenter"/>
              <w:rPr>
                <w:lang w:val="sv-SE" w:eastAsia="en-GB"/>
              </w:rPr>
            </w:pPr>
            <w:r w:rsidRPr="0023722A">
              <w:rPr>
                <w:lang w:val="sv-SE" w:eastAsia="en-GB"/>
              </w:rPr>
              <w:t>Uncommon</w:t>
            </w:r>
          </w:p>
        </w:tc>
        <w:tc>
          <w:tcPr>
            <w:tcW w:w="793" w:type="pct"/>
          </w:tcPr>
          <w:p w14:paraId="492AAA31" w14:textId="77777777" w:rsidR="00BC042B" w:rsidRPr="0023722A" w:rsidRDefault="00BC042B" w:rsidP="009764CD">
            <w:pPr>
              <w:pStyle w:val="TableCenter"/>
              <w:rPr>
                <w:lang w:val="sv-SE" w:eastAsia="en-GB"/>
              </w:rPr>
            </w:pPr>
            <w:r w:rsidRPr="0023722A">
              <w:rPr>
                <w:lang w:val="sv-SE" w:eastAsia="en-GB"/>
              </w:rPr>
              <w:t>2 (0.4</w:t>
            </w:r>
            <w:r>
              <w:rPr>
                <w:lang w:val="sv-SE" w:eastAsia="en-GB"/>
              </w:rPr>
              <w:t>%</w:t>
            </w:r>
            <w:r w:rsidRPr="0023722A">
              <w:rPr>
                <w:lang w:val="sv-SE" w:eastAsia="en-GB"/>
              </w:rPr>
              <w:t>)</w:t>
            </w:r>
          </w:p>
        </w:tc>
      </w:tr>
      <w:tr w:rsidR="00BC042B" w14:paraId="4F1B43A9" w14:textId="77777777" w:rsidTr="009764CD">
        <w:trPr>
          <w:trHeight w:val="406"/>
        </w:trPr>
        <w:tc>
          <w:tcPr>
            <w:tcW w:w="1635" w:type="pct"/>
          </w:tcPr>
          <w:p w14:paraId="37A05950" w14:textId="77777777" w:rsidR="00BC042B" w:rsidRPr="007B7B9E" w:rsidRDefault="00BC042B" w:rsidP="009764CD">
            <w:pPr>
              <w:pStyle w:val="TableCenter"/>
              <w:rPr>
                <w:lang w:val="en-US" w:eastAsia="en-GB"/>
              </w:rPr>
            </w:pPr>
            <w:r w:rsidRPr="007B7B9E">
              <w:rPr>
                <w:lang w:val="sv-SE" w:eastAsia="en-GB"/>
              </w:rPr>
              <w:t>Pyrexia</w:t>
            </w:r>
          </w:p>
        </w:tc>
        <w:tc>
          <w:tcPr>
            <w:tcW w:w="935" w:type="pct"/>
          </w:tcPr>
          <w:p w14:paraId="1D8F25AF" w14:textId="77777777" w:rsidR="00BC042B" w:rsidRPr="007D772C" w:rsidRDefault="00BC042B" w:rsidP="009764CD">
            <w:pPr>
              <w:pStyle w:val="TableCenter"/>
              <w:rPr>
                <w:lang w:val="sv-SE" w:eastAsia="en-GB"/>
              </w:rPr>
            </w:pPr>
            <w:r w:rsidRPr="007D772C">
              <w:rPr>
                <w:lang w:val="sv-SE" w:eastAsia="en-GB"/>
              </w:rPr>
              <w:t>Very common</w:t>
            </w:r>
          </w:p>
        </w:tc>
        <w:tc>
          <w:tcPr>
            <w:tcW w:w="781" w:type="pct"/>
          </w:tcPr>
          <w:p w14:paraId="17A57954" w14:textId="77777777" w:rsidR="00BC042B" w:rsidRPr="007D772C" w:rsidRDefault="00BC042B" w:rsidP="009764CD">
            <w:pPr>
              <w:pStyle w:val="TableCenter"/>
              <w:rPr>
                <w:lang w:val="sv-SE" w:eastAsia="en-GB"/>
              </w:rPr>
            </w:pPr>
            <w:r w:rsidRPr="007D772C">
              <w:rPr>
                <w:lang w:val="sv-SE" w:eastAsia="en-GB"/>
              </w:rPr>
              <w:t>64 (13.9</w:t>
            </w:r>
            <w:r>
              <w:rPr>
                <w:lang w:val="sv-SE" w:eastAsia="en-GB"/>
              </w:rPr>
              <w:t>%</w:t>
            </w:r>
            <w:r w:rsidRPr="007D772C">
              <w:rPr>
                <w:lang w:val="sv-SE" w:eastAsia="en-GB"/>
              </w:rPr>
              <w:t>)</w:t>
            </w:r>
          </w:p>
        </w:tc>
        <w:tc>
          <w:tcPr>
            <w:tcW w:w="856" w:type="pct"/>
          </w:tcPr>
          <w:p w14:paraId="422C3B52" w14:textId="77777777" w:rsidR="00BC042B" w:rsidRPr="0023722A" w:rsidRDefault="00BC042B" w:rsidP="009764CD">
            <w:pPr>
              <w:pStyle w:val="TableCenter"/>
              <w:rPr>
                <w:lang w:val="sv-SE" w:eastAsia="en-GB"/>
              </w:rPr>
            </w:pPr>
            <w:r w:rsidRPr="0023722A">
              <w:rPr>
                <w:lang w:val="sv-SE" w:eastAsia="en-GB"/>
              </w:rPr>
              <w:t>Uncommon</w:t>
            </w:r>
          </w:p>
        </w:tc>
        <w:tc>
          <w:tcPr>
            <w:tcW w:w="793" w:type="pct"/>
          </w:tcPr>
          <w:p w14:paraId="35EC8E48" w14:textId="77777777" w:rsidR="00BC042B" w:rsidRPr="0023722A" w:rsidRDefault="00BC042B" w:rsidP="009764CD">
            <w:pPr>
              <w:pStyle w:val="TableCenter"/>
              <w:rPr>
                <w:lang w:val="sv-SE" w:eastAsia="en-GB"/>
              </w:rPr>
            </w:pPr>
            <w:r w:rsidRPr="0023722A">
              <w:rPr>
                <w:lang w:val="sv-SE" w:eastAsia="en-GB"/>
              </w:rPr>
              <w:t>1 (0.2</w:t>
            </w:r>
            <w:r>
              <w:rPr>
                <w:lang w:val="sv-SE" w:eastAsia="en-GB"/>
              </w:rPr>
              <w:t>%</w:t>
            </w:r>
            <w:r w:rsidRPr="0023722A">
              <w:rPr>
                <w:lang w:val="sv-SE" w:eastAsia="en-GB"/>
              </w:rPr>
              <w:t>)</w:t>
            </w:r>
          </w:p>
        </w:tc>
      </w:tr>
      <w:tr w:rsidR="00BC042B" w14:paraId="5DC2B4FC" w14:textId="77777777" w:rsidTr="009764CD">
        <w:trPr>
          <w:trHeight w:val="406"/>
        </w:trPr>
        <w:tc>
          <w:tcPr>
            <w:tcW w:w="5000" w:type="pct"/>
            <w:gridSpan w:val="5"/>
          </w:tcPr>
          <w:p w14:paraId="63FF8CA0" w14:textId="77777777" w:rsidR="00BC042B" w:rsidRPr="0026638C" w:rsidRDefault="00BC042B" w:rsidP="009764CD">
            <w:pPr>
              <w:pStyle w:val="TableHead"/>
              <w:jc w:val="left"/>
            </w:pPr>
            <w:r w:rsidRPr="007D772C">
              <w:rPr>
                <w:lang w:val="en-US" w:eastAsia="en-GB"/>
              </w:rPr>
              <w:t>Hepatobiliary disorders</w:t>
            </w:r>
          </w:p>
        </w:tc>
      </w:tr>
      <w:tr w:rsidR="00BC042B" w14:paraId="789031B6" w14:textId="77777777" w:rsidTr="009764CD">
        <w:trPr>
          <w:trHeight w:val="406"/>
        </w:trPr>
        <w:tc>
          <w:tcPr>
            <w:tcW w:w="1635" w:type="pct"/>
          </w:tcPr>
          <w:p w14:paraId="11A5FFBE" w14:textId="70D5CF40" w:rsidR="00BC042B" w:rsidRPr="007B7B9E" w:rsidRDefault="00BC042B" w:rsidP="009764CD">
            <w:pPr>
              <w:pStyle w:val="TableCenter"/>
              <w:rPr>
                <w:lang w:val="en-US" w:eastAsia="en-GB"/>
              </w:rPr>
            </w:pPr>
            <w:r w:rsidRPr="007B7B9E">
              <w:rPr>
                <w:lang w:val="en-US" w:eastAsia="en-GB"/>
              </w:rPr>
              <w:t xml:space="preserve">Aspartate aminotransferase increased/Alanine aminotransferase </w:t>
            </w:r>
            <w:proofErr w:type="spellStart"/>
            <w:r w:rsidRPr="007B7B9E">
              <w:rPr>
                <w:lang w:val="en-US" w:eastAsia="en-GB"/>
              </w:rPr>
              <w:t>increased</w:t>
            </w:r>
            <w:r w:rsidR="002B61A7">
              <w:rPr>
                <w:vertAlign w:val="superscript"/>
                <w:lang w:val="en-US" w:eastAsia="en-GB"/>
              </w:rPr>
              <w:t>i</w:t>
            </w:r>
            <w:proofErr w:type="spellEnd"/>
          </w:p>
        </w:tc>
        <w:tc>
          <w:tcPr>
            <w:tcW w:w="935" w:type="pct"/>
          </w:tcPr>
          <w:p w14:paraId="2850C77C" w14:textId="77777777" w:rsidR="00BC042B" w:rsidRPr="007D772C" w:rsidRDefault="00BC042B" w:rsidP="009764CD">
            <w:pPr>
              <w:pStyle w:val="TableCenter"/>
              <w:rPr>
                <w:lang w:val="sv-SE" w:eastAsia="en-GB"/>
              </w:rPr>
            </w:pPr>
            <w:r w:rsidRPr="007D772C">
              <w:rPr>
                <w:lang w:val="sv-SE" w:eastAsia="en-GB"/>
              </w:rPr>
              <w:t>Very common</w:t>
            </w:r>
          </w:p>
        </w:tc>
        <w:tc>
          <w:tcPr>
            <w:tcW w:w="781" w:type="pct"/>
          </w:tcPr>
          <w:p w14:paraId="3E01A103" w14:textId="77777777" w:rsidR="00BC042B" w:rsidRPr="007D772C" w:rsidRDefault="00BC042B" w:rsidP="009764CD">
            <w:pPr>
              <w:pStyle w:val="TableCenter"/>
              <w:rPr>
                <w:lang w:val="sv-SE" w:eastAsia="en-GB"/>
              </w:rPr>
            </w:pPr>
            <w:r w:rsidRPr="007D772C">
              <w:rPr>
                <w:lang w:val="sv-SE" w:eastAsia="en-GB"/>
              </w:rPr>
              <w:t>83 (18.0</w:t>
            </w:r>
            <w:r>
              <w:rPr>
                <w:lang w:val="sv-SE" w:eastAsia="en-GB"/>
              </w:rPr>
              <w:t>%</w:t>
            </w:r>
            <w:r w:rsidRPr="007D772C">
              <w:rPr>
                <w:lang w:val="sv-SE" w:eastAsia="en-GB"/>
              </w:rPr>
              <w:t>)</w:t>
            </w:r>
          </w:p>
        </w:tc>
        <w:tc>
          <w:tcPr>
            <w:tcW w:w="856" w:type="pct"/>
          </w:tcPr>
          <w:p w14:paraId="5F8AB612" w14:textId="77777777" w:rsidR="00BC042B" w:rsidRPr="0023722A" w:rsidRDefault="00BC042B" w:rsidP="009764CD">
            <w:pPr>
              <w:pStyle w:val="TableCenter"/>
              <w:rPr>
                <w:lang w:val="sv-SE" w:eastAsia="en-GB"/>
              </w:rPr>
            </w:pPr>
            <w:r w:rsidRPr="0023722A">
              <w:rPr>
                <w:lang w:val="sv-SE" w:eastAsia="en-GB"/>
              </w:rPr>
              <w:t>Common</w:t>
            </w:r>
          </w:p>
        </w:tc>
        <w:tc>
          <w:tcPr>
            <w:tcW w:w="793" w:type="pct"/>
          </w:tcPr>
          <w:p w14:paraId="6777C367" w14:textId="77777777" w:rsidR="00BC042B" w:rsidRPr="0023722A" w:rsidRDefault="00BC042B" w:rsidP="009764CD">
            <w:pPr>
              <w:pStyle w:val="TableCenter"/>
              <w:rPr>
                <w:lang w:val="sv-SE" w:eastAsia="en-GB"/>
              </w:rPr>
            </w:pPr>
            <w:r w:rsidRPr="0023722A">
              <w:rPr>
                <w:lang w:val="sv-SE" w:eastAsia="en-GB"/>
              </w:rPr>
              <w:t>41 (8.9</w:t>
            </w:r>
            <w:r>
              <w:rPr>
                <w:lang w:val="sv-SE" w:eastAsia="en-GB"/>
              </w:rPr>
              <w:t>%</w:t>
            </w:r>
            <w:r w:rsidRPr="0023722A">
              <w:rPr>
                <w:lang w:val="sv-SE" w:eastAsia="en-GB"/>
              </w:rPr>
              <w:t>)</w:t>
            </w:r>
          </w:p>
        </w:tc>
      </w:tr>
      <w:tr w:rsidR="00BC042B" w14:paraId="72EC69EB" w14:textId="77777777" w:rsidTr="009764CD">
        <w:trPr>
          <w:trHeight w:val="406"/>
        </w:trPr>
        <w:tc>
          <w:tcPr>
            <w:tcW w:w="1635" w:type="pct"/>
          </w:tcPr>
          <w:p w14:paraId="4ED01784" w14:textId="2AE64A23" w:rsidR="00BC042B" w:rsidRPr="007B7B9E" w:rsidRDefault="00BC042B" w:rsidP="009764CD">
            <w:pPr>
              <w:pStyle w:val="TableCenter"/>
              <w:rPr>
                <w:lang w:val="en-US" w:eastAsia="en-GB"/>
              </w:rPr>
            </w:pPr>
            <w:r w:rsidRPr="007B7B9E">
              <w:rPr>
                <w:lang w:val="sv-SE" w:eastAsia="en-GB"/>
              </w:rPr>
              <w:t>Hepatitis</w:t>
            </w:r>
            <w:r w:rsidR="002B61A7">
              <w:rPr>
                <w:vertAlign w:val="superscript"/>
                <w:lang w:val="sv-SE" w:eastAsia="en-GB"/>
              </w:rPr>
              <w:t>j</w:t>
            </w:r>
          </w:p>
        </w:tc>
        <w:tc>
          <w:tcPr>
            <w:tcW w:w="935" w:type="pct"/>
          </w:tcPr>
          <w:p w14:paraId="2022FB4C" w14:textId="77777777" w:rsidR="00BC042B" w:rsidRPr="007D772C" w:rsidRDefault="00BC042B" w:rsidP="009764CD">
            <w:pPr>
              <w:pStyle w:val="TableCenter"/>
              <w:rPr>
                <w:lang w:val="sv-SE" w:eastAsia="en-GB"/>
              </w:rPr>
            </w:pPr>
            <w:r w:rsidRPr="007D772C">
              <w:rPr>
                <w:lang w:val="sv-SE" w:eastAsia="en-GB"/>
              </w:rPr>
              <w:t>Common</w:t>
            </w:r>
          </w:p>
        </w:tc>
        <w:tc>
          <w:tcPr>
            <w:tcW w:w="781" w:type="pct"/>
          </w:tcPr>
          <w:p w14:paraId="790F4C00" w14:textId="77777777" w:rsidR="00BC042B" w:rsidRPr="007D772C" w:rsidRDefault="00BC042B" w:rsidP="009764CD">
            <w:pPr>
              <w:pStyle w:val="TableCenter"/>
              <w:rPr>
                <w:lang w:val="sv-SE" w:eastAsia="en-GB"/>
              </w:rPr>
            </w:pPr>
            <w:r w:rsidRPr="007D772C">
              <w:rPr>
                <w:lang w:val="sv-SE" w:eastAsia="en-GB"/>
              </w:rPr>
              <w:t>23 (5.0</w:t>
            </w:r>
            <w:r>
              <w:rPr>
                <w:lang w:val="sv-SE" w:eastAsia="en-GB"/>
              </w:rPr>
              <w:t>%</w:t>
            </w:r>
            <w:r w:rsidRPr="007D772C">
              <w:rPr>
                <w:lang w:val="sv-SE" w:eastAsia="en-GB"/>
              </w:rPr>
              <w:t>)</w:t>
            </w:r>
          </w:p>
        </w:tc>
        <w:tc>
          <w:tcPr>
            <w:tcW w:w="856" w:type="pct"/>
          </w:tcPr>
          <w:p w14:paraId="5AE3A172" w14:textId="77777777" w:rsidR="00BC042B" w:rsidRPr="0023722A" w:rsidRDefault="00BC042B" w:rsidP="009764CD">
            <w:pPr>
              <w:pStyle w:val="TableCenter"/>
              <w:rPr>
                <w:lang w:val="sv-SE" w:eastAsia="en-GB"/>
              </w:rPr>
            </w:pPr>
            <w:r w:rsidRPr="0023722A">
              <w:rPr>
                <w:lang w:val="sv-SE" w:eastAsia="en-GB"/>
              </w:rPr>
              <w:t>Common</w:t>
            </w:r>
          </w:p>
        </w:tc>
        <w:tc>
          <w:tcPr>
            <w:tcW w:w="793" w:type="pct"/>
          </w:tcPr>
          <w:p w14:paraId="69B57F95" w14:textId="77777777" w:rsidR="00BC042B" w:rsidRPr="0023722A" w:rsidRDefault="00BC042B" w:rsidP="009764CD">
            <w:pPr>
              <w:pStyle w:val="TableCenter"/>
              <w:rPr>
                <w:lang w:val="sv-SE" w:eastAsia="en-GB"/>
              </w:rPr>
            </w:pPr>
            <w:r w:rsidRPr="0023722A">
              <w:rPr>
                <w:lang w:val="sv-SE" w:eastAsia="en-GB"/>
              </w:rPr>
              <w:t>8 (1.7</w:t>
            </w:r>
            <w:r>
              <w:rPr>
                <w:lang w:val="sv-SE" w:eastAsia="en-GB"/>
              </w:rPr>
              <w:t>%</w:t>
            </w:r>
            <w:r w:rsidRPr="0023722A">
              <w:rPr>
                <w:lang w:val="sv-SE" w:eastAsia="en-GB"/>
              </w:rPr>
              <w:t>)</w:t>
            </w:r>
          </w:p>
        </w:tc>
      </w:tr>
      <w:tr w:rsidR="00BC042B" w14:paraId="3BC6F542" w14:textId="77777777" w:rsidTr="009764CD">
        <w:trPr>
          <w:trHeight w:val="406"/>
        </w:trPr>
        <w:tc>
          <w:tcPr>
            <w:tcW w:w="5000" w:type="pct"/>
            <w:gridSpan w:val="5"/>
          </w:tcPr>
          <w:p w14:paraId="72A840B3" w14:textId="77777777" w:rsidR="00BC042B" w:rsidRPr="009F1186" w:rsidRDefault="00BC042B" w:rsidP="009764CD">
            <w:pPr>
              <w:pStyle w:val="TableHead"/>
              <w:jc w:val="left"/>
            </w:pPr>
            <w:r w:rsidRPr="007B7B9E">
              <w:rPr>
                <w:lang w:val="sv-SE" w:eastAsia="en-GB"/>
              </w:rPr>
              <w:t>Infections and infestations</w:t>
            </w:r>
          </w:p>
        </w:tc>
      </w:tr>
      <w:tr w:rsidR="00BC042B" w14:paraId="29CE27E5" w14:textId="77777777" w:rsidTr="009764CD">
        <w:trPr>
          <w:trHeight w:val="406"/>
        </w:trPr>
        <w:tc>
          <w:tcPr>
            <w:tcW w:w="1635" w:type="pct"/>
          </w:tcPr>
          <w:p w14:paraId="5ABBC3E9" w14:textId="073BA7D8" w:rsidR="00BC042B" w:rsidRPr="00973DC8" w:rsidRDefault="00BC042B" w:rsidP="009764CD">
            <w:pPr>
              <w:pStyle w:val="TableCenter"/>
              <w:rPr>
                <w:lang w:val="en-US" w:eastAsia="en-GB"/>
              </w:rPr>
            </w:pPr>
            <w:r w:rsidRPr="00973DC8">
              <w:rPr>
                <w:lang w:val="en-US" w:eastAsia="en-GB"/>
              </w:rPr>
              <w:t xml:space="preserve">Dental and oral soft tissue </w:t>
            </w:r>
            <w:proofErr w:type="spellStart"/>
            <w:r w:rsidRPr="00973DC8">
              <w:rPr>
                <w:lang w:val="en-US" w:eastAsia="en-GB"/>
              </w:rPr>
              <w:t>infections</w:t>
            </w:r>
            <w:r w:rsidR="002B61A7">
              <w:rPr>
                <w:vertAlign w:val="superscript"/>
                <w:lang w:val="en-US" w:eastAsia="en-GB"/>
              </w:rPr>
              <w:t>k</w:t>
            </w:r>
            <w:proofErr w:type="spellEnd"/>
          </w:p>
        </w:tc>
        <w:tc>
          <w:tcPr>
            <w:tcW w:w="935" w:type="pct"/>
          </w:tcPr>
          <w:p w14:paraId="7057A0CD" w14:textId="77777777" w:rsidR="00BC042B" w:rsidRPr="007D772C" w:rsidRDefault="00BC042B" w:rsidP="009764CD">
            <w:pPr>
              <w:pStyle w:val="TableCenter"/>
              <w:rPr>
                <w:lang w:val="sv-SE" w:eastAsia="en-GB"/>
              </w:rPr>
            </w:pPr>
            <w:r w:rsidRPr="007D772C">
              <w:rPr>
                <w:lang w:val="sv-SE" w:eastAsia="en-GB"/>
              </w:rPr>
              <w:t>Common</w:t>
            </w:r>
          </w:p>
        </w:tc>
        <w:tc>
          <w:tcPr>
            <w:tcW w:w="781" w:type="pct"/>
          </w:tcPr>
          <w:p w14:paraId="6CC0CC89" w14:textId="77777777" w:rsidR="00BC042B" w:rsidRPr="007D772C" w:rsidRDefault="00BC042B" w:rsidP="009764CD">
            <w:pPr>
              <w:pStyle w:val="TableCenter"/>
              <w:rPr>
                <w:lang w:val="sv-SE" w:eastAsia="en-GB"/>
              </w:rPr>
            </w:pPr>
            <w:r w:rsidRPr="007D772C">
              <w:rPr>
                <w:lang w:val="sv-SE" w:eastAsia="en-GB"/>
              </w:rPr>
              <w:t>6 (1.3</w:t>
            </w:r>
            <w:r>
              <w:rPr>
                <w:lang w:val="sv-SE" w:eastAsia="en-GB"/>
              </w:rPr>
              <w:t>%</w:t>
            </w:r>
            <w:r w:rsidRPr="007D772C">
              <w:rPr>
                <w:lang w:val="sv-SE" w:eastAsia="en-GB"/>
              </w:rPr>
              <w:t>)</w:t>
            </w:r>
          </w:p>
        </w:tc>
        <w:tc>
          <w:tcPr>
            <w:tcW w:w="856" w:type="pct"/>
          </w:tcPr>
          <w:p w14:paraId="3B738B8C" w14:textId="77777777" w:rsidR="00BC042B" w:rsidRPr="0023722A" w:rsidRDefault="00BC042B" w:rsidP="009764CD">
            <w:pPr>
              <w:pStyle w:val="TableCenter"/>
              <w:rPr>
                <w:lang w:val="sv-SE" w:eastAsia="en-GB"/>
              </w:rPr>
            </w:pPr>
          </w:p>
        </w:tc>
        <w:tc>
          <w:tcPr>
            <w:tcW w:w="793" w:type="pct"/>
          </w:tcPr>
          <w:p w14:paraId="5ABD435D" w14:textId="77777777" w:rsidR="00BC042B" w:rsidRPr="0023722A" w:rsidRDefault="00BC042B" w:rsidP="009764CD">
            <w:pPr>
              <w:pStyle w:val="TableCenter"/>
              <w:rPr>
                <w:lang w:val="sv-SE" w:eastAsia="en-GB"/>
              </w:rPr>
            </w:pPr>
            <w:r>
              <w:rPr>
                <w:bCs/>
              </w:rPr>
              <w:t>0</w:t>
            </w:r>
          </w:p>
        </w:tc>
      </w:tr>
      <w:tr w:rsidR="00BC042B" w14:paraId="517306DA" w14:textId="77777777" w:rsidTr="009764CD">
        <w:trPr>
          <w:trHeight w:val="406"/>
        </w:trPr>
        <w:tc>
          <w:tcPr>
            <w:tcW w:w="1635" w:type="pct"/>
          </w:tcPr>
          <w:p w14:paraId="64DD3F40" w14:textId="77777777" w:rsidR="00BC042B" w:rsidRPr="00973DC8" w:rsidRDefault="00BC042B" w:rsidP="009764CD">
            <w:pPr>
              <w:pStyle w:val="TableCenter"/>
              <w:rPr>
                <w:lang w:val="en-US" w:eastAsia="en-GB"/>
              </w:rPr>
            </w:pPr>
            <w:r w:rsidRPr="00973DC8">
              <w:rPr>
                <w:lang w:val="sv-SE" w:eastAsia="en-GB"/>
              </w:rPr>
              <w:t>Influenza</w:t>
            </w:r>
          </w:p>
        </w:tc>
        <w:tc>
          <w:tcPr>
            <w:tcW w:w="935" w:type="pct"/>
          </w:tcPr>
          <w:p w14:paraId="16D069E5" w14:textId="77777777" w:rsidR="00BC042B" w:rsidRPr="007D772C" w:rsidRDefault="00BC042B" w:rsidP="009764CD">
            <w:pPr>
              <w:pStyle w:val="TableCenter"/>
              <w:rPr>
                <w:lang w:val="sv-SE" w:eastAsia="en-GB"/>
              </w:rPr>
            </w:pPr>
            <w:r w:rsidRPr="007D772C">
              <w:rPr>
                <w:lang w:val="sv-SE" w:eastAsia="en-GB"/>
              </w:rPr>
              <w:t>Common</w:t>
            </w:r>
          </w:p>
        </w:tc>
        <w:tc>
          <w:tcPr>
            <w:tcW w:w="781" w:type="pct"/>
          </w:tcPr>
          <w:p w14:paraId="547B4264" w14:textId="77777777" w:rsidR="00BC042B" w:rsidRPr="007D772C" w:rsidRDefault="00BC042B" w:rsidP="009764CD">
            <w:pPr>
              <w:pStyle w:val="TableCenter"/>
              <w:rPr>
                <w:lang w:val="sv-SE" w:eastAsia="en-GB"/>
              </w:rPr>
            </w:pPr>
            <w:r w:rsidRPr="007D772C">
              <w:rPr>
                <w:lang w:val="sv-SE" w:eastAsia="en-GB"/>
              </w:rPr>
              <w:t>10 (2.2</w:t>
            </w:r>
            <w:r>
              <w:rPr>
                <w:lang w:val="sv-SE" w:eastAsia="en-GB"/>
              </w:rPr>
              <w:t>%</w:t>
            </w:r>
            <w:r w:rsidRPr="007D772C">
              <w:rPr>
                <w:lang w:val="sv-SE" w:eastAsia="en-GB"/>
              </w:rPr>
              <w:t>)</w:t>
            </w:r>
          </w:p>
        </w:tc>
        <w:tc>
          <w:tcPr>
            <w:tcW w:w="856" w:type="pct"/>
          </w:tcPr>
          <w:p w14:paraId="17AEEC1E" w14:textId="77777777" w:rsidR="00BC042B" w:rsidRPr="0023722A" w:rsidRDefault="00BC042B" w:rsidP="009764CD">
            <w:pPr>
              <w:pStyle w:val="TableCenter"/>
              <w:rPr>
                <w:lang w:val="sv-SE" w:eastAsia="en-GB"/>
              </w:rPr>
            </w:pPr>
          </w:p>
        </w:tc>
        <w:tc>
          <w:tcPr>
            <w:tcW w:w="793" w:type="pct"/>
          </w:tcPr>
          <w:p w14:paraId="2CA5030E" w14:textId="77777777" w:rsidR="00BC042B" w:rsidRPr="0023722A" w:rsidRDefault="00BC042B" w:rsidP="009764CD">
            <w:pPr>
              <w:pStyle w:val="TableCenter"/>
              <w:rPr>
                <w:lang w:val="sv-SE" w:eastAsia="en-GB"/>
              </w:rPr>
            </w:pPr>
            <w:r>
              <w:rPr>
                <w:bCs/>
              </w:rPr>
              <w:t>0</w:t>
            </w:r>
          </w:p>
        </w:tc>
      </w:tr>
      <w:tr w:rsidR="00BC042B" w14:paraId="65EDCA0E" w14:textId="77777777" w:rsidTr="009764CD">
        <w:trPr>
          <w:trHeight w:val="406"/>
        </w:trPr>
        <w:tc>
          <w:tcPr>
            <w:tcW w:w="1635" w:type="pct"/>
          </w:tcPr>
          <w:p w14:paraId="44DAC012" w14:textId="77777777" w:rsidR="00BC042B" w:rsidRPr="00973DC8" w:rsidRDefault="00BC042B" w:rsidP="009764CD">
            <w:pPr>
              <w:pStyle w:val="TableCenter"/>
              <w:rPr>
                <w:lang w:val="en-US" w:eastAsia="en-GB"/>
              </w:rPr>
            </w:pPr>
            <w:r w:rsidRPr="00973DC8">
              <w:rPr>
                <w:lang w:val="sv-SE" w:eastAsia="en-GB"/>
              </w:rPr>
              <w:t>Oral candidiasis</w:t>
            </w:r>
          </w:p>
        </w:tc>
        <w:tc>
          <w:tcPr>
            <w:tcW w:w="935" w:type="pct"/>
          </w:tcPr>
          <w:p w14:paraId="17075B71" w14:textId="77777777" w:rsidR="00BC042B" w:rsidRPr="007D772C" w:rsidRDefault="00BC042B" w:rsidP="009764CD">
            <w:pPr>
              <w:pStyle w:val="TableCenter"/>
              <w:rPr>
                <w:lang w:val="sv-SE" w:eastAsia="en-GB"/>
              </w:rPr>
            </w:pPr>
            <w:r w:rsidRPr="007D772C">
              <w:rPr>
                <w:lang w:val="sv-SE" w:eastAsia="en-GB"/>
              </w:rPr>
              <w:t>Uncommon</w:t>
            </w:r>
          </w:p>
        </w:tc>
        <w:tc>
          <w:tcPr>
            <w:tcW w:w="781" w:type="pct"/>
          </w:tcPr>
          <w:p w14:paraId="104BBCEB" w14:textId="77777777" w:rsidR="00BC042B" w:rsidRPr="007D772C" w:rsidRDefault="00BC042B" w:rsidP="009764CD">
            <w:pPr>
              <w:pStyle w:val="TableCenter"/>
              <w:rPr>
                <w:lang w:val="sv-SE" w:eastAsia="en-GB"/>
              </w:rPr>
            </w:pPr>
            <w:r w:rsidRPr="007D772C">
              <w:rPr>
                <w:lang w:val="sv-SE" w:eastAsia="en-GB"/>
              </w:rPr>
              <w:t>3 (0.6</w:t>
            </w:r>
            <w:r>
              <w:rPr>
                <w:lang w:val="sv-SE" w:eastAsia="en-GB"/>
              </w:rPr>
              <w:t>%</w:t>
            </w:r>
            <w:r w:rsidRPr="007D772C">
              <w:rPr>
                <w:lang w:val="sv-SE" w:eastAsia="en-GB"/>
              </w:rPr>
              <w:t>)</w:t>
            </w:r>
          </w:p>
        </w:tc>
        <w:tc>
          <w:tcPr>
            <w:tcW w:w="856" w:type="pct"/>
          </w:tcPr>
          <w:p w14:paraId="449B460F" w14:textId="77777777" w:rsidR="00BC042B" w:rsidRPr="0023722A" w:rsidRDefault="00BC042B" w:rsidP="009764CD">
            <w:pPr>
              <w:pStyle w:val="TableCenter"/>
              <w:rPr>
                <w:lang w:val="sv-SE" w:eastAsia="en-GB"/>
              </w:rPr>
            </w:pPr>
          </w:p>
        </w:tc>
        <w:tc>
          <w:tcPr>
            <w:tcW w:w="793" w:type="pct"/>
          </w:tcPr>
          <w:p w14:paraId="13DB7A41" w14:textId="77777777" w:rsidR="00BC042B" w:rsidRPr="0023722A" w:rsidRDefault="00BC042B" w:rsidP="009764CD">
            <w:pPr>
              <w:pStyle w:val="TableCenter"/>
              <w:rPr>
                <w:lang w:val="sv-SE" w:eastAsia="en-GB"/>
              </w:rPr>
            </w:pPr>
            <w:r>
              <w:rPr>
                <w:bCs/>
              </w:rPr>
              <w:t>0</w:t>
            </w:r>
          </w:p>
        </w:tc>
      </w:tr>
      <w:tr w:rsidR="00BC042B" w14:paraId="28E99E4E" w14:textId="77777777" w:rsidTr="009764CD">
        <w:trPr>
          <w:trHeight w:val="406"/>
        </w:trPr>
        <w:tc>
          <w:tcPr>
            <w:tcW w:w="1635" w:type="pct"/>
          </w:tcPr>
          <w:p w14:paraId="6E6D6EFF" w14:textId="7AA7D38F" w:rsidR="00BC042B" w:rsidRPr="00973DC8" w:rsidRDefault="00BC042B" w:rsidP="009764CD">
            <w:pPr>
              <w:pStyle w:val="TableCenter"/>
              <w:rPr>
                <w:lang w:val="en-US" w:eastAsia="en-GB"/>
              </w:rPr>
            </w:pPr>
            <w:r w:rsidRPr="00973DC8">
              <w:rPr>
                <w:lang w:val="sv-SE" w:eastAsia="en-GB"/>
              </w:rPr>
              <w:t>Pneumonia</w:t>
            </w:r>
            <w:r w:rsidR="002B61A7">
              <w:rPr>
                <w:vertAlign w:val="superscript"/>
                <w:lang w:val="sv-SE" w:eastAsia="en-GB"/>
              </w:rPr>
              <w:t>l</w:t>
            </w:r>
          </w:p>
        </w:tc>
        <w:tc>
          <w:tcPr>
            <w:tcW w:w="935" w:type="pct"/>
          </w:tcPr>
          <w:p w14:paraId="77482CC3" w14:textId="77777777" w:rsidR="00BC042B" w:rsidRPr="007D772C" w:rsidRDefault="00BC042B" w:rsidP="009764CD">
            <w:pPr>
              <w:pStyle w:val="TableCenter"/>
              <w:rPr>
                <w:lang w:val="sv-SE" w:eastAsia="en-GB"/>
              </w:rPr>
            </w:pPr>
            <w:r w:rsidRPr="007D772C">
              <w:rPr>
                <w:lang w:val="sv-SE" w:eastAsia="en-GB"/>
              </w:rPr>
              <w:t>Common</w:t>
            </w:r>
          </w:p>
        </w:tc>
        <w:tc>
          <w:tcPr>
            <w:tcW w:w="781" w:type="pct"/>
          </w:tcPr>
          <w:p w14:paraId="26EA260F" w14:textId="77777777" w:rsidR="00BC042B" w:rsidRPr="007D772C" w:rsidRDefault="00BC042B" w:rsidP="009764CD">
            <w:pPr>
              <w:pStyle w:val="TableCenter"/>
              <w:rPr>
                <w:lang w:val="sv-SE" w:eastAsia="en-GB"/>
              </w:rPr>
            </w:pPr>
            <w:r w:rsidRPr="007D772C">
              <w:rPr>
                <w:lang w:val="sv-SE" w:eastAsia="en-GB"/>
              </w:rPr>
              <w:t>20 (4.3</w:t>
            </w:r>
            <w:r>
              <w:rPr>
                <w:lang w:val="sv-SE" w:eastAsia="en-GB"/>
              </w:rPr>
              <w:t>%</w:t>
            </w:r>
            <w:r w:rsidRPr="007D772C">
              <w:rPr>
                <w:lang w:val="sv-SE" w:eastAsia="en-GB"/>
              </w:rPr>
              <w:t>)</w:t>
            </w:r>
          </w:p>
        </w:tc>
        <w:tc>
          <w:tcPr>
            <w:tcW w:w="856" w:type="pct"/>
          </w:tcPr>
          <w:p w14:paraId="7FC2D29B" w14:textId="77777777" w:rsidR="00BC042B" w:rsidRPr="0023722A" w:rsidRDefault="00BC042B" w:rsidP="009764CD">
            <w:pPr>
              <w:pStyle w:val="TableCenter"/>
              <w:rPr>
                <w:lang w:val="sv-SE" w:eastAsia="en-GB"/>
              </w:rPr>
            </w:pPr>
            <w:r w:rsidRPr="0023722A">
              <w:rPr>
                <w:lang w:val="sv-SE" w:eastAsia="en-GB"/>
              </w:rPr>
              <w:t>Common</w:t>
            </w:r>
          </w:p>
        </w:tc>
        <w:tc>
          <w:tcPr>
            <w:tcW w:w="793" w:type="pct"/>
          </w:tcPr>
          <w:p w14:paraId="7016773F" w14:textId="77777777" w:rsidR="00BC042B" w:rsidRPr="0023722A" w:rsidRDefault="00BC042B" w:rsidP="009764CD">
            <w:pPr>
              <w:pStyle w:val="TableCenter"/>
              <w:rPr>
                <w:lang w:val="sv-SE" w:eastAsia="en-GB"/>
              </w:rPr>
            </w:pPr>
            <w:r w:rsidRPr="0023722A">
              <w:rPr>
                <w:lang w:val="sv-SE" w:eastAsia="en-GB"/>
              </w:rPr>
              <w:t>6 (1.3</w:t>
            </w:r>
            <w:r>
              <w:rPr>
                <w:lang w:val="sv-SE" w:eastAsia="en-GB"/>
              </w:rPr>
              <w:t>%</w:t>
            </w:r>
            <w:r w:rsidRPr="0023722A">
              <w:rPr>
                <w:lang w:val="sv-SE" w:eastAsia="en-GB"/>
              </w:rPr>
              <w:t>)</w:t>
            </w:r>
          </w:p>
        </w:tc>
      </w:tr>
      <w:tr w:rsidR="00BC042B" w14:paraId="13E6ACFB" w14:textId="77777777" w:rsidTr="009764CD">
        <w:trPr>
          <w:trHeight w:val="406"/>
        </w:trPr>
        <w:tc>
          <w:tcPr>
            <w:tcW w:w="1635" w:type="pct"/>
          </w:tcPr>
          <w:p w14:paraId="256AD7E6" w14:textId="33FE704B" w:rsidR="00BC042B" w:rsidRPr="00973DC8" w:rsidRDefault="00BC042B" w:rsidP="009764CD">
            <w:pPr>
              <w:pStyle w:val="TableCenter"/>
              <w:rPr>
                <w:lang w:val="en-US" w:eastAsia="en-GB"/>
              </w:rPr>
            </w:pPr>
            <w:r w:rsidRPr="00973DC8">
              <w:rPr>
                <w:lang w:val="sv-SE" w:eastAsia="en-GB"/>
              </w:rPr>
              <w:t>Upper respiratory tract infections</w:t>
            </w:r>
            <w:r w:rsidR="002B61A7">
              <w:rPr>
                <w:vertAlign w:val="superscript"/>
                <w:lang w:val="sv-SE" w:eastAsia="en-GB"/>
              </w:rPr>
              <w:t>m</w:t>
            </w:r>
          </w:p>
        </w:tc>
        <w:tc>
          <w:tcPr>
            <w:tcW w:w="935" w:type="pct"/>
          </w:tcPr>
          <w:p w14:paraId="0EE969ED" w14:textId="77777777" w:rsidR="00BC042B" w:rsidRPr="007D772C" w:rsidRDefault="00BC042B" w:rsidP="009764CD">
            <w:pPr>
              <w:pStyle w:val="TableCenter"/>
              <w:rPr>
                <w:lang w:val="sv-SE" w:eastAsia="en-GB"/>
              </w:rPr>
            </w:pPr>
            <w:r w:rsidRPr="007D772C">
              <w:rPr>
                <w:lang w:val="sv-SE" w:eastAsia="en-GB"/>
              </w:rPr>
              <w:t>Common</w:t>
            </w:r>
          </w:p>
        </w:tc>
        <w:tc>
          <w:tcPr>
            <w:tcW w:w="781" w:type="pct"/>
          </w:tcPr>
          <w:p w14:paraId="2B9154A2" w14:textId="77777777" w:rsidR="00BC042B" w:rsidRPr="007D772C" w:rsidRDefault="00BC042B" w:rsidP="009764CD">
            <w:pPr>
              <w:pStyle w:val="TableCenter"/>
              <w:rPr>
                <w:lang w:val="sv-SE" w:eastAsia="en-GB"/>
              </w:rPr>
            </w:pPr>
            <w:r w:rsidRPr="007D772C">
              <w:rPr>
                <w:lang w:val="sv-SE" w:eastAsia="en-GB"/>
              </w:rPr>
              <w:t>39 (8.4</w:t>
            </w:r>
            <w:r>
              <w:rPr>
                <w:lang w:val="sv-SE" w:eastAsia="en-GB"/>
              </w:rPr>
              <w:t>%</w:t>
            </w:r>
            <w:r w:rsidRPr="007D772C">
              <w:rPr>
                <w:lang w:val="sv-SE" w:eastAsia="en-GB"/>
              </w:rPr>
              <w:t>)</w:t>
            </w:r>
          </w:p>
        </w:tc>
        <w:tc>
          <w:tcPr>
            <w:tcW w:w="856" w:type="pct"/>
          </w:tcPr>
          <w:p w14:paraId="016892C9" w14:textId="77777777" w:rsidR="00BC042B" w:rsidRPr="0023722A" w:rsidRDefault="00BC042B" w:rsidP="009764CD">
            <w:pPr>
              <w:pStyle w:val="TableCenter"/>
              <w:rPr>
                <w:lang w:val="sv-SE" w:eastAsia="en-GB"/>
              </w:rPr>
            </w:pPr>
          </w:p>
        </w:tc>
        <w:tc>
          <w:tcPr>
            <w:tcW w:w="793" w:type="pct"/>
          </w:tcPr>
          <w:p w14:paraId="23D3EAE2" w14:textId="77777777" w:rsidR="00BC042B" w:rsidRPr="0023722A" w:rsidRDefault="00BC042B" w:rsidP="009764CD">
            <w:pPr>
              <w:pStyle w:val="TableCenter"/>
              <w:rPr>
                <w:lang w:val="sv-SE" w:eastAsia="en-GB"/>
              </w:rPr>
            </w:pPr>
            <w:r>
              <w:rPr>
                <w:bCs/>
              </w:rPr>
              <w:t>0</w:t>
            </w:r>
          </w:p>
        </w:tc>
      </w:tr>
      <w:tr w:rsidR="00BC042B" w14:paraId="39362529" w14:textId="77777777" w:rsidTr="009764CD">
        <w:trPr>
          <w:trHeight w:val="406"/>
        </w:trPr>
        <w:tc>
          <w:tcPr>
            <w:tcW w:w="5000" w:type="pct"/>
            <w:gridSpan w:val="5"/>
          </w:tcPr>
          <w:p w14:paraId="1386E61A" w14:textId="77777777" w:rsidR="00BC042B" w:rsidRPr="007B7B9E" w:rsidRDefault="00BC042B" w:rsidP="009764CD">
            <w:pPr>
              <w:pStyle w:val="TableHead"/>
              <w:jc w:val="left"/>
              <w:rPr>
                <w:lang w:val="en-US" w:eastAsia="en-GB"/>
              </w:rPr>
            </w:pPr>
            <w:r w:rsidRPr="007B7B9E">
              <w:rPr>
                <w:lang w:val="en-US" w:eastAsia="en-GB"/>
              </w:rPr>
              <w:t>Injury, poisoning and procedural</w:t>
            </w:r>
            <w:r>
              <w:rPr>
                <w:lang w:val="en-US" w:eastAsia="en-GB"/>
              </w:rPr>
              <w:t xml:space="preserve"> </w:t>
            </w:r>
            <w:r w:rsidRPr="007B7B9E">
              <w:rPr>
                <w:lang w:val="en-US" w:eastAsia="en-GB"/>
              </w:rPr>
              <w:t>complications</w:t>
            </w:r>
          </w:p>
        </w:tc>
      </w:tr>
      <w:tr w:rsidR="00BC042B" w14:paraId="47D9FDC1" w14:textId="77777777" w:rsidTr="009764CD">
        <w:trPr>
          <w:trHeight w:val="406"/>
        </w:trPr>
        <w:tc>
          <w:tcPr>
            <w:tcW w:w="1635" w:type="pct"/>
          </w:tcPr>
          <w:p w14:paraId="6D3C7071" w14:textId="404918D4" w:rsidR="00BC042B" w:rsidRPr="007B7B9E" w:rsidRDefault="00BC042B" w:rsidP="009764CD">
            <w:pPr>
              <w:pStyle w:val="TableCenter"/>
              <w:rPr>
                <w:lang w:val="en-US" w:eastAsia="en-GB"/>
              </w:rPr>
            </w:pPr>
            <w:r w:rsidRPr="007B7B9E">
              <w:rPr>
                <w:lang w:val="sv-SE" w:eastAsia="en-GB"/>
              </w:rPr>
              <w:t>Infusion</w:t>
            </w:r>
            <w:r>
              <w:rPr>
                <w:lang w:val="sv-SE" w:eastAsia="en-GB"/>
              </w:rPr>
              <w:t>-</w:t>
            </w:r>
            <w:r w:rsidRPr="007B7B9E">
              <w:rPr>
                <w:lang w:val="sv-SE" w:eastAsia="en-GB"/>
              </w:rPr>
              <w:t>related reaction</w:t>
            </w:r>
            <w:r w:rsidR="002B61A7">
              <w:rPr>
                <w:vertAlign w:val="superscript"/>
                <w:lang w:val="sv-SE" w:eastAsia="en-GB"/>
              </w:rPr>
              <w:t>n</w:t>
            </w:r>
          </w:p>
        </w:tc>
        <w:tc>
          <w:tcPr>
            <w:tcW w:w="935" w:type="pct"/>
          </w:tcPr>
          <w:p w14:paraId="42B29FC7" w14:textId="77777777" w:rsidR="00BC042B" w:rsidRPr="007D772C" w:rsidRDefault="00BC042B" w:rsidP="009764CD">
            <w:pPr>
              <w:pStyle w:val="TableCenter"/>
              <w:rPr>
                <w:lang w:val="sv-SE" w:eastAsia="en-GB"/>
              </w:rPr>
            </w:pPr>
            <w:r w:rsidRPr="007D772C">
              <w:rPr>
                <w:lang w:val="sv-SE" w:eastAsia="en-GB"/>
              </w:rPr>
              <w:t>Common</w:t>
            </w:r>
          </w:p>
        </w:tc>
        <w:tc>
          <w:tcPr>
            <w:tcW w:w="781" w:type="pct"/>
          </w:tcPr>
          <w:p w14:paraId="59A87187" w14:textId="77777777" w:rsidR="00BC042B" w:rsidRPr="007D772C" w:rsidRDefault="00BC042B" w:rsidP="009764CD">
            <w:pPr>
              <w:pStyle w:val="TableCenter"/>
              <w:rPr>
                <w:lang w:val="sv-SE" w:eastAsia="en-GB"/>
              </w:rPr>
            </w:pPr>
            <w:r w:rsidRPr="007D772C">
              <w:rPr>
                <w:lang w:val="sv-SE" w:eastAsia="en-GB"/>
              </w:rPr>
              <w:t>6 (1.3</w:t>
            </w:r>
            <w:r>
              <w:rPr>
                <w:lang w:val="sv-SE" w:eastAsia="en-GB"/>
              </w:rPr>
              <w:t>%</w:t>
            </w:r>
            <w:r w:rsidRPr="007D772C">
              <w:rPr>
                <w:lang w:val="sv-SE" w:eastAsia="en-GB"/>
              </w:rPr>
              <w:t>)</w:t>
            </w:r>
          </w:p>
        </w:tc>
        <w:tc>
          <w:tcPr>
            <w:tcW w:w="856" w:type="pct"/>
          </w:tcPr>
          <w:p w14:paraId="2E1838E3" w14:textId="77777777" w:rsidR="00BC042B" w:rsidRPr="0023722A" w:rsidRDefault="00BC042B" w:rsidP="009764CD">
            <w:pPr>
              <w:pStyle w:val="TableCenter"/>
              <w:rPr>
                <w:lang w:val="sv-SE" w:eastAsia="en-GB"/>
              </w:rPr>
            </w:pPr>
          </w:p>
        </w:tc>
        <w:tc>
          <w:tcPr>
            <w:tcW w:w="793" w:type="pct"/>
          </w:tcPr>
          <w:p w14:paraId="724B2511" w14:textId="77777777" w:rsidR="00BC042B" w:rsidRPr="0023722A" w:rsidRDefault="00BC042B" w:rsidP="009764CD">
            <w:pPr>
              <w:pStyle w:val="TableCenter"/>
              <w:rPr>
                <w:lang w:val="sv-SE" w:eastAsia="en-GB"/>
              </w:rPr>
            </w:pPr>
            <w:r>
              <w:rPr>
                <w:bCs/>
              </w:rPr>
              <w:t>0</w:t>
            </w:r>
          </w:p>
        </w:tc>
      </w:tr>
      <w:tr w:rsidR="00BC042B" w14:paraId="47CC2C7D" w14:textId="77777777" w:rsidTr="009764CD">
        <w:trPr>
          <w:trHeight w:val="406"/>
        </w:trPr>
        <w:tc>
          <w:tcPr>
            <w:tcW w:w="5000" w:type="pct"/>
            <w:gridSpan w:val="5"/>
          </w:tcPr>
          <w:p w14:paraId="10E8A344" w14:textId="77777777" w:rsidR="00BC042B" w:rsidRPr="007B7B9E" w:rsidRDefault="00BC042B" w:rsidP="009764CD">
            <w:pPr>
              <w:pStyle w:val="TableHead"/>
              <w:jc w:val="left"/>
              <w:rPr>
                <w:lang w:val="en-US" w:eastAsia="en-GB"/>
              </w:rPr>
            </w:pPr>
            <w:r w:rsidRPr="007B7B9E">
              <w:rPr>
                <w:lang w:val="en-US" w:eastAsia="en-GB"/>
              </w:rPr>
              <w:t>Musculoskeletal and connective tissue</w:t>
            </w:r>
            <w:r>
              <w:rPr>
                <w:lang w:val="en-US" w:eastAsia="en-GB"/>
              </w:rPr>
              <w:t xml:space="preserve"> </w:t>
            </w:r>
            <w:r w:rsidRPr="007B7B9E">
              <w:rPr>
                <w:lang w:val="en-US" w:eastAsia="en-GB"/>
              </w:rPr>
              <w:t>disorders</w:t>
            </w:r>
          </w:p>
        </w:tc>
      </w:tr>
      <w:tr w:rsidR="00BC042B" w14:paraId="5B76736A" w14:textId="77777777" w:rsidTr="009764CD">
        <w:trPr>
          <w:trHeight w:val="406"/>
        </w:trPr>
        <w:tc>
          <w:tcPr>
            <w:tcW w:w="1635" w:type="pct"/>
          </w:tcPr>
          <w:p w14:paraId="7ED38781" w14:textId="77777777" w:rsidR="00BC042B" w:rsidRPr="007B7B9E" w:rsidRDefault="00BC042B" w:rsidP="009764CD">
            <w:pPr>
              <w:pStyle w:val="TableCenter"/>
              <w:rPr>
                <w:lang w:val="en-US" w:eastAsia="en-GB"/>
              </w:rPr>
            </w:pPr>
            <w:r w:rsidRPr="007B7B9E">
              <w:rPr>
                <w:lang w:val="sv-SE" w:eastAsia="en-GB"/>
              </w:rPr>
              <w:t>Myalgia</w:t>
            </w:r>
          </w:p>
        </w:tc>
        <w:tc>
          <w:tcPr>
            <w:tcW w:w="935" w:type="pct"/>
          </w:tcPr>
          <w:p w14:paraId="140266BD" w14:textId="77777777" w:rsidR="00BC042B" w:rsidRPr="007D772C" w:rsidRDefault="00BC042B" w:rsidP="009764CD">
            <w:pPr>
              <w:pStyle w:val="TableCenter"/>
              <w:rPr>
                <w:lang w:val="sv-SE" w:eastAsia="en-GB"/>
              </w:rPr>
            </w:pPr>
            <w:r w:rsidRPr="007D772C">
              <w:rPr>
                <w:lang w:val="sv-SE" w:eastAsia="en-GB"/>
              </w:rPr>
              <w:t>Common</w:t>
            </w:r>
          </w:p>
        </w:tc>
        <w:tc>
          <w:tcPr>
            <w:tcW w:w="781" w:type="pct"/>
          </w:tcPr>
          <w:p w14:paraId="3B2C1257" w14:textId="77777777" w:rsidR="00BC042B" w:rsidRPr="007D772C" w:rsidRDefault="00BC042B" w:rsidP="009764CD">
            <w:pPr>
              <w:pStyle w:val="TableCenter"/>
              <w:rPr>
                <w:lang w:val="sv-SE" w:eastAsia="en-GB"/>
              </w:rPr>
            </w:pPr>
            <w:r w:rsidRPr="007D772C">
              <w:rPr>
                <w:lang w:val="sv-SE" w:eastAsia="en-GB"/>
              </w:rPr>
              <w:t>16 (3.5</w:t>
            </w:r>
            <w:r>
              <w:rPr>
                <w:lang w:val="sv-SE" w:eastAsia="en-GB"/>
              </w:rPr>
              <w:t>%</w:t>
            </w:r>
            <w:r w:rsidRPr="007D772C">
              <w:rPr>
                <w:lang w:val="sv-SE" w:eastAsia="en-GB"/>
              </w:rPr>
              <w:t>)</w:t>
            </w:r>
          </w:p>
        </w:tc>
        <w:tc>
          <w:tcPr>
            <w:tcW w:w="856" w:type="pct"/>
          </w:tcPr>
          <w:p w14:paraId="24C8577E" w14:textId="77777777" w:rsidR="00BC042B" w:rsidRPr="0023722A" w:rsidRDefault="00BC042B" w:rsidP="009764CD">
            <w:pPr>
              <w:pStyle w:val="TableCenter"/>
              <w:rPr>
                <w:lang w:val="sv-SE" w:eastAsia="en-GB"/>
              </w:rPr>
            </w:pPr>
            <w:r w:rsidRPr="0023722A">
              <w:rPr>
                <w:lang w:val="sv-SE" w:eastAsia="en-GB"/>
              </w:rPr>
              <w:t>Uncommon</w:t>
            </w:r>
          </w:p>
        </w:tc>
        <w:tc>
          <w:tcPr>
            <w:tcW w:w="793" w:type="pct"/>
          </w:tcPr>
          <w:p w14:paraId="34D145FB" w14:textId="77777777" w:rsidR="00BC042B" w:rsidRPr="0023722A" w:rsidRDefault="00BC042B" w:rsidP="009764CD">
            <w:pPr>
              <w:pStyle w:val="TableCenter"/>
              <w:rPr>
                <w:lang w:val="sv-SE" w:eastAsia="en-GB"/>
              </w:rPr>
            </w:pPr>
            <w:r w:rsidRPr="0023722A">
              <w:rPr>
                <w:lang w:val="sv-SE" w:eastAsia="en-GB"/>
              </w:rPr>
              <w:t>1 (0.2</w:t>
            </w:r>
            <w:r>
              <w:rPr>
                <w:lang w:val="sv-SE" w:eastAsia="en-GB"/>
              </w:rPr>
              <w:t>%</w:t>
            </w:r>
            <w:r w:rsidRPr="0023722A">
              <w:rPr>
                <w:lang w:val="sv-SE" w:eastAsia="en-GB"/>
              </w:rPr>
              <w:t>)</w:t>
            </w:r>
          </w:p>
        </w:tc>
      </w:tr>
      <w:tr w:rsidR="00BC042B" w14:paraId="24BEC66F" w14:textId="77777777" w:rsidTr="009764CD">
        <w:trPr>
          <w:trHeight w:val="406"/>
        </w:trPr>
        <w:tc>
          <w:tcPr>
            <w:tcW w:w="1635" w:type="pct"/>
          </w:tcPr>
          <w:p w14:paraId="6A36A36A" w14:textId="77777777" w:rsidR="00BC042B" w:rsidRPr="007B7B9E" w:rsidRDefault="00BC042B" w:rsidP="009764CD">
            <w:pPr>
              <w:pStyle w:val="TableCenter"/>
              <w:rPr>
                <w:lang w:val="en-US" w:eastAsia="en-GB"/>
              </w:rPr>
            </w:pPr>
            <w:r w:rsidRPr="007B7B9E">
              <w:rPr>
                <w:lang w:val="sv-SE" w:eastAsia="en-GB"/>
              </w:rPr>
              <w:t>Myositis</w:t>
            </w:r>
          </w:p>
        </w:tc>
        <w:tc>
          <w:tcPr>
            <w:tcW w:w="935" w:type="pct"/>
          </w:tcPr>
          <w:p w14:paraId="4D2807A7" w14:textId="77777777" w:rsidR="00BC042B" w:rsidRPr="007D772C" w:rsidRDefault="00BC042B" w:rsidP="009764CD">
            <w:pPr>
              <w:pStyle w:val="TableCenter"/>
              <w:rPr>
                <w:lang w:val="sv-SE" w:eastAsia="en-GB"/>
              </w:rPr>
            </w:pPr>
            <w:r w:rsidRPr="007D772C">
              <w:rPr>
                <w:lang w:val="sv-SE" w:eastAsia="en-GB"/>
              </w:rPr>
              <w:t>Uncommon</w:t>
            </w:r>
          </w:p>
        </w:tc>
        <w:tc>
          <w:tcPr>
            <w:tcW w:w="781" w:type="pct"/>
          </w:tcPr>
          <w:p w14:paraId="13BA6BF6" w14:textId="77777777" w:rsidR="00BC042B" w:rsidRPr="007D772C" w:rsidRDefault="00BC042B" w:rsidP="009764CD">
            <w:pPr>
              <w:pStyle w:val="TableCenter"/>
              <w:rPr>
                <w:lang w:val="sv-SE" w:eastAsia="en-GB"/>
              </w:rPr>
            </w:pPr>
            <w:r w:rsidRPr="007D772C">
              <w:rPr>
                <w:lang w:val="sv-SE" w:eastAsia="en-GB"/>
              </w:rPr>
              <w:t>3 (0.6</w:t>
            </w:r>
            <w:r>
              <w:rPr>
                <w:lang w:val="sv-SE" w:eastAsia="en-GB"/>
              </w:rPr>
              <w:t>%</w:t>
            </w:r>
            <w:r w:rsidRPr="007D772C">
              <w:rPr>
                <w:lang w:val="sv-SE" w:eastAsia="en-GB"/>
              </w:rPr>
              <w:t>)</w:t>
            </w:r>
          </w:p>
        </w:tc>
        <w:tc>
          <w:tcPr>
            <w:tcW w:w="856" w:type="pct"/>
          </w:tcPr>
          <w:p w14:paraId="71CC6B1F" w14:textId="77777777" w:rsidR="00BC042B" w:rsidRPr="0023722A" w:rsidRDefault="00BC042B" w:rsidP="009764CD">
            <w:pPr>
              <w:pStyle w:val="TableCenter"/>
              <w:rPr>
                <w:lang w:val="sv-SE" w:eastAsia="en-GB"/>
              </w:rPr>
            </w:pPr>
            <w:r w:rsidRPr="0023722A">
              <w:rPr>
                <w:lang w:val="sv-SE" w:eastAsia="en-GB"/>
              </w:rPr>
              <w:t>Uncommon</w:t>
            </w:r>
          </w:p>
        </w:tc>
        <w:tc>
          <w:tcPr>
            <w:tcW w:w="793" w:type="pct"/>
          </w:tcPr>
          <w:p w14:paraId="4A366B4A" w14:textId="77777777" w:rsidR="00BC042B" w:rsidRPr="0023722A" w:rsidRDefault="00BC042B" w:rsidP="009764CD">
            <w:pPr>
              <w:pStyle w:val="TableCenter"/>
              <w:rPr>
                <w:lang w:val="sv-SE" w:eastAsia="en-GB"/>
              </w:rPr>
            </w:pPr>
            <w:r w:rsidRPr="0023722A">
              <w:rPr>
                <w:lang w:val="sv-SE" w:eastAsia="en-GB"/>
              </w:rPr>
              <w:t>1 (0.2</w:t>
            </w:r>
            <w:r>
              <w:rPr>
                <w:lang w:val="sv-SE" w:eastAsia="en-GB"/>
              </w:rPr>
              <w:t>%</w:t>
            </w:r>
            <w:r w:rsidRPr="0023722A">
              <w:rPr>
                <w:lang w:val="sv-SE" w:eastAsia="en-GB"/>
              </w:rPr>
              <w:t>)</w:t>
            </w:r>
          </w:p>
        </w:tc>
      </w:tr>
      <w:tr w:rsidR="00BC042B" w14:paraId="044B8E2A" w14:textId="77777777" w:rsidTr="009764CD">
        <w:trPr>
          <w:trHeight w:val="406"/>
        </w:trPr>
        <w:tc>
          <w:tcPr>
            <w:tcW w:w="1635" w:type="pct"/>
          </w:tcPr>
          <w:p w14:paraId="45CF4DEA" w14:textId="77777777" w:rsidR="00BC042B" w:rsidRPr="007B7B9E" w:rsidRDefault="00BC042B" w:rsidP="009764CD">
            <w:pPr>
              <w:pStyle w:val="TableCenter"/>
              <w:rPr>
                <w:lang w:val="en-US" w:eastAsia="en-GB"/>
              </w:rPr>
            </w:pPr>
            <w:r w:rsidRPr="007B7B9E">
              <w:rPr>
                <w:lang w:val="sv-SE" w:eastAsia="en-GB"/>
              </w:rPr>
              <w:t>Polymyositis</w:t>
            </w:r>
          </w:p>
        </w:tc>
        <w:tc>
          <w:tcPr>
            <w:tcW w:w="935" w:type="pct"/>
          </w:tcPr>
          <w:p w14:paraId="3CECEFB0" w14:textId="77777777" w:rsidR="00BC042B" w:rsidRPr="007D772C" w:rsidRDefault="00BC042B" w:rsidP="009764CD">
            <w:pPr>
              <w:pStyle w:val="TableCenter"/>
              <w:rPr>
                <w:lang w:val="sv-SE" w:eastAsia="en-GB"/>
              </w:rPr>
            </w:pPr>
            <w:r w:rsidRPr="007D772C">
              <w:rPr>
                <w:lang w:val="sv-SE" w:eastAsia="en-GB"/>
              </w:rPr>
              <w:t>Uncommon</w:t>
            </w:r>
          </w:p>
        </w:tc>
        <w:tc>
          <w:tcPr>
            <w:tcW w:w="781" w:type="pct"/>
          </w:tcPr>
          <w:p w14:paraId="68B3F911" w14:textId="77777777" w:rsidR="00BC042B" w:rsidRPr="007D772C" w:rsidRDefault="00BC042B" w:rsidP="009764CD">
            <w:pPr>
              <w:pStyle w:val="TableCenter"/>
              <w:rPr>
                <w:lang w:val="sv-SE" w:eastAsia="en-GB"/>
              </w:rPr>
            </w:pPr>
            <w:r w:rsidRPr="007D772C">
              <w:rPr>
                <w:lang w:val="sv-SE" w:eastAsia="en-GB"/>
              </w:rPr>
              <w:t>1 (0.2</w:t>
            </w:r>
            <w:r>
              <w:rPr>
                <w:lang w:val="sv-SE" w:eastAsia="en-GB"/>
              </w:rPr>
              <w:t>%</w:t>
            </w:r>
            <w:r w:rsidRPr="007D772C">
              <w:rPr>
                <w:lang w:val="sv-SE" w:eastAsia="en-GB"/>
              </w:rPr>
              <w:t>)</w:t>
            </w:r>
          </w:p>
        </w:tc>
        <w:tc>
          <w:tcPr>
            <w:tcW w:w="856" w:type="pct"/>
          </w:tcPr>
          <w:p w14:paraId="5B6701FA" w14:textId="77777777" w:rsidR="00BC042B" w:rsidRPr="0023722A" w:rsidRDefault="00BC042B" w:rsidP="009764CD">
            <w:pPr>
              <w:pStyle w:val="TableCenter"/>
              <w:rPr>
                <w:lang w:val="sv-SE" w:eastAsia="en-GB"/>
              </w:rPr>
            </w:pPr>
            <w:r w:rsidRPr="0023722A">
              <w:rPr>
                <w:lang w:val="sv-SE" w:eastAsia="en-GB"/>
              </w:rPr>
              <w:t>Uncommon</w:t>
            </w:r>
          </w:p>
        </w:tc>
        <w:tc>
          <w:tcPr>
            <w:tcW w:w="793" w:type="pct"/>
          </w:tcPr>
          <w:p w14:paraId="19C3B6E1" w14:textId="77777777" w:rsidR="00BC042B" w:rsidRPr="0023722A" w:rsidRDefault="00BC042B" w:rsidP="009764CD">
            <w:pPr>
              <w:pStyle w:val="TableCenter"/>
              <w:rPr>
                <w:lang w:val="sv-SE" w:eastAsia="en-GB"/>
              </w:rPr>
            </w:pPr>
            <w:r w:rsidRPr="0023722A">
              <w:rPr>
                <w:lang w:val="sv-SE" w:eastAsia="en-GB"/>
              </w:rPr>
              <w:t>1 (0.2</w:t>
            </w:r>
            <w:r>
              <w:rPr>
                <w:lang w:val="sv-SE" w:eastAsia="en-GB"/>
              </w:rPr>
              <w:t>%</w:t>
            </w:r>
            <w:r w:rsidRPr="0023722A">
              <w:rPr>
                <w:lang w:val="sv-SE" w:eastAsia="en-GB"/>
              </w:rPr>
              <w:t>)</w:t>
            </w:r>
          </w:p>
        </w:tc>
      </w:tr>
      <w:tr w:rsidR="00BC042B" w14:paraId="5AA130D7" w14:textId="77777777" w:rsidTr="009764CD">
        <w:trPr>
          <w:trHeight w:val="406"/>
        </w:trPr>
        <w:tc>
          <w:tcPr>
            <w:tcW w:w="5000" w:type="pct"/>
            <w:gridSpan w:val="5"/>
          </w:tcPr>
          <w:p w14:paraId="61998C1D" w14:textId="77777777" w:rsidR="00BC042B" w:rsidRPr="00316E96" w:rsidRDefault="00BC042B" w:rsidP="009764CD">
            <w:pPr>
              <w:pStyle w:val="TableHead"/>
              <w:jc w:val="left"/>
            </w:pPr>
            <w:r w:rsidRPr="007B7B9E">
              <w:rPr>
                <w:lang w:val="sv-SE" w:eastAsia="en-GB"/>
              </w:rPr>
              <w:lastRenderedPageBreak/>
              <w:t>Nervous system disorders</w:t>
            </w:r>
          </w:p>
        </w:tc>
      </w:tr>
      <w:tr w:rsidR="00BC042B" w14:paraId="05B106E1" w14:textId="77777777" w:rsidTr="009764CD">
        <w:trPr>
          <w:trHeight w:val="406"/>
        </w:trPr>
        <w:tc>
          <w:tcPr>
            <w:tcW w:w="1635" w:type="pct"/>
          </w:tcPr>
          <w:p w14:paraId="74DB8F0E" w14:textId="77777777" w:rsidR="00BC042B" w:rsidRPr="00973DC8" w:rsidRDefault="00BC042B" w:rsidP="009764CD">
            <w:pPr>
              <w:pStyle w:val="TableCenter"/>
              <w:rPr>
                <w:lang w:val="en-US" w:eastAsia="en-GB"/>
              </w:rPr>
            </w:pPr>
            <w:r w:rsidRPr="00973DC8">
              <w:rPr>
                <w:lang w:val="sv-SE" w:eastAsia="en-GB"/>
              </w:rPr>
              <w:t>Myasthenia gravis</w:t>
            </w:r>
          </w:p>
        </w:tc>
        <w:tc>
          <w:tcPr>
            <w:tcW w:w="935" w:type="pct"/>
          </w:tcPr>
          <w:p w14:paraId="260BFBF5" w14:textId="77777777" w:rsidR="00BC042B" w:rsidRPr="007D772C" w:rsidRDefault="00BC042B" w:rsidP="009764CD">
            <w:pPr>
              <w:pStyle w:val="TableCenter"/>
              <w:rPr>
                <w:lang w:val="sv-SE" w:eastAsia="en-GB"/>
              </w:rPr>
            </w:pPr>
            <w:r w:rsidRPr="007D772C">
              <w:rPr>
                <w:lang w:val="sv-SE" w:eastAsia="en-GB"/>
              </w:rPr>
              <w:t>Uncommon</w:t>
            </w:r>
          </w:p>
        </w:tc>
        <w:tc>
          <w:tcPr>
            <w:tcW w:w="781" w:type="pct"/>
          </w:tcPr>
          <w:p w14:paraId="34CDA0D3" w14:textId="77777777" w:rsidR="00BC042B" w:rsidRPr="007D772C" w:rsidRDefault="00BC042B" w:rsidP="009764CD">
            <w:pPr>
              <w:pStyle w:val="TableCenter"/>
              <w:rPr>
                <w:lang w:val="sv-SE" w:eastAsia="en-GB"/>
              </w:rPr>
            </w:pPr>
            <w:r w:rsidRPr="007D772C">
              <w:rPr>
                <w:lang w:val="sv-SE" w:eastAsia="en-GB"/>
              </w:rPr>
              <w:t>2 (0.4</w:t>
            </w:r>
            <w:r>
              <w:rPr>
                <w:lang w:val="sv-SE" w:eastAsia="en-GB"/>
              </w:rPr>
              <w:t>%</w:t>
            </w:r>
            <w:r w:rsidRPr="007D772C">
              <w:rPr>
                <w:lang w:val="sv-SE" w:eastAsia="en-GB"/>
              </w:rPr>
              <w:t>)</w:t>
            </w:r>
          </w:p>
        </w:tc>
        <w:tc>
          <w:tcPr>
            <w:tcW w:w="856" w:type="pct"/>
          </w:tcPr>
          <w:p w14:paraId="4F9F88AE" w14:textId="77777777" w:rsidR="00BC042B" w:rsidRPr="0023722A" w:rsidRDefault="00BC042B" w:rsidP="009764CD">
            <w:pPr>
              <w:pStyle w:val="TableCenter"/>
              <w:rPr>
                <w:lang w:val="sv-SE" w:eastAsia="en-GB"/>
              </w:rPr>
            </w:pPr>
          </w:p>
        </w:tc>
        <w:tc>
          <w:tcPr>
            <w:tcW w:w="793" w:type="pct"/>
          </w:tcPr>
          <w:p w14:paraId="364B66BC" w14:textId="77777777" w:rsidR="00BC042B" w:rsidRPr="0023722A" w:rsidRDefault="00BC042B" w:rsidP="009764CD">
            <w:pPr>
              <w:pStyle w:val="TableCenter"/>
              <w:rPr>
                <w:lang w:val="sv-SE" w:eastAsia="en-GB"/>
              </w:rPr>
            </w:pPr>
            <w:r>
              <w:rPr>
                <w:bCs/>
              </w:rPr>
              <w:t>0</w:t>
            </w:r>
          </w:p>
        </w:tc>
      </w:tr>
      <w:tr w:rsidR="00BC042B" w14:paraId="5D787B7E" w14:textId="77777777" w:rsidTr="009764CD">
        <w:trPr>
          <w:trHeight w:val="406"/>
        </w:trPr>
        <w:tc>
          <w:tcPr>
            <w:tcW w:w="1635" w:type="pct"/>
          </w:tcPr>
          <w:p w14:paraId="73618B46" w14:textId="77777777" w:rsidR="00BC042B" w:rsidRPr="00973DC8" w:rsidRDefault="00BC042B" w:rsidP="009764CD">
            <w:pPr>
              <w:pStyle w:val="TableCenter"/>
              <w:rPr>
                <w:lang w:val="sv-SE" w:eastAsia="en-GB"/>
              </w:rPr>
            </w:pPr>
            <w:r w:rsidRPr="00973DC8">
              <w:rPr>
                <w:lang w:val="sv-SE" w:eastAsia="en-GB"/>
              </w:rPr>
              <w:t>Encephalitis</w:t>
            </w:r>
          </w:p>
        </w:tc>
        <w:tc>
          <w:tcPr>
            <w:tcW w:w="935" w:type="pct"/>
          </w:tcPr>
          <w:p w14:paraId="0028FCB6" w14:textId="745725AE" w:rsidR="00BC042B" w:rsidRPr="007D772C" w:rsidRDefault="00BC042B" w:rsidP="009764CD">
            <w:pPr>
              <w:pStyle w:val="TableCenter"/>
              <w:rPr>
                <w:lang w:val="sv-SE" w:eastAsia="en-GB"/>
              </w:rPr>
            </w:pPr>
            <w:r w:rsidRPr="00D95F6F">
              <w:rPr>
                <w:bCs/>
              </w:rPr>
              <w:t xml:space="preserve">Not </w:t>
            </w:r>
            <w:proofErr w:type="spellStart"/>
            <w:r w:rsidRPr="00D95F6F">
              <w:rPr>
                <w:bCs/>
              </w:rPr>
              <w:t>determined</w:t>
            </w:r>
            <w:r w:rsidR="002B61A7">
              <w:rPr>
                <w:bCs/>
                <w:vertAlign w:val="superscript"/>
              </w:rPr>
              <w:t>a</w:t>
            </w:r>
            <w:proofErr w:type="spellEnd"/>
          </w:p>
        </w:tc>
        <w:tc>
          <w:tcPr>
            <w:tcW w:w="781" w:type="pct"/>
          </w:tcPr>
          <w:p w14:paraId="3F738465" w14:textId="77777777" w:rsidR="00BC042B" w:rsidRPr="007D772C" w:rsidRDefault="00BC042B" w:rsidP="009764CD">
            <w:pPr>
              <w:pStyle w:val="TableCenter"/>
              <w:rPr>
                <w:lang w:val="sv-SE" w:eastAsia="en-GB"/>
              </w:rPr>
            </w:pPr>
          </w:p>
        </w:tc>
        <w:tc>
          <w:tcPr>
            <w:tcW w:w="856" w:type="pct"/>
          </w:tcPr>
          <w:p w14:paraId="4DAAEBF6" w14:textId="77777777" w:rsidR="00BC042B" w:rsidRPr="0023722A" w:rsidRDefault="00BC042B" w:rsidP="009764CD">
            <w:pPr>
              <w:pStyle w:val="TableCenter"/>
              <w:rPr>
                <w:lang w:val="sv-SE" w:eastAsia="en-GB"/>
              </w:rPr>
            </w:pPr>
          </w:p>
        </w:tc>
        <w:tc>
          <w:tcPr>
            <w:tcW w:w="793" w:type="pct"/>
          </w:tcPr>
          <w:p w14:paraId="312B195B" w14:textId="77777777" w:rsidR="00BC042B" w:rsidRPr="0023722A" w:rsidRDefault="00BC042B" w:rsidP="009764CD">
            <w:pPr>
              <w:pStyle w:val="TableCenter"/>
              <w:rPr>
                <w:lang w:val="sv-SE" w:eastAsia="en-GB"/>
              </w:rPr>
            </w:pPr>
          </w:p>
        </w:tc>
      </w:tr>
      <w:tr w:rsidR="00D07709" w14:paraId="1A8F1EC6" w14:textId="77777777" w:rsidTr="009764CD">
        <w:trPr>
          <w:trHeight w:val="406"/>
        </w:trPr>
        <w:tc>
          <w:tcPr>
            <w:tcW w:w="1635" w:type="pct"/>
          </w:tcPr>
          <w:p w14:paraId="25F577FD" w14:textId="1F7B833A" w:rsidR="00D07709" w:rsidRPr="00973DC8" w:rsidRDefault="00D07709" w:rsidP="009764CD">
            <w:pPr>
              <w:pStyle w:val="TableCenter"/>
              <w:rPr>
                <w:lang w:val="sv-SE" w:eastAsia="en-GB"/>
              </w:rPr>
            </w:pPr>
            <w:r>
              <w:t>Guillain-Barr</w:t>
            </w:r>
            <w:r w:rsidRPr="00135B81">
              <w:t>é</w:t>
            </w:r>
            <w:r>
              <w:t xml:space="preserve"> syndrome</w:t>
            </w:r>
          </w:p>
        </w:tc>
        <w:tc>
          <w:tcPr>
            <w:tcW w:w="935" w:type="pct"/>
          </w:tcPr>
          <w:p w14:paraId="5508EB1E" w14:textId="0F7BC138" w:rsidR="00D07709" w:rsidRPr="00D95F6F" w:rsidRDefault="009A59A8" w:rsidP="009764CD">
            <w:pPr>
              <w:pStyle w:val="TableCenter"/>
              <w:rPr>
                <w:bCs/>
              </w:rPr>
            </w:pPr>
            <w:r w:rsidRPr="00D95F6F">
              <w:rPr>
                <w:bCs/>
              </w:rPr>
              <w:t xml:space="preserve">Not </w:t>
            </w:r>
            <w:proofErr w:type="spellStart"/>
            <w:r w:rsidRPr="00D95F6F">
              <w:rPr>
                <w:bCs/>
              </w:rPr>
              <w:t>determined</w:t>
            </w:r>
            <w:r w:rsidR="002B61A7">
              <w:rPr>
                <w:bCs/>
                <w:vertAlign w:val="superscript"/>
              </w:rPr>
              <w:t>a</w:t>
            </w:r>
            <w:proofErr w:type="spellEnd"/>
          </w:p>
        </w:tc>
        <w:tc>
          <w:tcPr>
            <w:tcW w:w="781" w:type="pct"/>
          </w:tcPr>
          <w:p w14:paraId="5230BF4E" w14:textId="77777777" w:rsidR="00D07709" w:rsidRPr="007D772C" w:rsidRDefault="00D07709" w:rsidP="009764CD">
            <w:pPr>
              <w:pStyle w:val="TableCenter"/>
              <w:rPr>
                <w:lang w:val="sv-SE" w:eastAsia="en-GB"/>
              </w:rPr>
            </w:pPr>
          </w:p>
        </w:tc>
        <w:tc>
          <w:tcPr>
            <w:tcW w:w="856" w:type="pct"/>
          </w:tcPr>
          <w:p w14:paraId="3327F245" w14:textId="77777777" w:rsidR="00D07709" w:rsidRPr="0023722A" w:rsidRDefault="00D07709" w:rsidP="009764CD">
            <w:pPr>
              <w:pStyle w:val="TableCenter"/>
              <w:rPr>
                <w:lang w:val="sv-SE" w:eastAsia="en-GB"/>
              </w:rPr>
            </w:pPr>
          </w:p>
        </w:tc>
        <w:tc>
          <w:tcPr>
            <w:tcW w:w="793" w:type="pct"/>
          </w:tcPr>
          <w:p w14:paraId="1E86203A" w14:textId="77777777" w:rsidR="00D07709" w:rsidRPr="0023722A" w:rsidRDefault="00D07709" w:rsidP="009764CD">
            <w:pPr>
              <w:pStyle w:val="TableCenter"/>
              <w:rPr>
                <w:lang w:val="sv-SE" w:eastAsia="en-GB"/>
              </w:rPr>
            </w:pPr>
          </w:p>
        </w:tc>
      </w:tr>
      <w:tr w:rsidR="00BC042B" w14:paraId="49923B27" w14:textId="77777777" w:rsidTr="009764CD">
        <w:trPr>
          <w:trHeight w:val="406"/>
        </w:trPr>
        <w:tc>
          <w:tcPr>
            <w:tcW w:w="5000" w:type="pct"/>
            <w:gridSpan w:val="5"/>
          </w:tcPr>
          <w:p w14:paraId="72267CE4" w14:textId="77777777" w:rsidR="00BC042B" w:rsidRPr="00973DC8" w:rsidRDefault="00BC042B" w:rsidP="009764CD">
            <w:pPr>
              <w:pStyle w:val="TableHead"/>
              <w:jc w:val="left"/>
            </w:pPr>
            <w:r w:rsidRPr="00973DC8">
              <w:rPr>
                <w:lang w:val="sv-SE" w:eastAsia="en-GB"/>
              </w:rPr>
              <w:t>Renal and urinary disorders</w:t>
            </w:r>
          </w:p>
        </w:tc>
      </w:tr>
      <w:tr w:rsidR="00BC042B" w14:paraId="0F81203B" w14:textId="77777777" w:rsidTr="009764CD">
        <w:trPr>
          <w:trHeight w:val="406"/>
        </w:trPr>
        <w:tc>
          <w:tcPr>
            <w:tcW w:w="1635" w:type="pct"/>
          </w:tcPr>
          <w:p w14:paraId="09F4189E" w14:textId="77777777" w:rsidR="00BC042B" w:rsidRPr="00973DC8" w:rsidRDefault="00BC042B" w:rsidP="009764CD">
            <w:pPr>
              <w:pStyle w:val="TableCenter"/>
              <w:rPr>
                <w:lang w:val="en-US" w:eastAsia="en-GB"/>
              </w:rPr>
            </w:pPr>
            <w:r w:rsidRPr="00973DC8">
              <w:rPr>
                <w:lang w:val="sv-SE" w:eastAsia="en-GB"/>
              </w:rPr>
              <w:t>Blood creatinine increased</w:t>
            </w:r>
          </w:p>
        </w:tc>
        <w:tc>
          <w:tcPr>
            <w:tcW w:w="935" w:type="pct"/>
          </w:tcPr>
          <w:p w14:paraId="746129E1" w14:textId="77777777" w:rsidR="00BC042B" w:rsidRPr="007D772C" w:rsidRDefault="00BC042B" w:rsidP="009764CD">
            <w:pPr>
              <w:pStyle w:val="TableCenter"/>
              <w:rPr>
                <w:lang w:val="sv-SE" w:eastAsia="en-GB"/>
              </w:rPr>
            </w:pPr>
            <w:r w:rsidRPr="007D772C">
              <w:rPr>
                <w:lang w:val="sv-SE" w:eastAsia="en-GB"/>
              </w:rPr>
              <w:t>Common</w:t>
            </w:r>
          </w:p>
        </w:tc>
        <w:tc>
          <w:tcPr>
            <w:tcW w:w="781" w:type="pct"/>
          </w:tcPr>
          <w:p w14:paraId="4E909DB0" w14:textId="77777777" w:rsidR="00BC042B" w:rsidRPr="007D772C" w:rsidRDefault="00BC042B" w:rsidP="009764CD">
            <w:pPr>
              <w:pStyle w:val="TableCenter"/>
              <w:rPr>
                <w:lang w:val="sv-SE" w:eastAsia="en-GB"/>
              </w:rPr>
            </w:pPr>
            <w:r w:rsidRPr="007D772C">
              <w:rPr>
                <w:lang w:val="sv-SE" w:eastAsia="en-GB"/>
              </w:rPr>
              <w:t>21 (4.5</w:t>
            </w:r>
            <w:r>
              <w:rPr>
                <w:lang w:val="sv-SE" w:eastAsia="en-GB"/>
              </w:rPr>
              <w:t>%</w:t>
            </w:r>
            <w:r w:rsidRPr="007D772C">
              <w:rPr>
                <w:lang w:val="sv-SE" w:eastAsia="en-GB"/>
              </w:rPr>
              <w:t>)</w:t>
            </w:r>
          </w:p>
        </w:tc>
        <w:tc>
          <w:tcPr>
            <w:tcW w:w="856" w:type="pct"/>
          </w:tcPr>
          <w:p w14:paraId="1CFE5A02" w14:textId="77777777" w:rsidR="00BC042B" w:rsidRPr="0023722A" w:rsidRDefault="00BC042B" w:rsidP="009764CD">
            <w:pPr>
              <w:pStyle w:val="TableCenter"/>
              <w:rPr>
                <w:lang w:val="sv-SE" w:eastAsia="en-GB"/>
              </w:rPr>
            </w:pPr>
            <w:r w:rsidRPr="0023722A">
              <w:rPr>
                <w:lang w:val="sv-SE" w:eastAsia="en-GB"/>
              </w:rPr>
              <w:t>Uncommon</w:t>
            </w:r>
          </w:p>
        </w:tc>
        <w:tc>
          <w:tcPr>
            <w:tcW w:w="793" w:type="pct"/>
          </w:tcPr>
          <w:p w14:paraId="64CFB5DF" w14:textId="77777777" w:rsidR="00BC042B" w:rsidRPr="0023722A" w:rsidRDefault="00BC042B" w:rsidP="009764CD">
            <w:pPr>
              <w:pStyle w:val="TableCenter"/>
              <w:rPr>
                <w:lang w:val="sv-SE" w:eastAsia="en-GB"/>
              </w:rPr>
            </w:pPr>
            <w:r w:rsidRPr="0023722A">
              <w:rPr>
                <w:lang w:val="sv-SE" w:eastAsia="en-GB"/>
              </w:rPr>
              <w:t>2 (0.4</w:t>
            </w:r>
            <w:r>
              <w:rPr>
                <w:lang w:val="sv-SE" w:eastAsia="en-GB"/>
              </w:rPr>
              <w:t>%</w:t>
            </w:r>
            <w:r w:rsidRPr="0023722A">
              <w:rPr>
                <w:lang w:val="sv-SE" w:eastAsia="en-GB"/>
              </w:rPr>
              <w:t>)</w:t>
            </w:r>
          </w:p>
        </w:tc>
      </w:tr>
      <w:tr w:rsidR="00BC042B" w14:paraId="02F7F0E8" w14:textId="77777777" w:rsidTr="009764CD">
        <w:trPr>
          <w:trHeight w:val="406"/>
        </w:trPr>
        <w:tc>
          <w:tcPr>
            <w:tcW w:w="1635" w:type="pct"/>
          </w:tcPr>
          <w:p w14:paraId="67BE2058" w14:textId="77777777" w:rsidR="00BC042B" w:rsidRPr="00973DC8" w:rsidRDefault="00BC042B" w:rsidP="009764CD">
            <w:pPr>
              <w:pStyle w:val="TableCenter"/>
              <w:rPr>
                <w:lang w:val="en-US" w:eastAsia="en-GB"/>
              </w:rPr>
            </w:pPr>
            <w:r w:rsidRPr="00973DC8">
              <w:rPr>
                <w:lang w:val="sv-SE" w:eastAsia="en-GB"/>
              </w:rPr>
              <w:t>Dysuria</w:t>
            </w:r>
          </w:p>
        </w:tc>
        <w:tc>
          <w:tcPr>
            <w:tcW w:w="935" w:type="pct"/>
          </w:tcPr>
          <w:p w14:paraId="03EBB08E" w14:textId="77777777" w:rsidR="00BC042B" w:rsidRPr="007D772C" w:rsidRDefault="00BC042B" w:rsidP="009764CD">
            <w:pPr>
              <w:pStyle w:val="TableCenter"/>
              <w:rPr>
                <w:lang w:val="sv-SE" w:eastAsia="en-GB"/>
              </w:rPr>
            </w:pPr>
            <w:r w:rsidRPr="007D772C">
              <w:rPr>
                <w:lang w:val="sv-SE" w:eastAsia="en-GB"/>
              </w:rPr>
              <w:t>Common</w:t>
            </w:r>
          </w:p>
        </w:tc>
        <w:tc>
          <w:tcPr>
            <w:tcW w:w="781" w:type="pct"/>
          </w:tcPr>
          <w:p w14:paraId="03E0F03C" w14:textId="77777777" w:rsidR="00BC042B" w:rsidRPr="007D772C" w:rsidRDefault="00BC042B" w:rsidP="009764CD">
            <w:pPr>
              <w:pStyle w:val="TableCenter"/>
              <w:rPr>
                <w:lang w:val="sv-SE" w:eastAsia="en-GB"/>
              </w:rPr>
            </w:pPr>
            <w:r w:rsidRPr="47D1E0D1">
              <w:rPr>
                <w:lang w:val="sv-SE" w:eastAsia="en-GB"/>
              </w:rPr>
              <w:t>7 (1.5</w:t>
            </w:r>
            <w:r>
              <w:rPr>
                <w:lang w:val="sv-SE" w:eastAsia="en-GB"/>
              </w:rPr>
              <w:t>%</w:t>
            </w:r>
            <w:r w:rsidRPr="47D1E0D1">
              <w:rPr>
                <w:lang w:val="sv-SE" w:eastAsia="en-GB"/>
              </w:rPr>
              <w:t>)</w:t>
            </w:r>
          </w:p>
        </w:tc>
        <w:tc>
          <w:tcPr>
            <w:tcW w:w="856" w:type="pct"/>
          </w:tcPr>
          <w:p w14:paraId="676CED8F" w14:textId="77777777" w:rsidR="00BC042B" w:rsidRPr="006832A3" w:rsidRDefault="00BC042B" w:rsidP="009764CD">
            <w:pPr>
              <w:pStyle w:val="TableCenter"/>
              <w:rPr>
                <w:bCs/>
              </w:rPr>
            </w:pPr>
          </w:p>
        </w:tc>
        <w:tc>
          <w:tcPr>
            <w:tcW w:w="793" w:type="pct"/>
          </w:tcPr>
          <w:p w14:paraId="58E276E4" w14:textId="77777777" w:rsidR="00BC042B" w:rsidRPr="006832A3" w:rsidRDefault="00BC042B" w:rsidP="009764CD">
            <w:pPr>
              <w:pStyle w:val="TableCenter"/>
              <w:rPr>
                <w:bCs/>
              </w:rPr>
            </w:pPr>
            <w:r>
              <w:rPr>
                <w:bCs/>
              </w:rPr>
              <w:t>0</w:t>
            </w:r>
          </w:p>
        </w:tc>
      </w:tr>
      <w:tr w:rsidR="00BC042B" w14:paraId="213B506F" w14:textId="77777777" w:rsidTr="009764CD">
        <w:trPr>
          <w:trHeight w:val="406"/>
        </w:trPr>
        <w:tc>
          <w:tcPr>
            <w:tcW w:w="1635" w:type="pct"/>
          </w:tcPr>
          <w:p w14:paraId="7CE1B338" w14:textId="1A73B09B" w:rsidR="00BC042B" w:rsidRPr="00973DC8" w:rsidRDefault="00BC042B" w:rsidP="009764CD">
            <w:pPr>
              <w:pStyle w:val="TableCenter"/>
              <w:rPr>
                <w:lang w:val="en-US" w:eastAsia="en-GB"/>
              </w:rPr>
            </w:pPr>
            <w:r w:rsidRPr="00973DC8">
              <w:rPr>
                <w:lang w:val="sv-SE" w:eastAsia="en-GB"/>
              </w:rPr>
              <w:t>Nephritis</w:t>
            </w:r>
            <w:r w:rsidR="002B61A7">
              <w:rPr>
                <w:vertAlign w:val="superscript"/>
                <w:lang w:val="sv-SE" w:eastAsia="en-GB"/>
              </w:rPr>
              <w:t>o</w:t>
            </w:r>
          </w:p>
        </w:tc>
        <w:tc>
          <w:tcPr>
            <w:tcW w:w="935" w:type="pct"/>
          </w:tcPr>
          <w:p w14:paraId="79A55B5C" w14:textId="77777777" w:rsidR="00BC042B" w:rsidRPr="007D772C" w:rsidRDefault="00BC042B" w:rsidP="009764CD">
            <w:pPr>
              <w:pStyle w:val="TableCenter"/>
              <w:rPr>
                <w:lang w:val="sv-SE" w:eastAsia="en-GB"/>
              </w:rPr>
            </w:pPr>
            <w:r>
              <w:rPr>
                <w:lang w:val="sv-SE" w:eastAsia="en-GB"/>
              </w:rPr>
              <w:t>U</w:t>
            </w:r>
            <w:r w:rsidRPr="007D772C">
              <w:rPr>
                <w:lang w:val="sv-SE" w:eastAsia="en-GB"/>
              </w:rPr>
              <w:t>ncommon</w:t>
            </w:r>
          </w:p>
        </w:tc>
        <w:tc>
          <w:tcPr>
            <w:tcW w:w="781" w:type="pct"/>
          </w:tcPr>
          <w:p w14:paraId="57AEDE78" w14:textId="77777777" w:rsidR="00BC042B" w:rsidRPr="007D772C" w:rsidRDefault="00BC042B" w:rsidP="009764CD">
            <w:pPr>
              <w:pStyle w:val="TableCenter"/>
              <w:rPr>
                <w:lang w:val="sv-SE" w:eastAsia="en-GB"/>
              </w:rPr>
            </w:pPr>
            <w:r w:rsidRPr="007D772C">
              <w:rPr>
                <w:lang w:val="sv-SE" w:eastAsia="en-GB"/>
              </w:rPr>
              <w:t>3 (0.6</w:t>
            </w:r>
            <w:r>
              <w:rPr>
                <w:lang w:val="sv-SE" w:eastAsia="en-GB"/>
              </w:rPr>
              <w:t>%</w:t>
            </w:r>
            <w:r w:rsidRPr="007D772C">
              <w:rPr>
                <w:lang w:val="sv-SE" w:eastAsia="en-GB"/>
              </w:rPr>
              <w:t>)</w:t>
            </w:r>
          </w:p>
        </w:tc>
        <w:tc>
          <w:tcPr>
            <w:tcW w:w="856" w:type="pct"/>
          </w:tcPr>
          <w:p w14:paraId="6A9979C8" w14:textId="77777777" w:rsidR="00BC042B" w:rsidRPr="0023722A" w:rsidRDefault="00BC042B" w:rsidP="009764CD">
            <w:pPr>
              <w:pStyle w:val="TableCenter"/>
              <w:rPr>
                <w:lang w:val="sv-SE" w:eastAsia="en-GB"/>
              </w:rPr>
            </w:pPr>
            <w:r w:rsidRPr="0023722A">
              <w:rPr>
                <w:lang w:val="sv-SE" w:eastAsia="en-GB"/>
              </w:rPr>
              <w:t>Uncommon</w:t>
            </w:r>
          </w:p>
        </w:tc>
        <w:tc>
          <w:tcPr>
            <w:tcW w:w="793" w:type="pct"/>
          </w:tcPr>
          <w:p w14:paraId="1CE1E5D8" w14:textId="77777777" w:rsidR="00BC042B" w:rsidRPr="0023722A" w:rsidRDefault="00BC042B" w:rsidP="009764CD">
            <w:pPr>
              <w:pStyle w:val="TableCenter"/>
              <w:rPr>
                <w:lang w:val="sv-SE" w:eastAsia="en-GB"/>
              </w:rPr>
            </w:pPr>
            <w:r w:rsidRPr="0023722A">
              <w:rPr>
                <w:lang w:val="sv-SE" w:eastAsia="en-GB"/>
              </w:rPr>
              <w:t>2 (0.4</w:t>
            </w:r>
            <w:r>
              <w:rPr>
                <w:lang w:val="sv-SE" w:eastAsia="en-GB"/>
              </w:rPr>
              <w:t>%</w:t>
            </w:r>
            <w:r w:rsidRPr="0023722A">
              <w:rPr>
                <w:lang w:val="sv-SE" w:eastAsia="en-GB"/>
              </w:rPr>
              <w:t>)</w:t>
            </w:r>
          </w:p>
        </w:tc>
      </w:tr>
      <w:tr w:rsidR="00BC042B" w14:paraId="63D93B33" w14:textId="77777777" w:rsidTr="009764CD">
        <w:trPr>
          <w:trHeight w:val="406"/>
        </w:trPr>
        <w:tc>
          <w:tcPr>
            <w:tcW w:w="5000" w:type="pct"/>
            <w:gridSpan w:val="5"/>
          </w:tcPr>
          <w:p w14:paraId="7B89784E" w14:textId="77777777" w:rsidR="00BC042B" w:rsidRPr="00973DC8" w:rsidRDefault="00BC042B" w:rsidP="009764CD">
            <w:pPr>
              <w:pStyle w:val="TableHead"/>
              <w:jc w:val="left"/>
              <w:rPr>
                <w:lang w:val="en-US" w:eastAsia="en-GB"/>
              </w:rPr>
            </w:pPr>
            <w:r w:rsidRPr="00973DC8">
              <w:rPr>
                <w:lang w:val="en-US" w:eastAsia="en-GB"/>
              </w:rPr>
              <w:t xml:space="preserve">Respiratory, </w:t>
            </w:r>
            <w:proofErr w:type="gramStart"/>
            <w:r w:rsidRPr="00973DC8">
              <w:rPr>
                <w:lang w:val="en-US" w:eastAsia="en-GB"/>
              </w:rPr>
              <w:t>thoracic</w:t>
            </w:r>
            <w:proofErr w:type="gramEnd"/>
            <w:r w:rsidRPr="00973DC8">
              <w:rPr>
                <w:lang w:val="en-US" w:eastAsia="en-GB"/>
              </w:rPr>
              <w:t xml:space="preserve"> and mediastinal disorders</w:t>
            </w:r>
          </w:p>
        </w:tc>
      </w:tr>
      <w:tr w:rsidR="00BC042B" w14:paraId="52ABA4E0" w14:textId="77777777" w:rsidTr="009764CD">
        <w:trPr>
          <w:trHeight w:val="321"/>
        </w:trPr>
        <w:tc>
          <w:tcPr>
            <w:tcW w:w="1635" w:type="pct"/>
          </w:tcPr>
          <w:p w14:paraId="1FC0FEE7" w14:textId="77777777" w:rsidR="00BC042B" w:rsidRPr="00973DC8" w:rsidRDefault="00BC042B" w:rsidP="009764CD">
            <w:pPr>
              <w:pStyle w:val="TableCenter"/>
              <w:rPr>
                <w:lang w:val="sv-SE" w:eastAsia="en-GB"/>
              </w:rPr>
            </w:pPr>
            <w:r w:rsidRPr="00973DC8">
              <w:rPr>
                <w:lang w:val="sv-SE" w:eastAsia="en-GB"/>
              </w:rPr>
              <w:t>Cough/Productive cough</w:t>
            </w:r>
          </w:p>
        </w:tc>
        <w:tc>
          <w:tcPr>
            <w:tcW w:w="935" w:type="pct"/>
          </w:tcPr>
          <w:p w14:paraId="49FFA28F" w14:textId="77777777" w:rsidR="00BC042B" w:rsidRPr="007D772C" w:rsidRDefault="00BC042B" w:rsidP="009764CD">
            <w:pPr>
              <w:pStyle w:val="TableCenter"/>
              <w:rPr>
                <w:lang w:val="sv-SE" w:eastAsia="en-GB"/>
              </w:rPr>
            </w:pPr>
            <w:r w:rsidRPr="007D772C">
              <w:rPr>
                <w:lang w:val="sv-SE" w:eastAsia="en-GB"/>
              </w:rPr>
              <w:t>Very common</w:t>
            </w:r>
          </w:p>
        </w:tc>
        <w:tc>
          <w:tcPr>
            <w:tcW w:w="781" w:type="pct"/>
          </w:tcPr>
          <w:p w14:paraId="6F0C1C17" w14:textId="77777777" w:rsidR="00BC042B" w:rsidRPr="007D772C" w:rsidRDefault="00BC042B" w:rsidP="009764CD">
            <w:pPr>
              <w:pStyle w:val="TableCenter"/>
              <w:rPr>
                <w:lang w:val="sv-SE" w:eastAsia="en-GB"/>
              </w:rPr>
            </w:pPr>
            <w:r w:rsidRPr="007D772C">
              <w:rPr>
                <w:lang w:val="sv-SE" w:eastAsia="en-GB"/>
              </w:rPr>
              <w:t>50 (10.8</w:t>
            </w:r>
            <w:r>
              <w:rPr>
                <w:lang w:val="sv-SE" w:eastAsia="en-GB"/>
              </w:rPr>
              <w:t>%</w:t>
            </w:r>
            <w:r w:rsidRPr="007D772C">
              <w:rPr>
                <w:lang w:val="sv-SE" w:eastAsia="en-GB"/>
              </w:rPr>
              <w:t>)</w:t>
            </w:r>
          </w:p>
        </w:tc>
        <w:tc>
          <w:tcPr>
            <w:tcW w:w="856" w:type="pct"/>
          </w:tcPr>
          <w:p w14:paraId="3E9E9DE2" w14:textId="77777777" w:rsidR="00BC042B" w:rsidRPr="0023722A" w:rsidRDefault="00BC042B" w:rsidP="009764CD">
            <w:pPr>
              <w:pStyle w:val="TableCenter"/>
              <w:rPr>
                <w:lang w:val="sv-SE" w:eastAsia="en-GB"/>
              </w:rPr>
            </w:pPr>
            <w:r w:rsidRPr="0023722A">
              <w:rPr>
                <w:lang w:val="sv-SE" w:eastAsia="en-GB"/>
              </w:rPr>
              <w:t>Uncommon</w:t>
            </w:r>
          </w:p>
        </w:tc>
        <w:tc>
          <w:tcPr>
            <w:tcW w:w="793" w:type="pct"/>
          </w:tcPr>
          <w:p w14:paraId="661BC6EF" w14:textId="77777777" w:rsidR="00BC042B" w:rsidRPr="0023722A" w:rsidRDefault="00BC042B" w:rsidP="009764CD">
            <w:pPr>
              <w:pStyle w:val="TableCenter"/>
              <w:rPr>
                <w:lang w:val="sv-SE" w:eastAsia="en-GB"/>
              </w:rPr>
            </w:pPr>
            <w:r w:rsidRPr="0023722A">
              <w:rPr>
                <w:lang w:val="sv-SE" w:eastAsia="en-GB"/>
              </w:rPr>
              <w:t>1 (0.2</w:t>
            </w:r>
            <w:r>
              <w:rPr>
                <w:lang w:val="sv-SE" w:eastAsia="en-GB"/>
              </w:rPr>
              <w:t>%</w:t>
            </w:r>
            <w:r w:rsidRPr="0023722A">
              <w:rPr>
                <w:lang w:val="sv-SE" w:eastAsia="en-GB"/>
              </w:rPr>
              <w:t>)</w:t>
            </w:r>
          </w:p>
        </w:tc>
      </w:tr>
      <w:tr w:rsidR="00BC042B" w14:paraId="51276A06" w14:textId="77777777" w:rsidTr="009764CD">
        <w:trPr>
          <w:trHeight w:val="317"/>
        </w:trPr>
        <w:tc>
          <w:tcPr>
            <w:tcW w:w="1635" w:type="pct"/>
          </w:tcPr>
          <w:p w14:paraId="1DE10E5A" w14:textId="77777777" w:rsidR="00BC042B" w:rsidRPr="00973DC8" w:rsidRDefault="00BC042B" w:rsidP="009764CD">
            <w:pPr>
              <w:pStyle w:val="TableCenter"/>
              <w:rPr>
                <w:lang w:val="sv-SE" w:eastAsia="en-GB"/>
              </w:rPr>
            </w:pPr>
            <w:r w:rsidRPr="00973DC8">
              <w:rPr>
                <w:lang w:val="sv-SE" w:eastAsia="en-GB"/>
              </w:rPr>
              <w:t>Dysphonia</w:t>
            </w:r>
          </w:p>
        </w:tc>
        <w:tc>
          <w:tcPr>
            <w:tcW w:w="935" w:type="pct"/>
          </w:tcPr>
          <w:p w14:paraId="5DF05887" w14:textId="77777777" w:rsidR="00BC042B" w:rsidRPr="007D772C" w:rsidRDefault="00BC042B" w:rsidP="009764CD">
            <w:pPr>
              <w:pStyle w:val="TableCenter"/>
              <w:rPr>
                <w:lang w:val="sv-SE" w:eastAsia="en-GB"/>
              </w:rPr>
            </w:pPr>
            <w:r w:rsidRPr="007D772C">
              <w:rPr>
                <w:lang w:val="sv-SE" w:eastAsia="en-GB"/>
              </w:rPr>
              <w:t>Uncommon</w:t>
            </w:r>
          </w:p>
        </w:tc>
        <w:tc>
          <w:tcPr>
            <w:tcW w:w="781" w:type="pct"/>
          </w:tcPr>
          <w:p w14:paraId="688117F8" w14:textId="77777777" w:rsidR="00BC042B" w:rsidRPr="007D772C" w:rsidRDefault="00BC042B" w:rsidP="009764CD">
            <w:pPr>
              <w:pStyle w:val="TableCenter"/>
              <w:rPr>
                <w:lang w:val="sv-SE" w:eastAsia="en-GB"/>
              </w:rPr>
            </w:pPr>
            <w:r w:rsidRPr="007D772C">
              <w:rPr>
                <w:lang w:val="sv-SE" w:eastAsia="en-GB"/>
              </w:rPr>
              <w:t>4 (0.9</w:t>
            </w:r>
            <w:r>
              <w:rPr>
                <w:lang w:val="sv-SE" w:eastAsia="en-GB"/>
              </w:rPr>
              <w:t>%</w:t>
            </w:r>
            <w:r w:rsidRPr="007D772C">
              <w:rPr>
                <w:lang w:val="sv-SE" w:eastAsia="en-GB"/>
              </w:rPr>
              <w:t>)</w:t>
            </w:r>
          </w:p>
        </w:tc>
        <w:tc>
          <w:tcPr>
            <w:tcW w:w="856" w:type="pct"/>
          </w:tcPr>
          <w:p w14:paraId="3B8178A2" w14:textId="77777777" w:rsidR="00BC042B" w:rsidRPr="0023722A" w:rsidRDefault="00BC042B" w:rsidP="009764CD">
            <w:pPr>
              <w:pStyle w:val="TableCenter"/>
              <w:rPr>
                <w:lang w:val="sv-SE" w:eastAsia="en-GB"/>
              </w:rPr>
            </w:pPr>
          </w:p>
        </w:tc>
        <w:tc>
          <w:tcPr>
            <w:tcW w:w="793" w:type="pct"/>
          </w:tcPr>
          <w:p w14:paraId="70FDBC22" w14:textId="77777777" w:rsidR="00BC042B" w:rsidRPr="0023722A" w:rsidRDefault="00BC042B" w:rsidP="009764CD">
            <w:pPr>
              <w:pStyle w:val="TableCenter"/>
              <w:rPr>
                <w:lang w:val="sv-SE" w:eastAsia="en-GB"/>
              </w:rPr>
            </w:pPr>
            <w:r>
              <w:rPr>
                <w:bCs/>
              </w:rPr>
              <w:t>0</w:t>
            </w:r>
          </w:p>
        </w:tc>
      </w:tr>
      <w:tr w:rsidR="00BC042B" w14:paraId="1FA8A5CC" w14:textId="77777777" w:rsidTr="009764CD">
        <w:trPr>
          <w:trHeight w:val="317"/>
        </w:trPr>
        <w:tc>
          <w:tcPr>
            <w:tcW w:w="1635" w:type="pct"/>
          </w:tcPr>
          <w:p w14:paraId="701B43D0" w14:textId="77777777" w:rsidR="00BC042B" w:rsidRPr="00973DC8" w:rsidRDefault="00BC042B" w:rsidP="009764CD">
            <w:pPr>
              <w:pStyle w:val="TableCenter"/>
              <w:rPr>
                <w:lang w:val="sv-SE" w:eastAsia="en-GB"/>
              </w:rPr>
            </w:pPr>
            <w:r w:rsidRPr="00973DC8">
              <w:rPr>
                <w:lang w:val="sv-SE" w:eastAsia="en-GB"/>
              </w:rPr>
              <w:t>Interstitial lung disease</w:t>
            </w:r>
          </w:p>
        </w:tc>
        <w:tc>
          <w:tcPr>
            <w:tcW w:w="935" w:type="pct"/>
          </w:tcPr>
          <w:p w14:paraId="61058862" w14:textId="77777777" w:rsidR="00BC042B" w:rsidRPr="007D772C" w:rsidRDefault="00BC042B" w:rsidP="009764CD">
            <w:pPr>
              <w:pStyle w:val="TableCenter"/>
              <w:rPr>
                <w:lang w:val="sv-SE" w:eastAsia="en-GB"/>
              </w:rPr>
            </w:pPr>
            <w:r w:rsidRPr="007D772C">
              <w:rPr>
                <w:lang w:val="sv-SE" w:eastAsia="en-GB"/>
              </w:rPr>
              <w:t>Uncommon</w:t>
            </w:r>
          </w:p>
        </w:tc>
        <w:tc>
          <w:tcPr>
            <w:tcW w:w="781" w:type="pct"/>
          </w:tcPr>
          <w:p w14:paraId="2C4E0154" w14:textId="77777777" w:rsidR="00BC042B" w:rsidRPr="007D772C" w:rsidRDefault="00BC042B" w:rsidP="009764CD">
            <w:pPr>
              <w:pStyle w:val="TableCenter"/>
              <w:rPr>
                <w:lang w:val="sv-SE" w:eastAsia="en-GB"/>
              </w:rPr>
            </w:pPr>
            <w:r w:rsidRPr="007D772C">
              <w:rPr>
                <w:lang w:val="sv-SE" w:eastAsia="en-GB"/>
              </w:rPr>
              <w:t>1 (0.2</w:t>
            </w:r>
            <w:r>
              <w:rPr>
                <w:lang w:val="sv-SE" w:eastAsia="en-GB"/>
              </w:rPr>
              <w:t>%</w:t>
            </w:r>
            <w:r w:rsidRPr="007D772C">
              <w:rPr>
                <w:lang w:val="sv-SE" w:eastAsia="en-GB"/>
              </w:rPr>
              <w:t>)</w:t>
            </w:r>
          </w:p>
        </w:tc>
        <w:tc>
          <w:tcPr>
            <w:tcW w:w="856" w:type="pct"/>
          </w:tcPr>
          <w:p w14:paraId="4795B24E" w14:textId="77777777" w:rsidR="00BC042B" w:rsidRPr="0023722A" w:rsidRDefault="00BC042B" w:rsidP="009764CD">
            <w:pPr>
              <w:pStyle w:val="TableCenter"/>
              <w:rPr>
                <w:lang w:val="sv-SE" w:eastAsia="en-GB"/>
              </w:rPr>
            </w:pPr>
          </w:p>
        </w:tc>
        <w:tc>
          <w:tcPr>
            <w:tcW w:w="793" w:type="pct"/>
          </w:tcPr>
          <w:p w14:paraId="54E63C6B" w14:textId="77777777" w:rsidR="00BC042B" w:rsidRPr="0023722A" w:rsidRDefault="00BC042B" w:rsidP="009764CD">
            <w:pPr>
              <w:pStyle w:val="TableCenter"/>
              <w:rPr>
                <w:lang w:val="sv-SE" w:eastAsia="en-GB"/>
              </w:rPr>
            </w:pPr>
            <w:r>
              <w:rPr>
                <w:bCs/>
              </w:rPr>
              <w:t>0</w:t>
            </w:r>
          </w:p>
        </w:tc>
      </w:tr>
      <w:tr w:rsidR="00BC042B" w14:paraId="6728A5A3" w14:textId="77777777" w:rsidTr="009764CD">
        <w:trPr>
          <w:trHeight w:val="317"/>
        </w:trPr>
        <w:tc>
          <w:tcPr>
            <w:tcW w:w="1635" w:type="pct"/>
          </w:tcPr>
          <w:p w14:paraId="23ED3D2E" w14:textId="4DA371BB" w:rsidR="00BC042B" w:rsidRPr="00973DC8" w:rsidRDefault="00BC042B" w:rsidP="009764CD">
            <w:pPr>
              <w:pStyle w:val="TableCenter"/>
              <w:rPr>
                <w:lang w:val="sv-SE" w:eastAsia="en-GB"/>
              </w:rPr>
            </w:pPr>
            <w:r w:rsidRPr="00973DC8">
              <w:rPr>
                <w:lang w:val="sv-SE" w:eastAsia="en-GB"/>
              </w:rPr>
              <w:t>Pneumonitis</w:t>
            </w:r>
            <w:r w:rsidR="002B61A7">
              <w:rPr>
                <w:vertAlign w:val="superscript"/>
                <w:lang w:val="sv-SE" w:eastAsia="en-GB"/>
              </w:rPr>
              <w:t>p</w:t>
            </w:r>
          </w:p>
        </w:tc>
        <w:tc>
          <w:tcPr>
            <w:tcW w:w="935" w:type="pct"/>
          </w:tcPr>
          <w:p w14:paraId="5F50DEC8" w14:textId="77777777" w:rsidR="00BC042B" w:rsidRPr="007D772C" w:rsidRDefault="00BC042B" w:rsidP="009764CD">
            <w:pPr>
              <w:pStyle w:val="TableCenter"/>
              <w:rPr>
                <w:lang w:val="sv-SE" w:eastAsia="en-GB"/>
              </w:rPr>
            </w:pPr>
            <w:r w:rsidRPr="007D772C">
              <w:rPr>
                <w:lang w:val="sv-SE" w:eastAsia="en-GB"/>
              </w:rPr>
              <w:t>Common</w:t>
            </w:r>
          </w:p>
        </w:tc>
        <w:tc>
          <w:tcPr>
            <w:tcW w:w="781" w:type="pct"/>
          </w:tcPr>
          <w:p w14:paraId="3C7F8D07" w14:textId="77777777" w:rsidR="00BC042B" w:rsidRPr="007D772C" w:rsidRDefault="00BC042B" w:rsidP="009764CD">
            <w:pPr>
              <w:pStyle w:val="TableCenter"/>
              <w:rPr>
                <w:lang w:val="sv-SE" w:eastAsia="en-GB"/>
              </w:rPr>
            </w:pPr>
            <w:r w:rsidRPr="007D772C">
              <w:rPr>
                <w:lang w:val="sv-SE" w:eastAsia="en-GB"/>
              </w:rPr>
              <w:t>11 (2.4</w:t>
            </w:r>
            <w:r>
              <w:rPr>
                <w:lang w:val="sv-SE" w:eastAsia="en-GB"/>
              </w:rPr>
              <w:t>%</w:t>
            </w:r>
            <w:r w:rsidRPr="007D772C">
              <w:rPr>
                <w:lang w:val="sv-SE" w:eastAsia="en-GB"/>
              </w:rPr>
              <w:t>)</w:t>
            </w:r>
          </w:p>
        </w:tc>
        <w:tc>
          <w:tcPr>
            <w:tcW w:w="856" w:type="pct"/>
          </w:tcPr>
          <w:p w14:paraId="04520E61" w14:textId="77777777" w:rsidR="00BC042B" w:rsidRPr="0023722A" w:rsidRDefault="00BC042B" w:rsidP="009764CD">
            <w:pPr>
              <w:pStyle w:val="TableCenter"/>
              <w:rPr>
                <w:lang w:val="sv-SE" w:eastAsia="en-GB"/>
              </w:rPr>
            </w:pPr>
            <w:r w:rsidRPr="0023722A">
              <w:rPr>
                <w:lang w:val="sv-SE" w:eastAsia="en-GB"/>
              </w:rPr>
              <w:t>Uncommon</w:t>
            </w:r>
          </w:p>
        </w:tc>
        <w:tc>
          <w:tcPr>
            <w:tcW w:w="793" w:type="pct"/>
          </w:tcPr>
          <w:p w14:paraId="5AFE41A1" w14:textId="77777777" w:rsidR="00BC042B" w:rsidRPr="0023722A" w:rsidRDefault="00BC042B" w:rsidP="009764CD">
            <w:pPr>
              <w:pStyle w:val="TableCenter"/>
              <w:rPr>
                <w:lang w:val="sv-SE" w:eastAsia="en-GB"/>
              </w:rPr>
            </w:pPr>
            <w:r w:rsidRPr="0023722A">
              <w:rPr>
                <w:lang w:val="sv-SE" w:eastAsia="en-GB"/>
              </w:rPr>
              <w:t>1 (0.2</w:t>
            </w:r>
            <w:r>
              <w:rPr>
                <w:lang w:val="sv-SE" w:eastAsia="en-GB"/>
              </w:rPr>
              <w:t>%</w:t>
            </w:r>
            <w:r w:rsidRPr="0023722A">
              <w:rPr>
                <w:lang w:val="sv-SE" w:eastAsia="en-GB"/>
              </w:rPr>
              <w:t>)</w:t>
            </w:r>
          </w:p>
        </w:tc>
      </w:tr>
      <w:tr w:rsidR="00BC042B" w14:paraId="1EA162F2" w14:textId="77777777" w:rsidTr="009764CD">
        <w:trPr>
          <w:trHeight w:val="317"/>
        </w:trPr>
        <w:tc>
          <w:tcPr>
            <w:tcW w:w="5000" w:type="pct"/>
            <w:gridSpan w:val="5"/>
          </w:tcPr>
          <w:p w14:paraId="1D674A7D" w14:textId="77777777" w:rsidR="00BC042B" w:rsidRPr="00973DC8" w:rsidRDefault="00BC042B" w:rsidP="009764CD">
            <w:pPr>
              <w:pStyle w:val="TableHead"/>
              <w:jc w:val="left"/>
              <w:rPr>
                <w:lang w:val="en-US" w:eastAsia="en-GB"/>
              </w:rPr>
            </w:pPr>
            <w:r w:rsidRPr="00973DC8">
              <w:rPr>
                <w:lang w:val="en-US" w:eastAsia="en-GB"/>
              </w:rPr>
              <w:t>Skin and subcutaneous tissue disorders</w:t>
            </w:r>
          </w:p>
        </w:tc>
      </w:tr>
      <w:tr w:rsidR="00BC042B" w14:paraId="03C443A4" w14:textId="77777777" w:rsidTr="009764CD">
        <w:trPr>
          <w:trHeight w:val="317"/>
        </w:trPr>
        <w:tc>
          <w:tcPr>
            <w:tcW w:w="1635" w:type="pct"/>
          </w:tcPr>
          <w:p w14:paraId="305DA6F8" w14:textId="77B0672D" w:rsidR="00BC042B" w:rsidRPr="00973DC8" w:rsidRDefault="00BC042B" w:rsidP="009764CD">
            <w:pPr>
              <w:pStyle w:val="TableCenter"/>
              <w:rPr>
                <w:lang w:val="en-US" w:eastAsia="en-GB"/>
              </w:rPr>
            </w:pPr>
            <w:r w:rsidRPr="00973DC8">
              <w:rPr>
                <w:lang w:val="sv-SE" w:eastAsia="en-GB"/>
              </w:rPr>
              <w:t>Dermatitis</w:t>
            </w:r>
            <w:r w:rsidR="002B61A7">
              <w:rPr>
                <w:vertAlign w:val="superscript"/>
                <w:lang w:val="sv-SE" w:eastAsia="en-GB"/>
              </w:rPr>
              <w:t>q</w:t>
            </w:r>
          </w:p>
        </w:tc>
        <w:tc>
          <w:tcPr>
            <w:tcW w:w="935" w:type="pct"/>
          </w:tcPr>
          <w:p w14:paraId="13DB55C2" w14:textId="77777777" w:rsidR="00BC042B" w:rsidRPr="007D772C" w:rsidRDefault="00BC042B" w:rsidP="009764CD">
            <w:pPr>
              <w:pStyle w:val="TableCenter"/>
              <w:rPr>
                <w:lang w:val="en-US" w:eastAsia="en-GB"/>
              </w:rPr>
            </w:pPr>
            <w:r w:rsidRPr="007D772C">
              <w:rPr>
                <w:lang w:val="sv-SE" w:eastAsia="en-GB"/>
              </w:rPr>
              <w:t>Common</w:t>
            </w:r>
          </w:p>
        </w:tc>
        <w:tc>
          <w:tcPr>
            <w:tcW w:w="781" w:type="pct"/>
          </w:tcPr>
          <w:p w14:paraId="6075A8E6" w14:textId="77777777" w:rsidR="00BC042B" w:rsidRPr="007D772C" w:rsidRDefault="00BC042B" w:rsidP="009764CD">
            <w:pPr>
              <w:pStyle w:val="TableCenter"/>
              <w:rPr>
                <w:lang w:val="en-US" w:eastAsia="en-GB"/>
              </w:rPr>
            </w:pPr>
            <w:r w:rsidRPr="007D772C">
              <w:rPr>
                <w:lang w:val="sv-SE" w:eastAsia="en-GB"/>
              </w:rPr>
              <w:t>6 (1.3</w:t>
            </w:r>
            <w:r>
              <w:rPr>
                <w:lang w:val="sv-SE" w:eastAsia="en-GB"/>
              </w:rPr>
              <w:t>%</w:t>
            </w:r>
            <w:r w:rsidRPr="007D772C">
              <w:rPr>
                <w:lang w:val="sv-SE" w:eastAsia="en-GB"/>
              </w:rPr>
              <w:t>)</w:t>
            </w:r>
          </w:p>
        </w:tc>
        <w:tc>
          <w:tcPr>
            <w:tcW w:w="856" w:type="pct"/>
          </w:tcPr>
          <w:p w14:paraId="1CDD6CF4" w14:textId="77777777" w:rsidR="00BC042B" w:rsidRPr="0023722A" w:rsidRDefault="00BC042B" w:rsidP="009764CD">
            <w:pPr>
              <w:pStyle w:val="TableCenter"/>
              <w:rPr>
                <w:lang w:val="sv-SE" w:eastAsia="en-GB"/>
              </w:rPr>
            </w:pPr>
          </w:p>
        </w:tc>
        <w:tc>
          <w:tcPr>
            <w:tcW w:w="793" w:type="pct"/>
          </w:tcPr>
          <w:p w14:paraId="75A9879B" w14:textId="77777777" w:rsidR="00BC042B" w:rsidRPr="0023722A" w:rsidRDefault="00BC042B" w:rsidP="009764CD">
            <w:pPr>
              <w:pStyle w:val="TableCenter"/>
              <w:rPr>
                <w:lang w:val="sv-SE" w:eastAsia="en-GB"/>
              </w:rPr>
            </w:pPr>
            <w:r>
              <w:rPr>
                <w:bCs/>
              </w:rPr>
              <w:t>0</w:t>
            </w:r>
          </w:p>
        </w:tc>
      </w:tr>
      <w:tr w:rsidR="00BC042B" w14:paraId="0F4D03FE" w14:textId="77777777" w:rsidTr="009764CD">
        <w:trPr>
          <w:trHeight w:val="317"/>
        </w:trPr>
        <w:tc>
          <w:tcPr>
            <w:tcW w:w="1635" w:type="pct"/>
          </w:tcPr>
          <w:p w14:paraId="1B63A7A6" w14:textId="77777777" w:rsidR="00BC042B" w:rsidRPr="00973DC8" w:rsidRDefault="00BC042B" w:rsidP="009764CD">
            <w:pPr>
              <w:pStyle w:val="TableCenter"/>
              <w:rPr>
                <w:lang w:val="en-US" w:eastAsia="en-GB"/>
              </w:rPr>
            </w:pPr>
            <w:r w:rsidRPr="00973DC8">
              <w:rPr>
                <w:lang w:val="sv-SE" w:eastAsia="en-GB"/>
              </w:rPr>
              <w:t>Night sweats</w:t>
            </w:r>
          </w:p>
        </w:tc>
        <w:tc>
          <w:tcPr>
            <w:tcW w:w="935" w:type="pct"/>
          </w:tcPr>
          <w:p w14:paraId="59234034" w14:textId="77777777" w:rsidR="00BC042B" w:rsidRPr="007D772C" w:rsidRDefault="00BC042B" w:rsidP="009764CD">
            <w:pPr>
              <w:pStyle w:val="TableCenter"/>
              <w:rPr>
                <w:lang w:val="en-US" w:eastAsia="en-GB"/>
              </w:rPr>
            </w:pPr>
            <w:r w:rsidRPr="007D772C">
              <w:rPr>
                <w:lang w:val="sv-SE" w:eastAsia="en-GB"/>
              </w:rPr>
              <w:t>Common</w:t>
            </w:r>
          </w:p>
        </w:tc>
        <w:tc>
          <w:tcPr>
            <w:tcW w:w="781" w:type="pct"/>
          </w:tcPr>
          <w:p w14:paraId="3862EDDF" w14:textId="77777777" w:rsidR="00BC042B" w:rsidRPr="007D772C" w:rsidRDefault="00BC042B" w:rsidP="009764CD">
            <w:pPr>
              <w:pStyle w:val="TableCenter"/>
              <w:rPr>
                <w:lang w:val="en-US" w:eastAsia="en-GB"/>
              </w:rPr>
            </w:pPr>
            <w:r w:rsidRPr="007D772C">
              <w:rPr>
                <w:lang w:val="sv-SE" w:eastAsia="en-GB"/>
              </w:rPr>
              <w:t>6 (1.3</w:t>
            </w:r>
            <w:r>
              <w:rPr>
                <w:lang w:val="sv-SE" w:eastAsia="en-GB"/>
              </w:rPr>
              <w:t>%</w:t>
            </w:r>
            <w:r w:rsidRPr="007D772C">
              <w:rPr>
                <w:lang w:val="sv-SE" w:eastAsia="en-GB"/>
              </w:rPr>
              <w:t>)</w:t>
            </w:r>
          </w:p>
        </w:tc>
        <w:tc>
          <w:tcPr>
            <w:tcW w:w="856" w:type="pct"/>
          </w:tcPr>
          <w:p w14:paraId="464C5BD4" w14:textId="77777777" w:rsidR="00BC042B" w:rsidRPr="0023722A" w:rsidRDefault="00BC042B" w:rsidP="009764CD">
            <w:pPr>
              <w:pStyle w:val="TableCenter"/>
              <w:rPr>
                <w:lang w:val="sv-SE" w:eastAsia="en-GB"/>
              </w:rPr>
            </w:pPr>
          </w:p>
        </w:tc>
        <w:tc>
          <w:tcPr>
            <w:tcW w:w="793" w:type="pct"/>
          </w:tcPr>
          <w:p w14:paraId="7A6BA95B" w14:textId="77777777" w:rsidR="00BC042B" w:rsidRPr="0023722A" w:rsidRDefault="00BC042B" w:rsidP="009764CD">
            <w:pPr>
              <w:pStyle w:val="TableCenter"/>
              <w:rPr>
                <w:lang w:val="sv-SE" w:eastAsia="en-GB"/>
              </w:rPr>
            </w:pPr>
            <w:r>
              <w:rPr>
                <w:bCs/>
              </w:rPr>
              <w:t>0</w:t>
            </w:r>
          </w:p>
        </w:tc>
      </w:tr>
      <w:tr w:rsidR="00BC042B" w14:paraId="190C03CD" w14:textId="77777777" w:rsidTr="009764CD">
        <w:trPr>
          <w:trHeight w:val="317"/>
        </w:trPr>
        <w:tc>
          <w:tcPr>
            <w:tcW w:w="1635" w:type="pct"/>
          </w:tcPr>
          <w:p w14:paraId="189EEB89" w14:textId="77777777" w:rsidR="00BC042B" w:rsidRPr="007B7B9E" w:rsidRDefault="00BC042B" w:rsidP="009764CD">
            <w:pPr>
              <w:pStyle w:val="TableCenter"/>
              <w:rPr>
                <w:lang w:val="sv-SE" w:eastAsia="en-GB"/>
              </w:rPr>
            </w:pPr>
            <w:r w:rsidRPr="007B7B9E">
              <w:rPr>
                <w:lang w:val="sv-SE" w:eastAsia="en-GB"/>
              </w:rPr>
              <w:t>Pemphigoid</w:t>
            </w:r>
          </w:p>
        </w:tc>
        <w:tc>
          <w:tcPr>
            <w:tcW w:w="935" w:type="pct"/>
          </w:tcPr>
          <w:p w14:paraId="23BEAC74" w14:textId="77777777" w:rsidR="00BC042B" w:rsidRPr="007D772C" w:rsidRDefault="00BC042B" w:rsidP="009764CD">
            <w:pPr>
              <w:pStyle w:val="TableCenter"/>
              <w:rPr>
                <w:lang w:val="en-US" w:eastAsia="en-GB"/>
              </w:rPr>
            </w:pPr>
            <w:r w:rsidRPr="007D772C">
              <w:rPr>
                <w:lang w:val="sv-SE" w:eastAsia="en-GB"/>
              </w:rPr>
              <w:t>Uncommon</w:t>
            </w:r>
          </w:p>
        </w:tc>
        <w:tc>
          <w:tcPr>
            <w:tcW w:w="781" w:type="pct"/>
          </w:tcPr>
          <w:p w14:paraId="64EAB521" w14:textId="77777777" w:rsidR="00BC042B" w:rsidRPr="007D772C" w:rsidRDefault="00BC042B" w:rsidP="009764CD">
            <w:pPr>
              <w:pStyle w:val="TableCenter"/>
              <w:rPr>
                <w:lang w:val="en-US" w:eastAsia="en-GB"/>
              </w:rPr>
            </w:pPr>
            <w:r w:rsidRPr="007D772C">
              <w:rPr>
                <w:lang w:val="sv-SE" w:eastAsia="en-GB"/>
              </w:rPr>
              <w:t>1 (0.2</w:t>
            </w:r>
            <w:r>
              <w:rPr>
                <w:lang w:val="sv-SE" w:eastAsia="en-GB"/>
              </w:rPr>
              <w:t>%</w:t>
            </w:r>
            <w:r w:rsidRPr="007D772C">
              <w:rPr>
                <w:lang w:val="sv-SE" w:eastAsia="en-GB"/>
              </w:rPr>
              <w:t>)</w:t>
            </w:r>
          </w:p>
        </w:tc>
        <w:tc>
          <w:tcPr>
            <w:tcW w:w="856" w:type="pct"/>
          </w:tcPr>
          <w:p w14:paraId="1B33AEC6" w14:textId="77777777" w:rsidR="00BC042B" w:rsidRPr="0023722A" w:rsidRDefault="00BC042B" w:rsidP="009764CD">
            <w:pPr>
              <w:pStyle w:val="TableCenter"/>
              <w:rPr>
                <w:lang w:val="sv-SE" w:eastAsia="en-GB"/>
              </w:rPr>
            </w:pPr>
          </w:p>
        </w:tc>
        <w:tc>
          <w:tcPr>
            <w:tcW w:w="793" w:type="pct"/>
          </w:tcPr>
          <w:p w14:paraId="28C4981B" w14:textId="77777777" w:rsidR="00BC042B" w:rsidRPr="0023722A" w:rsidRDefault="00BC042B" w:rsidP="009764CD">
            <w:pPr>
              <w:pStyle w:val="TableCenter"/>
              <w:rPr>
                <w:lang w:val="sv-SE" w:eastAsia="en-GB"/>
              </w:rPr>
            </w:pPr>
            <w:r>
              <w:rPr>
                <w:bCs/>
              </w:rPr>
              <w:t>0</w:t>
            </w:r>
          </w:p>
        </w:tc>
      </w:tr>
      <w:tr w:rsidR="00BC042B" w14:paraId="465FD82B" w14:textId="77777777" w:rsidTr="009764CD">
        <w:trPr>
          <w:trHeight w:val="317"/>
        </w:trPr>
        <w:tc>
          <w:tcPr>
            <w:tcW w:w="1635" w:type="pct"/>
          </w:tcPr>
          <w:p w14:paraId="7CFA8797" w14:textId="77777777" w:rsidR="00BC042B" w:rsidRPr="007B7B9E" w:rsidRDefault="00BC042B" w:rsidP="009764CD">
            <w:pPr>
              <w:pStyle w:val="TableCenter"/>
              <w:rPr>
                <w:lang w:val="sv-SE" w:eastAsia="en-GB"/>
              </w:rPr>
            </w:pPr>
            <w:r w:rsidRPr="007B7B9E">
              <w:rPr>
                <w:lang w:val="sv-SE" w:eastAsia="en-GB"/>
              </w:rPr>
              <w:t>Pruritus</w:t>
            </w:r>
          </w:p>
        </w:tc>
        <w:tc>
          <w:tcPr>
            <w:tcW w:w="935" w:type="pct"/>
          </w:tcPr>
          <w:p w14:paraId="3230ADEF" w14:textId="77777777" w:rsidR="00BC042B" w:rsidRPr="007D772C" w:rsidRDefault="00BC042B" w:rsidP="009764CD">
            <w:pPr>
              <w:pStyle w:val="TableCenter"/>
              <w:rPr>
                <w:lang w:val="en-US" w:eastAsia="en-GB"/>
              </w:rPr>
            </w:pPr>
            <w:r w:rsidRPr="007D772C">
              <w:rPr>
                <w:lang w:val="sv-SE" w:eastAsia="en-GB"/>
              </w:rPr>
              <w:t>Very common</w:t>
            </w:r>
          </w:p>
        </w:tc>
        <w:tc>
          <w:tcPr>
            <w:tcW w:w="781" w:type="pct"/>
          </w:tcPr>
          <w:p w14:paraId="108D69E4" w14:textId="77777777" w:rsidR="00BC042B" w:rsidRPr="007D772C" w:rsidRDefault="00BC042B" w:rsidP="009764CD">
            <w:pPr>
              <w:pStyle w:val="TableCenter"/>
              <w:rPr>
                <w:lang w:val="en-US" w:eastAsia="en-GB"/>
              </w:rPr>
            </w:pPr>
            <w:r w:rsidRPr="007D772C">
              <w:rPr>
                <w:lang w:val="sv-SE" w:eastAsia="en-GB"/>
              </w:rPr>
              <w:t>118 (25.5</w:t>
            </w:r>
            <w:r>
              <w:rPr>
                <w:lang w:val="sv-SE" w:eastAsia="en-GB"/>
              </w:rPr>
              <w:t>%</w:t>
            </w:r>
            <w:r w:rsidRPr="007D772C">
              <w:rPr>
                <w:lang w:val="sv-SE" w:eastAsia="en-GB"/>
              </w:rPr>
              <w:t>)</w:t>
            </w:r>
          </w:p>
        </w:tc>
        <w:tc>
          <w:tcPr>
            <w:tcW w:w="856" w:type="pct"/>
          </w:tcPr>
          <w:p w14:paraId="1C240EEC" w14:textId="77777777" w:rsidR="00BC042B" w:rsidRPr="0023722A" w:rsidRDefault="00BC042B" w:rsidP="009764CD">
            <w:pPr>
              <w:pStyle w:val="TableCenter"/>
              <w:rPr>
                <w:lang w:val="sv-SE" w:eastAsia="en-GB"/>
              </w:rPr>
            </w:pPr>
          </w:p>
        </w:tc>
        <w:tc>
          <w:tcPr>
            <w:tcW w:w="793" w:type="pct"/>
          </w:tcPr>
          <w:p w14:paraId="2E5D24F7" w14:textId="77777777" w:rsidR="00BC042B" w:rsidRPr="0023722A" w:rsidRDefault="00BC042B" w:rsidP="009764CD">
            <w:pPr>
              <w:pStyle w:val="TableCenter"/>
              <w:rPr>
                <w:lang w:val="sv-SE" w:eastAsia="en-GB"/>
              </w:rPr>
            </w:pPr>
            <w:r>
              <w:rPr>
                <w:bCs/>
              </w:rPr>
              <w:t>0</w:t>
            </w:r>
          </w:p>
        </w:tc>
      </w:tr>
      <w:tr w:rsidR="00BC042B" w14:paraId="4A1E3508" w14:textId="77777777" w:rsidTr="009764CD">
        <w:trPr>
          <w:trHeight w:val="317"/>
        </w:trPr>
        <w:tc>
          <w:tcPr>
            <w:tcW w:w="1635" w:type="pct"/>
          </w:tcPr>
          <w:p w14:paraId="65F4CB8D" w14:textId="6F97A62D" w:rsidR="00BC042B" w:rsidRPr="007B7B9E" w:rsidRDefault="00BC042B" w:rsidP="009764CD">
            <w:pPr>
              <w:pStyle w:val="TableCenter"/>
              <w:rPr>
                <w:lang w:val="sv-SE" w:eastAsia="en-GB"/>
              </w:rPr>
            </w:pPr>
            <w:r w:rsidRPr="007B7B9E">
              <w:rPr>
                <w:lang w:val="sv-SE" w:eastAsia="en-GB"/>
              </w:rPr>
              <w:t>Rash</w:t>
            </w:r>
            <w:r w:rsidR="002B61A7">
              <w:rPr>
                <w:vertAlign w:val="superscript"/>
                <w:lang w:val="sv-SE" w:eastAsia="en-GB"/>
              </w:rPr>
              <w:t>r</w:t>
            </w:r>
          </w:p>
        </w:tc>
        <w:tc>
          <w:tcPr>
            <w:tcW w:w="935" w:type="pct"/>
          </w:tcPr>
          <w:p w14:paraId="7B31C992" w14:textId="77777777" w:rsidR="00BC042B" w:rsidRPr="007D772C" w:rsidRDefault="00BC042B" w:rsidP="009764CD">
            <w:pPr>
              <w:pStyle w:val="TableCenter"/>
              <w:rPr>
                <w:lang w:val="en-US" w:eastAsia="en-GB"/>
              </w:rPr>
            </w:pPr>
            <w:r w:rsidRPr="007D772C">
              <w:rPr>
                <w:lang w:val="sv-SE" w:eastAsia="en-GB"/>
              </w:rPr>
              <w:t>Very common</w:t>
            </w:r>
          </w:p>
        </w:tc>
        <w:tc>
          <w:tcPr>
            <w:tcW w:w="781" w:type="pct"/>
          </w:tcPr>
          <w:p w14:paraId="400ECEB7" w14:textId="77777777" w:rsidR="00BC042B" w:rsidRPr="007D772C" w:rsidRDefault="00BC042B" w:rsidP="009764CD">
            <w:pPr>
              <w:pStyle w:val="TableCenter"/>
              <w:rPr>
                <w:lang w:val="en-US" w:eastAsia="en-GB"/>
              </w:rPr>
            </w:pPr>
            <w:r w:rsidRPr="007D772C">
              <w:rPr>
                <w:lang w:val="sv-SE" w:eastAsia="en-GB"/>
              </w:rPr>
              <w:t>150 (32.5</w:t>
            </w:r>
            <w:r>
              <w:rPr>
                <w:lang w:val="sv-SE" w:eastAsia="en-GB"/>
              </w:rPr>
              <w:t>%</w:t>
            </w:r>
            <w:r w:rsidRPr="007D772C">
              <w:rPr>
                <w:lang w:val="sv-SE" w:eastAsia="en-GB"/>
              </w:rPr>
              <w:t>)</w:t>
            </w:r>
          </w:p>
        </w:tc>
        <w:tc>
          <w:tcPr>
            <w:tcW w:w="856" w:type="pct"/>
          </w:tcPr>
          <w:p w14:paraId="131D12E2" w14:textId="77777777" w:rsidR="00BC042B" w:rsidRPr="0023722A" w:rsidRDefault="00BC042B" w:rsidP="009764CD">
            <w:pPr>
              <w:pStyle w:val="TableCenter"/>
              <w:rPr>
                <w:lang w:val="sv-SE" w:eastAsia="en-GB"/>
              </w:rPr>
            </w:pPr>
            <w:r w:rsidRPr="0023722A">
              <w:rPr>
                <w:lang w:val="sv-SE" w:eastAsia="en-GB"/>
              </w:rPr>
              <w:t>Common</w:t>
            </w:r>
          </w:p>
        </w:tc>
        <w:tc>
          <w:tcPr>
            <w:tcW w:w="793" w:type="pct"/>
          </w:tcPr>
          <w:p w14:paraId="5D6A17C1" w14:textId="77777777" w:rsidR="00BC042B" w:rsidRPr="0023722A" w:rsidRDefault="00BC042B" w:rsidP="009764CD">
            <w:pPr>
              <w:pStyle w:val="TableCenter"/>
              <w:rPr>
                <w:lang w:val="sv-SE" w:eastAsia="en-GB"/>
              </w:rPr>
            </w:pPr>
            <w:r w:rsidRPr="0023722A">
              <w:rPr>
                <w:lang w:val="sv-SE" w:eastAsia="en-GB"/>
              </w:rPr>
              <w:t>14 (3.0</w:t>
            </w:r>
            <w:r>
              <w:rPr>
                <w:lang w:val="sv-SE" w:eastAsia="en-GB"/>
              </w:rPr>
              <w:t>%</w:t>
            </w:r>
            <w:r w:rsidRPr="0023722A">
              <w:rPr>
                <w:lang w:val="sv-SE" w:eastAsia="en-GB"/>
              </w:rPr>
              <w:t>)</w:t>
            </w:r>
          </w:p>
        </w:tc>
      </w:tr>
    </w:tbl>
    <w:p w14:paraId="11936B27" w14:textId="48F11F48" w:rsidR="00BC042B" w:rsidRPr="00BA3159" w:rsidRDefault="002B61A7" w:rsidP="00BC042B">
      <w:pPr>
        <w:pStyle w:val="TableFootnoteInfo"/>
        <w:rPr>
          <w:vertAlign w:val="superscript"/>
          <w:lang w:val="en-US"/>
        </w:rPr>
      </w:pPr>
      <w:proofErr w:type="spellStart"/>
      <w:proofErr w:type="gramStart"/>
      <w:r>
        <w:rPr>
          <w:szCs w:val="18"/>
          <w:vertAlign w:val="superscript"/>
        </w:rPr>
        <w:t>a</w:t>
      </w:r>
      <w:proofErr w:type="spellEnd"/>
      <w:proofErr w:type="gramEnd"/>
      <w:r w:rsidR="00BC042B" w:rsidRPr="00DF1C18">
        <w:rPr>
          <w:szCs w:val="18"/>
        </w:rPr>
        <w:t xml:space="preserve"> Adverse reaction was not observed in the HCC pool, but was reported in patients treated with durvalumab and/or </w:t>
      </w:r>
      <w:r w:rsidR="008630C2">
        <w:rPr>
          <w:szCs w:val="18"/>
        </w:rPr>
        <w:t>IMJUDO</w:t>
      </w:r>
      <w:r w:rsidR="00BC042B" w:rsidRPr="00DF1C18">
        <w:rPr>
          <w:szCs w:val="18"/>
        </w:rPr>
        <w:t xml:space="preserve"> + durvalumab in AstraZeneca-sponsored clinical studies.</w:t>
      </w:r>
    </w:p>
    <w:p w14:paraId="5F8276B5" w14:textId="61999A80" w:rsidR="00BC042B" w:rsidRDefault="002B61A7" w:rsidP="00BC042B">
      <w:pPr>
        <w:pStyle w:val="TableFootnoteInfo"/>
      </w:pPr>
      <w:r>
        <w:rPr>
          <w:vertAlign w:val="superscript"/>
        </w:rPr>
        <w:t>b</w:t>
      </w:r>
      <w:r w:rsidR="00BC042B" w:rsidRPr="00BA3159">
        <w:t xml:space="preserve"> Includes blood thyroid stimulating hormone decreased</w:t>
      </w:r>
      <w:r w:rsidR="00BC042B">
        <w:t xml:space="preserve"> and </w:t>
      </w:r>
      <w:r w:rsidR="00BC042B" w:rsidRPr="00BA3159">
        <w:t>hyperthyroidism</w:t>
      </w:r>
      <w:r w:rsidR="00BC042B">
        <w:t>.</w:t>
      </w:r>
    </w:p>
    <w:p w14:paraId="2B10D8CB" w14:textId="2A5A522D" w:rsidR="00BC042B" w:rsidRPr="00BA3159" w:rsidRDefault="002B61A7" w:rsidP="00BC042B">
      <w:pPr>
        <w:pStyle w:val="TableFootnoteInfo"/>
      </w:pPr>
      <w:r>
        <w:rPr>
          <w:vertAlign w:val="superscript"/>
        </w:rPr>
        <w:t>c</w:t>
      </w:r>
      <w:r w:rsidR="00BC042B" w:rsidRPr="00BA3159">
        <w:t xml:space="preserve"> Includes blood thyroid stimulating hormone increased, hypothyroidism and immune-mediated hypothyroidism.</w:t>
      </w:r>
    </w:p>
    <w:p w14:paraId="4059B1D2" w14:textId="769E43F6" w:rsidR="00BC042B" w:rsidRPr="00BA3159" w:rsidRDefault="002B61A7" w:rsidP="00BC042B">
      <w:pPr>
        <w:pStyle w:val="TableFootnoteInfo"/>
      </w:pPr>
      <w:r>
        <w:rPr>
          <w:vertAlign w:val="superscript"/>
        </w:rPr>
        <w:t>d</w:t>
      </w:r>
      <w:r w:rsidR="00BC042B" w:rsidRPr="00BA3159">
        <w:rPr>
          <w:vertAlign w:val="superscript"/>
        </w:rPr>
        <w:t xml:space="preserve"> </w:t>
      </w:r>
      <w:r w:rsidR="00BC042B" w:rsidRPr="00BA3159">
        <w:t xml:space="preserve">Includes autoimmune thyroiditis, immune-mediated thyroiditis, </w:t>
      </w:r>
      <w:proofErr w:type="gramStart"/>
      <w:r w:rsidR="00BC042B" w:rsidRPr="00BA3159">
        <w:t>thyroiditis</w:t>
      </w:r>
      <w:proofErr w:type="gramEnd"/>
      <w:r w:rsidR="00BC042B" w:rsidRPr="00BA3159">
        <w:t xml:space="preserve"> and thyroiditis subacute.</w:t>
      </w:r>
    </w:p>
    <w:p w14:paraId="4C07A978" w14:textId="57F30BCA" w:rsidR="00BC042B" w:rsidRPr="00BA3159" w:rsidRDefault="002B61A7" w:rsidP="00BC042B">
      <w:pPr>
        <w:pStyle w:val="TableFootnoteInfo"/>
      </w:pPr>
      <w:r>
        <w:rPr>
          <w:vertAlign w:val="superscript"/>
        </w:rPr>
        <w:t>e</w:t>
      </w:r>
      <w:r w:rsidR="00BC042B" w:rsidRPr="00BA3159">
        <w:rPr>
          <w:vertAlign w:val="superscript"/>
        </w:rPr>
        <w:t xml:space="preserve"> </w:t>
      </w:r>
      <w:r w:rsidR="00BC042B" w:rsidRPr="00BA3159">
        <w:t>Includes abdominal pain, abdominal pain lower, abdominal pain upper and flank pain.</w:t>
      </w:r>
    </w:p>
    <w:p w14:paraId="5CFD34D0" w14:textId="15294167" w:rsidR="00BC042B" w:rsidRPr="00BA3159" w:rsidRDefault="002B61A7" w:rsidP="00BC042B">
      <w:pPr>
        <w:pStyle w:val="TableFootnoteInfo"/>
      </w:pPr>
      <w:r>
        <w:rPr>
          <w:vertAlign w:val="superscript"/>
        </w:rPr>
        <w:t>f</w:t>
      </w:r>
      <w:r w:rsidR="00BC042B" w:rsidRPr="00BA3159">
        <w:rPr>
          <w:vertAlign w:val="superscript"/>
        </w:rPr>
        <w:t xml:space="preserve"> </w:t>
      </w:r>
      <w:r w:rsidR="00BC042B" w:rsidRPr="00BA3159">
        <w:t xml:space="preserve">Includes colitis, </w:t>
      </w:r>
      <w:proofErr w:type="gramStart"/>
      <w:r w:rsidR="00BC042B" w:rsidRPr="00BA3159">
        <w:t>enteritis</w:t>
      </w:r>
      <w:proofErr w:type="gramEnd"/>
      <w:r w:rsidR="00BC042B">
        <w:t xml:space="preserve"> and </w:t>
      </w:r>
      <w:r w:rsidR="00BC042B" w:rsidRPr="00BA3159">
        <w:t>enterocolitis.</w:t>
      </w:r>
    </w:p>
    <w:p w14:paraId="78DFEFB1" w14:textId="36413E6B" w:rsidR="00BC042B" w:rsidRPr="00BA3159" w:rsidRDefault="002B61A7" w:rsidP="00BC042B">
      <w:pPr>
        <w:pStyle w:val="TableFootnoteInfo"/>
        <w:rPr>
          <w:rFonts w:ascii="CourierNewPSMT" w:hAnsi="CourierNewPSMT" w:cs="CourierNewPSMT"/>
          <w:sz w:val="16"/>
          <w:szCs w:val="16"/>
          <w:lang w:val="en-US" w:eastAsia="en-GB"/>
        </w:rPr>
      </w:pPr>
      <w:r>
        <w:rPr>
          <w:vertAlign w:val="superscript"/>
          <w:lang w:val="en-US"/>
        </w:rPr>
        <w:t>g</w:t>
      </w:r>
      <w:r w:rsidR="00BC042B" w:rsidRPr="00BA3159">
        <w:t xml:space="preserve"> </w:t>
      </w:r>
      <w:r w:rsidR="00BC042B" w:rsidRPr="00BA3159">
        <w:rPr>
          <w:lang w:val="en-US"/>
        </w:rPr>
        <w:t>Includes pancreatitis</w:t>
      </w:r>
      <w:r w:rsidR="00BC042B">
        <w:rPr>
          <w:lang w:val="en-US"/>
        </w:rPr>
        <w:t xml:space="preserve"> and</w:t>
      </w:r>
      <w:r w:rsidR="00BC042B" w:rsidRPr="00BA3159">
        <w:rPr>
          <w:lang w:val="en-US"/>
        </w:rPr>
        <w:t xml:space="preserve"> pancreatitis acute</w:t>
      </w:r>
      <w:r w:rsidR="00BC042B">
        <w:rPr>
          <w:lang w:val="en-US"/>
        </w:rPr>
        <w:t>.</w:t>
      </w:r>
    </w:p>
    <w:p w14:paraId="41FB5B3A" w14:textId="457C70EB" w:rsidR="00BC042B" w:rsidRPr="00BA3159" w:rsidRDefault="002B61A7" w:rsidP="00BC042B">
      <w:pPr>
        <w:pStyle w:val="TableFootnoteInfo"/>
      </w:pPr>
      <w:r>
        <w:rPr>
          <w:vertAlign w:val="superscript"/>
        </w:rPr>
        <w:t>h</w:t>
      </w:r>
      <w:r w:rsidR="00BC042B" w:rsidRPr="00BA3159">
        <w:rPr>
          <w:vertAlign w:val="superscript"/>
        </w:rPr>
        <w:t xml:space="preserve"> </w:t>
      </w:r>
      <w:r w:rsidR="00BC042B" w:rsidRPr="00BA3159">
        <w:t xml:space="preserve">Includes oedema peripheral and peripheral swelling. </w:t>
      </w:r>
    </w:p>
    <w:p w14:paraId="62E798B5" w14:textId="195B8C56" w:rsidR="00BC042B" w:rsidRPr="00BA3159" w:rsidRDefault="002B61A7" w:rsidP="00BC042B">
      <w:pPr>
        <w:pStyle w:val="TableFootnoteInfo"/>
      </w:pPr>
      <w:proofErr w:type="spellStart"/>
      <w:r>
        <w:rPr>
          <w:vertAlign w:val="superscript"/>
        </w:rPr>
        <w:t>i</w:t>
      </w:r>
      <w:proofErr w:type="spellEnd"/>
      <w:r w:rsidR="00BC042B" w:rsidRPr="00BA3159">
        <w:rPr>
          <w:vertAlign w:val="superscript"/>
        </w:rPr>
        <w:t xml:space="preserve"> </w:t>
      </w:r>
      <w:r w:rsidR="00BC042B" w:rsidRPr="00BA3159">
        <w:t xml:space="preserve">Includes alanine aminotransferase increased, aspartate aminotransferase increased, hepatic enzyme </w:t>
      </w:r>
      <w:proofErr w:type="gramStart"/>
      <w:r w:rsidR="00BC042B" w:rsidRPr="00BA3159">
        <w:t>increased</w:t>
      </w:r>
      <w:proofErr w:type="gramEnd"/>
      <w:r w:rsidR="00BC042B" w:rsidRPr="00BA3159">
        <w:t xml:space="preserve"> and transaminases increased. </w:t>
      </w:r>
    </w:p>
    <w:p w14:paraId="69DA5362" w14:textId="36DD2183" w:rsidR="00BC042B" w:rsidRPr="00BA3159" w:rsidRDefault="002B61A7" w:rsidP="00BC042B">
      <w:pPr>
        <w:pStyle w:val="TableFootnoteInfo"/>
      </w:pPr>
      <w:r>
        <w:rPr>
          <w:vertAlign w:val="superscript"/>
        </w:rPr>
        <w:t>j</w:t>
      </w:r>
      <w:r w:rsidR="00BC042B" w:rsidRPr="00BA3159">
        <w:rPr>
          <w:vertAlign w:val="superscript"/>
        </w:rPr>
        <w:t xml:space="preserve"> </w:t>
      </w:r>
      <w:r w:rsidR="00BC042B" w:rsidRPr="00BA3159">
        <w:t xml:space="preserve">Includes autoimmune hepatitis, hepatitis, hepatocellular injury, </w:t>
      </w:r>
      <w:proofErr w:type="gramStart"/>
      <w:r w:rsidR="00BC042B" w:rsidRPr="00BA3159">
        <w:t>hepatotoxicity</w:t>
      </w:r>
      <w:proofErr w:type="gramEnd"/>
      <w:r w:rsidR="00BC042B" w:rsidRPr="00BA3159">
        <w:t xml:space="preserve"> and immune-mediated hepatitis.</w:t>
      </w:r>
    </w:p>
    <w:p w14:paraId="77BDCB90" w14:textId="39E33FC2" w:rsidR="00BC042B" w:rsidRPr="00BA3159" w:rsidRDefault="002B61A7" w:rsidP="00BC042B">
      <w:pPr>
        <w:pStyle w:val="TableFootnoteInfo"/>
      </w:pPr>
      <w:r>
        <w:rPr>
          <w:vertAlign w:val="superscript"/>
        </w:rPr>
        <w:t>k</w:t>
      </w:r>
      <w:r w:rsidR="00BC042B" w:rsidRPr="00BA3159">
        <w:t xml:space="preserve"> Includes periodontitis, pulpitis dental, tooth abscess and tooth infection.</w:t>
      </w:r>
    </w:p>
    <w:p w14:paraId="473741E8" w14:textId="6A7F3CCA" w:rsidR="00BC042B" w:rsidRPr="00BA3159" w:rsidRDefault="002B61A7" w:rsidP="00BC042B">
      <w:pPr>
        <w:pStyle w:val="TableFootnoteInfo"/>
      </w:pPr>
      <w:r>
        <w:rPr>
          <w:vertAlign w:val="superscript"/>
        </w:rPr>
        <w:t>l</w:t>
      </w:r>
      <w:r w:rsidR="00BC042B" w:rsidRPr="00BA3159">
        <w:t xml:space="preserve"> Includes pneumocystis </w:t>
      </w:r>
      <w:proofErr w:type="spellStart"/>
      <w:r w:rsidR="00BC042B" w:rsidRPr="00BA3159">
        <w:t>jirovecii</w:t>
      </w:r>
      <w:proofErr w:type="spellEnd"/>
      <w:r w:rsidR="00BC042B" w:rsidRPr="00BA3159">
        <w:t xml:space="preserve"> pneumonia</w:t>
      </w:r>
      <w:r w:rsidR="00BC042B">
        <w:t xml:space="preserve"> and</w:t>
      </w:r>
      <w:r w:rsidR="00BC042B" w:rsidRPr="00BA3159">
        <w:t xml:space="preserve"> pneumonia</w:t>
      </w:r>
      <w:r w:rsidR="00BC042B">
        <w:t>.</w:t>
      </w:r>
      <w:r w:rsidR="00BC042B" w:rsidRPr="00BA3159">
        <w:t xml:space="preserve"> </w:t>
      </w:r>
    </w:p>
    <w:p w14:paraId="2DE83F05" w14:textId="328E6FBE" w:rsidR="00BC042B" w:rsidRPr="00BA3159" w:rsidRDefault="002B61A7" w:rsidP="00BC042B">
      <w:pPr>
        <w:pStyle w:val="TableFootnoteInfo"/>
      </w:pPr>
      <w:r>
        <w:rPr>
          <w:vertAlign w:val="superscript"/>
        </w:rPr>
        <w:t>m</w:t>
      </w:r>
      <w:r w:rsidR="00BC042B" w:rsidRPr="00BA3159">
        <w:t xml:space="preserve"> Includes nasopharyngitis, pharyngitis, rhinitis, tracheobronchitis and upper respiratory tract infection.</w:t>
      </w:r>
    </w:p>
    <w:p w14:paraId="41C65F35" w14:textId="423C8DF6" w:rsidR="00BC042B" w:rsidRPr="00BA3159" w:rsidRDefault="002B61A7" w:rsidP="00BC042B">
      <w:pPr>
        <w:pStyle w:val="TableFootnoteInfo"/>
      </w:pPr>
      <w:r>
        <w:rPr>
          <w:vertAlign w:val="superscript"/>
        </w:rPr>
        <w:t>n</w:t>
      </w:r>
      <w:r w:rsidR="00BC042B" w:rsidRPr="00BA3159">
        <w:t xml:space="preserve"> Includes infusion-related reaction and urticaria. </w:t>
      </w:r>
    </w:p>
    <w:p w14:paraId="723F5D87" w14:textId="48141A5B" w:rsidR="00BC042B" w:rsidRPr="00BA3159" w:rsidRDefault="002B61A7" w:rsidP="00BC042B">
      <w:pPr>
        <w:pStyle w:val="TableFootnoteInfo"/>
        <w:rPr>
          <w:lang w:val="en-US"/>
        </w:rPr>
      </w:pPr>
      <w:r>
        <w:rPr>
          <w:vertAlign w:val="superscript"/>
          <w:lang w:val="en-US"/>
        </w:rPr>
        <w:t>o</w:t>
      </w:r>
      <w:r w:rsidR="00BC042B" w:rsidRPr="00BA3159">
        <w:t xml:space="preserve"> </w:t>
      </w:r>
      <w:r w:rsidR="00BC042B" w:rsidRPr="00BA3159">
        <w:rPr>
          <w:lang w:val="en-US"/>
        </w:rPr>
        <w:t>Includes autoimmune nephritis</w:t>
      </w:r>
      <w:r w:rsidR="00BC042B">
        <w:rPr>
          <w:lang w:val="en-US"/>
        </w:rPr>
        <w:t xml:space="preserve"> and </w:t>
      </w:r>
      <w:r w:rsidR="00BC042B" w:rsidRPr="00BA3159">
        <w:rPr>
          <w:lang w:val="en-US"/>
        </w:rPr>
        <w:t>immune-mediated nephritis</w:t>
      </w:r>
      <w:r w:rsidR="00BC042B">
        <w:rPr>
          <w:lang w:val="en-US"/>
        </w:rPr>
        <w:t>.</w:t>
      </w:r>
    </w:p>
    <w:p w14:paraId="03F3E5C1" w14:textId="34C3DB29" w:rsidR="00BC042B" w:rsidRPr="00BA3159" w:rsidRDefault="002B61A7" w:rsidP="00BC042B">
      <w:pPr>
        <w:pStyle w:val="TableFootnoteInfo"/>
      </w:pPr>
      <w:r>
        <w:rPr>
          <w:vertAlign w:val="superscript"/>
        </w:rPr>
        <w:t>p</w:t>
      </w:r>
      <w:r w:rsidR="00BC042B">
        <w:rPr>
          <w:vertAlign w:val="superscript"/>
        </w:rPr>
        <w:t xml:space="preserve"> </w:t>
      </w:r>
      <w:r w:rsidR="00BC042B" w:rsidRPr="00BA3159">
        <w:t xml:space="preserve">Includes immune-mediated pneumonitis and pneumonitis. </w:t>
      </w:r>
    </w:p>
    <w:p w14:paraId="3EC1CB32" w14:textId="2F52EA4C" w:rsidR="00BC042B" w:rsidRPr="00BA3159" w:rsidRDefault="002B61A7" w:rsidP="00BC042B">
      <w:pPr>
        <w:pStyle w:val="TableFootnoteInfo"/>
        <w:rPr>
          <w:vertAlign w:val="superscript"/>
        </w:rPr>
      </w:pPr>
      <w:r>
        <w:rPr>
          <w:vertAlign w:val="superscript"/>
        </w:rPr>
        <w:t>q</w:t>
      </w:r>
      <w:r w:rsidR="00BC042B" w:rsidRPr="00BA3159">
        <w:rPr>
          <w:vertAlign w:val="superscript"/>
        </w:rPr>
        <w:t xml:space="preserve"> </w:t>
      </w:r>
      <w:r w:rsidR="00BC042B" w:rsidRPr="00BA3159">
        <w:t>Includes dermatitis and immune-mediated dermatitis</w:t>
      </w:r>
      <w:r w:rsidR="00BC042B">
        <w:t>.</w:t>
      </w:r>
    </w:p>
    <w:p w14:paraId="2B9D0BD7" w14:textId="7DBC9424" w:rsidR="00BC042B" w:rsidRDefault="002B61A7" w:rsidP="00BC042B">
      <w:pPr>
        <w:pStyle w:val="TableFootnoteInfo"/>
      </w:pPr>
      <w:r>
        <w:rPr>
          <w:vertAlign w:val="superscript"/>
        </w:rPr>
        <w:lastRenderedPageBreak/>
        <w:t>r</w:t>
      </w:r>
      <w:r w:rsidR="00BC042B" w:rsidRPr="00BA3159">
        <w:t xml:space="preserve"> Includes eczema, erythema, rash, rash macular, rash maculo-papular, rash </w:t>
      </w:r>
      <w:proofErr w:type="spellStart"/>
      <w:r w:rsidR="00BC042B">
        <w:t>papular</w:t>
      </w:r>
      <w:proofErr w:type="spellEnd"/>
      <w:r w:rsidR="00BC042B">
        <w:t xml:space="preserve"> and</w:t>
      </w:r>
      <w:r w:rsidR="00BC042B" w:rsidRPr="00BA3159">
        <w:t xml:space="preserve"> rash pruritic</w:t>
      </w:r>
      <w:r w:rsidR="00BC042B">
        <w:t>.</w:t>
      </w:r>
    </w:p>
    <w:p w14:paraId="299125B3" w14:textId="0801D8F6" w:rsidR="009A59A8" w:rsidRPr="00BA3159" w:rsidRDefault="002B61A7" w:rsidP="009A59A8">
      <w:pPr>
        <w:pStyle w:val="TableFootnoteInfo"/>
      </w:pPr>
      <w:r>
        <w:rPr>
          <w:vertAlign w:val="superscript"/>
        </w:rPr>
        <w:t>s</w:t>
      </w:r>
      <w:r w:rsidR="009A59A8" w:rsidRPr="00C06A47">
        <w:rPr>
          <w:vertAlign w:val="superscript"/>
        </w:rPr>
        <w:t xml:space="preserve"> </w:t>
      </w:r>
      <w:r w:rsidR="009A59A8">
        <w:t xml:space="preserve">Adverse reaction was not observed in the HCC </w:t>
      </w:r>
      <w:proofErr w:type="gramStart"/>
      <w:r w:rsidR="009A59A8">
        <w:t>pool, but</w:t>
      </w:r>
      <w:proofErr w:type="gramEnd"/>
      <w:r w:rsidR="009A59A8">
        <w:t xml:space="preserve"> was reported in patients treated with IMJUDO + durvalumab in AstraZeneca-sponsored clinical studies.</w:t>
      </w:r>
    </w:p>
    <w:p w14:paraId="13C5E28E" w14:textId="77777777" w:rsidR="009A59A8" w:rsidRPr="00BA3159" w:rsidRDefault="009A59A8" w:rsidP="00BC042B">
      <w:pPr>
        <w:pStyle w:val="TableFootnoteInfo"/>
      </w:pPr>
    </w:p>
    <w:p w14:paraId="62C8D72E" w14:textId="651CF714" w:rsidR="00571E1D" w:rsidRDefault="00571E1D" w:rsidP="008137CC">
      <w:pPr>
        <w:spacing w:after="0"/>
      </w:pPr>
    </w:p>
    <w:p w14:paraId="1D7BFCF2" w14:textId="77777777" w:rsidR="002D244D" w:rsidRPr="000D6AC4" w:rsidRDefault="002D244D" w:rsidP="002D244D">
      <w:pPr>
        <w:pStyle w:val="Heading3Unnumbered"/>
        <w:rPr>
          <w:lang w:val="en-US"/>
        </w:rPr>
      </w:pPr>
      <w:r w:rsidRPr="000D6AC4">
        <w:rPr>
          <w:lang w:val="en-US"/>
        </w:rPr>
        <w:t>Description of selected adverse reactions</w:t>
      </w:r>
    </w:p>
    <w:p w14:paraId="38A391B4" w14:textId="77777777" w:rsidR="002D244D" w:rsidRPr="000D6AC4" w:rsidRDefault="002D244D" w:rsidP="002D244D">
      <w:pPr>
        <w:keepNext/>
        <w:spacing w:after="0" w:line="240" w:lineRule="auto"/>
        <w:jc w:val="both"/>
        <w:rPr>
          <w:szCs w:val="22"/>
        </w:rPr>
      </w:pPr>
      <w:r w:rsidRPr="000D6AC4">
        <w:rPr>
          <w:rFonts w:eastAsia="SimSun"/>
          <w:szCs w:val="22"/>
          <w:lang w:eastAsia="en-GB"/>
        </w:rPr>
        <w:t>The data below reflects information for significant adverse reactions for STRIDE in the HCC pool (n=462)</w:t>
      </w:r>
      <w:r w:rsidRPr="000D6AC4">
        <w:rPr>
          <w:szCs w:val="22"/>
        </w:rPr>
        <w:t>.</w:t>
      </w:r>
    </w:p>
    <w:p w14:paraId="76196C4C" w14:textId="77777777" w:rsidR="002D244D" w:rsidRPr="000D6AC4" w:rsidRDefault="002D244D" w:rsidP="002D244D">
      <w:pPr>
        <w:spacing w:after="0" w:line="240" w:lineRule="auto"/>
        <w:jc w:val="both"/>
        <w:rPr>
          <w:rFonts w:eastAsia="SimSun"/>
          <w:szCs w:val="22"/>
          <w:lang w:eastAsia="en-GB"/>
        </w:rPr>
      </w:pPr>
    </w:p>
    <w:p w14:paraId="485C8B82" w14:textId="17AA9EC1" w:rsidR="002D244D" w:rsidRDefault="002D244D" w:rsidP="002D244D">
      <w:pPr>
        <w:spacing w:after="0" w:line="240" w:lineRule="auto"/>
        <w:jc w:val="both"/>
        <w:rPr>
          <w:rFonts w:eastAsia="SimSun"/>
          <w:szCs w:val="22"/>
          <w:lang w:eastAsia="en-GB"/>
        </w:rPr>
      </w:pPr>
      <w:r w:rsidRPr="000D6AC4">
        <w:rPr>
          <w:rFonts w:eastAsia="SimSun"/>
          <w:szCs w:val="22"/>
          <w:lang w:eastAsia="en-GB"/>
        </w:rPr>
        <w:t xml:space="preserve">The management guidelines for these adverse reactions are described in </w:t>
      </w:r>
      <w:r>
        <w:rPr>
          <w:rFonts w:eastAsia="SimSun"/>
          <w:szCs w:val="22"/>
          <w:lang w:eastAsia="en-GB"/>
        </w:rPr>
        <w:t>S</w:t>
      </w:r>
      <w:r w:rsidRPr="000D6AC4">
        <w:rPr>
          <w:rFonts w:eastAsia="SimSun"/>
          <w:szCs w:val="22"/>
          <w:lang w:eastAsia="en-GB"/>
        </w:rPr>
        <w:t xml:space="preserve">ections </w:t>
      </w:r>
      <w:r w:rsidR="00072AC8">
        <w:rPr>
          <w:rStyle w:val="xmchange"/>
          <w:rFonts w:eastAsia="Calibri,Arial"/>
          <w:bdr w:val="none" w:sz="0" w:space="0" w:color="auto" w:frame="1"/>
        </w:rPr>
        <w:fldChar w:fldCharType="begin"/>
      </w:r>
      <w:r w:rsidR="00072AC8">
        <w:rPr>
          <w:rStyle w:val="xmchange"/>
          <w:rFonts w:eastAsia="Calibri,Arial"/>
          <w:bdr w:val="none" w:sz="0" w:space="0" w:color="auto" w:frame="1"/>
        </w:rPr>
        <w:instrText xml:space="preserve"> REF _Ref126746108 \r \h </w:instrText>
      </w:r>
      <w:r w:rsidR="00072AC8">
        <w:rPr>
          <w:rStyle w:val="xmchange"/>
          <w:rFonts w:eastAsia="Calibri,Arial"/>
          <w:bdr w:val="none" w:sz="0" w:space="0" w:color="auto" w:frame="1"/>
        </w:rPr>
      </w:r>
      <w:r w:rsidR="00072AC8">
        <w:rPr>
          <w:rStyle w:val="xmchange"/>
          <w:rFonts w:eastAsia="Calibri,Arial"/>
          <w:bdr w:val="none" w:sz="0" w:space="0" w:color="auto" w:frame="1"/>
        </w:rPr>
        <w:fldChar w:fldCharType="separate"/>
      </w:r>
      <w:r w:rsidR="00072AC8">
        <w:rPr>
          <w:rStyle w:val="xmchange"/>
          <w:rFonts w:eastAsia="Calibri,Arial"/>
          <w:bdr w:val="none" w:sz="0" w:space="0" w:color="auto" w:frame="1"/>
        </w:rPr>
        <w:t>4.2</w:t>
      </w:r>
      <w:r w:rsidR="00072AC8">
        <w:rPr>
          <w:rStyle w:val="xmchange"/>
          <w:rFonts w:eastAsia="Calibri,Arial"/>
          <w:bdr w:val="none" w:sz="0" w:space="0" w:color="auto" w:frame="1"/>
        </w:rPr>
        <w:fldChar w:fldCharType="end"/>
      </w:r>
      <w:r w:rsidR="00072AC8">
        <w:rPr>
          <w:rStyle w:val="xmchange"/>
          <w:rFonts w:eastAsia="Calibri,Arial"/>
          <w:bdr w:val="none" w:sz="0" w:space="0" w:color="auto" w:frame="1"/>
        </w:rPr>
        <w:t xml:space="preserve"> </w:t>
      </w:r>
      <w:r w:rsidR="00072AC8">
        <w:rPr>
          <w:rStyle w:val="xmchange"/>
          <w:rFonts w:eastAsia="Calibri,Arial"/>
          <w:bdr w:val="none" w:sz="0" w:space="0" w:color="auto" w:frame="1"/>
        </w:rPr>
        <w:fldChar w:fldCharType="begin"/>
      </w:r>
      <w:r w:rsidR="00072AC8">
        <w:rPr>
          <w:rStyle w:val="xmchange"/>
          <w:rFonts w:eastAsia="Calibri,Arial"/>
          <w:bdr w:val="none" w:sz="0" w:space="0" w:color="auto" w:frame="1"/>
        </w:rPr>
        <w:instrText xml:space="preserve"> REF _Ref126746108 \h </w:instrText>
      </w:r>
      <w:r w:rsidR="00072AC8">
        <w:rPr>
          <w:rStyle w:val="xmchange"/>
          <w:rFonts w:eastAsia="Calibri,Arial"/>
          <w:bdr w:val="none" w:sz="0" w:space="0" w:color="auto" w:frame="1"/>
        </w:rPr>
      </w:r>
      <w:r w:rsidR="00072AC8">
        <w:rPr>
          <w:rStyle w:val="xmchange"/>
          <w:rFonts w:eastAsia="Calibri,Arial"/>
          <w:bdr w:val="none" w:sz="0" w:space="0" w:color="auto" w:frame="1"/>
        </w:rPr>
        <w:fldChar w:fldCharType="separate"/>
      </w:r>
      <w:r w:rsidR="00072AC8" w:rsidRPr="00377337">
        <w:t>Dose and method of administration</w:t>
      </w:r>
      <w:r w:rsidR="00072AC8">
        <w:rPr>
          <w:rStyle w:val="xmchange"/>
          <w:rFonts w:eastAsia="Calibri,Arial"/>
          <w:bdr w:val="none" w:sz="0" w:space="0" w:color="auto" w:frame="1"/>
        </w:rPr>
        <w:fldChar w:fldCharType="end"/>
      </w:r>
      <w:r>
        <w:rPr>
          <w:rFonts w:eastAsia="SimSun"/>
          <w:szCs w:val="22"/>
          <w:lang w:eastAsia="en-GB"/>
        </w:rPr>
        <w:t xml:space="preserve"> </w:t>
      </w:r>
      <w:r w:rsidRPr="000D6AC4">
        <w:rPr>
          <w:rFonts w:eastAsia="SimSun"/>
          <w:szCs w:val="22"/>
          <w:lang w:eastAsia="en-GB"/>
        </w:rPr>
        <w:t xml:space="preserve">and </w:t>
      </w:r>
      <w:r w:rsidR="00072AC8">
        <w:rPr>
          <w:rFonts w:eastAsia="SimSun"/>
          <w:szCs w:val="22"/>
          <w:lang w:eastAsia="en-GB"/>
        </w:rPr>
        <w:fldChar w:fldCharType="begin"/>
      </w:r>
      <w:r w:rsidR="00072AC8">
        <w:rPr>
          <w:rFonts w:eastAsia="SimSun"/>
          <w:szCs w:val="22"/>
          <w:lang w:eastAsia="en-GB"/>
        </w:rPr>
        <w:instrText xml:space="preserve"> REF _Ref126746347 \r \h </w:instrText>
      </w:r>
      <w:r w:rsidR="00072AC8">
        <w:rPr>
          <w:rFonts w:eastAsia="SimSun"/>
          <w:szCs w:val="22"/>
          <w:lang w:eastAsia="en-GB"/>
        </w:rPr>
      </w:r>
      <w:r w:rsidR="00072AC8">
        <w:rPr>
          <w:rFonts w:eastAsia="SimSun"/>
          <w:szCs w:val="22"/>
          <w:lang w:eastAsia="en-GB"/>
        </w:rPr>
        <w:fldChar w:fldCharType="separate"/>
      </w:r>
      <w:r w:rsidR="00072AC8">
        <w:rPr>
          <w:rFonts w:eastAsia="SimSun"/>
          <w:szCs w:val="22"/>
          <w:lang w:eastAsia="en-GB"/>
        </w:rPr>
        <w:t>4.4</w:t>
      </w:r>
      <w:r w:rsidR="00072AC8">
        <w:rPr>
          <w:rFonts w:eastAsia="SimSun"/>
          <w:szCs w:val="22"/>
          <w:lang w:eastAsia="en-GB"/>
        </w:rPr>
        <w:fldChar w:fldCharType="end"/>
      </w:r>
      <w:r w:rsidR="00072AC8">
        <w:rPr>
          <w:rFonts w:eastAsia="SimSun"/>
          <w:szCs w:val="22"/>
          <w:lang w:eastAsia="en-GB"/>
        </w:rPr>
        <w:t xml:space="preserve"> </w:t>
      </w:r>
      <w:r w:rsidR="00072AC8">
        <w:rPr>
          <w:rFonts w:eastAsia="SimSun"/>
          <w:szCs w:val="22"/>
          <w:lang w:eastAsia="en-GB"/>
        </w:rPr>
        <w:fldChar w:fldCharType="begin"/>
      </w:r>
      <w:r w:rsidR="00072AC8">
        <w:rPr>
          <w:rFonts w:eastAsia="SimSun"/>
          <w:szCs w:val="22"/>
          <w:lang w:eastAsia="en-GB"/>
        </w:rPr>
        <w:instrText xml:space="preserve"> REF _Ref126746347 \h </w:instrText>
      </w:r>
      <w:r w:rsidR="00072AC8">
        <w:rPr>
          <w:rFonts w:eastAsia="SimSun"/>
          <w:szCs w:val="22"/>
          <w:lang w:eastAsia="en-GB"/>
        </w:rPr>
      </w:r>
      <w:r w:rsidR="00072AC8">
        <w:rPr>
          <w:rFonts w:eastAsia="SimSun"/>
          <w:szCs w:val="22"/>
          <w:lang w:eastAsia="en-GB"/>
        </w:rPr>
        <w:fldChar w:fldCharType="separate"/>
      </w:r>
      <w:r w:rsidR="00072AC8" w:rsidRPr="00377337">
        <w:t>Special warnings and precautions for use</w:t>
      </w:r>
      <w:r w:rsidR="00072AC8">
        <w:rPr>
          <w:rFonts w:eastAsia="SimSun"/>
          <w:szCs w:val="22"/>
          <w:lang w:eastAsia="en-GB"/>
        </w:rPr>
        <w:fldChar w:fldCharType="end"/>
      </w:r>
    </w:p>
    <w:p w14:paraId="63F213F3" w14:textId="77777777" w:rsidR="009263E6" w:rsidRDefault="009263E6" w:rsidP="002D244D">
      <w:pPr>
        <w:spacing w:after="0" w:line="240" w:lineRule="auto"/>
        <w:jc w:val="both"/>
        <w:rPr>
          <w:rFonts w:eastAsia="SimSun"/>
          <w:szCs w:val="22"/>
          <w:lang w:eastAsia="en-GB"/>
        </w:rPr>
      </w:pPr>
    </w:p>
    <w:p w14:paraId="3A1E9D3E" w14:textId="3486FD54" w:rsidR="00FC220A" w:rsidRPr="00FC220A" w:rsidRDefault="00FC220A" w:rsidP="005570B7">
      <w:pPr>
        <w:pStyle w:val="Heading4Unnumbered"/>
      </w:pPr>
      <w:r w:rsidRPr="00EC00B5">
        <w:t>Immune-mediated pneumonitis</w:t>
      </w:r>
    </w:p>
    <w:p w14:paraId="4383239F" w14:textId="0D31F129" w:rsidR="00FC220A" w:rsidRDefault="00FC220A" w:rsidP="00FC220A">
      <w:r>
        <w:t>In patients receiving STRIDE, immune-mediated pneumonitis occurred in 6 (1.3%) patients, including Grade 3 in 1 (0.2%) patient and Grade 5 (fatal) in 1 (0.2%) patient. The median time to onset was 29 days (range: 5-774 days). All patients received systemic corticosteroids, and 5 of the 6 patients received high-dose corticosteroid treatment (at least 40 mg prednisone or equivalent per day). One patient also received other immunosuppressants. Treatment was discontinued in 2 patients. Resolution occurred in 3 patients.</w:t>
      </w:r>
    </w:p>
    <w:p w14:paraId="4D8181B3" w14:textId="27F8B568" w:rsidR="00FC220A" w:rsidRPr="005570B7" w:rsidRDefault="00FC220A" w:rsidP="005570B7">
      <w:pPr>
        <w:pStyle w:val="Heading4Unnumbered"/>
      </w:pPr>
      <w:r w:rsidRPr="005570B7">
        <w:t>Immune-mediated hepatitis</w:t>
      </w:r>
    </w:p>
    <w:p w14:paraId="7C598930" w14:textId="65C1248E" w:rsidR="00FC220A" w:rsidRPr="00EC00B5" w:rsidRDefault="00FC220A" w:rsidP="00FC220A">
      <w:r w:rsidRPr="00EC00B5">
        <w:t xml:space="preserve">In </w:t>
      </w:r>
      <w:r>
        <w:t>patients receiving</w:t>
      </w:r>
      <w:r w:rsidRPr="007872BC">
        <w:t xml:space="preserve"> </w:t>
      </w:r>
      <w:r>
        <w:t>STRIDE</w:t>
      </w:r>
      <w:r w:rsidRPr="004129AD">
        <w:t>, immune</w:t>
      </w:r>
      <w:r>
        <w:noBreakHyphen/>
      </w:r>
      <w:r w:rsidRPr="004129AD">
        <w:t xml:space="preserve">mediated hepatitis occurred in </w:t>
      </w:r>
      <w:r>
        <w:t>34</w:t>
      </w:r>
      <w:r w:rsidRPr="004129AD">
        <w:t xml:space="preserve"> </w:t>
      </w:r>
      <w:r>
        <w:t xml:space="preserve">(7.4%) </w:t>
      </w:r>
      <w:r w:rsidRPr="004129AD">
        <w:t xml:space="preserve">patients, including Grade 3 in </w:t>
      </w:r>
      <w:r>
        <w:t xml:space="preserve">20 (4.3%) </w:t>
      </w:r>
      <w:r w:rsidRPr="004129AD">
        <w:t>patients</w:t>
      </w:r>
      <w:r>
        <w:t>, Grade 4 in 1 (0.2%) patient</w:t>
      </w:r>
      <w:r w:rsidRPr="004129AD">
        <w:t xml:space="preserve"> and Grade 5</w:t>
      </w:r>
      <w:r>
        <w:t xml:space="preserve"> (fatal)</w:t>
      </w:r>
      <w:r w:rsidRPr="004129AD">
        <w:t xml:space="preserve"> in </w:t>
      </w:r>
      <w:r>
        <w:t>3 (0.6%)</w:t>
      </w:r>
      <w:r w:rsidRPr="004129AD">
        <w:t xml:space="preserve"> patient</w:t>
      </w:r>
      <w:r>
        <w:t>s</w:t>
      </w:r>
      <w:r w:rsidRPr="004129AD">
        <w:t xml:space="preserve">. The median time to onset was </w:t>
      </w:r>
      <w:r>
        <w:t xml:space="preserve">29 </w:t>
      </w:r>
      <w:r w:rsidRPr="004129AD">
        <w:t xml:space="preserve">days (range: </w:t>
      </w:r>
      <w:r>
        <w:t>13-313</w:t>
      </w:r>
      <w:r w:rsidRPr="004129AD">
        <w:t xml:space="preserve"> days). </w:t>
      </w:r>
      <w:r>
        <w:t>All patients received systemic corticosteroids, and 32</w:t>
      </w:r>
      <w:r w:rsidRPr="004129AD">
        <w:t xml:space="preserve"> </w:t>
      </w:r>
      <w:r>
        <w:t xml:space="preserve">of the 34 patients </w:t>
      </w:r>
      <w:r w:rsidRPr="004129AD">
        <w:t>received high</w:t>
      </w:r>
      <w:r>
        <w:noBreakHyphen/>
      </w:r>
      <w:r w:rsidRPr="004129AD">
        <w:t>dose cortic</w:t>
      </w:r>
      <w:r>
        <w:t>osteroid treatment (at least 40 </w:t>
      </w:r>
      <w:r w:rsidRPr="004129AD">
        <w:t xml:space="preserve">mg prednisone or equivalent per day). </w:t>
      </w:r>
      <w:r>
        <w:t>Nine patients also received other immunosuppressants.</w:t>
      </w:r>
      <w:r w:rsidRPr="004129AD">
        <w:t xml:space="preserve"> </w:t>
      </w:r>
      <w:r>
        <w:t>Treatment</w:t>
      </w:r>
      <w:r w:rsidRPr="004129AD">
        <w:t xml:space="preserve"> was discontinued in </w:t>
      </w:r>
      <w:r>
        <w:t>10</w:t>
      </w:r>
      <w:r w:rsidRPr="004129AD">
        <w:t xml:space="preserve"> patients. Resolution occurred in </w:t>
      </w:r>
      <w:r>
        <w:t>13</w:t>
      </w:r>
      <w:r w:rsidRPr="004129AD">
        <w:t xml:space="preserve"> patients.</w:t>
      </w:r>
    </w:p>
    <w:p w14:paraId="11F0FC7D" w14:textId="77777777" w:rsidR="00FC220A" w:rsidRPr="005570B7" w:rsidRDefault="00FC220A" w:rsidP="005570B7">
      <w:pPr>
        <w:pStyle w:val="Heading4Unnumbered"/>
      </w:pPr>
      <w:r w:rsidRPr="005570B7">
        <w:t>Immune-mediated colitis</w:t>
      </w:r>
    </w:p>
    <w:p w14:paraId="09B02309" w14:textId="32F7F4E4" w:rsidR="00FC220A" w:rsidRDefault="00FC220A" w:rsidP="00FC220A">
      <w:r w:rsidRPr="00EC00B5">
        <w:t xml:space="preserve">In </w:t>
      </w:r>
      <w:r>
        <w:t>patients receiving</w:t>
      </w:r>
      <w:r w:rsidRPr="007872BC">
        <w:t xml:space="preserve"> </w:t>
      </w:r>
      <w:r>
        <w:t>STRIDE</w:t>
      </w:r>
      <w:r w:rsidRPr="004129AD">
        <w:t>, immune</w:t>
      </w:r>
      <w:r>
        <w:noBreakHyphen/>
      </w:r>
      <w:r w:rsidRPr="004129AD">
        <w:t xml:space="preserve">mediated colitis or diarrhoea occurred in </w:t>
      </w:r>
      <w:r>
        <w:t>31 (6.7%)</w:t>
      </w:r>
      <w:r w:rsidRPr="004129AD">
        <w:t xml:space="preserve"> patients, including Grade 3 in </w:t>
      </w:r>
      <w:r>
        <w:t>17 (3.7%)</w:t>
      </w:r>
      <w:r w:rsidRPr="004129AD">
        <w:t xml:space="preserve"> patients. The median time to onset was </w:t>
      </w:r>
      <w:r>
        <w:t>23</w:t>
      </w:r>
      <w:r w:rsidRPr="004129AD">
        <w:t xml:space="preserve"> days (range: </w:t>
      </w:r>
      <w:r>
        <w:t>2-479</w:t>
      </w:r>
      <w:r w:rsidRPr="004129AD">
        <w:t xml:space="preserve"> days). </w:t>
      </w:r>
      <w:r>
        <w:t>All patients received systemic corticosteroids, and 28 of the 31 patients</w:t>
      </w:r>
      <w:r w:rsidRPr="004129AD">
        <w:t xml:space="preserve"> received high</w:t>
      </w:r>
      <w:r>
        <w:noBreakHyphen/>
      </w:r>
      <w:r w:rsidRPr="004129AD">
        <w:t>dose cortic</w:t>
      </w:r>
      <w:r>
        <w:t>osteroid treatment (at least 40 </w:t>
      </w:r>
      <w:r w:rsidRPr="004129AD">
        <w:t>mg prednisone or equivalent per day</w:t>
      </w:r>
      <w:r w:rsidRPr="00F568D8">
        <w:t xml:space="preserve">). </w:t>
      </w:r>
      <w:r>
        <w:t>Four</w:t>
      </w:r>
      <w:r w:rsidRPr="00F568D8">
        <w:t xml:space="preserve"> patients also received other immunosuppressants. Treatment</w:t>
      </w:r>
      <w:r w:rsidRPr="004129AD">
        <w:t xml:space="preserve"> was discontinued in </w:t>
      </w:r>
      <w:r>
        <w:t>5</w:t>
      </w:r>
      <w:r w:rsidRPr="004129AD">
        <w:t xml:space="preserve"> patients. Resolution occurred in </w:t>
      </w:r>
      <w:r>
        <w:t>29</w:t>
      </w:r>
      <w:r w:rsidRPr="004129AD">
        <w:t xml:space="preserve"> patients.</w:t>
      </w:r>
    </w:p>
    <w:p w14:paraId="453CC458" w14:textId="17519476" w:rsidR="00FC220A" w:rsidRDefault="00FC220A" w:rsidP="00FC220A">
      <w:r>
        <w:t xml:space="preserve">Intestinal perforation was not observed in patients receiving STRIDE. </w:t>
      </w:r>
    </w:p>
    <w:p w14:paraId="6F56B4BD" w14:textId="77777777" w:rsidR="00FC220A" w:rsidRPr="005570B7" w:rsidRDefault="00FC220A" w:rsidP="005570B7">
      <w:pPr>
        <w:pStyle w:val="Heading4Unnumbered"/>
      </w:pPr>
      <w:r w:rsidRPr="005570B7">
        <w:t>Immune-mediated endocrinopathies</w:t>
      </w:r>
    </w:p>
    <w:p w14:paraId="6C60A939" w14:textId="483DB496" w:rsidR="00FC220A" w:rsidRDefault="00FC220A" w:rsidP="00FC220A">
      <w:pPr>
        <w:autoSpaceDE w:val="0"/>
        <w:autoSpaceDN w:val="0"/>
        <w:adjustRightInd w:val="0"/>
        <w:spacing w:after="120"/>
        <w:rPr>
          <w:bCs/>
          <w:i/>
        </w:rPr>
      </w:pPr>
      <w:r>
        <w:rPr>
          <w:i/>
        </w:rPr>
        <w:t xml:space="preserve">Immune-mediated </w:t>
      </w:r>
      <w:r>
        <w:rPr>
          <w:bCs/>
          <w:i/>
        </w:rPr>
        <w:t>h</w:t>
      </w:r>
      <w:r w:rsidRPr="00BB5930">
        <w:rPr>
          <w:bCs/>
          <w:i/>
        </w:rPr>
        <w:t>ypothyroidism</w:t>
      </w:r>
    </w:p>
    <w:p w14:paraId="502C0D4C" w14:textId="5EF3E634" w:rsidR="00FC220A" w:rsidRPr="00EC00B5" w:rsidRDefault="00FC220A" w:rsidP="00FC220A">
      <w:r w:rsidRPr="00EC00B5">
        <w:t xml:space="preserve">In </w:t>
      </w:r>
      <w:r>
        <w:t>patients receiving</w:t>
      </w:r>
      <w:r w:rsidRPr="007872BC">
        <w:t xml:space="preserve"> </w:t>
      </w:r>
      <w:r>
        <w:t>STRIDE</w:t>
      </w:r>
      <w:r w:rsidRPr="004129AD">
        <w:t xml:space="preserve">, </w:t>
      </w:r>
      <w:r w:rsidRPr="00FC00A7">
        <w:t xml:space="preserve">immune-mediated hypothyroidism occurred in </w:t>
      </w:r>
      <w:r>
        <w:t>46 (10.0%)</w:t>
      </w:r>
      <w:r w:rsidRPr="00FC00A7">
        <w:t xml:space="preserve"> patients. The median time to onset was </w:t>
      </w:r>
      <w:r>
        <w:t>85</w:t>
      </w:r>
      <w:r w:rsidRPr="00FC00A7">
        <w:t xml:space="preserve"> days (range: </w:t>
      </w:r>
      <w:r>
        <w:t>26-763</w:t>
      </w:r>
      <w:r w:rsidRPr="00FC00A7">
        <w:t xml:space="preserve"> days). </w:t>
      </w:r>
      <w:r>
        <w:t xml:space="preserve">One patient received high-dose corticosteroid treatment </w:t>
      </w:r>
      <w:r w:rsidRPr="00FC00A7">
        <w:t>(at least 40 mg prednisone or equivalent per day)</w:t>
      </w:r>
      <w:r>
        <w:t>.</w:t>
      </w:r>
      <w:r w:rsidRPr="00FC00A7">
        <w:t xml:space="preserve"> </w:t>
      </w:r>
      <w:r>
        <w:t xml:space="preserve">All patients required other therapy (thiamazole, carbimazole, propylthiouracil, perchlorate, calcium channel blocker, or </w:t>
      </w:r>
      <w:r>
        <w:lastRenderedPageBreak/>
        <w:t>beta-blocker). Resolution occurred in 6 patients. Immune-mediated hypothyroidism was preceded by immune-mediated hyperthyroidism in 4 patients.</w:t>
      </w:r>
    </w:p>
    <w:p w14:paraId="4506FCBE" w14:textId="05C4F8F2" w:rsidR="00FC220A" w:rsidRDefault="00FC220A" w:rsidP="00FC220A">
      <w:pPr>
        <w:autoSpaceDE w:val="0"/>
        <w:autoSpaceDN w:val="0"/>
        <w:adjustRightInd w:val="0"/>
        <w:spacing w:after="120"/>
        <w:rPr>
          <w:bCs/>
          <w:i/>
        </w:rPr>
      </w:pPr>
      <w:r>
        <w:rPr>
          <w:i/>
        </w:rPr>
        <w:t xml:space="preserve">Immune-mediated </w:t>
      </w:r>
      <w:r>
        <w:rPr>
          <w:bCs/>
          <w:i/>
        </w:rPr>
        <w:t>h</w:t>
      </w:r>
      <w:r w:rsidRPr="00BB5930">
        <w:rPr>
          <w:bCs/>
          <w:i/>
        </w:rPr>
        <w:t>yperthyroidism</w:t>
      </w:r>
    </w:p>
    <w:p w14:paraId="2BF2DAE1" w14:textId="614F1BB8" w:rsidR="009263E6" w:rsidRDefault="00FC220A" w:rsidP="00FC220A">
      <w:r w:rsidRPr="00EC00B5">
        <w:t xml:space="preserve">In </w:t>
      </w:r>
      <w:r>
        <w:t>patients receiving</w:t>
      </w:r>
      <w:r w:rsidRPr="007872BC">
        <w:t xml:space="preserve"> </w:t>
      </w:r>
      <w:r>
        <w:t>STRIDE</w:t>
      </w:r>
      <w:r w:rsidRPr="004129AD">
        <w:t xml:space="preserve">, </w:t>
      </w:r>
      <w:r w:rsidRPr="00FC00A7">
        <w:t xml:space="preserve">immune-mediated hyperthyroidism occurred in </w:t>
      </w:r>
      <w:r>
        <w:t>21 (4.5%)</w:t>
      </w:r>
      <w:r w:rsidRPr="00FC00A7">
        <w:t xml:space="preserve"> patients, </w:t>
      </w:r>
      <w:r>
        <w:t>including Grade 3 in 1 (0.2%) patient</w:t>
      </w:r>
      <w:r w:rsidRPr="00FC00A7">
        <w:t xml:space="preserve">. The median time to onset was </w:t>
      </w:r>
      <w:r>
        <w:t>30</w:t>
      </w:r>
      <w:r w:rsidRPr="00FC00A7">
        <w:t xml:space="preserve"> days (range: </w:t>
      </w:r>
      <w:r>
        <w:t>13-60</w:t>
      </w:r>
      <w:r w:rsidRPr="00FC00A7">
        <w:t xml:space="preserve"> days). </w:t>
      </w:r>
      <w:r>
        <w:t xml:space="preserve">Four patients received systemic </w:t>
      </w:r>
      <w:r w:rsidR="00500507">
        <w:t>corticosteroids</w:t>
      </w:r>
      <w:r>
        <w:t xml:space="preserve">, and </w:t>
      </w:r>
      <w:proofErr w:type="gramStart"/>
      <w:r>
        <w:t>all of</w:t>
      </w:r>
      <w:proofErr w:type="gramEnd"/>
      <w:r>
        <w:t xml:space="preserve"> the four patients received high-dose corticosteroid treatment (at least 40 </w:t>
      </w:r>
      <w:r w:rsidRPr="004129AD">
        <w:t>mg prednisone or equivalent per day</w:t>
      </w:r>
      <w:r w:rsidRPr="00F568D8">
        <w:t>)</w:t>
      </w:r>
      <w:r>
        <w:t xml:space="preserve">. Twenty patients required other therapy </w:t>
      </w:r>
      <w:r w:rsidRPr="00643135">
        <w:t>(thiamazole, carbimazole, propylthiouracil, perchlorate, calcium channel blocker, or beta-blocker)</w:t>
      </w:r>
      <w:r>
        <w:t>.</w:t>
      </w:r>
      <w:r w:rsidRPr="00FC00A7">
        <w:t xml:space="preserve"> </w:t>
      </w:r>
      <w:r>
        <w:t xml:space="preserve">One </w:t>
      </w:r>
      <w:r w:rsidRPr="00FC00A7">
        <w:t xml:space="preserve">patient discontinued </w:t>
      </w:r>
      <w:r>
        <w:t>treatment</w:t>
      </w:r>
      <w:r w:rsidRPr="00FC00A7">
        <w:t xml:space="preserve"> due to hyperthyroidism. Resolution occurred in </w:t>
      </w:r>
      <w:r>
        <w:t>17</w:t>
      </w:r>
      <w:r w:rsidRPr="00FC00A7">
        <w:t xml:space="preserve"> patients.</w:t>
      </w:r>
    </w:p>
    <w:p w14:paraId="708EFD54" w14:textId="0C1E7EBB" w:rsidR="00FC220A" w:rsidRDefault="00FC220A" w:rsidP="00FC220A">
      <w:pPr>
        <w:autoSpaceDE w:val="0"/>
        <w:autoSpaceDN w:val="0"/>
        <w:adjustRightInd w:val="0"/>
        <w:spacing w:after="120"/>
        <w:rPr>
          <w:i/>
        </w:rPr>
      </w:pPr>
      <w:r>
        <w:rPr>
          <w:i/>
        </w:rPr>
        <w:t>Immune-mediated t</w:t>
      </w:r>
      <w:r w:rsidRPr="00791DF1">
        <w:rPr>
          <w:i/>
        </w:rPr>
        <w:t>hyroiditis</w:t>
      </w:r>
    </w:p>
    <w:p w14:paraId="33CD82D0" w14:textId="37F70E4F" w:rsidR="00FC220A" w:rsidRPr="00EC00B5" w:rsidRDefault="00FC220A" w:rsidP="00FC220A">
      <w:r w:rsidRPr="00EC00B5">
        <w:t xml:space="preserve">In </w:t>
      </w:r>
      <w:r>
        <w:t>patients receiving</w:t>
      </w:r>
      <w:r w:rsidRPr="007872BC">
        <w:t xml:space="preserve"> </w:t>
      </w:r>
      <w:r>
        <w:t>STRIDE</w:t>
      </w:r>
      <w:r w:rsidRPr="00FC00A7">
        <w:t>, immune-mediated thy</w:t>
      </w:r>
      <w:r>
        <w:t>r</w:t>
      </w:r>
      <w:r w:rsidRPr="00FC00A7">
        <w:t xml:space="preserve">oiditis occurred in </w:t>
      </w:r>
      <w:r>
        <w:t>6 (1.3%)</w:t>
      </w:r>
      <w:r w:rsidRPr="00FC00A7">
        <w:t xml:space="preserve"> patients. The median time to onset was </w:t>
      </w:r>
      <w:r>
        <w:t>56</w:t>
      </w:r>
      <w:r w:rsidRPr="00FC00A7">
        <w:t xml:space="preserve"> days (range: </w:t>
      </w:r>
      <w:r>
        <w:t>7-84</w:t>
      </w:r>
      <w:r w:rsidRPr="00FC00A7">
        <w:t xml:space="preserve"> days). </w:t>
      </w:r>
      <w:r>
        <w:t>Two patients received systemic corticosteroids, and 1 of the 2 patients received high-dose corticosteroid treatment</w:t>
      </w:r>
      <w:r w:rsidRPr="00FC00A7">
        <w:t xml:space="preserve"> (at least 40 mg prednisone or equivalent per day)</w:t>
      </w:r>
      <w:r>
        <w:t xml:space="preserve">. All patients required other therapy including hormone replacement therapy, </w:t>
      </w:r>
      <w:r>
        <w:rPr>
          <w:color w:val="000000" w:themeColor="text1"/>
        </w:rPr>
        <w:t>thiamazole, carbimazole, propylthiouracil, perchlorate, calcium channel blocker, or beta-blocker</w:t>
      </w:r>
      <w:r w:rsidRPr="00FC00A7">
        <w:t xml:space="preserve">. </w:t>
      </w:r>
      <w:r>
        <w:t>Resolution occurred in 2 patients.</w:t>
      </w:r>
    </w:p>
    <w:p w14:paraId="6E202938" w14:textId="00628134" w:rsidR="00FC220A" w:rsidRDefault="00FC220A" w:rsidP="00FC220A">
      <w:pPr>
        <w:autoSpaceDE w:val="0"/>
        <w:autoSpaceDN w:val="0"/>
        <w:adjustRightInd w:val="0"/>
        <w:spacing w:after="120"/>
        <w:rPr>
          <w:bCs/>
          <w:i/>
        </w:rPr>
      </w:pPr>
      <w:r>
        <w:rPr>
          <w:i/>
        </w:rPr>
        <w:t xml:space="preserve">Immune-mediated </w:t>
      </w:r>
      <w:r>
        <w:rPr>
          <w:bCs/>
          <w:i/>
        </w:rPr>
        <w:t>a</w:t>
      </w:r>
      <w:r w:rsidRPr="00BB5930">
        <w:rPr>
          <w:bCs/>
          <w:i/>
        </w:rPr>
        <w:t>drenal insufficiency</w:t>
      </w:r>
    </w:p>
    <w:p w14:paraId="02C5B14C" w14:textId="52ABD839" w:rsidR="00FC220A" w:rsidRPr="00EC00B5" w:rsidRDefault="00FC220A" w:rsidP="00FC220A">
      <w:r w:rsidRPr="00EC00B5">
        <w:t xml:space="preserve">In </w:t>
      </w:r>
      <w:r>
        <w:t>patients receiving</w:t>
      </w:r>
      <w:r w:rsidRPr="007872BC">
        <w:t xml:space="preserve"> </w:t>
      </w:r>
      <w:r>
        <w:t>STRIDE</w:t>
      </w:r>
      <w:r w:rsidRPr="004129AD">
        <w:t xml:space="preserve">, </w:t>
      </w:r>
      <w:r w:rsidRPr="007C7448">
        <w:rPr>
          <w:color w:val="000000"/>
        </w:rPr>
        <w:t xml:space="preserve">immune-mediated adrenal insufficiency occurred in </w:t>
      </w:r>
      <w:r>
        <w:rPr>
          <w:color w:val="000000"/>
        </w:rPr>
        <w:t>6 (1.3%)</w:t>
      </w:r>
      <w:r w:rsidRPr="007C7448">
        <w:rPr>
          <w:color w:val="000000"/>
        </w:rPr>
        <w:t xml:space="preserve"> patients, including </w:t>
      </w:r>
      <w:r>
        <w:rPr>
          <w:color w:val="000000"/>
        </w:rPr>
        <w:t>Grade 3 in 1 (0.2%)</w:t>
      </w:r>
      <w:r w:rsidRPr="007C7448">
        <w:rPr>
          <w:color w:val="000000"/>
        </w:rPr>
        <w:t xml:space="preserve"> </w:t>
      </w:r>
      <w:r>
        <w:rPr>
          <w:color w:val="000000"/>
        </w:rPr>
        <w:t>patient</w:t>
      </w:r>
      <w:r w:rsidRPr="007C7448">
        <w:rPr>
          <w:color w:val="000000"/>
        </w:rPr>
        <w:t xml:space="preserve">. The median time to onset was </w:t>
      </w:r>
      <w:r>
        <w:rPr>
          <w:color w:val="000000"/>
        </w:rPr>
        <w:t>64</w:t>
      </w:r>
      <w:r w:rsidRPr="007C7448">
        <w:rPr>
          <w:color w:val="000000"/>
        </w:rPr>
        <w:t xml:space="preserve"> days (range: </w:t>
      </w:r>
      <w:r>
        <w:rPr>
          <w:color w:val="000000"/>
        </w:rPr>
        <w:t>43-504</w:t>
      </w:r>
      <w:r w:rsidRPr="007C7448">
        <w:rPr>
          <w:color w:val="000000"/>
        </w:rPr>
        <w:t xml:space="preserve"> days). </w:t>
      </w:r>
      <w:r>
        <w:rPr>
          <w:color w:val="000000"/>
        </w:rPr>
        <w:t>All patients received systemic corticosteroids, and 1 of the 6 patients received high-dose</w:t>
      </w:r>
      <w:r w:rsidRPr="007C7448">
        <w:rPr>
          <w:color w:val="000000"/>
        </w:rPr>
        <w:t xml:space="preserve"> corticosteroid treatment (at least 40</w:t>
      </w:r>
      <w:r>
        <w:rPr>
          <w:color w:val="000000"/>
        </w:rPr>
        <w:t xml:space="preserve"> </w:t>
      </w:r>
      <w:r w:rsidRPr="007C7448">
        <w:rPr>
          <w:color w:val="000000"/>
        </w:rPr>
        <w:t xml:space="preserve">mg prednisone or equivalent per day). Resolution occurred in </w:t>
      </w:r>
      <w:r>
        <w:rPr>
          <w:color w:val="000000"/>
        </w:rPr>
        <w:t>2</w:t>
      </w:r>
      <w:r w:rsidRPr="007C7448">
        <w:rPr>
          <w:color w:val="000000"/>
        </w:rPr>
        <w:t xml:space="preserve"> patient</w:t>
      </w:r>
      <w:r>
        <w:rPr>
          <w:color w:val="000000"/>
        </w:rPr>
        <w:t>s</w:t>
      </w:r>
      <w:r w:rsidRPr="007C7448">
        <w:rPr>
          <w:color w:val="000000"/>
        </w:rPr>
        <w:t>.</w:t>
      </w:r>
    </w:p>
    <w:p w14:paraId="752F7311" w14:textId="77777777" w:rsidR="00FC220A" w:rsidRDefault="00FC220A" w:rsidP="00FC220A">
      <w:pPr>
        <w:spacing w:after="120"/>
        <w:rPr>
          <w:bCs/>
          <w:i/>
        </w:rPr>
      </w:pPr>
      <w:r>
        <w:rPr>
          <w:i/>
        </w:rPr>
        <w:t xml:space="preserve">Immune-mediated </w:t>
      </w:r>
      <w:r>
        <w:rPr>
          <w:bCs/>
          <w:i/>
        </w:rPr>
        <w:t>t</w:t>
      </w:r>
      <w:r w:rsidRPr="00BB5930">
        <w:rPr>
          <w:bCs/>
          <w:i/>
        </w:rPr>
        <w:t>ype 1 diabetes mellitus</w:t>
      </w:r>
    </w:p>
    <w:p w14:paraId="0F37100D" w14:textId="7B9860BF" w:rsidR="005570B7" w:rsidRPr="00A67547" w:rsidRDefault="00FC220A" w:rsidP="00A67547">
      <w:r w:rsidRPr="00EC00B5">
        <w:t xml:space="preserve">In </w:t>
      </w:r>
      <w:r>
        <w:t>patients receiving</w:t>
      </w:r>
      <w:r w:rsidRPr="007872BC">
        <w:t xml:space="preserve"> </w:t>
      </w:r>
      <w:r>
        <w:t>STRIDE</w:t>
      </w:r>
      <w:bookmarkStart w:id="14" w:name="_Hlk90913558"/>
      <w:r>
        <w:t>,</w:t>
      </w:r>
      <w:r w:rsidRPr="004129AD">
        <w:t xml:space="preserve"> </w:t>
      </w:r>
      <w:bookmarkStart w:id="15" w:name="_Hlk90913389"/>
      <w:r>
        <w:rPr>
          <w:lang w:eastAsia="en-GB"/>
        </w:rPr>
        <w:t>immune-mediated type 1 diabetes mellitus was not observed</w:t>
      </w:r>
      <w:bookmarkEnd w:id="15"/>
      <w:r w:rsidRPr="155D1FEB">
        <w:rPr>
          <w:color w:val="000000" w:themeColor="text1"/>
        </w:rPr>
        <w:t>.</w:t>
      </w:r>
      <w:bookmarkEnd w:id="14"/>
    </w:p>
    <w:p w14:paraId="5E03524C" w14:textId="2D28BF13" w:rsidR="00FC220A" w:rsidRDefault="00FC220A" w:rsidP="00FC220A">
      <w:pPr>
        <w:autoSpaceDE w:val="0"/>
        <w:autoSpaceDN w:val="0"/>
        <w:adjustRightInd w:val="0"/>
        <w:spacing w:after="120"/>
        <w:rPr>
          <w:i/>
        </w:rPr>
      </w:pPr>
      <w:r>
        <w:rPr>
          <w:i/>
        </w:rPr>
        <w:t xml:space="preserve">Immune-mediated </w:t>
      </w:r>
      <w:proofErr w:type="spellStart"/>
      <w:r>
        <w:rPr>
          <w:i/>
        </w:rPr>
        <w:t>h</w:t>
      </w:r>
      <w:r w:rsidRPr="00BB5930">
        <w:rPr>
          <w:i/>
        </w:rPr>
        <w:t>ypophysitis</w:t>
      </w:r>
      <w:proofErr w:type="spellEnd"/>
      <w:r w:rsidRPr="00BB5930">
        <w:rPr>
          <w:i/>
        </w:rPr>
        <w:t>/hypopituitarism</w:t>
      </w:r>
    </w:p>
    <w:p w14:paraId="2501D77E" w14:textId="6A3B7E05" w:rsidR="00FC220A" w:rsidRPr="00EC00B5" w:rsidRDefault="00FC220A" w:rsidP="00FC220A">
      <w:r w:rsidRPr="00EC00B5">
        <w:t xml:space="preserve">In </w:t>
      </w:r>
      <w:r>
        <w:t>patients receiving</w:t>
      </w:r>
      <w:r w:rsidRPr="007872BC">
        <w:t xml:space="preserve"> </w:t>
      </w:r>
      <w:r>
        <w:t>STRIDE</w:t>
      </w:r>
      <w:r w:rsidRPr="004129AD">
        <w:t xml:space="preserve">, </w:t>
      </w:r>
      <w:r w:rsidRPr="007C7448">
        <w:rPr>
          <w:color w:val="000000"/>
        </w:rPr>
        <w:t>immune-mediated</w:t>
      </w:r>
      <w:r>
        <w:rPr>
          <w:color w:val="000000"/>
        </w:rPr>
        <w:t xml:space="preserve"> </w:t>
      </w:r>
      <w:proofErr w:type="spellStart"/>
      <w:r>
        <w:rPr>
          <w:color w:val="000000"/>
        </w:rPr>
        <w:t>hypophysitis</w:t>
      </w:r>
      <w:proofErr w:type="spellEnd"/>
      <w:r>
        <w:rPr>
          <w:color w:val="000000"/>
        </w:rPr>
        <w:t>/hypopituitarism</w:t>
      </w:r>
      <w:r w:rsidRPr="007C7448">
        <w:rPr>
          <w:color w:val="000000"/>
        </w:rPr>
        <w:t xml:space="preserve"> occurred in </w:t>
      </w:r>
      <w:r>
        <w:rPr>
          <w:color w:val="000000"/>
        </w:rPr>
        <w:t>5 (1.1%)</w:t>
      </w:r>
      <w:r w:rsidRPr="007C7448">
        <w:rPr>
          <w:color w:val="000000"/>
        </w:rPr>
        <w:t xml:space="preserve"> patient</w:t>
      </w:r>
      <w:r>
        <w:rPr>
          <w:color w:val="000000"/>
        </w:rPr>
        <w:t>s.</w:t>
      </w:r>
      <w:r w:rsidRPr="007C7448">
        <w:rPr>
          <w:color w:val="000000"/>
        </w:rPr>
        <w:t xml:space="preserve"> </w:t>
      </w:r>
      <w:r>
        <w:rPr>
          <w:color w:val="000000"/>
        </w:rPr>
        <w:t>The median time to onset for the events was 149 days (range: 27-242 days). Four patients received systemic corticosteroids, and 1</w:t>
      </w:r>
      <w:r w:rsidRPr="00550D92">
        <w:rPr>
          <w:color w:val="000000"/>
        </w:rPr>
        <w:t xml:space="preserve"> of the </w:t>
      </w:r>
      <w:r>
        <w:rPr>
          <w:color w:val="000000"/>
        </w:rPr>
        <w:t>4</w:t>
      </w:r>
      <w:r w:rsidRPr="00550D92">
        <w:rPr>
          <w:color w:val="000000"/>
        </w:rPr>
        <w:t xml:space="preserve"> patients received high-dose corticosteroid treatment (at least 40 mg prednisone or equivalent per day</w:t>
      </w:r>
      <w:r w:rsidRPr="007C7448">
        <w:rPr>
          <w:color w:val="000000"/>
        </w:rPr>
        <w:t>)</w:t>
      </w:r>
      <w:r>
        <w:rPr>
          <w:color w:val="000000"/>
        </w:rPr>
        <w:t>. Three patients also required endocrine therapy. Resolution occurred in 2 patients.</w:t>
      </w:r>
    </w:p>
    <w:p w14:paraId="113EAC4B" w14:textId="52B4B81E" w:rsidR="00FC220A" w:rsidRPr="005570B7" w:rsidRDefault="00FC220A" w:rsidP="005570B7">
      <w:pPr>
        <w:pStyle w:val="Heading4Unnumbered"/>
      </w:pPr>
      <w:r w:rsidRPr="005570B7">
        <w:t>Immune-mediated nephritis</w:t>
      </w:r>
    </w:p>
    <w:p w14:paraId="7D79930D" w14:textId="2637A65D" w:rsidR="00FC220A" w:rsidRPr="00EC00B5" w:rsidRDefault="00FC220A" w:rsidP="00FC220A">
      <w:r w:rsidRPr="00EC00B5">
        <w:t xml:space="preserve">In </w:t>
      </w:r>
      <w:r>
        <w:t>patients receiving</w:t>
      </w:r>
      <w:r w:rsidRPr="007872BC">
        <w:t xml:space="preserve"> </w:t>
      </w:r>
      <w:r>
        <w:t>STRIDE</w:t>
      </w:r>
      <w:r w:rsidRPr="004129AD">
        <w:t xml:space="preserve">, </w:t>
      </w:r>
      <w:r w:rsidRPr="007C7448">
        <w:rPr>
          <w:color w:val="000000"/>
        </w:rPr>
        <w:t xml:space="preserve">immune-mediated nephritis occurred in </w:t>
      </w:r>
      <w:r>
        <w:rPr>
          <w:color w:val="000000"/>
        </w:rPr>
        <w:t>4 (0.9%)</w:t>
      </w:r>
      <w:r w:rsidRPr="007C7448">
        <w:rPr>
          <w:color w:val="000000"/>
        </w:rPr>
        <w:t xml:space="preserve"> patients, including Grade 3 in </w:t>
      </w:r>
      <w:r>
        <w:rPr>
          <w:color w:val="000000"/>
        </w:rPr>
        <w:t>2 (0.4%)</w:t>
      </w:r>
      <w:r w:rsidRPr="007C7448">
        <w:rPr>
          <w:color w:val="000000"/>
        </w:rPr>
        <w:t xml:space="preserve"> patient</w:t>
      </w:r>
      <w:r>
        <w:rPr>
          <w:color w:val="000000"/>
        </w:rPr>
        <w:t>s</w:t>
      </w:r>
      <w:r w:rsidRPr="007C7448">
        <w:rPr>
          <w:color w:val="000000"/>
        </w:rPr>
        <w:t xml:space="preserve">. The median time to onset was </w:t>
      </w:r>
      <w:r>
        <w:rPr>
          <w:color w:val="000000"/>
        </w:rPr>
        <w:t xml:space="preserve">53 </w:t>
      </w:r>
      <w:r w:rsidRPr="007C7448">
        <w:rPr>
          <w:color w:val="000000"/>
        </w:rPr>
        <w:t xml:space="preserve">days (range: </w:t>
      </w:r>
      <w:r>
        <w:rPr>
          <w:color w:val="000000"/>
        </w:rPr>
        <w:t>26-242</w:t>
      </w:r>
      <w:r w:rsidRPr="007C7448">
        <w:rPr>
          <w:color w:val="000000"/>
        </w:rPr>
        <w:t xml:space="preserve"> days). </w:t>
      </w:r>
      <w:r>
        <w:rPr>
          <w:color w:val="000000"/>
        </w:rPr>
        <w:t xml:space="preserve">All patients received systemic corticosteroids, and 3 of the 4 </w:t>
      </w:r>
      <w:r w:rsidRPr="001E3860">
        <w:rPr>
          <w:color w:val="000000"/>
        </w:rPr>
        <w:t xml:space="preserve">received high-dose corticosteroid </w:t>
      </w:r>
      <w:r w:rsidRPr="001E3860">
        <w:rPr>
          <w:color w:val="000000"/>
        </w:rPr>
        <w:lastRenderedPageBreak/>
        <w:t>treatment (at least 40 mg prednisone or equivalent per day)</w:t>
      </w:r>
      <w:r>
        <w:rPr>
          <w:color w:val="000000"/>
        </w:rPr>
        <w:t xml:space="preserve">. Treatment </w:t>
      </w:r>
      <w:r w:rsidRPr="007C7448">
        <w:rPr>
          <w:color w:val="000000"/>
        </w:rPr>
        <w:t xml:space="preserve">was discontinued in </w:t>
      </w:r>
      <w:r>
        <w:rPr>
          <w:color w:val="000000"/>
        </w:rPr>
        <w:t>2</w:t>
      </w:r>
      <w:r w:rsidRPr="007C7448">
        <w:rPr>
          <w:color w:val="000000"/>
        </w:rPr>
        <w:t xml:space="preserve"> patients. Resolution occurred in </w:t>
      </w:r>
      <w:r>
        <w:rPr>
          <w:color w:val="000000"/>
        </w:rPr>
        <w:t>3 patients</w:t>
      </w:r>
      <w:r w:rsidRPr="007C7448">
        <w:rPr>
          <w:color w:val="000000"/>
        </w:rPr>
        <w:t>.</w:t>
      </w:r>
    </w:p>
    <w:p w14:paraId="11AACD69" w14:textId="67028527" w:rsidR="000103D1" w:rsidRPr="005570B7" w:rsidRDefault="00FC220A" w:rsidP="005570B7">
      <w:pPr>
        <w:pStyle w:val="Heading4Unnumbered"/>
      </w:pPr>
      <w:r w:rsidRPr="005570B7">
        <w:t>Immune-mediated rash</w:t>
      </w:r>
    </w:p>
    <w:p w14:paraId="6096EAA4" w14:textId="7EB8053E" w:rsidR="000103D1" w:rsidRPr="00EC00B5" w:rsidRDefault="000103D1" w:rsidP="000103D1">
      <w:r w:rsidRPr="00EC00B5">
        <w:t xml:space="preserve">In </w:t>
      </w:r>
      <w:r>
        <w:t>patients receiving</w:t>
      </w:r>
      <w:r w:rsidRPr="007872BC">
        <w:t xml:space="preserve"> </w:t>
      </w:r>
      <w:r>
        <w:t>STRIDE</w:t>
      </w:r>
      <w:r w:rsidRPr="004129AD">
        <w:t xml:space="preserve">, </w:t>
      </w:r>
      <w:r w:rsidRPr="47A09A80">
        <w:rPr>
          <w:color w:val="000000" w:themeColor="text1"/>
        </w:rPr>
        <w:t xml:space="preserve">immune-mediated rash or dermatitis </w:t>
      </w:r>
      <w:r>
        <w:t>(including pemphigoid)</w:t>
      </w:r>
      <w:r w:rsidRPr="47A09A80">
        <w:rPr>
          <w:color w:val="000000" w:themeColor="text1"/>
        </w:rPr>
        <w:t xml:space="preserve"> occurred in 26 (5.6%) patients, including Grade 3 in 9 (1.9%) patients and Grade 4 in 1 (0.2%) </w:t>
      </w:r>
      <w:proofErr w:type="gramStart"/>
      <w:r w:rsidRPr="47A09A80">
        <w:rPr>
          <w:color w:val="000000" w:themeColor="text1"/>
        </w:rPr>
        <w:t>patients</w:t>
      </w:r>
      <w:proofErr w:type="gramEnd"/>
      <w:r w:rsidRPr="47A09A80">
        <w:rPr>
          <w:color w:val="000000" w:themeColor="text1"/>
        </w:rPr>
        <w:t>. The median time to onset was 25 days (range: 2-933 days). All patients received systemic corticoster</w:t>
      </w:r>
      <w:r>
        <w:rPr>
          <w:color w:val="000000" w:themeColor="text1"/>
        </w:rPr>
        <w:t>o</w:t>
      </w:r>
      <w:r w:rsidRPr="47A09A80">
        <w:rPr>
          <w:color w:val="000000" w:themeColor="text1"/>
        </w:rPr>
        <w:t>ids and 14 of the 26 patients received high-dose corticosteroid treatment (at least 40 mg prednisone or equivalent per day). One patient received other immunosuppressants. Treatment was discontinued in 3 patients. Resolution occurred in 19 patients</w:t>
      </w:r>
      <w:r w:rsidRPr="004129AD">
        <w:t>.</w:t>
      </w:r>
    </w:p>
    <w:p w14:paraId="18B489F2" w14:textId="77777777" w:rsidR="000103D1" w:rsidRPr="005570B7" w:rsidRDefault="000103D1" w:rsidP="005570B7">
      <w:pPr>
        <w:pStyle w:val="Heading4Unnumbered"/>
      </w:pPr>
      <w:r w:rsidRPr="005570B7">
        <w:t>Infusion-related reactions</w:t>
      </w:r>
    </w:p>
    <w:p w14:paraId="28A49B13" w14:textId="0688F37A" w:rsidR="00571E1D" w:rsidRPr="005570B7" w:rsidRDefault="000103D1" w:rsidP="005570B7">
      <w:r w:rsidRPr="00EC00B5">
        <w:t xml:space="preserve">In </w:t>
      </w:r>
      <w:r>
        <w:t>patients receiving</w:t>
      </w:r>
      <w:r w:rsidRPr="007872BC">
        <w:t xml:space="preserve"> </w:t>
      </w:r>
      <w:r>
        <w:t>STRIDE</w:t>
      </w:r>
      <w:r w:rsidRPr="004129AD">
        <w:t xml:space="preserve">, </w:t>
      </w:r>
      <w:r w:rsidRPr="00325551">
        <w:t>infusion</w:t>
      </w:r>
      <w:r>
        <w:t>-</w:t>
      </w:r>
      <w:r w:rsidRPr="00325551">
        <w:t xml:space="preserve">related reactions occurred in </w:t>
      </w:r>
      <w:r w:rsidR="00A02EA7">
        <w:t xml:space="preserve">7 </w:t>
      </w:r>
      <w:r>
        <w:t>(</w:t>
      </w:r>
      <w:r w:rsidR="00A02EA7">
        <w:t>1.5</w:t>
      </w:r>
      <w:r>
        <w:t>%)</w:t>
      </w:r>
      <w:r w:rsidRPr="00325551">
        <w:t xml:space="preserve"> patients</w:t>
      </w:r>
      <w:r>
        <w:t>.</w:t>
      </w:r>
    </w:p>
    <w:p w14:paraId="17F271CA" w14:textId="77777777" w:rsidR="00DF3302" w:rsidRPr="00BC71CE" w:rsidRDefault="00DF3302" w:rsidP="00DF3302">
      <w:pPr>
        <w:pStyle w:val="Heading3Unnumbered"/>
        <w:rPr>
          <w:lang w:val="en-US"/>
        </w:rPr>
      </w:pPr>
      <w:r w:rsidRPr="00BC71CE">
        <w:rPr>
          <w:lang w:val="en-US"/>
        </w:rPr>
        <w:t xml:space="preserve">Reporting suspected adverse </w:t>
      </w:r>
      <w:r w:rsidR="002803FC" w:rsidRPr="00BC71CE">
        <w:rPr>
          <w:lang w:val="en-US"/>
        </w:rPr>
        <w:t>effects</w:t>
      </w:r>
    </w:p>
    <w:p w14:paraId="735346FE" w14:textId="77777777" w:rsidR="001D3AF3" w:rsidRPr="00446EDD" w:rsidRDefault="00DF3302" w:rsidP="00446EDD">
      <w:pPr>
        <w:pStyle w:val="Paragraph"/>
      </w:pPr>
      <w:r w:rsidRPr="00DF3302">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r w:rsidR="00F06F31" w:rsidRPr="00F06F31">
        <w:t>www.tga.gov.au/reporting-problems</w:t>
      </w:r>
      <w:r w:rsidRPr="00DF3302">
        <w:t>.</w:t>
      </w:r>
    </w:p>
    <w:p w14:paraId="5CD775C8" w14:textId="77777777" w:rsidR="001A3992" w:rsidRDefault="001A3992" w:rsidP="00EE3AC8">
      <w:pPr>
        <w:pStyle w:val="Heading2"/>
      </w:pPr>
      <w:r w:rsidRPr="00377337">
        <w:t>Overdose</w:t>
      </w:r>
    </w:p>
    <w:p w14:paraId="3010F378" w14:textId="1F2F599D" w:rsidR="00EC78D6" w:rsidRDefault="00EC78D6" w:rsidP="00EC78D6">
      <w:r>
        <w:t xml:space="preserve">There is no specific treatment in the event of </w:t>
      </w:r>
      <w:proofErr w:type="spellStart"/>
      <w:r>
        <w:t>tremelimumab</w:t>
      </w:r>
      <w:proofErr w:type="spellEnd"/>
      <w:r>
        <w:t xml:space="preserve"> overdose, and symptoms of overdose are not established. In the event of an overdose, physicians should follow general supportive measures and should treat symptomatically.</w:t>
      </w:r>
    </w:p>
    <w:p w14:paraId="23A9CB87" w14:textId="77777777" w:rsidR="00D87298" w:rsidRPr="00D87298" w:rsidRDefault="00D87298" w:rsidP="00D87298">
      <w:pPr>
        <w:pStyle w:val="Paragraph"/>
      </w:pPr>
      <w:r>
        <w:t>For information on the management of overdose, contact the Poison Information Centre on 131126 (Australia).</w:t>
      </w:r>
    </w:p>
    <w:p w14:paraId="43F1C4E5" w14:textId="77777777" w:rsidR="001A3992" w:rsidRPr="00377337" w:rsidRDefault="001A3992" w:rsidP="00881EA6">
      <w:pPr>
        <w:pStyle w:val="Heading1"/>
        <w:keepNext w:val="0"/>
      </w:pPr>
      <w:r w:rsidRPr="00377337">
        <w:t>Pharmacological properties</w:t>
      </w:r>
    </w:p>
    <w:p w14:paraId="2D1B70A4" w14:textId="77777777" w:rsidR="001A3992" w:rsidRPr="00377337" w:rsidRDefault="007403BD" w:rsidP="00EE3AC8">
      <w:pPr>
        <w:pStyle w:val="Heading2"/>
      </w:pPr>
      <w:bookmarkStart w:id="16" w:name="_Ref126592519"/>
      <w:r>
        <w:t>Pharmacodynamic properties</w:t>
      </w:r>
      <w:bookmarkEnd w:id="16"/>
    </w:p>
    <w:p w14:paraId="3F164676" w14:textId="77777777" w:rsidR="001A3992" w:rsidRDefault="001A3992" w:rsidP="0026491B">
      <w:pPr>
        <w:pStyle w:val="Heading3Unnumbered"/>
      </w:pPr>
      <w:r w:rsidRPr="00377337">
        <w:t>Mechanism of action</w:t>
      </w:r>
    </w:p>
    <w:p w14:paraId="63C589DC" w14:textId="77777777" w:rsidR="00E1308F" w:rsidRDefault="00E1308F" w:rsidP="00E1308F">
      <w:pPr>
        <w:rPr>
          <w:szCs w:val="20"/>
        </w:rPr>
      </w:pPr>
      <w:r>
        <w:t xml:space="preserve">CTLA-4 is primarily expressed on the surface of T lymphocytes. Interaction of CTLA-4 with its ligands, CD80 and CD86, limits effector T-cell activation, through </w:t>
      </w:r>
      <w:proofErr w:type="gramStart"/>
      <w:r>
        <w:t>a number of</w:t>
      </w:r>
      <w:proofErr w:type="gramEnd"/>
      <w:r>
        <w:t xml:space="preserve"> potential mechanisms, but primarily by limiting co-stimulatory signalling through CD28. </w:t>
      </w:r>
    </w:p>
    <w:p w14:paraId="2C46A2FA" w14:textId="368AF543" w:rsidR="00E1308F" w:rsidRDefault="00E1308F" w:rsidP="00E1308F">
      <w:proofErr w:type="spellStart"/>
      <w:r>
        <w:t>Tremelimumab</w:t>
      </w:r>
      <w:proofErr w:type="spellEnd"/>
      <w:r>
        <w:t xml:space="preserve"> is a selective, fully human IgG2 antibody that blocks CTLA-4 interaction with CD80 and CD86, thus enhancing T-cell activation and proliferation, resulting in increased T-cell diversity and enhanced antitumour immune activity.</w:t>
      </w:r>
      <w:r w:rsidR="00B11E17">
        <w:t xml:space="preserve"> In syngeneic mouse tumour models, blocking CTLA-4 activity resulted in decreased tumour growth and increased proliferation of T cells in tumours.</w:t>
      </w:r>
    </w:p>
    <w:p w14:paraId="2CE7136F" w14:textId="095CBB92" w:rsidR="00E1308F" w:rsidRDefault="00E1308F" w:rsidP="00E1308F">
      <w:r>
        <w:t xml:space="preserve">The combination of durvalumab, a PD-L1 inhibitor, and </w:t>
      </w:r>
      <w:proofErr w:type="spellStart"/>
      <w:r>
        <w:t>tremelimumab</w:t>
      </w:r>
      <w:proofErr w:type="spellEnd"/>
      <w:r>
        <w:t xml:space="preserve"> functions to enhance anti-tumour T-cell activation and function</w:t>
      </w:r>
      <w:r w:rsidR="00FB6FFB">
        <w:t>s</w:t>
      </w:r>
      <w:r>
        <w:t xml:space="preserve"> at multiple stages of the immune response, maximizing anti-tumour immunity.</w:t>
      </w:r>
    </w:p>
    <w:p w14:paraId="318ECFF2" w14:textId="340D8A72" w:rsidR="007403BD" w:rsidRPr="007403BD" w:rsidRDefault="00E1308F" w:rsidP="00766015">
      <w:r>
        <w:lastRenderedPageBreak/>
        <w:t xml:space="preserve">The effect of STRIDE on the quantities of proliferative cytotoxic CD8+ T cells was evaluated in Study 22 in patients with </w:t>
      </w:r>
      <w:proofErr w:type="spellStart"/>
      <w:r>
        <w:t>uHCC</w:t>
      </w:r>
      <w:proofErr w:type="spellEnd"/>
      <w:r>
        <w:t xml:space="preserve"> using a CD8+Ki67+ assay. At Day 15 a marked increase of proliferating CD8+ T cell populations was observed in the STRIDE arm compared to the durvalumab monotherapy arm. Patients receiving STRIDE also experienced a higher Objective Response Rate (ORR) compared to other treatment arms and responders across all arms exhibited higher median proliferative cytotoxic CD8+ T cell when compared to non-responding patients.</w:t>
      </w:r>
    </w:p>
    <w:p w14:paraId="4ECC3A6D" w14:textId="77777777" w:rsidR="001A3992" w:rsidRDefault="001A3992" w:rsidP="0026491B">
      <w:pPr>
        <w:pStyle w:val="Heading3Unnumbered"/>
      </w:pPr>
      <w:r w:rsidRPr="00377337">
        <w:t>Clinical trials</w:t>
      </w:r>
    </w:p>
    <w:p w14:paraId="4B35139D" w14:textId="77777777" w:rsidR="00193A3D" w:rsidRDefault="00193A3D" w:rsidP="00193A3D">
      <w:pPr>
        <w:pStyle w:val="Heading4Unnumbered"/>
        <w:rPr>
          <w:rFonts w:eastAsia="Calibri"/>
          <w:szCs w:val="24"/>
          <w:lang w:val="en-US"/>
        </w:rPr>
      </w:pPr>
      <w:r>
        <w:rPr>
          <w:rFonts w:eastAsia="Calibri"/>
        </w:rPr>
        <w:t>HCC - HIMALAYA Study</w:t>
      </w:r>
    </w:p>
    <w:p w14:paraId="4E3E4B05" w14:textId="6C6FCB77" w:rsidR="00193A3D" w:rsidRDefault="00193A3D" w:rsidP="00193A3D">
      <w:pPr>
        <w:autoSpaceDE w:val="0"/>
        <w:autoSpaceDN w:val="0"/>
        <w:adjustRightInd w:val="0"/>
        <w:rPr>
          <w:lang w:eastAsia="en-GB"/>
        </w:rPr>
      </w:pPr>
      <w:r>
        <w:rPr>
          <w:lang w:eastAsia="en-GB"/>
        </w:rPr>
        <w:t xml:space="preserve">The efficacy of STRIDE was evaluated in the HIMALAYA study, a randomised, open-label, </w:t>
      </w:r>
      <w:proofErr w:type="spellStart"/>
      <w:r>
        <w:rPr>
          <w:lang w:eastAsia="en-GB"/>
        </w:rPr>
        <w:t>multicenter</w:t>
      </w:r>
      <w:proofErr w:type="spellEnd"/>
      <w:r>
        <w:rPr>
          <w:lang w:eastAsia="en-GB"/>
        </w:rPr>
        <w:t xml:space="preserve"> study in patients with confirmed </w:t>
      </w:r>
      <w:r>
        <w:rPr>
          <w:bCs/>
          <w:lang w:val="en-US"/>
        </w:rPr>
        <w:t>u</w:t>
      </w:r>
      <w:r>
        <w:rPr>
          <w:lang w:eastAsia="en-GB"/>
        </w:rPr>
        <w:t>HCC who did not receive prior systemic treatment for HCC. The study included patients with BCLC Stage C or B (not eligible for locoregional therapy) and Child-Pugh Score Class A.</w:t>
      </w:r>
    </w:p>
    <w:p w14:paraId="3FC3ACA5" w14:textId="48DE41C8" w:rsidR="009C4446" w:rsidRDefault="00193A3D" w:rsidP="00193A3D">
      <w:pPr>
        <w:autoSpaceDE w:val="0"/>
        <w:autoSpaceDN w:val="0"/>
        <w:adjustRightInd w:val="0"/>
        <w:rPr>
          <w:lang w:eastAsia="en-GB"/>
        </w:rPr>
      </w:pPr>
      <w:r>
        <w:rPr>
          <w:lang w:eastAsia="en-GB"/>
        </w:rPr>
        <w:t xml:space="preserve">The study excluded patients with co-infection of viral </w:t>
      </w:r>
      <w:r>
        <w:t xml:space="preserve">hepatitis B and hepatitis C; </w:t>
      </w:r>
      <w:r>
        <w:rPr>
          <w:lang w:eastAsia="en-GB"/>
        </w:rPr>
        <w:t>active or prior documented GI bleeding within 12 months; ascites requiring non-pharmacologic intervention within 6 months; hepatic encephalopathy within 12 months before the start of treatment; active or prior documented autoimmune or inflammatory disorders.</w:t>
      </w:r>
    </w:p>
    <w:p w14:paraId="5778BB28" w14:textId="5FE3275F" w:rsidR="00193A3D" w:rsidRDefault="00193A3D" w:rsidP="00193A3D">
      <w:pPr>
        <w:autoSpaceDE w:val="0"/>
        <w:autoSpaceDN w:val="0"/>
        <w:adjustRightInd w:val="0"/>
        <w:rPr>
          <w:lang w:eastAsia="en-GB"/>
        </w:rPr>
      </w:pPr>
      <w:r>
        <w:rPr>
          <w:lang w:eastAsia="en-GB"/>
        </w:rPr>
        <w:t xml:space="preserve">Patients with </w:t>
      </w:r>
      <w:r w:rsidR="00500507">
        <w:rPr>
          <w:lang w:eastAsia="en-GB"/>
        </w:rPr>
        <w:t>o</w:t>
      </w:r>
      <w:r>
        <w:rPr>
          <w:lang w:eastAsia="en-GB"/>
        </w:rPr>
        <w:t>esophageal varices were included except those with active or prior documented GI bleeding within 12 months prior to study entry.</w:t>
      </w:r>
    </w:p>
    <w:p w14:paraId="4DB0CB7E" w14:textId="69C9B167" w:rsidR="00193A3D" w:rsidRDefault="00193A3D" w:rsidP="00193A3D">
      <w:pPr>
        <w:autoSpaceDE w:val="0"/>
        <w:autoSpaceDN w:val="0"/>
        <w:adjustRightInd w:val="0"/>
        <w:rPr>
          <w:lang w:eastAsia="en-GB"/>
        </w:rPr>
      </w:pPr>
      <w:r>
        <w:rPr>
          <w:lang w:eastAsia="en-GB"/>
        </w:rPr>
        <w:t xml:space="preserve">Randomisation was stratified by </w:t>
      </w:r>
      <w:r>
        <w:rPr>
          <w:lang w:val="en-US" w:eastAsia="en-GB"/>
        </w:rPr>
        <w:t xml:space="preserve">macrovascular invasion (MVI) (yes vs. no), </w:t>
      </w:r>
      <w:proofErr w:type="spellStart"/>
      <w:r>
        <w:rPr>
          <w:lang w:eastAsia="en-GB"/>
        </w:rPr>
        <w:t>etiology</w:t>
      </w:r>
      <w:proofErr w:type="spellEnd"/>
      <w:r>
        <w:rPr>
          <w:lang w:eastAsia="en-GB"/>
        </w:rPr>
        <w:t xml:space="preserve"> of liver disease (confirmed hepatitis B virus vs. confirmed hepatitis C virus vs. others)</w:t>
      </w:r>
      <w:r>
        <w:rPr>
          <w:lang w:val="en-US" w:eastAsia="en-GB"/>
        </w:rPr>
        <w:t xml:space="preserve"> and ECOG </w:t>
      </w:r>
      <w:r>
        <w:rPr>
          <w:lang w:eastAsia="en-GB"/>
        </w:rPr>
        <w:t>performance status (0 vs. 1).</w:t>
      </w:r>
    </w:p>
    <w:p w14:paraId="127B7213" w14:textId="77777777" w:rsidR="00193A3D" w:rsidRDefault="00193A3D" w:rsidP="00193A3D">
      <w:pPr>
        <w:autoSpaceDE w:val="0"/>
        <w:autoSpaceDN w:val="0"/>
        <w:adjustRightInd w:val="0"/>
        <w:rPr>
          <w:lang w:eastAsia="en-GB"/>
        </w:rPr>
      </w:pPr>
      <w:r>
        <w:rPr>
          <w:lang w:eastAsia="en-GB"/>
        </w:rPr>
        <w:t>The HIMALAYA study randomized 1171 patients 1:1:1 to receive:</w:t>
      </w:r>
    </w:p>
    <w:p w14:paraId="24D3F974" w14:textId="77777777" w:rsidR="00193A3D" w:rsidRDefault="00193A3D" w:rsidP="00193A3D">
      <w:pPr>
        <w:pStyle w:val="ListParagraph"/>
        <w:numPr>
          <w:ilvl w:val="0"/>
          <w:numId w:val="45"/>
        </w:numPr>
        <w:autoSpaceDE w:val="0"/>
        <w:autoSpaceDN w:val="0"/>
        <w:adjustRightInd w:val="0"/>
        <w:spacing w:after="0" w:line="240" w:lineRule="auto"/>
        <w:contextualSpacing w:val="0"/>
        <w:rPr>
          <w:szCs w:val="20"/>
          <w:lang w:eastAsia="en-GB"/>
        </w:rPr>
      </w:pPr>
      <w:r>
        <w:rPr>
          <w:szCs w:val="20"/>
          <w:lang w:eastAsia="en-GB"/>
        </w:rPr>
        <w:t>D: durvalumab 1500 mg every 4 weeks</w:t>
      </w:r>
    </w:p>
    <w:p w14:paraId="7315939B" w14:textId="598C7D40" w:rsidR="00193A3D" w:rsidRDefault="00193A3D" w:rsidP="00193A3D">
      <w:pPr>
        <w:pStyle w:val="ListParagraph"/>
        <w:numPr>
          <w:ilvl w:val="0"/>
          <w:numId w:val="45"/>
        </w:numPr>
        <w:autoSpaceDE w:val="0"/>
        <w:autoSpaceDN w:val="0"/>
        <w:adjustRightInd w:val="0"/>
        <w:spacing w:after="0" w:line="240" w:lineRule="auto"/>
        <w:ind w:left="714" w:hanging="357"/>
        <w:contextualSpacing w:val="0"/>
        <w:rPr>
          <w:szCs w:val="20"/>
          <w:lang w:eastAsia="en-GB"/>
        </w:rPr>
      </w:pPr>
      <w:r>
        <w:rPr>
          <w:szCs w:val="20"/>
          <w:lang w:eastAsia="en-GB"/>
        </w:rPr>
        <w:t>STRIDE: IMJUDO 300 mg as a single priming dose + durvalumab 1500 mg; followed by durvalumab 1500 mg every 4 weeks</w:t>
      </w:r>
    </w:p>
    <w:p w14:paraId="1DCC918E" w14:textId="77777777" w:rsidR="00193A3D" w:rsidRDefault="00193A3D" w:rsidP="00193A3D">
      <w:pPr>
        <w:pStyle w:val="ListParagraph"/>
        <w:numPr>
          <w:ilvl w:val="0"/>
          <w:numId w:val="45"/>
        </w:numPr>
        <w:autoSpaceDE w:val="0"/>
        <w:autoSpaceDN w:val="0"/>
        <w:adjustRightInd w:val="0"/>
        <w:spacing w:after="0" w:line="240" w:lineRule="auto"/>
        <w:ind w:left="714" w:hanging="357"/>
        <w:contextualSpacing w:val="0"/>
        <w:rPr>
          <w:sz w:val="22"/>
          <w:szCs w:val="22"/>
          <w:lang w:eastAsia="en-GB"/>
        </w:rPr>
      </w:pPr>
      <w:r>
        <w:rPr>
          <w:szCs w:val="20"/>
          <w:lang w:eastAsia="en-GB"/>
        </w:rPr>
        <w:t>S: Sorafenib 400 mg twice daily</w:t>
      </w:r>
    </w:p>
    <w:p w14:paraId="4BF8ABF5" w14:textId="77777777" w:rsidR="00193A3D" w:rsidRDefault="00193A3D" w:rsidP="00F17C29">
      <w:pPr>
        <w:autoSpaceDE w:val="0"/>
        <w:autoSpaceDN w:val="0"/>
        <w:adjustRightInd w:val="0"/>
        <w:spacing w:after="0" w:line="240" w:lineRule="auto"/>
        <w:rPr>
          <w:lang w:eastAsia="en-GB"/>
        </w:rPr>
      </w:pPr>
    </w:p>
    <w:p w14:paraId="2A61D3C1" w14:textId="4C65850D" w:rsidR="00193A3D" w:rsidRDefault="00193A3D" w:rsidP="00193A3D">
      <w:pPr>
        <w:autoSpaceDE w:val="0"/>
        <w:autoSpaceDN w:val="0"/>
        <w:adjustRightInd w:val="0"/>
        <w:rPr>
          <w:lang w:eastAsia="en-GB"/>
        </w:rPr>
      </w:pPr>
      <w:r>
        <w:rPr>
          <w:lang w:val="en-US" w:eastAsia="en-GB"/>
        </w:rPr>
        <w:t xml:space="preserve">Treatment continued </w:t>
      </w:r>
      <w:proofErr w:type="gramStart"/>
      <w:r>
        <w:rPr>
          <w:lang w:val="en-US" w:eastAsia="en-GB"/>
        </w:rPr>
        <w:t>a</w:t>
      </w:r>
      <w:r>
        <w:rPr>
          <w:lang w:val="en-US"/>
        </w:rPr>
        <w:t>s long as</w:t>
      </w:r>
      <w:proofErr w:type="gramEnd"/>
      <w:r>
        <w:rPr>
          <w:lang w:val="en-US"/>
        </w:rPr>
        <w:t xml:space="preserve"> clinical benefit was observed or until unacceptable toxicity. </w:t>
      </w:r>
      <w:r>
        <w:rPr>
          <w:lang w:val="en-US" w:eastAsia="en-GB"/>
        </w:rPr>
        <w:t>Patients in all arms could continue to receive treatment after evidence of disease progression if,</w:t>
      </w:r>
      <w:r>
        <w:rPr>
          <w:lang w:val="en-US"/>
        </w:rPr>
        <w:t xml:space="preserve"> </w:t>
      </w:r>
      <w:r>
        <w:rPr>
          <w:lang w:val="en-US" w:eastAsia="en-GB"/>
        </w:rPr>
        <w:t>in the Investigator’s opinion, they were benefiting from study drug and met all inclusion and exclusion criteria for treatment beyond progression. In addition, patients in the STRIDE arm who continued treatment beyond progression were allowed to be rechallenged once with an additional single dose of IMJUDO 300 mg after cycle five of durvalumab</w:t>
      </w:r>
      <w:r>
        <w:rPr>
          <w:lang w:eastAsia="en-GB"/>
        </w:rPr>
        <w:t xml:space="preserve">. </w:t>
      </w:r>
      <w:r>
        <w:rPr>
          <w:lang w:val="en-US" w:eastAsia="en-GB"/>
        </w:rPr>
        <w:t>Of the 182 patients enrolled to the STRIDE arm who received durvalumab beyond progression, the median OS was 19.5 months (95% CI: 15.4, 23.4). Of the 30 patients who were enrolled to the STRIDE arm who were rechallenged with IMJUDO, the median OS was 30.4 months (95% CI: 23.4, NR)</w:t>
      </w:r>
      <w:r>
        <w:rPr>
          <w:lang w:eastAsia="en-GB"/>
        </w:rPr>
        <w:t>.</w:t>
      </w:r>
    </w:p>
    <w:p w14:paraId="06054E76" w14:textId="53CE2A57" w:rsidR="00193A3D" w:rsidRDefault="00193A3D" w:rsidP="00193A3D">
      <w:pPr>
        <w:autoSpaceDE w:val="0"/>
        <w:autoSpaceDN w:val="0"/>
        <w:adjustRightInd w:val="0"/>
        <w:rPr>
          <w:lang w:eastAsia="en-GB"/>
        </w:rPr>
      </w:pPr>
      <w:r>
        <w:rPr>
          <w:lang w:eastAsia="en-GB"/>
        </w:rPr>
        <w:lastRenderedPageBreak/>
        <w:t xml:space="preserve">Tumour assessments were conducted every 8 weeks for the first 12 months and then every 12 weeks thereafter. </w:t>
      </w:r>
      <w:r>
        <w:rPr>
          <w:lang w:val="en-US"/>
        </w:rPr>
        <w:t xml:space="preserve">Survival assessments were conducted every month for the first 3 months following treatment discontinuation and then every 2 months. </w:t>
      </w:r>
    </w:p>
    <w:p w14:paraId="149FB2F3" w14:textId="13B09C3E" w:rsidR="00193A3D" w:rsidRDefault="00193A3D" w:rsidP="00193A3D">
      <w:pPr>
        <w:autoSpaceDE w:val="0"/>
        <w:autoSpaceDN w:val="0"/>
        <w:adjustRightInd w:val="0"/>
        <w:spacing w:after="0" w:line="240" w:lineRule="auto"/>
        <w:rPr>
          <w:i/>
          <w:iCs/>
          <w:strike/>
          <w:lang w:eastAsia="en-GB"/>
        </w:rPr>
      </w:pPr>
      <w:r>
        <w:rPr>
          <w:lang w:eastAsia="en-GB"/>
        </w:rPr>
        <w:t xml:space="preserve">The primary endpoint was OS. Key secondary endpoints were PFS, Investigator assessed ORR and </w:t>
      </w:r>
      <w:proofErr w:type="spellStart"/>
      <w:r>
        <w:rPr>
          <w:lang w:eastAsia="en-GB"/>
        </w:rPr>
        <w:t>DoR</w:t>
      </w:r>
      <w:proofErr w:type="spellEnd"/>
      <w:r>
        <w:rPr>
          <w:lang w:eastAsia="en-GB"/>
        </w:rPr>
        <w:t xml:space="preserve"> according to RECIST v1.1. Patient-Reported Outcomes (PROs) were also assessed.</w:t>
      </w:r>
      <w:r>
        <w:rPr>
          <w:i/>
          <w:iCs/>
          <w:strike/>
          <w:lang w:eastAsia="en-GB"/>
        </w:rPr>
        <w:t xml:space="preserve"> </w:t>
      </w:r>
    </w:p>
    <w:p w14:paraId="4DA0E2F4" w14:textId="77777777" w:rsidR="00193A3D" w:rsidRDefault="00193A3D" w:rsidP="00193A3D">
      <w:pPr>
        <w:autoSpaceDE w:val="0"/>
        <w:autoSpaceDN w:val="0"/>
        <w:adjustRightInd w:val="0"/>
        <w:spacing w:after="0" w:line="240" w:lineRule="auto"/>
        <w:rPr>
          <w:i/>
          <w:iCs/>
          <w:strike/>
          <w:lang w:eastAsia="en-GB"/>
        </w:rPr>
      </w:pPr>
    </w:p>
    <w:p w14:paraId="302F79D7" w14:textId="1BBE2C46" w:rsidR="00193A3D" w:rsidRDefault="00193A3D" w:rsidP="00072AC8">
      <w:pPr>
        <w:rPr>
          <w:lang w:eastAsia="en-GB"/>
        </w:rPr>
      </w:pPr>
      <w:r>
        <w:rPr>
          <w:lang w:eastAsia="en-GB"/>
        </w:rPr>
        <w:t xml:space="preserve">The demographics and baseline disease characteristics were generally representative for patients with </w:t>
      </w:r>
      <w:proofErr w:type="spellStart"/>
      <w:r>
        <w:rPr>
          <w:lang w:eastAsia="en-GB"/>
        </w:rPr>
        <w:t>uHCC</w:t>
      </w:r>
      <w:proofErr w:type="spellEnd"/>
      <w:r>
        <w:rPr>
          <w:lang w:eastAsia="en-GB"/>
        </w:rPr>
        <w:t>. The baseline demographics of the overall study population were as follows: male (83.7%), age &lt;65 years (50.4%), white (44.6%), Asian (50.7%), black or African American (1.7%), other (2.3%), ECOG PS 0 (</w:t>
      </w:r>
      <w:r>
        <w:t>62.6%</w:t>
      </w:r>
      <w:r>
        <w:rPr>
          <w:lang w:eastAsia="en-GB"/>
        </w:rPr>
        <w:t>); Child-Pugh Class score A (</w:t>
      </w:r>
      <w:r>
        <w:rPr>
          <w:color w:val="000000"/>
          <w:shd w:val="clear" w:color="auto" w:fill="FFFFFF"/>
        </w:rPr>
        <w:t>99.5</w:t>
      </w:r>
      <w:r>
        <w:rPr>
          <w:lang w:eastAsia="en-GB"/>
        </w:rPr>
        <w:t xml:space="preserve">%), macrovascular invasion (25.2%), extrahepatic spread (53.4%), viral </w:t>
      </w:r>
      <w:proofErr w:type="spellStart"/>
      <w:r>
        <w:rPr>
          <w:lang w:eastAsia="en-GB"/>
        </w:rPr>
        <w:t>etiology</w:t>
      </w:r>
      <w:proofErr w:type="spellEnd"/>
      <w:r>
        <w:rPr>
          <w:lang w:eastAsia="en-GB"/>
        </w:rPr>
        <w:t>; hepatitis B (</w:t>
      </w:r>
      <w:r>
        <w:rPr>
          <w:color w:val="000000"/>
          <w:shd w:val="clear" w:color="auto" w:fill="FFFFFF"/>
        </w:rPr>
        <w:t>30.6</w:t>
      </w:r>
      <w:r>
        <w:rPr>
          <w:lang w:eastAsia="en-GB"/>
        </w:rPr>
        <w:t>%), hepatitis C (</w:t>
      </w:r>
      <w:r>
        <w:rPr>
          <w:color w:val="000000"/>
          <w:shd w:val="clear" w:color="auto" w:fill="FFFFFF"/>
        </w:rPr>
        <w:t>27.2</w:t>
      </w:r>
      <w:r>
        <w:rPr>
          <w:lang w:eastAsia="en-GB"/>
        </w:rPr>
        <w:t>%), uninfected (</w:t>
      </w:r>
      <w:r>
        <w:rPr>
          <w:color w:val="000000"/>
          <w:shd w:val="clear" w:color="auto" w:fill="FFFFFF"/>
        </w:rPr>
        <w:t>42.2</w:t>
      </w:r>
      <w:r>
        <w:rPr>
          <w:lang w:eastAsia="en-GB"/>
        </w:rPr>
        <w:t>%).</w:t>
      </w:r>
    </w:p>
    <w:p w14:paraId="53A8A3F9" w14:textId="77777777" w:rsidR="00193A3D" w:rsidRDefault="00193A3D" w:rsidP="00193A3D">
      <w:pPr>
        <w:autoSpaceDE w:val="0"/>
        <w:autoSpaceDN w:val="0"/>
        <w:adjustRightInd w:val="0"/>
        <w:spacing w:after="0" w:line="240" w:lineRule="auto"/>
        <w:rPr>
          <w:lang w:eastAsia="en-GB"/>
        </w:rPr>
      </w:pPr>
    </w:p>
    <w:p w14:paraId="07A76D37" w14:textId="13F1D5CB" w:rsidR="00193A3D" w:rsidRDefault="00193A3D" w:rsidP="00193A3D">
      <w:pPr>
        <w:autoSpaceDE w:val="0"/>
        <w:autoSpaceDN w:val="0"/>
        <w:adjustRightInd w:val="0"/>
        <w:spacing w:after="0" w:line="240" w:lineRule="auto"/>
        <w:rPr>
          <w:lang w:eastAsia="en-GB"/>
        </w:rPr>
      </w:pPr>
      <w:r>
        <w:rPr>
          <w:lang w:eastAsia="en-GB"/>
        </w:rPr>
        <w:t>The study demonstrated a statistically significant and clinically meaningful improvement in OS with STRIDE vs. S [HR=</w:t>
      </w:r>
      <w:r>
        <w:rPr>
          <w:color w:val="000000"/>
          <w:shd w:val="clear" w:color="auto" w:fill="FFFFFF"/>
        </w:rPr>
        <w:t>0.78 [95% CI 0.66, 0.92]; p=0.0035</w:t>
      </w:r>
      <w:r>
        <w:rPr>
          <w:lang w:eastAsia="en-GB"/>
        </w:rPr>
        <w:t xml:space="preserve">]. </w:t>
      </w:r>
    </w:p>
    <w:p w14:paraId="1D120936" w14:textId="5DFB6982" w:rsidR="008136D8" w:rsidRPr="00A04854" w:rsidRDefault="00193A3D" w:rsidP="00193A3D">
      <w:pPr>
        <w:autoSpaceDE w:val="0"/>
        <w:autoSpaceDN w:val="0"/>
        <w:adjustRightInd w:val="0"/>
        <w:spacing w:after="0" w:line="240" w:lineRule="auto"/>
        <w:rPr>
          <w:lang w:eastAsia="en-GB"/>
        </w:rPr>
      </w:pPr>
      <w:r w:rsidRPr="00A67547">
        <w:rPr>
          <w:lang w:eastAsia="en-GB"/>
        </w:rPr>
        <w:t xml:space="preserve">See </w:t>
      </w:r>
      <w:r w:rsidR="00267826">
        <w:rPr>
          <w:lang w:eastAsia="en-GB"/>
        </w:rPr>
        <w:t xml:space="preserve">Table </w:t>
      </w:r>
      <w:r w:rsidR="001F396D">
        <w:rPr>
          <w:lang w:eastAsia="en-GB"/>
        </w:rPr>
        <w:t>6</w:t>
      </w:r>
      <w:r w:rsidR="00267826">
        <w:rPr>
          <w:lang w:eastAsia="en-GB"/>
        </w:rPr>
        <w:t xml:space="preserve"> </w:t>
      </w:r>
      <w:r w:rsidRPr="00C7344C">
        <w:rPr>
          <w:lang w:eastAsia="en-GB"/>
        </w:rPr>
        <w:t xml:space="preserve">and </w:t>
      </w:r>
      <w:r w:rsidR="00C7344C">
        <w:rPr>
          <w:lang w:eastAsia="en-GB"/>
        </w:rPr>
        <w:fldChar w:fldCharType="begin"/>
      </w:r>
      <w:r w:rsidR="00C7344C">
        <w:rPr>
          <w:lang w:eastAsia="en-GB"/>
        </w:rPr>
        <w:instrText xml:space="preserve"> REF _Ref97650524 \h </w:instrText>
      </w:r>
      <w:r w:rsidR="00C7344C">
        <w:rPr>
          <w:lang w:eastAsia="en-GB"/>
        </w:rPr>
      </w:r>
      <w:r w:rsidR="00C7344C">
        <w:rPr>
          <w:lang w:eastAsia="en-GB"/>
        </w:rPr>
        <w:fldChar w:fldCharType="separate"/>
      </w:r>
      <w:r w:rsidR="00C7344C" w:rsidRPr="001812B5">
        <w:t>Figure </w:t>
      </w:r>
      <w:r w:rsidR="00C7344C">
        <w:rPr>
          <w:noProof/>
        </w:rPr>
        <w:t>1</w:t>
      </w:r>
      <w:r w:rsidR="00C7344C">
        <w:rPr>
          <w:lang w:eastAsia="en-GB"/>
        </w:rPr>
        <w:fldChar w:fldCharType="end"/>
      </w:r>
      <w:r w:rsidRPr="00C7344C">
        <w:rPr>
          <w:lang w:eastAsia="en-GB"/>
        </w:rPr>
        <w:t>.</w:t>
      </w:r>
    </w:p>
    <w:p w14:paraId="66FF3166" w14:textId="77777777" w:rsidR="00193A3D" w:rsidRDefault="00193A3D" w:rsidP="00193A3D">
      <w:pPr>
        <w:autoSpaceDE w:val="0"/>
        <w:autoSpaceDN w:val="0"/>
        <w:adjustRightInd w:val="0"/>
        <w:spacing w:after="0" w:line="240" w:lineRule="auto"/>
        <w:rPr>
          <w:lang w:eastAsia="en-GB"/>
        </w:rPr>
      </w:pPr>
    </w:p>
    <w:p w14:paraId="0E7F5254" w14:textId="2E305B58" w:rsidR="00193A3D" w:rsidRPr="00A67547" w:rsidRDefault="00A67547" w:rsidP="00B91848">
      <w:pPr>
        <w:pStyle w:val="TableTitle"/>
        <w:ind w:left="1440" w:hanging="1440"/>
        <w:rPr>
          <w:bCs/>
        </w:rPr>
      </w:pPr>
      <w:bookmarkStart w:id="17" w:name="_Ref97645104"/>
      <w:r>
        <w:t>Table </w:t>
      </w:r>
      <w:r w:rsidR="001F396D">
        <w:t>6</w:t>
      </w:r>
      <w:bookmarkEnd w:id="17"/>
      <w:r>
        <w:tab/>
      </w:r>
      <w:r w:rsidRPr="005C792D">
        <w:rPr>
          <w:color w:val="auto"/>
          <w:lang w:eastAsia="en-GB"/>
        </w:rPr>
        <w:t xml:space="preserve">Results for </w:t>
      </w:r>
      <w:r w:rsidR="009902EC">
        <w:rPr>
          <w:color w:val="auto"/>
          <w:lang w:eastAsia="en-GB"/>
        </w:rPr>
        <w:t>Primary and Key Secondary Efficacy Endpoints</w:t>
      </w:r>
      <w:r w:rsidR="00B91848">
        <w:rPr>
          <w:color w:val="auto"/>
          <w:lang w:eastAsia="en-GB"/>
        </w:rPr>
        <w:t xml:space="preserve"> for</w:t>
      </w:r>
      <w:r w:rsidR="009902EC">
        <w:rPr>
          <w:color w:val="auto"/>
          <w:lang w:eastAsia="en-GB"/>
        </w:rPr>
        <w:t xml:space="preserve"> </w:t>
      </w:r>
      <w:r w:rsidRPr="005C792D">
        <w:rPr>
          <w:color w:val="auto"/>
          <w:lang w:eastAsia="en-GB"/>
        </w:rPr>
        <w:t>the HIMALAYA Study for STRIDE vs. S and D vs. S</w:t>
      </w:r>
    </w:p>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985"/>
        <w:gridCol w:w="1701"/>
        <w:gridCol w:w="1865"/>
      </w:tblGrid>
      <w:tr w:rsidR="00193A3D" w14:paraId="7854B5C7" w14:textId="77777777" w:rsidTr="008136D8">
        <w:trPr>
          <w:tblHeader/>
        </w:trPr>
        <w:tc>
          <w:tcPr>
            <w:tcW w:w="3539" w:type="dxa"/>
            <w:tcBorders>
              <w:top w:val="single" w:sz="4" w:space="0" w:color="auto"/>
              <w:left w:val="single" w:sz="4" w:space="0" w:color="auto"/>
              <w:bottom w:val="single" w:sz="4" w:space="0" w:color="auto"/>
              <w:right w:val="single" w:sz="4" w:space="0" w:color="auto"/>
            </w:tcBorders>
          </w:tcPr>
          <w:p w14:paraId="4586157D" w14:textId="77777777" w:rsidR="00193A3D" w:rsidRDefault="00193A3D" w:rsidP="005C792D">
            <w:pPr>
              <w:pStyle w:val="TableHead"/>
              <w:rPr>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43F3465C" w14:textId="77777777" w:rsidR="00193A3D" w:rsidRDefault="00193A3D" w:rsidP="005C792D">
            <w:pPr>
              <w:pStyle w:val="TableHead"/>
              <w:rPr>
                <w:lang w:eastAsia="en-GB"/>
              </w:rPr>
            </w:pPr>
            <w:r>
              <w:rPr>
                <w:lang w:eastAsia="en-GB"/>
              </w:rPr>
              <w:t>STRIDE</w:t>
            </w:r>
          </w:p>
          <w:p w14:paraId="66DF0B1D" w14:textId="77777777" w:rsidR="00193A3D" w:rsidRDefault="00193A3D" w:rsidP="005C792D">
            <w:pPr>
              <w:pStyle w:val="TableHead"/>
              <w:rPr>
                <w:lang w:eastAsia="en-GB"/>
              </w:rPr>
            </w:pPr>
            <w:r>
              <w:rPr>
                <w:lang w:eastAsia="en-GB"/>
              </w:rPr>
              <w:t>(n=393)</w:t>
            </w:r>
          </w:p>
        </w:tc>
        <w:tc>
          <w:tcPr>
            <w:tcW w:w="1701" w:type="dxa"/>
            <w:tcBorders>
              <w:top w:val="single" w:sz="4" w:space="0" w:color="auto"/>
              <w:left w:val="single" w:sz="4" w:space="0" w:color="auto"/>
              <w:bottom w:val="single" w:sz="4" w:space="0" w:color="auto"/>
              <w:right w:val="single" w:sz="4" w:space="0" w:color="auto"/>
            </w:tcBorders>
            <w:hideMark/>
          </w:tcPr>
          <w:p w14:paraId="15BA539F" w14:textId="77777777" w:rsidR="00193A3D" w:rsidRDefault="00193A3D" w:rsidP="005C792D">
            <w:pPr>
              <w:pStyle w:val="TableHead"/>
              <w:rPr>
                <w:lang w:eastAsia="en-GB"/>
              </w:rPr>
            </w:pPr>
            <w:r>
              <w:rPr>
                <w:lang w:eastAsia="en-GB"/>
              </w:rPr>
              <w:t>S</w:t>
            </w:r>
          </w:p>
          <w:p w14:paraId="2826A672" w14:textId="77777777" w:rsidR="00193A3D" w:rsidRDefault="00193A3D" w:rsidP="005C792D">
            <w:pPr>
              <w:pStyle w:val="TableHead"/>
              <w:rPr>
                <w:lang w:eastAsia="en-GB"/>
              </w:rPr>
            </w:pPr>
            <w:r>
              <w:rPr>
                <w:lang w:eastAsia="en-GB"/>
              </w:rPr>
              <w:t>(n=389)</w:t>
            </w:r>
          </w:p>
        </w:tc>
        <w:tc>
          <w:tcPr>
            <w:tcW w:w="1865" w:type="dxa"/>
            <w:tcBorders>
              <w:top w:val="single" w:sz="4" w:space="0" w:color="auto"/>
              <w:left w:val="single" w:sz="4" w:space="0" w:color="auto"/>
              <w:bottom w:val="single" w:sz="4" w:space="0" w:color="auto"/>
              <w:right w:val="single" w:sz="4" w:space="0" w:color="auto"/>
            </w:tcBorders>
            <w:hideMark/>
          </w:tcPr>
          <w:p w14:paraId="6DCC3948" w14:textId="77777777" w:rsidR="00193A3D" w:rsidRDefault="00193A3D" w:rsidP="005C792D">
            <w:pPr>
              <w:pStyle w:val="TableHead"/>
              <w:rPr>
                <w:lang w:eastAsia="en-GB"/>
              </w:rPr>
            </w:pPr>
            <w:r>
              <w:rPr>
                <w:lang w:eastAsia="en-GB"/>
              </w:rPr>
              <w:t>D</w:t>
            </w:r>
          </w:p>
          <w:p w14:paraId="4EBE5F24" w14:textId="77777777" w:rsidR="00193A3D" w:rsidRDefault="00193A3D" w:rsidP="005C792D">
            <w:pPr>
              <w:pStyle w:val="TableHead"/>
              <w:rPr>
                <w:lang w:eastAsia="en-GB"/>
              </w:rPr>
            </w:pPr>
            <w:r>
              <w:rPr>
                <w:lang w:eastAsia="en-GB"/>
              </w:rPr>
              <w:t>(n=389)</w:t>
            </w:r>
          </w:p>
        </w:tc>
      </w:tr>
      <w:tr w:rsidR="00193A3D" w14:paraId="60514B19" w14:textId="77777777" w:rsidTr="0048380C">
        <w:trPr>
          <w:trHeight w:val="403"/>
        </w:trPr>
        <w:tc>
          <w:tcPr>
            <w:tcW w:w="9090" w:type="dxa"/>
            <w:gridSpan w:val="4"/>
            <w:tcBorders>
              <w:top w:val="single" w:sz="4" w:space="0" w:color="auto"/>
              <w:left w:val="single" w:sz="4" w:space="0" w:color="auto"/>
              <w:bottom w:val="single" w:sz="4" w:space="0" w:color="auto"/>
              <w:right w:val="single" w:sz="4" w:space="0" w:color="auto"/>
            </w:tcBorders>
            <w:hideMark/>
          </w:tcPr>
          <w:p w14:paraId="64CE7AFE" w14:textId="14832A64" w:rsidR="00193A3D" w:rsidRDefault="00193A3D" w:rsidP="005C792D">
            <w:pPr>
              <w:pStyle w:val="TableHead"/>
              <w:jc w:val="left"/>
              <w:rPr>
                <w:lang w:eastAsia="en-GB"/>
              </w:rPr>
            </w:pPr>
            <w:r>
              <w:rPr>
                <w:lang w:eastAsia="en-GB"/>
              </w:rPr>
              <w:t>Follow up duration</w:t>
            </w:r>
            <w:r w:rsidR="009902EC">
              <w:rPr>
                <w:lang w:eastAsia="en-GB"/>
              </w:rPr>
              <w:t xml:space="preserve"> (months)</w:t>
            </w:r>
          </w:p>
        </w:tc>
      </w:tr>
      <w:tr w:rsidR="00193A3D" w14:paraId="795038A4" w14:textId="77777777" w:rsidTr="0048380C">
        <w:tc>
          <w:tcPr>
            <w:tcW w:w="3539" w:type="dxa"/>
            <w:tcBorders>
              <w:top w:val="single" w:sz="4" w:space="0" w:color="auto"/>
              <w:left w:val="single" w:sz="4" w:space="0" w:color="auto"/>
              <w:bottom w:val="single" w:sz="4" w:space="0" w:color="auto"/>
              <w:right w:val="single" w:sz="4" w:space="0" w:color="auto"/>
            </w:tcBorders>
            <w:hideMark/>
          </w:tcPr>
          <w:p w14:paraId="29BADC58" w14:textId="77777777" w:rsidR="00193A3D" w:rsidRDefault="00193A3D" w:rsidP="005C792D">
            <w:pPr>
              <w:pStyle w:val="TableLeft"/>
              <w:rPr>
                <w:lang w:eastAsia="en-GB"/>
              </w:rPr>
            </w:pPr>
            <w:r>
              <w:rPr>
                <w:lang w:eastAsia="en-GB"/>
              </w:rPr>
              <w:t>Median follow up</w:t>
            </w:r>
          </w:p>
        </w:tc>
        <w:tc>
          <w:tcPr>
            <w:tcW w:w="1985" w:type="dxa"/>
            <w:tcBorders>
              <w:top w:val="single" w:sz="4" w:space="0" w:color="auto"/>
              <w:left w:val="single" w:sz="4" w:space="0" w:color="auto"/>
              <w:bottom w:val="single" w:sz="4" w:space="0" w:color="auto"/>
              <w:right w:val="single" w:sz="4" w:space="0" w:color="auto"/>
            </w:tcBorders>
            <w:hideMark/>
          </w:tcPr>
          <w:p w14:paraId="00A3E2C8" w14:textId="77777777" w:rsidR="00193A3D" w:rsidRDefault="00193A3D" w:rsidP="005F364D">
            <w:pPr>
              <w:pStyle w:val="TableCenter"/>
              <w:rPr>
                <w:lang w:eastAsia="en-GB"/>
              </w:rPr>
            </w:pPr>
            <w:r>
              <w:rPr>
                <w:lang w:eastAsia="en-GB"/>
              </w:rPr>
              <w:t>33.2</w:t>
            </w:r>
          </w:p>
        </w:tc>
        <w:tc>
          <w:tcPr>
            <w:tcW w:w="1701" w:type="dxa"/>
            <w:tcBorders>
              <w:top w:val="single" w:sz="4" w:space="0" w:color="auto"/>
              <w:left w:val="single" w:sz="4" w:space="0" w:color="auto"/>
              <w:bottom w:val="single" w:sz="4" w:space="0" w:color="auto"/>
              <w:right w:val="single" w:sz="4" w:space="0" w:color="auto"/>
            </w:tcBorders>
            <w:hideMark/>
          </w:tcPr>
          <w:p w14:paraId="2A3FB8B9" w14:textId="77777777" w:rsidR="00193A3D" w:rsidRDefault="00193A3D" w:rsidP="005F364D">
            <w:pPr>
              <w:pStyle w:val="TableCenter"/>
              <w:rPr>
                <w:lang w:eastAsia="en-GB"/>
              </w:rPr>
            </w:pPr>
            <w:r>
              <w:rPr>
                <w:lang w:eastAsia="en-GB"/>
              </w:rPr>
              <w:t>32.2</w:t>
            </w:r>
          </w:p>
        </w:tc>
        <w:tc>
          <w:tcPr>
            <w:tcW w:w="1865" w:type="dxa"/>
            <w:tcBorders>
              <w:top w:val="single" w:sz="4" w:space="0" w:color="auto"/>
              <w:left w:val="single" w:sz="4" w:space="0" w:color="auto"/>
              <w:bottom w:val="single" w:sz="4" w:space="0" w:color="auto"/>
              <w:right w:val="single" w:sz="4" w:space="0" w:color="auto"/>
            </w:tcBorders>
            <w:hideMark/>
          </w:tcPr>
          <w:p w14:paraId="699E4F2C" w14:textId="77777777" w:rsidR="00193A3D" w:rsidRDefault="00193A3D" w:rsidP="005F364D">
            <w:pPr>
              <w:pStyle w:val="TableCenter"/>
              <w:rPr>
                <w:lang w:eastAsia="en-GB"/>
              </w:rPr>
            </w:pPr>
            <w:r>
              <w:rPr>
                <w:lang w:eastAsia="en-GB"/>
              </w:rPr>
              <w:t>32.6</w:t>
            </w:r>
          </w:p>
        </w:tc>
      </w:tr>
      <w:tr w:rsidR="00193A3D" w14:paraId="6C5AB56A" w14:textId="77777777" w:rsidTr="0048380C">
        <w:tc>
          <w:tcPr>
            <w:tcW w:w="3539" w:type="dxa"/>
            <w:tcBorders>
              <w:top w:val="single" w:sz="4" w:space="0" w:color="auto"/>
              <w:left w:val="single" w:sz="4" w:space="0" w:color="auto"/>
              <w:bottom w:val="single" w:sz="4" w:space="0" w:color="auto"/>
              <w:right w:val="single" w:sz="4" w:space="0" w:color="auto"/>
            </w:tcBorders>
            <w:hideMark/>
          </w:tcPr>
          <w:p w14:paraId="1599D215" w14:textId="77777777" w:rsidR="00193A3D" w:rsidRDefault="00193A3D" w:rsidP="005C792D">
            <w:pPr>
              <w:pStyle w:val="TableLeft"/>
              <w:rPr>
                <w:lang w:eastAsia="en-GB"/>
              </w:rPr>
            </w:pPr>
            <w:r>
              <w:rPr>
                <w:lang w:eastAsia="en-GB"/>
              </w:rPr>
              <w:t>Range</w:t>
            </w:r>
          </w:p>
        </w:tc>
        <w:tc>
          <w:tcPr>
            <w:tcW w:w="1985" w:type="dxa"/>
            <w:tcBorders>
              <w:top w:val="single" w:sz="4" w:space="0" w:color="auto"/>
              <w:left w:val="single" w:sz="4" w:space="0" w:color="auto"/>
              <w:bottom w:val="single" w:sz="4" w:space="0" w:color="auto"/>
              <w:right w:val="single" w:sz="4" w:space="0" w:color="auto"/>
            </w:tcBorders>
            <w:hideMark/>
          </w:tcPr>
          <w:p w14:paraId="491D35B0" w14:textId="77777777" w:rsidR="00193A3D" w:rsidRDefault="00193A3D" w:rsidP="005C792D">
            <w:pPr>
              <w:pStyle w:val="TableCenter"/>
              <w:rPr>
                <w:lang w:eastAsia="en-GB"/>
              </w:rPr>
            </w:pPr>
            <w:r>
              <w:rPr>
                <w:lang w:eastAsia="en-GB"/>
              </w:rPr>
              <w:t>(31.7-34.5)</w:t>
            </w:r>
          </w:p>
        </w:tc>
        <w:tc>
          <w:tcPr>
            <w:tcW w:w="1701" w:type="dxa"/>
            <w:tcBorders>
              <w:top w:val="single" w:sz="4" w:space="0" w:color="auto"/>
              <w:left w:val="single" w:sz="4" w:space="0" w:color="auto"/>
              <w:bottom w:val="single" w:sz="4" w:space="0" w:color="auto"/>
              <w:right w:val="single" w:sz="4" w:space="0" w:color="auto"/>
            </w:tcBorders>
            <w:hideMark/>
          </w:tcPr>
          <w:p w14:paraId="00A17469" w14:textId="77777777" w:rsidR="00193A3D" w:rsidRDefault="00193A3D" w:rsidP="005C792D">
            <w:pPr>
              <w:pStyle w:val="TableCenter"/>
              <w:rPr>
                <w:lang w:eastAsia="en-GB"/>
              </w:rPr>
            </w:pPr>
            <w:r>
              <w:rPr>
                <w:lang w:eastAsia="en-GB"/>
              </w:rPr>
              <w:t>(30.4-33.7)</w:t>
            </w:r>
          </w:p>
        </w:tc>
        <w:tc>
          <w:tcPr>
            <w:tcW w:w="1865" w:type="dxa"/>
            <w:tcBorders>
              <w:top w:val="single" w:sz="4" w:space="0" w:color="auto"/>
              <w:left w:val="single" w:sz="4" w:space="0" w:color="auto"/>
              <w:bottom w:val="single" w:sz="4" w:space="0" w:color="auto"/>
              <w:right w:val="single" w:sz="4" w:space="0" w:color="auto"/>
            </w:tcBorders>
            <w:hideMark/>
          </w:tcPr>
          <w:p w14:paraId="4CFBA0F5" w14:textId="77777777" w:rsidR="00193A3D" w:rsidRDefault="00193A3D" w:rsidP="005C792D">
            <w:pPr>
              <w:pStyle w:val="TableCenter"/>
              <w:rPr>
                <w:lang w:eastAsia="en-GB"/>
              </w:rPr>
            </w:pPr>
            <w:r>
              <w:rPr>
                <w:lang w:eastAsia="en-GB"/>
              </w:rPr>
              <w:t>(31.6-33.7)</w:t>
            </w:r>
          </w:p>
        </w:tc>
      </w:tr>
      <w:tr w:rsidR="00193A3D" w14:paraId="4F3FE603" w14:textId="77777777" w:rsidTr="0048380C">
        <w:tc>
          <w:tcPr>
            <w:tcW w:w="9090" w:type="dxa"/>
            <w:gridSpan w:val="4"/>
            <w:tcBorders>
              <w:top w:val="single" w:sz="4" w:space="0" w:color="auto"/>
              <w:left w:val="single" w:sz="4" w:space="0" w:color="auto"/>
              <w:bottom w:val="single" w:sz="4" w:space="0" w:color="auto"/>
              <w:right w:val="single" w:sz="4" w:space="0" w:color="auto"/>
            </w:tcBorders>
            <w:hideMark/>
          </w:tcPr>
          <w:p w14:paraId="6EEE83B7" w14:textId="77777777" w:rsidR="00193A3D" w:rsidRDefault="00193A3D" w:rsidP="005C792D">
            <w:pPr>
              <w:pStyle w:val="TableHead"/>
              <w:jc w:val="left"/>
              <w:rPr>
                <w:lang w:eastAsia="en-GB"/>
              </w:rPr>
            </w:pPr>
            <w:r>
              <w:rPr>
                <w:lang w:eastAsia="en-GB"/>
              </w:rPr>
              <w:t>OS</w:t>
            </w:r>
          </w:p>
        </w:tc>
      </w:tr>
      <w:tr w:rsidR="00193A3D" w14:paraId="36B73A70" w14:textId="77777777" w:rsidTr="0048380C">
        <w:tc>
          <w:tcPr>
            <w:tcW w:w="3539" w:type="dxa"/>
            <w:tcBorders>
              <w:top w:val="single" w:sz="4" w:space="0" w:color="auto"/>
              <w:left w:val="single" w:sz="4" w:space="0" w:color="auto"/>
              <w:bottom w:val="single" w:sz="4" w:space="0" w:color="auto"/>
              <w:right w:val="single" w:sz="4" w:space="0" w:color="auto"/>
            </w:tcBorders>
            <w:hideMark/>
          </w:tcPr>
          <w:p w14:paraId="6167D588" w14:textId="77777777" w:rsidR="00193A3D" w:rsidRPr="005C792D" w:rsidRDefault="00193A3D" w:rsidP="005C792D">
            <w:pPr>
              <w:pStyle w:val="TableLeft"/>
            </w:pPr>
            <w:r w:rsidRPr="005C792D">
              <w:t>Number of deaths (%)</w:t>
            </w:r>
          </w:p>
        </w:tc>
        <w:tc>
          <w:tcPr>
            <w:tcW w:w="1985" w:type="dxa"/>
            <w:tcBorders>
              <w:top w:val="single" w:sz="4" w:space="0" w:color="auto"/>
              <w:left w:val="single" w:sz="4" w:space="0" w:color="auto"/>
              <w:bottom w:val="single" w:sz="4" w:space="0" w:color="auto"/>
              <w:right w:val="single" w:sz="4" w:space="0" w:color="auto"/>
            </w:tcBorders>
            <w:hideMark/>
          </w:tcPr>
          <w:p w14:paraId="6777B771" w14:textId="77777777" w:rsidR="00193A3D" w:rsidRDefault="00193A3D" w:rsidP="005F364D">
            <w:pPr>
              <w:pStyle w:val="TableCenter"/>
              <w:rPr>
                <w:lang w:eastAsia="en-GB"/>
              </w:rPr>
            </w:pPr>
            <w:r>
              <w:rPr>
                <w:lang w:eastAsia="en-GB"/>
              </w:rPr>
              <w:t>262 (66.7)</w:t>
            </w:r>
          </w:p>
        </w:tc>
        <w:tc>
          <w:tcPr>
            <w:tcW w:w="1701" w:type="dxa"/>
            <w:tcBorders>
              <w:top w:val="single" w:sz="4" w:space="0" w:color="auto"/>
              <w:left w:val="single" w:sz="4" w:space="0" w:color="auto"/>
              <w:bottom w:val="single" w:sz="4" w:space="0" w:color="auto"/>
              <w:right w:val="single" w:sz="4" w:space="0" w:color="auto"/>
            </w:tcBorders>
            <w:hideMark/>
          </w:tcPr>
          <w:p w14:paraId="76C55F9C" w14:textId="77777777" w:rsidR="00193A3D" w:rsidRDefault="00193A3D" w:rsidP="005F364D">
            <w:pPr>
              <w:pStyle w:val="TableCenter"/>
              <w:rPr>
                <w:lang w:eastAsia="en-GB"/>
              </w:rPr>
            </w:pPr>
            <w:r>
              <w:rPr>
                <w:lang w:eastAsia="en-GB"/>
              </w:rPr>
              <w:t>293 (75.3)</w:t>
            </w:r>
          </w:p>
        </w:tc>
        <w:tc>
          <w:tcPr>
            <w:tcW w:w="1865" w:type="dxa"/>
            <w:tcBorders>
              <w:top w:val="single" w:sz="4" w:space="0" w:color="auto"/>
              <w:left w:val="single" w:sz="4" w:space="0" w:color="auto"/>
              <w:bottom w:val="single" w:sz="4" w:space="0" w:color="auto"/>
              <w:right w:val="single" w:sz="4" w:space="0" w:color="auto"/>
            </w:tcBorders>
            <w:hideMark/>
          </w:tcPr>
          <w:p w14:paraId="0CF1E3A7" w14:textId="77777777" w:rsidR="00193A3D" w:rsidRDefault="00193A3D" w:rsidP="005C792D">
            <w:pPr>
              <w:pStyle w:val="TableCenter"/>
              <w:rPr>
                <w:lang w:eastAsia="en-GB"/>
              </w:rPr>
            </w:pPr>
            <w:r>
              <w:rPr>
                <w:lang w:eastAsia="en-GB"/>
              </w:rPr>
              <w:t>280 (72.0)</w:t>
            </w:r>
          </w:p>
        </w:tc>
      </w:tr>
      <w:tr w:rsidR="00193A3D" w14:paraId="3E8D56B2" w14:textId="77777777" w:rsidTr="0048380C">
        <w:tc>
          <w:tcPr>
            <w:tcW w:w="3539" w:type="dxa"/>
            <w:tcBorders>
              <w:top w:val="single" w:sz="4" w:space="0" w:color="auto"/>
              <w:left w:val="single" w:sz="4" w:space="0" w:color="auto"/>
              <w:bottom w:val="single" w:sz="4" w:space="0" w:color="auto"/>
              <w:right w:val="single" w:sz="4" w:space="0" w:color="auto"/>
            </w:tcBorders>
            <w:hideMark/>
          </w:tcPr>
          <w:p w14:paraId="2E499A14" w14:textId="77777777" w:rsidR="00193A3D" w:rsidRPr="005F364D" w:rsidRDefault="00193A3D" w:rsidP="005F364D">
            <w:pPr>
              <w:pStyle w:val="TableLeft"/>
              <w:ind w:left="720" w:hanging="358"/>
              <w:rPr>
                <w:rFonts w:eastAsia="Times New Roman,Calibri"/>
              </w:rPr>
            </w:pPr>
            <w:r w:rsidRPr="005F364D">
              <w:rPr>
                <w:rFonts w:eastAsia="Times New Roman,Calibri"/>
              </w:rPr>
              <w:t>Median OS (months)</w:t>
            </w:r>
          </w:p>
          <w:p w14:paraId="58A8BE5E" w14:textId="77777777" w:rsidR="00193A3D" w:rsidRDefault="00193A3D" w:rsidP="005F364D">
            <w:pPr>
              <w:pStyle w:val="TableLeft"/>
              <w:ind w:left="720" w:hanging="358"/>
              <w:rPr>
                <w:lang w:eastAsia="en-GB"/>
              </w:rPr>
            </w:pPr>
            <w:r w:rsidRPr="005F364D">
              <w:rPr>
                <w:rFonts w:eastAsia="Times New Roman,Calibri"/>
              </w:rPr>
              <w:t>(95% CI)</w:t>
            </w:r>
          </w:p>
        </w:tc>
        <w:tc>
          <w:tcPr>
            <w:tcW w:w="1985" w:type="dxa"/>
            <w:tcBorders>
              <w:top w:val="single" w:sz="4" w:space="0" w:color="auto"/>
              <w:left w:val="single" w:sz="4" w:space="0" w:color="auto"/>
              <w:bottom w:val="single" w:sz="4" w:space="0" w:color="auto"/>
              <w:right w:val="single" w:sz="4" w:space="0" w:color="auto"/>
            </w:tcBorders>
            <w:hideMark/>
          </w:tcPr>
          <w:p w14:paraId="5C9BF277" w14:textId="77777777" w:rsidR="00193A3D" w:rsidRDefault="00193A3D" w:rsidP="005F364D">
            <w:pPr>
              <w:pStyle w:val="TableCenter"/>
              <w:rPr>
                <w:lang w:eastAsia="en-GB"/>
              </w:rPr>
            </w:pPr>
            <w:r>
              <w:rPr>
                <w:lang w:eastAsia="en-GB"/>
              </w:rPr>
              <w:t>16.4</w:t>
            </w:r>
          </w:p>
          <w:p w14:paraId="65B1A2A9" w14:textId="77777777" w:rsidR="00193A3D" w:rsidRDefault="00193A3D" w:rsidP="005F364D">
            <w:pPr>
              <w:pStyle w:val="TableCenter"/>
              <w:rPr>
                <w:lang w:eastAsia="en-GB"/>
              </w:rPr>
            </w:pPr>
            <w:r>
              <w:rPr>
                <w:lang w:eastAsia="en-GB"/>
              </w:rPr>
              <w:t>(14.2-19.6)</w:t>
            </w:r>
          </w:p>
        </w:tc>
        <w:tc>
          <w:tcPr>
            <w:tcW w:w="1701" w:type="dxa"/>
            <w:tcBorders>
              <w:top w:val="single" w:sz="4" w:space="0" w:color="auto"/>
              <w:left w:val="single" w:sz="4" w:space="0" w:color="auto"/>
              <w:bottom w:val="single" w:sz="4" w:space="0" w:color="auto"/>
              <w:right w:val="single" w:sz="4" w:space="0" w:color="auto"/>
            </w:tcBorders>
            <w:hideMark/>
          </w:tcPr>
          <w:p w14:paraId="6ABA08A8" w14:textId="77777777" w:rsidR="00193A3D" w:rsidRDefault="00193A3D" w:rsidP="005F364D">
            <w:pPr>
              <w:pStyle w:val="TableCenter"/>
              <w:rPr>
                <w:lang w:eastAsia="en-GB"/>
              </w:rPr>
            </w:pPr>
            <w:r>
              <w:rPr>
                <w:lang w:eastAsia="en-GB"/>
              </w:rPr>
              <w:t>13.8</w:t>
            </w:r>
          </w:p>
          <w:p w14:paraId="7DEAF802" w14:textId="77777777" w:rsidR="00193A3D" w:rsidRDefault="00193A3D" w:rsidP="005F364D">
            <w:pPr>
              <w:pStyle w:val="TableCenter"/>
              <w:rPr>
                <w:lang w:eastAsia="en-GB"/>
              </w:rPr>
            </w:pPr>
            <w:r>
              <w:rPr>
                <w:lang w:eastAsia="en-GB"/>
              </w:rPr>
              <w:t>(12.3-16.1)</w:t>
            </w:r>
          </w:p>
        </w:tc>
        <w:tc>
          <w:tcPr>
            <w:tcW w:w="1865" w:type="dxa"/>
            <w:tcBorders>
              <w:top w:val="single" w:sz="4" w:space="0" w:color="auto"/>
              <w:left w:val="single" w:sz="4" w:space="0" w:color="auto"/>
              <w:bottom w:val="single" w:sz="4" w:space="0" w:color="auto"/>
              <w:right w:val="single" w:sz="4" w:space="0" w:color="auto"/>
            </w:tcBorders>
            <w:hideMark/>
          </w:tcPr>
          <w:p w14:paraId="3A3962E8" w14:textId="77777777" w:rsidR="00193A3D" w:rsidRDefault="00193A3D" w:rsidP="005C792D">
            <w:pPr>
              <w:pStyle w:val="TableCenter"/>
              <w:rPr>
                <w:lang w:eastAsia="en-GB"/>
              </w:rPr>
            </w:pPr>
            <w:r>
              <w:rPr>
                <w:lang w:eastAsia="en-GB"/>
              </w:rPr>
              <w:t xml:space="preserve">16.6 </w:t>
            </w:r>
          </w:p>
          <w:p w14:paraId="469433A0" w14:textId="77777777" w:rsidR="00193A3D" w:rsidRDefault="00193A3D" w:rsidP="005C792D">
            <w:pPr>
              <w:pStyle w:val="TableCenter"/>
              <w:rPr>
                <w:lang w:eastAsia="en-GB"/>
              </w:rPr>
            </w:pPr>
            <w:r>
              <w:rPr>
                <w:lang w:eastAsia="en-GB"/>
              </w:rPr>
              <w:t>(14.1-19.1)</w:t>
            </w:r>
          </w:p>
        </w:tc>
      </w:tr>
      <w:tr w:rsidR="00193A3D" w14:paraId="19E4FF65" w14:textId="77777777" w:rsidTr="0048380C">
        <w:trPr>
          <w:trHeight w:val="402"/>
        </w:trPr>
        <w:tc>
          <w:tcPr>
            <w:tcW w:w="3539" w:type="dxa"/>
            <w:tcBorders>
              <w:top w:val="single" w:sz="4" w:space="0" w:color="auto"/>
              <w:left w:val="single" w:sz="4" w:space="0" w:color="auto"/>
              <w:bottom w:val="single" w:sz="4" w:space="0" w:color="auto"/>
              <w:right w:val="single" w:sz="4" w:space="0" w:color="auto"/>
            </w:tcBorders>
            <w:hideMark/>
          </w:tcPr>
          <w:p w14:paraId="4F43AEC6" w14:textId="77777777" w:rsidR="00193A3D" w:rsidRDefault="00193A3D" w:rsidP="005F364D">
            <w:pPr>
              <w:pStyle w:val="TableLeft"/>
              <w:ind w:left="720" w:hanging="358"/>
              <w:rPr>
                <w:b/>
                <w:lang w:eastAsia="en-GB"/>
              </w:rPr>
            </w:pPr>
            <w:r w:rsidRPr="005F364D">
              <w:rPr>
                <w:rFonts w:eastAsia="Times New Roman,Calibri"/>
              </w:rPr>
              <w:t>HR (95% CI)</w:t>
            </w:r>
          </w:p>
        </w:tc>
        <w:tc>
          <w:tcPr>
            <w:tcW w:w="3686" w:type="dxa"/>
            <w:gridSpan w:val="2"/>
            <w:tcBorders>
              <w:top w:val="single" w:sz="4" w:space="0" w:color="auto"/>
              <w:left w:val="single" w:sz="4" w:space="0" w:color="auto"/>
              <w:bottom w:val="single" w:sz="4" w:space="0" w:color="auto"/>
              <w:right w:val="single" w:sz="4" w:space="0" w:color="auto"/>
            </w:tcBorders>
            <w:hideMark/>
          </w:tcPr>
          <w:p w14:paraId="7294C009" w14:textId="77777777" w:rsidR="00193A3D" w:rsidRDefault="00193A3D" w:rsidP="005F364D">
            <w:pPr>
              <w:pStyle w:val="TableCenter"/>
              <w:rPr>
                <w:lang w:eastAsia="en-GB"/>
              </w:rPr>
            </w:pPr>
            <w:r>
              <w:rPr>
                <w:lang w:eastAsia="en-GB"/>
              </w:rPr>
              <w:t>0.78 (0.66, 0.92)</w:t>
            </w:r>
          </w:p>
        </w:tc>
        <w:tc>
          <w:tcPr>
            <w:tcW w:w="1865" w:type="dxa"/>
            <w:tcBorders>
              <w:top w:val="single" w:sz="4" w:space="0" w:color="auto"/>
              <w:left w:val="single" w:sz="4" w:space="0" w:color="auto"/>
              <w:bottom w:val="single" w:sz="4" w:space="0" w:color="auto"/>
              <w:right w:val="single" w:sz="4" w:space="0" w:color="auto"/>
            </w:tcBorders>
            <w:hideMark/>
          </w:tcPr>
          <w:p w14:paraId="4F981EDE" w14:textId="77777777" w:rsidR="00193A3D" w:rsidRDefault="00193A3D">
            <w:pPr>
              <w:spacing w:after="0"/>
              <w:jc w:val="center"/>
              <w:rPr>
                <w:lang w:eastAsia="en-GB"/>
              </w:rPr>
            </w:pPr>
            <w:r>
              <w:rPr>
                <w:lang w:eastAsia="en-GB"/>
              </w:rPr>
              <w:t>-</w:t>
            </w:r>
          </w:p>
        </w:tc>
      </w:tr>
      <w:tr w:rsidR="00193A3D" w14:paraId="2C821A1F" w14:textId="77777777" w:rsidTr="0048380C">
        <w:trPr>
          <w:trHeight w:val="402"/>
        </w:trPr>
        <w:tc>
          <w:tcPr>
            <w:tcW w:w="3539" w:type="dxa"/>
            <w:tcBorders>
              <w:top w:val="single" w:sz="4" w:space="0" w:color="auto"/>
              <w:left w:val="single" w:sz="4" w:space="0" w:color="auto"/>
              <w:bottom w:val="single" w:sz="4" w:space="0" w:color="auto"/>
              <w:right w:val="single" w:sz="4" w:space="0" w:color="auto"/>
            </w:tcBorders>
            <w:hideMark/>
          </w:tcPr>
          <w:p w14:paraId="012689E1" w14:textId="77777777" w:rsidR="00193A3D" w:rsidRDefault="00193A3D" w:rsidP="005F364D">
            <w:pPr>
              <w:pStyle w:val="TableLeft"/>
              <w:ind w:left="720" w:hanging="358"/>
              <w:rPr>
                <w:lang w:eastAsia="en-GB"/>
              </w:rPr>
            </w:pPr>
            <w:r w:rsidRPr="005F364D">
              <w:rPr>
                <w:rFonts w:eastAsia="Times New Roman,Calibri"/>
              </w:rPr>
              <w:t>p-</w:t>
            </w:r>
            <w:proofErr w:type="spellStart"/>
            <w:r w:rsidRPr="005F364D">
              <w:rPr>
                <w:rFonts w:eastAsia="Times New Roman,Calibri"/>
              </w:rPr>
              <w:t>value</w:t>
            </w:r>
            <w:r w:rsidRPr="005F364D">
              <w:rPr>
                <w:rFonts w:eastAsia="Times New Roman,Calibri"/>
                <w:vertAlign w:val="superscript"/>
              </w:rPr>
              <w:t>a</w:t>
            </w:r>
            <w:proofErr w:type="spellEnd"/>
          </w:p>
        </w:tc>
        <w:tc>
          <w:tcPr>
            <w:tcW w:w="3686" w:type="dxa"/>
            <w:gridSpan w:val="2"/>
            <w:tcBorders>
              <w:top w:val="single" w:sz="4" w:space="0" w:color="auto"/>
              <w:left w:val="single" w:sz="4" w:space="0" w:color="auto"/>
              <w:bottom w:val="single" w:sz="4" w:space="0" w:color="auto"/>
              <w:right w:val="single" w:sz="4" w:space="0" w:color="auto"/>
            </w:tcBorders>
            <w:hideMark/>
          </w:tcPr>
          <w:p w14:paraId="3E843B74" w14:textId="77777777" w:rsidR="00193A3D" w:rsidRDefault="00193A3D" w:rsidP="005F364D">
            <w:pPr>
              <w:pStyle w:val="TableCenter"/>
              <w:rPr>
                <w:lang w:eastAsia="en-GB"/>
              </w:rPr>
            </w:pPr>
            <w:r>
              <w:rPr>
                <w:lang w:eastAsia="en-GB"/>
              </w:rPr>
              <w:t>0.0035</w:t>
            </w:r>
          </w:p>
        </w:tc>
        <w:tc>
          <w:tcPr>
            <w:tcW w:w="1865" w:type="dxa"/>
            <w:tcBorders>
              <w:top w:val="single" w:sz="4" w:space="0" w:color="auto"/>
              <w:left w:val="single" w:sz="4" w:space="0" w:color="auto"/>
              <w:bottom w:val="single" w:sz="4" w:space="0" w:color="auto"/>
              <w:right w:val="single" w:sz="4" w:space="0" w:color="auto"/>
            </w:tcBorders>
            <w:hideMark/>
          </w:tcPr>
          <w:p w14:paraId="71E9AC40" w14:textId="77777777" w:rsidR="00193A3D" w:rsidRDefault="00193A3D">
            <w:pPr>
              <w:spacing w:after="0"/>
              <w:jc w:val="center"/>
              <w:rPr>
                <w:lang w:eastAsia="en-GB"/>
              </w:rPr>
            </w:pPr>
            <w:r>
              <w:rPr>
                <w:lang w:eastAsia="en-GB"/>
              </w:rPr>
              <w:t>-</w:t>
            </w:r>
          </w:p>
        </w:tc>
      </w:tr>
      <w:tr w:rsidR="00193A3D" w14:paraId="22C4BC52" w14:textId="77777777" w:rsidTr="0048380C">
        <w:trPr>
          <w:trHeight w:val="402"/>
        </w:trPr>
        <w:tc>
          <w:tcPr>
            <w:tcW w:w="3539" w:type="dxa"/>
            <w:tcBorders>
              <w:top w:val="single" w:sz="4" w:space="0" w:color="auto"/>
              <w:left w:val="single" w:sz="4" w:space="0" w:color="auto"/>
              <w:bottom w:val="single" w:sz="4" w:space="0" w:color="auto"/>
              <w:right w:val="single" w:sz="4" w:space="0" w:color="auto"/>
            </w:tcBorders>
            <w:hideMark/>
          </w:tcPr>
          <w:p w14:paraId="1630EF4E" w14:textId="77777777" w:rsidR="00193A3D" w:rsidRDefault="00193A3D" w:rsidP="005F364D">
            <w:pPr>
              <w:pStyle w:val="TableLeft"/>
              <w:ind w:left="720" w:hanging="358"/>
              <w:rPr>
                <w:lang w:eastAsia="en-GB"/>
              </w:rPr>
            </w:pPr>
            <w:r w:rsidRPr="005F364D">
              <w:rPr>
                <w:rFonts w:eastAsia="Times New Roman,Calibri"/>
              </w:rPr>
              <w:t>HR (95% CI)</w:t>
            </w:r>
          </w:p>
        </w:tc>
        <w:tc>
          <w:tcPr>
            <w:tcW w:w="1985" w:type="dxa"/>
            <w:tcBorders>
              <w:top w:val="single" w:sz="4" w:space="0" w:color="auto"/>
              <w:left w:val="single" w:sz="4" w:space="0" w:color="auto"/>
              <w:bottom w:val="single" w:sz="4" w:space="0" w:color="auto"/>
              <w:right w:val="single" w:sz="4" w:space="0" w:color="auto"/>
            </w:tcBorders>
            <w:hideMark/>
          </w:tcPr>
          <w:p w14:paraId="6E594738" w14:textId="77777777" w:rsidR="00193A3D" w:rsidRDefault="00193A3D" w:rsidP="005F364D">
            <w:pPr>
              <w:pStyle w:val="TableCenter"/>
              <w:rPr>
                <w:lang w:eastAsia="en-GB"/>
              </w:rPr>
            </w:pPr>
            <w:r>
              <w:rPr>
                <w:lang w:eastAsia="en-GB"/>
              </w:rPr>
              <w:t>-</w:t>
            </w:r>
          </w:p>
        </w:tc>
        <w:tc>
          <w:tcPr>
            <w:tcW w:w="3566" w:type="dxa"/>
            <w:gridSpan w:val="2"/>
            <w:tcBorders>
              <w:top w:val="single" w:sz="4" w:space="0" w:color="auto"/>
              <w:left w:val="single" w:sz="4" w:space="0" w:color="auto"/>
              <w:bottom w:val="single" w:sz="4" w:space="0" w:color="auto"/>
              <w:right w:val="single" w:sz="4" w:space="0" w:color="auto"/>
            </w:tcBorders>
            <w:hideMark/>
          </w:tcPr>
          <w:p w14:paraId="720E1EE9" w14:textId="77777777" w:rsidR="00193A3D" w:rsidRDefault="00193A3D" w:rsidP="005F364D">
            <w:pPr>
              <w:pStyle w:val="TableCenter"/>
              <w:rPr>
                <w:lang w:eastAsia="en-GB"/>
              </w:rPr>
            </w:pPr>
            <w:r>
              <w:rPr>
                <w:lang w:eastAsia="en-GB"/>
              </w:rPr>
              <w:t>0.86 (0.73, 1.02)</w:t>
            </w:r>
          </w:p>
        </w:tc>
      </w:tr>
      <w:tr w:rsidR="00193A3D" w14:paraId="7DCFEC07" w14:textId="77777777" w:rsidTr="0048380C">
        <w:trPr>
          <w:trHeight w:val="296"/>
        </w:trPr>
        <w:tc>
          <w:tcPr>
            <w:tcW w:w="3539" w:type="dxa"/>
            <w:tcBorders>
              <w:top w:val="single" w:sz="4" w:space="0" w:color="auto"/>
              <w:left w:val="single" w:sz="4" w:space="0" w:color="auto"/>
              <w:bottom w:val="single" w:sz="4" w:space="0" w:color="auto"/>
              <w:right w:val="single" w:sz="4" w:space="0" w:color="auto"/>
            </w:tcBorders>
            <w:hideMark/>
          </w:tcPr>
          <w:p w14:paraId="70794A03" w14:textId="77777777" w:rsidR="00193A3D" w:rsidRDefault="00193A3D" w:rsidP="005F364D">
            <w:pPr>
              <w:pStyle w:val="TableLeft"/>
              <w:ind w:left="720" w:hanging="358"/>
              <w:rPr>
                <w:lang w:eastAsia="en-GB"/>
              </w:rPr>
            </w:pPr>
            <w:r w:rsidRPr="005F364D">
              <w:rPr>
                <w:rFonts w:eastAsia="Times New Roman,Calibri"/>
              </w:rPr>
              <w:t>p-</w:t>
            </w:r>
            <w:proofErr w:type="spellStart"/>
            <w:r w:rsidRPr="005F364D">
              <w:rPr>
                <w:rFonts w:eastAsia="Times New Roman,Calibri"/>
              </w:rPr>
              <w:t>value</w:t>
            </w:r>
            <w:r w:rsidRPr="005F364D">
              <w:rPr>
                <w:rFonts w:eastAsia="Times New Roman,Calibri"/>
                <w:vertAlign w:val="superscript"/>
              </w:rPr>
              <w:t>b</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78194614" w14:textId="77777777" w:rsidR="00193A3D" w:rsidRDefault="00193A3D" w:rsidP="005F364D">
            <w:pPr>
              <w:pStyle w:val="TableCenter"/>
              <w:rPr>
                <w:lang w:eastAsia="en-GB"/>
              </w:rPr>
            </w:pPr>
            <w:r>
              <w:rPr>
                <w:lang w:eastAsia="en-GB"/>
              </w:rPr>
              <w:t>-</w:t>
            </w:r>
          </w:p>
        </w:tc>
        <w:tc>
          <w:tcPr>
            <w:tcW w:w="3566" w:type="dxa"/>
            <w:gridSpan w:val="2"/>
            <w:tcBorders>
              <w:top w:val="single" w:sz="4" w:space="0" w:color="auto"/>
              <w:left w:val="single" w:sz="4" w:space="0" w:color="auto"/>
              <w:bottom w:val="single" w:sz="4" w:space="0" w:color="auto"/>
              <w:right w:val="single" w:sz="4" w:space="0" w:color="auto"/>
            </w:tcBorders>
            <w:hideMark/>
          </w:tcPr>
          <w:p w14:paraId="7CA26A2B" w14:textId="77777777" w:rsidR="00193A3D" w:rsidRDefault="00193A3D" w:rsidP="005F364D">
            <w:pPr>
              <w:pStyle w:val="TableCenter"/>
              <w:rPr>
                <w:lang w:eastAsia="en-GB"/>
              </w:rPr>
            </w:pPr>
            <w:r>
              <w:rPr>
                <w:lang w:eastAsia="en-GB"/>
              </w:rPr>
              <w:t>0.0674</w:t>
            </w:r>
          </w:p>
        </w:tc>
      </w:tr>
      <w:tr w:rsidR="00193A3D" w14:paraId="292695E0" w14:textId="77777777" w:rsidTr="0048380C">
        <w:tc>
          <w:tcPr>
            <w:tcW w:w="3539" w:type="dxa"/>
            <w:tcBorders>
              <w:top w:val="single" w:sz="4" w:space="0" w:color="auto"/>
              <w:left w:val="single" w:sz="4" w:space="0" w:color="auto"/>
              <w:bottom w:val="single" w:sz="4" w:space="0" w:color="auto"/>
              <w:right w:val="single" w:sz="4" w:space="0" w:color="auto"/>
            </w:tcBorders>
            <w:hideMark/>
          </w:tcPr>
          <w:p w14:paraId="2C9EC4DA" w14:textId="77777777" w:rsidR="00193A3D" w:rsidRPr="005F364D" w:rsidRDefault="00193A3D" w:rsidP="005F364D">
            <w:pPr>
              <w:pStyle w:val="TableLeft"/>
              <w:ind w:left="720" w:hanging="358"/>
              <w:rPr>
                <w:rFonts w:eastAsia="Times New Roman,Calibri"/>
                <w:b/>
                <w:bCs w:val="0"/>
              </w:rPr>
            </w:pPr>
            <w:r w:rsidRPr="005F364D">
              <w:rPr>
                <w:rFonts w:eastAsia="Times New Roman,Calibri"/>
                <w:b/>
                <w:bCs w:val="0"/>
              </w:rPr>
              <w:t xml:space="preserve">OS at 12 months (%) </w:t>
            </w:r>
          </w:p>
          <w:p w14:paraId="61F29FDB" w14:textId="77777777" w:rsidR="00193A3D" w:rsidRDefault="00193A3D" w:rsidP="005F364D">
            <w:pPr>
              <w:pStyle w:val="TableLeft"/>
              <w:ind w:left="720" w:hanging="358"/>
              <w:rPr>
                <w:b/>
                <w:bCs w:val="0"/>
                <w:lang w:eastAsia="en-GB"/>
              </w:rPr>
            </w:pPr>
            <w:r w:rsidRPr="005F364D">
              <w:rPr>
                <w:rFonts w:eastAsia="Times New Roman,Calibri"/>
                <w:b/>
                <w:bCs w:val="0"/>
              </w:rPr>
              <w:t>(95% CI)</w:t>
            </w:r>
          </w:p>
        </w:tc>
        <w:tc>
          <w:tcPr>
            <w:tcW w:w="1985" w:type="dxa"/>
            <w:tcBorders>
              <w:top w:val="single" w:sz="4" w:space="0" w:color="auto"/>
              <w:left w:val="single" w:sz="4" w:space="0" w:color="auto"/>
              <w:bottom w:val="single" w:sz="4" w:space="0" w:color="auto"/>
              <w:right w:val="single" w:sz="4" w:space="0" w:color="auto"/>
            </w:tcBorders>
            <w:hideMark/>
          </w:tcPr>
          <w:p w14:paraId="33EB8B65" w14:textId="77777777" w:rsidR="00193A3D" w:rsidRDefault="00193A3D" w:rsidP="005F364D">
            <w:pPr>
              <w:pStyle w:val="TableCenter"/>
              <w:rPr>
                <w:lang w:eastAsia="en-GB"/>
              </w:rPr>
            </w:pPr>
            <w:r>
              <w:rPr>
                <w:lang w:eastAsia="en-GB"/>
              </w:rPr>
              <w:t>60.2</w:t>
            </w:r>
          </w:p>
          <w:p w14:paraId="6E4F7EAD" w14:textId="77777777" w:rsidR="00193A3D" w:rsidRDefault="00193A3D" w:rsidP="005F364D">
            <w:pPr>
              <w:pStyle w:val="TableCenter"/>
              <w:rPr>
                <w:lang w:eastAsia="en-GB"/>
              </w:rPr>
            </w:pPr>
            <w:r>
              <w:rPr>
                <w:lang w:eastAsia="en-GB"/>
              </w:rPr>
              <w:t>(55.2 - 64.9)</w:t>
            </w:r>
          </w:p>
        </w:tc>
        <w:tc>
          <w:tcPr>
            <w:tcW w:w="1701" w:type="dxa"/>
            <w:tcBorders>
              <w:top w:val="single" w:sz="4" w:space="0" w:color="auto"/>
              <w:left w:val="single" w:sz="4" w:space="0" w:color="auto"/>
              <w:bottom w:val="single" w:sz="4" w:space="0" w:color="auto"/>
              <w:right w:val="single" w:sz="4" w:space="0" w:color="auto"/>
            </w:tcBorders>
            <w:hideMark/>
          </w:tcPr>
          <w:p w14:paraId="7ABB9CA5" w14:textId="77777777" w:rsidR="00193A3D" w:rsidRDefault="00193A3D" w:rsidP="005F364D">
            <w:pPr>
              <w:pStyle w:val="TableCenter"/>
              <w:rPr>
                <w:lang w:eastAsia="en-GB"/>
              </w:rPr>
            </w:pPr>
            <w:r>
              <w:rPr>
                <w:lang w:eastAsia="en-GB"/>
              </w:rPr>
              <w:t>56.2</w:t>
            </w:r>
          </w:p>
          <w:p w14:paraId="0A755211" w14:textId="77777777" w:rsidR="00193A3D" w:rsidRDefault="00193A3D" w:rsidP="005F364D">
            <w:pPr>
              <w:pStyle w:val="TableCenter"/>
              <w:rPr>
                <w:lang w:eastAsia="en-GB"/>
              </w:rPr>
            </w:pPr>
            <w:r>
              <w:rPr>
                <w:lang w:eastAsia="en-GB"/>
              </w:rPr>
              <w:t>(51.0 - 61.0)</w:t>
            </w:r>
          </w:p>
        </w:tc>
        <w:tc>
          <w:tcPr>
            <w:tcW w:w="1865" w:type="dxa"/>
            <w:tcBorders>
              <w:top w:val="single" w:sz="4" w:space="0" w:color="auto"/>
              <w:left w:val="single" w:sz="4" w:space="0" w:color="auto"/>
              <w:bottom w:val="single" w:sz="4" w:space="0" w:color="auto"/>
              <w:right w:val="single" w:sz="4" w:space="0" w:color="auto"/>
            </w:tcBorders>
            <w:hideMark/>
          </w:tcPr>
          <w:p w14:paraId="51DA0DD9" w14:textId="77777777" w:rsidR="00193A3D" w:rsidRDefault="00193A3D" w:rsidP="005F364D">
            <w:pPr>
              <w:pStyle w:val="TableCenter"/>
              <w:rPr>
                <w:lang w:eastAsia="en-GB"/>
              </w:rPr>
            </w:pPr>
            <w:r>
              <w:rPr>
                <w:lang w:eastAsia="en-GB"/>
              </w:rPr>
              <w:t xml:space="preserve">59.3 </w:t>
            </w:r>
          </w:p>
          <w:p w14:paraId="35521619" w14:textId="77777777" w:rsidR="00193A3D" w:rsidRDefault="00193A3D" w:rsidP="005F364D">
            <w:pPr>
              <w:pStyle w:val="TableCenter"/>
              <w:rPr>
                <w:lang w:eastAsia="en-GB"/>
              </w:rPr>
            </w:pPr>
            <w:r>
              <w:rPr>
                <w:lang w:eastAsia="en-GB"/>
              </w:rPr>
              <w:t>(54.2-64.0)</w:t>
            </w:r>
          </w:p>
        </w:tc>
      </w:tr>
      <w:tr w:rsidR="00193A3D" w14:paraId="72B0F740" w14:textId="77777777" w:rsidTr="0048380C">
        <w:tc>
          <w:tcPr>
            <w:tcW w:w="3539" w:type="dxa"/>
            <w:tcBorders>
              <w:top w:val="single" w:sz="4" w:space="0" w:color="auto"/>
              <w:left w:val="single" w:sz="4" w:space="0" w:color="auto"/>
              <w:bottom w:val="single" w:sz="4" w:space="0" w:color="auto"/>
              <w:right w:val="single" w:sz="4" w:space="0" w:color="auto"/>
            </w:tcBorders>
            <w:hideMark/>
          </w:tcPr>
          <w:p w14:paraId="48506F37" w14:textId="77777777" w:rsidR="00193A3D" w:rsidRPr="005F364D" w:rsidRDefault="00193A3D" w:rsidP="005F364D">
            <w:pPr>
              <w:pStyle w:val="TableLeft"/>
              <w:ind w:left="720" w:hanging="358"/>
              <w:rPr>
                <w:rFonts w:eastAsia="Times New Roman,Calibri"/>
                <w:b/>
                <w:bCs w:val="0"/>
              </w:rPr>
            </w:pPr>
            <w:r w:rsidRPr="005F364D">
              <w:rPr>
                <w:rFonts w:eastAsia="Times New Roman,Calibri"/>
                <w:b/>
                <w:bCs w:val="0"/>
              </w:rPr>
              <w:t xml:space="preserve">OS at 18 months (%) </w:t>
            </w:r>
          </w:p>
          <w:p w14:paraId="50C77DB3" w14:textId="77777777" w:rsidR="00193A3D" w:rsidRDefault="00193A3D" w:rsidP="005F364D">
            <w:pPr>
              <w:pStyle w:val="TableLeft"/>
              <w:ind w:left="720" w:hanging="358"/>
              <w:rPr>
                <w:b/>
                <w:bCs w:val="0"/>
                <w:lang w:eastAsia="en-GB"/>
              </w:rPr>
            </w:pPr>
            <w:r w:rsidRPr="005F364D">
              <w:rPr>
                <w:rFonts w:eastAsia="Times New Roman,Calibri"/>
                <w:b/>
                <w:bCs w:val="0"/>
              </w:rPr>
              <w:t>(95% CI)</w:t>
            </w:r>
          </w:p>
        </w:tc>
        <w:tc>
          <w:tcPr>
            <w:tcW w:w="1985" w:type="dxa"/>
            <w:tcBorders>
              <w:top w:val="single" w:sz="4" w:space="0" w:color="auto"/>
              <w:left w:val="single" w:sz="4" w:space="0" w:color="auto"/>
              <w:bottom w:val="single" w:sz="4" w:space="0" w:color="auto"/>
              <w:right w:val="single" w:sz="4" w:space="0" w:color="auto"/>
            </w:tcBorders>
            <w:hideMark/>
          </w:tcPr>
          <w:p w14:paraId="102E2B60" w14:textId="77777777" w:rsidR="00193A3D" w:rsidRDefault="00193A3D" w:rsidP="005F364D">
            <w:pPr>
              <w:pStyle w:val="TableCenter"/>
              <w:rPr>
                <w:lang w:eastAsia="en-GB"/>
              </w:rPr>
            </w:pPr>
            <w:r>
              <w:rPr>
                <w:lang w:eastAsia="en-GB"/>
              </w:rPr>
              <w:t xml:space="preserve">48.7 </w:t>
            </w:r>
          </w:p>
          <w:p w14:paraId="5642B234" w14:textId="77777777" w:rsidR="00193A3D" w:rsidRDefault="00193A3D" w:rsidP="005F364D">
            <w:pPr>
              <w:pStyle w:val="TableCenter"/>
              <w:rPr>
                <w:lang w:eastAsia="en-GB"/>
              </w:rPr>
            </w:pPr>
            <w:r>
              <w:rPr>
                <w:lang w:eastAsia="en-GB"/>
              </w:rPr>
              <w:t>(43.6-53.5)</w:t>
            </w:r>
          </w:p>
        </w:tc>
        <w:tc>
          <w:tcPr>
            <w:tcW w:w="1701" w:type="dxa"/>
            <w:tcBorders>
              <w:top w:val="single" w:sz="4" w:space="0" w:color="auto"/>
              <w:left w:val="single" w:sz="4" w:space="0" w:color="auto"/>
              <w:bottom w:val="single" w:sz="4" w:space="0" w:color="auto"/>
              <w:right w:val="single" w:sz="4" w:space="0" w:color="auto"/>
            </w:tcBorders>
            <w:hideMark/>
          </w:tcPr>
          <w:p w14:paraId="57BB54CC" w14:textId="77777777" w:rsidR="00193A3D" w:rsidRDefault="00193A3D" w:rsidP="005F364D">
            <w:pPr>
              <w:pStyle w:val="TableCenter"/>
              <w:rPr>
                <w:lang w:eastAsia="en-GB"/>
              </w:rPr>
            </w:pPr>
            <w:r>
              <w:rPr>
                <w:lang w:eastAsia="en-GB"/>
              </w:rPr>
              <w:t xml:space="preserve">41.5 </w:t>
            </w:r>
          </w:p>
          <w:p w14:paraId="48B10321" w14:textId="77777777" w:rsidR="00193A3D" w:rsidRDefault="00193A3D" w:rsidP="005F364D">
            <w:pPr>
              <w:pStyle w:val="TableCenter"/>
              <w:rPr>
                <w:lang w:eastAsia="en-GB"/>
              </w:rPr>
            </w:pPr>
            <w:r>
              <w:rPr>
                <w:lang w:eastAsia="en-GB"/>
              </w:rPr>
              <w:t>(36.5-46.4)</w:t>
            </w:r>
          </w:p>
        </w:tc>
        <w:tc>
          <w:tcPr>
            <w:tcW w:w="1865" w:type="dxa"/>
            <w:tcBorders>
              <w:top w:val="single" w:sz="4" w:space="0" w:color="auto"/>
              <w:left w:val="single" w:sz="4" w:space="0" w:color="auto"/>
              <w:bottom w:val="single" w:sz="4" w:space="0" w:color="auto"/>
              <w:right w:val="single" w:sz="4" w:space="0" w:color="auto"/>
            </w:tcBorders>
            <w:hideMark/>
          </w:tcPr>
          <w:p w14:paraId="49D1EDD7" w14:textId="77777777" w:rsidR="00193A3D" w:rsidRDefault="00193A3D" w:rsidP="005F364D">
            <w:pPr>
              <w:pStyle w:val="TableCenter"/>
              <w:rPr>
                <w:lang w:eastAsia="en-GB"/>
              </w:rPr>
            </w:pPr>
            <w:r>
              <w:rPr>
                <w:lang w:eastAsia="en-GB"/>
              </w:rPr>
              <w:t xml:space="preserve">47.4 </w:t>
            </w:r>
          </w:p>
          <w:p w14:paraId="159E3DAE" w14:textId="77777777" w:rsidR="00193A3D" w:rsidRDefault="00193A3D" w:rsidP="005F364D">
            <w:pPr>
              <w:pStyle w:val="TableCenter"/>
              <w:rPr>
                <w:lang w:eastAsia="en-GB"/>
              </w:rPr>
            </w:pPr>
            <w:r>
              <w:rPr>
                <w:lang w:eastAsia="en-GB"/>
              </w:rPr>
              <w:t>(42.4-52.3)</w:t>
            </w:r>
          </w:p>
        </w:tc>
      </w:tr>
      <w:tr w:rsidR="00193A3D" w14:paraId="6E30F64B" w14:textId="77777777" w:rsidTr="0048380C">
        <w:tc>
          <w:tcPr>
            <w:tcW w:w="3539" w:type="dxa"/>
            <w:tcBorders>
              <w:top w:val="single" w:sz="4" w:space="0" w:color="auto"/>
              <w:left w:val="single" w:sz="4" w:space="0" w:color="auto"/>
              <w:bottom w:val="single" w:sz="4" w:space="0" w:color="auto"/>
              <w:right w:val="single" w:sz="4" w:space="0" w:color="auto"/>
            </w:tcBorders>
            <w:hideMark/>
          </w:tcPr>
          <w:p w14:paraId="0A0A578D" w14:textId="77777777" w:rsidR="00193A3D" w:rsidRPr="005F364D" w:rsidRDefault="00193A3D" w:rsidP="005F364D">
            <w:pPr>
              <w:pStyle w:val="TableLeft"/>
              <w:ind w:left="720" w:hanging="358"/>
              <w:rPr>
                <w:rFonts w:eastAsia="Times New Roman,Calibri"/>
                <w:b/>
                <w:bCs w:val="0"/>
              </w:rPr>
            </w:pPr>
            <w:r w:rsidRPr="005F364D">
              <w:rPr>
                <w:rFonts w:eastAsia="Times New Roman,Calibri"/>
                <w:b/>
                <w:bCs w:val="0"/>
              </w:rPr>
              <w:t xml:space="preserve">OS at 24 months (%) </w:t>
            </w:r>
          </w:p>
          <w:p w14:paraId="49CD7518" w14:textId="77777777" w:rsidR="00193A3D" w:rsidRDefault="00193A3D" w:rsidP="005F364D">
            <w:pPr>
              <w:pStyle w:val="TableLeft"/>
              <w:ind w:left="720" w:hanging="358"/>
              <w:rPr>
                <w:b/>
                <w:bCs w:val="0"/>
                <w:lang w:eastAsia="en-GB"/>
              </w:rPr>
            </w:pPr>
            <w:r w:rsidRPr="005F364D">
              <w:rPr>
                <w:rFonts w:eastAsia="Times New Roman,Calibri"/>
                <w:b/>
                <w:bCs w:val="0"/>
              </w:rPr>
              <w:t>(95% CI)</w:t>
            </w:r>
          </w:p>
        </w:tc>
        <w:tc>
          <w:tcPr>
            <w:tcW w:w="1985" w:type="dxa"/>
            <w:tcBorders>
              <w:top w:val="single" w:sz="4" w:space="0" w:color="auto"/>
              <w:left w:val="single" w:sz="4" w:space="0" w:color="auto"/>
              <w:bottom w:val="single" w:sz="4" w:space="0" w:color="auto"/>
              <w:right w:val="single" w:sz="4" w:space="0" w:color="auto"/>
            </w:tcBorders>
            <w:hideMark/>
          </w:tcPr>
          <w:p w14:paraId="6A11EE63" w14:textId="77777777" w:rsidR="00193A3D" w:rsidRDefault="00193A3D" w:rsidP="005F364D">
            <w:pPr>
              <w:pStyle w:val="TableCenter"/>
              <w:rPr>
                <w:lang w:eastAsia="en-GB"/>
              </w:rPr>
            </w:pPr>
            <w:r>
              <w:rPr>
                <w:lang w:eastAsia="en-GB"/>
              </w:rPr>
              <w:t xml:space="preserve">40.5 </w:t>
            </w:r>
          </w:p>
          <w:p w14:paraId="4CF32F8B" w14:textId="77777777" w:rsidR="00193A3D" w:rsidRDefault="00193A3D" w:rsidP="005F364D">
            <w:pPr>
              <w:pStyle w:val="TableCenter"/>
              <w:rPr>
                <w:lang w:eastAsia="en-GB"/>
              </w:rPr>
            </w:pPr>
            <w:r>
              <w:rPr>
                <w:lang w:eastAsia="en-GB"/>
              </w:rPr>
              <w:t>(35.6-45.3)</w:t>
            </w:r>
          </w:p>
        </w:tc>
        <w:tc>
          <w:tcPr>
            <w:tcW w:w="1701" w:type="dxa"/>
            <w:tcBorders>
              <w:top w:val="single" w:sz="4" w:space="0" w:color="auto"/>
              <w:left w:val="single" w:sz="4" w:space="0" w:color="auto"/>
              <w:bottom w:val="single" w:sz="4" w:space="0" w:color="auto"/>
              <w:right w:val="single" w:sz="4" w:space="0" w:color="auto"/>
            </w:tcBorders>
            <w:hideMark/>
          </w:tcPr>
          <w:p w14:paraId="2873D0B2" w14:textId="77777777" w:rsidR="00193A3D" w:rsidRDefault="00193A3D" w:rsidP="005F364D">
            <w:pPr>
              <w:pStyle w:val="TableCenter"/>
              <w:rPr>
                <w:lang w:eastAsia="en-GB"/>
              </w:rPr>
            </w:pPr>
            <w:r>
              <w:rPr>
                <w:lang w:eastAsia="en-GB"/>
              </w:rPr>
              <w:t xml:space="preserve">32.6 </w:t>
            </w:r>
          </w:p>
          <w:p w14:paraId="7E1A1766" w14:textId="77777777" w:rsidR="00193A3D" w:rsidRDefault="00193A3D" w:rsidP="005F364D">
            <w:pPr>
              <w:pStyle w:val="TableCenter"/>
              <w:rPr>
                <w:lang w:eastAsia="en-GB"/>
              </w:rPr>
            </w:pPr>
            <w:r>
              <w:rPr>
                <w:lang w:eastAsia="en-GB"/>
              </w:rPr>
              <w:t>(27.9-37.4)</w:t>
            </w:r>
          </w:p>
        </w:tc>
        <w:tc>
          <w:tcPr>
            <w:tcW w:w="1865" w:type="dxa"/>
            <w:tcBorders>
              <w:top w:val="single" w:sz="4" w:space="0" w:color="auto"/>
              <w:left w:val="single" w:sz="4" w:space="0" w:color="auto"/>
              <w:bottom w:val="single" w:sz="4" w:space="0" w:color="auto"/>
              <w:right w:val="single" w:sz="4" w:space="0" w:color="auto"/>
            </w:tcBorders>
            <w:hideMark/>
          </w:tcPr>
          <w:p w14:paraId="4A00A2FC" w14:textId="77777777" w:rsidR="00193A3D" w:rsidRDefault="00193A3D" w:rsidP="005F364D">
            <w:pPr>
              <w:pStyle w:val="TableCenter"/>
              <w:rPr>
                <w:lang w:eastAsia="en-GB"/>
              </w:rPr>
            </w:pPr>
            <w:r>
              <w:rPr>
                <w:lang w:eastAsia="en-GB"/>
              </w:rPr>
              <w:t xml:space="preserve">39.6 </w:t>
            </w:r>
          </w:p>
          <w:p w14:paraId="15796C00" w14:textId="77777777" w:rsidR="00193A3D" w:rsidRDefault="00193A3D" w:rsidP="005F364D">
            <w:pPr>
              <w:pStyle w:val="TableCenter"/>
              <w:rPr>
                <w:lang w:eastAsia="en-GB"/>
              </w:rPr>
            </w:pPr>
            <w:r>
              <w:rPr>
                <w:lang w:eastAsia="en-GB"/>
              </w:rPr>
              <w:t>(34.8-44.5)</w:t>
            </w:r>
          </w:p>
        </w:tc>
      </w:tr>
      <w:tr w:rsidR="00193A3D" w14:paraId="2AC3E6CD" w14:textId="77777777" w:rsidTr="0048380C">
        <w:tc>
          <w:tcPr>
            <w:tcW w:w="3539" w:type="dxa"/>
            <w:tcBorders>
              <w:top w:val="single" w:sz="4" w:space="0" w:color="auto"/>
              <w:left w:val="single" w:sz="4" w:space="0" w:color="auto"/>
              <w:bottom w:val="single" w:sz="4" w:space="0" w:color="auto"/>
              <w:right w:val="single" w:sz="4" w:space="0" w:color="auto"/>
            </w:tcBorders>
            <w:hideMark/>
          </w:tcPr>
          <w:p w14:paraId="67658139" w14:textId="77777777" w:rsidR="00193A3D" w:rsidRPr="005F364D" w:rsidRDefault="00193A3D" w:rsidP="005F364D">
            <w:pPr>
              <w:pStyle w:val="TableLeft"/>
              <w:ind w:left="720" w:hanging="358"/>
              <w:rPr>
                <w:rFonts w:eastAsia="Times New Roman,Calibri"/>
                <w:b/>
                <w:bCs w:val="0"/>
              </w:rPr>
            </w:pPr>
            <w:r w:rsidRPr="005F364D">
              <w:rPr>
                <w:rFonts w:eastAsia="Times New Roman,Calibri"/>
                <w:b/>
                <w:bCs w:val="0"/>
              </w:rPr>
              <w:t xml:space="preserve">OS at 36 months (%) </w:t>
            </w:r>
          </w:p>
          <w:p w14:paraId="3C1B49CA" w14:textId="77777777" w:rsidR="00193A3D" w:rsidRDefault="00193A3D" w:rsidP="005F364D">
            <w:pPr>
              <w:pStyle w:val="TableLeft"/>
              <w:ind w:left="720" w:hanging="358"/>
              <w:rPr>
                <w:lang w:eastAsia="en-GB"/>
              </w:rPr>
            </w:pPr>
            <w:r w:rsidRPr="005F364D">
              <w:rPr>
                <w:rFonts w:eastAsia="Times New Roman,Calibri"/>
                <w:b/>
                <w:bCs w:val="0"/>
              </w:rPr>
              <w:lastRenderedPageBreak/>
              <w:t>(95% CI)</w:t>
            </w:r>
          </w:p>
        </w:tc>
        <w:tc>
          <w:tcPr>
            <w:tcW w:w="1985" w:type="dxa"/>
            <w:tcBorders>
              <w:top w:val="single" w:sz="4" w:space="0" w:color="auto"/>
              <w:left w:val="single" w:sz="4" w:space="0" w:color="auto"/>
              <w:bottom w:val="single" w:sz="4" w:space="0" w:color="auto"/>
              <w:right w:val="single" w:sz="4" w:space="0" w:color="auto"/>
            </w:tcBorders>
            <w:hideMark/>
          </w:tcPr>
          <w:p w14:paraId="7DEA9B4D" w14:textId="77777777" w:rsidR="00193A3D" w:rsidRDefault="00193A3D" w:rsidP="005F364D">
            <w:pPr>
              <w:pStyle w:val="TableCenter"/>
              <w:rPr>
                <w:lang w:eastAsia="en-GB"/>
              </w:rPr>
            </w:pPr>
            <w:r>
              <w:rPr>
                <w:lang w:eastAsia="en-GB"/>
              </w:rPr>
              <w:lastRenderedPageBreak/>
              <w:t xml:space="preserve">30.7 </w:t>
            </w:r>
          </w:p>
          <w:p w14:paraId="2C54DFC5" w14:textId="77777777" w:rsidR="00193A3D" w:rsidRDefault="00193A3D" w:rsidP="005F364D">
            <w:pPr>
              <w:pStyle w:val="TableCenter"/>
              <w:rPr>
                <w:lang w:eastAsia="en-GB"/>
              </w:rPr>
            </w:pPr>
            <w:r>
              <w:rPr>
                <w:lang w:eastAsia="en-GB"/>
              </w:rPr>
              <w:lastRenderedPageBreak/>
              <w:t>(25.8-35.7)</w:t>
            </w:r>
          </w:p>
        </w:tc>
        <w:tc>
          <w:tcPr>
            <w:tcW w:w="1701" w:type="dxa"/>
            <w:tcBorders>
              <w:top w:val="single" w:sz="4" w:space="0" w:color="auto"/>
              <w:left w:val="single" w:sz="4" w:space="0" w:color="auto"/>
              <w:bottom w:val="single" w:sz="4" w:space="0" w:color="auto"/>
              <w:right w:val="single" w:sz="4" w:space="0" w:color="auto"/>
            </w:tcBorders>
            <w:hideMark/>
          </w:tcPr>
          <w:p w14:paraId="4F1959B7" w14:textId="77777777" w:rsidR="00193A3D" w:rsidRDefault="00193A3D" w:rsidP="005F364D">
            <w:pPr>
              <w:pStyle w:val="TableCenter"/>
              <w:rPr>
                <w:lang w:eastAsia="en-GB"/>
              </w:rPr>
            </w:pPr>
            <w:r>
              <w:rPr>
                <w:lang w:eastAsia="en-GB"/>
              </w:rPr>
              <w:lastRenderedPageBreak/>
              <w:t xml:space="preserve">20.2 </w:t>
            </w:r>
          </w:p>
          <w:p w14:paraId="1A939075" w14:textId="77777777" w:rsidR="00193A3D" w:rsidRDefault="00193A3D" w:rsidP="005F364D">
            <w:pPr>
              <w:pStyle w:val="TableCenter"/>
              <w:rPr>
                <w:lang w:eastAsia="en-GB"/>
              </w:rPr>
            </w:pPr>
            <w:r>
              <w:rPr>
                <w:lang w:eastAsia="en-GB"/>
              </w:rPr>
              <w:lastRenderedPageBreak/>
              <w:t>(15.8-25.1)</w:t>
            </w:r>
          </w:p>
        </w:tc>
        <w:tc>
          <w:tcPr>
            <w:tcW w:w="1865" w:type="dxa"/>
            <w:tcBorders>
              <w:top w:val="single" w:sz="4" w:space="0" w:color="auto"/>
              <w:left w:val="single" w:sz="4" w:space="0" w:color="auto"/>
              <w:bottom w:val="single" w:sz="4" w:space="0" w:color="auto"/>
              <w:right w:val="single" w:sz="4" w:space="0" w:color="auto"/>
            </w:tcBorders>
            <w:hideMark/>
          </w:tcPr>
          <w:p w14:paraId="2A199D37" w14:textId="77777777" w:rsidR="00193A3D" w:rsidRDefault="00193A3D" w:rsidP="005F364D">
            <w:pPr>
              <w:pStyle w:val="TableCenter"/>
              <w:rPr>
                <w:lang w:eastAsia="en-GB"/>
              </w:rPr>
            </w:pPr>
            <w:r>
              <w:rPr>
                <w:lang w:eastAsia="en-GB"/>
              </w:rPr>
              <w:lastRenderedPageBreak/>
              <w:t xml:space="preserve">24.7 </w:t>
            </w:r>
          </w:p>
          <w:p w14:paraId="33B1101D" w14:textId="77777777" w:rsidR="00193A3D" w:rsidRDefault="00193A3D" w:rsidP="005F364D">
            <w:pPr>
              <w:pStyle w:val="TableCenter"/>
              <w:rPr>
                <w:lang w:eastAsia="en-GB"/>
              </w:rPr>
            </w:pPr>
            <w:r>
              <w:rPr>
                <w:lang w:eastAsia="en-GB"/>
              </w:rPr>
              <w:lastRenderedPageBreak/>
              <w:t>(20.0-29.8)</w:t>
            </w:r>
          </w:p>
        </w:tc>
      </w:tr>
      <w:tr w:rsidR="00193A3D" w14:paraId="5C194748" w14:textId="77777777" w:rsidTr="0048380C">
        <w:tc>
          <w:tcPr>
            <w:tcW w:w="3539" w:type="dxa"/>
            <w:tcBorders>
              <w:top w:val="single" w:sz="4" w:space="0" w:color="auto"/>
              <w:left w:val="single" w:sz="4" w:space="0" w:color="auto"/>
              <w:bottom w:val="single" w:sz="4" w:space="0" w:color="auto"/>
              <w:right w:val="single" w:sz="4" w:space="0" w:color="auto"/>
            </w:tcBorders>
            <w:hideMark/>
          </w:tcPr>
          <w:p w14:paraId="387A1E24" w14:textId="77777777" w:rsidR="00193A3D" w:rsidRPr="005F364D" w:rsidRDefault="00193A3D" w:rsidP="005F364D">
            <w:pPr>
              <w:pStyle w:val="TableLeft"/>
              <w:ind w:left="720" w:hanging="358"/>
              <w:rPr>
                <w:lang w:eastAsia="en-GB"/>
              </w:rPr>
            </w:pPr>
            <w:r w:rsidRPr="005F364D">
              <w:rPr>
                <w:rFonts w:eastAsia="Times New Roman,Calibri"/>
              </w:rPr>
              <w:lastRenderedPageBreak/>
              <w:t>p-value</w:t>
            </w:r>
          </w:p>
        </w:tc>
        <w:tc>
          <w:tcPr>
            <w:tcW w:w="3686" w:type="dxa"/>
            <w:gridSpan w:val="2"/>
            <w:tcBorders>
              <w:top w:val="single" w:sz="4" w:space="0" w:color="auto"/>
              <w:left w:val="single" w:sz="4" w:space="0" w:color="auto"/>
              <w:bottom w:val="single" w:sz="4" w:space="0" w:color="auto"/>
              <w:right w:val="single" w:sz="4" w:space="0" w:color="auto"/>
            </w:tcBorders>
            <w:hideMark/>
          </w:tcPr>
          <w:p w14:paraId="3FE3127C" w14:textId="77777777" w:rsidR="00193A3D" w:rsidRDefault="00193A3D" w:rsidP="005F364D">
            <w:pPr>
              <w:pStyle w:val="TableCenter"/>
              <w:rPr>
                <w:lang w:eastAsia="en-GB"/>
              </w:rPr>
            </w:pPr>
            <w:r>
              <w:rPr>
                <w:lang w:eastAsia="en-GB"/>
              </w:rPr>
              <w:t>0.0029</w:t>
            </w:r>
          </w:p>
        </w:tc>
        <w:tc>
          <w:tcPr>
            <w:tcW w:w="1865" w:type="dxa"/>
            <w:tcBorders>
              <w:top w:val="single" w:sz="4" w:space="0" w:color="auto"/>
              <w:left w:val="single" w:sz="4" w:space="0" w:color="auto"/>
              <w:bottom w:val="single" w:sz="4" w:space="0" w:color="auto"/>
              <w:right w:val="single" w:sz="4" w:space="0" w:color="auto"/>
            </w:tcBorders>
            <w:hideMark/>
          </w:tcPr>
          <w:p w14:paraId="0548FCDC" w14:textId="77777777" w:rsidR="00193A3D" w:rsidRDefault="00193A3D" w:rsidP="005F364D">
            <w:pPr>
              <w:pStyle w:val="TableCenter"/>
              <w:rPr>
                <w:lang w:eastAsia="en-GB"/>
              </w:rPr>
            </w:pPr>
            <w:r>
              <w:rPr>
                <w:lang w:val="en-US"/>
              </w:rPr>
              <w:t>0.1926</w:t>
            </w:r>
          </w:p>
        </w:tc>
      </w:tr>
      <w:tr w:rsidR="00193A3D" w14:paraId="27668E9B" w14:textId="77777777" w:rsidTr="0048380C">
        <w:tc>
          <w:tcPr>
            <w:tcW w:w="3539" w:type="dxa"/>
            <w:tcBorders>
              <w:top w:val="single" w:sz="4" w:space="0" w:color="auto"/>
              <w:left w:val="single" w:sz="4" w:space="0" w:color="auto"/>
              <w:bottom w:val="single" w:sz="4" w:space="0" w:color="auto"/>
              <w:right w:val="single" w:sz="4" w:space="0" w:color="auto"/>
            </w:tcBorders>
            <w:hideMark/>
          </w:tcPr>
          <w:p w14:paraId="50D07A4F" w14:textId="77777777" w:rsidR="00193A3D" w:rsidRDefault="00193A3D" w:rsidP="005F364D">
            <w:pPr>
              <w:pStyle w:val="TableLeft"/>
              <w:rPr>
                <w:b/>
                <w:lang w:eastAsia="en-GB"/>
              </w:rPr>
            </w:pPr>
            <w:r>
              <w:t>Number of patients treated beyond progression</w:t>
            </w:r>
          </w:p>
        </w:tc>
        <w:tc>
          <w:tcPr>
            <w:tcW w:w="1985" w:type="dxa"/>
            <w:tcBorders>
              <w:top w:val="single" w:sz="4" w:space="0" w:color="auto"/>
              <w:left w:val="single" w:sz="4" w:space="0" w:color="auto"/>
              <w:bottom w:val="single" w:sz="4" w:space="0" w:color="auto"/>
              <w:right w:val="single" w:sz="4" w:space="0" w:color="auto"/>
            </w:tcBorders>
            <w:hideMark/>
          </w:tcPr>
          <w:p w14:paraId="68F10AC7" w14:textId="77777777" w:rsidR="00193A3D" w:rsidRDefault="00193A3D" w:rsidP="005F364D">
            <w:pPr>
              <w:pStyle w:val="TableCenter"/>
              <w:rPr>
                <w:bCs/>
                <w:lang w:eastAsia="en-GB"/>
              </w:rPr>
            </w:pPr>
            <w:r>
              <w:rPr>
                <w:bCs/>
                <w:lang w:eastAsia="en-GB"/>
              </w:rPr>
              <w:t>182</w:t>
            </w:r>
          </w:p>
        </w:tc>
        <w:tc>
          <w:tcPr>
            <w:tcW w:w="1701" w:type="dxa"/>
            <w:tcBorders>
              <w:top w:val="single" w:sz="4" w:space="0" w:color="auto"/>
              <w:left w:val="single" w:sz="4" w:space="0" w:color="auto"/>
              <w:bottom w:val="single" w:sz="4" w:space="0" w:color="auto"/>
              <w:right w:val="single" w:sz="4" w:space="0" w:color="auto"/>
            </w:tcBorders>
            <w:hideMark/>
          </w:tcPr>
          <w:p w14:paraId="02376B95" w14:textId="77777777" w:rsidR="00193A3D" w:rsidRDefault="00193A3D" w:rsidP="005F364D">
            <w:pPr>
              <w:pStyle w:val="TableCenter"/>
              <w:rPr>
                <w:bCs/>
                <w:lang w:eastAsia="en-GB"/>
              </w:rPr>
            </w:pPr>
            <w:r>
              <w:rPr>
                <w:bCs/>
                <w:lang w:eastAsia="en-GB"/>
              </w:rPr>
              <w:t>192</w:t>
            </w:r>
          </w:p>
        </w:tc>
        <w:tc>
          <w:tcPr>
            <w:tcW w:w="1865" w:type="dxa"/>
            <w:tcBorders>
              <w:top w:val="single" w:sz="4" w:space="0" w:color="auto"/>
              <w:left w:val="single" w:sz="4" w:space="0" w:color="auto"/>
              <w:bottom w:val="single" w:sz="4" w:space="0" w:color="auto"/>
              <w:right w:val="single" w:sz="4" w:space="0" w:color="auto"/>
            </w:tcBorders>
            <w:hideMark/>
          </w:tcPr>
          <w:p w14:paraId="2326ED33" w14:textId="77777777" w:rsidR="00193A3D" w:rsidRDefault="00193A3D" w:rsidP="005F364D">
            <w:pPr>
              <w:pStyle w:val="TableCenter"/>
              <w:rPr>
                <w:bCs/>
                <w:lang w:eastAsia="en-GB"/>
              </w:rPr>
            </w:pPr>
            <w:r>
              <w:rPr>
                <w:bCs/>
                <w:lang w:eastAsia="en-GB"/>
              </w:rPr>
              <w:t>188</w:t>
            </w:r>
          </w:p>
        </w:tc>
      </w:tr>
      <w:tr w:rsidR="00193A3D" w14:paraId="6587DEC4" w14:textId="77777777" w:rsidTr="0048380C">
        <w:tc>
          <w:tcPr>
            <w:tcW w:w="9090" w:type="dxa"/>
            <w:gridSpan w:val="4"/>
            <w:tcBorders>
              <w:top w:val="single" w:sz="4" w:space="0" w:color="auto"/>
              <w:left w:val="single" w:sz="4" w:space="0" w:color="auto"/>
              <w:bottom w:val="single" w:sz="4" w:space="0" w:color="auto"/>
              <w:right w:val="single" w:sz="4" w:space="0" w:color="auto"/>
            </w:tcBorders>
            <w:hideMark/>
          </w:tcPr>
          <w:p w14:paraId="247988F5" w14:textId="77777777" w:rsidR="00193A3D" w:rsidRDefault="00193A3D" w:rsidP="005F364D">
            <w:pPr>
              <w:pStyle w:val="TableHead"/>
              <w:jc w:val="left"/>
              <w:rPr>
                <w:b w:val="0"/>
                <w:lang w:eastAsia="en-GB"/>
              </w:rPr>
            </w:pPr>
            <w:r w:rsidRPr="005F364D">
              <w:rPr>
                <w:lang w:eastAsia="en-GB"/>
              </w:rPr>
              <w:t>PFS</w:t>
            </w:r>
          </w:p>
        </w:tc>
      </w:tr>
      <w:tr w:rsidR="00193A3D" w14:paraId="46C90188" w14:textId="77777777" w:rsidTr="0048380C">
        <w:tc>
          <w:tcPr>
            <w:tcW w:w="3539" w:type="dxa"/>
            <w:tcBorders>
              <w:top w:val="single" w:sz="4" w:space="0" w:color="auto"/>
              <w:left w:val="single" w:sz="4" w:space="0" w:color="auto"/>
              <w:bottom w:val="single" w:sz="4" w:space="0" w:color="auto"/>
              <w:right w:val="single" w:sz="4" w:space="0" w:color="auto"/>
            </w:tcBorders>
            <w:hideMark/>
          </w:tcPr>
          <w:p w14:paraId="2879F526" w14:textId="77777777" w:rsidR="00193A3D" w:rsidRDefault="00193A3D" w:rsidP="005F364D">
            <w:pPr>
              <w:pStyle w:val="TableLeft"/>
              <w:rPr>
                <w:b/>
                <w:lang w:eastAsia="en-GB"/>
              </w:rPr>
            </w:pPr>
            <w:r>
              <w:rPr>
                <w:lang w:eastAsia="en-GB"/>
              </w:rPr>
              <w:t>Number of events (%)</w:t>
            </w:r>
          </w:p>
        </w:tc>
        <w:tc>
          <w:tcPr>
            <w:tcW w:w="1985" w:type="dxa"/>
            <w:tcBorders>
              <w:top w:val="single" w:sz="4" w:space="0" w:color="auto"/>
              <w:left w:val="single" w:sz="4" w:space="0" w:color="auto"/>
              <w:bottom w:val="single" w:sz="4" w:space="0" w:color="auto"/>
              <w:right w:val="single" w:sz="4" w:space="0" w:color="auto"/>
            </w:tcBorders>
            <w:hideMark/>
          </w:tcPr>
          <w:p w14:paraId="69BE7484" w14:textId="77777777" w:rsidR="00193A3D" w:rsidRDefault="00193A3D" w:rsidP="005F364D">
            <w:pPr>
              <w:pStyle w:val="TableCenter"/>
              <w:rPr>
                <w:b/>
                <w:lang w:eastAsia="en-GB"/>
              </w:rPr>
            </w:pPr>
            <w:r>
              <w:t>335 (85.2)</w:t>
            </w:r>
          </w:p>
        </w:tc>
        <w:tc>
          <w:tcPr>
            <w:tcW w:w="1701" w:type="dxa"/>
            <w:tcBorders>
              <w:top w:val="single" w:sz="4" w:space="0" w:color="auto"/>
              <w:left w:val="single" w:sz="4" w:space="0" w:color="auto"/>
              <w:bottom w:val="single" w:sz="4" w:space="0" w:color="auto"/>
              <w:right w:val="single" w:sz="4" w:space="0" w:color="auto"/>
            </w:tcBorders>
            <w:hideMark/>
          </w:tcPr>
          <w:p w14:paraId="4A88D141" w14:textId="77777777" w:rsidR="00193A3D" w:rsidRDefault="00193A3D" w:rsidP="005F364D">
            <w:pPr>
              <w:pStyle w:val="TableCenter"/>
              <w:rPr>
                <w:b/>
                <w:lang w:eastAsia="en-GB"/>
              </w:rPr>
            </w:pPr>
            <w:r>
              <w:t>327 (84.1)</w:t>
            </w:r>
          </w:p>
        </w:tc>
        <w:tc>
          <w:tcPr>
            <w:tcW w:w="1865" w:type="dxa"/>
            <w:tcBorders>
              <w:top w:val="single" w:sz="4" w:space="0" w:color="auto"/>
              <w:left w:val="single" w:sz="4" w:space="0" w:color="auto"/>
              <w:bottom w:val="single" w:sz="4" w:space="0" w:color="auto"/>
              <w:right w:val="single" w:sz="4" w:space="0" w:color="auto"/>
            </w:tcBorders>
            <w:hideMark/>
          </w:tcPr>
          <w:p w14:paraId="7DD09AA1" w14:textId="77777777" w:rsidR="00193A3D" w:rsidRDefault="00193A3D" w:rsidP="005F364D">
            <w:pPr>
              <w:pStyle w:val="TableCenter"/>
              <w:rPr>
                <w:lang w:eastAsia="en-GB"/>
              </w:rPr>
            </w:pPr>
            <w:r>
              <w:rPr>
                <w:lang w:eastAsia="en-GB"/>
              </w:rPr>
              <w:t>345 (88.7)</w:t>
            </w:r>
          </w:p>
        </w:tc>
      </w:tr>
      <w:tr w:rsidR="00193A3D" w14:paraId="5669439C" w14:textId="77777777" w:rsidTr="0048380C">
        <w:trPr>
          <w:trHeight w:val="237"/>
        </w:trPr>
        <w:tc>
          <w:tcPr>
            <w:tcW w:w="3539" w:type="dxa"/>
            <w:tcBorders>
              <w:top w:val="single" w:sz="4" w:space="0" w:color="auto"/>
              <w:left w:val="single" w:sz="4" w:space="0" w:color="auto"/>
              <w:bottom w:val="single" w:sz="4" w:space="0" w:color="auto"/>
              <w:right w:val="single" w:sz="4" w:space="0" w:color="auto"/>
            </w:tcBorders>
            <w:hideMark/>
          </w:tcPr>
          <w:p w14:paraId="284C9FBD" w14:textId="77777777" w:rsidR="00193A3D" w:rsidRPr="00BE6B4F" w:rsidRDefault="00193A3D" w:rsidP="00BE6B4F">
            <w:pPr>
              <w:pStyle w:val="TableLeft"/>
              <w:rPr>
                <w:b/>
                <w:bCs w:val="0"/>
                <w:lang w:eastAsia="en-GB"/>
              </w:rPr>
            </w:pPr>
            <w:r w:rsidRPr="00BE6B4F">
              <w:rPr>
                <w:b/>
                <w:bCs w:val="0"/>
                <w:lang w:eastAsia="en-GB"/>
              </w:rPr>
              <w:t xml:space="preserve">Median PFS (months) </w:t>
            </w:r>
          </w:p>
          <w:p w14:paraId="1E98EDA1" w14:textId="77777777" w:rsidR="00193A3D" w:rsidRDefault="00193A3D" w:rsidP="00BE6B4F">
            <w:pPr>
              <w:pStyle w:val="TableLeft"/>
              <w:rPr>
                <w:lang w:eastAsia="en-GB"/>
              </w:rPr>
            </w:pPr>
            <w:r w:rsidRPr="00BE6B4F">
              <w:rPr>
                <w:b/>
                <w:bCs w:val="0"/>
                <w:lang w:eastAsia="en-GB"/>
              </w:rPr>
              <w:t>(95% CI)</w:t>
            </w:r>
          </w:p>
        </w:tc>
        <w:tc>
          <w:tcPr>
            <w:tcW w:w="1985" w:type="dxa"/>
            <w:tcBorders>
              <w:top w:val="single" w:sz="4" w:space="0" w:color="auto"/>
              <w:left w:val="single" w:sz="4" w:space="0" w:color="auto"/>
              <w:bottom w:val="single" w:sz="4" w:space="0" w:color="auto"/>
              <w:right w:val="single" w:sz="4" w:space="0" w:color="auto"/>
            </w:tcBorders>
            <w:hideMark/>
          </w:tcPr>
          <w:p w14:paraId="6BE0F667" w14:textId="77777777" w:rsidR="00193A3D" w:rsidRDefault="00193A3D" w:rsidP="005F364D">
            <w:pPr>
              <w:pStyle w:val="TableCenter"/>
              <w:rPr>
                <w:lang w:eastAsia="en-GB"/>
              </w:rPr>
            </w:pPr>
            <w:r>
              <w:rPr>
                <w:lang w:eastAsia="en-GB"/>
              </w:rPr>
              <w:t xml:space="preserve">3.78 </w:t>
            </w:r>
          </w:p>
          <w:p w14:paraId="3059C11C" w14:textId="77777777" w:rsidR="00193A3D" w:rsidRDefault="00193A3D" w:rsidP="005F364D">
            <w:pPr>
              <w:pStyle w:val="TableCenter"/>
              <w:rPr>
                <w:b/>
                <w:lang w:eastAsia="en-GB"/>
              </w:rPr>
            </w:pPr>
            <w:r>
              <w:rPr>
                <w:lang w:eastAsia="en-GB"/>
              </w:rPr>
              <w:t>(3.68-5.32)</w:t>
            </w:r>
          </w:p>
        </w:tc>
        <w:tc>
          <w:tcPr>
            <w:tcW w:w="1701" w:type="dxa"/>
            <w:tcBorders>
              <w:top w:val="single" w:sz="4" w:space="0" w:color="auto"/>
              <w:left w:val="single" w:sz="4" w:space="0" w:color="auto"/>
              <w:bottom w:val="single" w:sz="4" w:space="0" w:color="auto"/>
              <w:right w:val="single" w:sz="4" w:space="0" w:color="auto"/>
            </w:tcBorders>
            <w:hideMark/>
          </w:tcPr>
          <w:p w14:paraId="7E521407" w14:textId="77777777" w:rsidR="00193A3D" w:rsidRDefault="00193A3D" w:rsidP="005F364D">
            <w:pPr>
              <w:pStyle w:val="TableCenter"/>
              <w:rPr>
                <w:lang w:eastAsia="en-GB"/>
              </w:rPr>
            </w:pPr>
            <w:r>
              <w:rPr>
                <w:lang w:eastAsia="en-GB"/>
              </w:rPr>
              <w:t xml:space="preserve">4.07 </w:t>
            </w:r>
          </w:p>
          <w:p w14:paraId="2DD74DF9" w14:textId="77777777" w:rsidR="00193A3D" w:rsidRDefault="00193A3D" w:rsidP="005F364D">
            <w:pPr>
              <w:pStyle w:val="TableCenter"/>
              <w:rPr>
                <w:lang w:eastAsia="en-GB"/>
              </w:rPr>
            </w:pPr>
            <w:r>
              <w:rPr>
                <w:lang w:eastAsia="en-GB"/>
              </w:rPr>
              <w:t>(3.75-5.49)</w:t>
            </w:r>
          </w:p>
        </w:tc>
        <w:tc>
          <w:tcPr>
            <w:tcW w:w="1865" w:type="dxa"/>
            <w:tcBorders>
              <w:top w:val="single" w:sz="4" w:space="0" w:color="auto"/>
              <w:left w:val="single" w:sz="4" w:space="0" w:color="auto"/>
              <w:bottom w:val="single" w:sz="4" w:space="0" w:color="auto"/>
              <w:right w:val="single" w:sz="4" w:space="0" w:color="auto"/>
            </w:tcBorders>
            <w:hideMark/>
          </w:tcPr>
          <w:p w14:paraId="37D725FF" w14:textId="77777777" w:rsidR="00193A3D" w:rsidRDefault="00193A3D" w:rsidP="005F364D">
            <w:pPr>
              <w:pStyle w:val="TableCenter"/>
              <w:rPr>
                <w:lang w:eastAsia="en-GB"/>
              </w:rPr>
            </w:pPr>
            <w:r>
              <w:rPr>
                <w:lang w:eastAsia="en-GB"/>
              </w:rPr>
              <w:t>3.65</w:t>
            </w:r>
          </w:p>
          <w:p w14:paraId="53D967A0" w14:textId="77777777" w:rsidR="00193A3D" w:rsidRDefault="00193A3D" w:rsidP="005F364D">
            <w:pPr>
              <w:pStyle w:val="TableCenter"/>
              <w:rPr>
                <w:lang w:eastAsia="en-GB"/>
              </w:rPr>
            </w:pPr>
            <w:r>
              <w:rPr>
                <w:lang w:eastAsia="en-GB"/>
              </w:rPr>
              <w:t>(3.19-3.75)</w:t>
            </w:r>
          </w:p>
        </w:tc>
      </w:tr>
      <w:tr w:rsidR="00193A3D" w14:paraId="21EA403B" w14:textId="77777777" w:rsidTr="0048380C">
        <w:trPr>
          <w:trHeight w:val="237"/>
        </w:trPr>
        <w:tc>
          <w:tcPr>
            <w:tcW w:w="3539" w:type="dxa"/>
            <w:tcBorders>
              <w:top w:val="single" w:sz="4" w:space="0" w:color="auto"/>
              <w:left w:val="single" w:sz="4" w:space="0" w:color="auto"/>
              <w:bottom w:val="single" w:sz="4" w:space="0" w:color="auto"/>
              <w:right w:val="single" w:sz="4" w:space="0" w:color="auto"/>
            </w:tcBorders>
            <w:hideMark/>
          </w:tcPr>
          <w:p w14:paraId="1F539363" w14:textId="77777777" w:rsidR="00193A3D" w:rsidRDefault="00193A3D" w:rsidP="00BE6B4F">
            <w:pPr>
              <w:pStyle w:val="TableLeft"/>
              <w:rPr>
                <w:b/>
                <w:lang w:eastAsia="en-GB"/>
              </w:rPr>
            </w:pPr>
            <w:r w:rsidRPr="00BE6B4F">
              <w:rPr>
                <w:lang w:eastAsia="en-GB"/>
              </w:rPr>
              <w:t>HR (95% CI)</w:t>
            </w:r>
          </w:p>
        </w:tc>
        <w:tc>
          <w:tcPr>
            <w:tcW w:w="3686" w:type="dxa"/>
            <w:gridSpan w:val="2"/>
            <w:tcBorders>
              <w:top w:val="single" w:sz="4" w:space="0" w:color="auto"/>
              <w:left w:val="single" w:sz="4" w:space="0" w:color="auto"/>
              <w:bottom w:val="single" w:sz="4" w:space="0" w:color="auto"/>
              <w:right w:val="single" w:sz="4" w:space="0" w:color="auto"/>
            </w:tcBorders>
            <w:hideMark/>
          </w:tcPr>
          <w:p w14:paraId="6449FD07" w14:textId="319E3A03" w:rsidR="00193A3D" w:rsidRDefault="00193A3D" w:rsidP="005F364D">
            <w:pPr>
              <w:pStyle w:val="TableCenter"/>
              <w:rPr>
                <w:b/>
                <w:lang w:eastAsia="en-GB"/>
              </w:rPr>
            </w:pPr>
            <w:r>
              <w:rPr>
                <w:lang w:eastAsia="en-GB"/>
              </w:rPr>
              <w:t>0.90 (0.77 - 1.05)</w:t>
            </w:r>
          </w:p>
        </w:tc>
        <w:tc>
          <w:tcPr>
            <w:tcW w:w="1865" w:type="dxa"/>
            <w:tcBorders>
              <w:top w:val="single" w:sz="4" w:space="0" w:color="auto"/>
              <w:left w:val="single" w:sz="4" w:space="0" w:color="auto"/>
              <w:bottom w:val="single" w:sz="4" w:space="0" w:color="auto"/>
              <w:right w:val="single" w:sz="4" w:space="0" w:color="auto"/>
            </w:tcBorders>
            <w:hideMark/>
          </w:tcPr>
          <w:p w14:paraId="057CDB00" w14:textId="77777777" w:rsidR="00193A3D" w:rsidRDefault="00193A3D" w:rsidP="005F364D">
            <w:pPr>
              <w:pStyle w:val="TableCenter"/>
              <w:rPr>
                <w:b/>
                <w:lang w:eastAsia="en-GB"/>
              </w:rPr>
            </w:pPr>
            <w:r>
              <w:rPr>
                <w:b/>
                <w:lang w:eastAsia="en-GB"/>
              </w:rPr>
              <w:t>-</w:t>
            </w:r>
          </w:p>
        </w:tc>
      </w:tr>
      <w:tr w:rsidR="00193A3D" w14:paraId="46BA6D61" w14:textId="77777777" w:rsidTr="0048380C">
        <w:trPr>
          <w:trHeight w:val="237"/>
        </w:trPr>
        <w:tc>
          <w:tcPr>
            <w:tcW w:w="3539" w:type="dxa"/>
            <w:tcBorders>
              <w:top w:val="single" w:sz="4" w:space="0" w:color="auto"/>
              <w:left w:val="single" w:sz="4" w:space="0" w:color="auto"/>
              <w:bottom w:val="single" w:sz="4" w:space="0" w:color="auto"/>
              <w:right w:val="single" w:sz="4" w:space="0" w:color="auto"/>
            </w:tcBorders>
            <w:hideMark/>
          </w:tcPr>
          <w:p w14:paraId="32AED7E0" w14:textId="79287249" w:rsidR="00193A3D" w:rsidRDefault="00193A3D" w:rsidP="00BE6B4F">
            <w:pPr>
              <w:pStyle w:val="TableLeft"/>
              <w:rPr>
                <w:lang w:eastAsia="en-GB"/>
              </w:rPr>
            </w:pPr>
            <w:r w:rsidRPr="00BE6B4F">
              <w:rPr>
                <w:lang w:eastAsia="en-GB"/>
              </w:rPr>
              <w:t>p-</w:t>
            </w:r>
            <w:proofErr w:type="spellStart"/>
            <w:r w:rsidRPr="00BE6B4F">
              <w:rPr>
                <w:lang w:eastAsia="en-GB"/>
              </w:rPr>
              <w:t>value</w:t>
            </w:r>
            <w:r>
              <w:rPr>
                <w:vertAlign w:val="superscript"/>
                <w:lang w:eastAsia="en-GB"/>
              </w:rPr>
              <w:t>c</w:t>
            </w:r>
            <w:proofErr w:type="spellEnd"/>
          </w:p>
        </w:tc>
        <w:tc>
          <w:tcPr>
            <w:tcW w:w="3686" w:type="dxa"/>
            <w:gridSpan w:val="2"/>
            <w:tcBorders>
              <w:top w:val="single" w:sz="4" w:space="0" w:color="auto"/>
              <w:left w:val="single" w:sz="4" w:space="0" w:color="auto"/>
              <w:bottom w:val="single" w:sz="4" w:space="0" w:color="auto"/>
              <w:right w:val="single" w:sz="4" w:space="0" w:color="auto"/>
            </w:tcBorders>
            <w:hideMark/>
          </w:tcPr>
          <w:p w14:paraId="789C67F1" w14:textId="1366A0A9" w:rsidR="00193A3D" w:rsidRDefault="00193A3D" w:rsidP="005F364D">
            <w:pPr>
              <w:pStyle w:val="TableCenter"/>
              <w:rPr>
                <w:rFonts w:ascii="TimesNewRoman" w:eastAsiaTheme="minorEastAsia" w:cs="TimesNewRoman"/>
                <w:sz w:val="20"/>
                <w:lang w:val="sv-SE" w:eastAsia="en-GB"/>
              </w:rPr>
            </w:pPr>
            <w:r>
              <w:rPr>
                <w:lang w:eastAsia="en-GB"/>
              </w:rPr>
              <w:t>0.1625</w:t>
            </w:r>
          </w:p>
        </w:tc>
        <w:tc>
          <w:tcPr>
            <w:tcW w:w="1865" w:type="dxa"/>
            <w:tcBorders>
              <w:top w:val="single" w:sz="4" w:space="0" w:color="auto"/>
              <w:left w:val="single" w:sz="4" w:space="0" w:color="auto"/>
              <w:bottom w:val="single" w:sz="4" w:space="0" w:color="auto"/>
              <w:right w:val="single" w:sz="4" w:space="0" w:color="auto"/>
            </w:tcBorders>
            <w:hideMark/>
          </w:tcPr>
          <w:p w14:paraId="234C71E7" w14:textId="77777777" w:rsidR="00193A3D" w:rsidRDefault="00193A3D" w:rsidP="005F364D">
            <w:pPr>
              <w:pStyle w:val="TableCenter"/>
              <w:rPr>
                <w:rFonts w:ascii="TimesNewRoman" w:cs="TimesNewRoman"/>
                <w:sz w:val="20"/>
                <w:lang w:val="sv-SE" w:eastAsia="en-GB"/>
              </w:rPr>
            </w:pPr>
            <w:r>
              <w:rPr>
                <w:rFonts w:ascii="TimesNewRoman" w:cs="TimesNewRoman"/>
                <w:sz w:val="20"/>
                <w:lang w:val="sv-SE" w:eastAsia="en-GB"/>
              </w:rPr>
              <w:t>-</w:t>
            </w:r>
          </w:p>
        </w:tc>
      </w:tr>
      <w:tr w:rsidR="00193A3D" w14:paraId="7F4123D3" w14:textId="77777777" w:rsidTr="0048380C">
        <w:trPr>
          <w:trHeight w:val="237"/>
        </w:trPr>
        <w:tc>
          <w:tcPr>
            <w:tcW w:w="3539" w:type="dxa"/>
            <w:tcBorders>
              <w:top w:val="single" w:sz="4" w:space="0" w:color="auto"/>
              <w:left w:val="single" w:sz="4" w:space="0" w:color="auto"/>
              <w:bottom w:val="single" w:sz="4" w:space="0" w:color="auto"/>
              <w:right w:val="single" w:sz="4" w:space="0" w:color="auto"/>
            </w:tcBorders>
            <w:hideMark/>
          </w:tcPr>
          <w:p w14:paraId="7903007F" w14:textId="77777777" w:rsidR="00193A3D" w:rsidRDefault="00193A3D" w:rsidP="00BE6B4F">
            <w:pPr>
              <w:pStyle w:val="TableLeft"/>
              <w:rPr>
                <w:lang w:eastAsia="en-GB"/>
              </w:rPr>
            </w:pPr>
            <w:r w:rsidRPr="00BE6B4F">
              <w:rPr>
                <w:lang w:eastAsia="en-GB"/>
              </w:rPr>
              <w:t>HR (95% CI)</w:t>
            </w:r>
          </w:p>
        </w:tc>
        <w:tc>
          <w:tcPr>
            <w:tcW w:w="1985" w:type="dxa"/>
            <w:tcBorders>
              <w:top w:val="single" w:sz="4" w:space="0" w:color="auto"/>
              <w:left w:val="single" w:sz="4" w:space="0" w:color="auto"/>
              <w:bottom w:val="single" w:sz="4" w:space="0" w:color="auto"/>
              <w:right w:val="single" w:sz="4" w:space="0" w:color="auto"/>
            </w:tcBorders>
            <w:hideMark/>
          </w:tcPr>
          <w:p w14:paraId="0336F550" w14:textId="77777777" w:rsidR="00193A3D" w:rsidRDefault="00193A3D" w:rsidP="005F364D">
            <w:pPr>
              <w:pStyle w:val="TableCenter"/>
              <w:rPr>
                <w:lang w:eastAsia="en-GB"/>
              </w:rPr>
            </w:pPr>
            <w:r>
              <w:rPr>
                <w:lang w:eastAsia="en-GB"/>
              </w:rPr>
              <w:t>-</w:t>
            </w:r>
          </w:p>
        </w:tc>
        <w:tc>
          <w:tcPr>
            <w:tcW w:w="3566" w:type="dxa"/>
            <w:gridSpan w:val="2"/>
            <w:tcBorders>
              <w:top w:val="single" w:sz="4" w:space="0" w:color="auto"/>
              <w:left w:val="single" w:sz="4" w:space="0" w:color="auto"/>
              <w:bottom w:val="single" w:sz="4" w:space="0" w:color="auto"/>
              <w:right w:val="single" w:sz="4" w:space="0" w:color="auto"/>
            </w:tcBorders>
            <w:hideMark/>
          </w:tcPr>
          <w:p w14:paraId="6E6DA433" w14:textId="77777777" w:rsidR="00193A3D" w:rsidRDefault="00193A3D" w:rsidP="005F364D">
            <w:pPr>
              <w:pStyle w:val="TableCenter"/>
              <w:rPr>
                <w:lang w:eastAsia="en-GB"/>
              </w:rPr>
            </w:pPr>
            <w:r>
              <w:rPr>
                <w:lang w:eastAsia="en-GB"/>
              </w:rPr>
              <w:t>1.02 (0.88-1.19)</w:t>
            </w:r>
          </w:p>
        </w:tc>
      </w:tr>
      <w:tr w:rsidR="00193A3D" w14:paraId="6C131838" w14:textId="77777777" w:rsidTr="0048380C">
        <w:trPr>
          <w:trHeight w:val="237"/>
        </w:trPr>
        <w:tc>
          <w:tcPr>
            <w:tcW w:w="3539" w:type="dxa"/>
            <w:tcBorders>
              <w:top w:val="single" w:sz="4" w:space="0" w:color="auto"/>
              <w:left w:val="single" w:sz="4" w:space="0" w:color="auto"/>
              <w:bottom w:val="single" w:sz="4" w:space="0" w:color="auto"/>
              <w:right w:val="single" w:sz="4" w:space="0" w:color="auto"/>
            </w:tcBorders>
            <w:hideMark/>
          </w:tcPr>
          <w:p w14:paraId="01084AC5" w14:textId="77777777" w:rsidR="00193A3D" w:rsidRDefault="00193A3D" w:rsidP="00BE6B4F">
            <w:pPr>
              <w:pStyle w:val="TableLeft"/>
              <w:rPr>
                <w:lang w:eastAsia="en-GB"/>
              </w:rPr>
            </w:pPr>
            <w:r>
              <w:rPr>
                <w:lang w:eastAsia="en-GB"/>
              </w:rPr>
              <w:t>p</w:t>
            </w:r>
            <w:r w:rsidRPr="00BE6B4F">
              <w:rPr>
                <w:lang w:eastAsia="en-GB"/>
              </w:rPr>
              <w:t>-</w:t>
            </w:r>
            <w:proofErr w:type="spellStart"/>
            <w:r w:rsidRPr="00BE6B4F">
              <w:rPr>
                <w:lang w:eastAsia="en-GB"/>
              </w:rPr>
              <w:t>value</w:t>
            </w:r>
            <w:r>
              <w:rPr>
                <w:vertAlign w:val="superscript"/>
                <w:lang w:eastAsia="en-GB"/>
              </w:rPr>
              <w:t>c</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36291772" w14:textId="77777777" w:rsidR="00193A3D" w:rsidRDefault="00193A3D" w:rsidP="005F364D">
            <w:pPr>
              <w:pStyle w:val="TableCenter"/>
              <w:rPr>
                <w:lang w:eastAsia="en-GB"/>
              </w:rPr>
            </w:pPr>
            <w:r>
              <w:rPr>
                <w:lang w:eastAsia="en-GB"/>
              </w:rPr>
              <w:t>-</w:t>
            </w:r>
          </w:p>
        </w:tc>
        <w:tc>
          <w:tcPr>
            <w:tcW w:w="3566" w:type="dxa"/>
            <w:gridSpan w:val="2"/>
            <w:tcBorders>
              <w:top w:val="single" w:sz="4" w:space="0" w:color="auto"/>
              <w:left w:val="single" w:sz="4" w:space="0" w:color="auto"/>
              <w:bottom w:val="single" w:sz="4" w:space="0" w:color="auto"/>
              <w:right w:val="single" w:sz="4" w:space="0" w:color="auto"/>
            </w:tcBorders>
            <w:hideMark/>
          </w:tcPr>
          <w:p w14:paraId="61754CE0" w14:textId="4862A770" w:rsidR="00193A3D" w:rsidRDefault="00193A3D" w:rsidP="005F364D">
            <w:pPr>
              <w:pStyle w:val="TableCenter"/>
              <w:rPr>
                <w:lang w:eastAsia="en-GB"/>
              </w:rPr>
            </w:pPr>
            <w:r>
              <w:rPr>
                <w:lang w:eastAsia="en-GB"/>
              </w:rPr>
              <w:t>0.7736</w:t>
            </w:r>
          </w:p>
        </w:tc>
      </w:tr>
      <w:tr w:rsidR="00193A3D" w14:paraId="7A91B74F" w14:textId="77777777" w:rsidTr="0048380C">
        <w:tc>
          <w:tcPr>
            <w:tcW w:w="9090" w:type="dxa"/>
            <w:gridSpan w:val="4"/>
            <w:tcBorders>
              <w:top w:val="single" w:sz="4" w:space="0" w:color="auto"/>
              <w:left w:val="single" w:sz="4" w:space="0" w:color="auto"/>
              <w:bottom w:val="single" w:sz="4" w:space="0" w:color="auto"/>
              <w:right w:val="single" w:sz="4" w:space="0" w:color="auto"/>
            </w:tcBorders>
            <w:hideMark/>
          </w:tcPr>
          <w:p w14:paraId="33951D4C" w14:textId="10877B96" w:rsidR="00193A3D" w:rsidRDefault="00193A3D" w:rsidP="00BE6B4F">
            <w:pPr>
              <w:pStyle w:val="TableHead"/>
              <w:jc w:val="left"/>
              <w:rPr>
                <w:lang w:eastAsia="en-GB"/>
              </w:rPr>
            </w:pPr>
            <w:r w:rsidRPr="00BE6B4F">
              <w:rPr>
                <w:lang w:eastAsia="en-GB"/>
              </w:rPr>
              <w:t>ORR</w:t>
            </w:r>
          </w:p>
        </w:tc>
      </w:tr>
      <w:tr w:rsidR="00193A3D" w14:paraId="588C162F" w14:textId="77777777" w:rsidTr="0048380C">
        <w:tc>
          <w:tcPr>
            <w:tcW w:w="3539" w:type="dxa"/>
            <w:tcBorders>
              <w:top w:val="single" w:sz="4" w:space="0" w:color="auto"/>
              <w:left w:val="single" w:sz="4" w:space="0" w:color="auto"/>
              <w:bottom w:val="single" w:sz="4" w:space="0" w:color="auto"/>
              <w:right w:val="single" w:sz="4" w:space="0" w:color="auto"/>
            </w:tcBorders>
            <w:hideMark/>
          </w:tcPr>
          <w:p w14:paraId="43325593" w14:textId="77777777" w:rsidR="00193A3D" w:rsidRDefault="00193A3D">
            <w:pPr>
              <w:spacing w:after="0" w:line="240" w:lineRule="auto"/>
              <w:ind w:left="231"/>
              <w:rPr>
                <w:b/>
                <w:bCs/>
                <w:lang w:eastAsia="en-GB"/>
              </w:rPr>
            </w:pPr>
            <w:r w:rsidRPr="00BE6B4F">
              <w:rPr>
                <w:rFonts w:eastAsia="Times New Roman,Calibri" w:cs="Arial"/>
                <w:b/>
                <w:kern w:val="32"/>
              </w:rPr>
              <w:t>ORR n (</w:t>
            </w:r>
            <w:proofErr w:type="gramStart"/>
            <w:r w:rsidRPr="00BE6B4F">
              <w:rPr>
                <w:rFonts w:eastAsia="Times New Roman,Calibri" w:cs="Arial"/>
                <w:b/>
                <w:kern w:val="32"/>
              </w:rPr>
              <w:t>%)</w:t>
            </w:r>
            <w:proofErr w:type="spellStart"/>
            <w:r>
              <w:rPr>
                <w:b/>
                <w:bCs/>
                <w:vertAlign w:val="superscript"/>
                <w:lang w:eastAsia="en-GB"/>
              </w:rPr>
              <w:t>c</w:t>
            </w:r>
            <w:proofErr w:type="gramEnd"/>
            <w:r>
              <w:rPr>
                <w:b/>
                <w:bCs/>
                <w:vertAlign w:val="superscript"/>
                <w:lang w:eastAsia="en-GB"/>
              </w:rPr>
              <w:t>,d</w:t>
            </w:r>
            <w:proofErr w:type="spellEnd"/>
            <w:r>
              <w:rPr>
                <w:b/>
                <w:bCs/>
                <w:lang w:eastAsia="en-GB"/>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7D09B640" w14:textId="77777777" w:rsidR="00193A3D" w:rsidRDefault="00193A3D" w:rsidP="005F364D">
            <w:pPr>
              <w:pStyle w:val="TableCenter"/>
              <w:rPr>
                <w:lang w:eastAsia="en-GB"/>
              </w:rPr>
            </w:pPr>
            <w:r>
              <w:rPr>
                <w:lang w:eastAsia="en-GB"/>
              </w:rPr>
              <w:t>79 (20.1)</w:t>
            </w:r>
          </w:p>
        </w:tc>
        <w:tc>
          <w:tcPr>
            <w:tcW w:w="1701" w:type="dxa"/>
            <w:tcBorders>
              <w:top w:val="single" w:sz="4" w:space="0" w:color="auto"/>
              <w:left w:val="single" w:sz="4" w:space="0" w:color="auto"/>
              <w:bottom w:val="single" w:sz="4" w:space="0" w:color="auto"/>
              <w:right w:val="single" w:sz="4" w:space="0" w:color="auto"/>
            </w:tcBorders>
            <w:hideMark/>
          </w:tcPr>
          <w:p w14:paraId="78A1AAE2" w14:textId="06049BC5" w:rsidR="00193A3D" w:rsidRDefault="00193A3D" w:rsidP="005F364D">
            <w:pPr>
              <w:pStyle w:val="TableCenter"/>
              <w:rPr>
                <w:lang w:eastAsia="en-GB"/>
              </w:rPr>
            </w:pPr>
            <w:r>
              <w:rPr>
                <w:lang w:eastAsia="en-GB"/>
              </w:rPr>
              <w:t>20 (5.1)</w:t>
            </w:r>
          </w:p>
        </w:tc>
        <w:tc>
          <w:tcPr>
            <w:tcW w:w="1865" w:type="dxa"/>
            <w:tcBorders>
              <w:top w:val="single" w:sz="4" w:space="0" w:color="auto"/>
              <w:left w:val="single" w:sz="4" w:space="0" w:color="auto"/>
              <w:bottom w:val="single" w:sz="4" w:space="0" w:color="auto"/>
              <w:right w:val="single" w:sz="4" w:space="0" w:color="auto"/>
            </w:tcBorders>
            <w:hideMark/>
          </w:tcPr>
          <w:p w14:paraId="6D25A732" w14:textId="77777777" w:rsidR="00193A3D" w:rsidRDefault="00193A3D" w:rsidP="005F364D">
            <w:pPr>
              <w:pStyle w:val="TableCenter"/>
              <w:rPr>
                <w:lang w:eastAsia="en-GB"/>
              </w:rPr>
            </w:pPr>
            <w:r>
              <w:rPr>
                <w:lang w:eastAsia="en-GB"/>
              </w:rPr>
              <w:t>66 (17.0)</w:t>
            </w:r>
          </w:p>
        </w:tc>
      </w:tr>
      <w:tr w:rsidR="00193A3D" w14:paraId="61C13859" w14:textId="77777777" w:rsidTr="0048380C">
        <w:tc>
          <w:tcPr>
            <w:tcW w:w="3539" w:type="dxa"/>
            <w:tcBorders>
              <w:top w:val="single" w:sz="4" w:space="0" w:color="auto"/>
              <w:left w:val="single" w:sz="4" w:space="0" w:color="auto"/>
              <w:bottom w:val="single" w:sz="4" w:space="0" w:color="auto"/>
              <w:right w:val="single" w:sz="4" w:space="0" w:color="auto"/>
            </w:tcBorders>
            <w:hideMark/>
          </w:tcPr>
          <w:p w14:paraId="113BEE01" w14:textId="77777777" w:rsidR="00193A3D" w:rsidRDefault="00193A3D" w:rsidP="00BE6B4F">
            <w:pPr>
              <w:pStyle w:val="TableLeft"/>
              <w:ind w:left="720" w:hanging="358"/>
              <w:rPr>
                <w:lang w:eastAsia="en-GB"/>
              </w:rPr>
            </w:pPr>
            <w:r w:rsidRPr="00BE6B4F">
              <w:rPr>
                <w:rFonts w:eastAsia="Times New Roman,Calibri"/>
              </w:rPr>
              <w:t>Complete Response n (%)</w:t>
            </w:r>
          </w:p>
        </w:tc>
        <w:tc>
          <w:tcPr>
            <w:tcW w:w="1985" w:type="dxa"/>
            <w:tcBorders>
              <w:top w:val="single" w:sz="4" w:space="0" w:color="auto"/>
              <w:left w:val="single" w:sz="4" w:space="0" w:color="auto"/>
              <w:bottom w:val="single" w:sz="4" w:space="0" w:color="auto"/>
              <w:right w:val="single" w:sz="4" w:space="0" w:color="auto"/>
            </w:tcBorders>
            <w:hideMark/>
          </w:tcPr>
          <w:p w14:paraId="4326698A" w14:textId="77777777" w:rsidR="00193A3D" w:rsidRDefault="00193A3D" w:rsidP="005F364D">
            <w:pPr>
              <w:pStyle w:val="TableCenter"/>
              <w:rPr>
                <w:lang w:eastAsia="en-GB"/>
              </w:rPr>
            </w:pPr>
            <w:r>
              <w:rPr>
                <w:lang w:eastAsia="en-GB"/>
              </w:rPr>
              <w:t>12 (3.1)</w:t>
            </w:r>
          </w:p>
        </w:tc>
        <w:tc>
          <w:tcPr>
            <w:tcW w:w="1701" w:type="dxa"/>
            <w:tcBorders>
              <w:top w:val="single" w:sz="4" w:space="0" w:color="auto"/>
              <w:left w:val="single" w:sz="4" w:space="0" w:color="auto"/>
              <w:bottom w:val="single" w:sz="4" w:space="0" w:color="auto"/>
              <w:right w:val="single" w:sz="4" w:space="0" w:color="auto"/>
            </w:tcBorders>
            <w:hideMark/>
          </w:tcPr>
          <w:p w14:paraId="33ABB06B" w14:textId="77777777" w:rsidR="00193A3D" w:rsidRDefault="00193A3D" w:rsidP="005F364D">
            <w:pPr>
              <w:pStyle w:val="TableCenter"/>
              <w:rPr>
                <w:lang w:eastAsia="en-GB"/>
              </w:rPr>
            </w:pPr>
            <w:r>
              <w:rPr>
                <w:lang w:eastAsia="en-GB"/>
              </w:rPr>
              <w:t xml:space="preserve">0 </w:t>
            </w:r>
          </w:p>
        </w:tc>
        <w:tc>
          <w:tcPr>
            <w:tcW w:w="1865" w:type="dxa"/>
            <w:tcBorders>
              <w:top w:val="single" w:sz="4" w:space="0" w:color="auto"/>
              <w:left w:val="single" w:sz="4" w:space="0" w:color="auto"/>
              <w:bottom w:val="single" w:sz="4" w:space="0" w:color="auto"/>
              <w:right w:val="single" w:sz="4" w:space="0" w:color="auto"/>
            </w:tcBorders>
            <w:hideMark/>
          </w:tcPr>
          <w:p w14:paraId="5C9BD82E" w14:textId="77777777" w:rsidR="00193A3D" w:rsidRDefault="00193A3D" w:rsidP="005F364D">
            <w:pPr>
              <w:pStyle w:val="TableCenter"/>
              <w:rPr>
                <w:lang w:eastAsia="en-GB"/>
              </w:rPr>
            </w:pPr>
            <w:r>
              <w:rPr>
                <w:lang w:eastAsia="en-GB"/>
              </w:rPr>
              <w:t>6 (1.5)</w:t>
            </w:r>
          </w:p>
        </w:tc>
      </w:tr>
      <w:tr w:rsidR="00193A3D" w14:paraId="6BB7474B" w14:textId="77777777" w:rsidTr="0048380C">
        <w:tc>
          <w:tcPr>
            <w:tcW w:w="3539" w:type="dxa"/>
            <w:tcBorders>
              <w:top w:val="single" w:sz="4" w:space="0" w:color="auto"/>
              <w:left w:val="single" w:sz="4" w:space="0" w:color="auto"/>
              <w:bottom w:val="single" w:sz="4" w:space="0" w:color="auto"/>
              <w:right w:val="single" w:sz="4" w:space="0" w:color="auto"/>
            </w:tcBorders>
            <w:hideMark/>
          </w:tcPr>
          <w:p w14:paraId="4C9B8DCA" w14:textId="77777777" w:rsidR="00193A3D" w:rsidRPr="00BE6B4F" w:rsidRDefault="00193A3D" w:rsidP="00BE6B4F">
            <w:pPr>
              <w:pStyle w:val="TableLeft"/>
              <w:ind w:left="720" w:hanging="358"/>
              <w:rPr>
                <w:rFonts w:eastAsia="Times New Roman,Calibri"/>
              </w:rPr>
            </w:pPr>
            <w:r w:rsidRPr="00BE6B4F">
              <w:rPr>
                <w:rFonts w:eastAsia="Times New Roman,Calibri"/>
              </w:rPr>
              <w:t>Partial Response n (%)</w:t>
            </w:r>
          </w:p>
        </w:tc>
        <w:tc>
          <w:tcPr>
            <w:tcW w:w="1985" w:type="dxa"/>
            <w:tcBorders>
              <w:top w:val="single" w:sz="4" w:space="0" w:color="auto"/>
              <w:left w:val="single" w:sz="4" w:space="0" w:color="auto"/>
              <w:bottom w:val="single" w:sz="4" w:space="0" w:color="auto"/>
              <w:right w:val="single" w:sz="4" w:space="0" w:color="auto"/>
            </w:tcBorders>
            <w:hideMark/>
          </w:tcPr>
          <w:p w14:paraId="069B67F6" w14:textId="77777777" w:rsidR="00193A3D" w:rsidRDefault="00193A3D" w:rsidP="005F364D">
            <w:pPr>
              <w:pStyle w:val="TableCenter"/>
              <w:rPr>
                <w:lang w:eastAsia="en-GB"/>
              </w:rPr>
            </w:pPr>
            <w:r>
              <w:rPr>
                <w:lang w:eastAsia="en-GB"/>
              </w:rPr>
              <w:t>67 (17.0)</w:t>
            </w:r>
          </w:p>
        </w:tc>
        <w:tc>
          <w:tcPr>
            <w:tcW w:w="1701" w:type="dxa"/>
            <w:tcBorders>
              <w:top w:val="single" w:sz="4" w:space="0" w:color="auto"/>
              <w:left w:val="single" w:sz="4" w:space="0" w:color="auto"/>
              <w:bottom w:val="single" w:sz="4" w:space="0" w:color="auto"/>
              <w:right w:val="single" w:sz="4" w:space="0" w:color="auto"/>
            </w:tcBorders>
            <w:hideMark/>
          </w:tcPr>
          <w:p w14:paraId="12EFF939" w14:textId="4755D4B4" w:rsidR="00193A3D" w:rsidRDefault="00193A3D" w:rsidP="005F364D">
            <w:pPr>
              <w:pStyle w:val="TableCenter"/>
              <w:rPr>
                <w:lang w:eastAsia="en-GB"/>
              </w:rPr>
            </w:pPr>
            <w:r>
              <w:rPr>
                <w:lang w:eastAsia="en-GB"/>
              </w:rPr>
              <w:t>20 (5.1)</w:t>
            </w:r>
          </w:p>
        </w:tc>
        <w:tc>
          <w:tcPr>
            <w:tcW w:w="1865" w:type="dxa"/>
            <w:tcBorders>
              <w:top w:val="single" w:sz="4" w:space="0" w:color="auto"/>
              <w:left w:val="single" w:sz="4" w:space="0" w:color="auto"/>
              <w:bottom w:val="single" w:sz="4" w:space="0" w:color="auto"/>
              <w:right w:val="single" w:sz="4" w:space="0" w:color="auto"/>
            </w:tcBorders>
            <w:hideMark/>
          </w:tcPr>
          <w:p w14:paraId="1B38C3AB" w14:textId="77777777" w:rsidR="00193A3D" w:rsidRDefault="00193A3D" w:rsidP="005F364D">
            <w:pPr>
              <w:pStyle w:val="TableCenter"/>
              <w:rPr>
                <w:lang w:eastAsia="en-GB"/>
              </w:rPr>
            </w:pPr>
            <w:r>
              <w:rPr>
                <w:lang w:eastAsia="en-GB"/>
              </w:rPr>
              <w:t>60 (15.4)</w:t>
            </w:r>
          </w:p>
        </w:tc>
      </w:tr>
      <w:tr w:rsidR="00193A3D" w14:paraId="138D24B3" w14:textId="77777777" w:rsidTr="0048380C">
        <w:tc>
          <w:tcPr>
            <w:tcW w:w="3539" w:type="dxa"/>
            <w:tcBorders>
              <w:top w:val="single" w:sz="4" w:space="0" w:color="auto"/>
              <w:left w:val="single" w:sz="4" w:space="0" w:color="auto"/>
              <w:bottom w:val="single" w:sz="4" w:space="0" w:color="auto"/>
              <w:right w:val="single" w:sz="4" w:space="0" w:color="auto"/>
            </w:tcBorders>
            <w:hideMark/>
          </w:tcPr>
          <w:p w14:paraId="7136EFB8" w14:textId="77777777" w:rsidR="00193A3D" w:rsidRDefault="00193A3D" w:rsidP="00BE6B4F">
            <w:pPr>
              <w:pStyle w:val="TableLeft"/>
              <w:ind w:left="720" w:hanging="358"/>
              <w:rPr>
                <w:lang w:eastAsia="en-GB"/>
              </w:rPr>
            </w:pPr>
            <w:r w:rsidRPr="00BE6B4F">
              <w:rPr>
                <w:rFonts w:eastAsia="Times New Roman,Calibri"/>
              </w:rPr>
              <w:t>Odds ratio 95% CI</w:t>
            </w:r>
          </w:p>
        </w:tc>
        <w:tc>
          <w:tcPr>
            <w:tcW w:w="3686" w:type="dxa"/>
            <w:gridSpan w:val="2"/>
            <w:tcBorders>
              <w:top w:val="single" w:sz="4" w:space="0" w:color="auto"/>
              <w:left w:val="single" w:sz="4" w:space="0" w:color="auto"/>
              <w:bottom w:val="single" w:sz="4" w:space="0" w:color="auto"/>
              <w:right w:val="single" w:sz="4" w:space="0" w:color="auto"/>
            </w:tcBorders>
            <w:hideMark/>
          </w:tcPr>
          <w:p w14:paraId="63976033" w14:textId="29D0C640" w:rsidR="00193A3D" w:rsidRDefault="00193A3D" w:rsidP="005F364D">
            <w:pPr>
              <w:pStyle w:val="TableCenter"/>
              <w:rPr>
                <w:lang w:eastAsia="en-GB"/>
              </w:rPr>
            </w:pPr>
            <w:r>
              <w:rPr>
                <w:lang w:eastAsia="en-GB"/>
              </w:rPr>
              <w:t>4.69 (2.85, 8.04)</w:t>
            </w:r>
          </w:p>
        </w:tc>
        <w:tc>
          <w:tcPr>
            <w:tcW w:w="1865" w:type="dxa"/>
            <w:tcBorders>
              <w:top w:val="single" w:sz="4" w:space="0" w:color="auto"/>
              <w:left w:val="single" w:sz="4" w:space="0" w:color="auto"/>
              <w:bottom w:val="single" w:sz="4" w:space="0" w:color="auto"/>
              <w:right w:val="single" w:sz="4" w:space="0" w:color="auto"/>
            </w:tcBorders>
            <w:hideMark/>
          </w:tcPr>
          <w:p w14:paraId="41527632" w14:textId="77777777" w:rsidR="00193A3D" w:rsidRDefault="00193A3D" w:rsidP="005F364D">
            <w:pPr>
              <w:pStyle w:val="TableCenter"/>
              <w:rPr>
                <w:lang w:eastAsia="en-GB"/>
              </w:rPr>
            </w:pPr>
            <w:r>
              <w:rPr>
                <w:lang w:eastAsia="en-GB"/>
              </w:rPr>
              <w:t>3.8 (2.3, 6.6)</w:t>
            </w:r>
          </w:p>
        </w:tc>
      </w:tr>
      <w:tr w:rsidR="00193A3D" w14:paraId="44D57647" w14:textId="77777777" w:rsidTr="0048380C">
        <w:tc>
          <w:tcPr>
            <w:tcW w:w="3539" w:type="dxa"/>
            <w:tcBorders>
              <w:top w:val="single" w:sz="4" w:space="0" w:color="auto"/>
              <w:left w:val="single" w:sz="4" w:space="0" w:color="auto"/>
              <w:bottom w:val="single" w:sz="4" w:space="0" w:color="auto"/>
              <w:right w:val="single" w:sz="4" w:space="0" w:color="auto"/>
            </w:tcBorders>
            <w:hideMark/>
          </w:tcPr>
          <w:p w14:paraId="28C593E9" w14:textId="77777777" w:rsidR="00193A3D" w:rsidRDefault="00193A3D" w:rsidP="00BE6B4F">
            <w:pPr>
              <w:pStyle w:val="TableLeft"/>
              <w:ind w:left="720" w:hanging="358"/>
              <w:rPr>
                <w:lang w:eastAsia="en-GB"/>
              </w:rPr>
            </w:pPr>
            <w:r w:rsidRPr="00BE6B4F">
              <w:rPr>
                <w:rFonts w:eastAsia="Times New Roman,Calibri"/>
              </w:rPr>
              <w:t>p-value</w:t>
            </w:r>
          </w:p>
        </w:tc>
        <w:tc>
          <w:tcPr>
            <w:tcW w:w="3686" w:type="dxa"/>
            <w:gridSpan w:val="2"/>
            <w:tcBorders>
              <w:top w:val="single" w:sz="4" w:space="0" w:color="auto"/>
              <w:left w:val="single" w:sz="4" w:space="0" w:color="auto"/>
              <w:bottom w:val="single" w:sz="4" w:space="0" w:color="auto"/>
              <w:right w:val="single" w:sz="4" w:space="0" w:color="auto"/>
            </w:tcBorders>
            <w:hideMark/>
          </w:tcPr>
          <w:p w14:paraId="3EC823EB" w14:textId="77777777" w:rsidR="00193A3D" w:rsidRDefault="00193A3D" w:rsidP="005F364D">
            <w:pPr>
              <w:pStyle w:val="TableCenter"/>
              <w:rPr>
                <w:lang w:eastAsia="en-GB"/>
              </w:rPr>
            </w:pPr>
            <w:r>
              <w:rPr>
                <w:lang w:eastAsia="en-GB"/>
              </w:rPr>
              <w:t>&lt;0.0001</w:t>
            </w:r>
            <w:r>
              <w:rPr>
                <w:vertAlign w:val="superscript"/>
                <w:lang w:eastAsia="en-GB"/>
              </w:rPr>
              <w:t>c</w:t>
            </w:r>
          </w:p>
        </w:tc>
        <w:tc>
          <w:tcPr>
            <w:tcW w:w="1865" w:type="dxa"/>
            <w:tcBorders>
              <w:top w:val="single" w:sz="4" w:space="0" w:color="auto"/>
              <w:left w:val="single" w:sz="4" w:space="0" w:color="auto"/>
              <w:bottom w:val="single" w:sz="4" w:space="0" w:color="auto"/>
              <w:right w:val="single" w:sz="4" w:space="0" w:color="auto"/>
            </w:tcBorders>
            <w:hideMark/>
          </w:tcPr>
          <w:p w14:paraId="1F16B2C8" w14:textId="18235C8E" w:rsidR="00193A3D" w:rsidRDefault="00193A3D" w:rsidP="005F364D">
            <w:pPr>
              <w:pStyle w:val="TableCenter"/>
              <w:rPr>
                <w:lang w:eastAsia="en-GB"/>
              </w:rPr>
            </w:pPr>
            <w:r>
              <w:rPr>
                <w:lang w:eastAsia="en-GB"/>
              </w:rPr>
              <w:t>&lt;0.0001</w:t>
            </w:r>
            <w:r>
              <w:rPr>
                <w:vertAlign w:val="superscript"/>
                <w:lang w:eastAsia="en-GB"/>
              </w:rPr>
              <w:t>c</w:t>
            </w:r>
          </w:p>
        </w:tc>
      </w:tr>
      <w:tr w:rsidR="00193A3D" w14:paraId="1B49BAAB" w14:textId="77777777" w:rsidTr="0048380C">
        <w:tc>
          <w:tcPr>
            <w:tcW w:w="9090" w:type="dxa"/>
            <w:gridSpan w:val="4"/>
            <w:tcBorders>
              <w:top w:val="single" w:sz="4" w:space="0" w:color="auto"/>
              <w:left w:val="single" w:sz="4" w:space="0" w:color="auto"/>
              <w:bottom w:val="single" w:sz="4" w:space="0" w:color="auto"/>
              <w:right w:val="single" w:sz="4" w:space="0" w:color="auto"/>
            </w:tcBorders>
            <w:hideMark/>
          </w:tcPr>
          <w:p w14:paraId="4C27508B" w14:textId="37712188" w:rsidR="00193A3D" w:rsidRDefault="00193A3D" w:rsidP="00BE6B4F">
            <w:pPr>
              <w:pStyle w:val="TableHead"/>
              <w:jc w:val="left"/>
              <w:rPr>
                <w:lang w:eastAsia="en-GB"/>
              </w:rPr>
            </w:pPr>
            <w:proofErr w:type="spellStart"/>
            <w:r w:rsidRPr="00BE6B4F">
              <w:rPr>
                <w:lang w:eastAsia="en-GB"/>
              </w:rPr>
              <w:t>DoR</w:t>
            </w:r>
            <w:proofErr w:type="spellEnd"/>
          </w:p>
        </w:tc>
      </w:tr>
      <w:tr w:rsidR="00193A3D" w14:paraId="21498435" w14:textId="77777777" w:rsidTr="0048380C">
        <w:tc>
          <w:tcPr>
            <w:tcW w:w="3539" w:type="dxa"/>
            <w:tcBorders>
              <w:top w:val="single" w:sz="4" w:space="0" w:color="auto"/>
              <w:left w:val="single" w:sz="4" w:space="0" w:color="auto"/>
              <w:bottom w:val="single" w:sz="4" w:space="0" w:color="auto"/>
              <w:right w:val="single" w:sz="4" w:space="0" w:color="auto"/>
            </w:tcBorders>
            <w:hideMark/>
          </w:tcPr>
          <w:p w14:paraId="768AE13F" w14:textId="77777777" w:rsidR="00193A3D" w:rsidRDefault="00193A3D">
            <w:pPr>
              <w:spacing w:after="0" w:line="240" w:lineRule="auto"/>
              <w:ind w:left="231"/>
              <w:rPr>
                <w:b/>
                <w:bCs/>
                <w:lang w:eastAsia="en-GB"/>
              </w:rPr>
            </w:pPr>
            <w:r>
              <w:rPr>
                <w:b/>
                <w:bCs/>
                <w:lang w:eastAsia="en-GB"/>
              </w:rPr>
              <w:t xml:space="preserve">Median </w:t>
            </w:r>
            <w:proofErr w:type="spellStart"/>
            <w:r>
              <w:rPr>
                <w:b/>
                <w:bCs/>
                <w:lang w:eastAsia="en-GB"/>
              </w:rPr>
              <w:t>DoR</w:t>
            </w:r>
            <w:proofErr w:type="spellEnd"/>
            <w:r>
              <w:rPr>
                <w:b/>
                <w:bCs/>
                <w:lang w:eastAsia="en-GB"/>
              </w:rPr>
              <w:t xml:space="preserve"> (months) </w:t>
            </w:r>
          </w:p>
        </w:tc>
        <w:tc>
          <w:tcPr>
            <w:tcW w:w="1985" w:type="dxa"/>
            <w:tcBorders>
              <w:top w:val="single" w:sz="4" w:space="0" w:color="auto"/>
              <w:left w:val="single" w:sz="4" w:space="0" w:color="auto"/>
              <w:bottom w:val="single" w:sz="4" w:space="0" w:color="auto"/>
              <w:right w:val="single" w:sz="4" w:space="0" w:color="auto"/>
            </w:tcBorders>
            <w:hideMark/>
          </w:tcPr>
          <w:p w14:paraId="48F037C1" w14:textId="77777777" w:rsidR="00193A3D" w:rsidRDefault="00193A3D" w:rsidP="005F364D">
            <w:pPr>
              <w:pStyle w:val="TableCenter"/>
              <w:rPr>
                <w:lang w:eastAsia="en-GB"/>
              </w:rPr>
            </w:pPr>
            <w:r>
              <w:rPr>
                <w:lang w:eastAsia="en-GB"/>
              </w:rPr>
              <w:t>22.3</w:t>
            </w:r>
          </w:p>
        </w:tc>
        <w:tc>
          <w:tcPr>
            <w:tcW w:w="1701" w:type="dxa"/>
            <w:tcBorders>
              <w:top w:val="single" w:sz="4" w:space="0" w:color="auto"/>
              <w:left w:val="single" w:sz="4" w:space="0" w:color="auto"/>
              <w:bottom w:val="single" w:sz="4" w:space="0" w:color="auto"/>
              <w:right w:val="single" w:sz="4" w:space="0" w:color="auto"/>
            </w:tcBorders>
            <w:hideMark/>
          </w:tcPr>
          <w:p w14:paraId="4297C958" w14:textId="77777777" w:rsidR="00193A3D" w:rsidRDefault="00193A3D" w:rsidP="005F364D">
            <w:pPr>
              <w:pStyle w:val="TableCenter"/>
              <w:rPr>
                <w:lang w:eastAsia="en-GB"/>
              </w:rPr>
            </w:pPr>
            <w:r>
              <w:rPr>
                <w:lang w:eastAsia="en-GB"/>
              </w:rPr>
              <w:t>18.4</w:t>
            </w:r>
          </w:p>
        </w:tc>
        <w:tc>
          <w:tcPr>
            <w:tcW w:w="1865" w:type="dxa"/>
            <w:tcBorders>
              <w:top w:val="single" w:sz="4" w:space="0" w:color="auto"/>
              <w:left w:val="single" w:sz="4" w:space="0" w:color="auto"/>
              <w:bottom w:val="single" w:sz="4" w:space="0" w:color="auto"/>
              <w:right w:val="single" w:sz="4" w:space="0" w:color="auto"/>
            </w:tcBorders>
            <w:hideMark/>
          </w:tcPr>
          <w:p w14:paraId="541413D4" w14:textId="61967D25" w:rsidR="00193A3D" w:rsidRDefault="00193A3D" w:rsidP="005F364D">
            <w:pPr>
              <w:pStyle w:val="TableCenter"/>
              <w:rPr>
                <w:lang w:eastAsia="en-GB"/>
              </w:rPr>
            </w:pPr>
            <w:r>
              <w:rPr>
                <w:lang w:eastAsia="en-GB"/>
              </w:rPr>
              <w:t>16.8</w:t>
            </w:r>
          </w:p>
        </w:tc>
      </w:tr>
      <w:tr w:rsidR="00193A3D" w14:paraId="09CFB48E" w14:textId="77777777" w:rsidTr="0048380C">
        <w:tc>
          <w:tcPr>
            <w:tcW w:w="3539" w:type="dxa"/>
            <w:tcBorders>
              <w:top w:val="single" w:sz="4" w:space="0" w:color="auto"/>
              <w:left w:val="single" w:sz="4" w:space="0" w:color="auto"/>
              <w:bottom w:val="single" w:sz="4" w:space="0" w:color="auto"/>
              <w:right w:val="single" w:sz="4" w:space="0" w:color="auto"/>
            </w:tcBorders>
            <w:hideMark/>
          </w:tcPr>
          <w:p w14:paraId="1C61B714" w14:textId="77777777" w:rsidR="00193A3D" w:rsidRDefault="00193A3D" w:rsidP="00BE6B4F">
            <w:pPr>
              <w:pStyle w:val="TableLeft"/>
              <w:ind w:left="720" w:hanging="358"/>
              <w:rPr>
                <w:lang w:eastAsia="en-GB"/>
              </w:rPr>
            </w:pPr>
            <w:r w:rsidRPr="00BE6B4F">
              <w:rPr>
                <w:rFonts w:eastAsia="Times New Roman,Calibri"/>
              </w:rPr>
              <w:t>Sample size (n)</w:t>
            </w:r>
          </w:p>
        </w:tc>
        <w:tc>
          <w:tcPr>
            <w:tcW w:w="1985" w:type="dxa"/>
            <w:tcBorders>
              <w:top w:val="single" w:sz="4" w:space="0" w:color="auto"/>
              <w:left w:val="single" w:sz="4" w:space="0" w:color="auto"/>
              <w:bottom w:val="single" w:sz="4" w:space="0" w:color="auto"/>
              <w:right w:val="single" w:sz="4" w:space="0" w:color="auto"/>
            </w:tcBorders>
            <w:hideMark/>
          </w:tcPr>
          <w:p w14:paraId="6BB93B3A" w14:textId="77777777" w:rsidR="00193A3D" w:rsidRDefault="00193A3D" w:rsidP="005F364D">
            <w:pPr>
              <w:pStyle w:val="TableCenter"/>
              <w:rPr>
                <w:lang w:eastAsia="en-GB"/>
              </w:rPr>
            </w:pPr>
            <w:r>
              <w:rPr>
                <w:lang w:eastAsia="en-GB"/>
              </w:rPr>
              <w:t>79</w:t>
            </w:r>
          </w:p>
        </w:tc>
        <w:tc>
          <w:tcPr>
            <w:tcW w:w="1701" w:type="dxa"/>
            <w:tcBorders>
              <w:top w:val="single" w:sz="4" w:space="0" w:color="auto"/>
              <w:left w:val="single" w:sz="4" w:space="0" w:color="auto"/>
              <w:bottom w:val="single" w:sz="4" w:space="0" w:color="auto"/>
              <w:right w:val="single" w:sz="4" w:space="0" w:color="auto"/>
            </w:tcBorders>
            <w:hideMark/>
          </w:tcPr>
          <w:p w14:paraId="3C220C6B" w14:textId="77777777" w:rsidR="00193A3D" w:rsidRDefault="00193A3D" w:rsidP="005F364D">
            <w:pPr>
              <w:pStyle w:val="TableCenter"/>
              <w:rPr>
                <w:lang w:eastAsia="en-GB"/>
              </w:rPr>
            </w:pPr>
            <w:r>
              <w:rPr>
                <w:lang w:eastAsia="en-GB"/>
              </w:rPr>
              <w:t>20</w:t>
            </w:r>
          </w:p>
        </w:tc>
        <w:tc>
          <w:tcPr>
            <w:tcW w:w="1865" w:type="dxa"/>
            <w:tcBorders>
              <w:top w:val="single" w:sz="4" w:space="0" w:color="auto"/>
              <w:left w:val="single" w:sz="4" w:space="0" w:color="auto"/>
              <w:bottom w:val="single" w:sz="4" w:space="0" w:color="auto"/>
              <w:right w:val="single" w:sz="4" w:space="0" w:color="auto"/>
            </w:tcBorders>
            <w:hideMark/>
          </w:tcPr>
          <w:p w14:paraId="01433187" w14:textId="5A06ECFD" w:rsidR="00193A3D" w:rsidRDefault="00193A3D" w:rsidP="005F364D">
            <w:pPr>
              <w:pStyle w:val="TableCenter"/>
              <w:rPr>
                <w:lang w:eastAsia="en-GB"/>
              </w:rPr>
            </w:pPr>
            <w:r>
              <w:rPr>
                <w:lang w:eastAsia="en-GB"/>
              </w:rPr>
              <w:t>66</w:t>
            </w:r>
          </w:p>
        </w:tc>
      </w:tr>
      <w:tr w:rsidR="00193A3D" w14:paraId="290A7B45" w14:textId="77777777" w:rsidTr="0048380C">
        <w:trPr>
          <w:trHeight w:val="426"/>
        </w:trPr>
        <w:tc>
          <w:tcPr>
            <w:tcW w:w="3539" w:type="dxa"/>
            <w:tcBorders>
              <w:top w:val="single" w:sz="4" w:space="0" w:color="auto"/>
              <w:left w:val="single" w:sz="4" w:space="0" w:color="auto"/>
              <w:bottom w:val="single" w:sz="4" w:space="0" w:color="auto"/>
              <w:right w:val="single" w:sz="4" w:space="0" w:color="auto"/>
            </w:tcBorders>
            <w:hideMark/>
          </w:tcPr>
          <w:p w14:paraId="004E5B05" w14:textId="77777777" w:rsidR="00193A3D" w:rsidRDefault="00193A3D" w:rsidP="00BE6B4F">
            <w:pPr>
              <w:pStyle w:val="TableLeft"/>
              <w:ind w:left="720" w:hanging="358"/>
              <w:rPr>
                <w:rFonts w:eastAsiaTheme="minorEastAsia"/>
              </w:rPr>
            </w:pPr>
            <w:r w:rsidRPr="00BE6B4F">
              <w:rPr>
                <w:rFonts w:eastAsia="Times New Roman,Calibri"/>
              </w:rPr>
              <w:t>% with duration ≥6 months</w:t>
            </w:r>
          </w:p>
        </w:tc>
        <w:tc>
          <w:tcPr>
            <w:tcW w:w="1985" w:type="dxa"/>
            <w:tcBorders>
              <w:top w:val="single" w:sz="4" w:space="0" w:color="auto"/>
              <w:left w:val="single" w:sz="4" w:space="0" w:color="auto"/>
              <w:bottom w:val="single" w:sz="4" w:space="0" w:color="auto"/>
              <w:right w:val="single" w:sz="4" w:space="0" w:color="auto"/>
            </w:tcBorders>
            <w:hideMark/>
          </w:tcPr>
          <w:p w14:paraId="59068CF8" w14:textId="77777777" w:rsidR="00193A3D" w:rsidRDefault="00193A3D" w:rsidP="005F364D">
            <w:pPr>
              <w:pStyle w:val="TableCenter"/>
              <w:rPr>
                <w:lang w:eastAsia="en-GB"/>
              </w:rPr>
            </w:pPr>
            <w:r>
              <w:rPr>
                <w:lang w:eastAsia="en-GB"/>
              </w:rPr>
              <w:t>82.3</w:t>
            </w:r>
          </w:p>
        </w:tc>
        <w:tc>
          <w:tcPr>
            <w:tcW w:w="1701" w:type="dxa"/>
            <w:tcBorders>
              <w:top w:val="single" w:sz="4" w:space="0" w:color="auto"/>
              <w:left w:val="single" w:sz="4" w:space="0" w:color="auto"/>
              <w:bottom w:val="single" w:sz="4" w:space="0" w:color="auto"/>
              <w:right w:val="single" w:sz="4" w:space="0" w:color="auto"/>
            </w:tcBorders>
            <w:hideMark/>
          </w:tcPr>
          <w:p w14:paraId="6B5AE67D" w14:textId="77777777" w:rsidR="00193A3D" w:rsidRDefault="00193A3D" w:rsidP="005F364D">
            <w:pPr>
              <w:pStyle w:val="TableCenter"/>
              <w:rPr>
                <w:lang w:eastAsia="en-GB"/>
              </w:rPr>
            </w:pPr>
            <w:r>
              <w:rPr>
                <w:lang w:eastAsia="en-GB"/>
              </w:rPr>
              <w:t>78.9</w:t>
            </w:r>
          </w:p>
        </w:tc>
        <w:tc>
          <w:tcPr>
            <w:tcW w:w="1865" w:type="dxa"/>
            <w:tcBorders>
              <w:top w:val="single" w:sz="4" w:space="0" w:color="auto"/>
              <w:left w:val="single" w:sz="4" w:space="0" w:color="auto"/>
              <w:bottom w:val="single" w:sz="4" w:space="0" w:color="auto"/>
              <w:right w:val="single" w:sz="4" w:space="0" w:color="auto"/>
            </w:tcBorders>
            <w:hideMark/>
          </w:tcPr>
          <w:p w14:paraId="19493888" w14:textId="6BE31906" w:rsidR="00193A3D" w:rsidRDefault="00193A3D" w:rsidP="005F364D">
            <w:pPr>
              <w:pStyle w:val="TableCenter"/>
              <w:rPr>
                <w:lang w:eastAsia="en-GB"/>
              </w:rPr>
            </w:pPr>
            <w:r>
              <w:rPr>
                <w:lang w:eastAsia="en-GB"/>
              </w:rPr>
              <w:t>81.8</w:t>
            </w:r>
          </w:p>
        </w:tc>
      </w:tr>
      <w:tr w:rsidR="00193A3D" w14:paraId="3446E845" w14:textId="77777777" w:rsidTr="0048380C">
        <w:trPr>
          <w:trHeight w:val="426"/>
        </w:trPr>
        <w:tc>
          <w:tcPr>
            <w:tcW w:w="3539" w:type="dxa"/>
            <w:tcBorders>
              <w:top w:val="single" w:sz="4" w:space="0" w:color="auto"/>
              <w:left w:val="single" w:sz="4" w:space="0" w:color="auto"/>
              <w:bottom w:val="single" w:sz="4" w:space="0" w:color="auto"/>
              <w:right w:val="single" w:sz="4" w:space="0" w:color="auto"/>
            </w:tcBorders>
            <w:hideMark/>
          </w:tcPr>
          <w:p w14:paraId="1227D2F2" w14:textId="77777777" w:rsidR="00193A3D" w:rsidRPr="00BE6B4F" w:rsidRDefault="00193A3D" w:rsidP="00BE6B4F">
            <w:pPr>
              <w:pStyle w:val="TableLeft"/>
              <w:ind w:left="720" w:hanging="358"/>
              <w:rPr>
                <w:rFonts w:eastAsia="Times New Roman,Calibri"/>
              </w:rPr>
            </w:pPr>
            <w:r w:rsidRPr="00BE6B4F">
              <w:rPr>
                <w:rFonts w:eastAsia="Times New Roman,Calibri"/>
              </w:rPr>
              <w:t>% with duration ≥12 months</w:t>
            </w:r>
          </w:p>
        </w:tc>
        <w:tc>
          <w:tcPr>
            <w:tcW w:w="1985" w:type="dxa"/>
            <w:tcBorders>
              <w:top w:val="single" w:sz="4" w:space="0" w:color="auto"/>
              <w:left w:val="single" w:sz="4" w:space="0" w:color="auto"/>
              <w:bottom w:val="single" w:sz="4" w:space="0" w:color="auto"/>
              <w:right w:val="single" w:sz="4" w:space="0" w:color="auto"/>
            </w:tcBorders>
            <w:hideMark/>
          </w:tcPr>
          <w:p w14:paraId="1CD44F54" w14:textId="77777777" w:rsidR="00193A3D" w:rsidRDefault="00193A3D" w:rsidP="005F364D">
            <w:pPr>
              <w:pStyle w:val="TableCenter"/>
              <w:rPr>
                <w:lang w:eastAsia="en-GB"/>
              </w:rPr>
            </w:pPr>
            <w:r>
              <w:rPr>
                <w:lang w:eastAsia="en-GB"/>
              </w:rPr>
              <w:t>65.8</w:t>
            </w:r>
          </w:p>
        </w:tc>
        <w:tc>
          <w:tcPr>
            <w:tcW w:w="1701" w:type="dxa"/>
            <w:tcBorders>
              <w:top w:val="single" w:sz="4" w:space="0" w:color="auto"/>
              <w:left w:val="single" w:sz="4" w:space="0" w:color="auto"/>
              <w:bottom w:val="single" w:sz="4" w:space="0" w:color="auto"/>
              <w:right w:val="single" w:sz="4" w:space="0" w:color="auto"/>
            </w:tcBorders>
            <w:hideMark/>
          </w:tcPr>
          <w:p w14:paraId="17F412F3" w14:textId="11926824" w:rsidR="00193A3D" w:rsidRDefault="00193A3D" w:rsidP="005F364D">
            <w:pPr>
              <w:pStyle w:val="TableCenter"/>
              <w:rPr>
                <w:lang w:eastAsia="en-GB"/>
              </w:rPr>
            </w:pPr>
            <w:r>
              <w:rPr>
                <w:lang w:eastAsia="en-GB"/>
              </w:rPr>
              <w:t>63.2</w:t>
            </w:r>
          </w:p>
        </w:tc>
        <w:tc>
          <w:tcPr>
            <w:tcW w:w="1865" w:type="dxa"/>
            <w:tcBorders>
              <w:top w:val="single" w:sz="4" w:space="0" w:color="auto"/>
              <w:left w:val="single" w:sz="4" w:space="0" w:color="auto"/>
              <w:bottom w:val="single" w:sz="4" w:space="0" w:color="auto"/>
              <w:right w:val="single" w:sz="4" w:space="0" w:color="auto"/>
            </w:tcBorders>
            <w:hideMark/>
          </w:tcPr>
          <w:p w14:paraId="0987A80E" w14:textId="77777777" w:rsidR="00193A3D" w:rsidRDefault="00193A3D" w:rsidP="005F364D">
            <w:pPr>
              <w:pStyle w:val="TableCenter"/>
              <w:rPr>
                <w:lang w:eastAsia="en-GB"/>
              </w:rPr>
            </w:pPr>
            <w:r>
              <w:rPr>
                <w:lang w:eastAsia="en-GB"/>
              </w:rPr>
              <w:t>57.8</w:t>
            </w:r>
          </w:p>
        </w:tc>
      </w:tr>
    </w:tbl>
    <w:p w14:paraId="2751921F" w14:textId="64E8019A" w:rsidR="005D23D0" w:rsidRDefault="00193A3D" w:rsidP="00FB0C15">
      <w:pPr>
        <w:pStyle w:val="TableFootnoteInfo"/>
        <w:rPr>
          <w:rFonts w:eastAsiaTheme="minorEastAsia"/>
        </w:rPr>
      </w:pPr>
      <w:r>
        <w:rPr>
          <w:szCs w:val="22"/>
          <w:vertAlign w:val="superscript"/>
          <w:lang w:val="en-US" w:eastAsia="en-GB"/>
        </w:rPr>
        <w:t xml:space="preserve">a </w:t>
      </w:r>
      <w:r>
        <w:t>Based on a Lan-</w:t>
      </w:r>
      <w:proofErr w:type="spellStart"/>
      <w:r>
        <w:t>DeMets</w:t>
      </w:r>
      <w:proofErr w:type="spellEnd"/>
      <w:r>
        <w:t xml:space="preserve"> alpha spending function with O'Brien Fleming type boundary and the actual number of events observed, the boundary for declaring statistical significance for STRIDE vs. S was 0.0398 (</w:t>
      </w:r>
      <w:proofErr w:type="spellStart"/>
      <w:r w:rsidRPr="00FB0C15">
        <w:rPr>
          <w:sz w:val="22"/>
          <w:szCs w:val="18"/>
        </w:rPr>
        <w:t>Lan◦and◦DeMets</w:t>
      </w:r>
      <w:proofErr w:type="spellEnd"/>
      <w:r w:rsidRPr="00FB0C15">
        <w:rPr>
          <w:sz w:val="22"/>
          <w:szCs w:val="18"/>
        </w:rPr>
        <w:t xml:space="preserve"> 1983</w:t>
      </w:r>
      <w:r>
        <w:t>).</w:t>
      </w:r>
    </w:p>
    <w:p w14:paraId="5E268B2E" w14:textId="44F77994" w:rsidR="00193A3D" w:rsidRPr="005D23D0" w:rsidRDefault="00193A3D" w:rsidP="00FB0C15">
      <w:pPr>
        <w:pStyle w:val="TableFootnoteInfo"/>
        <w:rPr>
          <w:rFonts w:eastAsiaTheme="minorEastAsia"/>
        </w:rPr>
      </w:pPr>
      <w:r>
        <w:rPr>
          <w:vertAlign w:val="superscript"/>
        </w:rPr>
        <w:t xml:space="preserve">b </w:t>
      </w:r>
      <w:r>
        <w:t>p-value is for the superiority test of D vs. S. Based on a Lan-</w:t>
      </w:r>
      <w:proofErr w:type="spellStart"/>
      <w:r>
        <w:t>DeMets</w:t>
      </w:r>
      <w:proofErr w:type="spellEnd"/>
      <w:r>
        <w:t xml:space="preserve"> alpha spending function with O'Brien Fleming type boundary and the actual number of events observed, the boundary for declaring statistical significance for D vs.</w:t>
      </w:r>
      <w:r w:rsidR="00F17C29">
        <w:t xml:space="preserve"> </w:t>
      </w:r>
      <w:r>
        <w:t>S was 0.0433 (</w:t>
      </w:r>
      <w:proofErr w:type="spellStart"/>
      <w:r w:rsidRPr="00FB0C15">
        <w:rPr>
          <w:sz w:val="22"/>
          <w:szCs w:val="18"/>
        </w:rPr>
        <w:t>Lan◦and◦DeMets</w:t>
      </w:r>
      <w:proofErr w:type="spellEnd"/>
      <w:r w:rsidRPr="00FB0C15">
        <w:rPr>
          <w:sz w:val="22"/>
          <w:szCs w:val="18"/>
        </w:rPr>
        <w:t xml:space="preserve"> 1983</w:t>
      </w:r>
      <w:r>
        <w:t>).</w:t>
      </w:r>
    </w:p>
    <w:p w14:paraId="07B647BE" w14:textId="56B1C27B" w:rsidR="00193A3D" w:rsidRDefault="00193A3D" w:rsidP="00FB0C15">
      <w:pPr>
        <w:pStyle w:val="TableFootnoteInfo"/>
      </w:pPr>
      <w:r>
        <w:rPr>
          <w:vertAlign w:val="superscript"/>
        </w:rPr>
        <w:t xml:space="preserve">c </w:t>
      </w:r>
      <w:r>
        <w:t>Nominal p-value. PFS and ORR were not included in the Multiple Testing Procedure (MTP).</w:t>
      </w:r>
    </w:p>
    <w:p w14:paraId="76EB0A4E" w14:textId="77777777" w:rsidR="00193A3D" w:rsidRDefault="00193A3D" w:rsidP="00FB0C15">
      <w:pPr>
        <w:pStyle w:val="TableFootnoteInfo"/>
        <w:rPr>
          <w:lang w:val="en-US" w:eastAsia="en-GB"/>
        </w:rPr>
      </w:pPr>
      <w:r>
        <w:rPr>
          <w:vertAlign w:val="superscript"/>
          <w:lang w:val="en-US" w:eastAsia="en-GB"/>
        </w:rPr>
        <w:t>d</w:t>
      </w:r>
      <w:r>
        <w:rPr>
          <w:lang w:val="en-US" w:eastAsia="en-GB"/>
        </w:rPr>
        <w:t xml:space="preserve"> Confirmed complete response.</w:t>
      </w:r>
    </w:p>
    <w:p w14:paraId="31F73AB6" w14:textId="710863E9" w:rsidR="00193A3D" w:rsidRDefault="00193A3D" w:rsidP="00FB0C15">
      <w:pPr>
        <w:pStyle w:val="TableFootnoteInfo"/>
      </w:pPr>
      <w:r>
        <w:t>NR=Not Reached, CI=Confidence Interval</w:t>
      </w:r>
    </w:p>
    <w:p w14:paraId="74943301" w14:textId="7CC2C163" w:rsidR="00193A3D" w:rsidRDefault="00193A3D" w:rsidP="00193A3D">
      <w:pPr>
        <w:spacing w:after="0"/>
        <w:rPr>
          <w:sz w:val="22"/>
          <w:szCs w:val="22"/>
        </w:rPr>
      </w:pPr>
    </w:p>
    <w:p w14:paraId="6CB4A6D8" w14:textId="3A1A909C" w:rsidR="003C7111" w:rsidRPr="009263E6" w:rsidRDefault="009263E6" w:rsidP="00953E5D">
      <w:pPr>
        <w:pStyle w:val="FigureTitle"/>
        <w:ind w:left="0" w:firstLine="0"/>
        <w:rPr>
          <w:lang w:val="en-AU"/>
        </w:rPr>
      </w:pPr>
      <w:bookmarkStart w:id="18" w:name="_Ref97650524"/>
      <w:r w:rsidRPr="001812B5">
        <w:t>Figure </w:t>
      </w:r>
      <w:r w:rsidRPr="001812B5">
        <w:fldChar w:fldCharType="begin"/>
      </w:r>
      <w:r w:rsidRPr="001812B5">
        <w:instrText xml:space="preserve"> SEQ Figure \* ARABIC </w:instrText>
      </w:r>
      <w:r w:rsidRPr="001812B5">
        <w:fldChar w:fldCharType="separate"/>
      </w:r>
      <w:r>
        <w:rPr>
          <w:noProof/>
        </w:rPr>
        <w:t>1</w:t>
      </w:r>
      <w:r w:rsidRPr="001812B5">
        <w:fldChar w:fldCharType="end"/>
      </w:r>
      <w:bookmarkEnd w:id="18"/>
      <w:r w:rsidRPr="001812B5">
        <w:tab/>
      </w:r>
      <w:r w:rsidRPr="00FC32C1">
        <w:t xml:space="preserve">Kaplan-Meier curve of OS  </w:t>
      </w:r>
      <w:r w:rsidR="003C7111" w:rsidRPr="00FC32C1">
        <w:tab/>
        <w:t xml:space="preserve"> </w:t>
      </w:r>
    </w:p>
    <w:p w14:paraId="69718B40" w14:textId="345076AF" w:rsidR="003C7111" w:rsidRDefault="003C7111" w:rsidP="003C7111">
      <w:pPr>
        <w:autoSpaceDE w:val="0"/>
        <w:autoSpaceDN w:val="0"/>
        <w:adjustRightInd w:val="0"/>
        <w:spacing w:after="0" w:line="240" w:lineRule="auto"/>
        <w:rPr>
          <w:b/>
          <w:lang w:eastAsia="en-GB"/>
        </w:rPr>
      </w:pPr>
      <w:r>
        <w:rPr>
          <w:noProof/>
        </w:rPr>
        <mc:AlternateContent>
          <mc:Choice Requires="wps">
            <w:drawing>
              <wp:anchor distT="45720" distB="45720" distL="114300" distR="114300" simplePos="0" relativeHeight="251654144" behindDoc="0" locked="0" layoutInCell="1" allowOverlap="1" wp14:anchorId="2ABE808F" wp14:editId="601F857A">
                <wp:simplePos x="0" y="0"/>
                <wp:positionH relativeFrom="margin">
                  <wp:posOffset>2850515</wp:posOffset>
                </wp:positionH>
                <wp:positionV relativeFrom="paragraph">
                  <wp:posOffset>4445</wp:posOffset>
                </wp:positionV>
                <wp:extent cx="1962150" cy="124460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244600"/>
                        </a:xfrm>
                        <a:prstGeom prst="rect">
                          <a:avLst/>
                        </a:prstGeom>
                        <a:noFill/>
                        <a:ln w="9525">
                          <a:noFill/>
                          <a:miter lim="800000"/>
                          <a:headEnd/>
                          <a:tailEnd/>
                        </a:ln>
                      </wps:spPr>
                      <wps:txbx>
                        <w:txbxContent>
                          <w:p w14:paraId="48D752E6" w14:textId="77777777" w:rsidR="00D85AD0" w:rsidRDefault="00D85AD0" w:rsidP="003C7111">
                            <w:pPr>
                              <w:rPr>
                                <w:sz w:val="12"/>
                                <w:szCs w:val="12"/>
                                <w:lang w:val="sv-SE"/>
                              </w:rPr>
                            </w:pPr>
                          </w:p>
                          <w:tbl>
                            <w:tblPr>
                              <w:tblStyle w:val="TableGrid"/>
                              <w:tblW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924"/>
                              <w:gridCol w:w="1417"/>
                            </w:tblGrid>
                            <w:tr w:rsidR="00D85AD0" w14:paraId="1A398679" w14:textId="77777777">
                              <w:trPr>
                                <w:trHeight w:val="297"/>
                              </w:trPr>
                              <w:tc>
                                <w:tcPr>
                                  <w:tcW w:w="636" w:type="dxa"/>
                                  <w:tcBorders>
                                    <w:top w:val="nil"/>
                                    <w:left w:val="nil"/>
                                    <w:bottom w:val="single" w:sz="4" w:space="0" w:color="auto"/>
                                    <w:right w:val="nil"/>
                                  </w:tcBorders>
                                </w:tcPr>
                                <w:p w14:paraId="0794133B" w14:textId="77777777" w:rsidR="00D85AD0" w:rsidRDefault="00D85AD0">
                                  <w:pPr>
                                    <w:spacing w:after="0"/>
                                    <w:rPr>
                                      <w:sz w:val="12"/>
                                      <w:szCs w:val="12"/>
                                      <w:lang w:val="sv-SE"/>
                                    </w:rPr>
                                  </w:pPr>
                                </w:p>
                              </w:tc>
                              <w:tc>
                                <w:tcPr>
                                  <w:tcW w:w="924" w:type="dxa"/>
                                  <w:tcBorders>
                                    <w:top w:val="nil"/>
                                    <w:left w:val="nil"/>
                                    <w:bottom w:val="single" w:sz="4" w:space="0" w:color="auto"/>
                                    <w:right w:val="nil"/>
                                  </w:tcBorders>
                                  <w:hideMark/>
                                </w:tcPr>
                                <w:p w14:paraId="56B27175" w14:textId="77777777" w:rsidR="00D85AD0" w:rsidRDefault="00D85AD0">
                                  <w:pPr>
                                    <w:spacing w:after="0"/>
                                    <w:jc w:val="center"/>
                                    <w:rPr>
                                      <w:sz w:val="12"/>
                                      <w:szCs w:val="12"/>
                                      <w:lang w:val="sv-SE"/>
                                    </w:rPr>
                                  </w:pPr>
                                  <w:r>
                                    <w:rPr>
                                      <w:sz w:val="12"/>
                                      <w:szCs w:val="12"/>
                                      <w:lang w:val="sv-SE"/>
                                    </w:rPr>
                                    <w:t>Median OS</w:t>
                                  </w:r>
                                </w:p>
                              </w:tc>
                              <w:tc>
                                <w:tcPr>
                                  <w:tcW w:w="1417" w:type="dxa"/>
                                  <w:tcBorders>
                                    <w:top w:val="nil"/>
                                    <w:left w:val="nil"/>
                                    <w:bottom w:val="single" w:sz="4" w:space="0" w:color="auto"/>
                                    <w:right w:val="nil"/>
                                  </w:tcBorders>
                                  <w:hideMark/>
                                </w:tcPr>
                                <w:p w14:paraId="16B78A18" w14:textId="77777777" w:rsidR="00D85AD0" w:rsidRDefault="00D85AD0">
                                  <w:pPr>
                                    <w:spacing w:after="0"/>
                                    <w:jc w:val="center"/>
                                    <w:rPr>
                                      <w:sz w:val="12"/>
                                      <w:szCs w:val="12"/>
                                      <w:lang w:val="sv-SE"/>
                                    </w:rPr>
                                  </w:pPr>
                                  <w:r>
                                    <w:rPr>
                                      <w:sz w:val="12"/>
                                      <w:szCs w:val="12"/>
                                      <w:lang w:val="sv-SE"/>
                                    </w:rPr>
                                    <w:t>(95% CI)</w:t>
                                  </w:r>
                                </w:p>
                              </w:tc>
                            </w:tr>
                            <w:tr w:rsidR="00D85AD0" w14:paraId="175DF713" w14:textId="77777777">
                              <w:trPr>
                                <w:trHeight w:val="308"/>
                              </w:trPr>
                              <w:tc>
                                <w:tcPr>
                                  <w:tcW w:w="636" w:type="dxa"/>
                                  <w:tcBorders>
                                    <w:top w:val="single" w:sz="4" w:space="0" w:color="auto"/>
                                    <w:left w:val="nil"/>
                                    <w:bottom w:val="nil"/>
                                    <w:right w:val="nil"/>
                                  </w:tcBorders>
                                  <w:hideMark/>
                                </w:tcPr>
                                <w:p w14:paraId="2BE89BF0" w14:textId="77777777" w:rsidR="00D85AD0" w:rsidRDefault="00D85AD0">
                                  <w:pPr>
                                    <w:spacing w:after="0"/>
                                    <w:rPr>
                                      <w:sz w:val="12"/>
                                      <w:szCs w:val="12"/>
                                      <w:lang w:val="sv-SE"/>
                                    </w:rPr>
                                  </w:pPr>
                                  <w:r>
                                    <w:rPr>
                                      <w:sz w:val="12"/>
                                      <w:szCs w:val="12"/>
                                      <w:lang w:val="sv-SE"/>
                                    </w:rPr>
                                    <w:t>STRIDE</w:t>
                                  </w:r>
                                </w:p>
                              </w:tc>
                              <w:tc>
                                <w:tcPr>
                                  <w:tcW w:w="924" w:type="dxa"/>
                                  <w:tcBorders>
                                    <w:top w:val="single" w:sz="4" w:space="0" w:color="auto"/>
                                    <w:left w:val="nil"/>
                                    <w:bottom w:val="nil"/>
                                    <w:right w:val="nil"/>
                                  </w:tcBorders>
                                  <w:hideMark/>
                                </w:tcPr>
                                <w:p w14:paraId="15B300B6" w14:textId="77777777" w:rsidR="00D85AD0" w:rsidRDefault="00D85AD0">
                                  <w:pPr>
                                    <w:spacing w:after="0"/>
                                    <w:jc w:val="center"/>
                                    <w:rPr>
                                      <w:sz w:val="12"/>
                                      <w:szCs w:val="8"/>
                                      <w:lang w:eastAsia="en-GB"/>
                                    </w:rPr>
                                  </w:pPr>
                                  <w:r>
                                    <w:rPr>
                                      <w:sz w:val="12"/>
                                      <w:szCs w:val="8"/>
                                      <w:lang w:eastAsia="en-GB"/>
                                    </w:rPr>
                                    <w:t>16.4</w:t>
                                  </w:r>
                                </w:p>
                              </w:tc>
                              <w:tc>
                                <w:tcPr>
                                  <w:tcW w:w="1417" w:type="dxa"/>
                                  <w:tcBorders>
                                    <w:top w:val="single" w:sz="4" w:space="0" w:color="auto"/>
                                    <w:left w:val="nil"/>
                                    <w:bottom w:val="nil"/>
                                    <w:right w:val="nil"/>
                                  </w:tcBorders>
                                  <w:hideMark/>
                                </w:tcPr>
                                <w:p w14:paraId="0F2EF447" w14:textId="77777777" w:rsidR="00D85AD0" w:rsidRDefault="00D85AD0">
                                  <w:pPr>
                                    <w:spacing w:after="0"/>
                                    <w:jc w:val="center"/>
                                    <w:rPr>
                                      <w:rFonts w:eastAsiaTheme="minorEastAsia"/>
                                      <w:sz w:val="12"/>
                                      <w:szCs w:val="8"/>
                                      <w:lang w:val="sv-SE" w:eastAsia="en-US"/>
                                    </w:rPr>
                                  </w:pPr>
                                  <w:r>
                                    <w:rPr>
                                      <w:sz w:val="12"/>
                                      <w:szCs w:val="8"/>
                                      <w:lang w:eastAsia="en-GB"/>
                                    </w:rPr>
                                    <w:t>(14.2-19.6)</w:t>
                                  </w:r>
                                </w:p>
                              </w:tc>
                            </w:tr>
                            <w:tr w:rsidR="00D85AD0" w14:paraId="1418185E" w14:textId="77777777">
                              <w:trPr>
                                <w:trHeight w:val="297"/>
                              </w:trPr>
                              <w:tc>
                                <w:tcPr>
                                  <w:tcW w:w="636" w:type="dxa"/>
                                  <w:tcBorders>
                                    <w:top w:val="nil"/>
                                    <w:left w:val="nil"/>
                                    <w:bottom w:val="single" w:sz="4" w:space="0" w:color="auto"/>
                                    <w:right w:val="nil"/>
                                  </w:tcBorders>
                                  <w:hideMark/>
                                </w:tcPr>
                                <w:p w14:paraId="0ADC5EFC" w14:textId="77777777" w:rsidR="00D85AD0" w:rsidRDefault="00D85AD0">
                                  <w:pPr>
                                    <w:spacing w:after="0"/>
                                    <w:rPr>
                                      <w:sz w:val="12"/>
                                      <w:szCs w:val="12"/>
                                      <w:lang w:val="sv-SE"/>
                                    </w:rPr>
                                  </w:pPr>
                                  <w:r>
                                    <w:rPr>
                                      <w:sz w:val="12"/>
                                      <w:szCs w:val="12"/>
                                      <w:lang w:val="sv-SE"/>
                                    </w:rPr>
                                    <w:t>S</w:t>
                                  </w:r>
                                </w:p>
                              </w:tc>
                              <w:tc>
                                <w:tcPr>
                                  <w:tcW w:w="924" w:type="dxa"/>
                                  <w:tcBorders>
                                    <w:top w:val="nil"/>
                                    <w:left w:val="nil"/>
                                    <w:bottom w:val="single" w:sz="4" w:space="0" w:color="auto"/>
                                    <w:right w:val="nil"/>
                                  </w:tcBorders>
                                  <w:hideMark/>
                                </w:tcPr>
                                <w:p w14:paraId="43349D2C" w14:textId="77777777" w:rsidR="00D85AD0" w:rsidRDefault="00D85AD0">
                                  <w:pPr>
                                    <w:spacing w:after="0"/>
                                    <w:jc w:val="center"/>
                                    <w:rPr>
                                      <w:sz w:val="12"/>
                                      <w:szCs w:val="8"/>
                                      <w:lang w:eastAsia="en-GB"/>
                                    </w:rPr>
                                  </w:pPr>
                                  <w:r>
                                    <w:rPr>
                                      <w:sz w:val="12"/>
                                      <w:szCs w:val="8"/>
                                      <w:lang w:eastAsia="en-GB"/>
                                    </w:rPr>
                                    <w:t>13.8</w:t>
                                  </w:r>
                                </w:p>
                              </w:tc>
                              <w:tc>
                                <w:tcPr>
                                  <w:tcW w:w="1417" w:type="dxa"/>
                                  <w:tcBorders>
                                    <w:top w:val="nil"/>
                                    <w:left w:val="nil"/>
                                    <w:bottom w:val="single" w:sz="4" w:space="0" w:color="auto"/>
                                    <w:right w:val="nil"/>
                                  </w:tcBorders>
                                  <w:hideMark/>
                                </w:tcPr>
                                <w:p w14:paraId="547E8098" w14:textId="77777777" w:rsidR="00D85AD0" w:rsidRDefault="00D85AD0">
                                  <w:pPr>
                                    <w:spacing w:after="0"/>
                                    <w:jc w:val="center"/>
                                    <w:rPr>
                                      <w:rFonts w:eastAsiaTheme="minorEastAsia"/>
                                      <w:sz w:val="12"/>
                                      <w:szCs w:val="8"/>
                                      <w:lang w:val="sv-SE" w:eastAsia="en-US"/>
                                    </w:rPr>
                                  </w:pPr>
                                  <w:r>
                                    <w:rPr>
                                      <w:sz w:val="12"/>
                                      <w:szCs w:val="8"/>
                                      <w:lang w:eastAsia="en-GB"/>
                                    </w:rPr>
                                    <w:t>(12.3-16.1)</w:t>
                                  </w:r>
                                </w:p>
                              </w:tc>
                            </w:tr>
                            <w:tr w:rsidR="00D85AD0" w14:paraId="09424173" w14:textId="77777777">
                              <w:trPr>
                                <w:trHeight w:val="297"/>
                              </w:trPr>
                              <w:tc>
                                <w:tcPr>
                                  <w:tcW w:w="1560" w:type="dxa"/>
                                  <w:gridSpan w:val="2"/>
                                  <w:tcBorders>
                                    <w:top w:val="single" w:sz="4" w:space="0" w:color="auto"/>
                                    <w:left w:val="nil"/>
                                    <w:bottom w:val="nil"/>
                                    <w:right w:val="nil"/>
                                  </w:tcBorders>
                                  <w:hideMark/>
                                </w:tcPr>
                                <w:p w14:paraId="7B6B9D1F" w14:textId="77777777" w:rsidR="00D85AD0" w:rsidRDefault="00D85AD0">
                                  <w:pPr>
                                    <w:spacing w:after="0"/>
                                    <w:jc w:val="center"/>
                                    <w:rPr>
                                      <w:sz w:val="12"/>
                                      <w:szCs w:val="8"/>
                                      <w:lang w:eastAsia="en-GB"/>
                                    </w:rPr>
                                  </w:pPr>
                                  <w:r>
                                    <w:rPr>
                                      <w:sz w:val="12"/>
                                      <w:szCs w:val="12"/>
                                      <w:lang w:val="sv-SE"/>
                                    </w:rPr>
                                    <w:t>Hazard Ratio (95% CI)</w:t>
                                  </w:r>
                                </w:p>
                              </w:tc>
                              <w:tc>
                                <w:tcPr>
                                  <w:tcW w:w="1417" w:type="dxa"/>
                                  <w:tcBorders>
                                    <w:top w:val="single" w:sz="4" w:space="0" w:color="auto"/>
                                    <w:left w:val="nil"/>
                                    <w:bottom w:val="nil"/>
                                    <w:right w:val="nil"/>
                                  </w:tcBorders>
                                  <w:hideMark/>
                                </w:tcPr>
                                <w:p w14:paraId="6A779955" w14:textId="77777777" w:rsidR="00D85AD0" w:rsidRDefault="00D85AD0">
                                  <w:pPr>
                                    <w:spacing w:after="0"/>
                                    <w:jc w:val="center"/>
                                    <w:rPr>
                                      <w:sz w:val="12"/>
                                      <w:szCs w:val="8"/>
                                      <w:lang w:eastAsia="en-GB"/>
                                    </w:rPr>
                                  </w:pPr>
                                  <w:r>
                                    <w:rPr>
                                      <w:sz w:val="12"/>
                                      <w:szCs w:val="8"/>
                                      <w:lang w:eastAsia="en-GB"/>
                                    </w:rPr>
                                    <w:t>0.78 (0.66,</w:t>
                                  </w:r>
                                  <w:r>
                                    <w:rPr>
                                      <w:lang w:eastAsia="en-GB"/>
                                    </w:rPr>
                                    <w:t xml:space="preserve"> </w:t>
                                  </w:r>
                                  <w:r>
                                    <w:rPr>
                                      <w:sz w:val="12"/>
                                      <w:szCs w:val="8"/>
                                      <w:lang w:eastAsia="en-GB"/>
                                    </w:rPr>
                                    <w:t>0.92)</w:t>
                                  </w:r>
                                </w:p>
                              </w:tc>
                            </w:tr>
                          </w:tbl>
                          <w:p w14:paraId="4DD59E03" w14:textId="77777777" w:rsidR="00D85AD0" w:rsidRDefault="00D85AD0" w:rsidP="003C7111">
                            <w:pPr>
                              <w:rPr>
                                <w:rFonts w:eastAsiaTheme="minorEastAsia"/>
                                <w:sz w:val="12"/>
                                <w:szCs w:val="12"/>
                                <w:lang w:val="sv-SE"/>
                              </w:rPr>
                            </w:pPr>
                          </w:p>
                          <w:p w14:paraId="171BACA3" w14:textId="77777777" w:rsidR="00D85AD0" w:rsidRDefault="00D85AD0" w:rsidP="003C7111">
                            <w:pPr>
                              <w:rPr>
                                <w:sz w:val="12"/>
                                <w:szCs w:val="12"/>
                                <w:lang w:val="sv-SE"/>
                              </w:rPr>
                            </w:pPr>
                            <w:r>
                              <w:rPr>
                                <w:sz w:val="12"/>
                                <w:szCs w:val="12"/>
                                <w:lang w:val="sv-SE"/>
                              </w:rPr>
                              <w:t>S</w:t>
                            </w:r>
                          </w:p>
                          <w:p w14:paraId="1BBAB100" w14:textId="77777777" w:rsidR="00D85AD0" w:rsidRDefault="00D85AD0" w:rsidP="003C7111">
                            <w:pPr>
                              <w:rPr>
                                <w:sz w:val="12"/>
                                <w:szCs w:val="12"/>
                                <w:lang w:val="sv-SE"/>
                              </w:rPr>
                            </w:pPr>
                          </w:p>
                          <w:p w14:paraId="642500EC" w14:textId="77777777" w:rsidR="00D85AD0" w:rsidRDefault="00D85AD0" w:rsidP="003C7111">
                            <w:pPr>
                              <w:rPr>
                                <w:sz w:val="12"/>
                                <w:szCs w:val="12"/>
                                <w:lang w:val="sv-S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BE808F" id="Text Box 31" o:spid="_x0000_s1027" type="#_x0000_t202" style="position:absolute;margin-left:224.45pt;margin-top:.35pt;width:154.5pt;height:98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" filled="f" stroked="f">
                <v:textbox>
                  <w:txbxContent>
                    <w:p w14:paraId="48D752E6" w14:textId="77777777" w:rsidR="00D85AD0" w:rsidRDefault="00D85AD0" w:rsidP="003C7111">
                      <w:pPr>
                        <w:rPr>
                          <w:sz w:val="12"/>
                          <w:szCs w:val="12"/>
                          <w:lang w:val="sv-SE"/>
                        </w:rPr>
                      </w:pPr>
                    </w:p>
                    <w:tbl>
                      <w:tblPr>
                        <w:tblStyle w:val="TableGrid"/>
                        <w:tblW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924"/>
                        <w:gridCol w:w="1417"/>
                      </w:tblGrid>
                      <w:tr w:rsidR="00D85AD0" w14:paraId="1A398679" w14:textId="77777777">
                        <w:trPr>
                          <w:trHeight w:val="297"/>
                        </w:trPr>
                        <w:tc>
                          <w:tcPr>
                            <w:tcW w:w="636" w:type="dxa"/>
                            <w:tcBorders>
                              <w:top w:val="nil"/>
                              <w:left w:val="nil"/>
                              <w:bottom w:val="single" w:sz="4" w:space="0" w:color="auto"/>
                              <w:right w:val="nil"/>
                            </w:tcBorders>
                          </w:tcPr>
                          <w:p w14:paraId="0794133B" w14:textId="77777777" w:rsidR="00D85AD0" w:rsidRDefault="00D85AD0">
                            <w:pPr>
                              <w:spacing w:after="0"/>
                              <w:rPr>
                                <w:sz w:val="12"/>
                                <w:szCs w:val="12"/>
                                <w:lang w:val="sv-SE"/>
                              </w:rPr>
                            </w:pPr>
                          </w:p>
                        </w:tc>
                        <w:tc>
                          <w:tcPr>
                            <w:tcW w:w="924" w:type="dxa"/>
                            <w:tcBorders>
                              <w:top w:val="nil"/>
                              <w:left w:val="nil"/>
                              <w:bottom w:val="single" w:sz="4" w:space="0" w:color="auto"/>
                              <w:right w:val="nil"/>
                            </w:tcBorders>
                            <w:hideMark/>
                          </w:tcPr>
                          <w:p w14:paraId="56B27175" w14:textId="77777777" w:rsidR="00D85AD0" w:rsidRDefault="00D85AD0">
                            <w:pPr>
                              <w:spacing w:after="0"/>
                              <w:jc w:val="center"/>
                              <w:rPr>
                                <w:sz w:val="12"/>
                                <w:szCs w:val="12"/>
                                <w:lang w:val="sv-SE"/>
                              </w:rPr>
                            </w:pPr>
                            <w:r>
                              <w:rPr>
                                <w:sz w:val="12"/>
                                <w:szCs w:val="12"/>
                                <w:lang w:val="sv-SE"/>
                              </w:rPr>
                              <w:t>Median OS</w:t>
                            </w:r>
                          </w:p>
                        </w:tc>
                        <w:tc>
                          <w:tcPr>
                            <w:tcW w:w="1417" w:type="dxa"/>
                            <w:tcBorders>
                              <w:top w:val="nil"/>
                              <w:left w:val="nil"/>
                              <w:bottom w:val="single" w:sz="4" w:space="0" w:color="auto"/>
                              <w:right w:val="nil"/>
                            </w:tcBorders>
                            <w:hideMark/>
                          </w:tcPr>
                          <w:p w14:paraId="16B78A18" w14:textId="77777777" w:rsidR="00D85AD0" w:rsidRDefault="00D85AD0">
                            <w:pPr>
                              <w:spacing w:after="0"/>
                              <w:jc w:val="center"/>
                              <w:rPr>
                                <w:sz w:val="12"/>
                                <w:szCs w:val="12"/>
                                <w:lang w:val="sv-SE"/>
                              </w:rPr>
                            </w:pPr>
                            <w:r>
                              <w:rPr>
                                <w:sz w:val="12"/>
                                <w:szCs w:val="12"/>
                                <w:lang w:val="sv-SE"/>
                              </w:rPr>
                              <w:t>(95% CI)</w:t>
                            </w:r>
                          </w:p>
                        </w:tc>
                      </w:tr>
                      <w:tr w:rsidR="00D85AD0" w14:paraId="175DF713" w14:textId="77777777">
                        <w:trPr>
                          <w:trHeight w:val="308"/>
                        </w:trPr>
                        <w:tc>
                          <w:tcPr>
                            <w:tcW w:w="636" w:type="dxa"/>
                            <w:tcBorders>
                              <w:top w:val="single" w:sz="4" w:space="0" w:color="auto"/>
                              <w:left w:val="nil"/>
                              <w:bottom w:val="nil"/>
                              <w:right w:val="nil"/>
                            </w:tcBorders>
                            <w:hideMark/>
                          </w:tcPr>
                          <w:p w14:paraId="2BE89BF0" w14:textId="77777777" w:rsidR="00D85AD0" w:rsidRDefault="00D85AD0">
                            <w:pPr>
                              <w:spacing w:after="0"/>
                              <w:rPr>
                                <w:sz w:val="12"/>
                                <w:szCs w:val="12"/>
                                <w:lang w:val="sv-SE"/>
                              </w:rPr>
                            </w:pPr>
                            <w:r>
                              <w:rPr>
                                <w:sz w:val="12"/>
                                <w:szCs w:val="12"/>
                                <w:lang w:val="sv-SE"/>
                              </w:rPr>
                              <w:t>STRIDE</w:t>
                            </w:r>
                          </w:p>
                        </w:tc>
                        <w:tc>
                          <w:tcPr>
                            <w:tcW w:w="924" w:type="dxa"/>
                            <w:tcBorders>
                              <w:top w:val="single" w:sz="4" w:space="0" w:color="auto"/>
                              <w:left w:val="nil"/>
                              <w:bottom w:val="nil"/>
                              <w:right w:val="nil"/>
                            </w:tcBorders>
                            <w:hideMark/>
                          </w:tcPr>
                          <w:p w14:paraId="15B300B6" w14:textId="77777777" w:rsidR="00D85AD0" w:rsidRDefault="00D85AD0">
                            <w:pPr>
                              <w:spacing w:after="0"/>
                              <w:jc w:val="center"/>
                              <w:rPr>
                                <w:sz w:val="12"/>
                                <w:szCs w:val="8"/>
                                <w:lang w:eastAsia="en-GB"/>
                              </w:rPr>
                            </w:pPr>
                            <w:r>
                              <w:rPr>
                                <w:sz w:val="12"/>
                                <w:szCs w:val="8"/>
                                <w:lang w:eastAsia="en-GB"/>
                              </w:rPr>
                              <w:t>16.4</w:t>
                            </w:r>
                          </w:p>
                        </w:tc>
                        <w:tc>
                          <w:tcPr>
                            <w:tcW w:w="1417" w:type="dxa"/>
                            <w:tcBorders>
                              <w:top w:val="single" w:sz="4" w:space="0" w:color="auto"/>
                              <w:left w:val="nil"/>
                              <w:bottom w:val="nil"/>
                              <w:right w:val="nil"/>
                            </w:tcBorders>
                            <w:hideMark/>
                          </w:tcPr>
                          <w:p w14:paraId="0F2EF447" w14:textId="77777777" w:rsidR="00D85AD0" w:rsidRDefault="00D85AD0">
                            <w:pPr>
                              <w:spacing w:after="0"/>
                              <w:jc w:val="center"/>
                              <w:rPr>
                                <w:rFonts w:eastAsiaTheme="minorEastAsia"/>
                                <w:sz w:val="12"/>
                                <w:szCs w:val="8"/>
                                <w:lang w:val="sv-SE" w:eastAsia="en-US"/>
                              </w:rPr>
                            </w:pPr>
                            <w:r>
                              <w:rPr>
                                <w:sz w:val="12"/>
                                <w:szCs w:val="8"/>
                                <w:lang w:eastAsia="en-GB"/>
                              </w:rPr>
                              <w:t>(14.2-19.6)</w:t>
                            </w:r>
                          </w:p>
                        </w:tc>
                      </w:tr>
                      <w:tr w:rsidR="00D85AD0" w14:paraId="1418185E" w14:textId="77777777">
                        <w:trPr>
                          <w:trHeight w:val="297"/>
                        </w:trPr>
                        <w:tc>
                          <w:tcPr>
                            <w:tcW w:w="636" w:type="dxa"/>
                            <w:tcBorders>
                              <w:top w:val="nil"/>
                              <w:left w:val="nil"/>
                              <w:bottom w:val="single" w:sz="4" w:space="0" w:color="auto"/>
                              <w:right w:val="nil"/>
                            </w:tcBorders>
                            <w:hideMark/>
                          </w:tcPr>
                          <w:p w14:paraId="0ADC5EFC" w14:textId="77777777" w:rsidR="00D85AD0" w:rsidRDefault="00D85AD0">
                            <w:pPr>
                              <w:spacing w:after="0"/>
                              <w:rPr>
                                <w:sz w:val="12"/>
                                <w:szCs w:val="12"/>
                                <w:lang w:val="sv-SE"/>
                              </w:rPr>
                            </w:pPr>
                            <w:r>
                              <w:rPr>
                                <w:sz w:val="12"/>
                                <w:szCs w:val="12"/>
                                <w:lang w:val="sv-SE"/>
                              </w:rPr>
                              <w:t>S</w:t>
                            </w:r>
                          </w:p>
                        </w:tc>
                        <w:tc>
                          <w:tcPr>
                            <w:tcW w:w="924" w:type="dxa"/>
                            <w:tcBorders>
                              <w:top w:val="nil"/>
                              <w:left w:val="nil"/>
                              <w:bottom w:val="single" w:sz="4" w:space="0" w:color="auto"/>
                              <w:right w:val="nil"/>
                            </w:tcBorders>
                            <w:hideMark/>
                          </w:tcPr>
                          <w:p w14:paraId="43349D2C" w14:textId="77777777" w:rsidR="00D85AD0" w:rsidRDefault="00D85AD0">
                            <w:pPr>
                              <w:spacing w:after="0"/>
                              <w:jc w:val="center"/>
                              <w:rPr>
                                <w:sz w:val="12"/>
                                <w:szCs w:val="8"/>
                                <w:lang w:eastAsia="en-GB"/>
                              </w:rPr>
                            </w:pPr>
                            <w:r>
                              <w:rPr>
                                <w:sz w:val="12"/>
                                <w:szCs w:val="8"/>
                                <w:lang w:eastAsia="en-GB"/>
                              </w:rPr>
                              <w:t>13.8</w:t>
                            </w:r>
                          </w:p>
                        </w:tc>
                        <w:tc>
                          <w:tcPr>
                            <w:tcW w:w="1417" w:type="dxa"/>
                            <w:tcBorders>
                              <w:top w:val="nil"/>
                              <w:left w:val="nil"/>
                              <w:bottom w:val="single" w:sz="4" w:space="0" w:color="auto"/>
                              <w:right w:val="nil"/>
                            </w:tcBorders>
                            <w:hideMark/>
                          </w:tcPr>
                          <w:p w14:paraId="547E8098" w14:textId="77777777" w:rsidR="00D85AD0" w:rsidRDefault="00D85AD0">
                            <w:pPr>
                              <w:spacing w:after="0"/>
                              <w:jc w:val="center"/>
                              <w:rPr>
                                <w:rFonts w:eastAsiaTheme="minorEastAsia"/>
                                <w:sz w:val="12"/>
                                <w:szCs w:val="8"/>
                                <w:lang w:val="sv-SE" w:eastAsia="en-US"/>
                              </w:rPr>
                            </w:pPr>
                            <w:r>
                              <w:rPr>
                                <w:sz w:val="12"/>
                                <w:szCs w:val="8"/>
                                <w:lang w:eastAsia="en-GB"/>
                              </w:rPr>
                              <w:t>(12.3-16.1)</w:t>
                            </w:r>
                          </w:p>
                        </w:tc>
                      </w:tr>
                      <w:tr w:rsidR="00D85AD0" w14:paraId="09424173" w14:textId="77777777">
                        <w:trPr>
                          <w:trHeight w:val="297"/>
                        </w:trPr>
                        <w:tc>
                          <w:tcPr>
                            <w:tcW w:w="1560" w:type="dxa"/>
                            <w:gridSpan w:val="2"/>
                            <w:tcBorders>
                              <w:top w:val="single" w:sz="4" w:space="0" w:color="auto"/>
                              <w:left w:val="nil"/>
                              <w:bottom w:val="nil"/>
                              <w:right w:val="nil"/>
                            </w:tcBorders>
                            <w:hideMark/>
                          </w:tcPr>
                          <w:p w14:paraId="7B6B9D1F" w14:textId="77777777" w:rsidR="00D85AD0" w:rsidRDefault="00D85AD0">
                            <w:pPr>
                              <w:spacing w:after="0"/>
                              <w:jc w:val="center"/>
                              <w:rPr>
                                <w:sz w:val="12"/>
                                <w:szCs w:val="8"/>
                                <w:lang w:eastAsia="en-GB"/>
                              </w:rPr>
                            </w:pPr>
                            <w:r>
                              <w:rPr>
                                <w:sz w:val="12"/>
                                <w:szCs w:val="12"/>
                                <w:lang w:val="sv-SE"/>
                              </w:rPr>
                              <w:t>Hazard Ratio (95% CI)</w:t>
                            </w:r>
                          </w:p>
                        </w:tc>
                        <w:tc>
                          <w:tcPr>
                            <w:tcW w:w="1417" w:type="dxa"/>
                            <w:tcBorders>
                              <w:top w:val="single" w:sz="4" w:space="0" w:color="auto"/>
                              <w:left w:val="nil"/>
                              <w:bottom w:val="nil"/>
                              <w:right w:val="nil"/>
                            </w:tcBorders>
                            <w:hideMark/>
                          </w:tcPr>
                          <w:p w14:paraId="6A779955" w14:textId="77777777" w:rsidR="00D85AD0" w:rsidRDefault="00D85AD0">
                            <w:pPr>
                              <w:spacing w:after="0"/>
                              <w:jc w:val="center"/>
                              <w:rPr>
                                <w:sz w:val="12"/>
                                <w:szCs w:val="8"/>
                                <w:lang w:eastAsia="en-GB"/>
                              </w:rPr>
                            </w:pPr>
                            <w:r>
                              <w:rPr>
                                <w:sz w:val="12"/>
                                <w:szCs w:val="8"/>
                                <w:lang w:eastAsia="en-GB"/>
                              </w:rPr>
                              <w:t>0.78 (0.66,</w:t>
                            </w:r>
                            <w:r>
                              <w:rPr>
                                <w:lang w:eastAsia="en-GB"/>
                              </w:rPr>
                              <w:t xml:space="preserve"> </w:t>
                            </w:r>
                            <w:r>
                              <w:rPr>
                                <w:sz w:val="12"/>
                                <w:szCs w:val="8"/>
                                <w:lang w:eastAsia="en-GB"/>
                              </w:rPr>
                              <w:t>0.92)</w:t>
                            </w:r>
                          </w:p>
                        </w:tc>
                      </w:tr>
                    </w:tbl>
                    <w:p w14:paraId="4DD59E03" w14:textId="77777777" w:rsidR="00D85AD0" w:rsidRDefault="00D85AD0" w:rsidP="003C7111">
                      <w:pPr>
                        <w:rPr>
                          <w:rFonts w:eastAsiaTheme="minorEastAsia"/>
                          <w:sz w:val="12"/>
                          <w:szCs w:val="12"/>
                          <w:lang w:val="sv-SE"/>
                        </w:rPr>
                      </w:pPr>
                    </w:p>
                    <w:p w14:paraId="171BACA3" w14:textId="77777777" w:rsidR="00D85AD0" w:rsidRDefault="00D85AD0" w:rsidP="003C7111">
                      <w:pPr>
                        <w:rPr>
                          <w:sz w:val="12"/>
                          <w:szCs w:val="12"/>
                          <w:lang w:val="sv-SE"/>
                        </w:rPr>
                      </w:pPr>
                      <w:r>
                        <w:rPr>
                          <w:sz w:val="12"/>
                          <w:szCs w:val="12"/>
                          <w:lang w:val="sv-SE"/>
                        </w:rPr>
                        <w:t>S</w:t>
                      </w:r>
                    </w:p>
                    <w:p w14:paraId="1BBAB100" w14:textId="77777777" w:rsidR="00D85AD0" w:rsidRDefault="00D85AD0" w:rsidP="003C7111">
                      <w:pPr>
                        <w:rPr>
                          <w:sz w:val="12"/>
                          <w:szCs w:val="12"/>
                          <w:lang w:val="sv-SE"/>
                        </w:rPr>
                      </w:pPr>
                    </w:p>
                    <w:p w14:paraId="642500EC" w14:textId="77777777" w:rsidR="00D85AD0" w:rsidRDefault="00D85AD0" w:rsidP="003C7111">
                      <w:pPr>
                        <w:rPr>
                          <w:sz w:val="12"/>
                          <w:szCs w:val="12"/>
                          <w:lang w:val="sv-SE"/>
                        </w:rPr>
                      </w:pPr>
                    </w:p>
                  </w:txbxContent>
                </v:textbox>
                <w10:wrap anchorx="margin"/>
              </v:shape>
            </w:pict>
          </mc:Fallback>
        </mc:AlternateContent>
      </w:r>
    </w:p>
    <w:p w14:paraId="43F80DE9" w14:textId="02A24F17" w:rsidR="003C7111" w:rsidRDefault="003C7111" w:rsidP="003C7111">
      <w:pPr>
        <w:autoSpaceDE w:val="0"/>
        <w:autoSpaceDN w:val="0"/>
        <w:adjustRightInd w:val="0"/>
        <w:spacing w:after="0" w:line="240" w:lineRule="auto"/>
        <w:rPr>
          <w:i/>
          <w:lang w:eastAsia="en-GB"/>
        </w:rPr>
      </w:pPr>
      <w:r>
        <w:rPr>
          <w:rFonts w:eastAsiaTheme="minorEastAsia"/>
          <w:noProof/>
        </w:rPr>
        <w:lastRenderedPageBreak/>
        <mc:AlternateContent>
          <mc:Choice Requires="wps">
            <w:drawing>
              <wp:anchor distT="45720" distB="45720" distL="114300" distR="114300" simplePos="0" relativeHeight="251655168" behindDoc="0" locked="0" layoutInCell="1" allowOverlap="1" wp14:anchorId="6956B8CD" wp14:editId="5F2DFF26">
                <wp:simplePos x="0" y="0"/>
                <wp:positionH relativeFrom="margin">
                  <wp:posOffset>45085</wp:posOffset>
                </wp:positionH>
                <wp:positionV relativeFrom="paragraph">
                  <wp:posOffset>563880</wp:posOffset>
                </wp:positionV>
                <wp:extent cx="361950" cy="1712595"/>
                <wp:effectExtent l="0" t="0" r="0" b="190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1711960"/>
                        </a:xfrm>
                        <a:prstGeom prst="rect">
                          <a:avLst/>
                        </a:prstGeom>
                        <a:noFill/>
                        <a:ln w="9525">
                          <a:noFill/>
                          <a:miter lim="800000"/>
                          <a:headEnd/>
                          <a:tailEnd/>
                        </a:ln>
                      </wps:spPr>
                      <wps:txbx>
                        <w:txbxContent>
                          <w:p w14:paraId="7AA15937" w14:textId="77777777" w:rsidR="00D85AD0" w:rsidRDefault="00D85AD0" w:rsidP="003C7111">
                            <w:pPr>
                              <w:rPr>
                                <w:sz w:val="20"/>
                                <w:lang w:val="sv-SE"/>
                              </w:rPr>
                            </w:pPr>
                            <w:r>
                              <w:rPr>
                                <w:sz w:val="20"/>
                                <w:lang w:val="sv-SE"/>
                              </w:rPr>
                              <w:t xml:space="preserve">Probability </w:t>
                            </w:r>
                            <w:r>
                              <w:rPr>
                                <w:sz w:val="20"/>
                                <w:lang w:val="sv-SE"/>
                              </w:rPr>
                              <w:t>of Overall Survival</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56B8CD" id="Text Box 30" o:spid="_x0000_s1028" type="#_x0000_t202" style="position:absolute;margin-left:3.55pt;margin-top:44.4pt;width:28.5pt;height:134.8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" filled="f" stroked="f">
                <v:textbox style="layout-flow:vertical;mso-layout-flow-alt:bottom-to-top">
                  <w:txbxContent>
                    <w:p w14:paraId="7AA15937" w14:textId="77777777" w:rsidR="00D85AD0" w:rsidRDefault="00D85AD0" w:rsidP="003C7111">
                      <w:pPr>
                        <w:rPr>
                          <w:sz w:val="20"/>
                          <w:lang w:val="sv-SE"/>
                        </w:rPr>
                      </w:pPr>
                      <w:r>
                        <w:rPr>
                          <w:sz w:val="20"/>
                          <w:lang w:val="sv-SE"/>
                        </w:rPr>
                        <w:t xml:space="preserve">Probability </w:t>
                      </w:r>
                      <w:r>
                        <w:rPr>
                          <w:sz w:val="20"/>
                          <w:lang w:val="sv-SE"/>
                        </w:rPr>
                        <w:t>of Overall Survival</w:t>
                      </w:r>
                    </w:p>
                  </w:txbxContent>
                </v:textbox>
                <w10:wrap anchorx="margin"/>
              </v:shape>
            </w:pict>
          </mc:Fallback>
        </mc:AlternateContent>
      </w:r>
      <w:r>
        <w:rPr>
          <w:rFonts w:eastAsiaTheme="minorEastAsia"/>
          <w:noProof/>
        </w:rPr>
        <mc:AlternateContent>
          <mc:Choice Requires="wps">
            <w:drawing>
              <wp:anchor distT="45720" distB="45720" distL="114300" distR="114300" simplePos="0" relativeHeight="251656192" behindDoc="0" locked="0" layoutInCell="1" allowOverlap="1" wp14:anchorId="3EFC7BEC" wp14:editId="0168193D">
                <wp:simplePos x="0" y="0"/>
                <wp:positionH relativeFrom="margin">
                  <wp:posOffset>2105660</wp:posOffset>
                </wp:positionH>
                <wp:positionV relativeFrom="paragraph">
                  <wp:posOffset>2739390</wp:posOffset>
                </wp:positionV>
                <wp:extent cx="2292985" cy="29337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292735"/>
                        </a:xfrm>
                        <a:prstGeom prst="rect">
                          <a:avLst/>
                        </a:prstGeom>
                        <a:noFill/>
                        <a:ln w="9525">
                          <a:noFill/>
                          <a:miter lim="800000"/>
                          <a:headEnd/>
                          <a:tailEnd/>
                        </a:ln>
                      </wps:spPr>
                      <wps:txbx>
                        <w:txbxContent>
                          <w:p w14:paraId="1AE87A02" w14:textId="77777777" w:rsidR="00D85AD0" w:rsidRDefault="00D85AD0" w:rsidP="003C7111">
                            <w:pPr>
                              <w:rPr>
                                <w:sz w:val="20"/>
                                <w:lang w:val="sv-SE"/>
                              </w:rPr>
                            </w:pPr>
                            <w:r>
                              <w:rPr>
                                <w:sz w:val="20"/>
                                <w:lang w:val="sv-SE"/>
                              </w:rPr>
                              <w:t xml:space="preserve">Time </w:t>
                            </w:r>
                            <w:r>
                              <w:rPr>
                                <w:sz w:val="20"/>
                                <w:lang w:val="sv-SE"/>
                              </w:rPr>
                              <w:t>from randomization (months)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FC7BEC" id="Text Box 29" o:spid="_x0000_s1029" type="#_x0000_t202" style="position:absolute;margin-left:165.8pt;margin-top:215.7pt;width:180.55pt;height:23.1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" filled="f" stroked="f">
                <v:textbox>
                  <w:txbxContent>
                    <w:p w14:paraId="1AE87A02" w14:textId="77777777" w:rsidR="00D85AD0" w:rsidRDefault="00D85AD0" w:rsidP="003C7111">
                      <w:pPr>
                        <w:rPr>
                          <w:sz w:val="20"/>
                          <w:lang w:val="sv-SE"/>
                        </w:rPr>
                      </w:pPr>
                      <w:r>
                        <w:rPr>
                          <w:sz w:val="20"/>
                          <w:lang w:val="sv-SE"/>
                        </w:rPr>
                        <w:t xml:space="preserve">Time </w:t>
                      </w:r>
                      <w:r>
                        <w:rPr>
                          <w:sz w:val="20"/>
                          <w:lang w:val="sv-SE"/>
                        </w:rPr>
                        <w:t>from randomization (months)</w:t>
                      </w:r>
                    </w:p>
                  </w:txbxContent>
                </v:textbox>
                <w10:wrap anchorx="margin"/>
              </v:shape>
            </w:pict>
          </mc:Fallback>
        </mc:AlternateContent>
      </w:r>
      <w:r>
        <w:rPr>
          <w:rFonts w:eastAsiaTheme="minorEastAsia"/>
          <w:noProof/>
        </w:rPr>
        <mc:AlternateContent>
          <mc:Choice Requires="wps">
            <w:drawing>
              <wp:anchor distT="45720" distB="45720" distL="114300" distR="114300" simplePos="0" relativeHeight="251657216" behindDoc="0" locked="0" layoutInCell="1" allowOverlap="1" wp14:anchorId="772AD257" wp14:editId="44023169">
                <wp:simplePos x="0" y="0"/>
                <wp:positionH relativeFrom="margin">
                  <wp:posOffset>259080</wp:posOffset>
                </wp:positionH>
                <wp:positionV relativeFrom="paragraph">
                  <wp:posOffset>2428875</wp:posOffset>
                </wp:positionV>
                <wp:extent cx="511175" cy="292735"/>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75" cy="292735"/>
                        </a:xfrm>
                        <a:prstGeom prst="rect">
                          <a:avLst/>
                        </a:prstGeom>
                        <a:noFill/>
                        <a:ln w="9525">
                          <a:noFill/>
                          <a:miter lim="800000"/>
                          <a:headEnd/>
                          <a:tailEnd/>
                        </a:ln>
                      </wps:spPr>
                      <wps:txbx>
                        <w:txbxContent>
                          <w:p w14:paraId="639D6F46" w14:textId="77777777" w:rsidR="00D85AD0" w:rsidRDefault="00D85AD0" w:rsidP="003C7111">
                            <w:pPr>
                              <w:rPr>
                                <w:sz w:val="12"/>
                                <w:szCs w:val="12"/>
                              </w:rPr>
                            </w:pPr>
                            <w:r>
                              <w:rPr>
                                <w:sz w:val="12"/>
                                <w:szCs w:val="12"/>
                              </w:rPr>
                              <w:t>STRIDE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2AD257" id="Text Box 28" o:spid="_x0000_s1030" type="#_x0000_t202" style="position:absolute;margin-left:20.4pt;margin-top:191.25pt;width:40.25pt;height:23.0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" filled="f" stroked="f">
                <v:textbox>
                  <w:txbxContent>
                    <w:p w14:paraId="639D6F46" w14:textId="77777777" w:rsidR="00D85AD0" w:rsidRDefault="00D85AD0" w:rsidP="003C7111">
                      <w:pPr>
                        <w:rPr>
                          <w:sz w:val="12"/>
                          <w:szCs w:val="12"/>
                        </w:rPr>
                      </w:pPr>
                      <w:r>
                        <w:rPr>
                          <w:sz w:val="12"/>
                          <w:szCs w:val="12"/>
                        </w:rPr>
                        <w:t>STRIDE</w:t>
                      </w:r>
                    </w:p>
                  </w:txbxContent>
                </v:textbox>
                <w10:wrap anchorx="margin"/>
              </v:shape>
            </w:pict>
          </mc:Fallback>
        </mc:AlternateContent>
      </w:r>
      <w:r>
        <w:rPr>
          <w:rFonts w:eastAsiaTheme="minorEastAsia"/>
          <w:noProof/>
        </w:rPr>
        <mc:AlternateContent>
          <mc:Choice Requires="wps">
            <w:drawing>
              <wp:anchor distT="45720" distB="45720" distL="114300" distR="114300" simplePos="0" relativeHeight="251658240" behindDoc="0" locked="0" layoutInCell="1" allowOverlap="1" wp14:anchorId="40D449FE" wp14:editId="79F1BF22">
                <wp:simplePos x="0" y="0"/>
                <wp:positionH relativeFrom="margin">
                  <wp:posOffset>375285</wp:posOffset>
                </wp:positionH>
                <wp:positionV relativeFrom="paragraph">
                  <wp:posOffset>2530475</wp:posOffset>
                </wp:positionV>
                <wp:extent cx="511810" cy="29337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75" cy="292735"/>
                        </a:xfrm>
                        <a:prstGeom prst="rect">
                          <a:avLst/>
                        </a:prstGeom>
                        <a:noFill/>
                        <a:ln w="9525">
                          <a:noFill/>
                          <a:miter lim="800000"/>
                          <a:headEnd/>
                          <a:tailEnd/>
                        </a:ln>
                      </wps:spPr>
                      <wps:txbx>
                        <w:txbxContent>
                          <w:p w14:paraId="29C2B463" w14:textId="77777777" w:rsidR="00D85AD0" w:rsidRDefault="00D85AD0" w:rsidP="003C7111">
                            <w:pPr>
                              <w:rPr>
                                <w:sz w:val="12"/>
                                <w:szCs w:val="12"/>
                              </w:rPr>
                            </w:pPr>
                            <w:r>
                              <w:rPr>
                                <w:sz w:val="12"/>
                                <w:szCs w:val="12"/>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D449FE" id="Text Box 27" o:spid="_x0000_s1031" type="#_x0000_t202" style="position:absolute;margin-left:29.55pt;margin-top:199.25pt;width:40.3pt;height:23.1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" filled="f" stroked="f">
                <v:textbox>
                  <w:txbxContent>
                    <w:p w14:paraId="29C2B463" w14:textId="77777777" w:rsidR="00D85AD0" w:rsidRDefault="00D85AD0" w:rsidP="003C7111">
                      <w:pPr>
                        <w:rPr>
                          <w:sz w:val="12"/>
                          <w:szCs w:val="12"/>
                        </w:rPr>
                      </w:pPr>
                      <w:r>
                        <w:rPr>
                          <w:sz w:val="12"/>
                          <w:szCs w:val="12"/>
                        </w:rPr>
                        <w:t>S</w:t>
                      </w:r>
                    </w:p>
                  </w:txbxContent>
                </v:textbox>
                <w10:wrap anchorx="margin"/>
              </v:shape>
            </w:pict>
          </mc:Fallback>
        </mc:AlternateContent>
      </w:r>
      <w:r>
        <w:rPr>
          <w:rFonts w:eastAsiaTheme="minorEastAsia"/>
          <w:noProof/>
        </w:rPr>
        <mc:AlternateContent>
          <mc:Choice Requires="wps">
            <w:drawing>
              <wp:anchor distT="45720" distB="45720" distL="114300" distR="114300" simplePos="0" relativeHeight="251659264" behindDoc="0" locked="0" layoutInCell="1" allowOverlap="1" wp14:anchorId="2B276ED0" wp14:editId="136652F0">
                <wp:simplePos x="0" y="0"/>
                <wp:positionH relativeFrom="margin">
                  <wp:posOffset>5149215</wp:posOffset>
                </wp:positionH>
                <wp:positionV relativeFrom="paragraph">
                  <wp:posOffset>638810</wp:posOffset>
                </wp:positionV>
                <wp:extent cx="511810" cy="300355"/>
                <wp:effectExtent l="0" t="0" r="0" b="444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75" cy="299720"/>
                        </a:xfrm>
                        <a:prstGeom prst="rect">
                          <a:avLst/>
                        </a:prstGeom>
                        <a:noFill/>
                        <a:ln w="9525">
                          <a:noFill/>
                          <a:miter lim="800000"/>
                          <a:headEnd/>
                          <a:tailEnd/>
                        </a:ln>
                      </wps:spPr>
                      <wps:txbx>
                        <w:txbxContent>
                          <w:p w14:paraId="2D8EF948" w14:textId="77777777" w:rsidR="00D85AD0" w:rsidRDefault="00D85AD0" w:rsidP="003C7111">
                            <w:pPr>
                              <w:rPr>
                                <w:sz w:val="12"/>
                                <w:szCs w:val="12"/>
                                <w:lang w:val="sv-SE"/>
                              </w:rPr>
                            </w:pPr>
                            <w:r>
                              <w:rPr>
                                <w:sz w:val="12"/>
                                <w:szCs w:val="12"/>
                                <w:lang w:val="sv-SE"/>
                              </w:rPr>
                              <w:t>Censored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276ED0" id="Text Box 26" o:spid="_x0000_s1032" type="#_x0000_t202" style="position:absolute;margin-left:405.45pt;margin-top:50.3pt;width:40.3pt;height:23.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" filled="f" stroked="f">
                <v:textbox>
                  <w:txbxContent>
                    <w:p w14:paraId="2D8EF948" w14:textId="77777777" w:rsidR="00D85AD0" w:rsidRDefault="00D85AD0" w:rsidP="003C7111">
                      <w:pPr>
                        <w:rPr>
                          <w:sz w:val="12"/>
                          <w:szCs w:val="12"/>
                          <w:lang w:val="sv-SE"/>
                        </w:rPr>
                      </w:pPr>
                      <w:r>
                        <w:rPr>
                          <w:sz w:val="12"/>
                          <w:szCs w:val="12"/>
                          <w:lang w:val="sv-SE"/>
                        </w:rPr>
                        <w:t>Censored</w:t>
                      </w:r>
                    </w:p>
                  </w:txbxContent>
                </v:textbox>
                <w10:wrap anchorx="margin"/>
              </v:shape>
            </w:pict>
          </mc:Fallback>
        </mc:AlternateContent>
      </w:r>
      <w:r>
        <w:rPr>
          <w:rFonts w:eastAsiaTheme="minorEastAsia"/>
          <w:noProof/>
        </w:rPr>
        <mc:AlternateContent>
          <mc:Choice Requires="wps">
            <w:drawing>
              <wp:anchor distT="45720" distB="45720" distL="114300" distR="114300" simplePos="0" relativeHeight="251660288" behindDoc="0" locked="0" layoutInCell="1" allowOverlap="1" wp14:anchorId="22D2FDBA" wp14:editId="05176686">
                <wp:simplePos x="0" y="0"/>
                <wp:positionH relativeFrom="margin">
                  <wp:posOffset>5170170</wp:posOffset>
                </wp:positionH>
                <wp:positionV relativeFrom="paragraph">
                  <wp:posOffset>563880</wp:posOffset>
                </wp:positionV>
                <wp:extent cx="191135" cy="266065"/>
                <wp:effectExtent l="0" t="0" r="0" b="63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66065"/>
                        </a:xfrm>
                        <a:prstGeom prst="rect">
                          <a:avLst/>
                        </a:prstGeom>
                        <a:noFill/>
                        <a:ln w="9525">
                          <a:noFill/>
                          <a:miter lim="800000"/>
                          <a:headEnd/>
                          <a:tailEnd/>
                        </a:ln>
                      </wps:spPr>
                      <wps:txbx>
                        <w:txbxContent>
                          <w:p w14:paraId="60FE054A" w14:textId="77777777" w:rsidR="00D85AD0" w:rsidRDefault="00D85AD0" w:rsidP="003C7111">
                            <w:pPr>
                              <w:rPr>
                                <w:sz w:val="12"/>
                                <w:szCs w:val="12"/>
                                <w:lang w:val="sv-SE"/>
                              </w:rPr>
                            </w:pPr>
                            <w:r>
                              <w:rPr>
                                <w:sz w:val="12"/>
                                <w:szCs w:val="12"/>
                                <w:lang w:val="sv-SE"/>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2FDBA" id="Text Box 25" o:spid="_x0000_s1033" type="#_x0000_t202" style="position:absolute;margin-left:407.1pt;margin-top:44.4pt;width:15.05pt;height:20.9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" filled="f" stroked="f">
                <v:textbox>
                  <w:txbxContent>
                    <w:p w14:paraId="60FE054A" w14:textId="77777777" w:rsidR="00D85AD0" w:rsidRDefault="00D85AD0" w:rsidP="003C7111">
                      <w:pPr>
                        <w:rPr>
                          <w:sz w:val="12"/>
                          <w:szCs w:val="12"/>
                          <w:lang w:val="sv-SE"/>
                        </w:rPr>
                      </w:pPr>
                      <w:r>
                        <w:rPr>
                          <w:sz w:val="12"/>
                          <w:szCs w:val="12"/>
                          <w:lang w:val="sv-SE"/>
                        </w:rPr>
                        <w:t>S</w:t>
                      </w:r>
                    </w:p>
                  </w:txbxContent>
                </v:textbox>
                <w10:wrap anchorx="margin"/>
              </v:shape>
            </w:pict>
          </mc:Fallback>
        </mc:AlternateContent>
      </w:r>
      <w:r>
        <w:rPr>
          <w:rFonts w:eastAsiaTheme="minorEastAsia"/>
          <w:noProof/>
        </w:rPr>
        <mc:AlternateContent>
          <mc:Choice Requires="wps">
            <w:drawing>
              <wp:anchor distT="45720" distB="45720" distL="114300" distR="114300" simplePos="0" relativeHeight="251661312" behindDoc="0" locked="0" layoutInCell="1" allowOverlap="1" wp14:anchorId="135C8C15" wp14:editId="2FAB781A">
                <wp:simplePos x="0" y="0"/>
                <wp:positionH relativeFrom="margin">
                  <wp:posOffset>5158740</wp:posOffset>
                </wp:positionH>
                <wp:positionV relativeFrom="paragraph">
                  <wp:posOffset>474980</wp:posOffset>
                </wp:positionV>
                <wp:extent cx="511810" cy="29337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75" cy="292735"/>
                        </a:xfrm>
                        <a:prstGeom prst="rect">
                          <a:avLst/>
                        </a:prstGeom>
                        <a:noFill/>
                        <a:ln w="9525">
                          <a:noFill/>
                          <a:miter lim="800000"/>
                          <a:headEnd/>
                          <a:tailEnd/>
                        </a:ln>
                      </wps:spPr>
                      <wps:txbx>
                        <w:txbxContent>
                          <w:p w14:paraId="0C1DC253" w14:textId="77777777" w:rsidR="00D85AD0" w:rsidRDefault="00D85AD0" w:rsidP="003C7111">
                            <w:pPr>
                              <w:rPr>
                                <w:sz w:val="12"/>
                                <w:szCs w:val="12"/>
                              </w:rPr>
                            </w:pPr>
                            <w:r>
                              <w:rPr>
                                <w:sz w:val="12"/>
                                <w:szCs w:val="12"/>
                              </w:rPr>
                              <w:t>STRIDE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5C8C15" id="Text Box 24" o:spid="_x0000_s1034" type="#_x0000_t202" style="position:absolute;margin-left:406.2pt;margin-top:37.4pt;width:40.3pt;height:23.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" filled="f" stroked="f">
                <v:textbox>
                  <w:txbxContent>
                    <w:p w14:paraId="0C1DC253" w14:textId="77777777" w:rsidR="00D85AD0" w:rsidRDefault="00D85AD0" w:rsidP="003C7111">
                      <w:pPr>
                        <w:rPr>
                          <w:sz w:val="12"/>
                          <w:szCs w:val="12"/>
                        </w:rPr>
                      </w:pPr>
                      <w:r>
                        <w:rPr>
                          <w:sz w:val="12"/>
                          <w:szCs w:val="12"/>
                        </w:rPr>
                        <w:t>STRIDE</w:t>
                      </w:r>
                    </w:p>
                  </w:txbxContent>
                </v:textbox>
                <w10:wrap anchorx="margin"/>
              </v:shape>
            </w:pict>
          </mc:Fallback>
        </mc:AlternateContent>
      </w:r>
      <w:r>
        <w:rPr>
          <w:i/>
          <w:noProof/>
          <w:lang w:eastAsia="en-GB"/>
        </w:rPr>
        <w:drawing>
          <wp:inline distT="0" distB="0" distL="0" distR="0" wp14:anchorId="6076CE5B" wp14:editId="2C54C7D6">
            <wp:extent cx="5784215" cy="3030220"/>
            <wp:effectExtent l="0" t="0" r="6985" b="0"/>
            <wp:docPr id="23" name="Picture 2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art, line ch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l="-2" r="-5" b="24771"/>
                    <a:stretch>
                      <a:fillRect/>
                    </a:stretch>
                  </pic:blipFill>
                  <pic:spPr bwMode="auto">
                    <a:xfrm>
                      <a:off x="0" y="0"/>
                      <a:ext cx="5784215" cy="3030220"/>
                    </a:xfrm>
                    <a:prstGeom prst="rect">
                      <a:avLst/>
                    </a:prstGeom>
                    <a:noFill/>
                    <a:ln>
                      <a:noFill/>
                    </a:ln>
                  </pic:spPr>
                </pic:pic>
              </a:graphicData>
            </a:graphic>
          </wp:inline>
        </w:drawing>
      </w:r>
    </w:p>
    <w:p w14:paraId="6940F770" w14:textId="77777777" w:rsidR="00D20235" w:rsidRDefault="00D20235" w:rsidP="00193A3D">
      <w:pPr>
        <w:autoSpaceDE w:val="0"/>
        <w:autoSpaceDN w:val="0"/>
        <w:adjustRightInd w:val="0"/>
        <w:spacing w:after="120" w:line="240" w:lineRule="auto"/>
        <w:rPr>
          <w:b/>
          <w:bCs/>
          <w:szCs w:val="20"/>
          <w:lang w:eastAsia="en-GB"/>
        </w:rPr>
      </w:pPr>
      <w:bookmarkStart w:id="19" w:name="_Hlk88133180"/>
    </w:p>
    <w:p w14:paraId="2CA23367" w14:textId="20A4B1AD" w:rsidR="00193A3D" w:rsidRDefault="00193A3D" w:rsidP="00193A3D">
      <w:pPr>
        <w:autoSpaceDE w:val="0"/>
        <w:autoSpaceDN w:val="0"/>
        <w:adjustRightInd w:val="0"/>
        <w:spacing w:after="120" w:line="240" w:lineRule="auto"/>
        <w:rPr>
          <w:i/>
          <w:lang w:eastAsia="en-GB"/>
        </w:rPr>
      </w:pPr>
      <w:r>
        <w:rPr>
          <w:i/>
          <w:lang w:eastAsia="en-GB"/>
        </w:rPr>
        <w:t xml:space="preserve">Patient reported </w:t>
      </w:r>
      <w:proofErr w:type="gramStart"/>
      <w:r>
        <w:rPr>
          <w:i/>
          <w:lang w:eastAsia="en-GB"/>
        </w:rPr>
        <w:t>outcomes</w:t>
      </w:r>
      <w:proofErr w:type="gramEnd"/>
    </w:p>
    <w:p w14:paraId="659ACB9C" w14:textId="6D4B1D2A" w:rsidR="00193A3D" w:rsidRDefault="00193A3D" w:rsidP="00193A3D">
      <w:r>
        <w:t xml:space="preserve">Patient-reported symptoms, </w:t>
      </w:r>
      <w:proofErr w:type="gramStart"/>
      <w:r>
        <w:t>function</w:t>
      </w:r>
      <w:proofErr w:type="gramEnd"/>
      <w:r>
        <w:t xml:space="preserve"> and health-related quality of life (</w:t>
      </w:r>
      <w:proofErr w:type="spellStart"/>
      <w:r>
        <w:t>HRQoL</w:t>
      </w:r>
      <w:proofErr w:type="spellEnd"/>
      <w:r>
        <w:t xml:space="preserve">) were collected using the EORTC QLQ-C30 and its hepatocellular carcinoma module (EORTC QLQ-HCC18). </w:t>
      </w:r>
      <w:r w:rsidR="0048380C">
        <w:br/>
      </w:r>
      <w:r>
        <w:t xml:space="preserve">At baseline, patient-reported symptoms, functioning or </w:t>
      </w:r>
      <w:proofErr w:type="spellStart"/>
      <w:r>
        <w:t>HRQoL</w:t>
      </w:r>
      <w:proofErr w:type="spellEnd"/>
      <w:r>
        <w:t xml:space="preserve"> scores were comparable between the study arms. </w:t>
      </w:r>
    </w:p>
    <w:p w14:paraId="7E820DAA" w14:textId="77777777" w:rsidR="00193A3D" w:rsidRDefault="00193A3D" w:rsidP="00193A3D">
      <w:pPr>
        <w:spacing w:after="120"/>
        <w:rPr>
          <w:u w:val="single"/>
        </w:rPr>
      </w:pPr>
      <w:r>
        <w:rPr>
          <w:u w:val="single"/>
        </w:rPr>
        <w:t xml:space="preserve">Delay in time to deterioration of symptoms, functioning, and global health status/QoL:  </w:t>
      </w:r>
    </w:p>
    <w:p w14:paraId="36D17065" w14:textId="22705467" w:rsidR="00193A3D" w:rsidRDefault="00193A3D" w:rsidP="00AC31A6">
      <w:r>
        <w:rPr>
          <w:bCs/>
          <w:lang w:eastAsia="en-GB"/>
        </w:rPr>
        <w:t xml:space="preserve">STRIDE </w:t>
      </w:r>
      <w:r>
        <w:t xml:space="preserve">vs. S demonstrated a clinically meaningful improvement by delaying time to deterioration in a broad range of patient-reported symptoms, function, and global health status/QoL compared to S. Longer time to deterioration (median in months) was observed in the </w:t>
      </w:r>
      <w:r>
        <w:rPr>
          <w:bCs/>
          <w:lang w:eastAsia="en-GB"/>
        </w:rPr>
        <w:t xml:space="preserve">STRIDE </w:t>
      </w:r>
      <w:r>
        <w:t xml:space="preserve">arm compared to </w:t>
      </w:r>
      <w:r>
        <w:rPr>
          <w:color w:val="000000" w:themeColor="text1"/>
        </w:rPr>
        <w:t>S</w:t>
      </w:r>
      <w:r>
        <w:t xml:space="preserve"> for the following symptoms: Global Health Status (7.5 vs. 5.7 months, HR 0.76, p = 0.0306); physical functioning (12.9 vs. 7.4 months, HR   0.68; p = 0.0020), fatigue (7.4 vs. 5.4 months, HR 0.71; p = 0.0026), nausea (25.0 vs. 11.0 months, HR  0.65; p = 0.0033), appetite loss (12.6 vs. 6.9 months, HR 0.59; p &lt;0.0001), abdominal pain (16.8 vs. 8.9 months, HR 0.61; p = 0.0008) and abdominal swelling (20.9 vs. 11.1 months, HR 0.74; p = 0.0431.</w:t>
      </w:r>
    </w:p>
    <w:p w14:paraId="1BD19993" w14:textId="77777777" w:rsidR="00193A3D" w:rsidRDefault="00193A3D" w:rsidP="00193A3D">
      <w:r>
        <w:rPr>
          <w:u w:val="single"/>
        </w:rPr>
        <w:t>Change from baseline in patient-reported symptoms (mixed model for repeated measures)</w:t>
      </w:r>
      <w:r>
        <w:t xml:space="preserve">: </w:t>
      </w:r>
      <w:r>
        <w:rPr>
          <w:i/>
        </w:rPr>
        <w:t xml:space="preserve"> </w:t>
      </w:r>
    </w:p>
    <w:p w14:paraId="52FD6FCC" w14:textId="3B1B1EBE" w:rsidR="00193A3D" w:rsidRDefault="00193A3D" w:rsidP="00193A3D">
      <w:r>
        <w:rPr>
          <w:bCs/>
          <w:lang w:eastAsia="en-GB"/>
        </w:rPr>
        <w:t xml:space="preserve">STRIDE </w:t>
      </w:r>
      <w:r>
        <w:t xml:space="preserve">improved patient-reported </w:t>
      </w:r>
      <w:proofErr w:type="spellStart"/>
      <w:r>
        <w:t>HRQoL</w:t>
      </w:r>
      <w:proofErr w:type="spellEnd"/>
      <w:r>
        <w:t xml:space="preserve"> functioning and diarrhoea by demonstrating a nominal difference and clinically meaningful mean change from baseline vs. S from randomisation until 8 months (Estimated mean difference at 8 months: -18.5 95% CI: -23.24, -13.84 and p-value: &lt;0.0001).</w:t>
      </w:r>
    </w:p>
    <w:p w14:paraId="5FB6C551" w14:textId="77777777" w:rsidR="00193A3D" w:rsidRDefault="00193A3D" w:rsidP="00193A3D">
      <w:pPr>
        <w:spacing w:after="0"/>
      </w:pPr>
      <w:r>
        <w:t>Patient-reported outcome results should be interpreted in the context of the open-label study design.</w:t>
      </w:r>
      <w:bookmarkEnd w:id="19"/>
    </w:p>
    <w:p w14:paraId="01BC96F6" w14:textId="77777777" w:rsidR="00193A3D" w:rsidRDefault="00193A3D" w:rsidP="00193A3D">
      <w:pPr>
        <w:spacing w:after="0"/>
      </w:pPr>
    </w:p>
    <w:p w14:paraId="3AF80960" w14:textId="77777777" w:rsidR="00193A3D" w:rsidRPr="005D23D0" w:rsidRDefault="00193A3D" w:rsidP="005D23D0">
      <w:pPr>
        <w:pStyle w:val="Heading4Unnumbered"/>
        <w:rPr>
          <w:rFonts w:eastAsia="Calibri"/>
        </w:rPr>
      </w:pPr>
      <w:r w:rsidRPr="005D23D0">
        <w:rPr>
          <w:rFonts w:eastAsia="Calibri"/>
        </w:rPr>
        <w:lastRenderedPageBreak/>
        <w:t>HCC – Study 22</w:t>
      </w:r>
    </w:p>
    <w:p w14:paraId="7ACE7DD2" w14:textId="349D0355" w:rsidR="00BD584D" w:rsidRPr="001561FD" w:rsidRDefault="00193A3D" w:rsidP="00BD584D">
      <w:pPr>
        <w:autoSpaceDE w:val="0"/>
        <w:autoSpaceDN w:val="0"/>
        <w:adjustRightInd w:val="0"/>
        <w:spacing w:after="0" w:line="240" w:lineRule="auto"/>
      </w:pPr>
      <w:r>
        <w:rPr>
          <w:lang w:eastAsia="en-GB"/>
        </w:rPr>
        <w:t xml:space="preserve">The safety and efficacy of STRIDE was evaluated in Study 22, an open-label, </w:t>
      </w:r>
      <w:r w:rsidR="00D43481">
        <w:rPr>
          <w:lang w:eastAsia="en-GB"/>
        </w:rPr>
        <w:t xml:space="preserve">uncontrolled, </w:t>
      </w:r>
      <w:r>
        <w:rPr>
          <w:lang w:eastAsia="en-GB"/>
        </w:rPr>
        <w:t>multi-part</w:t>
      </w:r>
      <w:r w:rsidR="00D43481">
        <w:rPr>
          <w:lang w:eastAsia="en-GB"/>
        </w:rPr>
        <w:t xml:space="preserve"> Phase I/II</w:t>
      </w:r>
      <w:r>
        <w:rPr>
          <w:lang w:eastAsia="en-GB"/>
        </w:rPr>
        <w:t xml:space="preserve">, study </w:t>
      </w:r>
      <w:r w:rsidR="00BD584D" w:rsidRPr="00B37343">
        <w:t xml:space="preserve">involving 433 immunotherapy-naïve patients with </w:t>
      </w:r>
      <w:proofErr w:type="spellStart"/>
      <w:r w:rsidR="00BD584D" w:rsidRPr="00B37343">
        <w:t>uHCC</w:t>
      </w:r>
      <w:proofErr w:type="spellEnd"/>
      <w:r w:rsidR="00A800AB">
        <w:t>.</w:t>
      </w:r>
      <w:r w:rsidR="00BD584D">
        <w:rPr>
          <w:lang w:eastAsia="en-GB"/>
        </w:rPr>
        <w:t xml:space="preserve"> </w:t>
      </w:r>
      <w:r w:rsidR="00A800AB">
        <w:rPr>
          <w:lang w:eastAsia="en-GB"/>
        </w:rPr>
        <w:t>O</w:t>
      </w:r>
      <w:r w:rsidR="00BD584D">
        <w:rPr>
          <w:lang w:eastAsia="en-GB"/>
        </w:rPr>
        <w:t>f the</w:t>
      </w:r>
      <w:r>
        <w:rPr>
          <w:lang w:eastAsia="en-GB"/>
        </w:rPr>
        <w:t xml:space="preserve">75 </w:t>
      </w:r>
      <w:r w:rsidR="00BD584D">
        <w:t xml:space="preserve">patients who received proposed combination treatment regimen </w:t>
      </w:r>
      <w:r w:rsidR="00BD584D" w:rsidRPr="001561FD">
        <w:t xml:space="preserve">T300+D, more than a </w:t>
      </w:r>
      <w:proofErr w:type="gramStart"/>
      <w:r w:rsidR="00BD584D" w:rsidRPr="001561FD">
        <w:t>quarter</w:t>
      </w:r>
      <w:proofErr w:type="gramEnd"/>
    </w:p>
    <w:p w14:paraId="1A939896" w14:textId="09357D5D" w:rsidR="00BD584D" w:rsidRDefault="00BD584D" w:rsidP="006F6EF2">
      <w:pPr>
        <w:autoSpaceDE w:val="0"/>
        <w:autoSpaceDN w:val="0"/>
        <w:adjustRightInd w:val="0"/>
        <w:spacing w:after="0" w:line="240" w:lineRule="auto"/>
      </w:pPr>
      <w:r w:rsidRPr="001561FD">
        <w:t>received T300+D as first line of systemic therapy (73.3% had received prior systemic</w:t>
      </w:r>
      <w:r w:rsidR="006F6EF2">
        <w:t xml:space="preserve"> </w:t>
      </w:r>
      <w:r w:rsidRPr="001561FD">
        <w:t>therapy with sorafenib/ other VEGFR TKI). The higher percentage of patients alive and in</w:t>
      </w:r>
      <w:r w:rsidR="006F6EF2">
        <w:t xml:space="preserve"> </w:t>
      </w:r>
      <w:r w:rsidRPr="001561FD">
        <w:t>survival follow-up (including those still receiving study treatment) in the T300+D arm</w:t>
      </w:r>
      <w:r w:rsidR="006F6EF2">
        <w:t xml:space="preserve"> </w:t>
      </w:r>
      <w:r w:rsidRPr="001561FD">
        <w:t>(30.7%) compared to the other treatment arms (17.4% to 19.2%) at DCO was more likely</w:t>
      </w:r>
      <w:r w:rsidR="006F6EF2">
        <w:t xml:space="preserve"> </w:t>
      </w:r>
      <w:r w:rsidRPr="001561FD">
        <w:t>indicative of the data in the T300+D arm being less mature than that in the other 3 arms</w:t>
      </w:r>
      <w:r w:rsidR="006F6EF2">
        <w:t xml:space="preserve"> </w:t>
      </w:r>
      <w:r w:rsidRPr="001561FD">
        <w:t>as enrolment in the T300+D safety run-in arm (Part 2B) began approximately 8 months</w:t>
      </w:r>
      <w:r w:rsidR="006F6EF2">
        <w:t xml:space="preserve"> </w:t>
      </w:r>
      <w:r w:rsidRPr="001561FD">
        <w:t>after the start of the other 3 treatment arms (in Part 2A)</w:t>
      </w:r>
      <w:r>
        <w:t xml:space="preserve">. </w:t>
      </w:r>
    </w:p>
    <w:p w14:paraId="588C6F95" w14:textId="6CB61E25" w:rsidR="00193A3D" w:rsidRDefault="00193A3D" w:rsidP="00BD584D">
      <w:pPr>
        <w:autoSpaceDE w:val="0"/>
        <w:autoSpaceDN w:val="0"/>
        <w:adjustRightInd w:val="0"/>
        <w:rPr>
          <w:rFonts w:eastAsiaTheme="minorEastAsia"/>
          <w:lang w:eastAsia="en-GB"/>
        </w:rPr>
      </w:pPr>
      <w:r>
        <w:rPr>
          <w:lang w:eastAsia="en-GB"/>
        </w:rPr>
        <w:t xml:space="preserve">The study included patients with BCLC Stage C or B (not eligible for locoregional therapy), ECOG performance status of 0 or 1 and Child-Pugh Score Class A. </w:t>
      </w:r>
    </w:p>
    <w:p w14:paraId="1EA19174" w14:textId="2FE0FAB8" w:rsidR="00193A3D" w:rsidRDefault="00193A3D" w:rsidP="00193A3D">
      <w:pPr>
        <w:autoSpaceDE w:val="0"/>
        <w:autoSpaceDN w:val="0"/>
        <w:adjustRightInd w:val="0"/>
        <w:rPr>
          <w:lang w:eastAsia="en-GB"/>
        </w:rPr>
      </w:pPr>
      <w:r>
        <w:rPr>
          <w:lang w:eastAsia="en-GB"/>
        </w:rPr>
        <w:t xml:space="preserve">The study excluded patients with co-infection of viral </w:t>
      </w:r>
      <w:r>
        <w:t xml:space="preserve">hepatitis B and hepatitis C; </w:t>
      </w:r>
      <w:r>
        <w:rPr>
          <w:lang w:eastAsia="en-GB"/>
        </w:rPr>
        <w:t xml:space="preserve">active or prior documented GI bleeding within 12 months; ascites requiring non-pharmacologic intervention within 6 months; hepatic encephalopathy within 12 months before the start of treatment; active or prior documented autoimmune or inflammatory disorders. </w:t>
      </w:r>
    </w:p>
    <w:p w14:paraId="3755DF51" w14:textId="5306C66D" w:rsidR="00193A3D" w:rsidRDefault="00193A3D" w:rsidP="00193A3D">
      <w:pPr>
        <w:autoSpaceDE w:val="0"/>
        <w:autoSpaceDN w:val="0"/>
        <w:adjustRightInd w:val="0"/>
        <w:rPr>
          <w:rFonts w:eastAsia="PMingLiU"/>
          <w:color w:val="231F20"/>
          <w:lang w:eastAsia="en-GB"/>
        </w:rPr>
      </w:pPr>
      <w:r>
        <w:rPr>
          <w:lang w:eastAsia="en-GB"/>
        </w:rPr>
        <w:t xml:space="preserve">Treatment continued </w:t>
      </w:r>
      <w:proofErr w:type="gramStart"/>
      <w:r>
        <w:rPr>
          <w:lang w:eastAsia="en-GB"/>
        </w:rPr>
        <w:t>a</w:t>
      </w:r>
      <w:r>
        <w:t>s long as</w:t>
      </w:r>
      <w:proofErr w:type="gramEnd"/>
      <w:r>
        <w:t xml:space="preserve"> clinical benefit was observed or until unacceptable toxicity. </w:t>
      </w:r>
      <w:r>
        <w:rPr>
          <w:lang w:eastAsia="en-GB"/>
        </w:rPr>
        <w:t xml:space="preserve"> Patients who completed the assigned dosing cycles and were benefiting from study drug in the Investigator’s opinion and subsequently had evidence of disease progression during the durvalumab monotherapy phase could be rechallenged with IMJUDO 300 mg.</w:t>
      </w:r>
      <w:r>
        <w:rPr>
          <w:rFonts w:eastAsia="PMingLiU"/>
          <w:color w:val="231F20"/>
          <w:lang w:eastAsia="en-GB"/>
        </w:rPr>
        <w:t xml:space="preserve"> </w:t>
      </w:r>
    </w:p>
    <w:p w14:paraId="7464E789" w14:textId="00E4D890" w:rsidR="00193A3D" w:rsidRDefault="00193A3D" w:rsidP="00193A3D">
      <w:pPr>
        <w:autoSpaceDE w:val="0"/>
        <w:autoSpaceDN w:val="0"/>
        <w:adjustRightInd w:val="0"/>
        <w:rPr>
          <w:rFonts w:eastAsia="PMingLiU"/>
          <w:color w:val="231F20"/>
          <w:lang w:eastAsia="en-GB"/>
        </w:rPr>
      </w:pPr>
      <w:r>
        <w:rPr>
          <w:rFonts w:eastAsia="PMingLiU"/>
          <w:color w:val="231F20"/>
          <w:lang w:eastAsia="en-GB"/>
        </w:rPr>
        <w:t>Tumour assessments were conducted every 8 weeks.</w:t>
      </w:r>
    </w:p>
    <w:p w14:paraId="5E136D0D" w14:textId="16485492" w:rsidR="00193A3D" w:rsidRDefault="00193A3D" w:rsidP="00193A3D">
      <w:pPr>
        <w:autoSpaceDE w:val="0"/>
        <w:autoSpaceDN w:val="0"/>
        <w:adjustRightInd w:val="0"/>
        <w:rPr>
          <w:rFonts w:eastAsia="PMingLiU"/>
          <w:color w:val="231F20"/>
          <w:lang w:eastAsia="en-GB"/>
        </w:rPr>
      </w:pPr>
      <w:r>
        <w:rPr>
          <w:rFonts w:eastAsia="PMingLiU"/>
          <w:color w:val="231F20"/>
          <w:lang w:eastAsia="en-GB"/>
        </w:rPr>
        <w:t>The primary objective was safety and tolerability. Key secondary endpoints included</w:t>
      </w:r>
      <w:r>
        <w:rPr>
          <w:rFonts w:ascii="Arial" w:hAnsi="Arial" w:cs="Arial"/>
          <w:color w:val="222222"/>
          <w:sz w:val="21"/>
          <w:szCs w:val="21"/>
          <w:shd w:val="clear" w:color="auto" w:fill="FFFFFF"/>
        </w:rPr>
        <w:t xml:space="preserve"> </w:t>
      </w:r>
      <w:r>
        <w:rPr>
          <w:rFonts w:eastAsia="PMingLiU"/>
          <w:color w:val="231F20"/>
          <w:lang w:eastAsia="en-GB"/>
        </w:rPr>
        <w:t>OS</w:t>
      </w:r>
      <w:r>
        <w:rPr>
          <w:rFonts w:ascii="Arial" w:hAnsi="Arial" w:cs="Arial"/>
          <w:color w:val="222222"/>
          <w:sz w:val="21"/>
          <w:szCs w:val="21"/>
          <w:shd w:val="clear" w:color="auto" w:fill="FFFFFF"/>
        </w:rPr>
        <w:t xml:space="preserve">, </w:t>
      </w:r>
      <w:proofErr w:type="gramStart"/>
      <w:r>
        <w:rPr>
          <w:rFonts w:eastAsia="PMingLiU"/>
          <w:color w:val="231F20"/>
          <w:lang w:eastAsia="en-GB"/>
        </w:rPr>
        <w:t>ORR</w:t>
      </w:r>
      <w:proofErr w:type="gramEnd"/>
      <w:r>
        <w:rPr>
          <w:rFonts w:eastAsia="PMingLiU"/>
          <w:color w:val="231F20"/>
          <w:lang w:eastAsia="en-GB"/>
        </w:rPr>
        <w:t xml:space="preserve"> and </w:t>
      </w:r>
      <w:proofErr w:type="spellStart"/>
      <w:r>
        <w:rPr>
          <w:rFonts w:eastAsia="PMingLiU"/>
          <w:color w:val="231F20"/>
          <w:lang w:eastAsia="en-GB"/>
        </w:rPr>
        <w:t>DoR.</w:t>
      </w:r>
      <w:proofErr w:type="spellEnd"/>
      <w:r>
        <w:rPr>
          <w:rFonts w:eastAsia="PMingLiU"/>
          <w:color w:val="231F20"/>
          <w:lang w:eastAsia="en-GB"/>
        </w:rPr>
        <w:t xml:space="preserve"> ORR and </w:t>
      </w:r>
      <w:proofErr w:type="spellStart"/>
      <w:r>
        <w:rPr>
          <w:rFonts w:eastAsia="PMingLiU"/>
          <w:color w:val="231F20"/>
          <w:lang w:eastAsia="en-GB"/>
        </w:rPr>
        <w:t>DoR</w:t>
      </w:r>
      <w:proofErr w:type="spellEnd"/>
      <w:r>
        <w:rPr>
          <w:rFonts w:eastAsia="PMingLiU"/>
          <w:color w:val="231F20"/>
          <w:lang w:eastAsia="en-GB"/>
        </w:rPr>
        <w:t xml:space="preserve"> were based on Investigator assessments and BICR according to RECIST 1.1. </w:t>
      </w:r>
    </w:p>
    <w:p w14:paraId="2A4B7659" w14:textId="5E1CF84E" w:rsidR="00193A3D" w:rsidRDefault="00193A3D" w:rsidP="00193A3D">
      <w:pPr>
        <w:autoSpaceDE w:val="0"/>
        <w:autoSpaceDN w:val="0"/>
        <w:adjustRightInd w:val="0"/>
        <w:rPr>
          <w:lang w:eastAsia="en-GB"/>
        </w:rPr>
      </w:pPr>
      <w:r>
        <w:rPr>
          <w:lang w:eastAsia="en-GB"/>
        </w:rPr>
        <w:t>The baseline demographics of the study population (STRIDE) were as follows: male (86.7%); age &lt;65 years (45.3%), white (</w:t>
      </w:r>
      <w:r>
        <w:t>36.0</w:t>
      </w:r>
      <w:r>
        <w:rPr>
          <w:lang w:eastAsia="en-GB"/>
        </w:rPr>
        <w:t xml:space="preserve">%); Asian (58.7%); black or African American (5.3%); </w:t>
      </w:r>
      <w:r>
        <w:t>other (0%)</w:t>
      </w:r>
      <w:r>
        <w:rPr>
          <w:lang w:eastAsia="en-GB"/>
        </w:rPr>
        <w:t>, ECOG PS 0 (61.3%), Child-Pugh Class/Score A/5 (68.0%), Child-Pugh Class/Score A/6 (30.7%),</w:t>
      </w:r>
      <w:r>
        <w:rPr>
          <w:lang w:val="en" w:eastAsia="en-GB"/>
        </w:rPr>
        <w:t xml:space="preserve"> </w:t>
      </w:r>
      <w:r>
        <w:rPr>
          <w:color w:val="000000" w:themeColor="text1"/>
          <w:lang w:val="en" w:eastAsia="en-GB"/>
        </w:rPr>
        <w:t>macrovascular invasion (</w:t>
      </w:r>
      <w:r>
        <w:rPr>
          <w:color w:val="000000" w:themeColor="text1"/>
          <w:lang w:eastAsia="en-GB"/>
        </w:rPr>
        <w:t>21.3</w:t>
      </w:r>
      <w:r>
        <w:rPr>
          <w:color w:val="000000" w:themeColor="text1"/>
          <w:lang w:val="en" w:eastAsia="en-GB"/>
        </w:rPr>
        <w:t xml:space="preserve">%); extrahepatic spread (70.7%), viral </w:t>
      </w:r>
      <w:proofErr w:type="spellStart"/>
      <w:r>
        <w:rPr>
          <w:lang w:eastAsia="en-GB"/>
        </w:rPr>
        <w:t>etiology</w:t>
      </w:r>
      <w:proofErr w:type="spellEnd"/>
      <w:r>
        <w:rPr>
          <w:lang w:eastAsia="en-GB"/>
        </w:rPr>
        <w:t xml:space="preserve">; hepatitis B (36.0%), hepatitis C (28.0%), uninfected (36.0%); </w:t>
      </w:r>
      <w:r>
        <w:t>prior systemic therapy (73.3%)</w:t>
      </w:r>
      <w:r>
        <w:rPr>
          <w:lang w:eastAsia="en-GB"/>
        </w:rPr>
        <w:t>.</w:t>
      </w:r>
    </w:p>
    <w:p w14:paraId="467AE4CD" w14:textId="60B24807" w:rsidR="00A67547" w:rsidRDefault="00193A3D" w:rsidP="00193A3D">
      <w:pPr>
        <w:autoSpaceDE w:val="0"/>
        <w:autoSpaceDN w:val="0"/>
        <w:adjustRightInd w:val="0"/>
        <w:spacing w:after="0" w:line="240" w:lineRule="auto"/>
        <w:rPr>
          <w:color w:val="FF0000"/>
        </w:rPr>
      </w:pPr>
      <w:r>
        <w:t>Efficacy results are shown in</w:t>
      </w:r>
      <w:r w:rsidR="00267826">
        <w:t xml:space="preserve"> Table </w:t>
      </w:r>
      <w:r w:rsidR="001F396D">
        <w:t>7</w:t>
      </w:r>
      <w:r w:rsidR="005F0A6D">
        <w:t>.</w:t>
      </w:r>
    </w:p>
    <w:p w14:paraId="7A22B12C" w14:textId="77777777" w:rsidR="00DE0CCB" w:rsidRDefault="00DE0CCB" w:rsidP="00193A3D">
      <w:pPr>
        <w:autoSpaceDE w:val="0"/>
        <w:autoSpaceDN w:val="0"/>
        <w:adjustRightInd w:val="0"/>
        <w:spacing w:after="0" w:line="240" w:lineRule="auto"/>
        <w:rPr>
          <w:strike/>
          <w:lang w:eastAsia="en-GB"/>
        </w:rPr>
      </w:pPr>
    </w:p>
    <w:p w14:paraId="6974E4D5" w14:textId="63880511" w:rsidR="00193A3D" w:rsidRPr="00A67547" w:rsidRDefault="00A67547" w:rsidP="00A67547">
      <w:pPr>
        <w:pStyle w:val="TableTitle"/>
        <w:ind w:left="0" w:firstLine="0"/>
        <w:rPr>
          <w:bCs/>
        </w:rPr>
      </w:pPr>
      <w:bookmarkStart w:id="20" w:name="_Ref97645158"/>
      <w:r>
        <w:t>Table </w:t>
      </w:r>
      <w:bookmarkEnd w:id="20"/>
      <w:r w:rsidR="001F396D">
        <w:t>7</w:t>
      </w:r>
      <w:r>
        <w:tab/>
      </w:r>
      <w:r w:rsidRPr="00CB71B1">
        <w:rPr>
          <w:color w:val="auto"/>
          <w:lang w:eastAsia="en-GB"/>
        </w:rPr>
        <w:t>Efficacy results for Study 22</w:t>
      </w:r>
      <w:r w:rsidRPr="00CB71B1">
        <w:rPr>
          <w:color w:val="auto"/>
          <w:vertAlign w:val="superscript"/>
          <w:lang w:eastAsia="en-GB"/>
        </w:rPr>
        <w:t>a</w:t>
      </w:r>
      <w:r>
        <w:rPr>
          <w:vertAlign w:val="superscript"/>
          <w:lang w:eastAsia="en-GB"/>
        </w:rPr>
        <w:t xml:space="preserve">, </w:t>
      </w:r>
    </w:p>
    <w:tbl>
      <w:tblPr>
        <w:tblW w:w="7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984"/>
        <w:gridCol w:w="1990"/>
      </w:tblGrid>
      <w:tr w:rsidR="00193A3D" w14:paraId="12BF567C" w14:textId="77777777" w:rsidTr="001A13B9">
        <w:trPr>
          <w:tblHeader/>
        </w:trPr>
        <w:tc>
          <w:tcPr>
            <w:tcW w:w="3256" w:type="dxa"/>
            <w:tcBorders>
              <w:top w:val="single" w:sz="4" w:space="0" w:color="auto"/>
              <w:left w:val="single" w:sz="4" w:space="0" w:color="auto"/>
              <w:bottom w:val="single" w:sz="4" w:space="0" w:color="auto"/>
              <w:right w:val="single" w:sz="4" w:space="0" w:color="auto"/>
            </w:tcBorders>
          </w:tcPr>
          <w:p w14:paraId="447B9BEA" w14:textId="77777777" w:rsidR="00193A3D" w:rsidRDefault="00193A3D">
            <w:pPr>
              <w:rPr>
                <w:lang w:eastAsia="en-GB"/>
              </w:rPr>
            </w:pPr>
          </w:p>
        </w:tc>
        <w:tc>
          <w:tcPr>
            <w:tcW w:w="1984" w:type="dxa"/>
            <w:tcBorders>
              <w:top w:val="single" w:sz="4" w:space="0" w:color="auto"/>
              <w:left w:val="single" w:sz="4" w:space="0" w:color="auto"/>
              <w:bottom w:val="single" w:sz="4" w:space="0" w:color="auto"/>
              <w:right w:val="single" w:sz="4" w:space="0" w:color="auto"/>
            </w:tcBorders>
            <w:hideMark/>
          </w:tcPr>
          <w:p w14:paraId="5519465C" w14:textId="77777777" w:rsidR="00193A3D" w:rsidRDefault="00193A3D">
            <w:pPr>
              <w:autoSpaceDE w:val="0"/>
              <w:autoSpaceDN w:val="0"/>
              <w:adjustRightInd w:val="0"/>
              <w:spacing w:after="0" w:line="240" w:lineRule="auto"/>
              <w:jc w:val="center"/>
              <w:rPr>
                <w:b/>
                <w:lang w:eastAsia="en-GB"/>
              </w:rPr>
            </w:pPr>
            <w:r>
              <w:rPr>
                <w:b/>
                <w:lang w:eastAsia="en-GB"/>
              </w:rPr>
              <w:t>STRIDE</w:t>
            </w:r>
          </w:p>
          <w:p w14:paraId="45AD15E8" w14:textId="77777777" w:rsidR="00193A3D" w:rsidRDefault="00193A3D">
            <w:pPr>
              <w:autoSpaceDE w:val="0"/>
              <w:autoSpaceDN w:val="0"/>
              <w:adjustRightInd w:val="0"/>
              <w:spacing w:after="0" w:line="240" w:lineRule="auto"/>
              <w:jc w:val="center"/>
              <w:rPr>
                <w:b/>
                <w:bCs/>
                <w:lang w:eastAsia="en-GB"/>
              </w:rPr>
            </w:pPr>
            <w:r>
              <w:rPr>
                <w:b/>
                <w:bCs/>
                <w:lang w:eastAsia="en-GB"/>
              </w:rPr>
              <w:t>(n=75)</w:t>
            </w:r>
          </w:p>
        </w:tc>
        <w:tc>
          <w:tcPr>
            <w:tcW w:w="1990" w:type="dxa"/>
            <w:tcBorders>
              <w:top w:val="single" w:sz="4" w:space="0" w:color="auto"/>
              <w:left w:val="single" w:sz="4" w:space="0" w:color="auto"/>
              <w:bottom w:val="single" w:sz="4" w:space="0" w:color="auto"/>
              <w:right w:val="single" w:sz="4" w:space="0" w:color="auto"/>
            </w:tcBorders>
            <w:hideMark/>
          </w:tcPr>
          <w:p w14:paraId="1C2E40FF" w14:textId="77777777" w:rsidR="00193A3D" w:rsidRDefault="00193A3D">
            <w:pPr>
              <w:autoSpaceDE w:val="0"/>
              <w:autoSpaceDN w:val="0"/>
              <w:adjustRightInd w:val="0"/>
              <w:spacing w:after="0" w:line="240" w:lineRule="auto"/>
              <w:jc w:val="center"/>
              <w:rPr>
                <w:b/>
                <w:lang w:eastAsia="en-GB"/>
              </w:rPr>
            </w:pPr>
            <w:r>
              <w:rPr>
                <w:b/>
                <w:lang w:eastAsia="en-GB"/>
              </w:rPr>
              <w:t>D</w:t>
            </w:r>
          </w:p>
          <w:p w14:paraId="358036B4" w14:textId="77777777" w:rsidR="00193A3D" w:rsidRDefault="00193A3D">
            <w:pPr>
              <w:autoSpaceDE w:val="0"/>
              <w:autoSpaceDN w:val="0"/>
              <w:adjustRightInd w:val="0"/>
              <w:spacing w:after="0" w:line="240" w:lineRule="auto"/>
              <w:jc w:val="center"/>
              <w:rPr>
                <w:b/>
                <w:lang w:eastAsia="en-GB"/>
              </w:rPr>
            </w:pPr>
            <w:r>
              <w:rPr>
                <w:b/>
                <w:lang w:eastAsia="en-GB"/>
              </w:rPr>
              <w:t>(n=104)</w:t>
            </w:r>
          </w:p>
        </w:tc>
      </w:tr>
      <w:tr w:rsidR="00193A3D" w14:paraId="3E90583B" w14:textId="77777777" w:rsidTr="0048380C">
        <w:trPr>
          <w:trHeight w:val="225"/>
        </w:trPr>
        <w:tc>
          <w:tcPr>
            <w:tcW w:w="7230" w:type="dxa"/>
            <w:gridSpan w:val="3"/>
            <w:tcBorders>
              <w:top w:val="single" w:sz="4" w:space="0" w:color="auto"/>
              <w:left w:val="single" w:sz="4" w:space="0" w:color="auto"/>
              <w:bottom w:val="single" w:sz="4" w:space="0" w:color="auto"/>
              <w:right w:val="single" w:sz="4" w:space="0" w:color="auto"/>
            </w:tcBorders>
            <w:hideMark/>
          </w:tcPr>
          <w:p w14:paraId="51658446" w14:textId="77777777" w:rsidR="00193A3D" w:rsidRDefault="00193A3D" w:rsidP="00CB71B1">
            <w:pPr>
              <w:pStyle w:val="TableHead"/>
              <w:jc w:val="left"/>
              <w:rPr>
                <w:lang w:eastAsia="en-GB"/>
              </w:rPr>
            </w:pPr>
            <w:r>
              <w:rPr>
                <w:lang w:eastAsia="en-GB"/>
              </w:rPr>
              <w:t>ORR</w:t>
            </w:r>
          </w:p>
        </w:tc>
      </w:tr>
      <w:tr w:rsidR="00193A3D" w14:paraId="403C0FDE" w14:textId="77777777" w:rsidTr="0048380C">
        <w:trPr>
          <w:trHeight w:val="221"/>
        </w:trPr>
        <w:tc>
          <w:tcPr>
            <w:tcW w:w="3256" w:type="dxa"/>
            <w:tcBorders>
              <w:top w:val="single" w:sz="4" w:space="0" w:color="auto"/>
              <w:left w:val="single" w:sz="4" w:space="0" w:color="auto"/>
              <w:bottom w:val="single" w:sz="4" w:space="0" w:color="auto"/>
              <w:right w:val="single" w:sz="4" w:space="0" w:color="auto"/>
            </w:tcBorders>
            <w:hideMark/>
          </w:tcPr>
          <w:p w14:paraId="4295B15D" w14:textId="77777777" w:rsidR="00193A3D" w:rsidRPr="00CB71B1" w:rsidRDefault="00193A3D" w:rsidP="00CB71B1">
            <w:pPr>
              <w:pStyle w:val="TableLeft"/>
              <w:rPr>
                <w:b/>
                <w:bCs w:val="0"/>
                <w:lang w:eastAsia="en-GB"/>
              </w:rPr>
            </w:pPr>
            <w:r w:rsidRPr="00CB71B1">
              <w:rPr>
                <w:b/>
                <w:bCs w:val="0"/>
                <w:lang w:eastAsia="en-GB"/>
              </w:rPr>
              <w:t>ORR n (</w:t>
            </w:r>
            <w:proofErr w:type="gramStart"/>
            <w:r w:rsidRPr="00CB71B1">
              <w:rPr>
                <w:b/>
                <w:bCs w:val="0"/>
                <w:lang w:eastAsia="en-GB"/>
              </w:rPr>
              <w:t>%)</w:t>
            </w:r>
            <w:proofErr w:type="spellStart"/>
            <w:r w:rsidRPr="00CB71B1">
              <w:rPr>
                <w:b/>
                <w:bCs w:val="0"/>
                <w:vertAlign w:val="superscript"/>
                <w:lang w:eastAsia="en-GB"/>
              </w:rPr>
              <w:t>b</w:t>
            </w:r>
            <w:proofErr w:type="gramEnd"/>
            <w:r w:rsidRPr="00CB71B1">
              <w:rPr>
                <w:b/>
                <w:bCs w:val="0"/>
                <w:vertAlign w:val="superscript"/>
                <w:lang w:eastAsia="en-GB"/>
              </w:rPr>
              <w:t>,c</w:t>
            </w:r>
            <w:proofErr w:type="spellEnd"/>
            <w:r w:rsidRPr="00CB71B1">
              <w:rPr>
                <w:b/>
                <w:bCs w:val="0"/>
                <w:lang w:eastAsia="en-GB"/>
              </w:rPr>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03C22623" w14:textId="77777777" w:rsidR="00193A3D" w:rsidRDefault="00193A3D" w:rsidP="00CB71B1">
            <w:pPr>
              <w:pStyle w:val="TableCenter"/>
              <w:rPr>
                <w:b/>
                <w:lang w:eastAsia="en-GB"/>
              </w:rPr>
            </w:pPr>
            <w:r>
              <w:rPr>
                <w:lang w:val="sv-SE" w:eastAsia="en-GB"/>
              </w:rPr>
              <w:t>18 (24.0)</w:t>
            </w:r>
          </w:p>
        </w:tc>
        <w:tc>
          <w:tcPr>
            <w:tcW w:w="1990" w:type="dxa"/>
            <w:tcBorders>
              <w:top w:val="single" w:sz="4" w:space="0" w:color="auto"/>
              <w:left w:val="single" w:sz="4" w:space="0" w:color="auto"/>
              <w:bottom w:val="single" w:sz="4" w:space="0" w:color="auto"/>
              <w:right w:val="single" w:sz="4" w:space="0" w:color="auto"/>
            </w:tcBorders>
            <w:hideMark/>
          </w:tcPr>
          <w:p w14:paraId="4A3DCF07" w14:textId="77777777" w:rsidR="00193A3D" w:rsidRDefault="00193A3D" w:rsidP="00CB71B1">
            <w:pPr>
              <w:pStyle w:val="TableCenter"/>
              <w:rPr>
                <w:b/>
                <w:lang w:eastAsia="en-GB"/>
              </w:rPr>
            </w:pPr>
            <w:r>
              <w:rPr>
                <w:lang w:val="sv-SE" w:eastAsia="en-GB"/>
              </w:rPr>
              <w:t>12 (11.5)</w:t>
            </w:r>
          </w:p>
        </w:tc>
      </w:tr>
      <w:tr w:rsidR="00193A3D" w14:paraId="03109DD9" w14:textId="77777777" w:rsidTr="0048380C">
        <w:trPr>
          <w:trHeight w:val="221"/>
        </w:trPr>
        <w:tc>
          <w:tcPr>
            <w:tcW w:w="3256" w:type="dxa"/>
            <w:tcBorders>
              <w:top w:val="single" w:sz="4" w:space="0" w:color="auto"/>
              <w:left w:val="single" w:sz="4" w:space="0" w:color="auto"/>
              <w:bottom w:val="single" w:sz="4" w:space="0" w:color="auto"/>
              <w:right w:val="single" w:sz="4" w:space="0" w:color="auto"/>
            </w:tcBorders>
            <w:hideMark/>
          </w:tcPr>
          <w:p w14:paraId="5B3986B2" w14:textId="77777777" w:rsidR="00193A3D" w:rsidRDefault="00193A3D" w:rsidP="00CB71B1">
            <w:pPr>
              <w:pStyle w:val="TableLeft"/>
              <w:rPr>
                <w:b/>
                <w:lang w:eastAsia="en-GB"/>
              </w:rPr>
            </w:pPr>
            <w:r>
              <w:rPr>
                <w:lang w:eastAsia="en-GB"/>
              </w:rPr>
              <w:t>95% CI</w:t>
            </w:r>
          </w:p>
        </w:tc>
        <w:tc>
          <w:tcPr>
            <w:tcW w:w="1984" w:type="dxa"/>
            <w:tcBorders>
              <w:top w:val="single" w:sz="4" w:space="0" w:color="auto"/>
              <w:left w:val="single" w:sz="4" w:space="0" w:color="auto"/>
              <w:bottom w:val="single" w:sz="4" w:space="0" w:color="auto"/>
              <w:right w:val="single" w:sz="4" w:space="0" w:color="auto"/>
            </w:tcBorders>
            <w:hideMark/>
          </w:tcPr>
          <w:p w14:paraId="48F14CB4" w14:textId="77777777" w:rsidR="00193A3D" w:rsidRDefault="00193A3D" w:rsidP="00CB71B1">
            <w:pPr>
              <w:pStyle w:val="TableCenter"/>
              <w:rPr>
                <w:b/>
                <w:lang w:eastAsia="en-GB"/>
              </w:rPr>
            </w:pPr>
            <w:r>
              <w:rPr>
                <w:lang w:val="sv-SE" w:eastAsia="en-GB"/>
              </w:rPr>
              <w:t>14.9, 35.3</w:t>
            </w:r>
          </w:p>
        </w:tc>
        <w:tc>
          <w:tcPr>
            <w:tcW w:w="1990" w:type="dxa"/>
            <w:tcBorders>
              <w:top w:val="single" w:sz="4" w:space="0" w:color="auto"/>
              <w:left w:val="single" w:sz="4" w:space="0" w:color="auto"/>
              <w:bottom w:val="single" w:sz="4" w:space="0" w:color="auto"/>
              <w:right w:val="single" w:sz="4" w:space="0" w:color="auto"/>
            </w:tcBorders>
            <w:hideMark/>
          </w:tcPr>
          <w:p w14:paraId="6C1880C3" w14:textId="77777777" w:rsidR="00193A3D" w:rsidRDefault="00193A3D" w:rsidP="00CB71B1">
            <w:pPr>
              <w:pStyle w:val="TableCenter"/>
              <w:rPr>
                <w:b/>
                <w:lang w:eastAsia="en-GB"/>
              </w:rPr>
            </w:pPr>
            <w:r>
              <w:rPr>
                <w:lang w:val="sv-SE" w:eastAsia="en-GB"/>
              </w:rPr>
              <w:t>6.1, 19.3</w:t>
            </w:r>
          </w:p>
        </w:tc>
      </w:tr>
      <w:tr w:rsidR="00193A3D" w14:paraId="27AFE308" w14:textId="77777777" w:rsidTr="0048380C">
        <w:trPr>
          <w:trHeight w:val="221"/>
        </w:trPr>
        <w:tc>
          <w:tcPr>
            <w:tcW w:w="3256" w:type="dxa"/>
            <w:tcBorders>
              <w:top w:val="single" w:sz="4" w:space="0" w:color="auto"/>
              <w:left w:val="single" w:sz="4" w:space="0" w:color="auto"/>
              <w:bottom w:val="single" w:sz="4" w:space="0" w:color="auto"/>
              <w:right w:val="single" w:sz="4" w:space="0" w:color="auto"/>
            </w:tcBorders>
            <w:hideMark/>
          </w:tcPr>
          <w:p w14:paraId="2F843B9D" w14:textId="77777777" w:rsidR="00193A3D" w:rsidRDefault="00193A3D">
            <w:pPr>
              <w:spacing w:after="0"/>
              <w:rPr>
                <w:b/>
                <w:lang w:eastAsia="en-GB"/>
              </w:rPr>
            </w:pPr>
            <w:proofErr w:type="spellStart"/>
            <w:r w:rsidRPr="00CB71B1">
              <w:rPr>
                <w:rFonts w:cs="Arial"/>
                <w:b/>
                <w:kern w:val="32"/>
                <w:lang w:eastAsia="en-GB"/>
              </w:rPr>
              <w:t>DoR</w:t>
            </w:r>
            <w:r>
              <w:rPr>
                <w:b/>
                <w:vertAlign w:val="superscript"/>
                <w:lang w:eastAsia="en-GB"/>
              </w:rPr>
              <w:t>b</w:t>
            </w:r>
            <w:proofErr w:type="spellEnd"/>
          </w:p>
        </w:tc>
        <w:tc>
          <w:tcPr>
            <w:tcW w:w="1984" w:type="dxa"/>
            <w:tcBorders>
              <w:top w:val="single" w:sz="4" w:space="0" w:color="auto"/>
              <w:left w:val="single" w:sz="4" w:space="0" w:color="auto"/>
              <w:bottom w:val="single" w:sz="4" w:space="0" w:color="auto"/>
              <w:right w:val="single" w:sz="4" w:space="0" w:color="auto"/>
            </w:tcBorders>
          </w:tcPr>
          <w:p w14:paraId="7EEFCF33" w14:textId="77777777" w:rsidR="00193A3D" w:rsidRDefault="00193A3D" w:rsidP="00CB71B1">
            <w:pPr>
              <w:pStyle w:val="TableCenter"/>
              <w:rPr>
                <w:b/>
                <w:lang w:eastAsia="en-GB"/>
              </w:rPr>
            </w:pPr>
          </w:p>
        </w:tc>
        <w:tc>
          <w:tcPr>
            <w:tcW w:w="1990" w:type="dxa"/>
            <w:tcBorders>
              <w:top w:val="single" w:sz="4" w:space="0" w:color="auto"/>
              <w:left w:val="single" w:sz="4" w:space="0" w:color="auto"/>
              <w:bottom w:val="single" w:sz="4" w:space="0" w:color="auto"/>
              <w:right w:val="single" w:sz="4" w:space="0" w:color="auto"/>
            </w:tcBorders>
          </w:tcPr>
          <w:p w14:paraId="50ECCE37" w14:textId="77777777" w:rsidR="00193A3D" w:rsidRDefault="00193A3D" w:rsidP="00CB71B1">
            <w:pPr>
              <w:pStyle w:val="TableCenter"/>
              <w:rPr>
                <w:b/>
                <w:lang w:eastAsia="en-GB"/>
              </w:rPr>
            </w:pPr>
          </w:p>
        </w:tc>
      </w:tr>
      <w:tr w:rsidR="00193A3D" w14:paraId="27A9CB83" w14:textId="77777777" w:rsidTr="0048380C">
        <w:trPr>
          <w:trHeight w:val="221"/>
        </w:trPr>
        <w:tc>
          <w:tcPr>
            <w:tcW w:w="3256" w:type="dxa"/>
            <w:tcBorders>
              <w:top w:val="single" w:sz="4" w:space="0" w:color="auto"/>
              <w:left w:val="single" w:sz="4" w:space="0" w:color="auto"/>
              <w:bottom w:val="single" w:sz="4" w:space="0" w:color="auto"/>
              <w:right w:val="single" w:sz="4" w:space="0" w:color="auto"/>
            </w:tcBorders>
            <w:hideMark/>
          </w:tcPr>
          <w:p w14:paraId="21A57596" w14:textId="77777777" w:rsidR="00193A3D" w:rsidRDefault="00193A3D">
            <w:pPr>
              <w:spacing w:after="0" w:line="240" w:lineRule="auto"/>
              <w:ind w:left="231"/>
              <w:rPr>
                <w:b/>
                <w:bCs/>
                <w:lang w:eastAsia="en-GB"/>
              </w:rPr>
            </w:pPr>
            <w:r>
              <w:rPr>
                <w:b/>
                <w:bCs/>
                <w:lang w:eastAsia="en-GB"/>
              </w:rPr>
              <w:t xml:space="preserve">Median </w:t>
            </w:r>
            <w:proofErr w:type="spellStart"/>
            <w:r>
              <w:rPr>
                <w:b/>
                <w:bCs/>
                <w:lang w:eastAsia="en-GB"/>
              </w:rPr>
              <w:t>DoR</w:t>
            </w:r>
            <w:proofErr w:type="spellEnd"/>
            <w:r>
              <w:rPr>
                <w:b/>
                <w:bCs/>
                <w:lang w:eastAsia="en-GB"/>
              </w:rPr>
              <w:t xml:space="preserve"> (months) (95% CI)</w:t>
            </w:r>
          </w:p>
        </w:tc>
        <w:tc>
          <w:tcPr>
            <w:tcW w:w="1984" w:type="dxa"/>
            <w:tcBorders>
              <w:top w:val="single" w:sz="4" w:space="0" w:color="auto"/>
              <w:left w:val="single" w:sz="4" w:space="0" w:color="auto"/>
              <w:bottom w:val="single" w:sz="4" w:space="0" w:color="auto"/>
              <w:right w:val="single" w:sz="4" w:space="0" w:color="auto"/>
            </w:tcBorders>
            <w:hideMark/>
          </w:tcPr>
          <w:p w14:paraId="639CC080" w14:textId="77777777" w:rsidR="00193A3D" w:rsidRDefault="00193A3D" w:rsidP="00CB71B1">
            <w:pPr>
              <w:pStyle w:val="TableCenter"/>
              <w:rPr>
                <w:rFonts w:eastAsiaTheme="minorEastAsia"/>
                <w:lang w:val="sv-SE" w:eastAsia="en-GB"/>
              </w:rPr>
            </w:pPr>
            <w:r>
              <w:rPr>
                <w:lang w:val="sv-SE" w:eastAsia="en-GB"/>
              </w:rPr>
              <w:t>18.43</w:t>
            </w:r>
          </w:p>
          <w:p w14:paraId="0F91D382" w14:textId="77777777" w:rsidR="00193A3D" w:rsidRDefault="00193A3D" w:rsidP="00CB71B1">
            <w:pPr>
              <w:pStyle w:val="TableCenter"/>
              <w:rPr>
                <w:b/>
                <w:szCs w:val="20"/>
                <w:lang w:eastAsia="en-GB"/>
              </w:rPr>
            </w:pPr>
            <w:r>
              <w:rPr>
                <w:lang w:val="sv-SE" w:eastAsia="en-GB"/>
              </w:rPr>
              <w:t>(5.6, 24.0)</w:t>
            </w:r>
          </w:p>
        </w:tc>
        <w:tc>
          <w:tcPr>
            <w:tcW w:w="1990" w:type="dxa"/>
            <w:tcBorders>
              <w:top w:val="single" w:sz="4" w:space="0" w:color="auto"/>
              <w:left w:val="single" w:sz="4" w:space="0" w:color="auto"/>
              <w:bottom w:val="single" w:sz="4" w:space="0" w:color="auto"/>
              <w:right w:val="single" w:sz="4" w:space="0" w:color="auto"/>
            </w:tcBorders>
            <w:hideMark/>
          </w:tcPr>
          <w:p w14:paraId="686BD001" w14:textId="77777777" w:rsidR="00193A3D" w:rsidRDefault="00193A3D" w:rsidP="00CB71B1">
            <w:pPr>
              <w:pStyle w:val="TableCenter"/>
              <w:rPr>
                <w:rFonts w:eastAsiaTheme="minorEastAsia"/>
                <w:lang w:val="sv-SE" w:eastAsia="en-GB"/>
              </w:rPr>
            </w:pPr>
            <w:r>
              <w:rPr>
                <w:lang w:val="sv-SE" w:eastAsia="en-GB"/>
              </w:rPr>
              <w:t>15.0</w:t>
            </w:r>
          </w:p>
          <w:p w14:paraId="0B17B5E5" w14:textId="77777777" w:rsidR="00193A3D" w:rsidRDefault="00193A3D" w:rsidP="00CB71B1">
            <w:pPr>
              <w:pStyle w:val="TableCenter"/>
              <w:rPr>
                <w:b/>
                <w:szCs w:val="20"/>
                <w:lang w:eastAsia="en-GB"/>
              </w:rPr>
            </w:pPr>
            <w:r>
              <w:rPr>
                <w:lang w:val="sv-SE" w:eastAsia="en-GB"/>
              </w:rPr>
              <w:t>(8.5, NR)</w:t>
            </w:r>
          </w:p>
        </w:tc>
      </w:tr>
      <w:tr w:rsidR="00193A3D" w14:paraId="68581B15" w14:textId="77777777" w:rsidTr="0048380C">
        <w:trPr>
          <w:trHeight w:val="221"/>
        </w:trPr>
        <w:tc>
          <w:tcPr>
            <w:tcW w:w="3256" w:type="dxa"/>
            <w:tcBorders>
              <w:top w:val="single" w:sz="4" w:space="0" w:color="auto"/>
              <w:left w:val="single" w:sz="4" w:space="0" w:color="auto"/>
              <w:bottom w:val="single" w:sz="4" w:space="0" w:color="auto"/>
              <w:right w:val="single" w:sz="4" w:space="0" w:color="auto"/>
            </w:tcBorders>
            <w:hideMark/>
          </w:tcPr>
          <w:p w14:paraId="37F138B5" w14:textId="3C1C2D12" w:rsidR="00193A3D" w:rsidRPr="00CB71B1" w:rsidRDefault="00193A3D">
            <w:pPr>
              <w:spacing w:after="0" w:line="240" w:lineRule="auto"/>
              <w:ind w:left="231"/>
              <w:rPr>
                <w:rFonts w:eastAsiaTheme="minorEastAsia"/>
              </w:rPr>
            </w:pPr>
            <w:r w:rsidRPr="00CB71B1">
              <w:rPr>
                <w:lang w:eastAsia="en-GB"/>
              </w:rPr>
              <w:lastRenderedPageBreak/>
              <w:t>% with duration ≥</w:t>
            </w:r>
            <w:r w:rsidR="0048380C">
              <w:rPr>
                <w:lang w:eastAsia="en-GB"/>
              </w:rPr>
              <w:t xml:space="preserve"> </w:t>
            </w:r>
            <w:r w:rsidRPr="00CB71B1">
              <w:rPr>
                <w:lang w:eastAsia="en-GB"/>
              </w:rPr>
              <w:t>6 months</w:t>
            </w:r>
          </w:p>
        </w:tc>
        <w:tc>
          <w:tcPr>
            <w:tcW w:w="1984" w:type="dxa"/>
            <w:tcBorders>
              <w:top w:val="single" w:sz="4" w:space="0" w:color="auto"/>
              <w:left w:val="single" w:sz="4" w:space="0" w:color="auto"/>
              <w:bottom w:val="single" w:sz="4" w:space="0" w:color="auto"/>
              <w:right w:val="single" w:sz="4" w:space="0" w:color="auto"/>
            </w:tcBorders>
            <w:hideMark/>
          </w:tcPr>
          <w:p w14:paraId="3C19429C" w14:textId="77777777" w:rsidR="00193A3D" w:rsidRDefault="00193A3D" w:rsidP="00CB71B1">
            <w:pPr>
              <w:pStyle w:val="TableCenter"/>
              <w:rPr>
                <w:b/>
                <w:lang w:eastAsia="en-GB"/>
              </w:rPr>
            </w:pPr>
            <w:r>
              <w:rPr>
                <w:lang w:val="sv-SE" w:eastAsia="en-GB"/>
              </w:rPr>
              <w:t>71.8</w:t>
            </w:r>
          </w:p>
        </w:tc>
        <w:tc>
          <w:tcPr>
            <w:tcW w:w="1990" w:type="dxa"/>
            <w:tcBorders>
              <w:top w:val="single" w:sz="4" w:space="0" w:color="auto"/>
              <w:left w:val="single" w:sz="4" w:space="0" w:color="auto"/>
              <w:bottom w:val="single" w:sz="4" w:space="0" w:color="auto"/>
              <w:right w:val="single" w:sz="4" w:space="0" w:color="auto"/>
            </w:tcBorders>
            <w:hideMark/>
          </w:tcPr>
          <w:p w14:paraId="301D1FC2" w14:textId="77777777" w:rsidR="00193A3D" w:rsidRDefault="00193A3D" w:rsidP="00CB71B1">
            <w:pPr>
              <w:pStyle w:val="TableCenter"/>
              <w:rPr>
                <w:b/>
                <w:lang w:eastAsia="en-GB"/>
              </w:rPr>
            </w:pPr>
            <w:r>
              <w:rPr>
                <w:lang w:val="sv-SE" w:eastAsia="en-GB"/>
              </w:rPr>
              <w:t>83.3</w:t>
            </w:r>
          </w:p>
        </w:tc>
      </w:tr>
      <w:tr w:rsidR="00193A3D" w14:paraId="78596158" w14:textId="77777777" w:rsidTr="0048380C">
        <w:trPr>
          <w:trHeight w:val="221"/>
        </w:trPr>
        <w:tc>
          <w:tcPr>
            <w:tcW w:w="3256" w:type="dxa"/>
            <w:tcBorders>
              <w:top w:val="single" w:sz="4" w:space="0" w:color="auto"/>
              <w:left w:val="single" w:sz="4" w:space="0" w:color="auto"/>
              <w:bottom w:val="single" w:sz="4" w:space="0" w:color="auto"/>
              <w:right w:val="single" w:sz="4" w:space="0" w:color="auto"/>
            </w:tcBorders>
            <w:hideMark/>
          </w:tcPr>
          <w:p w14:paraId="1713EB05" w14:textId="77777777" w:rsidR="00193A3D" w:rsidRDefault="00193A3D">
            <w:pPr>
              <w:spacing w:after="0" w:line="240" w:lineRule="auto"/>
              <w:ind w:left="231"/>
              <w:rPr>
                <w:rFonts w:eastAsiaTheme="minorEastAsia"/>
              </w:rPr>
            </w:pPr>
            <w:r>
              <w:rPr>
                <w:lang w:eastAsia="en-GB"/>
              </w:rPr>
              <w:t>% with duration ≥12 months</w:t>
            </w:r>
          </w:p>
        </w:tc>
        <w:tc>
          <w:tcPr>
            <w:tcW w:w="1984" w:type="dxa"/>
            <w:tcBorders>
              <w:top w:val="single" w:sz="4" w:space="0" w:color="auto"/>
              <w:left w:val="single" w:sz="4" w:space="0" w:color="auto"/>
              <w:bottom w:val="single" w:sz="4" w:space="0" w:color="auto"/>
              <w:right w:val="single" w:sz="4" w:space="0" w:color="auto"/>
            </w:tcBorders>
            <w:hideMark/>
          </w:tcPr>
          <w:p w14:paraId="722BD1FD" w14:textId="77777777" w:rsidR="00193A3D" w:rsidRDefault="00193A3D" w:rsidP="00CB71B1">
            <w:pPr>
              <w:pStyle w:val="TableCenter"/>
              <w:rPr>
                <w:b/>
                <w:lang w:eastAsia="en-GB"/>
              </w:rPr>
            </w:pPr>
            <w:r>
              <w:rPr>
                <w:lang w:val="sv-SE" w:eastAsia="en-GB"/>
              </w:rPr>
              <w:t>64.6</w:t>
            </w:r>
          </w:p>
        </w:tc>
        <w:tc>
          <w:tcPr>
            <w:tcW w:w="1990" w:type="dxa"/>
            <w:tcBorders>
              <w:top w:val="single" w:sz="4" w:space="0" w:color="auto"/>
              <w:left w:val="single" w:sz="4" w:space="0" w:color="auto"/>
              <w:bottom w:val="single" w:sz="4" w:space="0" w:color="auto"/>
              <w:right w:val="single" w:sz="4" w:space="0" w:color="auto"/>
            </w:tcBorders>
            <w:hideMark/>
          </w:tcPr>
          <w:p w14:paraId="1623D970" w14:textId="77777777" w:rsidR="00193A3D" w:rsidRDefault="00193A3D" w:rsidP="00CB71B1">
            <w:pPr>
              <w:pStyle w:val="TableCenter"/>
              <w:rPr>
                <w:b/>
                <w:lang w:eastAsia="en-GB"/>
              </w:rPr>
            </w:pPr>
            <w:r>
              <w:rPr>
                <w:lang w:val="sv-SE" w:eastAsia="en-GB"/>
              </w:rPr>
              <w:t>56.3</w:t>
            </w:r>
          </w:p>
        </w:tc>
      </w:tr>
      <w:tr w:rsidR="00193A3D" w14:paraId="1D5C0CF6" w14:textId="77777777" w:rsidTr="0048380C">
        <w:tc>
          <w:tcPr>
            <w:tcW w:w="5240" w:type="dxa"/>
            <w:gridSpan w:val="2"/>
            <w:tcBorders>
              <w:top w:val="single" w:sz="4" w:space="0" w:color="auto"/>
              <w:left w:val="single" w:sz="4" w:space="0" w:color="auto"/>
              <w:bottom w:val="single" w:sz="4" w:space="0" w:color="auto"/>
              <w:right w:val="single" w:sz="4" w:space="0" w:color="auto"/>
            </w:tcBorders>
            <w:hideMark/>
          </w:tcPr>
          <w:p w14:paraId="17F86E00" w14:textId="77777777" w:rsidR="00193A3D" w:rsidRDefault="00193A3D">
            <w:pPr>
              <w:spacing w:after="0"/>
              <w:rPr>
                <w:b/>
                <w:lang w:eastAsia="en-GB"/>
              </w:rPr>
            </w:pPr>
            <w:r>
              <w:rPr>
                <w:b/>
                <w:lang w:eastAsia="en-GB"/>
              </w:rPr>
              <w:t>OS</w:t>
            </w:r>
          </w:p>
        </w:tc>
        <w:tc>
          <w:tcPr>
            <w:tcW w:w="1990" w:type="dxa"/>
            <w:tcBorders>
              <w:top w:val="single" w:sz="4" w:space="0" w:color="auto"/>
              <w:left w:val="single" w:sz="4" w:space="0" w:color="auto"/>
              <w:bottom w:val="single" w:sz="4" w:space="0" w:color="auto"/>
              <w:right w:val="single" w:sz="4" w:space="0" w:color="auto"/>
            </w:tcBorders>
          </w:tcPr>
          <w:p w14:paraId="30A0A162" w14:textId="77777777" w:rsidR="00193A3D" w:rsidRDefault="00193A3D">
            <w:pPr>
              <w:spacing w:after="0"/>
              <w:rPr>
                <w:b/>
                <w:lang w:eastAsia="en-GB"/>
              </w:rPr>
            </w:pPr>
          </w:p>
        </w:tc>
      </w:tr>
      <w:tr w:rsidR="00193A3D" w14:paraId="7E56390D" w14:textId="77777777" w:rsidTr="0048380C">
        <w:tc>
          <w:tcPr>
            <w:tcW w:w="3256" w:type="dxa"/>
            <w:tcBorders>
              <w:top w:val="single" w:sz="4" w:space="0" w:color="auto"/>
              <w:left w:val="single" w:sz="4" w:space="0" w:color="auto"/>
              <w:bottom w:val="single" w:sz="4" w:space="0" w:color="auto"/>
              <w:right w:val="single" w:sz="4" w:space="0" w:color="auto"/>
            </w:tcBorders>
            <w:hideMark/>
          </w:tcPr>
          <w:p w14:paraId="6F6A0378" w14:textId="77777777" w:rsidR="00193A3D" w:rsidRPr="00CB71B1" w:rsidRDefault="00193A3D" w:rsidP="00CB71B1">
            <w:pPr>
              <w:pStyle w:val="TableLeft"/>
              <w:rPr>
                <w:lang w:eastAsia="en-GB"/>
              </w:rPr>
            </w:pPr>
            <w:r>
              <w:rPr>
                <w:lang w:eastAsia="en-GB"/>
              </w:rPr>
              <w:t>Number of deaths (%)</w:t>
            </w:r>
          </w:p>
        </w:tc>
        <w:tc>
          <w:tcPr>
            <w:tcW w:w="1984" w:type="dxa"/>
            <w:tcBorders>
              <w:top w:val="single" w:sz="4" w:space="0" w:color="auto"/>
              <w:left w:val="single" w:sz="4" w:space="0" w:color="auto"/>
              <w:bottom w:val="single" w:sz="4" w:space="0" w:color="auto"/>
              <w:right w:val="single" w:sz="4" w:space="0" w:color="auto"/>
            </w:tcBorders>
            <w:hideMark/>
          </w:tcPr>
          <w:p w14:paraId="51140515" w14:textId="77777777" w:rsidR="00193A3D" w:rsidRDefault="00193A3D" w:rsidP="00CB71B1">
            <w:pPr>
              <w:pStyle w:val="TableCenter"/>
              <w:rPr>
                <w:lang w:eastAsia="en-GB"/>
              </w:rPr>
            </w:pPr>
            <w:r>
              <w:rPr>
                <w:lang w:val="sv-SE" w:eastAsia="en-GB"/>
              </w:rPr>
              <w:t>49 (65.3)</w:t>
            </w:r>
          </w:p>
        </w:tc>
        <w:tc>
          <w:tcPr>
            <w:tcW w:w="1990" w:type="dxa"/>
            <w:tcBorders>
              <w:top w:val="single" w:sz="4" w:space="0" w:color="auto"/>
              <w:left w:val="single" w:sz="4" w:space="0" w:color="auto"/>
              <w:bottom w:val="single" w:sz="4" w:space="0" w:color="auto"/>
              <w:right w:val="single" w:sz="4" w:space="0" w:color="auto"/>
            </w:tcBorders>
            <w:hideMark/>
          </w:tcPr>
          <w:p w14:paraId="0813E574" w14:textId="77777777" w:rsidR="00193A3D" w:rsidRDefault="00193A3D" w:rsidP="00CB71B1">
            <w:pPr>
              <w:pStyle w:val="TableCenter"/>
              <w:rPr>
                <w:rFonts w:eastAsiaTheme="minorEastAsia"/>
                <w:lang w:val="sv-SE" w:eastAsia="en-GB"/>
              </w:rPr>
            </w:pPr>
            <w:r>
              <w:rPr>
                <w:lang w:val="sv-SE" w:eastAsia="en-GB"/>
              </w:rPr>
              <w:t>78 (75.0)</w:t>
            </w:r>
          </w:p>
        </w:tc>
      </w:tr>
      <w:tr w:rsidR="00193A3D" w14:paraId="18662416" w14:textId="77777777" w:rsidTr="0048380C">
        <w:tc>
          <w:tcPr>
            <w:tcW w:w="3256" w:type="dxa"/>
            <w:tcBorders>
              <w:top w:val="single" w:sz="4" w:space="0" w:color="auto"/>
              <w:left w:val="single" w:sz="4" w:space="0" w:color="auto"/>
              <w:bottom w:val="single" w:sz="4" w:space="0" w:color="auto"/>
              <w:right w:val="single" w:sz="4" w:space="0" w:color="auto"/>
            </w:tcBorders>
            <w:hideMark/>
          </w:tcPr>
          <w:p w14:paraId="4CD7A47A" w14:textId="77777777" w:rsidR="00193A3D" w:rsidRPr="007D1021" w:rsidRDefault="00193A3D" w:rsidP="007D1021">
            <w:pPr>
              <w:spacing w:after="0" w:line="240" w:lineRule="auto"/>
              <w:ind w:left="231"/>
              <w:rPr>
                <w:b/>
                <w:bCs/>
                <w:lang w:eastAsia="en-GB"/>
              </w:rPr>
            </w:pPr>
            <w:r>
              <w:rPr>
                <w:b/>
                <w:bCs/>
                <w:lang w:eastAsia="en-GB"/>
              </w:rPr>
              <w:t>Median OS (months)</w:t>
            </w:r>
          </w:p>
          <w:p w14:paraId="07CDC6CC" w14:textId="77777777" w:rsidR="00193A3D" w:rsidRPr="007D1021" w:rsidRDefault="00193A3D" w:rsidP="007D1021">
            <w:pPr>
              <w:spacing w:after="0" w:line="240" w:lineRule="auto"/>
              <w:ind w:left="231"/>
              <w:rPr>
                <w:b/>
                <w:bCs/>
                <w:lang w:eastAsia="en-GB"/>
              </w:rPr>
            </w:pPr>
            <w:r>
              <w:rPr>
                <w:b/>
                <w:bCs/>
                <w:lang w:eastAsia="en-GB"/>
              </w:rPr>
              <w:t>(95% CI)</w:t>
            </w:r>
          </w:p>
        </w:tc>
        <w:tc>
          <w:tcPr>
            <w:tcW w:w="1984" w:type="dxa"/>
            <w:tcBorders>
              <w:top w:val="single" w:sz="4" w:space="0" w:color="auto"/>
              <w:left w:val="single" w:sz="4" w:space="0" w:color="auto"/>
              <w:bottom w:val="single" w:sz="4" w:space="0" w:color="auto"/>
              <w:right w:val="single" w:sz="4" w:space="0" w:color="auto"/>
            </w:tcBorders>
            <w:hideMark/>
          </w:tcPr>
          <w:p w14:paraId="7C5037DA" w14:textId="77777777" w:rsidR="00193A3D" w:rsidRDefault="00193A3D" w:rsidP="00CB71B1">
            <w:pPr>
              <w:pStyle w:val="TableCenter"/>
              <w:rPr>
                <w:lang w:eastAsia="en-GB"/>
              </w:rPr>
            </w:pPr>
            <w:r>
              <w:rPr>
                <w:lang w:eastAsia="en-GB"/>
              </w:rPr>
              <w:t xml:space="preserve">17.05 </w:t>
            </w:r>
          </w:p>
          <w:p w14:paraId="2C7BABCB" w14:textId="77777777" w:rsidR="00193A3D" w:rsidRDefault="00193A3D" w:rsidP="00CB71B1">
            <w:pPr>
              <w:pStyle w:val="TableCenter"/>
              <w:rPr>
                <w:lang w:eastAsia="en-GB"/>
              </w:rPr>
            </w:pPr>
            <w:r>
              <w:rPr>
                <w:lang w:eastAsia="en-GB"/>
              </w:rPr>
              <w:t>(</w:t>
            </w:r>
            <w:r>
              <w:rPr>
                <w:lang w:val="sv-SE" w:eastAsia="en-GB"/>
              </w:rPr>
              <w:t>10.6-22.8)</w:t>
            </w:r>
          </w:p>
        </w:tc>
        <w:tc>
          <w:tcPr>
            <w:tcW w:w="1990" w:type="dxa"/>
            <w:tcBorders>
              <w:top w:val="single" w:sz="4" w:space="0" w:color="auto"/>
              <w:left w:val="single" w:sz="4" w:space="0" w:color="auto"/>
              <w:bottom w:val="single" w:sz="4" w:space="0" w:color="auto"/>
              <w:right w:val="single" w:sz="4" w:space="0" w:color="auto"/>
            </w:tcBorders>
            <w:hideMark/>
          </w:tcPr>
          <w:p w14:paraId="1F7A5F7E" w14:textId="77777777" w:rsidR="00193A3D" w:rsidRDefault="00193A3D" w:rsidP="00CB71B1">
            <w:pPr>
              <w:pStyle w:val="TableCenter"/>
              <w:rPr>
                <w:lang w:eastAsia="en-GB"/>
              </w:rPr>
            </w:pPr>
            <w:r>
              <w:rPr>
                <w:lang w:eastAsia="en-GB"/>
              </w:rPr>
              <w:t xml:space="preserve">12.9 </w:t>
            </w:r>
          </w:p>
          <w:p w14:paraId="34AE28F6" w14:textId="77777777" w:rsidR="00193A3D" w:rsidRDefault="00193A3D" w:rsidP="00CB71B1">
            <w:pPr>
              <w:pStyle w:val="TableCenter"/>
              <w:rPr>
                <w:lang w:eastAsia="en-GB"/>
              </w:rPr>
            </w:pPr>
            <w:r>
              <w:rPr>
                <w:lang w:eastAsia="en-GB"/>
              </w:rPr>
              <w:t>(8.7-16.8)</w:t>
            </w:r>
          </w:p>
        </w:tc>
      </w:tr>
      <w:tr w:rsidR="00193A3D" w14:paraId="285B8C82" w14:textId="77777777" w:rsidTr="0048380C">
        <w:trPr>
          <w:trHeight w:val="402"/>
        </w:trPr>
        <w:tc>
          <w:tcPr>
            <w:tcW w:w="3256" w:type="dxa"/>
            <w:tcBorders>
              <w:top w:val="single" w:sz="4" w:space="0" w:color="auto"/>
              <w:left w:val="single" w:sz="4" w:space="0" w:color="auto"/>
              <w:bottom w:val="single" w:sz="4" w:space="0" w:color="auto"/>
              <w:right w:val="single" w:sz="4" w:space="0" w:color="auto"/>
            </w:tcBorders>
            <w:hideMark/>
          </w:tcPr>
          <w:p w14:paraId="218314BE" w14:textId="1FF9D0C6" w:rsidR="00193A3D" w:rsidRPr="007D1021" w:rsidRDefault="00193A3D" w:rsidP="007D1021">
            <w:pPr>
              <w:spacing w:after="0" w:line="240" w:lineRule="auto"/>
              <w:ind w:left="231"/>
              <w:rPr>
                <w:b/>
                <w:bCs/>
                <w:lang w:eastAsia="en-GB"/>
              </w:rPr>
            </w:pPr>
            <w:r>
              <w:rPr>
                <w:b/>
                <w:bCs/>
                <w:lang w:eastAsia="en-GB"/>
              </w:rPr>
              <w:t>OS at 12 months</w:t>
            </w:r>
            <w:r w:rsidRPr="007D1021">
              <w:rPr>
                <w:b/>
                <w:bCs/>
                <w:lang w:eastAsia="en-GB"/>
              </w:rPr>
              <w:t xml:space="preserve"> </w:t>
            </w:r>
            <w:r>
              <w:rPr>
                <w:b/>
                <w:bCs/>
                <w:lang w:eastAsia="en-GB"/>
              </w:rPr>
              <w:t xml:space="preserve">(%) </w:t>
            </w:r>
            <w:r w:rsidR="0048380C">
              <w:rPr>
                <w:b/>
                <w:bCs/>
                <w:lang w:eastAsia="en-GB"/>
              </w:rPr>
              <w:br/>
            </w:r>
            <w:r>
              <w:rPr>
                <w:b/>
                <w:bCs/>
                <w:lang w:eastAsia="en-GB"/>
              </w:rPr>
              <w:t>(95% CI)</w:t>
            </w:r>
          </w:p>
        </w:tc>
        <w:tc>
          <w:tcPr>
            <w:tcW w:w="1984" w:type="dxa"/>
            <w:tcBorders>
              <w:top w:val="single" w:sz="4" w:space="0" w:color="auto"/>
              <w:left w:val="single" w:sz="4" w:space="0" w:color="auto"/>
              <w:bottom w:val="single" w:sz="4" w:space="0" w:color="auto"/>
              <w:right w:val="single" w:sz="4" w:space="0" w:color="auto"/>
            </w:tcBorders>
            <w:hideMark/>
          </w:tcPr>
          <w:p w14:paraId="3CBF9211" w14:textId="77777777" w:rsidR="00193A3D" w:rsidRDefault="00193A3D" w:rsidP="00CB71B1">
            <w:pPr>
              <w:pStyle w:val="TableCenter"/>
              <w:rPr>
                <w:rFonts w:eastAsiaTheme="minorEastAsia"/>
                <w:lang w:val="sv-SE" w:eastAsia="en-GB"/>
              </w:rPr>
            </w:pPr>
            <w:r>
              <w:rPr>
                <w:lang w:val="sv-SE" w:eastAsia="en-GB"/>
              </w:rPr>
              <w:t xml:space="preserve">57.6 </w:t>
            </w:r>
          </w:p>
          <w:p w14:paraId="1C53763D" w14:textId="77777777" w:rsidR="00193A3D" w:rsidRDefault="00193A3D" w:rsidP="00CB71B1">
            <w:pPr>
              <w:pStyle w:val="TableCenter"/>
              <w:rPr>
                <w:lang w:eastAsia="en-GB"/>
              </w:rPr>
            </w:pPr>
            <w:r>
              <w:rPr>
                <w:lang w:val="sv-SE" w:eastAsia="en-GB"/>
              </w:rPr>
              <w:t>(45.5-68.0)</w:t>
            </w:r>
          </w:p>
        </w:tc>
        <w:tc>
          <w:tcPr>
            <w:tcW w:w="1990" w:type="dxa"/>
            <w:tcBorders>
              <w:top w:val="single" w:sz="4" w:space="0" w:color="auto"/>
              <w:left w:val="single" w:sz="4" w:space="0" w:color="auto"/>
              <w:bottom w:val="single" w:sz="4" w:space="0" w:color="auto"/>
              <w:right w:val="single" w:sz="4" w:space="0" w:color="auto"/>
            </w:tcBorders>
            <w:hideMark/>
          </w:tcPr>
          <w:p w14:paraId="48EBB064" w14:textId="77777777" w:rsidR="00193A3D" w:rsidRDefault="00193A3D" w:rsidP="00CB71B1">
            <w:pPr>
              <w:pStyle w:val="TableCenter"/>
              <w:rPr>
                <w:rFonts w:eastAsiaTheme="minorEastAsia"/>
                <w:lang w:val="sv-SE" w:eastAsia="en-GB"/>
              </w:rPr>
            </w:pPr>
            <w:r>
              <w:rPr>
                <w:lang w:val="sv-SE" w:eastAsia="en-GB"/>
              </w:rPr>
              <w:t xml:space="preserve">50.4 </w:t>
            </w:r>
          </w:p>
          <w:p w14:paraId="14DAC8F1" w14:textId="77777777" w:rsidR="00193A3D" w:rsidRDefault="00193A3D" w:rsidP="00CB71B1">
            <w:pPr>
              <w:pStyle w:val="TableCenter"/>
              <w:rPr>
                <w:lang w:val="sv-SE" w:eastAsia="en-GB"/>
              </w:rPr>
            </w:pPr>
            <w:r>
              <w:rPr>
                <w:lang w:val="sv-SE" w:eastAsia="en-GB"/>
              </w:rPr>
              <w:t>(</w:t>
            </w:r>
            <w:r>
              <w:rPr>
                <w:lang w:eastAsia="en-GB"/>
              </w:rPr>
              <w:t>40.3-59.7</w:t>
            </w:r>
            <w:r>
              <w:rPr>
                <w:lang w:val="sv-SE" w:eastAsia="en-GB"/>
              </w:rPr>
              <w:t>)</w:t>
            </w:r>
          </w:p>
        </w:tc>
      </w:tr>
      <w:tr w:rsidR="00193A3D" w14:paraId="64CDB216" w14:textId="77777777" w:rsidTr="0048380C">
        <w:tc>
          <w:tcPr>
            <w:tcW w:w="3256" w:type="dxa"/>
            <w:tcBorders>
              <w:top w:val="single" w:sz="4" w:space="0" w:color="auto"/>
              <w:left w:val="single" w:sz="4" w:space="0" w:color="auto"/>
              <w:bottom w:val="single" w:sz="4" w:space="0" w:color="auto"/>
              <w:right w:val="single" w:sz="4" w:space="0" w:color="auto"/>
            </w:tcBorders>
            <w:hideMark/>
          </w:tcPr>
          <w:p w14:paraId="5B2A3197" w14:textId="1C7B3F6C" w:rsidR="00193A3D" w:rsidRPr="007D1021" w:rsidRDefault="00193A3D" w:rsidP="007D1021">
            <w:pPr>
              <w:spacing w:after="0" w:line="240" w:lineRule="auto"/>
              <w:ind w:left="231"/>
              <w:rPr>
                <w:b/>
                <w:bCs/>
                <w:lang w:eastAsia="en-GB"/>
              </w:rPr>
            </w:pPr>
            <w:r>
              <w:rPr>
                <w:b/>
                <w:bCs/>
                <w:lang w:eastAsia="en-GB"/>
              </w:rPr>
              <w:t xml:space="preserve">OS at 18 months (%) </w:t>
            </w:r>
            <w:r w:rsidR="0048380C">
              <w:rPr>
                <w:b/>
                <w:bCs/>
                <w:lang w:eastAsia="en-GB"/>
              </w:rPr>
              <w:br/>
            </w:r>
            <w:r>
              <w:rPr>
                <w:b/>
                <w:bCs/>
                <w:lang w:eastAsia="en-GB"/>
              </w:rPr>
              <w:t>(95% CI)</w:t>
            </w:r>
          </w:p>
        </w:tc>
        <w:tc>
          <w:tcPr>
            <w:tcW w:w="1984" w:type="dxa"/>
            <w:tcBorders>
              <w:top w:val="single" w:sz="4" w:space="0" w:color="auto"/>
              <w:left w:val="single" w:sz="4" w:space="0" w:color="auto"/>
              <w:bottom w:val="single" w:sz="4" w:space="0" w:color="auto"/>
              <w:right w:val="single" w:sz="4" w:space="0" w:color="auto"/>
            </w:tcBorders>
            <w:hideMark/>
          </w:tcPr>
          <w:p w14:paraId="7CBD49F0" w14:textId="77777777" w:rsidR="00193A3D" w:rsidRDefault="00193A3D" w:rsidP="00CB71B1">
            <w:pPr>
              <w:pStyle w:val="TableCenter"/>
              <w:rPr>
                <w:rFonts w:eastAsiaTheme="minorEastAsia"/>
                <w:lang w:val="sv-SE" w:eastAsia="en-GB"/>
              </w:rPr>
            </w:pPr>
            <w:r>
              <w:rPr>
                <w:lang w:val="sv-SE" w:eastAsia="en-GB"/>
              </w:rPr>
              <w:t xml:space="preserve">47.8 </w:t>
            </w:r>
          </w:p>
          <w:p w14:paraId="04CA8576" w14:textId="77777777" w:rsidR="00193A3D" w:rsidRDefault="00193A3D" w:rsidP="00CB71B1">
            <w:pPr>
              <w:pStyle w:val="TableCenter"/>
              <w:rPr>
                <w:lang w:eastAsia="en-GB"/>
              </w:rPr>
            </w:pPr>
            <w:r>
              <w:rPr>
                <w:lang w:val="sv-SE" w:eastAsia="en-GB"/>
              </w:rPr>
              <w:t>(35.9-58.7)</w:t>
            </w:r>
          </w:p>
        </w:tc>
        <w:tc>
          <w:tcPr>
            <w:tcW w:w="1990" w:type="dxa"/>
            <w:tcBorders>
              <w:top w:val="single" w:sz="4" w:space="0" w:color="auto"/>
              <w:left w:val="single" w:sz="4" w:space="0" w:color="auto"/>
              <w:bottom w:val="single" w:sz="4" w:space="0" w:color="auto"/>
              <w:right w:val="single" w:sz="4" w:space="0" w:color="auto"/>
            </w:tcBorders>
            <w:hideMark/>
          </w:tcPr>
          <w:p w14:paraId="686EAA59" w14:textId="77777777" w:rsidR="00193A3D" w:rsidRDefault="00193A3D" w:rsidP="00CB71B1">
            <w:pPr>
              <w:pStyle w:val="TableCenter"/>
              <w:rPr>
                <w:rFonts w:eastAsiaTheme="minorEastAsia"/>
                <w:lang w:val="sv-SE" w:eastAsia="en-GB"/>
              </w:rPr>
            </w:pPr>
            <w:r>
              <w:rPr>
                <w:lang w:val="sv-SE" w:eastAsia="en-GB"/>
              </w:rPr>
              <w:t>34.0</w:t>
            </w:r>
          </w:p>
          <w:p w14:paraId="788A1828" w14:textId="77777777" w:rsidR="00193A3D" w:rsidRDefault="00193A3D" w:rsidP="00CB71B1">
            <w:pPr>
              <w:pStyle w:val="TableCenter"/>
              <w:rPr>
                <w:lang w:val="sv-SE" w:eastAsia="en-GB"/>
              </w:rPr>
            </w:pPr>
            <w:r>
              <w:rPr>
                <w:lang w:val="sv-SE" w:eastAsia="en-GB"/>
              </w:rPr>
              <w:t>(</w:t>
            </w:r>
            <w:r>
              <w:rPr>
                <w:lang w:eastAsia="en-GB"/>
              </w:rPr>
              <w:t>24.9-43.3</w:t>
            </w:r>
            <w:r>
              <w:rPr>
                <w:lang w:val="sv-SE" w:eastAsia="en-GB"/>
              </w:rPr>
              <w:t>)</w:t>
            </w:r>
          </w:p>
        </w:tc>
      </w:tr>
      <w:tr w:rsidR="00193A3D" w14:paraId="616E5A02" w14:textId="77777777" w:rsidTr="0048380C">
        <w:tc>
          <w:tcPr>
            <w:tcW w:w="3256" w:type="dxa"/>
            <w:tcBorders>
              <w:top w:val="single" w:sz="4" w:space="0" w:color="auto"/>
              <w:left w:val="single" w:sz="4" w:space="0" w:color="auto"/>
              <w:bottom w:val="single" w:sz="4" w:space="0" w:color="auto"/>
              <w:right w:val="single" w:sz="4" w:space="0" w:color="auto"/>
            </w:tcBorders>
            <w:hideMark/>
          </w:tcPr>
          <w:p w14:paraId="4235E410" w14:textId="021D831B" w:rsidR="00193A3D" w:rsidRPr="007D1021" w:rsidRDefault="00193A3D" w:rsidP="007D1021">
            <w:pPr>
              <w:spacing w:after="0" w:line="240" w:lineRule="auto"/>
              <w:ind w:left="231"/>
              <w:rPr>
                <w:b/>
                <w:bCs/>
                <w:lang w:eastAsia="en-GB"/>
              </w:rPr>
            </w:pPr>
            <w:r>
              <w:rPr>
                <w:b/>
                <w:bCs/>
                <w:lang w:eastAsia="en-GB"/>
              </w:rPr>
              <w:t xml:space="preserve">OS at 24 months (%) </w:t>
            </w:r>
            <w:r w:rsidR="0048380C">
              <w:rPr>
                <w:b/>
                <w:bCs/>
                <w:lang w:eastAsia="en-GB"/>
              </w:rPr>
              <w:br/>
            </w:r>
            <w:r>
              <w:rPr>
                <w:b/>
                <w:bCs/>
                <w:lang w:eastAsia="en-GB"/>
              </w:rPr>
              <w:t>(95% CI)</w:t>
            </w:r>
          </w:p>
        </w:tc>
        <w:tc>
          <w:tcPr>
            <w:tcW w:w="1984" w:type="dxa"/>
            <w:tcBorders>
              <w:top w:val="single" w:sz="4" w:space="0" w:color="auto"/>
              <w:left w:val="single" w:sz="4" w:space="0" w:color="auto"/>
              <w:bottom w:val="single" w:sz="4" w:space="0" w:color="auto"/>
              <w:right w:val="single" w:sz="4" w:space="0" w:color="auto"/>
            </w:tcBorders>
            <w:hideMark/>
          </w:tcPr>
          <w:p w14:paraId="287B0D22" w14:textId="77777777" w:rsidR="00193A3D" w:rsidRDefault="00193A3D" w:rsidP="00CB71B1">
            <w:pPr>
              <w:pStyle w:val="TableCenter"/>
              <w:rPr>
                <w:rFonts w:eastAsiaTheme="minorEastAsia"/>
                <w:lang w:val="sv-SE" w:eastAsia="en-GB"/>
              </w:rPr>
            </w:pPr>
            <w:r>
              <w:rPr>
                <w:lang w:val="sv-SE" w:eastAsia="en-GB"/>
              </w:rPr>
              <w:t xml:space="preserve">38.3 </w:t>
            </w:r>
          </w:p>
          <w:p w14:paraId="13B3AA98" w14:textId="77777777" w:rsidR="00193A3D" w:rsidRDefault="00193A3D" w:rsidP="00CB71B1">
            <w:pPr>
              <w:pStyle w:val="TableCenter"/>
              <w:rPr>
                <w:lang w:eastAsia="en-GB"/>
              </w:rPr>
            </w:pPr>
            <w:r>
              <w:rPr>
                <w:lang w:val="sv-SE" w:eastAsia="en-GB"/>
              </w:rPr>
              <w:t>(26.9-49.6)</w:t>
            </w:r>
          </w:p>
        </w:tc>
        <w:tc>
          <w:tcPr>
            <w:tcW w:w="1990" w:type="dxa"/>
            <w:tcBorders>
              <w:top w:val="single" w:sz="4" w:space="0" w:color="auto"/>
              <w:left w:val="single" w:sz="4" w:space="0" w:color="auto"/>
              <w:bottom w:val="single" w:sz="4" w:space="0" w:color="auto"/>
              <w:right w:val="single" w:sz="4" w:space="0" w:color="auto"/>
            </w:tcBorders>
            <w:hideMark/>
          </w:tcPr>
          <w:p w14:paraId="6EA44981" w14:textId="77777777" w:rsidR="00193A3D" w:rsidRDefault="00193A3D" w:rsidP="00CB71B1">
            <w:pPr>
              <w:pStyle w:val="TableCenter"/>
              <w:rPr>
                <w:rFonts w:eastAsiaTheme="minorEastAsia"/>
                <w:lang w:val="sv-SE" w:eastAsia="en-GB"/>
              </w:rPr>
            </w:pPr>
            <w:r>
              <w:rPr>
                <w:lang w:val="sv-SE" w:eastAsia="en-GB"/>
              </w:rPr>
              <w:t>26.2</w:t>
            </w:r>
          </w:p>
          <w:p w14:paraId="2FA4D439" w14:textId="77777777" w:rsidR="00193A3D" w:rsidRDefault="00193A3D" w:rsidP="00CB71B1">
            <w:pPr>
              <w:pStyle w:val="TableCenter"/>
              <w:rPr>
                <w:lang w:val="sv-SE" w:eastAsia="en-GB"/>
              </w:rPr>
            </w:pPr>
            <w:r>
              <w:rPr>
                <w:lang w:val="sv-SE" w:eastAsia="en-GB"/>
              </w:rPr>
              <w:t>(</w:t>
            </w:r>
            <w:r>
              <w:rPr>
                <w:lang w:eastAsia="en-GB"/>
              </w:rPr>
              <w:t>17.9-35.3</w:t>
            </w:r>
            <w:r>
              <w:rPr>
                <w:lang w:val="sv-SE" w:eastAsia="en-GB"/>
              </w:rPr>
              <w:t>)</w:t>
            </w:r>
          </w:p>
        </w:tc>
      </w:tr>
    </w:tbl>
    <w:p w14:paraId="617FED9E" w14:textId="77777777" w:rsidR="00193A3D" w:rsidRDefault="00193A3D" w:rsidP="00A67547">
      <w:pPr>
        <w:pStyle w:val="TableFootnoteInfo"/>
        <w:rPr>
          <w:lang w:val="en-US" w:eastAsia="en-GB"/>
        </w:rPr>
      </w:pPr>
      <w:r>
        <w:rPr>
          <w:vertAlign w:val="superscript"/>
          <w:lang w:val="en-US" w:eastAsia="en-GB"/>
        </w:rPr>
        <w:t>a</w:t>
      </w:r>
      <w:r>
        <w:rPr>
          <w:lang w:val="en-US" w:eastAsia="en-GB"/>
        </w:rPr>
        <w:t xml:space="preserve"> DCO of Final analysis: 6 Nov 2020.</w:t>
      </w:r>
    </w:p>
    <w:p w14:paraId="03CBC003" w14:textId="77777777" w:rsidR="00193A3D" w:rsidRDefault="00193A3D" w:rsidP="00A67547">
      <w:pPr>
        <w:pStyle w:val="TableFootnoteInfo"/>
        <w:rPr>
          <w:lang w:val="en-US" w:eastAsia="en-GB"/>
        </w:rPr>
      </w:pPr>
      <w:r>
        <w:rPr>
          <w:vertAlign w:val="superscript"/>
          <w:lang w:val="en-US" w:eastAsia="en-GB"/>
        </w:rPr>
        <w:t xml:space="preserve">b </w:t>
      </w:r>
      <w:r>
        <w:rPr>
          <w:lang w:val="en-US" w:eastAsia="en-GB"/>
        </w:rPr>
        <w:t xml:space="preserve">Confirmed by BICR per RECIST v1.1. </w:t>
      </w:r>
    </w:p>
    <w:p w14:paraId="3A91DF00" w14:textId="77777777" w:rsidR="00193A3D" w:rsidRDefault="00193A3D" w:rsidP="00A67547">
      <w:pPr>
        <w:pStyle w:val="TableFootnoteInfo"/>
        <w:rPr>
          <w:lang w:val="en-US" w:eastAsia="en-GB"/>
        </w:rPr>
      </w:pPr>
      <w:r>
        <w:rPr>
          <w:vertAlign w:val="superscript"/>
          <w:lang w:val="en-US" w:eastAsia="en-GB"/>
        </w:rPr>
        <w:t>c</w:t>
      </w:r>
      <w:r>
        <w:rPr>
          <w:lang w:val="en-US" w:eastAsia="en-GB"/>
        </w:rPr>
        <w:t xml:space="preserve"> Confirmed complete response.</w:t>
      </w:r>
    </w:p>
    <w:p w14:paraId="0924C76A" w14:textId="77777777" w:rsidR="00193A3D" w:rsidRDefault="00193A3D" w:rsidP="00A67547">
      <w:pPr>
        <w:pStyle w:val="TableFootnoteInfo"/>
      </w:pPr>
      <w:r>
        <w:t>NR=Not Reached, CI=Confidence Interval</w:t>
      </w:r>
    </w:p>
    <w:p w14:paraId="437F3AF2" w14:textId="0C292E3C" w:rsidR="007403BD" w:rsidRPr="007403BD" w:rsidRDefault="007403BD" w:rsidP="007403BD">
      <w:pPr>
        <w:pStyle w:val="Paragraph"/>
        <w:rPr>
          <w:i/>
          <w:color w:val="00B0F0"/>
        </w:rPr>
      </w:pPr>
    </w:p>
    <w:p w14:paraId="78F4918F" w14:textId="5A607110" w:rsidR="001A3992" w:rsidRDefault="007403BD" w:rsidP="003B7CFF">
      <w:pPr>
        <w:pStyle w:val="Heading2"/>
      </w:pPr>
      <w:bookmarkStart w:id="21" w:name="_Ref126745924"/>
      <w:r>
        <w:t>Pharmacokinetic properties</w:t>
      </w:r>
      <w:bookmarkEnd w:id="21"/>
    </w:p>
    <w:p w14:paraId="746DA722" w14:textId="10E23B42" w:rsidR="00AE79CF" w:rsidRDefault="00AE79CF" w:rsidP="002E5E86">
      <w:pPr>
        <w:rPr>
          <w:sz w:val="22"/>
          <w:szCs w:val="22"/>
          <w:lang w:val="en-US"/>
        </w:rPr>
      </w:pPr>
      <w:r>
        <w:t xml:space="preserve">The pharmacokinetics of </w:t>
      </w:r>
      <w:proofErr w:type="spellStart"/>
      <w:r>
        <w:t>tremelimumab</w:t>
      </w:r>
      <w:proofErr w:type="spellEnd"/>
      <w:r>
        <w:t xml:space="preserve"> as a single agent was studied in patients with doses ranging from 75 mg to 750 mg or 10 mg/kg administered once every 4</w:t>
      </w:r>
      <w:r w:rsidR="00C2539E">
        <w:t xml:space="preserve"> </w:t>
      </w:r>
      <w:r w:rsidR="008A7A0D">
        <w:t xml:space="preserve">or </w:t>
      </w:r>
      <w:r w:rsidR="00C2539E">
        <w:t>12 weeks</w:t>
      </w:r>
      <w:r w:rsidR="00D12A78">
        <w:t>, and in combination with durvalumab at a single priming dose of 300</w:t>
      </w:r>
      <w:r w:rsidR="00723846">
        <w:t xml:space="preserve"> </w:t>
      </w:r>
      <w:r w:rsidR="00D12A78">
        <w:t>mg</w:t>
      </w:r>
      <w:r w:rsidR="00723846">
        <w:t>.</w:t>
      </w:r>
    </w:p>
    <w:p w14:paraId="2DB1A7AF" w14:textId="77777777" w:rsidR="00AE79CF" w:rsidRDefault="00AE79CF" w:rsidP="00AE79CF">
      <w:r>
        <w:t>PK exposure increased dose proportionally at doses ≥ 75 mg every 4 weeks. Steady state was achieved at approximately 12 weeks.</w:t>
      </w:r>
    </w:p>
    <w:p w14:paraId="137AA072" w14:textId="5993DE53" w:rsidR="00AE79CF" w:rsidRDefault="00AE79CF" w:rsidP="00AE79CF">
      <w:r>
        <w:t xml:space="preserve">The pharmacokinetics of </w:t>
      </w:r>
      <w:proofErr w:type="spellStart"/>
      <w:r>
        <w:t>tremelimumab</w:t>
      </w:r>
      <w:proofErr w:type="spellEnd"/>
      <w:r>
        <w:t xml:space="preserve"> was similar when assessed as a single agent and when in combination with durvalumab.</w:t>
      </w:r>
    </w:p>
    <w:p w14:paraId="7A7451AC" w14:textId="77777777" w:rsidR="001A3992" w:rsidRDefault="001A3992" w:rsidP="0026491B">
      <w:pPr>
        <w:pStyle w:val="Heading3Unnumbered"/>
      </w:pPr>
      <w:r w:rsidRPr="00377337">
        <w:t>Distribution</w:t>
      </w:r>
    </w:p>
    <w:p w14:paraId="1F27C17B" w14:textId="30FD1304" w:rsidR="00AE79CF" w:rsidRDefault="00AE79CF" w:rsidP="00AE79CF">
      <w:r>
        <w:t xml:space="preserve">From a final two-compartmental </w:t>
      </w:r>
      <w:proofErr w:type="spellStart"/>
      <w:r>
        <w:t>tremelimumab</w:t>
      </w:r>
      <w:proofErr w:type="spellEnd"/>
      <w:r>
        <w:t xml:space="preserve"> population PK model, the geometric mean (% coefficient of variation [CV%]) for central (V1) and peripheral (V2) volume of distribution was 3.45 (27.3%) and 2.47 (43.3%) L, respectively.</w:t>
      </w:r>
    </w:p>
    <w:p w14:paraId="475A9C93" w14:textId="77777777" w:rsidR="001A3992" w:rsidRDefault="001A3992" w:rsidP="0026491B">
      <w:pPr>
        <w:pStyle w:val="Heading3Unnumbered"/>
      </w:pPr>
      <w:r w:rsidRPr="00377337">
        <w:t>Excretion</w:t>
      </w:r>
    </w:p>
    <w:p w14:paraId="5D41F714" w14:textId="23FFBCBF" w:rsidR="00AE79CF" w:rsidRDefault="00AE79CF" w:rsidP="00AE79CF">
      <w:proofErr w:type="spellStart"/>
      <w:r>
        <w:t>Tremelimumab</w:t>
      </w:r>
      <w:proofErr w:type="spellEnd"/>
      <w:r>
        <w:t xml:space="preserve"> clearance decreases over time, with a mean maximal reduction (CV%) from baseline values of approximately 22.7% (26.1%) resulting in a geometric mean (CV%) steady state clearance (</w:t>
      </w:r>
      <w:proofErr w:type="spellStart"/>
      <w:r>
        <w:t>CLss</w:t>
      </w:r>
      <w:proofErr w:type="spellEnd"/>
      <w:r>
        <w:t xml:space="preserve">) of 0.202 L/day (19.2%); the decrease in </w:t>
      </w:r>
      <w:proofErr w:type="spellStart"/>
      <w:r>
        <w:t>CLss</w:t>
      </w:r>
      <w:proofErr w:type="spellEnd"/>
      <w:r>
        <w:t xml:space="preserve"> is not considered clinically relevant. The geometric mean (CV%) terminal half-life was approximately 20.4 (34.7%) days.</w:t>
      </w:r>
    </w:p>
    <w:p w14:paraId="6845B096" w14:textId="77777777" w:rsidR="00070774" w:rsidRPr="00070774" w:rsidRDefault="00070774" w:rsidP="00070774">
      <w:pPr>
        <w:pStyle w:val="Heading3Unnumbered"/>
      </w:pPr>
      <w:r w:rsidRPr="00070774">
        <w:lastRenderedPageBreak/>
        <w:t>Special populations</w:t>
      </w:r>
    </w:p>
    <w:p w14:paraId="5C0308F7" w14:textId="21232085" w:rsidR="00597551" w:rsidRDefault="00070774" w:rsidP="00597551">
      <w:pPr>
        <w:pStyle w:val="CM28"/>
        <w:spacing w:after="120" w:line="280" w:lineRule="atLeast"/>
        <w:ind w:right="101"/>
        <w:rPr>
          <w:vertAlign w:val="superscript"/>
        </w:rPr>
      </w:pPr>
      <w:r>
        <w:t>Age (</w:t>
      </w:r>
      <w:r w:rsidR="009A59A8">
        <w:t>18-87</w:t>
      </w:r>
      <w:r>
        <w:t xml:space="preserve"> years), body weight (34-149 kg), gender, positive anti-</w:t>
      </w:r>
      <w:r>
        <w:rPr>
          <w:lang w:val="x-none"/>
        </w:rPr>
        <w:t>drug antibody (ADA) status</w:t>
      </w:r>
      <w:r>
        <w:t xml:space="preserve">, albumin levels, LDH levels, creatinine levels, </w:t>
      </w:r>
      <w:proofErr w:type="spellStart"/>
      <w:r>
        <w:t>tumour</w:t>
      </w:r>
      <w:proofErr w:type="spellEnd"/>
      <w:r>
        <w:t xml:space="preserve"> type, race, mild renal impairment (creatinine clearance (CRCL) 60 to 89 mL/min), moderate renal impairment (creatinine clearance (CRCL) 30 to 59 mL/min), mild hepatic impairment (bilirubin ≤ ULN and AST &gt; ULN or bilirubin &gt; 1.0 to 1.5 × ULN and any AST), moderate hepatic impairment (bilirubin &gt; 1.5 to 3 x ULN and any AST) or ECOG/WHO status had no clinically significant effect on the PK of </w:t>
      </w:r>
      <w:proofErr w:type="spellStart"/>
      <w:r>
        <w:t>tremelimumab</w:t>
      </w:r>
      <w:proofErr w:type="spellEnd"/>
      <w:r w:rsidR="0048380C">
        <w:t>.</w:t>
      </w:r>
    </w:p>
    <w:p w14:paraId="023616C1" w14:textId="0FF9FEC5" w:rsidR="00070774" w:rsidRDefault="00070774" w:rsidP="00597551">
      <w:pPr>
        <w:pStyle w:val="CM28"/>
        <w:spacing w:after="120" w:line="280" w:lineRule="atLeast"/>
        <w:ind w:right="101"/>
      </w:pPr>
      <w:r>
        <w:t xml:space="preserve">The effect of severe renal impairment (CRCL 15 to 29 mL/min) or severe hepatic impairment (bilirubin &gt; 3.0 x ULN and any AST) on the PK of </w:t>
      </w:r>
      <w:proofErr w:type="spellStart"/>
      <w:r>
        <w:t>tremelimumab</w:t>
      </w:r>
      <w:proofErr w:type="spellEnd"/>
      <w:r>
        <w:t xml:space="preserve"> is unknown.</w:t>
      </w:r>
    </w:p>
    <w:p w14:paraId="6A1E5545" w14:textId="77777777" w:rsidR="005B5896" w:rsidRPr="005B5896" w:rsidRDefault="005B5896" w:rsidP="005B5896">
      <w:pPr>
        <w:pStyle w:val="Heading3Unnumbered"/>
      </w:pPr>
      <w:bookmarkStart w:id="22" w:name="_Hlk97382081"/>
      <w:r w:rsidRPr="005B5896">
        <w:t>Immunogenicity</w:t>
      </w:r>
    </w:p>
    <w:p w14:paraId="28BA3413" w14:textId="42309D95" w:rsidR="005B5896" w:rsidRDefault="005B5896" w:rsidP="005B5896">
      <w:pPr>
        <w:pStyle w:val="NormalWeb"/>
        <w:shd w:val="clear" w:color="auto" w:fill="FFFFFF" w:themeFill="background1"/>
        <w:spacing w:after="192"/>
        <w:textAlignment w:val="baseline"/>
        <w:rPr>
          <w:rFonts w:eastAsia="PMingLiU"/>
        </w:rPr>
      </w:pPr>
      <w:r w:rsidRPr="008D07D0">
        <w:rPr>
          <w:rFonts w:eastAsia="PMingLiU"/>
        </w:rPr>
        <w:t>As with all therapeutic proteins, there is a potential for immunogenicity.</w:t>
      </w:r>
      <w:r w:rsidRPr="008D07D0" w:rsidDel="0093386C">
        <w:rPr>
          <w:rFonts w:eastAsia="Calibri"/>
        </w:rPr>
        <w:t xml:space="preserve"> </w:t>
      </w:r>
      <w:r w:rsidRPr="008D07D0">
        <w:rPr>
          <w:rFonts w:eastAsia="PMingLiU"/>
        </w:rPr>
        <w:t xml:space="preserve">Immunogenicity of </w:t>
      </w:r>
      <w:proofErr w:type="spellStart"/>
      <w:r w:rsidRPr="008D07D0">
        <w:rPr>
          <w:rFonts w:eastAsia="PMingLiU"/>
        </w:rPr>
        <w:t>tremelimumab</w:t>
      </w:r>
      <w:proofErr w:type="spellEnd"/>
      <w:r w:rsidRPr="008D07D0">
        <w:rPr>
          <w:rFonts w:eastAsia="PMingLiU"/>
        </w:rPr>
        <w:t xml:space="preserve"> is based on pooled data in 2075 patients who were treated with </w:t>
      </w:r>
      <w:r w:rsidR="006B7D3A">
        <w:rPr>
          <w:rFonts w:eastAsia="PMingLiU"/>
        </w:rPr>
        <w:t>IMJUDO</w:t>
      </w:r>
      <w:r w:rsidRPr="008D07D0">
        <w:rPr>
          <w:rFonts w:eastAsia="PMingLiU"/>
        </w:rPr>
        <w:t xml:space="preserve"> 75 mg or 1 mg/kg and evaluable for the presence of anti-drug antibodies (ADAs). Two-hundred fifty-two patients (12.1%) tested positive for treatment-emergent ADAs</w:t>
      </w:r>
      <w:r w:rsidRPr="008D07D0">
        <w:rPr>
          <w:rFonts w:eastAsia="Calibri"/>
        </w:rPr>
        <w:t xml:space="preserve">. </w:t>
      </w:r>
      <w:r w:rsidRPr="008D07D0">
        <w:rPr>
          <w:rFonts w:eastAsia="PMingLiU"/>
        </w:rPr>
        <w:t xml:space="preserve">Neutralizing antibodies against </w:t>
      </w:r>
      <w:proofErr w:type="spellStart"/>
      <w:r w:rsidRPr="008D07D0">
        <w:rPr>
          <w:rFonts w:eastAsia="PMingLiU"/>
        </w:rPr>
        <w:t>tremelimumab</w:t>
      </w:r>
      <w:proofErr w:type="spellEnd"/>
      <w:r w:rsidRPr="008D07D0">
        <w:rPr>
          <w:rFonts w:eastAsia="PMingLiU"/>
        </w:rPr>
        <w:t xml:space="preserve"> were detected in 10.0% (208/2075) patients. The presence of ADAs did not impact </w:t>
      </w:r>
      <w:proofErr w:type="spellStart"/>
      <w:r w:rsidRPr="008D07D0">
        <w:rPr>
          <w:rFonts w:eastAsia="PMingLiU"/>
        </w:rPr>
        <w:t>tremelimumab</w:t>
      </w:r>
      <w:proofErr w:type="spellEnd"/>
      <w:r w:rsidRPr="008D07D0">
        <w:rPr>
          <w:rFonts w:eastAsia="PMingLiU"/>
        </w:rPr>
        <w:t xml:space="preserve"> pharmacokinetics, and there was no apparent effect on efficacy and safety.</w:t>
      </w:r>
    </w:p>
    <w:bookmarkEnd w:id="22"/>
    <w:p w14:paraId="7AC1451F" w14:textId="74076152" w:rsidR="005B5896" w:rsidRPr="00172328" w:rsidRDefault="005B5896" w:rsidP="005B5896">
      <w:r>
        <w:t>In the HIMALAYA study,</w:t>
      </w:r>
      <w:r w:rsidRPr="00C93AE8">
        <w:t xml:space="preserve"> </w:t>
      </w:r>
      <w:r>
        <w:t xml:space="preserve">of the 182 patients who were treated with STRIDE and evaluable for the presence of ADAs against </w:t>
      </w:r>
      <w:proofErr w:type="spellStart"/>
      <w:r>
        <w:t>tremelimumab</w:t>
      </w:r>
      <w:proofErr w:type="spellEnd"/>
      <w:r>
        <w:t xml:space="preserve">, 20 (11.0%) patients tested positive for treatment-emergent ADAs. </w:t>
      </w:r>
      <w:r w:rsidRPr="007C7448">
        <w:rPr>
          <w:rFonts w:eastAsia="PMingLiU"/>
        </w:rPr>
        <w:t xml:space="preserve">Neutralizing antibodies against </w:t>
      </w:r>
      <w:proofErr w:type="spellStart"/>
      <w:r>
        <w:rPr>
          <w:rFonts w:eastAsia="PMingLiU"/>
        </w:rPr>
        <w:t>tremelimumab</w:t>
      </w:r>
      <w:proofErr w:type="spellEnd"/>
      <w:r w:rsidRPr="007C7448">
        <w:rPr>
          <w:rFonts w:eastAsia="PMingLiU"/>
        </w:rPr>
        <w:t xml:space="preserve"> were detected in </w:t>
      </w:r>
      <w:r>
        <w:rPr>
          <w:rFonts w:eastAsia="PMingLiU"/>
        </w:rPr>
        <w:t>4.4</w:t>
      </w:r>
      <w:r w:rsidRPr="007C7448">
        <w:rPr>
          <w:rFonts w:eastAsia="PMingLiU"/>
        </w:rPr>
        <w:t>% (</w:t>
      </w:r>
      <w:r>
        <w:rPr>
          <w:rFonts w:eastAsia="PMingLiU"/>
        </w:rPr>
        <w:t>8/182</w:t>
      </w:r>
      <w:r w:rsidRPr="007C7448">
        <w:rPr>
          <w:rFonts w:eastAsia="PMingLiU"/>
        </w:rPr>
        <w:t>) patients.</w:t>
      </w:r>
      <w:r>
        <w:rPr>
          <w:rFonts w:eastAsia="PMingLiU"/>
        </w:rPr>
        <w:t xml:space="preserve"> </w:t>
      </w:r>
      <w:r w:rsidRPr="007C7448">
        <w:rPr>
          <w:rFonts w:eastAsia="PMingLiU"/>
        </w:rPr>
        <w:t>The presence of ADAs did not have a</w:t>
      </w:r>
      <w:r>
        <w:rPr>
          <w:rFonts w:eastAsia="PMingLiU"/>
        </w:rPr>
        <w:t>n apparent</w:t>
      </w:r>
      <w:r w:rsidRPr="007C7448">
        <w:rPr>
          <w:rFonts w:eastAsia="PMingLiU"/>
        </w:rPr>
        <w:t xml:space="preserve"> effect on pharmacokinetics or safety</w:t>
      </w:r>
      <w:r>
        <w:rPr>
          <w:rFonts w:eastAsia="PMingLiU"/>
        </w:rPr>
        <w:t>.</w:t>
      </w:r>
    </w:p>
    <w:p w14:paraId="6385AD3F" w14:textId="77777777" w:rsidR="005B5896" w:rsidRPr="006808FA" w:rsidRDefault="005B5896" w:rsidP="005B5896">
      <w:pPr>
        <w:pStyle w:val="NormalWeb"/>
        <w:shd w:val="clear" w:color="auto" w:fill="FFFFFF"/>
        <w:spacing w:after="192"/>
        <w:textAlignment w:val="baseline"/>
        <w:rPr>
          <w:rFonts w:eastAsia="Calibri"/>
        </w:rPr>
      </w:pPr>
      <w:r w:rsidRPr="006808FA">
        <w:rPr>
          <w:rFonts w:eastAsia="Calibri"/>
        </w:rPr>
        <w:t xml:space="preserve">Immunogenicity assay results are highly dependent on several factors, including assay sensitivity and specificity, assay methodology, sample handling, timing of sample collection, concomitant </w:t>
      </w:r>
      <w:proofErr w:type="gramStart"/>
      <w:r w:rsidRPr="006808FA">
        <w:rPr>
          <w:rFonts w:eastAsia="Calibri"/>
        </w:rPr>
        <w:t>medications</w:t>
      </w:r>
      <w:proofErr w:type="gramEnd"/>
      <w:r w:rsidRPr="006808FA">
        <w:rPr>
          <w:rFonts w:eastAsia="Calibri"/>
        </w:rPr>
        <w:t xml:space="preserve"> and underlying disease.</w:t>
      </w:r>
    </w:p>
    <w:p w14:paraId="532E3378" w14:textId="2711FA63" w:rsidR="005B5896" w:rsidRDefault="005B5896" w:rsidP="005B5896">
      <w:pPr>
        <w:pStyle w:val="CM28"/>
        <w:spacing w:after="120" w:line="280" w:lineRule="atLeast"/>
        <w:ind w:right="101"/>
      </w:pPr>
      <w:r w:rsidRPr="006808FA">
        <w:rPr>
          <w:rFonts w:eastAsia="Calibri"/>
        </w:rPr>
        <w:t xml:space="preserve">For these reasons, comparison of incidence of antibodies to </w:t>
      </w:r>
      <w:proofErr w:type="spellStart"/>
      <w:r w:rsidRPr="006808FA">
        <w:rPr>
          <w:lang w:val="x-none" w:eastAsia="x-none"/>
        </w:rPr>
        <w:t>tremelimumab</w:t>
      </w:r>
      <w:proofErr w:type="spellEnd"/>
      <w:r w:rsidRPr="006808FA">
        <w:rPr>
          <w:rFonts w:eastAsia="Calibri"/>
        </w:rPr>
        <w:t xml:space="preserve"> with the incidence of antibodies to other products may be misleading</w:t>
      </w:r>
      <w:r w:rsidR="004B217B">
        <w:rPr>
          <w:rFonts w:eastAsia="Calibri"/>
        </w:rPr>
        <w:t>.</w:t>
      </w:r>
    </w:p>
    <w:p w14:paraId="0487D5B6" w14:textId="77777777" w:rsidR="005B5896" w:rsidRPr="00597551" w:rsidRDefault="005B5896" w:rsidP="00597551">
      <w:pPr>
        <w:pStyle w:val="CM28"/>
        <w:spacing w:after="120" w:line="280" w:lineRule="atLeast"/>
        <w:ind w:right="101"/>
        <w:rPr>
          <w:vertAlign w:val="superscript"/>
        </w:rPr>
      </w:pPr>
    </w:p>
    <w:p w14:paraId="7397873F" w14:textId="5A145B20" w:rsidR="001B114A" w:rsidRPr="00B14A66" w:rsidRDefault="001A3992" w:rsidP="007403BD">
      <w:pPr>
        <w:pStyle w:val="Heading2"/>
      </w:pPr>
      <w:r w:rsidRPr="00377337">
        <w:t>Preclinical safety data</w:t>
      </w:r>
    </w:p>
    <w:p w14:paraId="172C781F" w14:textId="568CF69C" w:rsidR="001A3992" w:rsidRDefault="001A3992" w:rsidP="0026491B">
      <w:pPr>
        <w:pStyle w:val="Heading3Unnumbered"/>
      </w:pPr>
      <w:r w:rsidRPr="00377337">
        <w:t>Genotoxicity</w:t>
      </w:r>
    </w:p>
    <w:p w14:paraId="78DD9AC1" w14:textId="19264C8B" w:rsidR="00B14A66" w:rsidRPr="00B14A66" w:rsidRDefault="00B14A66" w:rsidP="00B14A66">
      <w:pPr>
        <w:pStyle w:val="Paragraph"/>
      </w:pPr>
      <w:r w:rsidRPr="006808FA">
        <w:t xml:space="preserve">The genotoxic potential of </w:t>
      </w:r>
      <w:proofErr w:type="spellStart"/>
      <w:r w:rsidRPr="006808FA">
        <w:t>tremelimumab</w:t>
      </w:r>
      <w:proofErr w:type="spellEnd"/>
      <w:r w:rsidRPr="006808FA">
        <w:t xml:space="preserve"> has not been evaluated</w:t>
      </w:r>
      <w:r w:rsidR="0048380C">
        <w:t>.</w:t>
      </w:r>
    </w:p>
    <w:p w14:paraId="13B2D916" w14:textId="08204966" w:rsidR="001A3992" w:rsidRDefault="001A3992" w:rsidP="0026491B">
      <w:pPr>
        <w:pStyle w:val="Heading3Unnumbered"/>
      </w:pPr>
      <w:r w:rsidRPr="00377337">
        <w:t>Carcinogenicity</w:t>
      </w:r>
    </w:p>
    <w:p w14:paraId="59AC844D" w14:textId="6D5327F1" w:rsidR="00B14A66" w:rsidRPr="00B14A66" w:rsidRDefault="00B14A66" w:rsidP="00B14A66">
      <w:pPr>
        <w:pStyle w:val="Paragraph"/>
      </w:pPr>
      <w:r w:rsidRPr="006808FA">
        <w:t xml:space="preserve">The carcinogenic potential of </w:t>
      </w:r>
      <w:proofErr w:type="spellStart"/>
      <w:r w:rsidRPr="006808FA">
        <w:t>tremelimumab</w:t>
      </w:r>
      <w:proofErr w:type="spellEnd"/>
      <w:r w:rsidRPr="006808FA">
        <w:t xml:space="preserve"> has not been evaluated</w:t>
      </w:r>
      <w:r w:rsidR="0048380C">
        <w:t>.</w:t>
      </w:r>
    </w:p>
    <w:p w14:paraId="7571941E" w14:textId="77777777" w:rsidR="001A3992" w:rsidRPr="00377337" w:rsidRDefault="001A3992" w:rsidP="00EE3AC8">
      <w:pPr>
        <w:pStyle w:val="Heading1"/>
      </w:pPr>
      <w:r w:rsidRPr="00377337">
        <w:t>Pharmaceutical particulars</w:t>
      </w:r>
    </w:p>
    <w:p w14:paraId="214C27AE" w14:textId="14575113" w:rsidR="001A3992" w:rsidRDefault="001A3992" w:rsidP="00EE3AC8">
      <w:pPr>
        <w:pStyle w:val="Heading2"/>
      </w:pPr>
      <w:bookmarkStart w:id="23" w:name="_Ref505768678"/>
      <w:bookmarkStart w:id="24" w:name="_Ref135662046"/>
      <w:r w:rsidRPr="00377337">
        <w:t>List of exci</w:t>
      </w:r>
      <w:r w:rsidR="00795D99" w:rsidRPr="00377337">
        <w:t>pients</w:t>
      </w:r>
      <w:bookmarkEnd w:id="23"/>
      <w:bookmarkEnd w:id="24"/>
    </w:p>
    <w:p w14:paraId="2105BA19" w14:textId="5207FF42" w:rsidR="007A214D" w:rsidRPr="006808FA" w:rsidRDefault="003A1600" w:rsidP="002A0856">
      <w:pPr>
        <w:spacing w:after="120"/>
      </w:pPr>
      <w:r>
        <w:t>Histidine</w:t>
      </w:r>
      <w:r w:rsidR="002A0856">
        <w:t xml:space="preserve">, histidine hydrochloride monohydrate, </w:t>
      </w:r>
      <w:r w:rsidR="009D2AAA">
        <w:t>trehalose</w:t>
      </w:r>
      <w:r w:rsidR="00AA62A5">
        <w:t xml:space="preserve"> dihydrate</w:t>
      </w:r>
      <w:r w:rsidR="002A0856">
        <w:t xml:space="preserve">, </w:t>
      </w:r>
      <w:r w:rsidR="00AA62A5">
        <w:t>d</w:t>
      </w:r>
      <w:r w:rsidR="009D2AAA" w:rsidRPr="009D2AAA">
        <w:t>isodium edetate</w:t>
      </w:r>
      <w:r w:rsidR="002A0856">
        <w:t xml:space="preserve">, </w:t>
      </w:r>
      <w:r w:rsidR="009D2AAA">
        <w:t>p</w:t>
      </w:r>
      <w:r w:rsidR="002A0856" w:rsidRPr="006808FA">
        <w:t>olysorbate 80</w:t>
      </w:r>
      <w:r w:rsidR="002A0856">
        <w:t xml:space="preserve"> and </w:t>
      </w:r>
      <w:r w:rsidR="009D2AAA">
        <w:t>w</w:t>
      </w:r>
      <w:r w:rsidR="002A0856" w:rsidRPr="006808FA">
        <w:t xml:space="preserve">ater for </w:t>
      </w:r>
      <w:r w:rsidR="009D2AAA">
        <w:t>i</w:t>
      </w:r>
      <w:r w:rsidR="002A0856" w:rsidRPr="006808FA">
        <w:t>njection</w:t>
      </w:r>
      <w:r w:rsidR="009D2AAA">
        <w:t>s.</w:t>
      </w:r>
    </w:p>
    <w:p w14:paraId="682EFF93" w14:textId="77777777" w:rsidR="001A3992" w:rsidRDefault="001A3992" w:rsidP="00EE3AC8">
      <w:pPr>
        <w:pStyle w:val="Heading2"/>
      </w:pPr>
      <w:r w:rsidRPr="00377337">
        <w:lastRenderedPageBreak/>
        <w:t>Incompatib</w:t>
      </w:r>
      <w:r w:rsidR="00795D99" w:rsidRPr="00377337">
        <w:t>ilities</w:t>
      </w:r>
    </w:p>
    <w:p w14:paraId="30C9F26F" w14:textId="202FACDB" w:rsidR="00B30BB3" w:rsidRPr="006808FA" w:rsidRDefault="00B30BB3" w:rsidP="00B30BB3">
      <w:pPr>
        <w:pStyle w:val="Default"/>
        <w:rPr>
          <w:color w:val="auto"/>
        </w:rPr>
      </w:pPr>
      <w:r w:rsidRPr="006808FA">
        <w:rPr>
          <w:color w:val="auto"/>
        </w:rPr>
        <w:t xml:space="preserve">No incompatibilities between </w:t>
      </w:r>
      <w:r>
        <w:rPr>
          <w:color w:val="auto"/>
        </w:rPr>
        <w:t>IMJUDO</w:t>
      </w:r>
      <w:r w:rsidRPr="006808FA">
        <w:rPr>
          <w:color w:val="auto"/>
        </w:rPr>
        <w:t xml:space="preserve"> and 9 g/L (0.9%) sodium chloride or 50 g/L (5%) dextrose in polyvinylchloride or polyolefin IV bags have been observed.</w:t>
      </w:r>
    </w:p>
    <w:p w14:paraId="4E665A8C" w14:textId="77777777" w:rsidR="00B30BB3" w:rsidRPr="006808FA" w:rsidRDefault="00B30BB3" w:rsidP="00B30BB3">
      <w:pPr>
        <w:autoSpaceDE w:val="0"/>
        <w:autoSpaceDN w:val="0"/>
        <w:adjustRightInd w:val="0"/>
        <w:spacing w:after="0" w:line="240" w:lineRule="auto"/>
      </w:pPr>
    </w:p>
    <w:p w14:paraId="47AC9EFA" w14:textId="65098C72" w:rsidR="00B30BB3" w:rsidRPr="006808FA" w:rsidRDefault="00B30BB3" w:rsidP="00B30BB3">
      <w:pPr>
        <w:autoSpaceDE w:val="0"/>
        <w:autoSpaceDN w:val="0"/>
        <w:adjustRightInd w:val="0"/>
        <w:spacing w:after="0" w:line="240" w:lineRule="auto"/>
      </w:pPr>
      <w:r>
        <w:t xml:space="preserve">This drug product must not be mixed with other drug products except those mentioned in </w:t>
      </w:r>
      <w:r w:rsidR="00B403EC">
        <w:t xml:space="preserve">Section </w:t>
      </w:r>
      <w:r w:rsidR="00B403EC">
        <w:fldChar w:fldCharType="begin"/>
      </w:r>
      <w:r w:rsidR="00B403EC">
        <w:instrText xml:space="preserve"> REF _Ref126746108 \r \h </w:instrText>
      </w:r>
      <w:r w:rsidR="00B403EC">
        <w:fldChar w:fldCharType="separate"/>
      </w:r>
      <w:r w:rsidR="00B403EC">
        <w:t>4.2</w:t>
      </w:r>
      <w:r w:rsidR="00B403EC">
        <w:fldChar w:fldCharType="end"/>
      </w:r>
      <w:r w:rsidR="00B403EC">
        <w:t xml:space="preserve"> </w:t>
      </w:r>
      <w:r w:rsidR="00B403EC">
        <w:fldChar w:fldCharType="begin"/>
      </w:r>
      <w:r w:rsidR="00B403EC">
        <w:instrText xml:space="preserve"> REF _Ref126746108 \h </w:instrText>
      </w:r>
      <w:r w:rsidR="00B403EC">
        <w:fldChar w:fldCharType="separate"/>
      </w:r>
      <w:r w:rsidR="00B403EC" w:rsidRPr="00377337">
        <w:t>Dose and method of administration</w:t>
      </w:r>
      <w:r w:rsidR="00B403EC">
        <w:fldChar w:fldCharType="end"/>
      </w:r>
      <w:r>
        <w:t>.</w:t>
      </w:r>
    </w:p>
    <w:p w14:paraId="445BA8CC" w14:textId="77777777" w:rsidR="00B30BB3" w:rsidRPr="006808FA" w:rsidRDefault="00B30BB3" w:rsidP="00B30BB3">
      <w:pPr>
        <w:autoSpaceDE w:val="0"/>
        <w:autoSpaceDN w:val="0"/>
        <w:adjustRightInd w:val="0"/>
        <w:spacing w:after="0" w:line="240" w:lineRule="auto"/>
      </w:pPr>
    </w:p>
    <w:p w14:paraId="0B677AFF" w14:textId="7324284D" w:rsidR="00B30BB3" w:rsidRPr="006808FA" w:rsidRDefault="00B30BB3" w:rsidP="00B30BB3">
      <w:pPr>
        <w:autoSpaceDE w:val="0"/>
        <w:autoSpaceDN w:val="0"/>
        <w:adjustRightInd w:val="0"/>
        <w:spacing w:line="240" w:lineRule="auto"/>
      </w:pPr>
      <w:r w:rsidRPr="006808FA">
        <w:t>Do not co-administer other drugs through the same intravenous lin</w:t>
      </w:r>
      <w:r>
        <w:t>e</w:t>
      </w:r>
      <w:r w:rsidRPr="006808FA">
        <w:t>.</w:t>
      </w:r>
    </w:p>
    <w:p w14:paraId="60363484" w14:textId="77777777" w:rsidR="001A3992" w:rsidRDefault="001A3992" w:rsidP="00EE3AC8">
      <w:pPr>
        <w:pStyle w:val="Heading2"/>
      </w:pPr>
      <w:r w:rsidRPr="00377337">
        <w:t>Shelf life</w:t>
      </w:r>
    </w:p>
    <w:p w14:paraId="7F3E770D" w14:textId="77777777" w:rsidR="007A2548" w:rsidRPr="007403BD" w:rsidRDefault="007A2548" w:rsidP="007403BD">
      <w:pPr>
        <w:pStyle w:val="Paragraph"/>
      </w:pPr>
      <w:r>
        <w:t>In Australia, information on the shelf life can be found on the public summary of the Australian Register of Therapeutic Goods (ARTG). The expiry date can be found on the packaging.</w:t>
      </w:r>
    </w:p>
    <w:p w14:paraId="1A6A223D" w14:textId="77777777" w:rsidR="001A3992" w:rsidRDefault="00795D99" w:rsidP="00795D99">
      <w:pPr>
        <w:pStyle w:val="Heading2"/>
      </w:pPr>
      <w:r w:rsidRPr="00377337">
        <w:t>Special precautions for storage</w:t>
      </w:r>
    </w:p>
    <w:p w14:paraId="14AE16D1" w14:textId="02E32DE5" w:rsidR="00613CD7" w:rsidRPr="004B217B" w:rsidRDefault="005A5123" w:rsidP="00042C1F">
      <w:pPr>
        <w:autoSpaceDE w:val="0"/>
        <w:autoSpaceDN w:val="0"/>
        <w:adjustRightInd w:val="0"/>
        <w:spacing w:line="240" w:lineRule="auto"/>
        <w:rPr>
          <w:vertAlign w:val="superscript"/>
          <w:lang w:val="en-US"/>
        </w:rPr>
      </w:pPr>
      <w:r w:rsidRPr="00145721">
        <w:rPr>
          <w:lang w:val="en-US"/>
        </w:rPr>
        <w:t xml:space="preserve">Store </w:t>
      </w:r>
      <w:r>
        <w:rPr>
          <w:lang w:val="en-US"/>
        </w:rPr>
        <w:t xml:space="preserve">unopened </w:t>
      </w:r>
      <w:r w:rsidRPr="00145721">
        <w:rPr>
          <w:lang w:val="en-US"/>
        </w:rPr>
        <w:t>vials under refrigeration at 2°C to 8°C (36°F to 46°F) in original carton to protect from light.</w:t>
      </w:r>
      <w:r>
        <w:rPr>
          <w:lang w:val="en-US"/>
        </w:rPr>
        <w:t xml:space="preserve"> </w:t>
      </w:r>
      <w:r w:rsidRPr="00145721">
        <w:rPr>
          <w:lang w:val="en-US"/>
        </w:rPr>
        <w:t>Do not freeze.</w:t>
      </w:r>
      <w:r>
        <w:rPr>
          <w:lang w:val="en-US"/>
        </w:rPr>
        <w:t xml:space="preserve"> </w:t>
      </w:r>
      <w:r w:rsidRPr="00145721">
        <w:rPr>
          <w:lang w:val="en-US"/>
        </w:rPr>
        <w:t xml:space="preserve">Do not </w:t>
      </w:r>
      <w:proofErr w:type="gramStart"/>
      <w:r w:rsidRPr="00145721">
        <w:rPr>
          <w:lang w:val="en-US"/>
        </w:rPr>
        <w:t>shake</w:t>
      </w:r>
      <w:r w:rsidRPr="004B217B">
        <w:rPr>
          <w:vertAlign w:val="superscript"/>
          <w:lang w:val="en-US"/>
        </w:rPr>
        <w:t>.</w:t>
      </w:r>
      <w:r w:rsidR="00E64736" w:rsidRPr="004B217B">
        <w:rPr>
          <w:vertAlign w:val="superscript"/>
          <w:lang w:val="en-US"/>
        </w:rPr>
        <w:t>,,,,</w:t>
      </w:r>
      <w:proofErr w:type="gramEnd"/>
    </w:p>
    <w:p w14:paraId="303DD3A4" w14:textId="77777777" w:rsidR="001A3992" w:rsidRDefault="001A3992" w:rsidP="00EE3AC8">
      <w:pPr>
        <w:pStyle w:val="Heading2"/>
      </w:pPr>
      <w:r w:rsidRPr="00377337">
        <w:t>N</w:t>
      </w:r>
      <w:r w:rsidR="00795D99" w:rsidRPr="00377337">
        <w:t>ature and contents of container</w:t>
      </w:r>
    </w:p>
    <w:p w14:paraId="748CAC6B" w14:textId="6344FFC5" w:rsidR="00042C1F" w:rsidRDefault="00042C1F" w:rsidP="00042C1F">
      <w:pPr>
        <w:pStyle w:val="ListParagraph"/>
        <w:numPr>
          <w:ilvl w:val="0"/>
          <w:numId w:val="46"/>
        </w:numPr>
        <w:spacing w:after="0" w:line="240" w:lineRule="auto"/>
        <w:contextualSpacing w:val="0"/>
        <w:rPr>
          <w:noProof/>
        </w:rPr>
      </w:pPr>
      <w:bookmarkStart w:id="25" w:name="_Hlk524441757"/>
      <w:r w:rsidRPr="00042C1F">
        <w:rPr>
          <w:noProof/>
          <w:szCs w:val="28"/>
        </w:rPr>
        <w:t>1</w:t>
      </w:r>
      <w:r w:rsidRPr="00DF26D0">
        <w:rPr>
          <w:noProof/>
        </w:rPr>
        <w:t xml:space="preserve">.25 mL </w:t>
      </w:r>
      <w:r>
        <w:rPr>
          <w:noProof/>
        </w:rPr>
        <w:t>(</w:t>
      </w:r>
      <w:r w:rsidRPr="00DF26D0">
        <w:rPr>
          <w:noProof/>
        </w:rPr>
        <w:t>a total of 25 mg tremelimumab</w:t>
      </w:r>
      <w:r>
        <w:rPr>
          <w:noProof/>
        </w:rPr>
        <w:t>)</w:t>
      </w:r>
      <w:r w:rsidRPr="00DF26D0">
        <w:rPr>
          <w:noProof/>
        </w:rPr>
        <w:t xml:space="preserve"> concentrate in a</w:t>
      </w:r>
      <w:r>
        <w:rPr>
          <w:noProof/>
        </w:rPr>
        <w:t xml:space="preserve"> </w:t>
      </w:r>
      <w:r w:rsidRPr="00DF26D0">
        <w:rPr>
          <w:noProof/>
        </w:rPr>
        <w:t>Type I glass vial with an elastomeric stopper and a violet flip-off aluminum seal. Pack size of 1 single-dose vial.</w:t>
      </w:r>
      <w:bookmarkEnd w:id="25"/>
      <w:r w:rsidRPr="00DF26D0">
        <w:rPr>
          <w:noProof/>
        </w:rPr>
        <w:t xml:space="preserve"> </w:t>
      </w:r>
    </w:p>
    <w:p w14:paraId="53BF81B3" w14:textId="77777777" w:rsidR="00042C1F" w:rsidRPr="00DF26D0" w:rsidRDefault="00042C1F" w:rsidP="00042C1F">
      <w:pPr>
        <w:pStyle w:val="ListParagraph"/>
      </w:pPr>
    </w:p>
    <w:p w14:paraId="2048966F" w14:textId="32E60AEA" w:rsidR="0048380C" w:rsidRDefault="00042C1F" w:rsidP="0048380C">
      <w:pPr>
        <w:pStyle w:val="ListParagraph"/>
        <w:numPr>
          <w:ilvl w:val="0"/>
          <w:numId w:val="46"/>
        </w:numPr>
        <w:spacing w:after="0" w:line="240" w:lineRule="auto"/>
        <w:ind w:left="714" w:hanging="357"/>
        <w:contextualSpacing w:val="0"/>
      </w:pPr>
      <w:r w:rsidRPr="00DF26D0">
        <w:rPr>
          <w:noProof/>
        </w:rPr>
        <w:t xml:space="preserve">15 mL </w:t>
      </w:r>
      <w:r>
        <w:rPr>
          <w:noProof/>
        </w:rPr>
        <w:t>(</w:t>
      </w:r>
      <w:r w:rsidRPr="00DF26D0">
        <w:rPr>
          <w:noProof/>
        </w:rPr>
        <w:t>a total of 300 mg tremelimumab</w:t>
      </w:r>
      <w:r>
        <w:rPr>
          <w:noProof/>
        </w:rPr>
        <w:t>)</w:t>
      </w:r>
      <w:r w:rsidRPr="00DF26D0">
        <w:rPr>
          <w:noProof/>
        </w:rPr>
        <w:t xml:space="preserve"> </w:t>
      </w:r>
      <w:r w:rsidRPr="00E95C37">
        <w:rPr>
          <w:noProof/>
        </w:rPr>
        <w:t>concentrate in a Type I glass vial with an elastomeric stopper and a dark blue flip-off aluminum seal. Pack size of 1 single-dose vial.</w:t>
      </w:r>
    </w:p>
    <w:p w14:paraId="7EBFD483" w14:textId="77777777" w:rsidR="0048380C" w:rsidRPr="0048380C" w:rsidRDefault="0048380C" w:rsidP="0048380C">
      <w:pPr>
        <w:pStyle w:val="ListParagraph"/>
        <w:spacing w:after="0" w:line="240" w:lineRule="auto"/>
        <w:ind w:left="714"/>
        <w:contextualSpacing w:val="0"/>
      </w:pPr>
    </w:p>
    <w:p w14:paraId="4F36C8C0" w14:textId="079A1C9F" w:rsidR="004C7F1B" w:rsidRPr="00C00001" w:rsidRDefault="00042C1F" w:rsidP="00042C1F">
      <w:pPr>
        <w:rPr>
          <w:lang w:val="en-AU"/>
        </w:rPr>
      </w:pPr>
      <w:r>
        <w:rPr>
          <w:lang w:val="en-AU"/>
        </w:rPr>
        <w:t>N</w:t>
      </w:r>
      <w:r w:rsidR="004C7F1B" w:rsidRPr="004C7F1B">
        <w:rPr>
          <w:lang w:val="en-AU"/>
        </w:rPr>
        <w:t xml:space="preserve">ot all pack sizes </w:t>
      </w:r>
      <w:r w:rsidR="002A2B03">
        <w:rPr>
          <w:lang w:val="en-AU"/>
        </w:rPr>
        <w:t xml:space="preserve">and strengths </w:t>
      </w:r>
      <w:r w:rsidR="004C7F1B" w:rsidRPr="004C7F1B">
        <w:rPr>
          <w:lang w:val="en-AU"/>
        </w:rPr>
        <w:t>may be available in Australia.</w:t>
      </w:r>
    </w:p>
    <w:p w14:paraId="0236C127" w14:textId="5A247EA1" w:rsidR="007706C9" w:rsidRPr="00CC0979" w:rsidRDefault="001A3992" w:rsidP="007706C9">
      <w:pPr>
        <w:pStyle w:val="Heading2"/>
      </w:pPr>
      <w:r w:rsidRPr="00377337">
        <w:t>S</w:t>
      </w:r>
      <w:r w:rsidR="00795D99" w:rsidRPr="00377337">
        <w:t>pecial precautions for disposal</w:t>
      </w:r>
    </w:p>
    <w:p w14:paraId="099CA87F" w14:textId="1285BDB6" w:rsidR="006A727B" w:rsidRPr="007403BD" w:rsidRDefault="006A727B" w:rsidP="007706C9">
      <w:pPr>
        <w:pStyle w:val="Paragraph"/>
      </w:pPr>
      <w:r w:rsidRPr="006A727B">
        <w:t xml:space="preserve">In Australia, any unused medicine or waste material should be disposed of by </w:t>
      </w:r>
      <w:r>
        <w:t>taking to your local pharmacy</w:t>
      </w:r>
      <w:r w:rsidR="00E64736">
        <w:t>.</w:t>
      </w:r>
    </w:p>
    <w:p w14:paraId="59F8D3DF" w14:textId="77777777" w:rsidR="001A3992" w:rsidRDefault="001A3992" w:rsidP="00EE3AC8">
      <w:pPr>
        <w:pStyle w:val="Heading2"/>
      </w:pPr>
      <w:r w:rsidRPr="00377337">
        <w:t>Physicochemical properties</w:t>
      </w:r>
    </w:p>
    <w:p w14:paraId="3020AE03" w14:textId="5390A603" w:rsidR="004C7F1B" w:rsidRPr="004C7F1B" w:rsidRDefault="00C80407" w:rsidP="00C80407">
      <w:r>
        <w:t>IMJUDO</w:t>
      </w:r>
      <w:r w:rsidRPr="006808FA">
        <w:t xml:space="preserve"> </w:t>
      </w:r>
      <w:r w:rsidRPr="006808FA">
        <w:rPr>
          <w:lang w:val="en-US"/>
        </w:rPr>
        <w:t>is a human</w:t>
      </w:r>
      <w:r w:rsidRPr="3BB532E5">
        <w:rPr>
          <w:lang w:val="en-US"/>
        </w:rPr>
        <w:t xml:space="preserve"> </w:t>
      </w:r>
      <w:r>
        <w:rPr>
          <w:lang w:val="en-US"/>
        </w:rPr>
        <w:t>anti-</w:t>
      </w:r>
      <w:r w:rsidRPr="3BB532E5">
        <w:rPr>
          <w:lang w:val="en-US"/>
        </w:rPr>
        <w:t xml:space="preserve">cytotoxic T-lymphocyte antigen 4 (CTLA-4)- </w:t>
      </w:r>
      <w:r w:rsidRPr="006808FA">
        <w:rPr>
          <w:lang w:val="en-US"/>
        </w:rPr>
        <w:t>immunoglobulin G2 (IgG2</w:t>
      </w:r>
      <w:r>
        <w:rPr>
          <w:lang w:val="en-US"/>
        </w:rPr>
        <w:t>a</w:t>
      </w:r>
      <w:r w:rsidRPr="006808FA">
        <w:rPr>
          <w:lang w:val="en-US"/>
        </w:rPr>
        <w:t>) monoclonal antibody.</w:t>
      </w:r>
    </w:p>
    <w:p w14:paraId="70C079DC" w14:textId="77777777" w:rsidR="00062AE5" w:rsidRDefault="001A3992" w:rsidP="00062AE5">
      <w:pPr>
        <w:pStyle w:val="Heading3Unnumbered"/>
      </w:pPr>
      <w:r w:rsidRPr="004C7F1B">
        <w:t>CAS number</w:t>
      </w:r>
    </w:p>
    <w:p w14:paraId="1EE2A6EA" w14:textId="034EEDC9" w:rsidR="00C80407" w:rsidRPr="004C7F1B" w:rsidRDefault="00C80407" w:rsidP="00C80407">
      <w:r>
        <w:rPr>
          <w:rFonts w:eastAsiaTheme="minorHAnsi"/>
          <w:lang w:val="en-AU"/>
        </w:rPr>
        <w:t>745013-59-6</w:t>
      </w:r>
      <w:r w:rsidR="004B217B">
        <w:rPr>
          <w:rFonts w:eastAsiaTheme="minorHAnsi"/>
          <w:lang w:val="en-AU"/>
        </w:rPr>
        <w:t>.</w:t>
      </w:r>
    </w:p>
    <w:p w14:paraId="33EF030C" w14:textId="77777777" w:rsidR="001A3992" w:rsidRDefault="001A3992" w:rsidP="00EE3AC8">
      <w:pPr>
        <w:pStyle w:val="Heading1"/>
      </w:pPr>
      <w:r w:rsidRPr="00377337">
        <w:t>Medicine schedule (Poisons Standard)</w:t>
      </w:r>
    </w:p>
    <w:p w14:paraId="132D933F" w14:textId="77BF5C90" w:rsidR="0041004D" w:rsidRPr="002D3489" w:rsidRDefault="0041004D" w:rsidP="002D3489">
      <w:pPr>
        <w:pStyle w:val="Paragraph"/>
      </w:pPr>
      <w:r w:rsidRPr="0041004D">
        <w:t>Prescription only medicine (Schedule 4)</w:t>
      </w:r>
      <w:r w:rsidR="004B217B">
        <w:t>.</w:t>
      </w:r>
    </w:p>
    <w:p w14:paraId="5676A3F0" w14:textId="77777777" w:rsidR="00285173" w:rsidRDefault="001A3992" w:rsidP="00EE3AC8">
      <w:pPr>
        <w:pStyle w:val="Heading1"/>
      </w:pPr>
      <w:r w:rsidRPr="00377337">
        <w:t>Sponsor</w:t>
      </w:r>
    </w:p>
    <w:p w14:paraId="396271A8" w14:textId="77777777" w:rsidR="0041004D" w:rsidRDefault="0041004D" w:rsidP="0041004D">
      <w:pPr>
        <w:pStyle w:val="Paragraph"/>
      </w:pPr>
      <w:r>
        <w:t>AstraZeneca Pty Ltd</w:t>
      </w:r>
      <w:r>
        <w:br/>
        <w:t>ABN 54 009 682 311</w:t>
      </w:r>
      <w:r>
        <w:br/>
      </w:r>
      <w:r>
        <w:lastRenderedPageBreak/>
        <w:t>66 Talavera Road</w:t>
      </w:r>
      <w:r>
        <w:br/>
        <w:t>MACQUARIE PARK NSW 2113</w:t>
      </w:r>
    </w:p>
    <w:p w14:paraId="10AEFF6B" w14:textId="77777777" w:rsidR="0041004D" w:rsidRPr="002D3489" w:rsidRDefault="0041004D" w:rsidP="0041004D">
      <w:pPr>
        <w:pStyle w:val="Paragraph"/>
      </w:pPr>
      <w:r>
        <w:t>Telephone: 1800 805 342</w:t>
      </w:r>
    </w:p>
    <w:p w14:paraId="248966FE" w14:textId="77777777" w:rsidR="00285173" w:rsidRDefault="00285173" w:rsidP="00EE3AC8">
      <w:pPr>
        <w:pStyle w:val="Heading1"/>
      </w:pPr>
      <w:r w:rsidRPr="00377337">
        <w:t xml:space="preserve">Date of first </w:t>
      </w:r>
      <w:r w:rsidR="00795D99" w:rsidRPr="00377337">
        <w:t>approval</w:t>
      </w:r>
    </w:p>
    <w:p w14:paraId="418A4F9A" w14:textId="5A00919B" w:rsidR="00E00336" w:rsidRPr="002D3489" w:rsidRDefault="0033442D" w:rsidP="009443FF">
      <w:r>
        <w:t>23 June 2023</w:t>
      </w:r>
    </w:p>
    <w:p w14:paraId="721C9505" w14:textId="0A3CA68F" w:rsidR="00285173" w:rsidRDefault="00285173" w:rsidP="00EE3AC8">
      <w:pPr>
        <w:pStyle w:val="Heading1"/>
      </w:pPr>
      <w:r w:rsidRPr="00377337">
        <w:t>Date o</w:t>
      </w:r>
      <w:r w:rsidR="00795D99" w:rsidRPr="00377337">
        <w:t>f revision</w:t>
      </w:r>
    </w:p>
    <w:p w14:paraId="53CE84EE" w14:textId="14BAFD8C" w:rsidR="009443FF" w:rsidRPr="00302624" w:rsidRDefault="0033442D" w:rsidP="009443FF">
      <w:pPr>
        <w:pStyle w:val="Paragraph"/>
      </w:pPr>
      <w:r>
        <w:t>N/A</w:t>
      </w:r>
    </w:p>
    <w:p w14:paraId="5A3A1790" w14:textId="77777777" w:rsidR="00285173" w:rsidRPr="00377337" w:rsidRDefault="00285173" w:rsidP="0026491B">
      <w:pPr>
        <w:pStyle w:val="Heading2Unnumbered"/>
      </w:pPr>
      <w:r w:rsidRPr="00377337">
        <w:t>Summary table of changes</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lt;&lt;Please Add a Table Title Here&gt;&gt;"/>
      </w:tblPr>
      <w:tblGrid>
        <w:gridCol w:w="1129"/>
        <w:gridCol w:w="8509"/>
      </w:tblGrid>
      <w:tr w:rsidR="008A35FB" w14:paraId="52960AFE" w14:textId="77777777" w:rsidTr="008A35FB">
        <w:trPr>
          <w:cantSplit/>
          <w:tblHeader/>
        </w:trPr>
        <w:tc>
          <w:tcPr>
            <w:tcW w:w="1129" w:type="dxa"/>
            <w:shd w:val="clear" w:color="auto" w:fill="auto"/>
          </w:tcPr>
          <w:p w14:paraId="01A6C6C2" w14:textId="77777777" w:rsidR="008A35FB" w:rsidRDefault="008A35FB" w:rsidP="008A35FB">
            <w:pPr>
              <w:pStyle w:val="TableHead"/>
              <w:jc w:val="left"/>
            </w:pPr>
            <w:r>
              <w:t>Section changed</w:t>
            </w:r>
          </w:p>
        </w:tc>
        <w:tc>
          <w:tcPr>
            <w:tcW w:w="8509" w:type="dxa"/>
            <w:shd w:val="clear" w:color="auto" w:fill="auto"/>
          </w:tcPr>
          <w:p w14:paraId="7623B2FA" w14:textId="77777777" w:rsidR="008A35FB" w:rsidRDefault="008A35FB" w:rsidP="008A35FB">
            <w:pPr>
              <w:pStyle w:val="TableHead"/>
              <w:jc w:val="left"/>
            </w:pPr>
            <w:r>
              <w:t>Summary of new information</w:t>
            </w:r>
          </w:p>
        </w:tc>
      </w:tr>
      <w:tr w:rsidR="001812B5" w14:paraId="37D89228" w14:textId="77777777" w:rsidTr="00257099">
        <w:trPr>
          <w:cantSplit/>
        </w:trPr>
        <w:tc>
          <w:tcPr>
            <w:tcW w:w="1129" w:type="dxa"/>
            <w:shd w:val="clear" w:color="auto" w:fill="auto"/>
          </w:tcPr>
          <w:p w14:paraId="6130A67C" w14:textId="4DF2FA81" w:rsidR="001812B5" w:rsidRDefault="001812B5" w:rsidP="00257099">
            <w:pPr>
              <w:pStyle w:val="TableLeft"/>
            </w:pPr>
            <w:r>
              <w:t>N/A</w:t>
            </w:r>
          </w:p>
        </w:tc>
        <w:tc>
          <w:tcPr>
            <w:tcW w:w="8509" w:type="dxa"/>
            <w:shd w:val="clear" w:color="auto" w:fill="auto"/>
          </w:tcPr>
          <w:p w14:paraId="226FD8B0" w14:textId="1BC7D70B" w:rsidR="001812B5" w:rsidRDefault="001812B5" w:rsidP="00257099">
            <w:pPr>
              <w:pStyle w:val="TableLeft"/>
            </w:pPr>
            <w:r>
              <w:t>New product</w:t>
            </w:r>
          </w:p>
        </w:tc>
      </w:tr>
    </w:tbl>
    <w:p w14:paraId="543C1E2E" w14:textId="77777777" w:rsidR="00513B1A" w:rsidRDefault="00513B1A" w:rsidP="00513B1A">
      <w:pPr>
        <w:pStyle w:val="Paragraph"/>
      </w:pPr>
    </w:p>
    <w:p w14:paraId="47F53A38" w14:textId="0D34BEF9" w:rsidR="00513B1A" w:rsidRPr="001812B5" w:rsidRDefault="00513B1A" w:rsidP="00513B1A">
      <w:pPr>
        <w:pStyle w:val="Paragraph"/>
        <w:rPr>
          <w:sz w:val="20"/>
          <w:szCs w:val="20"/>
        </w:rPr>
      </w:pPr>
      <w:r w:rsidRPr="001812B5">
        <w:rPr>
          <w:sz w:val="20"/>
          <w:szCs w:val="20"/>
          <w:vertAlign w:val="superscript"/>
        </w:rPr>
        <w:t>©</w:t>
      </w:r>
      <w:r w:rsidRPr="001812B5">
        <w:rPr>
          <w:sz w:val="20"/>
          <w:szCs w:val="20"/>
        </w:rPr>
        <w:t xml:space="preserve"> AstraZeneca</w:t>
      </w:r>
      <w:r w:rsidR="009443FF">
        <w:rPr>
          <w:sz w:val="20"/>
          <w:szCs w:val="20"/>
        </w:rPr>
        <w:t xml:space="preserve"> </w:t>
      </w:r>
      <w:r w:rsidR="00A70E7A">
        <w:rPr>
          <w:sz w:val="20"/>
          <w:szCs w:val="20"/>
        </w:rPr>
        <w:t>2023</w:t>
      </w:r>
    </w:p>
    <w:p w14:paraId="25C761DE" w14:textId="1F92696A" w:rsidR="008A35FB" w:rsidRPr="00302624" w:rsidRDefault="00966427" w:rsidP="00302624">
      <w:pPr>
        <w:pStyle w:val="Paragraph"/>
        <w:rPr>
          <w:sz w:val="20"/>
          <w:szCs w:val="20"/>
        </w:rPr>
      </w:pPr>
      <w:r w:rsidRPr="00966427">
        <w:rPr>
          <w:sz w:val="20"/>
          <w:szCs w:val="20"/>
        </w:rPr>
        <w:t>Doc ID-005208366</w:t>
      </w:r>
      <w:r w:rsidR="00302624" w:rsidRPr="000F063E">
        <w:rPr>
          <w:sz w:val="20"/>
          <w:szCs w:val="20"/>
        </w:rPr>
        <w:t xml:space="preserve"> v</w:t>
      </w:r>
      <w:r w:rsidR="0033442D">
        <w:rPr>
          <w:sz w:val="20"/>
          <w:szCs w:val="20"/>
        </w:rPr>
        <w:t>1</w:t>
      </w:r>
      <w:r w:rsidR="0046159A">
        <w:rPr>
          <w:sz w:val="20"/>
          <w:szCs w:val="20"/>
        </w:rPr>
        <w:t>.0</w:t>
      </w:r>
    </w:p>
    <w:sectPr w:rsidR="008A35FB" w:rsidRPr="00302624" w:rsidSect="0080644B">
      <w:headerReference w:type="default"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14C0E" w14:textId="77777777" w:rsidR="00381182" w:rsidRDefault="00381182" w:rsidP="001A3992">
      <w:pPr>
        <w:spacing w:after="0" w:line="240" w:lineRule="auto"/>
      </w:pPr>
      <w:r>
        <w:separator/>
      </w:r>
    </w:p>
  </w:endnote>
  <w:endnote w:type="continuationSeparator" w:id="0">
    <w:p w14:paraId="482148FF" w14:textId="77777777" w:rsidR="00381182" w:rsidRDefault="00381182" w:rsidP="001A3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imesNewRoman">
    <w:altName w:val="MS Gothic"/>
    <w:panose1 w:val="00000000000000000000"/>
    <w:charset w:val="80"/>
    <w:family w:val="auto"/>
    <w:notTrueType/>
    <w:pitch w:val="default"/>
    <w:sig w:usb0="00000003" w:usb1="08070000" w:usb2="00000010" w:usb3="00000000" w:csb0="00020009" w:csb1="00000000"/>
  </w:font>
  <w:font w:name="Times New Roman,Calibri,Times N">
    <w:altName w:val="Times New Roman"/>
    <w:panose1 w:val="00000000000000000000"/>
    <w:charset w:val="00"/>
    <w:family w:val="roman"/>
    <w:notTrueType/>
    <w:pitch w:val="default"/>
  </w:font>
  <w:font w:name="Calibri,Times New Roman">
    <w:altName w:val="Times New Roman"/>
    <w:panose1 w:val="00000000000000000000"/>
    <w:charset w:val="00"/>
    <w:family w:val="roman"/>
    <w:notTrueType/>
    <w:pitch w:val="default"/>
  </w:font>
  <w:font w:name="Calibri,Arial">
    <w:altName w:val="Times New Roman"/>
    <w:charset w:val="00"/>
    <w:family w:val="roman"/>
    <w:pitch w:val="default"/>
  </w:font>
  <w:font w:name="CourierNewPSMT">
    <w:altName w:val="Courier New"/>
    <w:panose1 w:val="00000000000000000000"/>
    <w:charset w:val="00"/>
    <w:family w:val="swiss"/>
    <w:notTrueType/>
    <w:pitch w:val="default"/>
    <w:sig w:usb0="00000003" w:usb1="00000000" w:usb2="00000000" w:usb3="00000000" w:csb0="00000001" w:csb1="00000000"/>
  </w:font>
  <w:font w:name="Times New Roman,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23635" w14:textId="77777777" w:rsidR="00D85AD0" w:rsidRDefault="00D85AD0" w:rsidP="00C85696">
    <w:pPr>
      <w:pStyle w:val="Footer"/>
      <w:jc w:val="center"/>
    </w:pPr>
    <w:r w:rsidRPr="00136256">
      <w:fldChar w:fldCharType="begin"/>
    </w:r>
    <w:r w:rsidRPr="00136256">
      <w:instrText xml:space="preserve"> PAGE </w:instrText>
    </w:r>
    <w:r w:rsidRPr="00136256">
      <w:fldChar w:fldCharType="separate"/>
    </w:r>
    <w:r>
      <w:rPr>
        <w:noProof/>
      </w:rPr>
      <w:t>1</w:t>
    </w:r>
    <w:r w:rsidRPr="00136256">
      <w:fldChar w:fldCharType="end"/>
    </w:r>
    <w:r w:rsidRPr="00136256">
      <w:t xml:space="preserve"> </w:t>
    </w:r>
    <w:r>
      <w:t xml:space="preserve">of </w:t>
    </w:r>
    <w:r>
      <w:fldChar w:fldCharType="begin"/>
    </w:r>
    <w:r>
      <w:instrText xml:space="preserve"> NUMPAGES </w:instrText>
    </w:r>
    <w:r>
      <w:fldChar w:fldCharType="separate"/>
    </w:r>
    <w:r>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2856A" w14:textId="77777777" w:rsidR="00381182" w:rsidRDefault="00381182" w:rsidP="001A3992">
      <w:pPr>
        <w:spacing w:after="0" w:line="240" w:lineRule="auto"/>
      </w:pPr>
      <w:r>
        <w:separator/>
      </w:r>
    </w:p>
  </w:footnote>
  <w:footnote w:type="continuationSeparator" w:id="0">
    <w:p w14:paraId="417488F3" w14:textId="77777777" w:rsidR="00381182" w:rsidRDefault="00381182" w:rsidP="001A3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shd w:val="clear" w:color="auto" w:fill="E4F2E0"/>
      <w:tblLook w:val="04A0" w:firstRow="1" w:lastRow="0" w:firstColumn="1" w:lastColumn="0" w:noHBand="0" w:noVBand="1"/>
    </w:tblPr>
    <w:tblGrid>
      <w:gridCol w:w="9180"/>
    </w:tblGrid>
    <w:tr w:rsidR="001B6DA7" w:rsidRPr="000B2145" w14:paraId="7EF8544C" w14:textId="77777777" w:rsidTr="00A35153">
      <w:trPr>
        <w:trHeight w:val="1012"/>
      </w:trPr>
      <w:tc>
        <w:tcPr>
          <w:tcW w:w="9180" w:type="dxa"/>
          <w:shd w:val="clear" w:color="auto" w:fill="E4F2E0"/>
        </w:tcPr>
        <w:p w14:paraId="31C21DA7" w14:textId="77777777" w:rsidR="001B6DA7" w:rsidRPr="000E4791" w:rsidRDefault="001B6DA7" w:rsidP="001B6DA7">
          <w:pPr>
            <w:pStyle w:val="Footer"/>
            <w:rPr>
              <w:b/>
              <w:sz w:val="18"/>
              <w:szCs w:val="18"/>
            </w:rPr>
          </w:pPr>
          <w:bookmarkStart w:id="26" w:name="_Hlk109054010"/>
          <w:r w:rsidRPr="00EE2A41">
            <w:rPr>
              <w:b/>
              <w:sz w:val="18"/>
              <w:szCs w:val="18"/>
            </w:rPr>
            <w:t xml:space="preserve">Attachment </w:t>
          </w:r>
          <w:r w:rsidRPr="0022678B">
            <w:rPr>
              <w:b/>
              <w:sz w:val="18"/>
              <w:szCs w:val="18"/>
            </w:rPr>
            <w:t xml:space="preserve">AusPAR - Imjudo - </w:t>
          </w:r>
          <w:proofErr w:type="spellStart"/>
          <w:r w:rsidRPr="0022678B">
            <w:rPr>
              <w:b/>
              <w:sz w:val="18"/>
              <w:szCs w:val="18"/>
            </w:rPr>
            <w:t>tremelimumab</w:t>
          </w:r>
          <w:proofErr w:type="spellEnd"/>
          <w:r w:rsidRPr="0022678B">
            <w:rPr>
              <w:b/>
              <w:sz w:val="18"/>
              <w:szCs w:val="18"/>
            </w:rPr>
            <w:t xml:space="preserve"> - AstraZeneca Pty Ltd - PM-2022-01514-1-4</w:t>
          </w:r>
          <w:r>
            <w:rPr>
              <w:b/>
              <w:sz w:val="18"/>
              <w:szCs w:val="18"/>
            </w:rPr>
            <w:t xml:space="preserve"> </w:t>
          </w:r>
          <w:r w:rsidRPr="0022678B">
            <w:rPr>
              <w:b/>
              <w:sz w:val="18"/>
              <w:szCs w:val="18"/>
            </w:rPr>
            <w:t>Final 8 December 2023</w:t>
          </w:r>
          <w:r>
            <w:rPr>
              <w:b/>
              <w:sz w:val="18"/>
              <w:szCs w:val="18"/>
            </w:rPr>
            <w:t>.</w:t>
          </w:r>
          <w:r w:rsidRPr="00EE2A41">
            <w:rPr>
              <w:b/>
              <w:sz w:val="18"/>
              <w:szCs w:val="18"/>
            </w:rPr>
            <w:t xml:space="preserve"> This is the Product Information that was approved with the submission described in this AusPAR. It may have been superseded. For the most recent PI, please refer to the TGA website at</w:t>
          </w:r>
          <w:r w:rsidRPr="000E4791">
            <w:rPr>
              <w:b/>
              <w:sz w:val="18"/>
              <w:szCs w:val="18"/>
            </w:rPr>
            <w:t xml:space="preserve"> &lt;</w:t>
          </w:r>
          <w:hyperlink r:id="rId1" w:history="1">
            <w:r w:rsidRPr="000E4791">
              <w:rPr>
                <w:rStyle w:val="Hyperlink"/>
                <w:b/>
                <w:sz w:val="18"/>
                <w:szCs w:val="18"/>
              </w:rPr>
              <w:t>https://www.tga.gov.au/product-information-pi</w:t>
            </w:r>
          </w:hyperlink>
          <w:r w:rsidRPr="000E4791">
            <w:rPr>
              <w:b/>
              <w:sz w:val="18"/>
              <w:szCs w:val="18"/>
              <w:u w:val="single"/>
            </w:rPr>
            <w:t>&gt;</w:t>
          </w:r>
        </w:p>
      </w:tc>
    </w:tr>
    <w:bookmarkEnd w:id="26"/>
  </w:tbl>
  <w:p w14:paraId="4C13F147" w14:textId="77777777" w:rsidR="001B6DA7" w:rsidRDefault="001B6D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3F3E"/>
    <w:multiLevelType w:val="hybridMultilevel"/>
    <w:tmpl w:val="5AB64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0D107B"/>
    <w:multiLevelType w:val="multilevel"/>
    <w:tmpl w:val="241253C8"/>
    <w:name w:val="ListBullet"/>
    <w:lvl w:ilvl="0">
      <w:start w:val="1"/>
      <w:numFmt w:val="bullet"/>
      <w:pStyle w:val="ListBullet"/>
      <w:lvlText w:val=""/>
      <w:lvlJc w:val="left"/>
      <w:pPr>
        <w:ind w:left="425" w:hanging="425"/>
      </w:pPr>
      <w:rPr>
        <w:rFonts w:ascii="Symbol" w:hAnsi="Symbol" w:hint="default"/>
        <w:b w:val="0"/>
        <w:i w:val="0"/>
        <w:caps w:val="0"/>
        <w:sz w:val="24"/>
        <w:u w:val="none"/>
        <w:vertAlign w:val="baseline"/>
      </w:rPr>
    </w:lvl>
    <w:lvl w:ilvl="1">
      <w:start w:val="1"/>
      <w:numFmt w:val="bullet"/>
      <w:pStyle w:val="ListBullet2"/>
      <w:lvlText w:val=""/>
      <w:lvlJc w:val="left"/>
      <w:pPr>
        <w:ind w:left="850" w:hanging="425"/>
      </w:pPr>
      <w:rPr>
        <w:rFonts w:ascii="Symbol" w:hAnsi="Symbol" w:hint="default"/>
        <w:color w:val="auto"/>
      </w:rPr>
    </w:lvl>
    <w:lvl w:ilvl="2">
      <w:start w:val="1"/>
      <w:numFmt w:val="bullet"/>
      <w:pStyle w:val="ListBullet3"/>
      <w:lvlText w:val="o"/>
      <w:lvlJc w:val="left"/>
      <w:pPr>
        <w:ind w:left="1275" w:hanging="425"/>
      </w:pPr>
      <w:rPr>
        <w:rFonts w:ascii="Courier New" w:hAnsi="Courier New" w:hint="default"/>
      </w:rPr>
    </w:lvl>
    <w:lvl w:ilvl="3">
      <w:start w:val="1"/>
      <w:numFmt w:val="bullet"/>
      <w:pStyle w:val="ListBullet4"/>
      <w:lvlText w:val=""/>
      <w:lvlJc w:val="left"/>
      <w:pPr>
        <w:ind w:left="1700" w:hanging="425"/>
      </w:pPr>
      <w:rPr>
        <w:rFonts w:ascii="Symbol" w:hAnsi="Symbol"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2" w15:restartNumberingAfterBreak="0">
    <w:nsid w:val="062556DB"/>
    <w:multiLevelType w:val="multilevel"/>
    <w:tmpl w:val="C6DA3D6A"/>
    <w:name w:val="ListNumber"/>
    <w:lvl w:ilvl="0">
      <w:start w:val="1"/>
      <w:numFmt w:val="decimal"/>
      <w:pStyle w:val="ListNumber"/>
      <w:lvlText w:val="%1"/>
      <w:lvlJc w:val="left"/>
      <w:pPr>
        <w:ind w:left="425" w:hanging="425"/>
      </w:pPr>
      <w:rPr>
        <w:rFonts w:hint="default"/>
        <w:b w:val="0"/>
        <w:i w:val="0"/>
        <w:caps w:val="0"/>
        <w:sz w:val="24"/>
        <w:u w:val="none"/>
        <w:vertAlign w:val="baseline"/>
      </w:rPr>
    </w:lvl>
    <w:lvl w:ilvl="1">
      <w:start w:val="1"/>
      <w:numFmt w:val="lowerLetter"/>
      <w:pStyle w:val="ListNumber2"/>
      <w:lvlText w:val="(%2)"/>
      <w:lvlJc w:val="left"/>
      <w:pPr>
        <w:ind w:left="850" w:hanging="425"/>
      </w:pPr>
      <w:rPr>
        <w:rFonts w:ascii="Times New Roman" w:hAnsi="Times New Roman" w:hint="default"/>
      </w:rPr>
    </w:lvl>
    <w:lvl w:ilvl="2">
      <w:start w:val="1"/>
      <w:numFmt w:val="lowerRoman"/>
      <w:pStyle w:val="ListNumber3"/>
      <w:lvlText w:val="(%3)"/>
      <w:lvlJc w:val="left"/>
      <w:pPr>
        <w:ind w:left="1275" w:hanging="425"/>
      </w:pPr>
      <w:rPr>
        <w:rFonts w:ascii="Times New Roman" w:hAnsi="Times New Roman"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3" w15:restartNumberingAfterBreak="0">
    <w:nsid w:val="0B7660B4"/>
    <w:multiLevelType w:val="hybridMultilevel"/>
    <w:tmpl w:val="87043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30233A"/>
    <w:multiLevelType w:val="hybridMultilevel"/>
    <w:tmpl w:val="F72CEBB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6562D4"/>
    <w:multiLevelType w:val="multilevel"/>
    <w:tmpl w:val="786C40EC"/>
    <w:name w:val="TableFootnotes"/>
    <w:lvl w:ilvl="0">
      <w:start w:val="1"/>
      <w:numFmt w:val="lowerLetter"/>
      <w:pStyle w:val="TableFootnoteLetter"/>
      <w:lvlText w:val="%1"/>
      <w:lvlJc w:val="left"/>
      <w:pPr>
        <w:tabs>
          <w:tab w:val="num" w:pos="425"/>
        </w:tabs>
        <w:ind w:left="425" w:hanging="425"/>
      </w:pPr>
      <w:rPr>
        <w:rFonts w:ascii="Times New Roman" w:hAnsi="Times New Roman" w:hint="default"/>
        <w:b w:val="0"/>
        <w:i w:val="0"/>
        <w:caps w:val="0"/>
        <w:sz w:val="20"/>
        <w:u w:val="none"/>
        <w:vertAlign w:val="superscript"/>
      </w:rPr>
    </w:lvl>
    <w:lvl w:ilvl="1">
      <w:start w:val="1"/>
      <w:numFmt w:val="none"/>
      <w:lvlText w:val=""/>
      <w:lvlJc w:val="left"/>
      <w:pPr>
        <w:tabs>
          <w:tab w:val="num" w:pos="1134"/>
        </w:tabs>
        <w:ind w:left="425" w:hanging="425"/>
      </w:pPr>
      <w:rPr>
        <w:rFonts w:hint="default"/>
      </w:rPr>
    </w:lvl>
    <w:lvl w:ilvl="2">
      <w:start w:val="1"/>
      <w:numFmt w:val="none"/>
      <w:lvlText w:val=""/>
      <w:lvlJc w:val="left"/>
      <w:pPr>
        <w:tabs>
          <w:tab w:val="num" w:pos="1134"/>
        </w:tabs>
        <w:ind w:left="425" w:hanging="425"/>
      </w:pPr>
      <w:rPr>
        <w:rFonts w:hint="default"/>
      </w:rPr>
    </w:lvl>
    <w:lvl w:ilvl="3">
      <w:start w:val="1"/>
      <w:numFmt w:val="none"/>
      <w:lvlText w:val=""/>
      <w:lvlJc w:val="left"/>
      <w:pPr>
        <w:tabs>
          <w:tab w:val="num" w:pos="1134"/>
        </w:tabs>
        <w:ind w:left="425" w:hanging="425"/>
      </w:pPr>
      <w:rPr>
        <w:rFonts w:hint="default"/>
      </w:rPr>
    </w:lvl>
    <w:lvl w:ilvl="4">
      <w:start w:val="1"/>
      <w:numFmt w:val="none"/>
      <w:lvlText w:val=""/>
      <w:lvlJc w:val="left"/>
      <w:pPr>
        <w:tabs>
          <w:tab w:val="num" w:pos="1134"/>
        </w:tabs>
        <w:ind w:left="425" w:hanging="425"/>
      </w:pPr>
      <w:rPr>
        <w:rFonts w:hint="default"/>
      </w:rPr>
    </w:lvl>
    <w:lvl w:ilvl="5">
      <w:start w:val="1"/>
      <w:numFmt w:val="none"/>
      <w:lvlText w:val=""/>
      <w:lvlJc w:val="left"/>
      <w:pPr>
        <w:tabs>
          <w:tab w:val="num" w:pos="1134"/>
        </w:tabs>
        <w:ind w:left="425" w:hanging="425"/>
      </w:pPr>
      <w:rPr>
        <w:rFonts w:hint="default"/>
      </w:rPr>
    </w:lvl>
    <w:lvl w:ilvl="6">
      <w:start w:val="1"/>
      <w:numFmt w:val="none"/>
      <w:lvlText w:val=""/>
      <w:lvlJc w:val="left"/>
      <w:pPr>
        <w:tabs>
          <w:tab w:val="num" w:pos="1134"/>
        </w:tabs>
        <w:ind w:left="425" w:hanging="425"/>
      </w:pPr>
      <w:rPr>
        <w:rFonts w:hint="default"/>
      </w:rPr>
    </w:lvl>
    <w:lvl w:ilvl="7">
      <w:start w:val="1"/>
      <w:numFmt w:val="none"/>
      <w:lvlText w:val=""/>
      <w:lvlJc w:val="left"/>
      <w:pPr>
        <w:tabs>
          <w:tab w:val="num" w:pos="1134"/>
        </w:tabs>
        <w:ind w:left="425" w:hanging="425"/>
      </w:pPr>
      <w:rPr>
        <w:rFonts w:hint="default"/>
      </w:rPr>
    </w:lvl>
    <w:lvl w:ilvl="8">
      <w:start w:val="1"/>
      <w:numFmt w:val="none"/>
      <w:lvlRestart w:val="1"/>
      <w:lvlText w:val=""/>
      <w:lvlJc w:val="left"/>
      <w:pPr>
        <w:tabs>
          <w:tab w:val="num" w:pos="1134"/>
        </w:tabs>
        <w:ind w:left="425" w:hanging="425"/>
      </w:pPr>
      <w:rPr>
        <w:rFonts w:hint="default"/>
      </w:rPr>
    </w:lvl>
  </w:abstractNum>
  <w:abstractNum w:abstractNumId="6" w15:restartNumberingAfterBreak="0">
    <w:nsid w:val="12A441C1"/>
    <w:multiLevelType w:val="singleLevel"/>
    <w:tmpl w:val="1FA422F0"/>
    <w:lvl w:ilvl="0">
      <w:start w:val="1"/>
      <w:numFmt w:val="bullet"/>
      <w:pStyle w:val="ListHyphen"/>
      <w:lvlText w:val="-"/>
      <w:lvlJc w:val="left"/>
      <w:pPr>
        <w:tabs>
          <w:tab w:val="num" w:pos="720"/>
        </w:tabs>
        <w:ind w:left="720" w:hanging="360"/>
      </w:pPr>
      <w:rPr>
        <w:rFonts w:ascii="Times New Roman" w:hAnsi="Times New Roman" w:cs="Times New Roman"/>
        <w:b w:val="0"/>
        <w:i w:val="0"/>
        <w:caps w:val="0"/>
        <w:sz w:val="24"/>
        <w:u w:val="none"/>
        <w:vertAlign w:val="baseline"/>
      </w:rPr>
    </w:lvl>
  </w:abstractNum>
  <w:abstractNum w:abstractNumId="7" w15:restartNumberingAfterBreak="0">
    <w:nsid w:val="15AE6FEE"/>
    <w:multiLevelType w:val="multilevel"/>
    <w:tmpl w:val="01940AA0"/>
    <w:name w:val="ListBulletSmall1"/>
    <w:lvl w:ilvl="0">
      <w:start w:val="1"/>
      <w:numFmt w:val="bullet"/>
      <w:pStyle w:val="ListBulletSmall"/>
      <w:lvlText w:val="•"/>
      <w:lvlJc w:val="left"/>
      <w:pPr>
        <w:ind w:left="425" w:hanging="425"/>
      </w:pPr>
      <w:rPr>
        <w:rFonts w:ascii="Times New Roman" w:hAnsi="Times New Roman" w:cs="Times New Roman" w:hint="default"/>
        <w:b w:val="0"/>
        <w:i w:val="0"/>
        <w:caps w:val="0"/>
        <w:sz w:val="20"/>
        <w:u w:val="none"/>
        <w:vertAlign w:val="baseline"/>
      </w:rPr>
    </w:lvl>
    <w:lvl w:ilvl="1">
      <w:start w:val="1"/>
      <w:numFmt w:val="bullet"/>
      <w:pStyle w:val="ListBulletSmall2"/>
      <w:lvlText w:val=""/>
      <w:lvlJc w:val="left"/>
      <w:pPr>
        <w:ind w:left="850" w:hanging="425"/>
      </w:pPr>
      <w:rPr>
        <w:rFonts w:ascii="Symbol" w:hAnsi="Symbol" w:hint="default"/>
      </w:rPr>
    </w:lvl>
    <w:lvl w:ilvl="2">
      <w:start w:val="1"/>
      <w:numFmt w:val="none"/>
      <w:lvlText w:val=""/>
      <w:lvlJc w:val="left"/>
      <w:pPr>
        <w:ind w:left="1275" w:hanging="425"/>
      </w:pPr>
      <w:rPr>
        <w:rFonts w:hint="default"/>
      </w:rPr>
    </w:lvl>
    <w:lvl w:ilvl="3">
      <w:start w:val="1"/>
      <w:numFmt w:val="none"/>
      <w:lvlText w:val=""/>
      <w:lvlJc w:val="left"/>
      <w:pPr>
        <w:ind w:left="1700" w:hanging="425"/>
      </w:pPr>
      <w:rPr>
        <w:rFonts w:hint="default"/>
      </w:rPr>
    </w:lvl>
    <w:lvl w:ilvl="4">
      <w:start w:val="1"/>
      <w:numFmt w:val="bullet"/>
      <w:lvlText w:val="o"/>
      <w:lvlJc w:val="left"/>
      <w:pPr>
        <w:tabs>
          <w:tab w:val="num" w:pos="2060"/>
        </w:tabs>
        <w:ind w:left="2125" w:hanging="425"/>
      </w:pPr>
      <w:rPr>
        <w:rFonts w:ascii="Courier New" w:hAnsi="Courier New" w:cs="Courier New" w:hint="default"/>
      </w:rPr>
    </w:lvl>
    <w:lvl w:ilvl="5">
      <w:start w:val="1"/>
      <w:numFmt w:val="bullet"/>
      <w:lvlText w:val=""/>
      <w:lvlJc w:val="left"/>
      <w:pPr>
        <w:tabs>
          <w:tab w:val="num" w:pos="2485"/>
        </w:tabs>
        <w:ind w:left="2550" w:hanging="425"/>
      </w:pPr>
      <w:rPr>
        <w:rFonts w:ascii="Wingdings" w:hAnsi="Wingdings" w:hint="default"/>
      </w:rPr>
    </w:lvl>
    <w:lvl w:ilvl="6">
      <w:start w:val="1"/>
      <w:numFmt w:val="bullet"/>
      <w:lvlText w:val=""/>
      <w:lvlJc w:val="left"/>
      <w:pPr>
        <w:tabs>
          <w:tab w:val="num" w:pos="2910"/>
        </w:tabs>
        <w:ind w:left="2975" w:hanging="425"/>
      </w:pPr>
      <w:rPr>
        <w:rFonts w:ascii="Symbol" w:hAnsi="Symbol" w:hint="default"/>
      </w:rPr>
    </w:lvl>
    <w:lvl w:ilvl="7">
      <w:start w:val="1"/>
      <w:numFmt w:val="bullet"/>
      <w:lvlText w:val="o"/>
      <w:lvlJc w:val="left"/>
      <w:pPr>
        <w:tabs>
          <w:tab w:val="num" w:pos="3335"/>
        </w:tabs>
        <w:ind w:left="3400" w:hanging="425"/>
      </w:pPr>
      <w:rPr>
        <w:rFonts w:ascii="Courier New" w:hAnsi="Courier New" w:cs="Courier New" w:hint="default"/>
      </w:rPr>
    </w:lvl>
    <w:lvl w:ilvl="8">
      <w:start w:val="1"/>
      <w:numFmt w:val="bullet"/>
      <w:lvlText w:val=""/>
      <w:lvlJc w:val="left"/>
      <w:pPr>
        <w:tabs>
          <w:tab w:val="num" w:pos="3760"/>
        </w:tabs>
        <w:ind w:left="3825" w:hanging="425"/>
      </w:pPr>
      <w:rPr>
        <w:rFonts w:ascii="Wingdings" w:hAnsi="Wingdings" w:hint="default"/>
      </w:rPr>
    </w:lvl>
  </w:abstractNum>
  <w:abstractNum w:abstractNumId="8" w15:restartNumberingAfterBreak="0">
    <w:nsid w:val="1A8761C5"/>
    <w:multiLevelType w:val="hybridMultilevel"/>
    <w:tmpl w:val="1D00D7C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24435439"/>
    <w:multiLevelType w:val="hybridMultilevel"/>
    <w:tmpl w:val="D23AB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A72716"/>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F045B79"/>
    <w:multiLevelType w:val="singleLevel"/>
    <w:tmpl w:val="443ADFB8"/>
    <w:lvl w:ilvl="0">
      <w:start w:val="1"/>
      <w:numFmt w:val="lowerRoman"/>
      <w:lvlText w:val="%1."/>
      <w:lvlJc w:val="left"/>
      <w:pPr>
        <w:tabs>
          <w:tab w:val="num" w:pos="1080"/>
        </w:tabs>
        <w:ind w:left="1080" w:hanging="360"/>
      </w:pPr>
      <w:rPr>
        <w:rFonts w:ascii="Times New Roman" w:hAnsi="Times New Roman" w:cs="Times New Roman"/>
        <w:b w:val="0"/>
        <w:i w:val="0"/>
        <w:caps w:val="0"/>
        <w:sz w:val="24"/>
        <w:u w:val="none"/>
        <w:vertAlign w:val="baseline"/>
      </w:rPr>
    </w:lvl>
  </w:abstractNum>
  <w:abstractNum w:abstractNumId="12" w15:restartNumberingAfterBreak="0">
    <w:nsid w:val="2FFA4E39"/>
    <w:multiLevelType w:val="hybridMultilevel"/>
    <w:tmpl w:val="810C1C72"/>
    <w:lvl w:ilvl="0" w:tplc="3978168C">
      <w:numFmt w:val="bullet"/>
      <w:lvlText w:val="–"/>
      <w:lvlJc w:val="left"/>
      <w:pPr>
        <w:ind w:left="420" w:hanging="360"/>
      </w:pPr>
      <w:rPr>
        <w:rFonts w:ascii="Times New Roman" w:eastAsia="Times New Roman" w:hAnsi="Times New Roman" w:cs="Times New Roman" w:hint="default"/>
        <w:sz w:val="22"/>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3" w15:restartNumberingAfterBreak="0">
    <w:nsid w:val="3261637B"/>
    <w:multiLevelType w:val="hybridMultilevel"/>
    <w:tmpl w:val="C0E21A38"/>
    <w:lvl w:ilvl="0" w:tplc="E6DAE5FE">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913332"/>
    <w:multiLevelType w:val="multilevel"/>
    <w:tmpl w:val="969A274A"/>
    <w:name w:val="HousestyleHeadings"/>
    <w:lvl w:ilvl="0">
      <w:start w:val="1"/>
      <w:numFmt w:val="decimal"/>
      <w:pStyle w:val="Heading1"/>
      <w:lvlText w:val="%1"/>
      <w:lvlJc w:val="left"/>
      <w:pPr>
        <w:tabs>
          <w:tab w:val="num" w:pos="1134"/>
        </w:tabs>
        <w:ind w:left="1134" w:hanging="1134"/>
      </w:pPr>
      <w:rPr>
        <w:rFonts w:ascii="Times New Roman" w:hAnsi="Times New Roman" w:hint="default"/>
      </w:rPr>
    </w:lvl>
    <w:lvl w:ilvl="1">
      <w:start w:val="1"/>
      <w:numFmt w:val="decimal"/>
      <w:pStyle w:val="Heading2"/>
      <w:lvlText w:val="%1.%2"/>
      <w:lvlJc w:val="left"/>
      <w:pPr>
        <w:tabs>
          <w:tab w:val="num" w:pos="1418"/>
        </w:tabs>
        <w:ind w:left="1418" w:hanging="1134"/>
      </w:pPr>
      <w:rPr>
        <w:rFonts w:ascii="Times New Roman" w:hAnsi="Times New Roman" w:hint="default"/>
      </w:rPr>
    </w:lvl>
    <w:lvl w:ilvl="2">
      <w:start w:val="1"/>
      <w:numFmt w:val="decimal"/>
      <w:pStyle w:val="Heading3"/>
      <w:lvlText w:val="%1.%2.%3"/>
      <w:lvlJc w:val="left"/>
      <w:pPr>
        <w:tabs>
          <w:tab w:val="num" w:pos="1134"/>
        </w:tabs>
        <w:ind w:left="1134" w:hanging="1134"/>
      </w:pPr>
      <w:rPr>
        <w:rFonts w:ascii="Times New Roman" w:hAnsi="Times New Roman" w:hint="default"/>
      </w:rPr>
    </w:lvl>
    <w:lvl w:ilvl="3">
      <w:start w:val="1"/>
      <w:numFmt w:val="decimal"/>
      <w:pStyle w:val="Heading4"/>
      <w:lvlText w:val="%1.%2.%3.%4"/>
      <w:lvlJc w:val="left"/>
      <w:pPr>
        <w:tabs>
          <w:tab w:val="num" w:pos="1134"/>
        </w:tabs>
        <w:ind w:left="1134" w:hanging="1134"/>
      </w:pPr>
      <w:rPr>
        <w:rFonts w:ascii="Times New Roman" w:hAnsi="Times New Roman" w:hint="default"/>
      </w:rPr>
    </w:lvl>
    <w:lvl w:ilvl="4">
      <w:start w:val="1"/>
      <w:numFmt w:val="decimal"/>
      <w:pStyle w:val="Heading5"/>
      <w:lvlText w:val="%1.%2.%3.%4.%5"/>
      <w:lvlJc w:val="left"/>
      <w:pPr>
        <w:tabs>
          <w:tab w:val="num" w:pos="1134"/>
        </w:tabs>
        <w:ind w:left="1134" w:hanging="1134"/>
      </w:pPr>
      <w:rPr>
        <w:rFonts w:ascii="Times New Roman" w:hAnsi="Times New Roman" w:hint="default"/>
      </w:rPr>
    </w:lvl>
    <w:lvl w:ilvl="5">
      <w:start w:val="1"/>
      <w:numFmt w:val="decimal"/>
      <w:pStyle w:val="Heading6"/>
      <w:lvlText w:val="%1.%2.%3.%4.%5.%6"/>
      <w:lvlJc w:val="left"/>
      <w:pPr>
        <w:tabs>
          <w:tab w:val="num" w:pos="1134"/>
        </w:tabs>
        <w:ind w:left="1134" w:hanging="1134"/>
      </w:pPr>
      <w:rPr>
        <w:rFonts w:ascii="Times New Roman" w:hAnsi="Times New Roman" w:hint="default"/>
      </w:rPr>
    </w:lvl>
    <w:lvl w:ilvl="6">
      <w:start w:val="1"/>
      <w:numFmt w:val="decimal"/>
      <w:pStyle w:val="Heading7"/>
      <w:lvlText w:val="%1.%2.%3.%4.%5.%6.%7"/>
      <w:lvlJc w:val="left"/>
      <w:pPr>
        <w:tabs>
          <w:tab w:val="num" w:pos="1134"/>
        </w:tabs>
        <w:ind w:left="1134" w:hanging="1134"/>
      </w:pPr>
      <w:rPr>
        <w:rFonts w:ascii="Times New Roman" w:hAnsi="Times New Roman" w:hint="default"/>
      </w:rPr>
    </w:lvl>
    <w:lvl w:ilvl="7">
      <w:start w:val="1"/>
      <w:numFmt w:val="decimal"/>
      <w:pStyle w:val="Heading8"/>
      <w:lvlText w:val="%1.%2.%3.%4.%5.%6.%7.%8"/>
      <w:lvlJc w:val="left"/>
      <w:pPr>
        <w:tabs>
          <w:tab w:val="num" w:pos="1134"/>
        </w:tabs>
        <w:ind w:left="1134" w:hanging="1134"/>
      </w:pPr>
      <w:rPr>
        <w:rFonts w:ascii="Times New Roman" w:hAnsi="Times New Roman" w:hint="default"/>
      </w:rPr>
    </w:lvl>
    <w:lvl w:ilvl="8">
      <w:start w:val="1"/>
      <w:numFmt w:val="none"/>
      <w:pStyle w:val="Heading9"/>
      <w:suff w:val="nothing"/>
      <w:lvlText w:val=""/>
      <w:lvlJc w:val="left"/>
      <w:pPr>
        <w:ind w:left="0" w:firstLine="0"/>
      </w:pPr>
      <w:rPr>
        <w:rFonts w:hint="default"/>
      </w:rPr>
    </w:lvl>
  </w:abstractNum>
  <w:abstractNum w:abstractNumId="15" w15:restartNumberingAfterBreak="0">
    <w:nsid w:val="3A36784A"/>
    <w:multiLevelType w:val="singleLevel"/>
    <w:tmpl w:val="D9588840"/>
    <w:lvl w:ilvl="0">
      <w:start w:val="1"/>
      <w:numFmt w:val="decimal"/>
      <w:lvlText w:val="%1."/>
      <w:lvlJc w:val="left"/>
      <w:pPr>
        <w:tabs>
          <w:tab w:val="num" w:pos="360"/>
        </w:tabs>
        <w:ind w:left="360" w:hanging="360"/>
      </w:pPr>
      <w:rPr>
        <w:rFonts w:ascii="Times New Roman" w:hAnsi="Times New Roman" w:cs="Times New Roman"/>
        <w:b w:val="0"/>
        <w:i w:val="0"/>
        <w:caps w:val="0"/>
        <w:sz w:val="24"/>
        <w:u w:val="none"/>
        <w:vertAlign w:val="baseline"/>
      </w:rPr>
    </w:lvl>
  </w:abstractNum>
  <w:abstractNum w:abstractNumId="16" w15:restartNumberingAfterBreak="0">
    <w:nsid w:val="3A9E7E4D"/>
    <w:multiLevelType w:val="multilevel"/>
    <w:tmpl w:val="3C1EDB96"/>
    <w:name w:val="Appendix Alpha"/>
    <w:lvl w:ilvl="0">
      <w:start w:val="1"/>
      <w:numFmt w:val="upperLetter"/>
      <w:pStyle w:val="AppendixAlpha"/>
      <w:lvlText w:val="Appendix %1"/>
      <w:lvlJc w:val="left"/>
      <w:pPr>
        <w:tabs>
          <w:tab w:val="num" w:pos="1701"/>
        </w:tabs>
        <w:ind w:left="1701" w:hanging="1701"/>
      </w:pPr>
      <w:rPr>
        <w:rFonts w:ascii="Times New Roman Bold" w:hAnsi="Times New Roman Bold" w:cs="Times New Roman" w:hint="default"/>
        <w:b/>
        <w:i w:val="0"/>
        <w:caps w:val="0"/>
        <w:sz w:val="28"/>
        <w:u w:val="none"/>
        <w:vertAlign w:val="baseline"/>
      </w:rPr>
    </w:lvl>
    <w:lvl w:ilvl="1">
      <w:start w:val="1"/>
      <w:numFmt w:val="decimal"/>
      <w:pStyle w:val="AppendixAlphaSub1"/>
      <w:lvlText w:val="%1 %2"/>
      <w:lvlJc w:val="left"/>
      <w:pPr>
        <w:tabs>
          <w:tab w:val="num" w:pos="1134"/>
        </w:tabs>
        <w:ind w:left="1134" w:hanging="1134"/>
      </w:pPr>
      <w:rPr>
        <w:rFonts w:ascii="Times New Roman Bold" w:hAnsi="Times New Roman Bold" w:hint="default"/>
        <w:b/>
        <w:i w:val="0"/>
        <w:sz w:val="26"/>
      </w:rPr>
    </w:lvl>
    <w:lvl w:ilvl="2">
      <w:start w:val="1"/>
      <w:numFmt w:val="decimal"/>
      <w:pStyle w:val="AppendixAlphaSub2"/>
      <w:lvlText w:val="%1 %2.%3"/>
      <w:lvlJc w:val="left"/>
      <w:pPr>
        <w:tabs>
          <w:tab w:val="num" w:pos="1134"/>
        </w:tabs>
        <w:ind w:left="1134" w:hanging="1134"/>
      </w:pPr>
      <w:rPr>
        <w:rFonts w:ascii="Times New Roman Bold" w:hAnsi="Times New Roman Bold" w:hint="default"/>
        <w:b/>
        <w:i w:val="0"/>
        <w:sz w:val="24"/>
      </w:rPr>
    </w:lvl>
    <w:lvl w:ilvl="3">
      <w:start w:val="1"/>
      <w:numFmt w:val="decimal"/>
      <w:pStyle w:val="AppendixAlphaSub3"/>
      <w:lvlText w:val="%1 %2.%3.%4"/>
      <w:lvlJc w:val="left"/>
      <w:pPr>
        <w:tabs>
          <w:tab w:val="num" w:pos="1134"/>
        </w:tabs>
        <w:ind w:left="1134" w:hanging="1134"/>
      </w:pPr>
      <w:rPr>
        <w:rFonts w:ascii="Times New Roman Bold" w:hAnsi="Times New Roman Bold" w:hint="default"/>
        <w:b/>
        <w:i w:val="0"/>
        <w:sz w:val="24"/>
      </w:rPr>
    </w:lvl>
    <w:lvl w:ilvl="4">
      <w:start w:val="1"/>
      <w:numFmt w:val="decimal"/>
      <w:pStyle w:val="AppendixAlphaSub4"/>
      <w:lvlText w:val="%1 %2.%3.%4.%5"/>
      <w:lvlJc w:val="left"/>
      <w:pPr>
        <w:tabs>
          <w:tab w:val="num" w:pos="1134"/>
        </w:tabs>
        <w:ind w:left="1134" w:hanging="1134"/>
      </w:pPr>
      <w:rPr>
        <w:rFonts w:ascii="Times New Roman Bold" w:hAnsi="Times New Roman Bold" w:hint="default"/>
        <w:b/>
        <w:i/>
        <w:sz w:val="24"/>
      </w:rPr>
    </w:lvl>
    <w:lvl w:ilvl="5">
      <w:start w:val="1"/>
      <w:numFmt w:val="none"/>
      <w:lvlText w:val=""/>
      <w:lvlJc w:val="left"/>
      <w:pPr>
        <w:tabs>
          <w:tab w:val="num" w:pos="1985"/>
        </w:tabs>
        <w:ind w:left="992" w:hanging="992"/>
      </w:pPr>
      <w:rPr>
        <w:rFonts w:hint="default"/>
      </w:rPr>
    </w:lvl>
    <w:lvl w:ilvl="6">
      <w:start w:val="1"/>
      <w:numFmt w:val="none"/>
      <w:lvlText w:val=""/>
      <w:lvlJc w:val="left"/>
      <w:pPr>
        <w:tabs>
          <w:tab w:val="num" w:pos="1985"/>
        </w:tabs>
        <w:ind w:left="992" w:hanging="992"/>
      </w:pPr>
      <w:rPr>
        <w:rFonts w:hint="default"/>
      </w:rPr>
    </w:lvl>
    <w:lvl w:ilvl="7">
      <w:start w:val="1"/>
      <w:numFmt w:val="none"/>
      <w:lvlText w:val=""/>
      <w:lvlJc w:val="left"/>
      <w:pPr>
        <w:tabs>
          <w:tab w:val="num" w:pos="1985"/>
        </w:tabs>
        <w:ind w:left="992" w:hanging="992"/>
      </w:pPr>
      <w:rPr>
        <w:rFonts w:hint="default"/>
      </w:rPr>
    </w:lvl>
    <w:lvl w:ilvl="8">
      <w:start w:val="1"/>
      <w:numFmt w:val="none"/>
      <w:lvlText w:val=""/>
      <w:lvlJc w:val="left"/>
      <w:pPr>
        <w:tabs>
          <w:tab w:val="num" w:pos="1985"/>
        </w:tabs>
        <w:ind w:left="992" w:hanging="992"/>
      </w:pPr>
      <w:rPr>
        <w:rFonts w:hint="default"/>
      </w:rPr>
    </w:lvl>
  </w:abstractNum>
  <w:abstractNum w:abstractNumId="17" w15:restartNumberingAfterBreak="0">
    <w:nsid w:val="3D20317B"/>
    <w:multiLevelType w:val="hybridMultilevel"/>
    <w:tmpl w:val="51DA7C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360AE"/>
    <w:multiLevelType w:val="multilevel"/>
    <w:tmpl w:val="A1E207FA"/>
    <w:lvl w:ilvl="0">
      <w:start w:val="1"/>
      <w:numFmt w:val="lowerLetter"/>
      <w:lvlText w:val="%1"/>
      <w:lvlJc w:val="left"/>
      <w:pPr>
        <w:tabs>
          <w:tab w:val="num" w:pos="360"/>
        </w:tabs>
        <w:ind w:left="360" w:hanging="360"/>
      </w:pPr>
      <w:rPr>
        <w:rFonts w:ascii="Times New Roman" w:hAnsi="Times New Roman" w:cs="Times New Roman"/>
        <w:b w:val="0"/>
        <w:i w:val="0"/>
        <w:caps w:val="0"/>
        <w:sz w:val="20"/>
        <w:u w:val="none"/>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E3142E"/>
    <w:multiLevelType w:val="singleLevel"/>
    <w:tmpl w:val="9900FDDE"/>
    <w:lvl w:ilvl="0">
      <w:start w:val="1"/>
      <w:numFmt w:val="decimal"/>
      <w:pStyle w:val="References"/>
      <w:lvlText w:val="%1."/>
      <w:lvlJc w:val="left"/>
      <w:pPr>
        <w:tabs>
          <w:tab w:val="num" w:pos="360"/>
        </w:tabs>
        <w:ind w:left="360" w:hanging="360"/>
      </w:pPr>
      <w:rPr>
        <w:rFonts w:ascii="Times New Roman" w:hAnsi="Times New Roman" w:cs="Times New Roman"/>
        <w:b w:val="0"/>
        <w:i w:val="0"/>
        <w:caps w:val="0"/>
        <w:sz w:val="24"/>
        <w:u w:val="none"/>
        <w:vertAlign w:val="baseline"/>
      </w:rPr>
    </w:lvl>
  </w:abstractNum>
  <w:abstractNum w:abstractNumId="20" w15:restartNumberingAfterBreak="0">
    <w:nsid w:val="4E7F1CB5"/>
    <w:multiLevelType w:val="hybridMultilevel"/>
    <w:tmpl w:val="50066200"/>
    <w:lvl w:ilvl="0" w:tplc="00EE1768">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6F4F4D"/>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7507084"/>
    <w:multiLevelType w:val="hybridMultilevel"/>
    <w:tmpl w:val="B9160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A26339"/>
    <w:multiLevelType w:val="hybridMultilevel"/>
    <w:tmpl w:val="BCE2B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095552"/>
    <w:multiLevelType w:val="hybridMultilevel"/>
    <w:tmpl w:val="730607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2BE70C3"/>
    <w:multiLevelType w:val="multilevel"/>
    <w:tmpl w:val="AD763C14"/>
    <w:name w:val="AppendixNum"/>
    <w:lvl w:ilvl="0">
      <w:start w:val="1"/>
      <w:numFmt w:val="decimal"/>
      <w:pStyle w:val="AppendixNumeric"/>
      <w:lvlText w:val="Appendix %1"/>
      <w:lvlJc w:val="left"/>
      <w:pPr>
        <w:tabs>
          <w:tab w:val="num" w:pos="1701"/>
        </w:tabs>
        <w:ind w:left="1701" w:hanging="1701"/>
      </w:pPr>
      <w:rPr>
        <w:rFonts w:ascii="Times New Roman Bold" w:hAnsi="Times New Roman Bold" w:cs="Times New Roman" w:hint="default"/>
        <w:b/>
        <w:i w:val="0"/>
        <w:caps w:val="0"/>
        <w:sz w:val="28"/>
        <w:u w:val="none"/>
        <w:vertAlign w:val="baseline"/>
      </w:rPr>
    </w:lvl>
    <w:lvl w:ilvl="1">
      <w:start w:val="1"/>
      <w:numFmt w:val="decimal"/>
      <w:lvlText w:val="App %1-%2"/>
      <w:lvlJc w:val="left"/>
      <w:pPr>
        <w:tabs>
          <w:tab w:val="num" w:pos="1134"/>
        </w:tabs>
        <w:ind w:left="1134" w:hanging="1134"/>
      </w:pPr>
      <w:rPr>
        <w:rFonts w:ascii="Times New Roman Bold" w:hAnsi="Times New Roman Bold" w:hint="default"/>
        <w:b/>
        <w:i w:val="0"/>
        <w:sz w:val="28"/>
      </w:rPr>
    </w:lvl>
    <w:lvl w:ilvl="2">
      <w:start w:val="1"/>
      <w:numFmt w:val="decimal"/>
      <w:lvlText w:val="App %1-%3.%2"/>
      <w:lvlJc w:val="left"/>
      <w:pPr>
        <w:tabs>
          <w:tab w:val="num" w:pos="1134"/>
        </w:tabs>
        <w:ind w:left="1134" w:hanging="1134"/>
      </w:pPr>
      <w:rPr>
        <w:rFonts w:ascii="Times New Roman Bold" w:hAnsi="Times New Roman Bold" w:hint="default"/>
        <w:b/>
        <w:i w:val="0"/>
        <w:sz w:val="26"/>
      </w:rPr>
    </w:lvl>
    <w:lvl w:ilvl="3">
      <w:start w:val="1"/>
      <w:numFmt w:val="decimal"/>
      <w:lvlText w:val="App %1-%2.%3.%4"/>
      <w:lvlJc w:val="left"/>
      <w:pPr>
        <w:tabs>
          <w:tab w:val="num" w:pos="1134"/>
        </w:tabs>
        <w:ind w:left="1134" w:hanging="1134"/>
      </w:pPr>
      <w:rPr>
        <w:rFonts w:ascii="Times New Roman Bold" w:hAnsi="Times New Roman Bold" w:hint="default"/>
        <w:b/>
        <w:i w:val="0"/>
        <w:sz w:val="24"/>
      </w:rPr>
    </w:lvl>
    <w:lvl w:ilvl="4">
      <w:start w:val="1"/>
      <w:numFmt w:val="decimal"/>
      <w:lvlText w:val="App %1-%2.%3.%4.%5"/>
      <w:lvlJc w:val="left"/>
      <w:pPr>
        <w:tabs>
          <w:tab w:val="num" w:pos="1134"/>
        </w:tabs>
        <w:ind w:left="1134" w:hanging="1134"/>
      </w:pPr>
      <w:rPr>
        <w:rFonts w:ascii="Times New Roman Bold" w:hAnsi="Times New Roman Bold" w:hint="default"/>
        <w:b/>
        <w:i/>
        <w:sz w:val="24"/>
      </w:rPr>
    </w:lvl>
    <w:lvl w:ilvl="5">
      <w:start w:val="1"/>
      <w:numFmt w:val="none"/>
      <w:lvlText w:val=""/>
      <w:lvlJc w:val="left"/>
      <w:pPr>
        <w:ind w:left="1985" w:hanging="1985"/>
      </w:pPr>
      <w:rPr>
        <w:rFonts w:hint="default"/>
      </w:rPr>
    </w:lvl>
    <w:lvl w:ilvl="6">
      <w:start w:val="1"/>
      <w:numFmt w:val="none"/>
      <w:lvlText w:val=""/>
      <w:lvlJc w:val="left"/>
      <w:pPr>
        <w:ind w:left="1985" w:hanging="1985"/>
      </w:pPr>
      <w:rPr>
        <w:rFonts w:hint="default"/>
      </w:rPr>
    </w:lvl>
    <w:lvl w:ilvl="7">
      <w:start w:val="1"/>
      <w:numFmt w:val="none"/>
      <w:lvlText w:val=""/>
      <w:lvlJc w:val="left"/>
      <w:pPr>
        <w:ind w:left="1985" w:hanging="1985"/>
      </w:pPr>
      <w:rPr>
        <w:rFonts w:hint="default"/>
      </w:rPr>
    </w:lvl>
    <w:lvl w:ilvl="8">
      <w:start w:val="1"/>
      <w:numFmt w:val="none"/>
      <w:lvlText w:val=""/>
      <w:lvlJc w:val="right"/>
      <w:pPr>
        <w:ind w:left="1985" w:hanging="1985"/>
      </w:pPr>
      <w:rPr>
        <w:rFonts w:hint="default"/>
      </w:rPr>
    </w:lvl>
  </w:abstractNum>
  <w:abstractNum w:abstractNumId="26" w15:restartNumberingAfterBreak="0">
    <w:nsid w:val="66D42C05"/>
    <w:multiLevelType w:val="multilevel"/>
    <w:tmpl w:val="88CA3A76"/>
    <w:lvl w:ilvl="0">
      <w:start w:val="1"/>
      <w:numFmt w:val="decimal"/>
      <w:lvlText w:val="Note %1:"/>
      <w:lvlJc w:val="left"/>
      <w:pPr>
        <w:ind w:left="1021" w:hanging="1021"/>
      </w:pPr>
      <w:rPr>
        <w:rFonts w:ascii="Cambria" w:hAnsi="Cambria"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76F49FC"/>
    <w:multiLevelType w:val="hybridMultilevel"/>
    <w:tmpl w:val="76C6F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790936"/>
    <w:multiLevelType w:val="hybridMultilevel"/>
    <w:tmpl w:val="1B0CF1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0332797"/>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72613446"/>
    <w:multiLevelType w:val="hybridMultilevel"/>
    <w:tmpl w:val="D384F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311220D"/>
    <w:multiLevelType w:val="hybridMultilevel"/>
    <w:tmpl w:val="E814E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4C030A5"/>
    <w:multiLevelType w:val="multilevel"/>
    <w:tmpl w:val="99C4946C"/>
    <w:name w:val="ListNumberSmall"/>
    <w:lvl w:ilvl="0">
      <w:start w:val="1"/>
      <w:numFmt w:val="decimal"/>
      <w:pStyle w:val="ListNumberSmall"/>
      <w:lvlText w:val="%1"/>
      <w:lvlJc w:val="left"/>
      <w:pPr>
        <w:tabs>
          <w:tab w:val="num" w:pos="425"/>
        </w:tabs>
        <w:ind w:left="425" w:hanging="425"/>
      </w:pPr>
      <w:rPr>
        <w:rFonts w:ascii="Times New Roman" w:hAnsi="Times New Roman" w:hint="default"/>
        <w:sz w:val="20"/>
      </w:rPr>
    </w:lvl>
    <w:lvl w:ilvl="1">
      <w:start w:val="1"/>
      <w:numFmt w:val="lowerLetter"/>
      <w:lvlText w:val="%2."/>
      <w:lvlJc w:val="left"/>
      <w:pPr>
        <w:tabs>
          <w:tab w:val="num" w:pos="851"/>
        </w:tabs>
        <w:ind w:left="851" w:hanging="426"/>
      </w:pPr>
      <w:rPr>
        <w:rFonts w:hint="default"/>
      </w:rPr>
    </w:lvl>
    <w:lvl w:ilvl="2">
      <w:start w:val="1"/>
      <w:numFmt w:val="lowerRoman"/>
      <w:lvlText w:val="%3."/>
      <w:lvlJc w:val="right"/>
      <w:pPr>
        <w:tabs>
          <w:tab w:val="num" w:pos="1276"/>
        </w:tabs>
        <w:ind w:left="1276" w:hanging="425"/>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6044EC3"/>
    <w:multiLevelType w:val="hybridMultilevel"/>
    <w:tmpl w:val="B3925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2B4B8C"/>
    <w:multiLevelType w:val="hybridMultilevel"/>
    <w:tmpl w:val="FC8AEE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 w15:restartNumberingAfterBreak="0">
    <w:nsid w:val="7C9D7603"/>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FB401D6"/>
    <w:multiLevelType w:val="hybridMultilevel"/>
    <w:tmpl w:val="270C4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FD56BF3"/>
    <w:multiLevelType w:val="singleLevel"/>
    <w:tmpl w:val="3C0E4404"/>
    <w:lvl w:ilvl="0">
      <w:start w:val="1"/>
      <w:numFmt w:val="lowerLetter"/>
      <w:lvlText w:val="%1."/>
      <w:lvlJc w:val="left"/>
      <w:pPr>
        <w:tabs>
          <w:tab w:val="num" w:pos="720"/>
        </w:tabs>
        <w:ind w:left="720" w:hanging="360"/>
      </w:pPr>
      <w:rPr>
        <w:rFonts w:ascii="Times New Roman" w:hAnsi="Times New Roman" w:cs="Times New Roman"/>
        <w:b w:val="0"/>
        <w:i w:val="0"/>
        <w:caps w:val="0"/>
        <w:sz w:val="24"/>
        <w:u w:val="none"/>
        <w:vertAlign w:val="baseline"/>
      </w:rPr>
    </w:lvl>
  </w:abstractNum>
  <w:num w:numId="1" w16cid:durableId="104034772">
    <w:abstractNumId w:val="29"/>
  </w:num>
  <w:num w:numId="2" w16cid:durableId="1550607240">
    <w:abstractNumId w:val="3"/>
  </w:num>
  <w:num w:numId="3" w16cid:durableId="675351646">
    <w:abstractNumId w:val="0"/>
  </w:num>
  <w:num w:numId="4" w16cid:durableId="439764273">
    <w:abstractNumId w:val="22"/>
  </w:num>
  <w:num w:numId="5" w16cid:durableId="1056440749">
    <w:abstractNumId w:val="36"/>
  </w:num>
  <w:num w:numId="6" w16cid:durableId="789519603">
    <w:abstractNumId w:val="30"/>
  </w:num>
  <w:num w:numId="7" w16cid:durableId="1739093306">
    <w:abstractNumId w:val="27"/>
  </w:num>
  <w:num w:numId="8" w16cid:durableId="586579258">
    <w:abstractNumId w:val="31"/>
  </w:num>
  <w:num w:numId="9" w16cid:durableId="240022593">
    <w:abstractNumId w:val="9"/>
  </w:num>
  <w:num w:numId="10" w16cid:durableId="629937600">
    <w:abstractNumId w:val="26"/>
  </w:num>
  <w:num w:numId="11" w16cid:durableId="717512019">
    <w:abstractNumId w:val="25"/>
  </w:num>
  <w:num w:numId="12" w16cid:durableId="1676759309">
    <w:abstractNumId w:val="16"/>
  </w:num>
  <w:num w:numId="13" w16cid:durableId="429205544">
    <w:abstractNumId w:val="14"/>
  </w:num>
  <w:num w:numId="14" w16cid:durableId="1152521703">
    <w:abstractNumId w:val="6"/>
  </w:num>
  <w:num w:numId="15" w16cid:durableId="72052632">
    <w:abstractNumId w:val="2"/>
  </w:num>
  <w:num w:numId="16" w16cid:durableId="153494345">
    <w:abstractNumId w:val="15"/>
  </w:num>
  <w:num w:numId="17" w16cid:durableId="1217089035">
    <w:abstractNumId w:val="37"/>
  </w:num>
  <w:num w:numId="18" w16cid:durableId="1058893940">
    <w:abstractNumId w:val="11"/>
  </w:num>
  <w:num w:numId="19" w16cid:durableId="646205342">
    <w:abstractNumId w:val="19"/>
  </w:num>
  <w:num w:numId="20" w16cid:durableId="551428184">
    <w:abstractNumId w:val="5"/>
  </w:num>
  <w:num w:numId="21" w16cid:durableId="1500459109">
    <w:abstractNumId w:val="1"/>
  </w:num>
  <w:num w:numId="22" w16cid:durableId="1831679264">
    <w:abstractNumId w:val="7"/>
  </w:num>
  <w:num w:numId="23" w16cid:durableId="2043549279">
    <w:abstractNumId w:val="21"/>
  </w:num>
  <w:num w:numId="24" w16cid:durableId="1896432996">
    <w:abstractNumId w:val="35"/>
  </w:num>
  <w:num w:numId="25" w16cid:durableId="1483083606">
    <w:abstractNumId w:val="10"/>
  </w:num>
  <w:num w:numId="26" w16cid:durableId="5316961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70095093">
    <w:abstractNumId w:val="18"/>
  </w:num>
  <w:num w:numId="28" w16cid:durableId="897207558">
    <w:abstractNumId w:val="5"/>
  </w:num>
  <w:num w:numId="29" w16cid:durableId="18926925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023139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982778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605175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23024876">
    <w:abstractNumId w:val="32"/>
  </w:num>
  <w:num w:numId="34" w16cid:durableId="1249853430">
    <w:abstractNumId w:val="2"/>
  </w:num>
  <w:num w:numId="35" w16cid:durableId="286277580">
    <w:abstractNumId w:val="2"/>
  </w:num>
  <w:num w:numId="36" w16cid:durableId="631788486">
    <w:abstractNumId w:val="2"/>
  </w:num>
  <w:num w:numId="37" w16cid:durableId="12731727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978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94487350">
    <w:abstractNumId w:val="17"/>
  </w:num>
  <w:num w:numId="40" w16cid:durableId="1040084590">
    <w:abstractNumId w:val="33"/>
  </w:num>
  <w:num w:numId="41" w16cid:durableId="2132704752">
    <w:abstractNumId w:val="8"/>
  </w:num>
  <w:num w:numId="42" w16cid:durableId="398089792">
    <w:abstractNumId w:val="12"/>
  </w:num>
  <w:num w:numId="43" w16cid:durableId="243229567">
    <w:abstractNumId w:val="4"/>
  </w:num>
  <w:num w:numId="44" w16cid:durableId="1093745800">
    <w:abstractNumId w:val="34"/>
  </w:num>
  <w:num w:numId="45" w16cid:durableId="2071927955">
    <w:abstractNumId w:val="24"/>
  </w:num>
  <w:num w:numId="46" w16cid:durableId="867139191">
    <w:abstractNumId w:val="28"/>
  </w:num>
  <w:num w:numId="47" w16cid:durableId="619143959">
    <w:abstractNumId w:val="20"/>
  </w:num>
  <w:num w:numId="48" w16cid:durableId="1332686051">
    <w:abstractNumId w:val="13"/>
  </w:num>
  <w:num w:numId="49" w16cid:durableId="147895259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13D"/>
    <w:rsid w:val="00000D09"/>
    <w:rsid w:val="00004687"/>
    <w:rsid w:val="00004E6B"/>
    <w:rsid w:val="00007A44"/>
    <w:rsid w:val="0001024D"/>
    <w:rsid w:val="000103D1"/>
    <w:rsid w:val="00010F6C"/>
    <w:rsid w:val="00011AAC"/>
    <w:rsid w:val="00012D4F"/>
    <w:rsid w:val="00016C49"/>
    <w:rsid w:val="0002264C"/>
    <w:rsid w:val="000231DF"/>
    <w:rsid w:val="00033004"/>
    <w:rsid w:val="00035DC6"/>
    <w:rsid w:val="0003741D"/>
    <w:rsid w:val="000377F9"/>
    <w:rsid w:val="000418DE"/>
    <w:rsid w:val="00041C21"/>
    <w:rsid w:val="00042302"/>
    <w:rsid w:val="00042C1F"/>
    <w:rsid w:val="00043005"/>
    <w:rsid w:val="00043104"/>
    <w:rsid w:val="00051B29"/>
    <w:rsid w:val="00053E43"/>
    <w:rsid w:val="00056EDB"/>
    <w:rsid w:val="000579E0"/>
    <w:rsid w:val="00057B30"/>
    <w:rsid w:val="00062AE5"/>
    <w:rsid w:val="00063E76"/>
    <w:rsid w:val="00063EE1"/>
    <w:rsid w:val="0006471C"/>
    <w:rsid w:val="000661CB"/>
    <w:rsid w:val="000700D4"/>
    <w:rsid w:val="00070774"/>
    <w:rsid w:val="00071628"/>
    <w:rsid w:val="00072AC8"/>
    <w:rsid w:val="0008020C"/>
    <w:rsid w:val="00083F34"/>
    <w:rsid w:val="0008452E"/>
    <w:rsid w:val="0009106C"/>
    <w:rsid w:val="00094E6F"/>
    <w:rsid w:val="000A1F3C"/>
    <w:rsid w:val="000A1FC6"/>
    <w:rsid w:val="000A35C1"/>
    <w:rsid w:val="000A3B5E"/>
    <w:rsid w:val="000A6059"/>
    <w:rsid w:val="000B32F7"/>
    <w:rsid w:val="000B521B"/>
    <w:rsid w:val="000B7730"/>
    <w:rsid w:val="000C2CA1"/>
    <w:rsid w:val="000C69F9"/>
    <w:rsid w:val="000C6FB8"/>
    <w:rsid w:val="000D1264"/>
    <w:rsid w:val="000D20C8"/>
    <w:rsid w:val="000D264B"/>
    <w:rsid w:val="000D4135"/>
    <w:rsid w:val="000E027C"/>
    <w:rsid w:val="000F063E"/>
    <w:rsid w:val="000F57DD"/>
    <w:rsid w:val="000F79CB"/>
    <w:rsid w:val="001002DD"/>
    <w:rsid w:val="00103DA0"/>
    <w:rsid w:val="0010463E"/>
    <w:rsid w:val="001138CE"/>
    <w:rsid w:val="00117C13"/>
    <w:rsid w:val="00120836"/>
    <w:rsid w:val="001362A6"/>
    <w:rsid w:val="0013759E"/>
    <w:rsid w:val="00144E10"/>
    <w:rsid w:val="00155B2C"/>
    <w:rsid w:val="00156B8E"/>
    <w:rsid w:val="00161627"/>
    <w:rsid w:val="0016417D"/>
    <w:rsid w:val="00167EF2"/>
    <w:rsid w:val="00171316"/>
    <w:rsid w:val="00173E74"/>
    <w:rsid w:val="00175D80"/>
    <w:rsid w:val="001812B5"/>
    <w:rsid w:val="00182439"/>
    <w:rsid w:val="00183F36"/>
    <w:rsid w:val="00187F13"/>
    <w:rsid w:val="00187F5F"/>
    <w:rsid w:val="0019050D"/>
    <w:rsid w:val="00193A3D"/>
    <w:rsid w:val="00193A51"/>
    <w:rsid w:val="00194978"/>
    <w:rsid w:val="00195601"/>
    <w:rsid w:val="00196C6F"/>
    <w:rsid w:val="00196FE9"/>
    <w:rsid w:val="001A13B9"/>
    <w:rsid w:val="001A22EF"/>
    <w:rsid w:val="001A3992"/>
    <w:rsid w:val="001A731E"/>
    <w:rsid w:val="001B114A"/>
    <w:rsid w:val="001B1441"/>
    <w:rsid w:val="001B2435"/>
    <w:rsid w:val="001B4661"/>
    <w:rsid w:val="001B6DA7"/>
    <w:rsid w:val="001C2066"/>
    <w:rsid w:val="001C394C"/>
    <w:rsid w:val="001D01B2"/>
    <w:rsid w:val="001D0859"/>
    <w:rsid w:val="001D17C0"/>
    <w:rsid w:val="001D1AEF"/>
    <w:rsid w:val="001D324A"/>
    <w:rsid w:val="001D3AF3"/>
    <w:rsid w:val="001E0929"/>
    <w:rsid w:val="001E09E0"/>
    <w:rsid w:val="001E3B4E"/>
    <w:rsid w:val="001E6AB0"/>
    <w:rsid w:val="001F396D"/>
    <w:rsid w:val="00205FD0"/>
    <w:rsid w:val="00212E2A"/>
    <w:rsid w:val="002134C4"/>
    <w:rsid w:val="002179CF"/>
    <w:rsid w:val="00217F5C"/>
    <w:rsid w:val="00220EFB"/>
    <w:rsid w:val="00224AA4"/>
    <w:rsid w:val="00226185"/>
    <w:rsid w:val="00230DBB"/>
    <w:rsid w:val="002335CD"/>
    <w:rsid w:val="0023640F"/>
    <w:rsid w:val="00240A1F"/>
    <w:rsid w:val="002500D6"/>
    <w:rsid w:val="0025484E"/>
    <w:rsid w:val="00255C42"/>
    <w:rsid w:val="00257099"/>
    <w:rsid w:val="00257E6E"/>
    <w:rsid w:val="0026356C"/>
    <w:rsid w:val="0026491B"/>
    <w:rsid w:val="00267826"/>
    <w:rsid w:val="00270532"/>
    <w:rsid w:val="00273341"/>
    <w:rsid w:val="00273DD7"/>
    <w:rsid w:val="00274115"/>
    <w:rsid w:val="00274D34"/>
    <w:rsid w:val="002803FC"/>
    <w:rsid w:val="00281497"/>
    <w:rsid w:val="00285173"/>
    <w:rsid w:val="00286FD5"/>
    <w:rsid w:val="0029284D"/>
    <w:rsid w:val="002A0856"/>
    <w:rsid w:val="002A2B03"/>
    <w:rsid w:val="002A33EA"/>
    <w:rsid w:val="002B4E0B"/>
    <w:rsid w:val="002B4E49"/>
    <w:rsid w:val="002B61A7"/>
    <w:rsid w:val="002C5147"/>
    <w:rsid w:val="002C58B2"/>
    <w:rsid w:val="002D1062"/>
    <w:rsid w:val="002D244D"/>
    <w:rsid w:val="002D3489"/>
    <w:rsid w:val="002E277D"/>
    <w:rsid w:val="002E406F"/>
    <w:rsid w:val="002E5E86"/>
    <w:rsid w:val="002F285D"/>
    <w:rsid w:val="002F37FA"/>
    <w:rsid w:val="0030123F"/>
    <w:rsid w:val="00302624"/>
    <w:rsid w:val="003048DC"/>
    <w:rsid w:val="00305EB4"/>
    <w:rsid w:val="00311065"/>
    <w:rsid w:val="00311EEA"/>
    <w:rsid w:val="00313055"/>
    <w:rsid w:val="00314031"/>
    <w:rsid w:val="003179EF"/>
    <w:rsid w:val="0032302C"/>
    <w:rsid w:val="00325231"/>
    <w:rsid w:val="003306E6"/>
    <w:rsid w:val="00330BF0"/>
    <w:rsid w:val="0033442D"/>
    <w:rsid w:val="00335A7D"/>
    <w:rsid w:val="00335C3D"/>
    <w:rsid w:val="003374F3"/>
    <w:rsid w:val="0034721E"/>
    <w:rsid w:val="00356483"/>
    <w:rsid w:val="00357D50"/>
    <w:rsid w:val="003613B0"/>
    <w:rsid w:val="00362F10"/>
    <w:rsid w:val="00363263"/>
    <w:rsid w:val="00370076"/>
    <w:rsid w:val="00371FD4"/>
    <w:rsid w:val="00372C3C"/>
    <w:rsid w:val="00375C4E"/>
    <w:rsid w:val="00375DF3"/>
    <w:rsid w:val="00376D26"/>
    <w:rsid w:val="00377337"/>
    <w:rsid w:val="0038055C"/>
    <w:rsid w:val="00381182"/>
    <w:rsid w:val="003816F6"/>
    <w:rsid w:val="0038225E"/>
    <w:rsid w:val="00382C76"/>
    <w:rsid w:val="00382F06"/>
    <w:rsid w:val="0038702C"/>
    <w:rsid w:val="0039182E"/>
    <w:rsid w:val="00392063"/>
    <w:rsid w:val="003A1600"/>
    <w:rsid w:val="003B0336"/>
    <w:rsid w:val="003B07ED"/>
    <w:rsid w:val="003B0F87"/>
    <w:rsid w:val="003B15CC"/>
    <w:rsid w:val="003B31BD"/>
    <w:rsid w:val="003B6B32"/>
    <w:rsid w:val="003B7CFF"/>
    <w:rsid w:val="003B7E15"/>
    <w:rsid w:val="003C0212"/>
    <w:rsid w:val="003C0AAC"/>
    <w:rsid w:val="003C24AB"/>
    <w:rsid w:val="003C7111"/>
    <w:rsid w:val="003D0C6A"/>
    <w:rsid w:val="003D19FD"/>
    <w:rsid w:val="003D1C84"/>
    <w:rsid w:val="003D6ABA"/>
    <w:rsid w:val="003E2D51"/>
    <w:rsid w:val="003F0344"/>
    <w:rsid w:val="003F061F"/>
    <w:rsid w:val="003F30FE"/>
    <w:rsid w:val="003F47EC"/>
    <w:rsid w:val="004071C7"/>
    <w:rsid w:val="0041004D"/>
    <w:rsid w:val="00411AFE"/>
    <w:rsid w:val="00417FEE"/>
    <w:rsid w:val="00420E49"/>
    <w:rsid w:val="00426621"/>
    <w:rsid w:val="004275F2"/>
    <w:rsid w:val="00431ACD"/>
    <w:rsid w:val="00432A7F"/>
    <w:rsid w:val="00435D2B"/>
    <w:rsid w:val="00441FC5"/>
    <w:rsid w:val="00442B68"/>
    <w:rsid w:val="00446EDD"/>
    <w:rsid w:val="004508EE"/>
    <w:rsid w:val="0045227B"/>
    <w:rsid w:val="00452430"/>
    <w:rsid w:val="00452AA8"/>
    <w:rsid w:val="0045406F"/>
    <w:rsid w:val="00454712"/>
    <w:rsid w:val="0045732C"/>
    <w:rsid w:val="0045735B"/>
    <w:rsid w:val="00457422"/>
    <w:rsid w:val="0046159A"/>
    <w:rsid w:val="00461F7A"/>
    <w:rsid w:val="00470DC2"/>
    <w:rsid w:val="00473CBE"/>
    <w:rsid w:val="0047587F"/>
    <w:rsid w:val="0047674B"/>
    <w:rsid w:val="00480320"/>
    <w:rsid w:val="00480DE8"/>
    <w:rsid w:val="0048380C"/>
    <w:rsid w:val="004852C1"/>
    <w:rsid w:val="004867AD"/>
    <w:rsid w:val="00487761"/>
    <w:rsid w:val="00487B61"/>
    <w:rsid w:val="0049131A"/>
    <w:rsid w:val="00491CE1"/>
    <w:rsid w:val="00492CF1"/>
    <w:rsid w:val="004974D8"/>
    <w:rsid w:val="004A46DB"/>
    <w:rsid w:val="004A5B3F"/>
    <w:rsid w:val="004A7022"/>
    <w:rsid w:val="004A7917"/>
    <w:rsid w:val="004B0E82"/>
    <w:rsid w:val="004B104B"/>
    <w:rsid w:val="004B1319"/>
    <w:rsid w:val="004B217B"/>
    <w:rsid w:val="004B5500"/>
    <w:rsid w:val="004B5A02"/>
    <w:rsid w:val="004B60CA"/>
    <w:rsid w:val="004B6B19"/>
    <w:rsid w:val="004C0FB7"/>
    <w:rsid w:val="004C7F1B"/>
    <w:rsid w:val="004D604B"/>
    <w:rsid w:val="004D6FC6"/>
    <w:rsid w:val="004E364F"/>
    <w:rsid w:val="004E412F"/>
    <w:rsid w:val="004E64D0"/>
    <w:rsid w:val="004E78C3"/>
    <w:rsid w:val="004F035C"/>
    <w:rsid w:val="004F17C5"/>
    <w:rsid w:val="004F2DA1"/>
    <w:rsid w:val="004F50BB"/>
    <w:rsid w:val="004F6D0B"/>
    <w:rsid w:val="00500507"/>
    <w:rsid w:val="00500C97"/>
    <w:rsid w:val="005019C5"/>
    <w:rsid w:val="00504B27"/>
    <w:rsid w:val="00513B1A"/>
    <w:rsid w:val="005158C7"/>
    <w:rsid w:val="005162A0"/>
    <w:rsid w:val="005178E5"/>
    <w:rsid w:val="005217B2"/>
    <w:rsid w:val="00521FEB"/>
    <w:rsid w:val="005251FE"/>
    <w:rsid w:val="00526C13"/>
    <w:rsid w:val="00530D9A"/>
    <w:rsid w:val="00531080"/>
    <w:rsid w:val="005319E6"/>
    <w:rsid w:val="00534DC2"/>
    <w:rsid w:val="00543259"/>
    <w:rsid w:val="00546E97"/>
    <w:rsid w:val="005479DA"/>
    <w:rsid w:val="00552432"/>
    <w:rsid w:val="005570B7"/>
    <w:rsid w:val="0056461C"/>
    <w:rsid w:val="00564CCD"/>
    <w:rsid w:val="00567153"/>
    <w:rsid w:val="00571802"/>
    <w:rsid w:val="00571E1D"/>
    <w:rsid w:val="0057267A"/>
    <w:rsid w:val="005740C7"/>
    <w:rsid w:val="0057678A"/>
    <w:rsid w:val="00581C5E"/>
    <w:rsid w:val="00585175"/>
    <w:rsid w:val="00590549"/>
    <w:rsid w:val="0059062C"/>
    <w:rsid w:val="0059216C"/>
    <w:rsid w:val="00597551"/>
    <w:rsid w:val="005A5123"/>
    <w:rsid w:val="005A7B7F"/>
    <w:rsid w:val="005B04BC"/>
    <w:rsid w:val="005B5896"/>
    <w:rsid w:val="005C3DEB"/>
    <w:rsid w:val="005C58BA"/>
    <w:rsid w:val="005C59AD"/>
    <w:rsid w:val="005C613D"/>
    <w:rsid w:val="005C792D"/>
    <w:rsid w:val="005D0F33"/>
    <w:rsid w:val="005D23D0"/>
    <w:rsid w:val="005E1291"/>
    <w:rsid w:val="005E3527"/>
    <w:rsid w:val="005E440C"/>
    <w:rsid w:val="005E5588"/>
    <w:rsid w:val="005F0A6D"/>
    <w:rsid w:val="005F2821"/>
    <w:rsid w:val="005F364D"/>
    <w:rsid w:val="005F5276"/>
    <w:rsid w:val="006018AE"/>
    <w:rsid w:val="006031DF"/>
    <w:rsid w:val="00603ED9"/>
    <w:rsid w:val="006047ED"/>
    <w:rsid w:val="00606DC2"/>
    <w:rsid w:val="006116F6"/>
    <w:rsid w:val="00613CD7"/>
    <w:rsid w:val="00622585"/>
    <w:rsid w:val="00624388"/>
    <w:rsid w:val="00626A27"/>
    <w:rsid w:val="00630096"/>
    <w:rsid w:val="0063196A"/>
    <w:rsid w:val="00635135"/>
    <w:rsid w:val="00641142"/>
    <w:rsid w:val="006445D2"/>
    <w:rsid w:val="00646131"/>
    <w:rsid w:val="006539D0"/>
    <w:rsid w:val="0066101A"/>
    <w:rsid w:val="00663795"/>
    <w:rsid w:val="00666301"/>
    <w:rsid w:val="0067286B"/>
    <w:rsid w:val="00685C75"/>
    <w:rsid w:val="0068706B"/>
    <w:rsid w:val="00690075"/>
    <w:rsid w:val="00691C5B"/>
    <w:rsid w:val="006A03A6"/>
    <w:rsid w:val="006A31E8"/>
    <w:rsid w:val="006A727B"/>
    <w:rsid w:val="006B1A28"/>
    <w:rsid w:val="006B73A9"/>
    <w:rsid w:val="006B79F6"/>
    <w:rsid w:val="006B7D3A"/>
    <w:rsid w:val="006C05CF"/>
    <w:rsid w:val="006C4CDE"/>
    <w:rsid w:val="006D0925"/>
    <w:rsid w:val="006D2B54"/>
    <w:rsid w:val="006D31B1"/>
    <w:rsid w:val="006D3391"/>
    <w:rsid w:val="006E10DE"/>
    <w:rsid w:val="006E4C1E"/>
    <w:rsid w:val="006F287A"/>
    <w:rsid w:val="006F57F4"/>
    <w:rsid w:val="006F5B72"/>
    <w:rsid w:val="006F6EF2"/>
    <w:rsid w:val="00700C8D"/>
    <w:rsid w:val="00703083"/>
    <w:rsid w:val="0070503F"/>
    <w:rsid w:val="00705AAE"/>
    <w:rsid w:val="00705CDF"/>
    <w:rsid w:val="007060D3"/>
    <w:rsid w:val="00716C93"/>
    <w:rsid w:val="007211AA"/>
    <w:rsid w:val="00721BFA"/>
    <w:rsid w:val="00722719"/>
    <w:rsid w:val="007228AC"/>
    <w:rsid w:val="00723846"/>
    <w:rsid w:val="00727A39"/>
    <w:rsid w:val="0073379F"/>
    <w:rsid w:val="007359F4"/>
    <w:rsid w:val="007403BD"/>
    <w:rsid w:val="00742276"/>
    <w:rsid w:val="00746258"/>
    <w:rsid w:val="00751147"/>
    <w:rsid w:val="00754BBD"/>
    <w:rsid w:val="0075713D"/>
    <w:rsid w:val="007578B4"/>
    <w:rsid w:val="0076037A"/>
    <w:rsid w:val="0076271E"/>
    <w:rsid w:val="00766015"/>
    <w:rsid w:val="0076605B"/>
    <w:rsid w:val="007664F7"/>
    <w:rsid w:val="00766E81"/>
    <w:rsid w:val="007679C1"/>
    <w:rsid w:val="0077034F"/>
    <w:rsid w:val="007706C9"/>
    <w:rsid w:val="00780D0D"/>
    <w:rsid w:val="00781C33"/>
    <w:rsid w:val="00781D86"/>
    <w:rsid w:val="00787156"/>
    <w:rsid w:val="0078752A"/>
    <w:rsid w:val="00795851"/>
    <w:rsid w:val="00795D99"/>
    <w:rsid w:val="007A1D9F"/>
    <w:rsid w:val="007A214D"/>
    <w:rsid w:val="007A2548"/>
    <w:rsid w:val="007A5719"/>
    <w:rsid w:val="007A5FE5"/>
    <w:rsid w:val="007B0DDE"/>
    <w:rsid w:val="007B1779"/>
    <w:rsid w:val="007B23A7"/>
    <w:rsid w:val="007B5085"/>
    <w:rsid w:val="007B6853"/>
    <w:rsid w:val="007B690E"/>
    <w:rsid w:val="007C2233"/>
    <w:rsid w:val="007C43BB"/>
    <w:rsid w:val="007C66C8"/>
    <w:rsid w:val="007C6DBC"/>
    <w:rsid w:val="007C6F4B"/>
    <w:rsid w:val="007D1021"/>
    <w:rsid w:val="007D3A0E"/>
    <w:rsid w:val="007D498D"/>
    <w:rsid w:val="007D612E"/>
    <w:rsid w:val="007D6313"/>
    <w:rsid w:val="007D6BCE"/>
    <w:rsid w:val="007E274A"/>
    <w:rsid w:val="007E7C51"/>
    <w:rsid w:val="007F26DF"/>
    <w:rsid w:val="007F3847"/>
    <w:rsid w:val="007F4AED"/>
    <w:rsid w:val="007F52C9"/>
    <w:rsid w:val="007F53B9"/>
    <w:rsid w:val="008001D0"/>
    <w:rsid w:val="00803F49"/>
    <w:rsid w:val="0080644B"/>
    <w:rsid w:val="00806C54"/>
    <w:rsid w:val="008136D8"/>
    <w:rsid w:val="008137CC"/>
    <w:rsid w:val="0081413A"/>
    <w:rsid w:val="008142B1"/>
    <w:rsid w:val="00817E56"/>
    <w:rsid w:val="008277FA"/>
    <w:rsid w:val="00836277"/>
    <w:rsid w:val="00846B18"/>
    <w:rsid w:val="00846CCE"/>
    <w:rsid w:val="00850665"/>
    <w:rsid w:val="0085380B"/>
    <w:rsid w:val="008577B5"/>
    <w:rsid w:val="00860C54"/>
    <w:rsid w:val="0086258A"/>
    <w:rsid w:val="008630C2"/>
    <w:rsid w:val="00866D40"/>
    <w:rsid w:val="00875C0B"/>
    <w:rsid w:val="00877DCD"/>
    <w:rsid w:val="00881D5D"/>
    <w:rsid w:val="00881EA6"/>
    <w:rsid w:val="008856B9"/>
    <w:rsid w:val="008870D6"/>
    <w:rsid w:val="008958C0"/>
    <w:rsid w:val="008A35FB"/>
    <w:rsid w:val="008A6CFF"/>
    <w:rsid w:val="008A7A0D"/>
    <w:rsid w:val="008B1016"/>
    <w:rsid w:val="008B2D3E"/>
    <w:rsid w:val="008B332D"/>
    <w:rsid w:val="008C202F"/>
    <w:rsid w:val="008C7A7C"/>
    <w:rsid w:val="008D2995"/>
    <w:rsid w:val="008D37D0"/>
    <w:rsid w:val="008D60C8"/>
    <w:rsid w:val="008E31C3"/>
    <w:rsid w:val="008E33F4"/>
    <w:rsid w:val="008F0005"/>
    <w:rsid w:val="008F22C7"/>
    <w:rsid w:val="008F325D"/>
    <w:rsid w:val="008F59E6"/>
    <w:rsid w:val="009020CF"/>
    <w:rsid w:val="00902D54"/>
    <w:rsid w:val="009041DC"/>
    <w:rsid w:val="00904483"/>
    <w:rsid w:val="00905962"/>
    <w:rsid w:val="00905FE6"/>
    <w:rsid w:val="00906923"/>
    <w:rsid w:val="0091498E"/>
    <w:rsid w:val="00920F71"/>
    <w:rsid w:val="009225AA"/>
    <w:rsid w:val="00923C6D"/>
    <w:rsid w:val="009249F4"/>
    <w:rsid w:val="009263E6"/>
    <w:rsid w:val="00926F3E"/>
    <w:rsid w:val="00930105"/>
    <w:rsid w:val="009334D3"/>
    <w:rsid w:val="00936705"/>
    <w:rsid w:val="00937266"/>
    <w:rsid w:val="009374E9"/>
    <w:rsid w:val="00940121"/>
    <w:rsid w:val="009443FF"/>
    <w:rsid w:val="00945023"/>
    <w:rsid w:val="009525A1"/>
    <w:rsid w:val="00952F61"/>
    <w:rsid w:val="00953E5D"/>
    <w:rsid w:val="00956B6B"/>
    <w:rsid w:val="00960C50"/>
    <w:rsid w:val="00960CD5"/>
    <w:rsid w:val="00962EA2"/>
    <w:rsid w:val="00964A93"/>
    <w:rsid w:val="00966427"/>
    <w:rsid w:val="00972DE1"/>
    <w:rsid w:val="00972F42"/>
    <w:rsid w:val="00973972"/>
    <w:rsid w:val="00973DC8"/>
    <w:rsid w:val="009816DF"/>
    <w:rsid w:val="00984A21"/>
    <w:rsid w:val="00985E61"/>
    <w:rsid w:val="00986EEB"/>
    <w:rsid w:val="00987DBE"/>
    <w:rsid w:val="009902EC"/>
    <w:rsid w:val="00992705"/>
    <w:rsid w:val="00992E7B"/>
    <w:rsid w:val="00993486"/>
    <w:rsid w:val="00996E4E"/>
    <w:rsid w:val="009A06EB"/>
    <w:rsid w:val="009A16DA"/>
    <w:rsid w:val="009A4C5E"/>
    <w:rsid w:val="009A59A8"/>
    <w:rsid w:val="009B0082"/>
    <w:rsid w:val="009B1902"/>
    <w:rsid w:val="009B52AC"/>
    <w:rsid w:val="009C2375"/>
    <w:rsid w:val="009C2C62"/>
    <w:rsid w:val="009C4446"/>
    <w:rsid w:val="009D1860"/>
    <w:rsid w:val="009D2AAA"/>
    <w:rsid w:val="009E1A5E"/>
    <w:rsid w:val="009E2262"/>
    <w:rsid w:val="009F2E96"/>
    <w:rsid w:val="009F5247"/>
    <w:rsid w:val="00A02A4C"/>
    <w:rsid w:val="00A02EA7"/>
    <w:rsid w:val="00A04854"/>
    <w:rsid w:val="00A04C8F"/>
    <w:rsid w:val="00A06D3F"/>
    <w:rsid w:val="00A13965"/>
    <w:rsid w:val="00A14A72"/>
    <w:rsid w:val="00A150EF"/>
    <w:rsid w:val="00A2019B"/>
    <w:rsid w:val="00A24281"/>
    <w:rsid w:val="00A256A3"/>
    <w:rsid w:val="00A32BA1"/>
    <w:rsid w:val="00A32BB2"/>
    <w:rsid w:val="00A32E10"/>
    <w:rsid w:val="00A41AFC"/>
    <w:rsid w:val="00A447C7"/>
    <w:rsid w:val="00A506FA"/>
    <w:rsid w:val="00A52BFE"/>
    <w:rsid w:val="00A5396B"/>
    <w:rsid w:val="00A55659"/>
    <w:rsid w:val="00A55730"/>
    <w:rsid w:val="00A55BDB"/>
    <w:rsid w:val="00A61801"/>
    <w:rsid w:val="00A6370B"/>
    <w:rsid w:val="00A63D1F"/>
    <w:rsid w:val="00A65CEB"/>
    <w:rsid w:val="00A67547"/>
    <w:rsid w:val="00A67AD8"/>
    <w:rsid w:val="00A70E7A"/>
    <w:rsid w:val="00A7211C"/>
    <w:rsid w:val="00A745C3"/>
    <w:rsid w:val="00A74B15"/>
    <w:rsid w:val="00A77F90"/>
    <w:rsid w:val="00A80069"/>
    <w:rsid w:val="00A800AB"/>
    <w:rsid w:val="00A83AF3"/>
    <w:rsid w:val="00A95C69"/>
    <w:rsid w:val="00A96C07"/>
    <w:rsid w:val="00AA0B20"/>
    <w:rsid w:val="00AA4345"/>
    <w:rsid w:val="00AA52D2"/>
    <w:rsid w:val="00AA62A5"/>
    <w:rsid w:val="00AA6312"/>
    <w:rsid w:val="00AA687B"/>
    <w:rsid w:val="00AB065A"/>
    <w:rsid w:val="00AB0D69"/>
    <w:rsid w:val="00AB131D"/>
    <w:rsid w:val="00AB464E"/>
    <w:rsid w:val="00AB5C54"/>
    <w:rsid w:val="00AC0040"/>
    <w:rsid w:val="00AC064E"/>
    <w:rsid w:val="00AC147C"/>
    <w:rsid w:val="00AC2BF6"/>
    <w:rsid w:val="00AC31A6"/>
    <w:rsid w:val="00AC49A6"/>
    <w:rsid w:val="00AD556B"/>
    <w:rsid w:val="00AD682D"/>
    <w:rsid w:val="00AD685F"/>
    <w:rsid w:val="00AE311B"/>
    <w:rsid w:val="00AE325F"/>
    <w:rsid w:val="00AE6FFD"/>
    <w:rsid w:val="00AE79CF"/>
    <w:rsid w:val="00AF37B8"/>
    <w:rsid w:val="00B0645C"/>
    <w:rsid w:val="00B11E17"/>
    <w:rsid w:val="00B12037"/>
    <w:rsid w:val="00B140F6"/>
    <w:rsid w:val="00B14A66"/>
    <w:rsid w:val="00B14C54"/>
    <w:rsid w:val="00B172C0"/>
    <w:rsid w:val="00B21CC2"/>
    <w:rsid w:val="00B25B53"/>
    <w:rsid w:val="00B26B41"/>
    <w:rsid w:val="00B30810"/>
    <w:rsid w:val="00B30BB3"/>
    <w:rsid w:val="00B36677"/>
    <w:rsid w:val="00B4006D"/>
    <w:rsid w:val="00B403EC"/>
    <w:rsid w:val="00B422F2"/>
    <w:rsid w:val="00B45DE8"/>
    <w:rsid w:val="00B45F02"/>
    <w:rsid w:val="00B53173"/>
    <w:rsid w:val="00B54B2B"/>
    <w:rsid w:val="00B568DB"/>
    <w:rsid w:val="00B634FD"/>
    <w:rsid w:val="00B65F2F"/>
    <w:rsid w:val="00B72BCC"/>
    <w:rsid w:val="00B76FDF"/>
    <w:rsid w:val="00B77474"/>
    <w:rsid w:val="00B77E2A"/>
    <w:rsid w:val="00B807F6"/>
    <w:rsid w:val="00B81212"/>
    <w:rsid w:val="00B87D24"/>
    <w:rsid w:val="00B91848"/>
    <w:rsid w:val="00B924A9"/>
    <w:rsid w:val="00B95036"/>
    <w:rsid w:val="00BA03BA"/>
    <w:rsid w:val="00BA1C5C"/>
    <w:rsid w:val="00BA2D2D"/>
    <w:rsid w:val="00BA3475"/>
    <w:rsid w:val="00BA5EA2"/>
    <w:rsid w:val="00BA78FB"/>
    <w:rsid w:val="00BB08F9"/>
    <w:rsid w:val="00BB4EB3"/>
    <w:rsid w:val="00BC042B"/>
    <w:rsid w:val="00BC15E5"/>
    <w:rsid w:val="00BC1FEB"/>
    <w:rsid w:val="00BC3C13"/>
    <w:rsid w:val="00BC3FD9"/>
    <w:rsid w:val="00BC71CE"/>
    <w:rsid w:val="00BD0A54"/>
    <w:rsid w:val="00BD584D"/>
    <w:rsid w:val="00BE00C9"/>
    <w:rsid w:val="00BE1A7B"/>
    <w:rsid w:val="00BE2A26"/>
    <w:rsid w:val="00BE6B4F"/>
    <w:rsid w:val="00BF1A32"/>
    <w:rsid w:val="00BF2352"/>
    <w:rsid w:val="00BF6414"/>
    <w:rsid w:val="00BF7B9E"/>
    <w:rsid w:val="00C03D13"/>
    <w:rsid w:val="00C069C8"/>
    <w:rsid w:val="00C14D99"/>
    <w:rsid w:val="00C160D2"/>
    <w:rsid w:val="00C1707F"/>
    <w:rsid w:val="00C20332"/>
    <w:rsid w:val="00C2539E"/>
    <w:rsid w:val="00C301F0"/>
    <w:rsid w:val="00C456C0"/>
    <w:rsid w:val="00C46FB7"/>
    <w:rsid w:val="00C55C6A"/>
    <w:rsid w:val="00C56C96"/>
    <w:rsid w:val="00C62C3C"/>
    <w:rsid w:val="00C634F1"/>
    <w:rsid w:val="00C653FD"/>
    <w:rsid w:val="00C655A3"/>
    <w:rsid w:val="00C7344C"/>
    <w:rsid w:val="00C77EE8"/>
    <w:rsid w:val="00C80407"/>
    <w:rsid w:val="00C85696"/>
    <w:rsid w:val="00C85970"/>
    <w:rsid w:val="00C873F5"/>
    <w:rsid w:val="00C910C4"/>
    <w:rsid w:val="00C91101"/>
    <w:rsid w:val="00C9314A"/>
    <w:rsid w:val="00C94BEF"/>
    <w:rsid w:val="00CA07F3"/>
    <w:rsid w:val="00CA240B"/>
    <w:rsid w:val="00CA5318"/>
    <w:rsid w:val="00CB073E"/>
    <w:rsid w:val="00CB26AA"/>
    <w:rsid w:val="00CB71B1"/>
    <w:rsid w:val="00CC0979"/>
    <w:rsid w:val="00CC41FD"/>
    <w:rsid w:val="00CC48F7"/>
    <w:rsid w:val="00CC6BAC"/>
    <w:rsid w:val="00CD2B2A"/>
    <w:rsid w:val="00CD4B59"/>
    <w:rsid w:val="00CD5B7F"/>
    <w:rsid w:val="00CE30BD"/>
    <w:rsid w:val="00CE7793"/>
    <w:rsid w:val="00CF0F19"/>
    <w:rsid w:val="00CF40F6"/>
    <w:rsid w:val="00CF5AFA"/>
    <w:rsid w:val="00CF5C15"/>
    <w:rsid w:val="00CF5E6B"/>
    <w:rsid w:val="00CF644E"/>
    <w:rsid w:val="00CF7FD4"/>
    <w:rsid w:val="00D01BD4"/>
    <w:rsid w:val="00D01EEF"/>
    <w:rsid w:val="00D02597"/>
    <w:rsid w:val="00D02EFE"/>
    <w:rsid w:val="00D030BB"/>
    <w:rsid w:val="00D03FFF"/>
    <w:rsid w:val="00D04785"/>
    <w:rsid w:val="00D07709"/>
    <w:rsid w:val="00D11A25"/>
    <w:rsid w:val="00D12A78"/>
    <w:rsid w:val="00D1511B"/>
    <w:rsid w:val="00D1640D"/>
    <w:rsid w:val="00D17F51"/>
    <w:rsid w:val="00D20235"/>
    <w:rsid w:val="00D207F9"/>
    <w:rsid w:val="00D27E0A"/>
    <w:rsid w:val="00D3398F"/>
    <w:rsid w:val="00D347D7"/>
    <w:rsid w:val="00D43481"/>
    <w:rsid w:val="00D44EE7"/>
    <w:rsid w:val="00D5097A"/>
    <w:rsid w:val="00D51C56"/>
    <w:rsid w:val="00D532B5"/>
    <w:rsid w:val="00D56148"/>
    <w:rsid w:val="00D63D77"/>
    <w:rsid w:val="00D70987"/>
    <w:rsid w:val="00D7367C"/>
    <w:rsid w:val="00D764F3"/>
    <w:rsid w:val="00D81220"/>
    <w:rsid w:val="00D81265"/>
    <w:rsid w:val="00D85AD0"/>
    <w:rsid w:val="00D86786"/>
    <w:rsid w:val="00D87298"/>
    <w:rsid w:val="00D929CE"/>
    <w:rsid w:val="00D96FD2"/>
    <w:rsid w:val="00DA0F85"/>
    <w:rsid w:val="00DA4F25"/>
    <w:rsid w:val="00DA5AC7"/>
    <w:rsid w:val="00DA6145"/>
    <w:rsid w:val="00DD3591"/>
    <w:rsid w:val="00DD40BB"/>
    <w:rsid w:val="00DD4209"/>
    <w:rsid w:val="00DD5C39"/>
    <w:rsid w:val="00DE0CCB"/>
    <w:rsid w:val="00DE1F01"/>
    <w:rsid w:val="00DE2EBA"/>
    <w:rsid w:val="00DE77C9"/>
    <w:rsid w:val="00DF0DDB"/>
    <w:rsid w:val="00DF1B38"/>
    <w:rsid w:val="00DF1C18"/>
    <w:rsid w:val="00DF3302"/>
    <w:rsid w:val="00DF33FE"/>
    <w:rsid w:val="00E00336"/>
    <w:rsid w:val="00E033F1"/>
    <w:rsid w:val="00E07C63"/>
    <w:rsid w:val="00E11216"/>
    <w:rsid w:val="00E12265"/>
    <w:rsid w:val="00E125F9"/>
    <w:rsid w:val="00E129AF"/>
    <w:rsid w:val="00E1308F"/>
    <w:rsid w:val="00E16767"/>
    <w:rsid w:val="00E24385"/>
    <w:rsid w:val="00E27C74"/>
    <w:rsid w:val="00E31FDF"/>
    <w:rsid w:val="00E32AF6"/>
    <w:rsid w:val="00E37FAC"/>
    <w:rsid w:val="00E422B6"/>
    <w:rsid w:val="00E45826"/>
    <w:rsid w:val="00E4602A"/>
    <w:rsid w:val="00E47E2F"/>
    <w:rsid w:val="00E53390"/>
    <w:rsid w:val="00E62C0A"/>
    <w:rsid w:val="00E64736"/>
    <w:rsid w:val="00E652FA"/>
    <w:rsid w:val="00E74A56"/>
    <w:rsid w:val="00E772EE"/>
    <w:rsid w:val="00E801A9"/>
    <w:rsid w:val="00E81BF7"/>
    <w:rsid w:val="00E835F7"/>
    <w:rsid w:val="00E86C21"/>
    <w:rsid w:val="00E90176"/>
    <w:rsid w:val="00E902E6"/>
    <w:rsid w:val="00E91E6E"/>
    <w:rsid w:val="00E94BB1"/>
    <w:rsid w:val="00EA1B9E"/>
    <w:rsid w:val="00EA61BD"/>
    <w:rsid w:val="00EA62FF"/>
    <w:rsid w:val="00EB24E5"/>
    <w:rsid w:val="00EC26FC"/>
    <w:rsid w:val="00EC3934"/>
    <w:rsid w:val="00EC5DEC"/>
    <w:rsid w:val="00EC60F8"/>
    <w:rsid w:val="00EC7018"/>
    <w:rsid w:val="00EC78D6"/>
    <w:rsid w:val="00ED27EC"/>
    <w:rsid w:val="00ED44AC"/>
    <w:rsid w:val="00ED6050"/>
    <w:rsid w:val="00EE00F5"/>
    <w:rsid w:val="00EE16D9"/>
    <w:rsid w:val="00EE3799"/>
    <w:rsid w:val="00EE3AC8"/>
    <w:rsid w:val="00EE4363"/>
    <w:rsid w:val="00EF240E"/>
    <w:rsid w:val="00EF3776"/>
    <w:rsid w:val="00F02A45"/>
    <w:rsid w:val="00F057EC"/>
    <w:rsid w:val="00F0642F"/>
    <w:rsid w:val="00F06E3A"/>
    <w:rsid w:val="00F06F31"/>
    <w:rsid w:val="00F075DF"/>
    <w:rsid w:val="00F115AF"/>
    <w:rsid w:val="00F130AE"/>
    <w:rsid w:val="00F13BD4"/>
    <w:rsid w:val="00F17C29"/>
    <w:rsid w:val="00F21CF9"/>
    <w:rsid w:val="00F23D3A"/>
    <w:rsid w:val="00F27615"/>
    <w:rsid w:val="00F27E7C"/>
    <w:rsid w:val="00F31D3D"/>
    <w:rsid w:val="00F34E5E"/>
    <w:rsid w:val="00F35A8E"/>
    <w:rsid w:val="00F527D5"/>
    <w:rsid w:val="00F57768"/>
    <w:rsid w:val="00F6635B"/>
    <w:rsid w:val="00F75478"/>
    <w:rsid w:val="00F80DBD"/>
    <w:rsid w:val="00F828DD"/>
    <w:rsid w:val="00F8458A"/>
    <w:rsid w:val="00F84A3B"/>
    <w:rsid w:val="00F913F9"/>
    <w:rsid w:val="00F92C38"/>
    <w:rsid w:val="00FA1485"/>
    <w:rsid w:val="00FA242A"/>
    <w:rsid w:val="00FA5827"/>
    <w:rsid w:val="00FB07C4"/>
    <w:rsid w:val="00FB0C15"/>
    <w:rsid w:val="00FB6FFB"/>
    <w:rsid w:val="00FC220A"/>
    <w:rsid w:val="00FC32C1"/>
    <w:rsid w:val="00FC3D6B"/>
    <w:rsid w:val="00FC4702"/>
    <w:rsid w:val="00FC6AE3"/>
    <w:rsid w:val="00FD3A2B"/>
    <w:rsid w:val="00FD448F"/>
    <w:rsid w:val="00FE36B4"/>
    <w:rsid w:val="00FE7132"/>
    <w:rsid w:val="00FE7189"/>
    <w:rsid w:val="00FF05D5"/>
    <w:rsid w:val="00FF2509"/>
    <w:rsid w:val="00FF4E1A"/>
    <w:rsid w:val="00FF7D15"/>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CBEB3"/>
  <w15:docId w15:val="{F278BDB9-5419-472E-A595-EB3884C0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8" w:unhideWhenUsed="1" w:qFormat="1"/>
    <w:lsdException w:name="heading 6" w:semiHidden="1" w:uiPriority="8" w:unhideWhenUsed="1" w:qFormat="1"/>
    <w:lsdException w:name="heading 7" w:semiHidden="1" w:unhideWhenUsed="1" w:qFormat="1"/>
    <w:lsdException w:name="heading 8" w:semiHidden="1"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29" w:unhideWhenUsed="1"/>
    <w:lsdException w:name="footer" w:semiHidden="1" w:uiPriority="0" w:unhideWhenUsed="1"/>
    <w:lsdException w:name="index heading" w:semiHidden="1" w:unhideWhenUsed="1"/>
    <w:lsdException w:name="caption" w:semiHidden="1" w:uiPriority="49" w:unhideWhenUsed="1" w:qFormat="1"/>
    <w:lsdException w:name="table of figures" w:semiHidden="1" w:uiPriority="40" w:unhideWhenUsed="1"/>
    <w:lsdException w:name="envelope address" w:semiHidden="1" w:uiPriority="69" w:unhideWhenUsed="1"/>
    <w:lsdException w:name="envelope return" w:semiHidden="1" w:uiPriority="6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9" w:unhideWhenUsed="1" w:qFormat="1"/>
    <w:lsdException w:name="List Bullet 4" w:semiHidden="1" w:unhideWhenUsed="1"/>
    <w:lsdException w:name="List Bullet 5" w:semiHidden="1" w:unhideWhenUsed="1"/>
    <w:lsdException w:name="List Number 2" w:semiHidden="1" w:uiPriority="9" w:unhideWhenUsed="1" w:qFormat="1"/>
    <w:lsdException w:name="List Number 3" w:semiHidden="1" w:uiPriority="9" w:unhideWhenUsed="1" w:qFormat="1"/>
    <w:lsdException w:name="List Number 4" w:semiHidden="1" w:unhideWhenUsed="1"/>
    <w:lsdException w:name="List Number 5" w:semiHidden="1" w:unhideWhenUsed="1"/>
    <w:lsdException w:name="Title" w:uiPriority="25" w:qFormat="1"/>
    <w:lsdException w:name="Closing" w:semiHidden="1" w:uiPriority="69" w:unhideWhenUsed="1"/>
    <w:lsdException w:name="Signature" w:semiHidden="1" w:uiPriority="49" w:unhideWhenUsed="1"/>
    <w:lsdException w:name="Default Paragraph Font" w:semiHidden="1" w:uiPriority="1" w:unhideWhenUsed="1"/>
    <w:lsdException w:name="Body Text" w:semiHidden="1" w:uiPriority="69" w:unhideWhenUsed="1"/>
    <w:lsdException w:name="Body Text Indent" w:semiHidden="1" w:uiPriority="6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49" w:unhideWhenUsed="1"/>
    <w:lsdException w:name="Date" w:semiHidden="1" w:uiPriority="69" w:unhideWhenUsed="1"/>
    <w:lsdException w:name="Body Text First Indent" w:semiHidden="1" w:uiPriority="69" w:unhideWhenUsed="1"/>
    <w:lsdException w:name="Body Text First Indent 2" w:semiHidden="1" w:uiPriority="69" w:unhideWhenUsed="1"/>
    <w:lsdException w:name="Note Heading" w:semiHidden="1" w:unhideWhenUsed="1"/>
    <w:lsdException w:name="Body Text 2" w:semiHidden="1" w:uiPriority="69" w:unhideWhenUsed="1"/>
    <w:lsdException w:name="Body Text 3" w:semiHidden="1" w:uiPriority="69" w:unhideWhenUsed="1"/>
    <w:lsdException w:name="Body Text Indent 2" w:semiHidden="1" w:uiPriority="69" w:unhideWhenUsed="1"/>
    <w:lsdException w:name="Body Text Indent 3" w:semiHidden="1" w:uiPriority="69"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69" w:qFormat="1"/>
    <w:lsdException w:name="Document Map" w:semiHidden="1" w:uiPriority="69" w:unhideWhenUsed="1"/>
    <w:lsdException w:name="Plain Text" w:semiHidden="1" w:uiPriority="49" w:unhideWhenUsed="1"/>
    <w:lsdException w:name="E-mail Signature" w:semiHidden="1" w:uiPriority="6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6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69"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3B7CFF"/>
    <w:pPr>
      <w:spacing w:after="240"/>
    </w:pPr>
    <w:rPr>
      <w:rFonts w:ascii="Times New Roman" w:eastAsia="Times New Roman" w:hAnsi="Times New Roman" w:cs="Times New Roman"/>
      <w:sz w:val="24"/>
      <w:szCs w:val="24"/>
      <w:lang w:val="en-GB"/>
    </w:rPr>
  </w:style>
  <w:style w:type="paragraph" w:styleId="Heading1">
    <w:name w:val="heading 1"/>
    <w:next w:val="Paragraph"/>
    <w:link w:val="Heading1Char"/>
    <w:uiPriority w:val="4"/>
    <w:qFormat/>
    <w:rsid w:val="003B7CFF"/>
    <w:pPr>
      <w:keepNext/>
      <w:keepLines/>
      <w:numPr>
        <w:numId w:val="13"/>
      </w:numPr>
      <w:spacing w:before="240" w:after="240" w:line="240" w:lineRule="auto"/>
      <w:outlineLvl w:val="0"/>
    </w:pPr>
    <w:rPr>
      <w:rFonts w:ascii="Times New Roman" w:eastAsia="Times New Roman" w:hAnsi="Times New Roman" w:cs="Arial"/>
      <w:b/>
      <w:bCs/>
      <w:caps/>
      <w:kern w:val="32"/>
      <w:sz w:val="28"/>
      <w:szCs w:val="28"/>
      <w:lang w:val="en-GB"/>
    </w:rPr>
  </w:style>
  <w:style w:type="paragraph" w:styleId="Heading2">
    <w:name w:val="heading 2"/>
    <w:next w:val="Paragraph"/>
    <w:link w:val="Heading2Char"/>
    <w:uiPriority w:val="4"/>
    <w:qFormat/>
    <w:rsid w:val="00705CDF"/>
    <w:pPr>
      <w:keepNext/>
      <w:keepLines/>
      <w:numPr>
        <w:ilvl w:val="1"/>
        <w:numId w:val="13"/>
      </w:numPr>
      <w:tabs>
        <w:tab w:val="clear" w:pos="1418"/>
        <w:tab w:val="num" w:pos="1134"/>
      </w:tabs>
      <w:spacing w:before="60" w:after="120" w:line="240" w:lineRule="auto"/>
      <w:ind w:left="1134"/>
      <w:outlineLvl w:val="1"/>
    </w:pPr>
    <w:rPr>
      <w:rFonts w:ascii="Times New Roman Bold" w:eastAsia="Times New Roman" w:hAnsi="Times New Roman Bold" w:cs="Arial"/>
      <w:b/>
      <w:bCs/>
      <w:iCs/>
      <w:caps/>
      <w:sz w:val="24"/>
      <w:szCs w:val="26"/>
      <w:lang w:val="en-GB"/>
    </w:rPr>
  </w:style>
  <w:style w:type="paragraph" w:styleId="Heading3">
    <w:name w:val="heading 3"/>
    <w:next w:val="Paragraph"/>
    <w:link w:val="Heading3Char"/>
    <w:uiPriority w:val="4"/>
    <w:qFormat/>
    <w:rsid w:val="003B7CFF"/>
    <w:pPr>
      <w:keepNext/>
      <w:keepLines/>
      <w:numPr>
        <w:ilvl w:val="2"/>
        <w:numId w:val="13"/>
      </w:numPr>
      <w:spacing w:before="60" w:after="120" w:line="240" w:lineRule="auto"/>
      <w:outlineLvl w:val="2"/>
    </w:pPr>
    <w:rPr>
      <w:rFonts w:ascii="Times New Roman" w:eastAsia="Times New Roman" w:hAnsi="Times New Roman" w:cs="Arial"/>
      <w:b/>
      <w:bCs/>
      <w:sz w:val="26"/>
      <w:szCs w:val="24"/>
      <w:lang w:val="en-GB"/>
    </w:rPr>
  </w:style>
  <w:style w:type="paragraph" w:styleId="Heading4">
    <w:name w:val="heading 4"/>
    <w:next w:val="Paragraph"/>
    <w:link w:val="Heading4Char"/>
    <w:uiPriority w:val="4"/>
    <w:qFormat/>
    <w:rsid w:val="003B7CFF"/>
    <w:pPr>
      <w:keepNext/>
      <w:keepLines/>
      <w:numPr>
        <w:ilvl w:val="3"/>
        <w:numId w:val="13"/>
      </w:numPr>
      <w:spacing w:before="60" w:after="60" w:line="240" w:lineRule="auto"/>
      <w:outlineLvl w:val="3"/>
    </w:pPr>
    <w:rPr>
      <w:rFonts w:ascii="Times New Roman" w:eastAsia="Times New Roman" w:hAnsi="Times New Roman" w:cs="Times New Roman"/>
      <w:b/>
      <w:bCs/>
      <w:sz w:val="24"/>
      <w:lang w:val="en-GB"/>
    </w:rPr>
  </w:style>
  <w:style w:type="paragraph" w:styleId="Heading5">
    <w:name w:val="heading 5"/>
    <w:next w:val="Paragraph"/>
    <w:link w:val="Heading5Char"/>
    <w:uiPriority w:val="8"/>
    <w:qFormat/>
    <w:rsid w:val="003B7CFF"/>
    <w:pPr>
      <w:keepNext/>
      <w:keepLines/>
      <w:numPr>
        <w:ilvl w:val="4"/>
        <w:numId w:val="13"/>
      </w:numPr>
      <w:tabs>
        <w:tab w:val="left" w:pos="1440"/>
      </w:tabs>
      <w:spacing w:before="60" w:after="60" w:line="240" w:lineRule="auto"/>
      <w:outlineLvl w:val="4"/>
    </w:pPr>
    <w:rPr>
      <w:rFonts w:ascii="Times New Roman Bold" w:eastAsia="Times New Roman" w:hAnsi="Times New Roman Bold" w:cs="Arial"/>
      <w:b/>
      <w:bCs/>
      <w:iCs/>
      <w:lang w:val="en-US"/>
    </w:rPr>
  </w:style>
  <w:style w:type="paragraph" w:styleId="Heading6">
    <w:name w:val="heading 6"/>
    <w:next w:val="Paragraph"/>
    <w:link w:val="Heading6Char"/>
    <w:uiPriority w:val="8"/>
    <w:qFormat/>
    <w:rsid w:val="003B7CFF"/>
    <w:pPr>
      <w:keepNext/>
      <w:keepLines/>
      <w:numPr>
        <w:ilvl w:val="5"/>
        <w:numId w:val="13"/>
      </w:numPr>
      <w:tabs>
        <w:tab w:val="left" w:pos="1680"/>
      </w:tabs>
      <w:spacing w:before="60" w:after="60" w:line="240" w:lineRule="auto"/>
      <w:outlineLvl w:val="5"/>
    </w:pPr>
    <w:rPr>
      <w:rFonts w:ascii="Times New Roman" w:eastAsia="Times New Roman" w:hAnsi="Times New Roman" w:cs="Arial"/>
      <w:b/>
      <w:bCs/>
      <w:i/>
      <w:lang w:val="en-US"/>
    </w:rPr>
  </w:style>
  <w:style w:type="paragraph" w:styleId="Heading7">
    <w:name w:val="heading 7"/>
    <w:next w:val="Paragraph"/>
    <w:link w:val="Heading7Char"/>
    <w:uiPriority w:val="99"/>
    <w:semiHidden/>
    <w:qFormat/>
    <w:rsid w:val="003B7CFF"/>
    <w:pPr>
      <w:keepNext/>
      <w:keepLines/>
      <w:numPr>
        <w:ilvl w:val="6"/>
        <w:numId w:val="13"/>
      </w:numPr>
      <w:tabs>
        <w:tab w:val="left" w:pos="1920"/>
      </w:tabs>
      <w:spacing w:after="240" w:line="240" w:lineRule="auto"/>
      <w:outlineLvl w:val="6"/>
    </w:pPr>
    <w:rPr>
      <w:rFonts w:ascii="Times New Roman" w:eastAsia="Times New Roman" w:hAnsi="Times New Roman" w:cs="Arial"/>
      <w:i/>
      <w:sz w:val="24"/>
      <w:szCs w:val="24"/>
      <w:lang w:val="en-US"/>
    </w:rPr>
  </w:style>
  <w:style w:type="paragraph" w:styleId="Heading8">
    <w:name w:val="heading 8"/>
    <w:next w:val="Paragraph"/>
    <w:link w:val="Heading8Char"/>
    <w:uiPriority w:val="99"/>
    <w:semiHidden/>
    <w:qFormat/>
    <w:rsid w:val="003B7CFF"/>
    <w:pPr>
      <w:keepNext/>
      <w:keepLines/>
      <w:numPr>
        <w:ilvl w:val="7"/>
        <w:numId w:val="13"/>
      </w:numPr>
      <w:tabs>
        <w:tab w:val="left" w:pos="2160"/>
      </w:tabs>
      <w:spacing w:after="240" w:line="240" w:lineRule="auto"/>
      <w:outlineLvl w:val="7"/>
    </w:pPr>
    <w:rPr>
      <w:rFonts w:ascii="Times New Roman" w:eastAsia="Times New Roman" w:hAnsi="Times New Roman" w:cs="Arial"/>
      <w:i/>
      <w:iCs/>
      <w:sz w:val="24"/>
      <w:szCs w:val="24"/>
      <w:lang w:val="en-US"/>
    </w:rPr>
  </w:style>
  <w:style w:type="paragraph" w:styleId="Heading9">
    <w:name w:val="heading 9"/>
    <w:aliases w:val="-References"/>
    <w:next w:val="Paragraph"/>
    <w:link w:val="Heading9Char"/>
    <w:uiPriority w:val="7"/>
    <w:qFormat/>
    <w:rsid w:val="003B7CFF"/>
    <w:pPr>
      <w:keepNext/>
      <w:keepLines/>
      <w:numPr>
        <w:ilvl w:val="8"/>
        <w:numId w:val="13"/>
      </w:numPr>
      <w:spacing w:before="120" w:after="0" w:line="240" w:lineRule="auto"/>
      <w:outlineLvl w:val="8"/>
    </w:pPr>
    <w:rPr>
      <w:rFonts w:ascii="Times New Roman" w:eastAsia="Times New Roman" w:hAnsi="Times New Roman" w:cs="Arial"/>
      <w:b/>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3B7CFF"/>
    <w:rPr>
      <w:rFonts w:ascii="Times New Roman" w:eastAsia="Times New Roman" w:hAnsi="Times New Roman" w:cs="Arial"/>
      <w:b/>
      <w:bCs/>
      <w:caps/>
      <w:kern w:val="32"/>
      <w:sz w:val="28"/>
      <w:szCs w:val="28"/>
      <w:lang w:val="en-GB"/>
    </w:rPr>
  </w:style>
  <w:style w:type="character" w:customStyle="1" w:styleId="Heading2Char">
    <w:name w:val="Heading 2 Char"/>
    <w:basedOn w:val="DefaultParagraphFont"/>
    <w:link w:val="Heading2"/>
    <w:uiPriority w:val="4"/>
    <w:rsid w:val="00705CDF"/>
    <w:rPr>
      <w:rFonts w:ascii="Times New Roman Bold" w:eastAsia="Times New Roman" w:hAnsi="Times New Roman Bold" w:cs="Arial"/>
      <w:b/>
      <w:bCs/>
      <w:iCs/>
      <w:caps/>
      <w:sz w:val="24"/>
      <w:szCs w:val="26"/>
      <w:lang w:val="en-GB"/>
    </w:rPr>
  </w:style>
  <w:style w:type="character" w:customStyle="1" w:styleId="Heading3Char">
    <w:name w:val="Heading 3 Char"/>
    <w:basedOn w:val="DefaultParagraphFont"/>
    <w:link w:val="Heading3"/>
    <w:uiPriority w:val="4"/>
    <w:rsid w:val="003B7CFF"/>
    <w:rPr>
      <w:rFonts w:ascii="Times New Roman" w:eastAsia="Times New Roman" w:hAnsi="Times New Roman" w:cs="Arial"/>
      <w:b/>
      <w:bCs/>
      <w:sz w:val="26"/>
      <w:szCs w:val="24"/>
      <w:lang w:val="en-GB"/>
    </w:rPr>
  </w:style>
  <w:style w:type="character" w:customStyle="1" w:styleId="Heading4Char">
    <w:name w:val="Heading 4 Char"/>
    <w:basedOn w:val="DefaultParagraphFont"/>
    <w:link w:val="Heading4"/>
    <w:uiPriority w:val="4"/>
    <w:rsid w:val="003B7CFF"/>
    <w:rPr>
      <w:rFonts w:ascii="Times New Roman" w:eastAsia="Times New Roman" w:hAnsi="Times New Roman" w:cs="Times New Roman"/>
      <w:b/>
      <w:bCs/>
      <w:sz w:val="24"/>
      <w:lang w:val="en-GB"/>
    </w:rPr>
  </w:style>
  <w:style w:type="character" w:customStyle="1" w:styleId="Heading5Char">
    <w:name w:val="Heading 5 Char"/>
    <w:basedOn w:val="DefaultParagraphFont"/>
    <w:link w:val="Heading5"/>
    <w:uiPriority w:val="8"/>
    <w:rsid w:val="003B7CFF"/>
    <w:rPr>
      <w:rFonts w:ascii="Times New Roman Bold" w:eastAsia="Times New Roman" w:hAnsi="Times New Roman Bold" w:cs="Arial"/>
      <w:b/>
      <w:bCs/>
      <w:iCs/>
      <w:lang w:val="en-US"/>
    </w:rPr>
  </w:style>
  <w:style w:type="character" w:customStyle="1" w:styleId="Heading6Char">
    <w:name w:val="Heading 6 Char"/>
    <w:basedOn w:val="DefaultParagraphFont"/>
    <w:link w:val="Heading6"/>
    <w:uiPriority w:val="8"/>
    <w:rsid w:val="003B7CFF"/>
    <w:rPr>
      <w:rFonts w:ascii="Times New Roman" w:eastAsia="Times New Roman" w:hAnsi="Times New Roman" w:cs="Arial"/>
      <w:b/>
      <w:bCs/>
      <w:i/>
      <w:lang w:val="en-US"/>
    </w:rPr>
  </w:style>
  <w:style w:type="character" w:customStyle="1" w:styleId="Heading7Char">
    <w:name w:val="Heading 7 Char"/>
    <w:basedOn w:val="DefaultParagraphFont"/>
    <w:link w:val="Heading7"/>
    <w:uiPriority w:val="99"/>
    <w:semiHidden/>
    <w:rsid w:val="003B7CFF"/>
    <w:rPr>
      <w:rFonts w:ascii="Times New Roman" w:eastAsia="Times New Roman" w:hAnsi="Times New Roman" w:cs="Arial"/>
      <w:i/>
      <w:sz w:val="24"/>
      <w:szCs w:val="24"/>
      <w:lang w:val="en-US"/>
    </w:rPr>
  </w:style>
  <w:style w:type="character" w:customStyle="1" w:styleId="Heading8Char">
    <w:name w:val="Heading 8 Char"/>
    <w:basedOn w:val="DefaultParagraphFont"/>
    <w:link w:val="Heading8"/>
    <w:uiPriority w:val="99"/>
    <w:semiHidden/>
    <w:rsid w:val="003B7CFF"/>
    <w:rPr>
      <w:rFonts w:ascii="Times New Roman" w:eastAsia="Times New Roman" w:hAnsi="Times New Roman" w:cs="Arial"/>
      <w:i/>
      <w:iCs/>
      <w:sz w:val="24"/>
      <w:szCs w:val="24"/>
      <w:lang w:val="en-US"/>
    </w:rPr>
  </w:style>
  <w:style w:type="character" w:customStyle="1" w:styleId="Heading9Char">
    <w:name w:val="Heading 9 Char"/>
    <w:aliases w:val="-References Char"/>
    <w:basedOn w:val="DefaultParagraphFont"/>
    <w:link w:val="Heading9"/>
    <w:uiPriority w:val="7"/>
    <w:rsid w:val="003B7CFF"/>
    <w:rPr>
      <w:rFonts w:ascii="Times New Roman" w:eastAsia="Times New Roman" w:hAnsi="Times New Roman" w:cs="Arial"/>
      <w:b/>
      <w:szCs w:val="24"/>
      <w:lang w:val="en-GB"/>
    </w:rPr>
  </w:style>
  <w:style w:type="paragraph" w:styleId="ListParagraph">
    <w:name w:val="List Paragraph"/>
    <w:basedOn w:val="Normal"/>
    <w:uiPriority w:val="34"/>
    <w:qFormat/>
    <w:rsid w:val="003B7CFF"/>
    <w:pPr>
      <w:contextualSpacing/>
    </w:pPr>
  </w:style>
  <w:style w:type="character" w:styleId="CommentReference">
    <w:name w:val="annotation reference"/>
    <w:uiPriority w:val="99"/>
    <w:rsid w:val="003B7CFF"/>
    <w:rPr>
      <w:sz w:val="16"/>
      <w:szCs w:val="16"/>
    </w:rPr>
  </w:style>
  <w:style w:type="paragraph" w:styleId="CommentText">
    <w:name w:val="annotation text"/>
    <w:aliases w:val="Annotationtext,Comment Text Char1 Char,Comment Text Char Char Char,Comment Text Char Char,Comment Text Char Char1,- H19,Comment Text Char1"/>
    <w:basedOn w:val="Normal"/>
    <w:link w:val="CommentTextChar"/>
    <w:uiPriority w:val="99"/>
    <w:qFormat/>
    <w:rsid w:val="003B7CFF"/>
    <w:rPr>
      <w:sz w:val="20"/>
      <w:szCs w:val="20"/>
    </w:rPr>
  </w:style>
  <w:style w:type="character" w:customStyle="1" w:styleId="CommentTextChar">
    <w:name w:val="Comment Text Char"/>
    <w:aliases w:val="Annotationtext Char,Comment Text Char1 Char Char,Comment Text Char Char Char Char,Comment Text Char Char Char1,Comment Text Char Char1 Char,- H19 Char,Comment Text Char1 Char1"/>
    <w:basedOn w:val="DefaultParagraphFont"/>
    <w:link w:val="CommentText"/>
    <w:uiPriority w:val="99"/>
    <w:rsid w:val="003B7CFF"/>
    <w:rPr>
      <w:rFonts w:ascii="Times New Roman" w:eastAsia="Times New Roman" w:hAnsi="Times New Roman" w:cs="Times New Roman"/>
      <w:sz w:val="20"/>
      <w:szCs w:val="20"/>
      <w:lang w:val="en-GB"/>
    </w:rPr>
  </w:style>
  <w:style w:type="paragraph" w:styleId="FootnoteText">
    <w:name w:val="footnote text"/>
    <w:basedOn w:val="Normal"/>
    <w:link w:val="FootnoteTextChar"/>
    <w:uiPriority w:val="99"/>
    <w:rsid w:val="003B7CFF"/>
    <w:rPr>
      <w:sz w:val="20"/>
      <w:szCs w:val="20"/>
    </w:rPr>
  </w:style>
  <w:style w:type="character" w:customStyle="1" w:styleId="FootnoteTextChar">
    <w:name w:val="Footnote Text Char"/>
    <w:basedOn w:val="DefaultParagraphFont"/>
    <w:link w:val="FootnoteText"/>
    <w:uiPriority w:val="99"/>
    <w:rsid w:val="003B7CFF"/>
    <w:rPr>
      <w:rFonts w:ascii="Times New Roman" w:eastAsia="Times New Roman" w:hAnsi="Times New Roman" w:cs="Times New Roman"/>
      <w:sz w:val="20"/>
      <w:szCs w:val="20"/>
      <w:lang w:val="en-GB"/>
    </w:rPr>
  </w:style>
  <w:style w:type="character" w:styleId="FootnoteReference">
    <w:name w:val="footnote reference"/>
    <w:uiPriority w:val="99"/>
    <w:rsid w:val="003B7CFF"/>
    <w:rPr>
      <w:vertAlign w:val="superscript"/>
    </w:rPr>
  </w:style>
  <w:style w:type="paragraph" w:styleId="ListBullet">
    <w:name w:val="List Bullet"/>
    <w:uiPriority w:val="9"/>
    <w:qFormat/>
    <w:rsid w:val="003B7CFF"/>
    <w:pPr>
      <w:numPr>
        <w:numId w:val="21"/>
      </w:numPr>
      <w:spacing w:before="60" w:after="60" w:line="240" w:lineRule="auto"/>
    </w:pPr>
    <w:rPr>
      <w:rFonts w:ascii="Times New Roman" w:eastAsia="Times New Roman" w:hAnsi="Times New Roman" w:cs="Times New Roman"/>
      <w:sz w:val="24"/>
      <w:szCs w:val="20"/>
      <w:lang w:val="en-GB"/>
    </w:rPr>
  </w:style>
  <w:style w:type="character" w:styleId="Hyperlink">
    <w:name w:val="Hyperlink"/>
    <w:uiPriority w:val="99"/>
    <w:rsid w:val="003B7CFF"/>
    <w:rPr>
      <w:color w:val="0000FF"/>
      <w:u w:val="none"/>
    </w:rPr>
  </w:style>
  <w:style w:type="table" w:styleId="LightGrid">
    <w:name w:val="Light Grid"/>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Header"/>
    <w:link w:val="FooterChar"/>
    <w:rsid w:val="003B7CFF"/>
  </w:style>
  <w:style w:type="character" w:customStyle="1" w:styleId="FooterChar">
    <w:name w:val="Footer Char"/>
    <w:basedOn w:val="DefaultParagraphFont"/>
    <w:link w:val="Footer"/>
    <w:rsid w:val="003B7CFF"/>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69"/>
    <w:semiHidden/>
    <w:rsid w:val="003B7CFF"/>
    <w:rPr>
      <w:rFonts w:ascii="Arial Narrow" w:hAnsi="Arial Narrow" w:cs="Tahoma"/>
      <w:sz w:val="18"/>
      <w:szCs w:val="16"/>
    </w:rPr>
  </w:style>
  <w:style w:type="character" w:customStyle="1" w:styleId="BalloonTextChar">
    <w:name w:val="Balloon Text Char"/>
    <w:basedOn w:val="DefaultParagraphFont"/>
    <w:link w:val="BalloonText"/>
    <w:uiPriority w:val="69"/>
    <w:semiHidden/>
    <w:rsid w:val="003B7CFF"/>
    <w:rPr>
      <w:rFonts w:ascii="Arial Narrow" w:eastAsia="Times New Roman" w:hAnsi="Arial Narrow" w:cs="Tahoma"/>
      <w:sz w:val="18"/>
      <w:szCs w:val="16"/>
      <w:lang w:val="en-GB"/>
    </w:rPr>
  </w:style>
  <w:style w:type="paragraph" w:customStyle="1" w:styleId="AppendixNumeric">
    <w:name w:val="Appendix Numeric"/>
    <w:next w:val="Paragraph"/>
    <w:uiPriority w:val="20"/>
    <w:qFormat/>
    <w:rsid w:val="003B7CFF"/>
    <w:pPr>
      <w:pageBreakBefore/>
      <w:numPr>
        <w:numId w:val="11"/>
      </w:numPr>
      <w:spacing w:after="160" w:line="240" w:lineRule="auto"/>
    </w:pPr>
    <w:rPr>
      <w:rFonts w:ascii="Times New Roman" w:eastAsia="Times New Roman" w:hAnsi="Times New Roman" w:cs="Arial"/>
      <w:b/>
      <w:iCs/>
      <w:snapToGrid w:val="0"/>
      <w:sz w:val="28"/>
      <w:szCs w:val="26"/>
      <w:lang w:val="sv-SE"/>
    </w:rPr>
  </w:style>
  <w:style w:type="paragraph" w:customStyle="1" w:styleId="AppendixAlpha">
    <w:name w:val="Appendix Alpha"/>
    <w:basedOn w:val="AppendixNumeric"/>
    <w:next w:val="Paragraph"/>
    <w:uiPriority w:val="21"/>
    <w:qFormat/>
    <w:rsid w:val="003B7CFF"/>
    <w:pPr>
      <w:keepNext/>
      <w:keepLines/>
      <w:numPr>
        <w:numId w:val="12"/>
      </w:numPr>
    </w:pPr>
  </w:style>
  <w:style w:type="table" w:styleId="PlainTable1">
    <w:name w:val="Plain Table 1"/>
    <w:basedOn w:val="TableNormal"/>
    <w:uiPriority w:val="41"/>
    <w:rsid w:val="00EE3AC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E3AC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pproval">
    <w:name w:val="Approval"/>
    <w:basedOn w:val="Paragraph"/>
    <w:uiPriority w:val="24"/>
    <w:rsid w:val="003B7CFF"/>
  </w:style>
  <w:style w:type="paragraph" w:styleId="BodyText">
    <w:name w:val="Body Text"/>
    <w:basedOn w:val="Normal"/>
    <w:link w:val="BodyTextChar"/>
    <w:uiPriority w:val="69"/>
    <w:semiHidden/>
    <w:rsid w:val="003B7CFF"/>
    <w:pPr>
      <w:spacing w:after="120"/>
    </w:pPr>
  </w:style>
  <w:style w:type="character" w:customStyle="1" w:styleId="BodyTextChar">
    <w:name w:val="Body Text Char"/>
    <w:basedOn w:val="DefaultParagraphFont"/>
    <w:link w:val="BodyText"/>
    <w:uiPriority w:val="69"/>
    <w:semiHidden/>
    <w:rsid w:val="003B7CFF"/>
    <w:rPr>
      <w:rFonts w:ascii="Times New Roman" w:eastAsia="Times New Roman" w:hAnsi="Times New Roman" w:cs="Times New Roman"/>
      <w:sz w:val="24"/>
      <w:szCs w:val="24"/>
      <w:lang w:val="en-GB"/>
    </w:rPr>
  </w:style>
  <w:style w:type="paragraph" w:styleId="BodyText2">
    <w:name w:val="Body Text 2"/>
    <w:basedOn w:val="Normal"/>
    <w:link w:val="BodyText2Char"/>
    <w:uiPriority w:val="69"/>
    <w:semiHidden/>
    <w:rsid w:val="003B7CFF"/>
    <w:pPr>
      <w:spacing w:after="120" w:line="480" w:lineRule="auto"/>
    </w:pPr>
  </w:style>
  <w:style w:type="character" w:customStyle="1" w:styleId="BodyText2Char">
    <w:name w:val="Body Text 2 Char"/>
    <w:basedOn w:val="DefaultParagraphFont"/>
    <w:link w:val="BodyText2"/>
    <w:uiPriority w:val="69"/>
    <w:semiHidden/>
    <w:rsid w:val="003B7CFF"/>
    <w:rPr>
      <w:rFonts w:ascii="Times New Roman" w:eastAsia="Times New Roman" w:hAnsi="Times New Roman" w:cs="Times New Roman"/>
      <w:sz w:val="24"/>
      <w:szCs w:val="24"/>
      <w:lang w:val="en-GB"/>
    </w:rPr>
  </w:style>
  <w:style w:type="paragraph" w:styleId="BodyText3">
    <w:name w:val="Body Text 3"/>
    <w:basedOn w:val="Normal"/>
    <w:link w:val="BodyText3Char"/>
    <w:uiPriority w:val="69"/>
    <w:semiHidden/>
    <w:rsid w:val="003B7CFF"/>
    <w:pPr>
      <w:spacing w:after="120"/>
    </w:pPr>
    <w:rPr>
      <w:sz w:val="16"/>
      <w:szCs w:val="16"/>
    </w:rPr>
  </w:style>
  <w:style w:type="character" w:customStyle="1" w:styleId="BodyText3Char">
    <w:name w:val="Body Text 3 Char"/>
    <w:basedOn w:val="DefaultParagraphFont"/>
    <w:link w:val="BodyText3"/>
    <w:uiPriority w:val="69"/>
    <w:semiHidden/>
    <w:rsid w:val="003B7CFF"/>
    <w:rPr>
      <w:rFonts w:ascii="Times New Roman" w:eastAsia="Times New Roman" w:hAnsi="Times New Roman" w:cs="Times New Roman"/>
      <w:sz w:val="16"/>
      <w:szCs w:val="16"/>
      <w:lang w:val="en-GB"/>
    </w:rPr>
  </w:style>
  <w:style w:type="paragraph" w:styleId="BodyTextFirstIndent">
    <w:name w:val="Body Text First Indent"/>
    <w:basedOn w:val="BodyText"/>
    <w:link w:val="BodyTextFirstIndentChar"/>
    <w:uiPriority w:val="69"/>
    <w:semiHidden/>
    <w:rsid w:val="003B7CFF"/>
    <w:pPr>
      <w:ind w:firstLine="210"/>
    </w:pPr>
  </w:style>
  <w:style w:type="character" w:customStyle="1" w:styleId="BodyTextFirstIndentChar">
    <w:name w:val="Body Text First Indent Char"/>
    <w:basedOn w:val="BodyTextChar"/>
    <w:link w:val="BodyTextFirstIndent"/>
    <w:uiPriority w:val="69"/>
    <w:semiHidden/>
    <w:rsid w:val="003B7CFF"/>
    <w:rPr>
      <w:rFonts w:ascii="Times New Roman" w:eastAsia="Times New Roman" w:hAnsi="Times New Roman" w:cs="Times New Roman"/>
      <w:sz w:val="24"/>
      <w:szCs w:val="24"/>
      <w:lang w:val="en-GB"/>
    </w:rPr>
  </w:style>
  <w:style w:type="paragraph" w:styleId="BodyTextIndent">
    <w:name w:val="Body Text Indent"/>
    <w:basedOn w:val="Normal"/>
    <w:link w:val="BodyTextIndentChar"/>
    <w:uiPriority w:val="69"/>
    <w:semiHidden/>
    <w:rsid w:val="003B7CFF"/>
    <w:pPr>
      <w:spacing w:after="120"/>
      <w:ind w:left="360"/>
    </w:pPr>
  </w:style>
  <w:style w:type="character" w:customStyle="1" w:styleId="BodyTextIndentChar">
    <w:name w:val="Body Text Indent Char"/>
    <w:basedOn w:val="DefaultParagraphFont"/>
    <w:link w:val="BodyTextIndent"/>
    <w:uiPriority w:val="69"/>
    <w:semiHidden/>
    <w:rsid w:val="003B7CFF"/>
    <w:rPr>
      <w:rFonts w:ascii="Times New Roman" w:eastAsia="Times New Roman" w:hAnsi="Times New Roman" w:cs="Times New Roman"/>
      <w:sz w:val="24"/>
      <w:szCs w:val="24"/>
      <w:lang w:val="en-GB"/>
    </w:rPr>
  </w:style>
  <w:style w:type="paragraph" w:styleId="BodyTextFirstIndent2">
    <w:name w:val="Body Text First Indent 2"/>
    <w:basedOn w:val="BodyTextIndent"/>
    <w:link w:val="BodyTextFirstIndent2Char"/>
    <w:uiPriority w:val="69"/>
    <w:semiHidden/>
    <w:rsid w:val="003B7CFF"/>
    <w:pPr>
      <w:ind w:firstLine="210"/>
    </w:pPr>
  </w:style>
  <w:style w:type="character" w:customStyle="1" w:styleId="BodyTextFirstIndent2Char">
    <w:name w:val="Body Text First Indent 2 Char"/>
    <w:basedOn w:val="BodyTextIndentChar"/>
    <w:link w:val="BodyTextFirstIndent2"/>
    <w:uiPriority w:val="69"/>
    <w:semiHidden/>
    <w:rsid w:val="003B7CFF"/>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69"/>
    <w:semiHidden/>
    <w:rsid w:val="003B7CFF"/>
    <w:pPr>
      <w:spacing w:after="120" w:line="480" w:lineRule="auto"/>
      <w:ind w:left="360"/>
    </w:pPr>
  </w:style>
  <w:style w:type="character" w:customStyle="1" w:styleId="BodyTextIndent2Char">
    <w:name w:val="Body Text Indent 2 Char"/>
    <w:basedOn w:val="DefaultParagraphFont"/>
    <w:link w:val="BodyTextIndent2"/>
    <w:uiPriority w:val="69"/>
    <w:semiHidden/>
    <w:rsid w:val="003B7CFF"/>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69"/>
    <w:semiHidden/>
    <w:rsid w:val="003B7CFF"/>
    <w:pPr>
      <w:spacing w:after="120"/>
      <w:ind w:left="360"/>
    </w:pPr>
    <w:rPr>
      <w:sz w:val="16"/>
      <w:szCs w:val="16"/>
    </w:rPr>
  </w:style>
  <w:style w:type="character" w:customStyle="1" w:styleId="BodyTextIndent3Char">
    <w:name w:val="Body Text Indent 3 Char"/>
    <w:basedOn w:val="DefaultParagraphFont"/>
    <w:link w:val="BodyTextIndent3"/>
    <w:uiPriority w:val="69"/>
    <w:semiHidden/>
    <w:rsid w:val="003B7CFF"/>
    <w:rPr>
      <w:rFonts w:ascii="Times New Roman" w:eastAsia="Times New Roman" w:hAnsi="Times New Roman" w:cs="Times New Roman"/>
      <w:sz w:val="16"/>
      <w:szCs w:val="16"/>
      <w:lang w:val="en-GB"/>
    </w:rPr>
  </w:style>
  <w:style w:type="numbering" w:styleId="111111">
    <w:name w:val="Outline List 2"/>
    <w:basedOn w:val="NoList"/>
    <w:uiPriority w:val="99"/>
    <w:unhideWhenUsed/>
    <w:rsid w:val="003B7CFF"/>
    <w:pPr>
      <w:numPr>
        <w:numId w:val="23"/>
      </w:numPr>
    </w:pPr>
  </w:style>
  <w:style w:type="numbering" w:styleId="1ai">
    <w:name w:val="Outline List 1"/>
    <w:basedOn w:val="NoList"/>
    <w:uiPriority w:val="99"/>
    <w:semiHidden/>
    <w:unhideWhenUsed/>
    <w:rsid w:val="003B7CFF"/>
    <w:pPr>
      <w:numPr>
        <w:numId w:val="24"/>
      </w:numPr>
    </w:pPr>
  </w:style>
  <w:style w:type="numbering" w:styleId="ArticleSection">
    <w:name w:val="Outline List 3"/>
    <w:basedOn w:val="NoList"/>
    <w:uiPriority w:val="99"/>
    <w:semiHidden/>
    <w:unhideWhenUsed/>
    <w:rsid w:val="003B7CFF"/>
    <w:pPr>
      <w:numPr>
        <w:numId w:val="25"/>
      </w:numPr>
    </w:pPr>
  </w:style>
  <w:style w:type="paragraph" w:styleId="Closing">
    <w:name w:val="Closing"/>
    <w:basedOn w:val="Normal"/>
    <w:link w:val="ClosingChar"/>
    <w:uiPriority w:val="69"/>
    <w:semiHidden/>
    <w:rsid w:val="003B7CFF"/>
    <w:pPr>
      <w:ind w:left="4320"/>
    </w:pPr>
  </w:style>
  <w:style w:type="character" w:customStyle="1" w:styleId="ClosingChar">
    <w:name w:val="Closing Char"/>
    <w:basedOn w:val="DefaultParagraphFont"/>
    <w:link w:val="Closing"/>
    <w:uiPriority w:val="69"/>
    <w:semiHidden/>
    <w:rsid w:val="003B7CFF"/>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uiPriority w:val="69"/>
    <w:semiHidden/>
    <w:rsid w:val="003B7CFF"/>
    <w:rPr>
      <w:b/>
      <w:bCs/>
    </w:rPr>
  </w:style>
  <w:style w:type="character" w:customStyle="1" w:styleId="CommentSubjectChar">
    <w:name w:val="Comment Subject Char"/>
    <w:basedOn w:val="CommentTextChar"/>
    <w:link w:val="CommentSubject"/>
    <w:uiPriority w:val="69"/>
    <w:semiHidden/>
    <w:rsid w:val="003B7CFF"/>
    <w:rPr>
      <w:rFonts w:ascii="Times New Roman" w:eastAsia="Times New Roman" w:hAnsi="Times New Roman" w:cs="Times New Roman"/>
      <w:b/>
      <w:bCs/>
      <w:sz w:val="20"/>
      <w:szCs w:val="20"/>
      <w:lang w:val="en-GB"/>
    </w:rPr>
  </w:style>
  <w:style w:type="paragraph" w:customStyle="1" w:styleId="Confidentiality">
    <w:name w:val="Confidentiality"/>
    <w:uiPriority w:val="24"/>
    <w:rsid w:val="003B7CFF"/>
    <w:pPr>
      <w:spacing w:after="0" w:line="240" w:lineRule="auto"/>
    </w:pPr>
    <w:rPr>
      <w:rFonts w:ascii="Times New Roman" w:eastAsia="Times New Roman" w:hAnsi="Times New Roman" w:cs="Times New Roman"/>
      <w:sz w:val="24"/>
      <w:szCs w:val="20"/>
      <w:lang w:val="en-GB"/>
    </w:rPr>
  </w:style>
  <w:style w:type="paragraph" w:styleId="Date">
    <w:name w:val="Date"/>
    <w:basedOn w:val="Normal"/>
    <w:next w:val="Normal"/>
    <w:link w:val="DateChar"/>
    <w:uiPriority w:val="69"/>
    <w:semiHidden/>
    <w:rsid w:val="003B7CFF"/>
  </w:style>
  <w:style w:type="character" w:customStyle="1" w:styleId="DateChar">
    <w:name w:val="Date Char"/>
    <w:basedOn w:val="DefaultParagraphFont"/>
    <w:link w:val="Date"/>
    <w:uiPriority w:val="69"/>
    <w:semiHidden/>
    <w:rsid w:val="003B7CFF"/>
    <w:rPr>
      <w:rFonts w:ascii="Times New Roman" w:eastAsia="Times New Roman" w:hAnsi="Times New Roman" w:cs="Times New Roman"/>
      <w:sz w:val="24"/>
      <w:szCs w:val="24"/>
      <w:lang w:val="en-GB"/>
    </w:rPr>
  </w:style>
  <w:style w:type="paragraph" w:styleId="DocumentMap">
    <w:name w:val="Document Map"/>
    <w:basedOn w:val="Normal"/>
    <w:link w:val="DocumentMapChar"/>
    <w:uiPriority w:val="69"/>
    <w:semiHidden/>
    <w:rsid w:val="003B7CFF"/>
    <w:pPr>
      <w:shd w:val="clear" w:color="auto" w:fill="000080"/>
    </w:pPr>
    <w:rPr>
      <w:rFonts w:ascii="Tahoma" w:hAnsi="Tahoma" w:cs="Tahoma"/>
    </w:rPr>
  </w:style>
  <w:style w:type="character" w:customStyle="1" w:styleId="DocumentMapChar">
    <w:name w:val="Document Map Char"/>
    <w:basedOn w:val="DefaultParagraphFont"/>
    <w:link w:val="DocumentMap"/>
    <w:uiPriority w:val="69"/>
    <w:semiHidden/>
    <w:rsid w:val="003B7CFF"/>
    <w:rPr>
      <w:rFonts w:ascii="Tahoma" w:eastAsia="Times New Roman" w:hAnsi="Tahoma" w:cs="Tahoma"/>
      <w:sz w:val="24"/>
      <w:szCs w:val="24"/>
      <w:shd w:val="clear" w:color="auto" w:fill="000080"/>
      <w:lang w:val="en-GB"/>
    </w:rPr>
  </w:style>
  <w:style w:type="paragraph" w:styleId="E-mailSignature">
    <w:name w:val="E-mail Signature"/>
    <w:basedOn w:val="Normal"/>
    <w:link w:val="E-mailSignatureChar"/>
    <w:uiPriority w:val="69"/>
    <w:semiHidden/>
    <w:rsid w:val="003B7CFF"/>
  </w:style>
  <w:style w:type="character" w:customStyle="1" w:styleId="E-mailSignatureChar">
    <w:name w:val="E-mail Signature Char"/>
    <w:basedOn w:val="DefaultParagraphFont"/>
    <w:link w:val="E-mailSignature"/>
    <w:uiPriority w:val="69"/>
    <w:semiHidden/>
    <w:rsid w:val="003B7CFF"/>
    <w:rPr>
      <w:rFonts w:ascii="Times New Roman" w:eastAsia="Times New Roman" w:hAnsi="Times New Roman" w:cs="Times New Roman"/>
      <w:sz w:val="24"/>
      <w:szCs w:val="24"/>
      <w:lang w:val="en-GB"/>
    </w:rPr>
  </w:style>
  <w:style w:type="character" w:styleId="Emphasis">
    <w:name w:val="Emphasis"/>
    <w:uiPriority w:val="69"/>
    <w:qFormat/>
    <w:rsid w:val="003B7CFF"/>
    <w:rPr>
      <w:i/>
      <w:iCs/>
    </w:rPr>
  </w:style>
  <w:style w:type="character" w:styleId="EndnoteReference">
    <w:name w:val="endnote reference"/>
    <w:uiPriority w:val="99"/>
    <w:rsid w:val="003B7CFF"/>
    <w:rPr>
      <w:vertAlign w:val="superscript"/>
    </w:rPr>
  </w:style>
  <w:style w:type="paragraph" w:styleId="EndnoteText">
    <w:name w:val="endnote text"/>
    <w:basedOn w:val="Normal"/>
    <w:link w:val="EndnoteTextChar"/>
    <w:uiPriority w:val="99"/>
    <w:rsid w:val="003B7CFF"/>
    <w:rPr>
      <w:sz w:val="20"/>
      <w:szCs w:val="20"/>
    </w:rPr>
  </w:style>
  <w:style w:type="character" w:customStyle="1" w:styleId="EndnoteTextChar">
    <w:name w:val="Endnote Text Char"/>
    <w:basedOn w:val="DefaultParagraphFont"/>
    <w:link w:val="EndnoteText"/>
    <w:uiPriority w:val="99"/>
    <w:rsid w:val="003B7CFF"/>
    <w:rPr>
      <w:rFonts w:ascii="Times New Roman" w:eastAsia="Times New Roman" w:hAnsi="Times New Roman" w:cs="Times New Roman"/>
      <w:sz w:val="20"/>
      <w:szCs w:val="20"/>
      <w:lang w:val="en-GB"/>
    </w:rPr>
  </w:style>
  <w:style w:type="paragraph" w:styleId="EnvelopeAddress">
    <w:name w:val="envelope address"/>
    <w:basedOn w:val="Normal"/>
    <w:uiPriority w:val="69"/>
    <w:semiHidden/>
    <w:rsid w:val="003B7CFF"/>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69"/>
    <w:semiHidden/>
    <w:rsid w:val="003B7CFF"/>
    <w:rPr>
      <w:rFonts w:ascii="Arial" w:hAnsi="Arial" w:cs="Arial"/>
      <w:sz w:val="20"/>
      <w:szCs w:val="20"/>
    </w:rPr>
  </w:style>
  <w:style w:type="paragraph" w:customStyle="1" w:styleId="Equation">
    <w:name w:val="Equation"/>
    <w:next w:val="Paragraph"/>
    <w:uiPriority w:val="19"/>
    <w:rsid w:val="003B7CFF"/>
    <w:pPr>
      <w:keepLines/>
      <w:spacing w:after="120" w:line="240" w:lineRule="auto"/>
      <w:jc w:val="center"/>
    </w:pPr>
    <w:rPr>
      <w:rFonts w:ascii="Times New Roman" w:eastAsia="Times New Roman" w:hAnsi="Times New Roman" w:cs="Times New Roman"/>
      <w:color w:val="000000"/>
      <w:sz w:val="24"/>
      <w:szCs w:val="24"/>
      <w:lang w:val="en-US"/>
    </w:rPr>
  </w:style>
  <w:style w:type="paragraph" w:customStyle="1" w:styleId="EquationTitle">
    <w:name w:val="Equation Title"/>
    <w:next w:val="Equation"/>
    <w:uiPriority w:val="19"/>
    <w:rsid w:val="003B7CFF"/>
    <w:pPr>
      <w:keepNext/>
      <w:keepLines/>
      <w:spacing w:after="120" w:line="240" w:lineRule="auto"/>
      <w:ind w:left="1134" w:hanging="1134"/>
    </w:pPr>
    <w:rPr>
      <w:rFonts w:ascii="Times New Roman" w:eastAsia="Times New Roman" w:hAnsi="Times New Roman" w:cs="Times New Roman"/>
      <w:b/>
      <w:color w:val="000000"/>
      <w:sz w:val="24"/>
      <w:szCs w:val="24"/>
      <w:lang w:val="en-US"/>
    </w:rPr>
  </w:style>
  <w:style w:type="paragraph" w:customStyle="1" w:styleId="Figure">
    <w:name w:val="Figure"/>
    <w:next w:val="Paragraph"/>
    <w:uiPriority w:val="17"/>
    <w:rsid w:val="003B7CFF"/>
    <w:pPr>
      <w:spacing w:after="240" w:line="240" w:lineRule="auto"/>
      <w:jc w:val="center"/>
    </w:pPr>
    <w:rPr>
      <w:rFonts w:ascii="Times New Roman" w:eastAsia="Times New Roman" w:hAnsi="Times New Roman" w:cs="Times New Roman"/>
      <w:sz w:val="24"/>
      <w:szCs w:val="20"/>
      <w:lang w:val="en-GB"/>
    </w:rPr>
  </w:style>
  <w:style w:type="paragraph" w:customStyle="1" w:styleId="FigureEndofTextTitle">
    <w:name w:val="Figure End of Text Title"/>
    <w:next w:val="Figure"/>
    <w:uiPriority w:val="18"/>
    <w:rsid w:val="003B7CFF"/>
    <w:pPr>
      <w:spacing w:after="120" w:line="240" w:lineRule="auto"/>
    </w:pPr>
    <w:rPr>
      <w:rFonts w:ascii="Times New Roman" w:eastAsia="Times New Roman" w:hAnsi="Times New Roman" w:cs="Arial"/>
      <w:b/>
      <w:bCs/>
      <w:iCs/>
      <w:sz w:val="24"/>
      <w:szCs w:val="48"/>
      <w:lang w:val="en-GB"/>
    </w:rPr>
  </w:style>
  <w:style w:type="paragraph" w:customStyle="1" w:styleId="TableTitle">
    <w:name w:val="Table Title"/>
    <w:next w:val="Paragraph"/>
    <w:uiPriority w:val="10"/>
    <w:qFormat/>
    <w:rsid w:val="003B7CFF"/>
    <w:pPr>
      <w:keepNext/>
      <w:keepLines/>
      <w:tabs>
        <w:tab w:val="left" w:pos="1701"/>
      </w:tabs>
      <w:spacing w:after="120" w:line="240" w:lineRule="auto"/>
      <w:ind w:left="1701" w:hanging="1701"/>
    </w:pPr>
    <w:rPr>
      <w:rFonts w:ascii="Times New Roman" w:eastAsia="Times New Roman" w:hAnsi="Times New Roman" w:cs="Times New Roman"/>
      <w:b/>
      <w:color w:val="000000"/>
      <w:sz w:val="24"/>
      <w:szCs w:val="24"/>
      <w:lang w:val="en-GB"/>
    </w:rPr>
  </w:style>
  <w:style w:type="paragraph" w:customStyle="1" w:styleId="FigureTitle">
    <w:name w:val="Figure Title"/>
    <w:basedOn w:val="TableTitle"/>
    <w:next w:val="Figure"/>
    <w:uiPriority w:val="17"/>
    <w:qFormat/>
    <w:rsid w:val="00FC32C1"/>
  </w:style>
  <w:style w:type="paragraph" w:customStyle="1" w:styleId="FigureSummaryTitle">
    <w:name w:val="Figure Summary Title"/>
    <w:basedOn w:val="FigureTitle"/>
    <w:next w:val="Paragraph"/>
    <w:uiPriority w:val="99"/>
    <w:semiHidden/>
    <w:rsid w:val="003B7CFF"/>
  </w:style>
  <w:style w:type="character" w:styleId="FollowedHyperlink">
    <w:name w:val="FollowedHyperlink"/>
    <w:uiPriority w:val="99"/>
    <w:semiHidden/>
    <w:rsid w:val="003B7CFF"/>
    <w:rPr>
      <w:color w:val="800080"/>
      <w:u w:val="single"/>
    </w:rPr>
  </w:style>
  <w:style w:type="paragraph" w:styleId="Header">
    <w:name w:val="header"/>
    <w:link w:val="HeaderChar"/>
    <w:uiPriority w:val="29"/>
    <w:rsid w:val="003B7CFF"/>
    <w:pPr>
      <w:spacing w:after="0" w:line="240" w:lineRule="auto"/>
    </w:pPr>
    <w:rPr>
      <w:rFonts w:ascii="Times New Roman" w:eastAsia="Times New Roman" w:hAnsi="Times New Roman" w:cs="Times New Roman"/>
      <w:sz w:val="20"/>
      <w:szCs w:val="20"/>
      <w:lang w:val="en-GB"/>
    </w:rPr>
  </w:style>
  <w:style w:type="character" w:customStyle="1" w:styleId="HeaderChar">
    <w:name w:val="Header Char"/>
    <w:basedOn w:val="DefaultParagraphFont"/>
    <w:link w:val="Header"/>
    <w:uiPriority w:val="29"/>
    <w:rsid w:val="003B7CFF"/>
    <w:rPr>
      <w:rFonts w:ascii="Times New Roman" w:eastAsia="Times New Roman" w:hAnsi="Times New Roman" w:cs="Times New Roman"/>
      <w:sz w:val="20"/>
      <w:szCs w:val="20"/>
      <w:lang w:val="en-GB"/>
    </w:rPr>
  </w:style>
  <w:style w:type="paragraph" w:customStyle="1" w:styleId="Heading1NoTOC">
    <w:name w:val="Heading 1 No TOC"/>
    <w:basedOn w:val="Heading1"/>
    <w:next w:val="Paragraph"/>
    <w:uiPriority w:val="6"/>
    <w:qFormat/>
    <w:rsid w:val="003B7CFF"/>
    <w:pPr>
      <w:numPr>
        <w:numId w:val="0"/>
      </w:numPr>
      <w:outlineLvl w:val="9"/>
    </w:pPr>
    <w:rPr>
      <w:rFonts w:ascii="Times New Roman Bold" w:hAnsi="Times New Roman Bold"/>
      <w:bCs w:val="0"/>
      <w:szCs w:val="48"/>
    </w:rPr>
  </w:style>
  <w:style w:type="paragraph" w:customStyle="1" w:styleId="Heading1Unnumbered">
    <w:name w:val="Heading 1 Unnumbered"/>
    <w:basedOn w:val="Heading1"/>
    <w:next w:val="Paragraph"/>
    <w:uiPriority w:val="5"/>
    <w:qFormat/>
    <w:rsid w:val="00ED27EC"/>
    <w:pPr>
      <w:numPr>
        <w:numId w:val="0"/>
      </w:numPr>
      <w:tabs>
        <w:tab w:val="left" w:pos="0"/>
        <w:tab w:val="left" w:pos="1134"/>
      </w:tabs>
      <w:jc w:val="center"/>
      <w:outlineLvl w:val="4"/>
    </w:pPr>
    <w:rPr>
      <w:szCs w:val="48"/>
    </w:rPr>
  </w:style>
  <w:style w:type="paragraph" w:customStyle="1" w:styleId="Heading2NoTOC">
    <w:name w:val="Heading 2 No TOC"/>
    <w:basedOn w:val="Heading2"/>
    <w:next w:val="Paragraph"/>
    <w:uiPriority w:val="6"/>
    <w:qFormat/>
    <w:rsid w:val="003B7CFF"/>
    <w:pPr>
      <w:numPr>
        <w:ilvl w:val="0"/>
        <w:numId w:val="0"/>
      </w:numPr>
      <w:outlineLvl w:val="9"/>
    </w:pPr>
  </w:style>
  <w:style w:type="paragraph" w:customStyle="1" w:styleId="Heading2Unnumbered">
    <w:name w:val="Heading 2 Unnumbered"/>
    <w:basedOn w:val="Heading2"/>
    <w:next w:val="Paragraph"/>
    <w:uiPriority w:val="5"/>
    <w:qFormat/>
    <w:rsid w:val="003B7CFF"/>
    <w:pPr>
      <w:numPr>
        <w:ilvl w:val="0"/>
        <w:numId w:val="0"/>
      </w:numPr>
      <w:tabs>
        <w:tab w:val="left" w:pos="1134"/>
      </w:tabs>
      <w:outlineLvl w:val="5"/>
    </w:pPr>
  </w:style>
  <w:style w:type="paragraph" w:customStyle="1" w:styleId="Heading3NoTOC">
    <w:name w:val="Heading 3 No TOC"/>
    <w:basedOn w:val="Heading3"/>
    <w:next w:val="Paragraph"/>
    <w:uiPriority w:val="6"/>
    <w:qFormat/>
    <w:rsid w:val="003B7CFF"/>
    <w:pPr>
      <w:numPr>
        <w:ilvl w:val="0"/>
        <w:numId w:val="0"/>
      </w:numPr>
      <w:outlineLvl w:val="9"/>
    </w:pPr>
    <w:rPr>
      <w:sz w:val="24"/>
      <w:u w:val="single"/>
    </w:rPr>
  </w:style>
  <w:style w:type="paragraph" w:customStyle="1" w:styleId="Heading3Unnumbered">
    <w:name w:val="Heading 3 Unnumbered"/>
    <w:basedOn w:val="Heading3"/>
    <w:next w:val="Paragraph"/>
    <w:uiPriority w:val="5"/>
    <w:qFormat/>
    <w:rsid w:val="00EC60F8"/>
    <w:pPr>
      <w:numPr>
        <w:ilvl w:val="0"/>
        <w:numId w:val="0"/>
      </w:numPr>
      <w:tabs>
        <w:tab w:val="left" w:pos="1134"/>
      </w:tabs>
      <w:outlineLvl w:val="5"/>
    </w:pPr>
    <w:rPr>
      <w:sz w:val="24"/>
    </w:rPr>
  </w:style>
  <w:style w:type="paragraph" w:customStyle="1" w:styleId="Heading4NoTOC">
    <w:name w:val="Heading 4 No TOC"/>
    <w:basedOn w:val="Heading4"/>
    <w:next w:val="Paragraph"/>
    <w:uiPriority w:val="6"/>
    <w:qFormat/>
    <w:rsid w:val="003B7CFF"/>
    <w:pPr>
      <w:numPr>
        <w:ilvl w:val="0"/>
        <w:numId w:val="0"/>
      </w:numPr>
      <w:outlineLvl w:val="9"/>
    </w:pPr>
    <w:rPr>
      <w:b w:val="0"/>
      <w:u w:val="single"/>
    </w:rPr>
  </w:style>
  <w:style w:type="paragraph" w:customStyle="1" w:styleId="Heading4Unnumbered">
    <w:name w:val="Heading 4 Unnumbered"/>
    <w:basedOn w:val="Heading4"/>
    <w:next w:val="Paragraph"/>
    <w:uiPriority w:val="5"/>
    <w:qFormat/>
    <w:rsid w:val="003B7CFF"/>
    <w:pPr>
      <w:numPr>
        <w:ilvl w:val="0"/>
        <w:numId w:val="0"/>
      </w:numPr>
      <w:tabs>
        <w:tab w:val="left" w:pos="1134"/>
      </w:tabs>
      <w:outlineLvl w:val="6"/>
    </w:pPr>
    <w:rPr>
      <w:i/>
    </w:rPr>
  </w:style>
  <w:style w:type="paragraph" w:styleId="Bibliography">
    <w:name w:val="Bibliography"/>
    <w:basedOn w:val="Normal"/>
    <w:next w:val="Normal"/>
    <w:uiPriority w:val="37"/>
    <w:semiHidden/>
    <w:unhideWhenUsed/>
    <w:rsid w:val="003B7CFF"/>
  </w:style>
  <w:style w:type="paragraph" w:styleId="BlockText">
    <w:name w:val="Block Text"/>
    <w:basedOn w:val="Normal"/>
    <w:uiPriority w:val="99"/>
    <w:semiHidden/>
    <w:unhideWhenUsed/>
    <w:rsid w:val="003B7CF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Caption">
    <w:name w:val="caption"/>
    <w:basedOn w:val="TableTitle"/>
    <w:next w:val="Normal"/>
    <w:uiPriority w:val="49"/>
    <w:unhideWhenUsed/>
    <w:qFormat/>
    <w:rsid w:val="003B7CFF"/>
    <w:pPr>
      <w:spacing w:after="0"/>
    </w:pPr>
    <w:rPr>
      <w:rFonts w:ascii="Times New Roman Bold" w:hAnsi="Times New Roman Bold"/>
      <w:iCs/>
      <w:color w:val="auto"/>
      <w:szCs w:val="18"/>
    </w:rPr>
  </w:style>
  <w:style w:type="character" w:styleId="HTMLAcronym">
    <w:name w:val="HTML Acronym"/>
    <w:basedOn w:val="DefaultParagraphFont"/>
    <w:uiPriority w:val="99"/>
    <w:semiHidden/>
    <w:rsid w:val="003B7CFF"/>
  </w:style>
  <w:style w:type="paragraph" w:styleId="HTMLAddress">
    <w:name w:val="HTML Address"/>
    <w:basedOn w:val="Normal"/>
    <w:link w:val="HTMLAddressChar"/>
    <w:uiPriority w:val="99"/>
    <w:semiHidden/>
    <w:rsid w:val="003B7CFF"/>
    <w:rPr>
      <w:i/>
      <w:iCs/>
    </w:rPr>
  </w:style>
  <w:style w:type="character" w:customStyle="1" w:styleId="HTMLAddressChar">
    <w:name w:val="HTML Address Char"/>
    <w:basedOn w:val="DefaultParagraphFont"/>
    <w:link w:val="HTMLAddress"/>
    <w:uiPriority w:val="99"/>
    <w:semiHidden/>
    <w:rsid w:val="003B7CFF"/>
    <w:rPr>
      <w:rFonts w:ascii="Times New Roman" w:eastAsia="Times New Roman" w:hAnsi="Times New Roman" w:cs="Times New Roman"/>
      <w:i/>
      <w:iCs/>
      <w:sz w:val="24"/>
      <w:szCs w:val="24"/>
      <w:lang w:val="en-GB"/>
    </w:rPr>
  </w:style>
  <w:style w:type="character" w:styleId="HTMLCite">
    <w:name w:val="HTML Cite"/>
    <w:uiPriority w:val="99"/>
    <w:semiHidden/>
    <w:rsid w:val="003B7CFF"/>
    <w:rPr>
      <w:i/>
      <w:iCs/>
    </w:rPr>
  </w:style>
  <w:style w:type="character" w:styleId="HTMLCode">
    <w:name w:val="HTML Code"/>
    <w:uiPriority w:val="99"/>
    <w:semiHidden/>
    <w:rsid w:val="003B7CFF"/>
    <w:rPr>
      <w:rFonts w:ascii="Courier New" w:hAnsi="Courier New" w:cs="Courier New"/>
      <w:sz w:val="20"/>
      <w:szCs w:val="20"/>
    </w:rPr>
  </w:style>
  <w:style w:type="character" w:styleId="HTMLDefinition">
    <w:name w:val="HTML Definition"/>
    <w:uiPriority w:val="99"/>
    <w:semiHidden/>
    <w:rsid w:val="003B7CFF"/>
    <w:rPr>
      <w:i/>
      <w:iCs/>
    </w:rPr>
  </w:style>
  <w:style w:type="character" w:styleId="HTMLKeyboard">
    <w:name w:val="HTML Keyboard"/>
    <w:uiPriority w:val="99"/>
    <w:semiHidden/>
    <w:rsid w:val="003B7CFF"/>
    <w:rPr>
      <w:rFonts w:ascii="Courier New" w:hAnsi="Courier New" w:cs="Courier New"/>
      <w:sz w:val="20"/>
      <w:szCs w:val="20"/>
    </w:rPr>
  </w:style>
  <w:style w:type="paragraph" w:styleId="HTMLPreformatted">
    <w:name w:val="HTML Preformatted"/>
    <w:basedOn w:val="Normal"/>
    <w:link w:val="HTMLPreformattedChar"/>
    <w:uiPriority w:val="99"/>
    <w:semiHidden/>
    <w:rsid w:val="003B7CFF"/>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B7CFF"/>
    <w:rPr>
      <w:rFonts w:ascii="Courier New" w:eastAsia="Times New Roman" w:hAnsi="Courier New" w:cs="Courier New"/>
      <w:sz w:val="20"/>
      <w:szCs w:val="20"/>
      <w:lang w:val="en-GB"/>
    </w:rPr>
  </w:style>
  <w:style w:type="character" w:styleId="HTMLSample">
    <w:name w:val="HTML Sample"/>
    <w:uiPriority w:val="99"/>
    <w:semiHidden/>
    <w:rsid w:val="003B7CFF"/>
    <w:rPr>
      <w:rFonts w:ascii="Courier New" w:hAnsi="Courier New" w:cs="Courier New"/>
    </w:rPr>
  </w:style>
  <w:style w:type="character" w:styleId="HTMLTypewriter">
    <w:name w:val="HTML Typewriter"/>
    <w:uiPriority w:val="99"/>
    <w:semiHidden/>
    <w:rsid w:val="003B7CFF"/>
    <w:rPr>
      <w:rFonts w:ascii="Courier New" w:hAnsi="Courier New" w:cs="Courier New"/>
      <w:sz w:val="20"/>
      <w:szCs w:val="20"/>
    </w:rPr>
  </w:style>
  <w:style w:type="character" w:styleId="HTMLVariable">
    <w:name w:val="HTML Variable"/>
    <w:uiPriority w:val="99"/>
    <w:semiHidden/>
    <w:rsid w:val="003B7CFF"/>
    <w:rPr>
      <w:i/>
      <w:iCs/>
    </w:rPr>
  </w:style>
  <w:style w:type="paragraph" w:styleId="Index1">
    <w:name w:val="index 1"/>
    <w:basedOn w:val="Normal"/>
    <w:next w:val="Normal"/>
    <w:uiPriority w:val="99"/>
    <w:semiHidden/>
    <w:rsid w:val="003B7CFF"/>
    <w:pPr>
      <w:ind w:left="240" w:hanging="240"/>
    </w:pPr>
  </w:style>
  <w:style w:type="paragraph" w:styleId="Index2">
    <w:name w:val="index 2"/>
    <w:basedOn w:val="Normal"/>
    <w:next w:val="Normal"/>
    <w:uiPriority w:val="99"/>
    <w:semiHidden/>
    <w:rsid w:val="003B7CFF"/>
    <w:pPr>
      <w:ind w:left="480" w:hanging="240"/>
    </w:pPr>
  </w:style>
  <w:style w:type="paragraph" w:styleId="Index3">
    <w:name w:val="index 3"/>
    <w:basedOn w:val="Normal"/>
    <w:next w:val="Normal"/>
    <w:uiPriority w:val="99"/>
    <w:semiHidden/>
    <w:rsid w:val="003B7CFF"/>
    <w:pPr>
      <w:ind w:left="720" w:hanging="240"/>
    </w:pPr>
  </w:style>
  <w:style w:type="paragraph" w:styleId="Index4">
    <w:name w:val="index 4"/>
    <w:basedOn w:val="Normal"/>
    <w:next w:val="Normal"/>
    <w:uiPriority w:val="99"/>
    <w:semiHidden/>
    <w:rsid w:val="003B7CFF"/>
    <w:pPr>
      <w:ind w:left="960" w:hanging="240"/>
    </w:pPr>
  </w:style>
  <w:style w:type="paragraph" w:styleId="Index5">
    <w:name w:val="index 5"/>
    <w:basedOn w:val="Normal"/>
    <w:next w:val="Normal"/>
    <w:uiPriority w:val="99"/>
    <w:semiHidden/>
    <w:rsid w:val="003B7CFF"/>
    <w:pPr>
      <w:ind w:left="1200" w:hanging="240"/>
    </w:pPr>
  </w:style>
  <w:style w:type="paragraph" w:styleId="Index6">
    <w:name w:val="index 6"/>
    <w:basedOn w:val="Normal"/>
    <w:next w:val="Normal"/>
    <w:uiPriority w:val="99"/>
    <w:semiHidden/>
    <w:rsid w:val="003B7CFF"/>
    <w:pPr>
      <w:ind w:left="1440" w:hanging="240"/>
    </w:pPr>
  </w:style>
  <w:style w:type="paragraph" w:styleId="Index7">
    <w:name w:val="index 7"/>
    <w:basedOn w:val="Normal"/>
    <w:next w:val="Normal"/>
    <w:uiPriority w:val="99"/>
    <w:semiHidden/>
    <w:rsid w:val="003B7CFF"/>
    <w:pPr>
      <w:ind w:left="1680" w:hanging="240"/>
    </w:pPr>
  </w:style>
  <w:style w:type="paragraph" w:styleId="Index8">
    <w:name w:val="index 8"/>
    <w:basedOn w:val="Normal"/>
    <w:next w:val="Normal"/>
    <w:uiPriority w:val="99"/>
    <w:semiHidden/>
    <w:rsid w:val="003B7CFF"/>
    <w:pPr>
      <w:ind w:left="1920" w:hanging="240"/>
    </w:pPr>
  </w:style>
  <w:style w:type="paragraph" w:styleId="Index9">
    <w:name w:val="index 9"/>
    <w:basedOn w:val="Normal"/>
    <w:next w:val="Normal"/>
    <w:uiPriority w:val="99"/>
    <w:semiHidden/>
    <w:rsid w:val="003B7CFF"/>
    <w:pPr>
      <w:ind w:left="2160" w:hanging="240"/>
    </w:pPr>
  </w:style>
  <w:style w:type="paragraph" w:styleId="IndexHeading">
    <w:name w:val="index heading"/>
    <w:basedOn w:val="Normal"/>
    <w:next w:val="Index1"/>
    <w:uiPriority w:val="99"/>
    <w:semiHidden/>
    <w:rsid w:val="003B7CFF"/>
    <w:rPr>
      <w:rFonts w:ascii="Arial" w:hAnsi="Arial" w:cs="Arial"/>
      <w:b/>
      <w:bCs/>
    </w:rPr>
  </w:style>
  <w:style w:type="character" w:customStyle="1" w:styleId="Instructions">
    <w:name w:val="Instructions"/>
    <w:uiPriority w:val="22"/>
    <w:qFormat/>
    <w:rsid w:val="003B7CFF"/>
    <w:rPr>
      <w:i/>
      <w:vanish/>
      <w:color w:val="008080"/>
    </w:rPr>
  </w:style>
  <w:style w:type="character" w:styleId="LineNumber">
    <w:name w:val="line number"/>
    <w:basedOn w:val="DefaultParagraphFont"/>
    <w:uiPriority w:val="99"/>
    <w:semiHidden/>
    <w:rsid w:val="003B7CFF"/>
  </w:style>
  <w:style w:type="paragraph" w:styleId="List">
    <w:name w:val="List"/>
    <w:basedOn w:val="Normal"/>
    <w:uiPriority w:val="99"/>
    <w:semiHidden/>
    <w:rsid w:val="003B7CFF"/>
    <w:pPr>
      <w:ind w:left="360" w:hanging="360"/>
    </w:pPr>
  </w:style>
  <w:style w:type="paragraph" w:styleId="List2">
    <w:name w:val="List 2"/>
    <w:basedOn w:val="Normal"/>
    <w:uiPriority w:val="99"/>
    <w:semiHidden/>
    <w:rsid w:val="003B7CFF"/>
    <w:pPr>
      <w:ind w:left="720" w:hanging="360"/>
    </w:pPr>
  </w:style>
  <w:style w:type="paragraph" w:styleId="List3">
    <w:name w:val="List 3"/>
    <w:basedOn w:val="Normal"/>
    <w:uiPriority w:val="99"/>
    <w:semiHidden/>
    <w:rsid w:val="003B7CFF"/>
    <w:pPr>
      <w:ind w:left="1080" w:hanging="360"/>
    </w:pPr>
  </w:style>
  <w:style w:type="paragraph" w:styleId="List4">
    <w:name w:val="List 4"/>
    <w:basedOn w:val="Normal"/>
    <w:uiPriority w:val="99"/>
    <w:semiHidden/>
    <w:rsid w:val="003B7CFF"/>
    <w:pPr>
      <w:ind w:left="1440" w:hanging="360"/>
    </w:pPr>
  </w:style>
  <w:style w:type="paragraph" w:styleId="List5">
    <w:name w:val="List 5"/>
    <w:basedOn w:val="Normal"/>
    <w:uiPriority w:val="99"/>
    <w:semiHidden/>
    <w:rsid w:val="003B7CFF"/>
    <w:pPr>
      <w:ind w:left="1800" w:hanging="360"/>
    </w:pPr>
  </w:style>
  <w:style w:type="paragraph" w:styleId="ListBullet2">
    <w:name w:val="List Bullet 2"/>
    <w:basedOn w:val="Normal"/>
    <w:uiPriority w:val="9"/>
    <w:qFormat/>
    <w:rsid w:val="003B7CFF"/>
    <w:pPr>
      <w:numPr>
        <w:ilvl w:val="1"/>
        <w:numId w:val="21"/>
      </w:numPr>
      <w:spacing w:before="60" w:after="60"/>
    </w:pPr>
  </w:style>
  <w:style w:type="paragraph" w:styleId="ListBullet3">
    <w:name w:val="List Bullet 3"/>
    <w:basedOn w:val="Normal"/>
    <w:uiPriority w:val="9"/>
    <w:qFormat/>
    <w:rsid w:val="003B7CFF"/>
    <w:pPr>
      <w:numPr>
        <w:ilvl w:val="2"/>
        <w:numId w:val="21"/>
      </w:numPr>
      <w:spacing w:before="60" w:after="60"/>
    </w:pPr>
  </w:style>
  <w:style w:type="paragraph" w:styleId="ListBullet4">
    <w:name w:val="List Bullet 4"/>
    <w:basedOn w:val="Normal"/>
    <w:uiPriority w:val="99"/>
    <w:semiHidden/>
    <w:rsid w:val="003B7CFF"/>
    <w:pPr>
      <w:numPr>
        <w:ilvl w:val="3"/>
        <w:numId w:val="21"/>
      </w:numPr>
      <w:spacing w:before="60" w:after="60"/>
    </w:pPr>
  </w:style>
  <w:style w:type="paragraph" w:styleId="ListBullet5">
    <w:name w:val="List Bullet 5"/>
    <w:basedOn w:val="Normal"/>
    <w:uiPriority w:val="99"/>
    <w:semiHidden/>
    <w:rsid w:val="003B7CFF"/>
    <w:pPr>
      <w:tabs>
        <w:tab w:val="num" w:pos="1800"/>
      </w:tabs>
      <w:spacing w:after="60"/>
      <w:ind w:left="1797" w:hanging="357"/>
    </w:pPr>
  </w:style>
  <w:style w:type="paragraph" w:customStyle="1" w:styleId="ListBulletSmall">
    <w:name w:val="List Bullet Small"/>
    <w:basedOn w:val="ListBullet"/>
    <w:uiPriority w:val="9"/>
    <w:qFormat/>
    <w:rsid w:val="003B7CFF"/>
    <w:pPr>
      <w:numPr>
        <w:numId w:val="22"/>
      </w:numPr>
      <w:spacing w:before="40" w:after="40"/>
    </w:pPr>
    <w:rPr>
      <w:sz w:val="20"/>
      <w:szCs w:val="48"/>
    </w:rPr>
  </w:style>
  <w:style w:type="paragraph" w:customStyle="1" w:styleId="ListBulletSmall2">
    <w:name w:val="List Bullet Small 2"/>
    <w:basedOn w:val="ListBullet2"/>
    <w:uiPriority w:val="9"/>
    <w:qFormat/>
    <w:rsid w:val="003B7CFF"/>
    <w:pPr>
      <w:numPr>
        <w:numId w:val="22"/>
      </w:numPr>
      <w:spacing w:before="40" w:after="40"/>
    </w:pPr>
    <w:rPr>
      <w:sz w:val="20"/>
      <w:szCs w:val="48"/>
    </w:rPr>
  </w:style>
  <w:style w:type="paragraph" w:styleId="ListContinue">
    <w:name w:val="List Continue"/>
    <w:basedOn w:val="Normal"/>
    <w:uiPriority w:val="99"/>
    <w:semiHidden/>
    <w:rsid w:val="003B7CFF"/>
    <w:pPr>
      <w:spacing w:after="120"/>
      <w:ind w:left="360"/>
    </w:pPr>
  </w:style>
  <w:style w:type="paragraph" w:styleId="ListContinue2">
    <w:name w:val="List Continue 2"/>
    <w:basedOn w:val="Normal"/>
    <w:uiPriority w:val="99"/>
    <w:semiHidden/>
    <w:rsid w:val="003B7CFF"/>
    <w:pPr>
      <w:spacing w:after="120"/>
      <w:ind w:left="720"/>
    </w:pPr>
  </w:style>
  <w:style w:type="paragraph" w:styleId="ListContinue3">
    <w:name w:val="List Continue 3"/>
    <w:basedOn w:val="Normal"/>
    <w:uiPriority w:val="99"/>
    <w:semiHidden/>
    <w:rsid w:val="003B7CFF"/>
    <w:pPr>
      <w:spacing w:after="120"/>
      <w:ind w:left="1080"/>
    </w:pPr>
  </w:style>
  <w:style w:type="paragraph" w:styleId="ListContinue4">
    <w:name w:val="List Continue 4"/>
    <w:basedOn w:val="Normal"/>
    <w:uiPriority w:val="99"/>
    <w:semiHidden/>
    <w:rsid w:val="003B7CFF"/>
    <w:pPr>
      <w:spacing w:after="120"/>
      <w:ind w:left="1440"/>
    </w:pPr>
  </w:style>
  <w:style w:type="paragraph" w:styleId="ListContinue5">
    <w:name w:val="List Continue 5"/>
    <w:basedOn w:val="Normal"/>
    <w:uiPriority w:val="99"/>
    <w:semiHidden/>
    <w:rsid w:val="003B7CFF"/>
    <w:pPr>
      <w:spacing w:after="120"/>
      <w:ind w:left="1800"/>
    </w:pPr>
  </w:style>
  <w:style w:type="paragraph" w:customStyle="1" w:styleId="ListEnd">
    <w:name w:val="List End"/>
    <w:next w:val="Paragraph"/>
    <w:uiPriority w:val="10"/>
    <w:qFormat/>
    <w:rsid w:val="003B7CFF"/>
    <w:pPr>
      <w:spacing w:after="0" w:line="240" w:lineRule="auto"/>
    </w:pPr>
    <w:rPr>
      <w:rFonts w:ascii="Times New Roman" w:eastAsia="Times New Roman" w:hAnsi="Times New Roman" w:cs="Times New Roman"/>
      <w:sz w:val="24"/>
      <w:szCs w:val="20"/>
      <w:lang w:val="en-GB"/>
    </w:rPr>
  </w:style>
  <w:style w:type="paragraph" w:customStyle="1" w:styleId="ListHyphen">
    <w:name w:val="List Hyphen"/>
    <w:uiPriority w:val="99"/>
    <w:semiHidden/>
    <w:rsid w:val="003B7CFF"/>
    <w:pPr>
      <w:numPr>
        <w:numId w:val="14"/>
      </w:numPr>
      <w:spacing w:after="0" w:line="240" w:lineRule="auto"/>
    </w:pPr>
    <w:rPr>
      <w:rFonts w:ascii="Times New Roman" w:eastAsia="Times New Roman" w:hAnsi="Times New Roman" w:cs="Times New Roman"/>
      <w:sz w:val="24"/>
      <w:szCs w:val="20"/>
      <w:lang w:val="en-US"/>
    </w:rPr>
  </w:style>
  <w:style w:type="paragraph" w:styleId="ListNumber">
    <w:name w:val="List Number"/>
    <w:basedOn w:val="Normal"/>
    <w:uiPriority w:val="9"/>
    <w:qFormat/>
    <w:rsid w:val="003B7CFF"/>
    <w:pPr>
      <w:numPr>
        <w:numId w:val="26"/>
      </w:numPr>
      <w:spacing w:before="60" w:after="60"/>
    </w:pPr>
  </w:style>
  <w:style w:type="paragraph" w:styleId="ListNumber2">
    <w:name w:val="List Number 2"/>
    <w:basedOn w:val="ListNumber"/>
    <w:uiPriority w:val="9"/>
    <w:qFormat/>
    <w:rsid w:val="003B7CFF"/>
    <w:pPr>
      <w:numPr>
        <w:ilvl w:val="1"/>
      </w:numPr>
    </w:pPr>
  </w:style>
  <w:style w:type="paragraph" w:styleId="ListNumber3">
    <w:name w:val="List Number 3"/>
    <w:basedOn w:val="ListNumber"/>
    <w:uiPriority w:val="9"/>
    <w:qFormat/>
    <w:rsid w:val="003B7CFF"/>
    <w:pPr>
      <w:numPr>
        <w:ilvl w:val="2"/>
      </w:numPr>
    </w:pPr>
  </w:style>
  <w:style w:type="paragraph" w:styleId="ListNumber4">
    <w:name w:val="List Number 4"/>
    <w:basedOn w:val="Normal"/>
    <w:uiPriority w:val="99"/>
    <w:semiHidden/>
    <w:rsid w:val="003B7CFF"/>
    <w:pPr>
      <w:tabs>
        <w:tab w:val="num" w:pos="1440"/>
      </w:tabs>
      <w:spacing w:after="60"/>
      <w:ind w:left="1434" w:hanging="357"/>
    </w:pPr>
  </w:style>
  <w:style w:type="paragraph" w:styleId="ListNumber5">
    <w:name w:val="List Number 5"/>
    <w:basedOn w:val="Normal"/>
    <w:uiPriority w:val="99"/>
    <w:semiHidden/>
    <w:rsid w:val="003B7CFF"/>
    <w:pPr>
      <w:tabs>
        <w:tab w:val="num" w:pos="1800"/>
      </w:tabs>
      <w:spacing w:after="60"/>
      <w:ind w:left="1797" w:hanging="357"/>
    </w:pPr>
  </w:style>
  <w:style w:type="paragraph" w:styleId="MacroText">
    <w:name w:val="macro"/>
    <w:link w:val="MacroTextChar"/>
    <w:uiPriority w:val="99"/>
    <w:semiHidden/>
    <w:rsid w:val="003B7CF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val="en-US"/>
    </w:rPr>
  </w:style>
  <w:style w:type="character" w:customStyle="1" w:styleId="MacroTextChar">
    <w:name w:val="Macro Text Char"/>
    <w:basedOn w:val="DefaultParagraphFont"/>
    <w:link w:val="MacroText"/>
    <w:uiPriority w:val="99"/>
    <w:semiHidden/>
    <w:rsid w:val="003B7CFF"/>
    <w:rPr>
      <w:rFonts w:ascii="Courier New" w:eastAsia="Times New Roman" w:hAnsi="Courier New" w:cs="Courier New"/>
      <w:sz w:val="20"/>
      <w:szCs w:val="20"/>
      <w:lang w:val="en-US"/>
    </w:rPr>
  </w:style>
  <w:style w:type="paragraph" w:styleId="MessageHeader">
    <w:name w:val="Message Header"/>
    <w:basedOn w:val="Normal"/>
    <w:link w:val="MessageHeaderChar"/>
    <w:uiPriority w:val="99"/>
    <w:semiHidden/>
    <w:rsid w:val="003B7CF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rsid w:val="003B7CFF"/>
    <w:rPr>
      <w:rFonts w:ascii="Arial" w:eastAsia="Times New Roman" w:hAnsi="Arial" w:cs="Arial"/>
      <w:sz w:val="24"/>
      <w:szCs w:val="24"/>
      <w:shd w:val="pct20" w:color="auto" w:fill="auto"/>
      <w:lang w:val="en-GB"/>
    </w:rPr>
  </w:style>
  <w:style w:type="paragraph" w:styleId="NormalWeb">
    <w:name w:val="Normal (Web)"/>
    <w:basedOn w:val="Normal"/>
    <w:uiPriority w:val="99"/>
    <w:rsid w:val="003B7CFF"/>
  </w:style>
  <w:style w:type="paragraph" w:styleId="NormalIndent">
    <w:name w:val="Normal Indent"/>
    <w:basedOn w:val="Normal"/>
    <w:uiPriority w:val="99"/>
    <w:semiHidden/>
    <w:rsid w:val="003B7CFF"/>
    <w:pPr>
      <w:ind w:left="720"/>
    </w:pPr>
  </w:style>
  <w:style w:type="paragraph" w:styleId="NoteHeading">
    <w:name w:val="Note Heading"/>
    <w:basedOn w:val="Normal"/>
    <w:next w:val="Normal"/>
    <w:link w:val="NoteHeadingChar"/>
    <w:uiPriority w:val="99"/>
    <w:semiHidden/>
    <w:rsid w:val="003B7CFF"/>
  </w:style>
  <w:style w:type="character" w:customStyle="1" w:styleId="NoteHeadingChar">
    <w:name w:val="Note Heading Char"/>
    <w:basedOn w:val="DefaultParagraphFont"/>
    <w:link w:val="NoteHeading"/>
    <w:uiPriority w:val="99"/>
    <w:semiHidden/>
    <w:rsid w:val="003B7CFF"/>
    <w:rPr>
      <w:rFonts w:ascii="Times New Roman" w:eastAsia="Times New Roman" w:hAnsi="Times New Roman" w:cs="Times New Roman"/>
      <w:sz w:val="24"/>
      <w:szCs w:val="24"/>
      <w:lang w:val="en-GB"/>
    </w:rPr>
  </w:style>
  <w:style w:type="character" w:styleId="PageNumber">
    <w:name w:val="page number"/>
    <w:basedOn w:val="DefaultParagraphFont"/>
    <w:uiPriority w:val="99"/>
    <w:semiHidden/>
    <w:rsid w:val="003B7CFF"/>
  </w:style>
  <w:style w:type="character" w:styleId="PlaceholderText">
    <w:name w:val="Placeholder Text"/>
    <w:basedOn w:val="DefaultParagraphFont"/>
    <w:uiPriority w:val="99"/>
    <w:semiHidden/>
    <w:rsid w:val="003B7CFF"/>
    <w:rPr>
      <w:color w:val="808080"/>
    </w:rPr>
  </w:style>
  <w:style w:type="paragraph" w:styleId="PlainText">
    <w:name w:val="Plain Text"/>
    <w:basedOn w:val="Normal"/>
    <w:link w:val="PlainTextChar"/>
    <w:uiPriority w:val="49"/>
    <w:semiHidden/>
    <w:rsid w:val="003B7CFF"/>
    <w:rPr>
      <w:rFonts w:ascii="Courier New" w:hAnsi="Courier New" w:cs="Courier New"/>
      <w:sz w:val="20"/>
      <w:szCs w:val="20"/>
    </w:rPr>
  </w:style>
  <w:style w:type="character" w:customStyle="1" w:styleId="PlainTextChar">
    <w:name w:val="Plain Text Char"/>
    <w:basedOn w:val="DefaultParagraphFont"/>
    <w:link w:val="PlainText"/>
    <w:uiPriority w:val="49"/>
    <w:semiHidden/>
    <w:rsid w:val="003B7CFF"/>
    <w:rPr>
      <w:rFonts w:ascii="Courier New" w:eastAsia="Times New Roman" w:hAnsi="Courier New" w:cs="Courier New"/>
      <w:sz w:val="20"/>
      <w:szCs w:val="20"/>
      <w:lang w:val="en-GB"/>
    </w:rPr>
  </w:style>
  <w:style w:type="paragraph" w:customStyle="1" w:styleId="References">
    <w:name w:val="References"/>
    <w:uiPriority w:val="24"/>
    <w:rsid w:val="003B7CFF"/>
    <w:pPr>
      <w:numPr>
        <w:numId w:val="19"/>
      </w:numPr>
      <w:tabs>
        <w:tab w:val="clear" w:pos="360"/>
        <w:tab w:val="left" w:pos="425"/>
      </w:tabs>
      <w:spacing w:after="240" w:line="240" w:lineRule="auto"/>
      <w:ind w:left="425" w:hanging="425"/>
    </w:pPr>
    <w:rPr>
      <w:rFonts w:ascii="Times New Roman" w:eastAsia="Times New Roman" w:hAnsi="Times New Roman" w:cs="Arial"/>
      <w:bCs/>
      <w:kern w:val="32"/>
      <w:sz w:val="24"/>
      <w:szCs w:val="24"/>
      <w:lang w:val="en-GB"/>
    </w:rPr>
  </w:style>
  <w:style w:type="paragraph" w:styleId="Salutation">
    <w:name w:val="Salutation"/>
    <w:basedOn w:val="Normal"/>
    <w:next w:val="Normal"/>
    <w:link w:val="SalutationChar"/>
    <w:uiPriority w:val="49"/>
    <w:semiHidden/>
    <w:rsid w:val="003B7CFF"/>
  </w:style>
  <w:style w:type="character" w:customStyle="1" w:styleId="SalutationChar">
    <w:name w:val="Salutation Char"/>
    <w:basedOn w:val="DefaultParagraphFont"/>
    <w:link w:val="Salutation"/>
    <w:uiPriority w:val="49"/>
    <w:semiHidden/>
    <w:rsid w:val="003B7CFF"/>
    <w:rPr>
      <w:rFonts w:ascii="Times New Roman" w:eastAsia="Times New Roman" w:hAnsi="Times New Roman" w:cs="Times New Roman"/>
      <w:sz w:val="24"/>
      <w:szCs w:val="24"/>
      <w:lang w:val="en-GB"/>
    </w:rPr>
  </w:style>
  <w:style w:type="paragraph" w:customStyle="1" w:styleId="Sequence">
    <w:name w:val="Sequence"/>
    <w:basedOn w:val="Normal"/>
    <w:next w:val="Paragraph"/>
    <w:uiPriority w:val="24"/>
    <w:rsid w:val="003B7CFF"/>
    <w:pPr>
      <w:keepNext/>
      <w:spacing w:after="0" w:line="240" w:lineRule="auto"/>
    </w:pPr>
    <w:rPr>
      <w:rFonts w:ascii="Courier New" w:hAnsi="Courier New"/>
      <w:sz w:val="20"/>
    </w:rPr>
  </w:style>
  <w:style w:type="paragraph" w:styleId="Signature">
    <w:name w:val="Signature"/>
    <w:basedOn w:val="Normal"/>
    <w:link w:val="SignatureChar"/>
    <w:uiPriority w:val="49"/>
    <w:semiHidden/>
    <w:rsid w:val="003B7CFF"/>
    <w:pPr>
      <w:ind w:left="4320"/>
    </w:pPr>
  </w:style>
  <w:style w:type="character" w:customStyle="1" w:styleId="SignatureChar">
    <w:name w:val="Signature Char"/>
    <w:basedOn w:val="DefaultParagraphFont"/>
    <w:link w:val="Signature"/>
    <w:uiPriority w:val="49"/>
    <w:semiHidden/>
    <w:rsid w:val="003B7CFF"/>
    <w:rPr>
      <w:rFonts w:ascii="Times New Roman" w:eastAsia="Times New Roman" w:hAnsi="Times New Roman" w:cs="Times New Roman"/>
      <w:sz w:val="24"/>
      <w:szCs w:val="24"/>
      <w:lang w:val="en-GB"/>
    </w:rPr>
  </w:style>
  <w:style w:type="character" w:styleId="Strong">
    <w:name w:val="Strong"/>
    <w:uiPriority w:val="49"/>
    <w:qFormat/>
    <w:rsid w:val="003B7CFF"/>
    <w:rPr>
      <w:b/>
      <w:bCs/>
    </w:rPr>
  </w:style>
  <w:style w:type="paragraph" w:styleId="Subtitle">
    <w:name w:val="Subtitle"/>
    <w:basedOn w:val="Normal"/>
    <w:next w:val="Normal"/>
    <w:link w:val="SubtitleChar"/>
    <w:uiPriority w:val="99"/>
    <w:rsid w:val="003B7CF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B7CFF"/>
    <w:rPr>
      <w:rFonts w:eastAsiaTheme="minorEastAsia"/>
      <w:color w:val="5A5A5A" w:themeColor="text1" w:themeTint="A5"/>
      <w:spacing w:val="15"/>
      <w:lang w:val="en-GB"/>
    </w:rPr>
  </w:style>
  <w:style w:type="table" w:styleId="TableGridLight">
    <w:name w:val="Grid Table Light"/>
    <w:basedOn w:val="TableNormal"/>
    <w:uiPriority w:val="40"/>
    <w:rsid w:val="00EE3A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AHeading">
    <w:name w:val="toa heading"/>
    <w:basedOn w:val="Normal"/>
    <w:next w:val="Normal"/>
    <w:uiPriority w:val="99"/>
    <w:semiHidden/>
    <w:unhideWhenUsed/>
    <w:rsid w:val="00EE3AC8"/>
    <w:pPr>
      <w:spacing w:before="120"/>
    </w:pPr>
    <w:rPr>
      <w:rFonts w:asciiTheme="majorHAnsi" w:eastAsiaTheme="majorEastAsia" w:hAnsiTheme="majorHAnsi" w:cstheme="majorBidi"/>
      <w:b/>
      <w:bCs/>
    </w:rPr>
  </w:style>
  <w:style w:type="character" w:styleId="UnresolvedMention">
    <w:name w:val="Unresolved Mention"/>
    <w:basedOn w:val="DefaultParagraphFont"/>
    <w:uiPriority w:val="99"/>
    <w:unhideWhenUsed/>
    <w:rsid w:val="00EE3AC8"/>
    <w:rPr>
      <w:color w:val="808080"/>
      <w:shd w:val="clear" w:color="auto" w:fill="E6E6E6"/>
    </w:rPr>
  </w:style>
  <w:style w:type="paragraph" w:customStyle="1" w:styleId="TableCenter">
    <w:name w:val="Table Center"/>
    <w:basedOn w:val="Normal"/>
    <w:uiPriority w:val="12"/>
    <w:qFormat/>
    <w:rsid w:val="00AE311B"/>
    <w:pPr>
      <w:spacing w:before="40" w:after="40" w:line="240" w:lineRule="auto"/>
      <w:jc w:val="center"/>
    </w:pPr>
  </w:style>
  <w:style w:type="paragraph" w:customStyle="1" w:styleId="TableEndofTextTitle">
    <w:name w:val="Table End of Text Title"/>
    <w:next w:val="Paragraph"/>
    <w:uiPriority w:val="11"/>
    <w:qFormat/>
    <w:rsid w:val="003B7CFF"/>
    <w:pPr>
      <w:spacing w:after="120" w:line="240" w:lineRule="auto"/>
    </w:pPr>
    <w:rPr>
      <w:rFonts w:ascii="Times New Roman" w:eastAsia="Times New Roman" w:hAnsi="Times New Roman" w:cs="Times New Roman"/>
      <w:b/>
      <w:sz w:val="24"/>
      <w:szCs w:val="24"/>
      <w:lang w:val="en-GB"/>
    </w:rPr>
  </w:style>
  <w:style w:type="paragraph" w:customStyle="1" w:styleId="TableFixedWidth">
    <w:name w:val="Table Fixed Width"/>
    <w:uiPriority w:val="15"/>
    <w:qFormat/>
    <w:rsid w:val="003B7CFF"/>
    <w:pPr>
      <w:spacing w:after="0" w:line="240" w:lineRule="auto"/>
    </w:pPr>
    <w:rPr>
      <w:rFonts w:ascii="Courier New" w:eastAsia="Times New Roman" w:hAnsi="Courier New" w:cs="Times New Roman"/>
      <w:sz w:val="20"/>
      <w:szCs w:val="20"/>
      <w:lang w:val="en-GB"/>
    </w:rPr>
  </w:style>
  <w:style w:type="paragraph" w:styleId="NoSpacing">
    <w:name w:val="No Spacing"/>
    <w:uiPriority w:val="1"/>
    <w:qFormat/>
    <w:rsid w:val="003B7CFF"/>
    <w:pPr>
      <w:spacing w:after="0" w:line="240" w:lineRule="auto"/>
    </w:pPr>
    <w:rPr>
      <w:rFonts w:ascii="Times New Roman" w:eastAsia="Times New Roman" w:hAnsi="Times New Roman" w:cs="Times New Roman"/>
      <w:sz w:val="24"/>
      <w:szCs w:val="24"/>
      <w:lang w:val="en-GB"/>
    </w:rPr>
  </w:style>
  <w:style w:type="paragraph" w:customStyle="1" w:styleId="TableFootnoteInfo">
    <w:name w:val="Table Footnote Info"/>
    <w:basedOn w:val="Normal"/>
    <w:uiPriority w:val="14"/>
    <w:qFormat/>
    <w:rsid w:val="00AE311B"/>
    <w:pPr>
      <w:keepLines/>
      <w:spacing w:before="40" w:after="40" w:line="240" w:lineRule="auto"/>
    </w:pPr>
    <w:rPr>
      <w:sz w:val="20"/>
      <w:szCs w:val="48"/>
    </w:rPr>
  </w:style>
  <w:style w:type="paragraph" w:customStyle="1" w:styleId="TableFootnoteLetter">
    <w:name w:val="Table Footnote Letter"/>
    <w:basedOn w:val="Normal"/>
    <w:uiPriority w:val="13"/>
    <w:rsid w:val="00DF3302"/>
    <w:pPr>
      <w:keepLines/>
      <w:numPr>
        <w:numId w:val="28"/>
      </w:numPr>
      <w:spacing w:before="40" w:after="40" w:line="240" w:lineRule="auto"/>
    </w:pPr>
    <w:rPr>
      <w:sz w:val="18"/>
      <w:szCs w:val="20"/>
    </w:rPr>
  </w:style>
  <w:style w:type="paragraph" w:styleId="IntenseQuote">
    <w:name w:val="Intense Quote"/>
    <w:basedOn w:val="Normal"/>
    <w:next w:val="Normal"/>
    <w:link w:val="IntenseQuoteChar"/>
    <w:uiPriority w:val="30"/>
    <w:qFormat/>
    <w:rsid w:val="003B7CF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B7CFF"/>
    <w:rPr>
      <w:rFonts w:ascii="Times New Roman" w:eastAsia="Times New Roman" w:hAnsi="Times New Roman" w:cs="Times New Roman"/>
      <w:i/>
      <w:iCs/>
      <w:color w:val="4F81BD" w:themeColor="accent1"/>
      <w:sz w:val="24"/>
      <w:szCs w:val="24"/>
      <w:lang w:val="en-GB"/>
    </w:rPr>
  </w:style>
  <w:style w:type="table" w:styleId="LightList">
    <w:name w:val="Light List"/>
    <w:basedOn w:val="TableNormal"/>
    <w:uiPriority w:val="61"/>
    <w:rsid w:val="003B7CFF"/>
    <w:pPr>
      <w:spacing w:after="0" w:line="240" w:lineRule="auto"/>
    </w:pPr>
    <w:rPr>
      <w:rFonts w:eastAsiaTheme="minorEastAsia"/>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ableHead">
    <w:name w:val="Table Head"/>
    <w:basedOn w:val="TableText"/>
    <w:uiPriority w:val="11"/>
    <w:qFormat/>
    <w:rsid w:val="00AE311B"/>
    <w:rPr>
      <w:b/>
      <w:sz w:val="24"/>
      <w:szCs w:val="48"/>
    </w:rPr>
  </w:style>
  <w:style w:type="paragraph" w:customStyle="1" w:styleId="TableLeft">
    <w:name w:val="Table Left"/>
    <w:link w:val="TableLeftChar"/>
    <w:uiPriority w:val="99"/>
    <w:qFormat/>
    <w:rsid w:val="00AE311B"/>
    <w:pPr>
      <w:spacing w:before="40" w:after="40" w:line="240" w:lineRule="auto"/>
    </w:pPr>
    <w:rPr>
      <w:rFonts w:ascii="Times New Roman" w:eastAsia="Times New Roman" w:hAnsi="Times New Roman" w:cs="Arial"/>
      <w:bCs/>
      <w:kern w:val="32"/>
      <w:sz w:val="24"/>
      <w:szCs w:val="24"/>
      <w:lang w:val="en-GB"/>
    </w:rPr>
  </w:style>
  <w:style w:type="paragraph" w:styleId="TableofFigures">
    <w:name w:val="table of figures"/>
    <w:basedOn w:val="Normal"/>
    <w:next w:val="Paragraph"/>
    <w:uiPriority w:val="40"/>
    <w:rsid w:val="003B7CFF"/>
    <w:pPr>
      <w:tabs>
        <w:tab w:val="left" w:pos="1701"/>
        <w:tab w:val="right" w:leader="dot" w:pos="9000"/>
      </w:tabs>
      <w:spacing w:before="60" w:after="0"/>
      <w:ind w:left="1701" w:right="357" w:hanging="1701"/>
    </w:pPr>
  </w:style>
  <w:style w:type="table" w:styleId="TableGrid">
    <w:name w:val="Table Grid"/>
    <w:basedOn w:val="TableNormal"/>
    <w:uiPriority w:val="59"/>
    <w:rsid w:val="003B7CFF"/>
    <w:pPr>
      <w:spacing w:after="0" w:line="240" w:lineRule="auto"/>
    </w:pPr>
    <w:rPr>
      <w:rFonts w:eastAsiaTheme="minorEastAsia"/>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Continued">
    <w:name w:val="Table Title Continued"/>
    <w:basedOn w:val="Normal"/>
    <w:uiPriority w:val="10"/>
    <w:qFormat/>
    <w:rsid w:val="003B7CFF"/>
    <w:pPr>
      <w:spacing w:after="120"/>
    </w:pPr>
    <w:rPr>
      <w:b/>
    </w:rPr>
  </w:style>
  <w:style w:type="paragraph" w:styleId="Title">
    <w:name w:val="Title"/>
    <w:link w:val="TitleChar"/>
    <w:uiPriority w:val="25"/>
    <w:rsid w:val="003B7CFF"/>
    <w:pPr>
      <w:spacing w:before="240" w:after="240" w:line="240" w:lineRule="auto"/>
      <w:jc w:val="center"/>
    </w:pPr>
    <w:rPr>
      <w:rFonts w:ascii="Times New Roman" w:eastAsia="Times New Roman" w:hAnsi="Times New Roman" w:cs="Arial"/>
      <w:b/>
      <w:bCs/>
      <w:kern w:val="28"/>
      <w:sz w:val="32"/>
      <w:szCs w:val="32"/>
      <w:lang w:val="en-GB"/>
    </w:rPr>
  </w:style>
  <w:style w:type="character" w:customStyle="1" w:styleId="TitleChar">
    <w:name w:val="Title Char"/>
    <w:basedOn w:val="DefaultParagraphFont"/>
    <w:link w:val="Title"/>
    <w:uiPriority w:val="25"/>
    <w:rsid w:val="003B7CFF"/>
    <w:rPr>
      <w:rFonts w:ascii="Times New Roman" w:eastAsia="Times New Roman" w:hAnsi="Times New Roman" w:cs="Arial"/>
      <w:b/>
      <w:bCs/>
      <w:kern w:val="28"/>
      <w:sz w:val="32"/>
      <w:szCs w:val="32"/>
      <w:lang w:val="en-GB"/>
    </w:rPr>
  </w:style>
  <w:style w:type="paragraph" w:styleId="TOC1">
    <w:name w:val="toc 1"/>
    <w:next w:val="Paragraph"/>
    <w:uiPriority w:val="39"/>
    <w:rsid w:val="003B7CFF"/>
    <w:pPr>
      <w:tabs>
        <w:tab w:val="left" w:pos="1134"/>
        <w:tab w:val="right" w:leader="dot" w:pos="9000"/>
      </w:tabs>
      <w:spacing w:before="120" w:after="0" w:line="240" w:lineRule="auto"/>
      <w:ind w:left="1134" w:right="357" w:hanging="1134"/>
    </w:pPr>
    <w:rPr>
      <w:rFonts w:ascii="Times New Roman" w:eastAsia="Times New Roman" w:hAnsi="Times New Roman" w:cs="Times New Roman"/>
      <w:caps/>
      <w:sz w:val="24"/>
      <w:szCs w:val="20"/>
      <w:lang w:val="en-GB"/>
    </w:rPr>
  </w:style>
  <w:style w:type="paragraph" w:styleId="TOC2">
    <w:name w:val="toc 2"/>
    <w:basedOn w:val="TOC1"/>
    <w:next w:val="Paragraph"/>
    <w:uiPriority w:val="39"/>
    <w:rsid w:val="003B7CFF"/>
    <w:pPr>
      <w:spacing w:before="60"/>
    </w:pPr>
    <w:rPr>
      <w:caps w:val="0"/>
      <w:szCs w:val="24"/>
    </w:rPr>
  </w:style>
  <w:style w:type="paragraph" w:styleId="TOC3">
    <w:name w:val="toc 3"/>
    <w:basedOn w:val="TOC1"/>
    <w:next w:val="Paragraph"/>
    <w:uiPriority w:val="39"/>
    <w:rsid w:val="003B7CFF"/>
    <w:pPr>
      <w:spacing w:before="0"/>
    </w:pPr>
    <w:rPr>
      <w:caps w:val="0"/>
      <w:szCs w:val="24"/>
    </w:rPr>
  </w:style>
  <w:style w:type="paragraph" w:styleId="TOC4">
    <w:name w:val="toc 4"/>
    <w:basedOn w:val="Normal"/>
    <w:next w:val="Paragraph"/>
    <w:uiPriority w:val="39"/>
    <w:rsid w:val="003B7CFF"/>
    <w:pPr>
      <w:tabs>
        <w:tab w:val="left" w:pos="1134"/>
        <w:tab w:val="right" w:leader="dot" w:pos="9000"/>
      </w:tabs>
      <w:spacing w:after="0" w:line="240" w:lineRule="auto"/>
      <w:ind w:left="1134" w:right="357" w:hanging="1134"/>
    </w:pPr>
  </w:style>
  <w:style w:type="paragraph" w:styleId="TOC5">
    <w:name w:val="toc 5"/>
    <w:basedOn w:val="TOC1"/>
    <w:next w:val="Normal"/>
    <w:uiPriority w:val="39"/>
    <w:rsid w:val="003B7CFF"/>
    <w:pPr>
      <w:tabs>
        <w:tab w:val="clear" w:pos="1134"/>
      </w:tabs>
      <w:ind w:left="0" w:firstLine="0"/>
    </w:pPr>
    <w:rPr>
      <w:noProof/>
    </w:rPr>
  </w:style>
  <w:style w:type="paragraph" w:styleId="TOC6">
    <w:name w:val="toc 6"/>
    <w:basedOn w:val="TOC2"/>
    <w:next w:val="Normal"/>
    <w:uiPriority w:val="39"/>
    <w:rsid w:val="003B7CFF"/>
    <w:pPr>
      <w:tabs>
        <w:tab w:val="clear" w:pos="1134"/>
      </w:tabs>
      <w:ind w:left="0" w:firstLine="0"/>
    </w:pPr>
    <w:rPr>
      <w:noProof/>
    </w:rPr>
  </w:style>
  <w:style w:type="paragraph" w:styleId="TOC7">
    <w:name w:val="toc 7"/>
    <w:basedOn w:val="Normal"/>
    <w:next w:val="Normal"/>
    <w:uiPriority w:val="39"/>
    <w:rsid w:val="003B7CFF"/>
    <w:pPr>
      <w:tabs>
        <w:tab w:val="right" w:leader="dot" w:pos="9000"/>
      </w:tabs>
      <w:spacing w:after="0" w:line="240" w:lineRule="auto"/>
      <w:ind w:right="357"/>
    </w:pPr>
    <w:rPr>
      <w:noProof/>
    </w:rPr>
  </w:style>
  <w:style w:type="paragraph" w:styleId="TOC8">
    <w:name w:val="toc 8"/>
    <w:basedOn w:val="TOC7"/>
    <w:next w:val="Normal"/>
    <w:uiPriority w:val="39"/>
    <w:rsid w:val="003B7CFF"/>
    <w:rPr>
      <w:i/>
    </w:rPr>
  </w:style>
  <w:style w:type="paragraph" w:styleId="TOC9">
    <w:name w:val="toc 9"/>
    <w:basedOn w:val="Normal"/>
    <w:next w:val="Normal"/>
    <w:uiPriority w:val="39"/>
    <w:rsid w:val="003B7CFF"/>
    <w:pPr>
      <w:tabs>
        <w:tab w:val="left" w:pos="1134"/>
        <w:tab w:val="right" w:leader="dot" w:pos="9000"/>
      </w:tabs>
      <w:ind w:left="1134" w:right="360" w:hanging="1134"/>
    </w:pPr>
  </w:style>
  <w:style w:type="paragraph" w:styleId="TOCHeading">
    <w:name w:val="TOC Heading"/>
    <w:basedOn w:val="TOCTitle"/>
    <w:next w:val="Normal"/>
    <w:uiPriority w:val="39"/>
    <w:rsid w:val="003B7CFF"/>
    <w:pPr>
      <w:spacing w:after="0"/>
    </w:pPr>
    <w:rPr>
      <w:rFonts w:asciiTheme="majorHAnsi" w:eastAsiaTheme="majorEastAsia" w:hAnsiTheme="majorHAnsi" w:cstheme="majorBidi"/>
      <w:bCs w:val="0"/>
      <w:caps w:val="0"/>
      <w:kern w:val="0"/>
      <w:szCs w:val="32"/>
    </w:rPr>
  </w:style>
  <w:style w:type="paragraph" w:customStyle="1" w:styleId="TOCSection">
    <w:name w:val="TOC Section"/>
    <w:basedOn w:val="Heading1"/>
    <w:uiPriority w:val="25"/>
    <w:rsid w:val="003B7CFF"/>
    <w:pPr>
      <w:numPr>
        <w:numId w:val="0"/>
      </w:numPr>
      <w:tabs>
        <w:tab w:val="left" w:pos="0"/>
        <w:tab w:val="left" w:pos="480"/>
      </w:tabs>
      <w:spacing w:after="120"/>
      <w:outlineLvl w:val="9"/>
    </w:pPr>
  </w:style>
  <w:style w:type="paragraph" w:customStyle="1" w:styleId="TOCTitle">
    <w:name w:val="TOC Title"/>
    <w:basedOn w:val="Title"/>
    <w:next w:val="TOC1"/>
    <w:uiPriority w:val="25"/>
    <w:rsid w:val="003B7CFF"/>
    <w:pPr>
      <w:pageBreakBefore/>
      <w:jc w:val="left"/>
    </w:pPr>
    <w:rPr>
      <w:caps/>
      <w:sz w:val="28"/>
      <w:szCs w:val="28"/>
    </w:rPr>
  </w:style>
  <w:style w:type="character" w:customStyle="1" w:styleId="UserTips">
    <w:name w:val="User Tips"/>
    <w:uiPriority w:val="22"/>
    <w:rsid w:val="003B7CFF"/>
    <w:rPr>
      <w:i/>
      <w:vanish/>
      <w:color w:val="FF0000"/>
    </w:rPr>
  </w:style>
  <w:style w:type="paragraph" w:customStyle="1" w:styleId="AppendixAlphaSub1">
    <w:name w:val="Appendix Alpha Sub 1"/>
    <w:basedOn w:val="AppendixAlpha"/>
    <w:next w:val="Paragraph"/>
    <w:uiPriority w:val="21"/>
    <w:qFormat/>
    <w:rsid w:val="003B7CFF"/>
    <w:pPr>
      <w:pageBreakBefore w:val="0"/>
      <w:numPr>
        <w:ilvl w:val="1"/>
      </w:numPr>
      <w:spacing w:before="120"/>
    </w:pPr>
  </w:style>
  <w:style w:type="paragraph" w:styleId="Quote">
    <w:name w:val="Quote"/>
    <w:basedOn w:val="Normal"/>
    <w:next w:val="Normal"/>
    <w:link w:val="QuoteChar"/>
    <w:uiPriority w:val="29"/>
    <w:qFormat/>
    <w:rsid w:val="003B7CF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B7CFF"/>
    <w:rPr>
      <w:rFonts w:ascii="Times New Roman" w:eastAsia="Times New Roman" w:hAnsi="Times New Roman" w:cs="Times New Roman"/>
      <w:i/>
      <w:iCs/>
      <w:color w:val="404040" w:themeColor="text1" w:themeTint="BF"/>
      <w:sz w:val="24"/>
      <w:szCs w:val="24"/>
      <w:lang w:val="en-GB"/>
    </w:rPr>
  </w:style>
  <w:style w:type="paragraph" w:customStyle="1" w:styleId="AppendixAlphaSub2">
    <w:name w:val="Appendix Alpha Sub 2"/>
    <w:basedOn w:val="AppendixAlphaSub1"/>
    <w:next w:val="Paragraph"/>
    <w:uiPriority w:val="21"/>
    <w:unhideWhenUsed/>
    <w:qFormat/>
    <w:rsid w:val="003B7CFF"/>
    <w:pPr>
      <w:numPr>
        <w:ilvl w:val="2"/>
      </w:numPr>
    </w:pPr>
    <w:rPr>
      <w:sz w:val="26"/>
    </w:rPr>
  </w:style>
  <w:style w:type="paragraph" w:customStyle="1" w:styleId="AppendixAlphaSub3">
    <w:name w:val="Appendix Alpha Sub 3"/>
    <w:basedOn w:val="AppendixAlphaSub1"/>
    <w:next w:val="Paragraph"/>
    <w:uiPriority w:val="21"/>
    <w:unhideWhenUsed/>
    <w:qFormat/>
    <w:rsid w:val="003B7CFF"/>
    <w:pPr>
      <w:numPr>
        <w:ilvl w:val="3"/>
      </w:numPr>
    </w:pPr>
    <w:rPr>
      <w:sz w:val="24"/>
    </w:rPr>
  </w:style>
  <w:style w:type="paragraph" w:customStyle="1" w:styleId="AppendixAlphaSub4">
    <w:name w:val="Appendix Alpha Sub 4"/>
    <w:basedOn w:val="AppendixAlphaSub1"/>
    <w:next w:val="Paragraph"/>
    <w:uiPriority w:val="21"/>
    <w:unhideWhenUsed/>
    <w:qFormat/>
    <w:rsid w:val="003B7CFF"/>
    <w:pPr>
      <w:numPr>
        <w:ilvl w:val="4"/>
      </w:numPr>
      <w:spacing w:after="60"/>
    </w:pPr>
    <w:rPr>
      <w:i/>
      <w:sz w:val="24"/>
    </w:rPr>
  </w:style>
  <w:style w:type="paragraph" w:customStyle="1" w:styleId="ListNumberSmall">
    <w:name w:val="List Number Small"/>
    <w:basedOn w:val="ListBulletSmall"/>
    <w:uiPriority w:val="9"/>
    <w:qFormat/>
    <w:rsid w:val="003B7CFF"/>
    <w:pPr>
      <w:numPr>
        <w:numId w:val="33"/>
      </w:numPr>
      <w:tabs>
        <w:tab w:val="left" w:pos="425"/>
      </w:tabs>
    </w:pPr>
  </w:style>
  <w:style w:type="paragraph" w:customStyle="1" w:styleId="TableHidden">
    <w:name w:val="Table Hidden"/>
    <w:basedOn w:val="Paragraph"/>
    <w:uiPriority w:val="23"/>
    <w:qFormat/>
    <w:rsid w:val="003B7CFF"/>
    <w:rPr>
      <w:vanish/>
    </w:rPr>
  </w:style>
  <w:style w:type="paragraph" w:customStyle="1" w:styleId="FigureTitleContinued">
    <w:name w:val="Figure Title Continued"/>
    <w:basedOn w:val="FigureTitle"/>
    <w:uiPriority w:val="17"/>
    <w:qFormat/>
    <w:rsid w:val="003B7CFF"/>
    <w:rPr>
      <w:lang w:val="sv-SE"/>
    </w:rPr>
  </w:style>
  <w:style w:type="paragraph" w:customStyle="1" w:styleId="Z-LineL1">
    <w:name w:val="Z-Line L 1"/>
    <w:basedOn w:val="Normal"/>
    <w:uiPriority w:val="42"/>
    <w:rsid w:val="003B7CFF"/>
    <w:pPr>
      <w:spacing w:before="60" w:after="0" w:line="240" w:lineRule="auto"/>
    </w:pPr>
    <w:rPr>
      <w:sz w:val="20"/>
      <w:szCs w:val="20"/>
    </w:rPr>
  </w:style>
  <w:style w:type="paragraph" w:customStyle="1" w:styleId="Z-LineL2">
    <w:name w:val="Z-Line L 2"/>
    <w:basedOn w:val="Normal"/>
    <w:uiPriority w:val="42"/>
    <w:rsid w:val="003B7CFF"/>
    <w:pPr>
      <w:spacing w:before="60" w:after="0" w:line="240" w:lineRule="auto"/>
    </w:pPr>
    <w:rPr>
      <w:sz w:val="20"/>
      <w:szCs w:val="20"/>
    </w:rPr>
  </w:style>
  <w:style w:type="paragraph" w:customStyle="1" w:styleId="Z-LineL3">
    <w:name w:val="Z-Line L 3"/>
    <w:basedOn w:val="Normal"/>
    <w:uiPriority w:val="42"/>
    <w:rsid w:val="003B7CFF"/>
    <w:pPr>
      <w:spacing w:before="60" w:after="0" w:line="240" w:lineRule="auto"/>
    </w:pPr>
    <w:rPr>
      <w:sz w:val="20"/>
      <w:szCs w:val="20"/>
    </w:rPr>
  </w:style>
  <w:style w:type="paragraph" w:customStyle="1" w:styleId="Z-LineL4">
    <w:name w:val="Z-Line L 4"/>
    <w:basedOn w:val="Normal"/>
    <w:uiPriority w:val="42"/>
    <w:rsid w:val="003B7CFF"/>
    <w:pPr>
      <w:spacing w:before="60" w:after="0" w:line="240" w:lineRule="auto"/>
    </w:pPr>
    <w:rPr>
      <w:sz w:val="20"/>
      <w:szCs w:val="20"/>
    </w:rPr>
  </w:style>
  <w:style w:type="paragraph" w:customStyle="1" w:styleId="Z-LineR1">
    <w:name w:val="Z-Line R 1"/>
    <w:basedOn w:val="Normal"/>
    <w:uiPriority w:val="42"/>
    <w:rsid w:val="003B7CFF"/>
    <w:pPr>
      <w:spacing w:before="60" w:after="0" w:line="240" w:lineRule="auto"/>
    </w:pPr>
    <w:rPr>
      <w:sz w:val="20"/>
      <w:szCs w:val="20"/>
    </w:rPr>
  </w:style>
  <w:style w:type="paragraph" w:customStyle="1" w:styleId="Z-LineR2">
    <w:name w:val="Z-Line R 2"/>
    <w:basedOn w:val="Normal"/>
    <w:uiPriority w:val="42"/>
    <w:rsid w:val="003B7CFF"/>
    <w:pPr>
      <w:spacing w:before="60" w:after="0" w:line="240" w:lineRule="auto"/>
    </w:pPr>
    <w:rPr>
      <w:sz w:val="20"/>
      <w:szCs w:val="20"/>
    </w:rPr>
  </w:style>
  <w:style w:type="paragraph" w:customStyle="1" w:styleId="Z-LineR3">
    <w:name w:val="Z-Line R 3"/>
    <w:basedOn w:val="Normal"/>
    <w:uiPriority w:val="42"/>
    <w:rsid w:val="003B7CFF"/>
    <w:pPr>
      <w:spacing w:before="60" w:after="0" w:line="240" w:lineRule="auto"/>
    </w:pPr>
    <w:rPr>
      <w:sz w:val="20"/>
      <w:szCs w:val="20"/>
    </w:rPr>
  </w:style>
  <w:style w:type="paragraph" w:customStyle="1" w:styleId="Z-LineR4">
    <w:name w:val="Z-Line R 4"/>
    <w:basedOn w:val="Normal"/>
    <w:uiPriority w:val="42"/>
    <w:rsid w:val="003B7CFF"/>
    <w:pPr>
      <w:spacing w:after="60" w:line="240" w:lineRule="auto"/>
    </w:pPr>
    <w:rPr>
      <w:sz w:val="20"/>
      <w:szCs w:val="20"/>
    </w:rPr>
  </w:style>
  <w:style w:type="paragraph" w:customStyle="1" w:styleId="Z-DocumentName">
    <w:name w:val="Z-Document Name"/>
    <w:basedOn w:val="Z-LineL1"/>
    <w:uiPriority w:val="42"/>
    <w:qFormat/>
    <w:rsid w:val="003B7CFF"/>
    <w:rPr>
      <w:b/>
    </w:rPr>
  </w:style>
  <w:style w:type="character" w:styleId="BookTitle">
    <w:name w:val="Book Title"/>
    <w:basedOn w:val="DefaultParagraphFont"/>
    <w:uiPriority w:val="33"/>
    <w:qFormat/>
    <w:rsid w:val="00EE3AC8"/>
    <w:rPr>
      <w:b/>
      <w:bCs/>
      <w:i/>
      <w:iCs/>
      <w:spacing w:val="5"/>
    </w:rPr>
  </w:style>
  <w:style w:type="table" w:styleId="ColorfulGrid">
    <w:name w:val="Colorful Grid"/>
    <w:basedOn w:val="TableNormal"/>
    <w:uiPriority w:val="73"/>
    <w:semiHidden/>
    <w:unhideWhenUsed/>
    <w:rsid w:val="00EE3A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E3A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E3A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E3A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E3A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E3A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E3A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E3AC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E3AC8"/>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E3AC8"/>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E3AC8"/>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E3AC8"/>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E3AC8"/>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E3AC8"/>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E3AC8"/>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E3AC8"/>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E3AC8"/>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E3AC8"/>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E3AC8"/>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E3AC8"/>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E3AC8"/>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E3AC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E3AC8"/>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E3AC8"/>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E3AC8"/>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E3AC8"/>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E3AC8"/>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E3AC8"/>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EE3AC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E3AC8"/>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E3AC8"/>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E3AC8"/>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E3AC8"/>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E3AC8"/>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E3AC8"/>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E3AC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E3AC8"/>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E3AC8"/>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E3AC8"/>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E3AC8"/>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E3AC8"/>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E3AC8"/>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E3A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E3AC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E3AC8"/>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E3AC8"/>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E3AC8"/>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E3AC8"/>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E3AC8"/>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E3A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E3AC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E3AC8"/>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E3AC8"/>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E3AC8"/>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E3AC8"/>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E3AC8"/>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E3A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E3A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E3A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E3A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E3A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E3A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E3A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E3A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E3AC8"/>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E3AC8"/>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E3AC8"/>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E3AC8"/>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E3AC8"/>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E3AC8"/>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E3A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E3AC8"/>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E3AC8"/>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E3AC8"/>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E3AC8"/>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E3AC8"/>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E3AC8"/>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EE3AC8"/>
    <w:rPr>
      <w:color w:val="2B579A"/>
      <w:shd w:val="clear" w:color="auto" w:fill="E6E6E6"/>
    </w:rPr>
  </w:style>
  <w:style w:type="character" w:styleId="IntenseEmphasis">
    <w:name w:val="Intense Emphasis"/>
    <w:basedOn w:val="DefaultParagraphFont"/>
    <w:uiPriority w:val="21"/>
    <w:qFormat/>
    <w:rsid w:val="00EE3AC8"/>
    <w:rPr>
      <w:i/>
      <w:iCs/>
      <w:color w:val="4F81BD" w:themeColor="accent1"/>
    </w:rPr>
  </w:style>
  <w:style w:type="character" w:styleId="IntenseReference">
    <w:name w:val="Intense Reference"/>
    <w:basedOn w:val="DefaultParagraphFont"/>
    <w:uiPriority w:val="32"/>
    <w:qFormat/>
    <w:rsid w:val="00EE3AC8"/>
    <w:rPr>
      <w:b/>
      <w:bCs/>
      <w:smallCaps/>
      <w:color w:val="4F81BD" w:themeColor="accent1"/>
      <w:spacing w:val="5"/>
    </w:rPr>
  </w:style>
  <w:style w:type="table" w:styleId="LightGrid-Accent1">
    <w:name w:val="Light Grid Accent 1"/>
    <w:basedOn w:val="TableNormal"/>
    <w:uiPriority w:val="62"/>
    <w:semiHidden/>
    <w:unhideWhenUsed/>
    <w:rsid w:val="00EE3AC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E3AC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E3AC8"/>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E3AC8"/>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E3AC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E3AC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1">
    <w:name w:val="Light List Accent 1"/>
    <w:basedOn w:val="TableNormal"/>
    <w:uiPriority w:val="61"/>
    <w:semiHidden/>
    <w:unhideWhenUsed/>
    <w:rsid w:val="00EE3AC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E3AC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E3AC8"/>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E3AC8"/>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E3AC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E3AC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E3AC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E3AC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E3AC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E3AC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E3AC8"/>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E3AC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E3AC8"/>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EE3AC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E3AC8"/>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E3AC8"/>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E3AC8"/>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E3AC8"/>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E3AC8"/>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E3AC8"/>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E3AC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E3AC8"/>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E3AC8"/>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E3AC8"/>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E3AC8"/>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E3AC8"/>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E3AC8"/>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E3AC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E3AC8"/>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E3AC8"/>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E3AC8"/>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E3AC8"/>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E3AC8"/>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E3AC8"/>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E3A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E3AC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E3AC8"/>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E3AC8"/>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E3AC8"/>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E3AC8"/>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E3AC8"/>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E3AC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E3AC8"/>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E3AC8"/>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E3AC8"/>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E3AC8"/>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E3AC8"/>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E3AC8"/>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E3AC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E3AC8"/>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E3AC8"/>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E3AC8"/>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E3AC8"/>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E3AC8"/>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E3AC8"/>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E3AC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E3AC8"/>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E3AC8"/>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E3AC8"/>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E3AC8"/>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E3AC8"/>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E3AC8"/>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EE3A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E3AC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E3AC8"/>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E3AC8"/>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E3AC8"/>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E3AC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E3AC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E3A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E3A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E3A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E3A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E3A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E3A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E3A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E3AC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E3AC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E3AC8"/>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E3AC8"/>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E3AC8"/>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E3AC8"/>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E3AC8"/>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E3A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E3AC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E3AC8"/>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E3AC8"/>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E3AC8"/>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E3AC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E3AC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E3A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E3A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E3A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E3A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E3A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E3A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E3A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EE3AC8"/>
    <w:rPr>
      <w:color w:val="2B579A"/>
      <w:shd w:val="clear" w:color="auto" w:fill="E6E6E6"/>
    </w:rPr>
  </w:style>
  <w:style w:type="table" w:styleId="PlainTable3">
    <w:name w:val="Plain Table 3"/>
    <w:basedOn w:val="TableNormal"/>
    <w:uiPriority w:val="43"/>
    <w:rsid w:val="00EE3AC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E3AC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E3AC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semiHidden/>
    <w:unhideWhenUsed/>
    <w:rsid w:val="00EE3AC8"/>
    <w:rPr>
      <w:u w:val="dotted"/>
    </w:rPr>
  </w:style>
  <w:style w:type="character" w:styleId="SubtleEmphasis">
    <w:name w:val="Subtle Emphasis"/>
    <w:basedOn w:val="DefaultParagraphFont"/>
    <w:uiPriority w:val="19"/>
    <w:qFormat/>
    <w:rsid w:val="00EE3AC8"/>
    <w:rPr>
      <w:i/>
      <w:iCs/>
      <w:color w:val="404040" w:themeColor="text1" w:themeTint="BF"/>
    </w:rPr>
  </w:style>
  <w:style w:type="character" w:styleId="SubtleReference">
    <w:name w:val="Subtle Reference"/>
    <w:basedOn w:val="DefaultParagraphFont"/>
    <w:uiPriority w:val="31"/>
    <w:qFormat/>
    <w:rsid w:val="00EE3AC8"/>
    <w:rPr>
      <w:smallCaps/>
      <w:color w:val="5A5A5A" w:themeColor="text1" w:themeTint="A5"/>
    </w:rPr>
  </w:style>
  <w:style w:type="paragraph" w:customStyle="1" w:styleId="Paragraph">
    <w:name w:val="Paragraph"/>
    <w:link w:val="ParagraphChar"/>
    <w:qFormat/>
    <w:rsid w:val="00F913F9"/>
    <w:pPr>
      <w:spacing w:after="240" w:line="240" w:lineRule="auto"/>
    </w:pPr>
    <w:rPr>
      <w:rFonts w:ascii="Times New Roman" w:eastAsia="Times New Roman" w:hAnsi="Times New Roman" w:cs="Times New Roman"/>
      <w:sz w:val="24"/>
      <w:szCs w:val="24"/>
      <w:lang w:val="en-GB"/>
    </w:rPr>
  </w:style>
  <w:style w:type="character" w:customStyle="1" w:styleId="ParagraphChar">
    <w:name w:val="Paragraph Char"/>
    <w:basedOn w:val="DefaultParagraphFont"/>
    <w:link w:val="Paragraph"/>
    <w:rsid w:val="00F913F9"/>
    <w:rPr>
      <w:rFonts w:ascii="Times New Roman" w:eastAsia="Times New Roman" w:hAnsi="Times New Roman" w:cs="Times New Roman"/>
      <w:sz w:val="24"/>
      <w:szCs w:val="24"/>
      <w:lang w:val="en-GB"/>
    </w:rPr>
  </w:style>
  <w:style w:type="table" w:styleId="Table3Deffects1">
    <w:name w:val="Table 3D effects 1"/>
    <w:basedOn w:val="TableNormal"/>
    <w:semiHidden/>
    <w:rsid w:val="003B7CFF"/>
    <w:pPr>
      <w:spacing w:after="0" w:line="240" w:lineRule="auto"/>
    </w:pPr>
    <w:rPr>
      <w:rFonts w:ascii="Times New Roman" w:eastAsia="Times New Roma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7CFF"/>
    <w:pPr>
      <w:spacing w:after="0" w:line="240" w:lineRule="auto"/>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7CFF"/>
    <w:pPr>
      <w:spacing w:after="0" w:line="240" w:lineRule="auto"/>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7CFF"/>
    <w:pPr>
      <w:spacing w:after="0" w:line="240" w:lineRule="auto"/>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7CFF"/>
    <w:pPr>
      <w:spacing w:after="0" w:line="240" w:lineRule="auto"/>
    </w:pPr>
    <w:rPr>
      <w:rFonts w:ascii="Times New Roman" w:eastAsia="Times New Roma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7CFF"/>
    <w:pPr>
      <w:spacing w:after="0" w:line="240" w:lineRule="auto"/>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Text">
    <w:name w:val="Table Text"/>
    <w:semiHidden/>
    <w:rsid w:val="003B7CFF"/>
    <w:pPr>
      <w:spacing w:before="40" w:after="40" w:line="240" w:lineRule="auto"/>
      <w:jc w:val="center"/>
    </w:pPr>
    <w:rPr>
      <w:rFonts w:ascii="Times New Roman" w:eastAsia="Times New Roman" w:hAnsi="Times New Roman" w:cs="Times New Roman"/>
      <w:sz w:val="20"/>
      <w:szCs w:val="20"/>
      <w:lang w:val="en-GB"/>
    </w:rPr>
  </w:style>
  <w:style w:type="table" w:styleId="TableGrid1">
    <w:name w:val="Table Grid 1"/>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7CFF"/>
    <w:pPr>
      <w:spacing w:after="0" w:line="240" w:lineRule="auto"/>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3B7CFF"/>
    <w:pPr>
      <w:ind w:left="240" w:hanging="240"/>
    </w:pPr>
  </w:style>
  <w:style w:type="table" w:styleId="TableProfessional">
    <w:name w:val="Table Professional"/>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ableRowHead">
    <w:name w:val="Table Row Head"/>
    <w:basedOn w:val="TableText"/>
    <w:semiHidden/>
    <w:rsid w:val="003B7CFF"/>
    <w:pPr>
      <w:tabs>
        <w:tab w:val="left" w:pos="360"/>
      </w:tabs>
      <w:jc w:val="left"/>
    </w:pPr>
  </w:style>
  <w:style w:type="table" w:styleId="TableSimple1">
    <w:name w:val="Table Simple 1"/>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SummaryHead">
    <w:name w:val="Table Summary Head"/>
    <w:basedOn w:val="TableText"/>
    <w:semiHidden/>
    <w:rsid w:val="003B7CFF"/>
  </w:style>
  <w:style w:type="paragraph" w:customStyle="1" w:styleId="TableSummaryTitle">
    <w:name w:val="Table Summary Title"/>
    <w:basedOn w:val="TableTitle"/>
    <w:next w:val="TableHead"/>
    <w:semiHidden/>
    <w:rsid w:val="003B7CFF"/>
    <w:pPr>
      <w:pageBreakBefore/>
    </w:pPr>
  </w:style>
  <w:style w:type="table" w:styleId="TableTheme">
    <w:name w:val="Table Theme"/>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B7CFF"/>
    <w:pPr>
      <w:spacing w:after="0" w:line="240" w:lineRule="auto"/>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B7CFF"/>
    <w:pPr>
      <w:spacing w:after="0" w:line="240" w:lineRule="auto"/>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B7CFF"/>
    <w:pPr>
      <w:spacing w:after="0" w:line="240" w:lineRule="auto"/>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ault">
    <w:name w:val="Default"/>
    <w:rsid w:val="0075713D"/>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customStyle="1" w:styleId="A-TableText">
    <w:name w:val="A-Table Text"/>
    <w:rsid w:val="00AB5C54"/>
    <w:pPr>
      <w:spacing w:before="60" w:after="60" w:line="240" w:lineRule="auto"/>
    </w:pPr>
    <w:rPr>
      <w:rFonts w:ascii="Times New Roman" w:eastAsiaTheme="minorEastAsia" w:hAnsi="Times New Roman" w:cs="Times New Roman"/>
      <w:szCs w:val="20"/>
      <w:lang w:val="en-GB"/>
    </w:rPr>
  </w:style>
  <w:style w:type="character" w:customStyle="1" w:styleId="xmchange">
    <w:name w:val="xmchange"/>
    <w:rsid w:val="00392063"/>
  </w:style>
  <w:style w:type="paragraph" w:customStyle="1" w:styleId="xmsonormal">
    <w:name w:val="x_msonormal"/>
    <w:basedOn w:val="Normal"/>
    <w:uiPriority w:val="99"/>
    <w:rsid w:val="00193A3D"/>
    <w:pPr>
      <w:spacing w:after="0" w:line="240" w:lineRule="auto"/>
    </w:pPr>
    <w:rPr>
      <w:rFonts w:ascii="Calibri" w:eastAsiaTheme="minorHAnsi" w:hAnsi="Calibri" w:cs="Calibri"/>
      <w:sz w:val="22"/>
      <w:szCs w:val="22"/>
      <w:lang w:val="en-US"/>
    </w:rPr>
  </w:style>
  <w:style w:type="paragraph" w:customStyle="1" w:styleId="CM28">
    <w:name w:val="CM28"/>
    <w:basedOn w:val="Normal"/>
    <w:uiPriority w:val="99"/>
    <w:rsid w:val="00070774"/>
    <w:pPr>
      <w:autoSpaceDE w:val="0"/>
      <w:autoSpaceDN w:val="0"/>
      <w:spacing w:after="0" w:line="240" w:lineRule="auto"/>
    </w:pPr>
    <w:rPr>
      <w:rFonts w:eastAsia="SimSun"/>
      <w:lang w:val="en-US" w:eastAsia="zh-CN"/>
    </w:rPr>
  </w:style>
  <w:style w:type="paragraph" w:styleId="Revision">
    <w:name w:val="Revision"/>
    <w:hidden/>
    <w:uiPriority w:val="99"/>
    <w:semiHidden/>
    <w:rsid w:val="00AB065A"/>
    <w:pPr>
      <w:spacing w:after="0" w:line="240" w:lineRule="auto"/>
    </w:pPr>
    <w:rPr>
      <w:rFonts w:ascii="Times New Roman" w:eastAsia="Times New Roman" w:hAnsi="Times New Roman" w:cs="Times New Roman"/>
      <w:sz w:val="24"/>
      <w:szCs w:val="24"/>
      <w:lang w:val="en-GB"/>
    </w:rPr>
  </w:style>
  <w:style w:type="character" w:customStyle="1" w:styleId="ui-provider">
    <w:name w:val="ui-provider"/>
    <w:basedOn w:val="DefaultParagraphFont"/>
    <w:rsid w:val="00B11E17"/>
  </w:style>
  <w:style w:type="character" w:customStyle="1" w:styleId="TableLeftChar">
    <w:name w:val="Table Left Char"/>
    <w:basedOn w:val="ParagraphChar"/>
    <w:link w:val="TableLeft"/>
    <w:uiPriority w:val="99"/>
    <w:rsid w:val="006B1A28"/>
    <w:rPr>
      <w:rFonts w:ascii="Times New Roman" w:eastAsia="Times New Roman" w:hAnsi="Times New Roman" w:cs="Arial"/>
      <w:bCs/>
      <w:kern w:val="32"/>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47602">
      <w:bodyDiv w:val="1"/>
      <w:marLeft w:val="0"/>
      <w:marRight w:val="0"/>
      <w:marTop w:val="0"/>
      <w:marBottom w:val="0"/>
      <w:divBdr>
        <w:top w:val="none" w:sz="0" w:space="0" w:color="auto"/>
        <w:left w:val="none" w:sz="0" w:space="0" w:color="auto"/>
        <w:bottom w:val="none" w:sz="0" w:space="0" w:color="auto"/>
        <w:right w:val="none" w:sz="0" w:space="0" w:color="auto"/>
      </w:divBdr>
    </w:div>
    <w:div w:id="374349201">
      <w:bodyDiv w:val="1"/>
      <w:marLeft w:val="0"/>
      <w:marRight w:val="0"/>
      <w:marTop w:val="0"/>
      <w:marBottom w:val="0"/>
      <w:divBdr>
        <w:top w:val="none" w:sz="0" w:space="0" w:color="auto"/>
        <w:left w:val="none" w:sz="0" w:space="0" w:color="auto"/>
        <w:bottom w:val="none" w:sz="0" w:space="0" w:color="auto"/>
        <w:right w:val="none" w:sz="0" w:space="0" w:color="auto"/>
      </w:divBdr>
    </w:div>
    <w:div w:id="404645034">
      <w:bodyDiv w:val="1"/>
      <w:marLeft w:val="0"/>
      <w:marRight w:val="0"/>
      <w:marTop w:val="0"/>
      <w:marBottom w:val="0"/>
      <w:divBdr>
        <w:top w:val="none" w:sz="0" w:space="0" w:color="auto"/>
        <w:left w:val="none" w:sz="0" w:space="0" w:color="auto"/>
        <w:bottom w:val="none" w:sz="0" w:space="0" w:color="auto"/>
        <w:right w:val="none" w:sz="0" w:space="0" w:color="auto"/>
      </w:divBdr>
    </w:div>
    <w:div w:id="437526050">
      <w:bodyDiv w:val="1"/>
      <w:marLeft w:val="0"/>
      <w:marRight w:val="0"/>
      <w:marTop w:val="0"/>
      <w:marBottom w:val="0"/>
      <w:divBdr>
        <w:top w:val="none" w:sz="0" w:space="0" w:color="auto"/>
        <w:left w:val="none" w:sz="0" w:space="0" w:color="auto"/>
        <w:bottom w:val="none" w:sz="0" w:space="0" w:color="auto"/>
        <w:right w:val="none" w:sz="0" w:space="0" w:color="auto"/>
      </w:divBdr>
    </w:div>
    <w:div w:id="571893710">
      <w:bodyDiv w:val="1"/>
      <w:marLeft w:val="0"/>
      <w:marRight w:val="0"/>
      <w:marTop w:val="0"/>
      <w:marBottom w:val="0"/>
      <w:divBdr>
        <w:top w:val="none" w:sz="0" w:space="0" w:color="auto"/>
        <w:left w:val="none" w:sz="0" w:space="0" w:color="auto"/>
        <w:bottom w:val="none" w:sz="0" w:space="0" w:color="auto"/>
        <w:right w:val="none" w:sz="0" w:space="0" w:color="auto"/>
      </w:divBdr>
    </w:div>
    <w:div w:id="630669129">
      <w:bodyDiv w:val="1"/>
      <w:marLeft w:val="0"/>
      <w:marRight w:val="0"/>
      <w:marTop w:val="0"/>
      <w:marBottom w:val="0"/>
      <w:divBdr>
        <w:top w:val="none" w:sz="0" w:space="0" w:color="auto"/>
        <w:left w:val="none" w:sz="0" w:space="0" w:color="auto"/>
        <w:bottom w:val="none" w:sz="0" w:space="0" w:color="auto"/>
        <w:right w:val="none" w:sz="0" w:space="0" w:color="auto"/>
      </w:divBdr>
    </w:div>
    <w:div w:id="739403974">
      <w:bodyDiv w:val="1"/>
      <w:marLeft w:val="0"/>
      <w:marRight w:val="0"/>
      <w:marTop w:val="0"/>
      <w:marBottom w:val="0"/>
      <w:divBdr>
        <w:top w:val="none" w:sz="0" w:space="0" w:color="auto"/>
        <w:left w:val="none" w:sz="0" w:space="0" w:color="auto"/>
        <w:bottom w:val="none" w:sz="0" w:space="0" w:color="auto"/>
        <w:right w:val="none" w:sz="0" w:space="0" w:color="auto"/>
      </w:divBdr>
    </w:div>
    <w:div w:id="838275709">
      <w:bodyDiv w:val="1"/>
      <w:marLeft w:val="0"/>
      <w:marRight w:val="0"/>
      <w:marTop w:val="0"/>
      <w:marBottom w:val="0"/>
      <w:divBdr>
        <w:top w:val="none" w:sz="0" w:space="0" w:color="auto"/>
        <w:left w:val="none" w:sz="0" w:space="0" w:color="auto"/>
        <w:bottom w:val="none" w:sz="0" w:space="0" w:color="auto"/>
        <w:right w:val="none" w:sz="0" w:space="0" w:color="auto"/>
      </w:divBdr>
    </w:div>
    <w:div w:id="852915826">
      <w:bodyDiv w:val="1"/>
      <w:marLeft w:val="0"/>
      <w:marRight w:val="0"/>
      <w:marTop w:val="0"/>
      <w:marBottom w:val="0"/>
      <w:divBdr>
        <w:top w:val="none" w:sz="0" w:space="0" w:color="auto"/>
        <w:left w:val="none" w:sz="0" w:space="0" w:color="auto"/>
        <w:bottom w:val="none" w:sz="0" w:space="0" w:color="auto"/>
        <w:right w:val="none" w:sz="0" w:space="0" w:color="auto"/>
      </w:divBdr>
    </w:div>
    <w:div w:id="955407625">
      <w:bodyDiv w:val="1"/>
      <w:marLeft w:val="0"/>
      <w:marRight w:val="0"/>
      <w:marTop w:val="0"/>
      <w:marBottom w:val="0"/>
      <w:divBdr>
        <w:top w:val="none" w:sz="0" w:space="0" w:color="auto"/>
        <w:left w:val="none" w:sz="0" w:space="0" w:color="auto"/>
        <w:bottom w:val="none" w:sz="0" w:space="0" w:color="auto"/>
        <w:right w:val="none" w:sz="0" w:space="0" w:color="auto"/>
      </w:divBdr>
    </w:div>
    <w:div w:id="1036196989">
      <w:bodyDiv w:val="1"/>
      <w:marLeft w:val="0"/>
      <w:marRight w:val="0"/>
      <w:marTop w:val="0"/>
      <w:marBottom w:val="0"/>
      <w:divBdr>
        <w:top w:val="none" w:sz="0" w:space="0" w:color="auto"/>
        <w:left w:val="none" w:sz="0" w:space="0" w:color="auto"/>
        <w:bottom w:val="none" w:sz="0" w:space="0" w:color="auto"/>
        <w:right w:val="none" w:sz="0" w:space="0" w:color="auto"/>
      </w:divBdr>
    </w:div>
    <w:div w:id="1207983675">
      <w:bodyDiv w:val="1"/>
      <w:marLeft w:val="0"/>
      <w:marRight w:val="0"/>
      <w:marTop w:val="0"/>
      <w:marBottom w:val="0"/>
      <w:divBdr>
        <w:top w:val="none" w:sz="0" w:space="0" w:color="auto"/>
        <w:left w:val="none" w:sz="0" w:space="0" w:color="auto"/>
        <w:bottom w:val="none" w:sz="0" w:space="0" w:color="auto"/>
        <w:right w:val="none" w:sz="0" w:space="0" w:color="auto"/>
      </w:divBdr>
    </w:div>
    <w:div w:id="1284144553">
      <w:bodyDiv w:val="1"/>
      <w:marLeft w:val="0"/>
      <w:marRight w:val="0"/>
      <w:marTop w:val="0"/>
      <w:marBottom w:val="0"/>
      <w:divBdr>
        <w:top w:val="none" w:sz="0" w:space="0" w:color="auto"/>
        <w:left w:val="none" w:sz="0" w:space="0" w:color="auto"/>
        <w:bottom w:val="none" w:sz="0" w:space="0" w:color="auto"/>
        <w:right w:val="none" w:sz="0" w:space="0" w:color="auto"/>
      </w:divBdr>
    </w:div>
    <w:div w:id="1309633035">
      <w:bodyDiv w:val="1"/>
      <w:marLeft w:val="0"/>
      <w:marRight w:val="0"/>
      <w:marTop w:val="0"/>
      <w:marBottom w:val="0"/>
      <w:divBdr>
        <w:top w:val="none" w:sz="0" w:space="0" w:color="auto"/>
        <w:left w:val="none" w:sz="0" w:space="0" w:color="auto"/>
        <w:bottom w:val="none" w:sz="0" w:space="0" w:color="auto"/>
        <w:right w:val="none" w:sz="0" w:space="0" w:color="auto"/>
      </w:divBdr>
    </w:div>
    <w:div w:id="1414355176">
      <w:bodyDiv w:val="1"/>
      <w:marLeft w:val="0"/>
      <w:marRight w:val="0"/>
      <w:marTop w:val="0"/>
      <w:marBottom w:val="0"/>
      <w:divBdr>
        <w:top w:val="none" w:sz="0" w:space="0" w:color="auto"/>
        <w:left w:val="none" w:sz="0" w:space="0" w:color="auto"/>
        <w:bottom w:val="none" w:sz="0" w:space="0" w:color="auto"/>
        <w:right w:val="none" w:sz="0" w:space="0" w:color="auto"/>
      </w:divBdr>
    </w:div>
    <w:div w:id="1426421615">
      <w:bodyDiv w:val="1"/>
      <w:marLeft w:val="0"/>
      <w:marRight w:val="0"/>
      <w:marTop w:val="0"/>
      <w:marBottom w:val="0"/>
      <w:divBdr>
        <w:top w:val="none" w:sz="0" w:space="0" w:color="auto"/>
        <w:left w:val="none" w:sz="0" w:space="0" w:color="auto"/>
        <w:bottom w:val="none" w:sz="0" w:space="0" w:color="auto"/>
        <w:right w:val="none" w:sz="0" w:space="0" w:color="auto"/>
      </w:divBdr>
    </w:div>
    <w:div w:id="1616402036">
      <w:bodyDiv w:val="1"/>
      <w:marLeft w:val="0"/>
      <w:marRight w:val="0"/>
      <w:marTop w:val="0"/>
      <w:marBottom w:val="0"/>
      <w:divBdr>
        <w:top w:val="none" w:sz="0" w:space="0" w:color="auto"/>
        <w:left w:val="none" w:sz="0" w:space="0" w:color="auto"/>
        <w:bottom w:val="none" w:sz="0" w:space="0" w:color="auto"/>
        <w:right w:val="none" w:sz="0" w:space="0" w:color="auto"/>
      </w:divBdr>
    </w:div>
    <w:div w:id="1750272971">
      <w:bodyDiv w:val="1"/>
      <w:marLeft w:val="0"/>
      <w:marRight w:val="0"/>
      <w:marTop w:val="0"/>
      <w:marBottom w:val="0"/>
      <w:divBdr>
        <w:top w:val="none" w:sz="0" w:space="0" w:color="auto"/>
        <w:left w:val="none" w:sz="0" w:space="0" w:color="auto"/>
        <w:bottom w:val="none" w:sz="0" w:space="0" w:color="auto"/>
        <w:right w:val="none" w:sz="0" w:space="0" w:color="auto"/>
      </w:divBdr>
    </w:div>
    <w:div w:id="1769035944">
      <w:bodyDiv w:val="1"/>
      <w:marLeft w:val="0"/>
      <w:marRight w:val="0"/>
      <w:marTop w:val="0"/>
      <w:marBottom w:val="0"/>
      <w:divBdr>
        <w:top w:val="none" w:sz="0" w:space="0" w:color="auto"/>
        <w:left w:val="none" w:sz="0" w:space="0" w:color="auto"/>
        <w:bottom w:val="none" w:sz="0" w:space="0" w:color="auto"/>
        <w:right w:val="none" w:sz="0" w:space="0" w:color="auto"/>
      </w:divBdr>
    </w:div>
    <w:div w:id="1806582879">
      <w:bodyDiv w:val="1"/>
      <w:marLeft w:val="0"/>
      <w:marRight w:val="0"/>
      <w:marTop w:val="0"/>
      <w:marBottom w:val="0"/>
      <w:divBdr>
        <w:top w:val="none" w:sz="0" w:space="0" w:color="auto"/>
        <w:left w:val="none" w:sz="0" w:space="0" w:color="auto"/>
        <w:bottom w:val="none" w:sz="0" w:space="0" w:color="auto"/>
        <w:right w:val="none" w:sz="0" w:space="0" w:color="auto"/>
      </w:divBdr>
    </w:div>
    <w:div w:id="1808550247">
      <w:bodyDiv w:val="1"/>
      <w:marLeft w:val="0"/>
      <w:marRight w:val="0"/>
      <w:marTop w:val="0"/>
      <w:marBottom w:val="0"/>
      <w:divBdr>
        <w:top w:val="none" w:sz="0" w:space="0" w:color="auto"/>
        <w:left w:val="none" w:sz="0" w:space="0" w:color="auto"/>
        <w:bottom w:val="none" w:sz="0" w:space="0" w:color="auto"/>
        <w:right w:val="none" w:sz="0" w:space="0" w:color="auto"/>
      </w:divBdr>
    </w:div>
    <w:div w:id="1879780708">
      <w:bodyDiv w:val="1"/>
      <w:marLeft w:val="0"/>
      <w:marRight w:val="0"/>
      <w:marTop w:val="0"/>
      <w:marBottom w:val="0"/>
      <w:divBdr>
        <w:top w:val="none" w:sz="0" w:space="0" w:color="auto"/>
        <w:left w:val="none" w:sz="0" w:space="0" w:color="auto"/>
        <w:bottom w:val="none" w:sz="0" w:space="0" w:color="auto"/>
        <w:right w:val="none" w:sz="0" w:space="0" w:color="auto"/>
      </w:divBdr>
    </w:div>
    <w:div w:id="1899127199">
      <w:bodyDiv w:val="1"/>
      <w:marLeft w:val="0"/>
      <w:marRight w:val="0"/>
      <w:marTop w:val="0"/>
      <w:marBottom w:val="0"/>
      <w:divBdr>
        <w:top w:val="none" w:sz="0" w:space="0" w:color="auto"/>
        <w:left w:val="none" w:sz="0" w:space="0" w:color="auto"/>
        <w:bottom w:val="none" w:sz="0" w:space="0" w:color="auto"/>
        <w:right w:val="none" w:sz="0" w:space="0" w:color="auto"/>
      </w:divBdr>
    </w:div>
    <w:div w:id="1900095873">
      <w:bodyDiv w:val="1"/>
      <w:marLeft w:val="0"/>
      <w:marRight w:val="0"/>
      <w:marTop w:val="0"/>
      <w:marBottom w:val="0"/>
      <w:divBdr>
        <w:top w:val="none" w:sz="0" w:space="0" w:color="auto"/>
        <w:left w:val="none" w:sz="0" w:space="0" w:color="auto"/>
        <w:bottom w:val="none" w:sz="0" w:space="0" w:color="auto"/>
        <w:right w:val="none" w:sz="0" w:space="0" w:color="auto"/>
      </w:divBdr>
    </w:div>
    <w:div w:id="1919048153">
      <w:bodyDiv w:val="1"/>
      <w:marLeft w:val="0"/>
      <w:marRight w:val="0"/>
      <w:marTop w:val="0"/>
      <w:marBottom w:val="0"/>
      <w:divBdr>
        <w:top w:val="none" w:sz="0" w:space="0" w:color="auto"/>
        <w:left w:val="none" w:sz="0" w:space="0" w:color="auto"/>
        <w:bottom w:val="none" w:sz="0" w:space="0" w:color="auto"/>
        <w:right w:val="none" w:sz="0" w:space="0" w:color="auto"/>
      </w:divBdr>
    </w:div>
    <w:div w:id="1993944473">
      <w:bodyDiv w:val="1"/>
      <w:marLeft w:val="0"/>
      <w:marRight w:val="0"/>
      <w:marTop w:val="0"/>
      <w:marBottom w:val="0"/>
      <w:divBdr>
        <w:top w:val="none" w:sz="0" w:space="0" w:color="auto"/>
        <w:left w:val="none" w:sz="0" w:space="0" w:color="auto"/>
        <w:bottom w:val="none" w:sz="0" w:space="0" w:color="auto"/>
        <w:right w:val="none" w:sz="0" w:space="0" w:color="auto"/>
      </w:divBdr>
    </w:div>
    <w:div w:id="2088376302">
      <w:bodyDiv w:val="1"/>
      <w:marLeft w:val="0"/>
      <w:marRight w:val="0"/>
      <w:marTop w:val="0"/>
      <w:marBottom w:val="0"/>
      <w:divBdr>
        <w:top w:val="none" w:sz="0" w:space="0" w:color="auto"/>
        <w:left w:val="none" w:sz="0" w:space="0" w:color="auto"/>
        <w:bottom w:val="none" w:sz="0" w:space="0" w:color="auto"/>
        <w:right w:val="none" w:sz="0" w:space="0" w:color="auto"/>
      </w:divBdr>
    </w:div>
    <w:div w:id="2120443549">
      <w:bodyDiv w:val="1"/>
      <w:marLeft w:val="0"/>
      <w:marRight w:val="0"/>
      <w:marTop w:val="0"/>
      <w:marBottom w:val="0"/>
      <w:divBdr>
        <w:top w:val="none" w:sz="0" w:space="0" w:color="auto"/>
        <w:left w:val="none" w:sz="0" w:space="0" w:color="auto"/>
        <w:bottom w:val="none" w:sz="0" w:space="0" w:color="auto"/>
        <w:right w:val="none" w:sz="0" w:space="0" w:color="auto"/>
      </w:divBdr>
    </w:div>
    <w:div w:id="2127694755">
      <w:bodyDiv w:val="1"/>
      <w:marLeft w:val="0"/>
      <w:marRight w:val="0"/>
      <w:marTop w:val="0"/>
      <w:marBottom w:val="0"/>
      <w:divBdr>
        <w:top w:val="none" w:sz="0" w:space="0" w:color="auto"/>
        <w:left w:val="none" w:sz="0" w:space="0" w:color="auto"/>
        <w:bottom w:val="none" w:sz="0" w:space="0" w:color="auto"/>
        <w:right w:val="none" w:sz="0" w:space="0" w:color="auto"/>
      </w:divBdr>
    </w:div>
    <w:div w:id="213976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qc339\Box%20Sync\AU-COMM-REGAFFAIRS-S\Products\Tremelimumab%20(Imjudo)\Submissions\2022%20Q2%20NBE\PI-CMI\pi-annotated-template-black-triangle%201709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156FC-897D-4ED6-B796-EA0F6C4C4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pi-annotated-template-black-triangle 17092020.dotx</Template>
  <TotalTime>3</TotalTime>
  <Pages>28</Pages>
  <Words>8446</Words>
  <Characters>48734</Characters>
  <Application>Microsoft Office Word</Application>
  <DocSecurity>0</DocSecurity>
  <Lines>886</Lines>
  <Paragraphs>436</Paragraphs>
  <ScaleCrop>false</ScaleCrop>
  <HeadingPairs>
    <vt:vector size="2" baseType="variant">
      <vt:variant>
        <vt:lpstr>Title</vt:lpstr>
      </vt:variant>
      <vt:variant>
        <vt:i4>1</vt:i4>
      </vt:variant>
    </vt:vector>
  </HeadingPairs>
  <TitlesOfParts>
    <vt:vector size="1" baseType="lpstr">
      <vt:lpstr>Attachment Product information for Imjudo</vt:lpstr>
    </vt:vector>
  </TitlesOfParts>
  <Company>AstraZeneca Pty Ltd</Company>
  <LinksUpToDate>false</LinksUpToDate>
  <CharactersWithSpaces>56744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Imjudo</dc:title>
  <dc:subject>prescription medicines</dc:subject>
  <dc:creator>AstraZeneca Pty Ltd</dc:creator>
  <cp:lastModifiedBy>LACK, Janet</cp:lastModifiedBy>
  <cp:revision>3</cp:revision>
  <cp:lastPrinted>2017-11-13T05:13:00Z</cp:lastPrinted>
  <dcterms:created xsi:type="dcterms:W3CDTF">2023-12-19T23:33:00Z</dcterms:created>
  <dcterms:modified xsi:type="dcterms:W3CDTF">2023-12-19T23:37:00Z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ingCaptions">
    <vt:lpwstr>No</vt:lpwstr>
  </property>
  <property fmtid="{D5CDD505-2E9C-101B-9397-08002B2CF9AE}" pid="3" name="Prefix">
    <vt:lpwstr/>
  </property>
  <property fmtid="{D5CDD505-2E9C-101B-9397-08002B2CF9AE}" pid="4" name="ANGEL_Document_ID">
    <vt:lpwstr>ANGEL_DocID</vt:lpwstr>
  </property>
  <property fmtid="{D5CDD505-2E9C-101B-9397-08002B2CF9AE}" pid="5" name="ANGEL_Document_Status">
    <vt:lpwstr>ANGEL_Status </vt:lpwstr>
  </property>
  <property fmtid="{D5CDD505-2E9C-101B-9397-08002B2CF9AE}" pid="6" name="ANGEL_PPN">
    <vt:lpwstr>ANGEL_PPN</vt:lpwstr>
  </property>
  <property fmtid="{D5CDD505-2E9C-101B-9397-08002B2CF9AE}" pid="7" name="ANGEL_Product">
    <vt:lpwstr>ProductName</vt:lpwstr>
  </property>
  <property fmtid="{D5CDD505-2E9C-101B-9397-08002B2CF9AE}" pid="8" name="ANGEL_Study_Code">
    <vt:lpwstr>StudyCode</vt:lpwstr>
  </property>
  <property fmtid="{D5CDD505-2E9C-101B-9397-08002B2CF9AE}" pid="9" name="ANGEL_DosageForm">
    <vt:lpwstr>DosageForm</vt:lpwstr>
  </property>
  <property fmtid="{D5CDD505-2E9C-101B-9397-08002B2CF9AE}" pid="10" name="ANGEL_Version">
    <vt:lpwstr>ANGEL_Version</vt:lpwstr>
  </property>
  <property fmtid="{D5CDD505-2E9C-101B-9397-08002B2CF9AE}" pid="11" name="ANGEL_DocumentName">
    <vt:lpwstr>ANGEL_DocumentName</vt:lpwstr>
  </property>
</Properties>
</file>