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447D1F3B" w:rsidR="00F02AEC" w:rsidRPr="00215D48" w:rsidRDefault="00346EC2" w:rsidP="007452E8">
            <w:pPr>
              <w:pStyle w:val="Title"/>
            </w:pPr>
            <w:r w:rsidRPr="00346EC2">
              <w:t xml:space="preserve">Australian Public Assessment Report for </w:t>
            </w:r>
            <w:proofErr w:type="spellStart"/>
            <w:r w:rsidR="00DD1865">
              <w:t>Opdualag</w:t>
            </w:r>
            <w:proofErr w:type="spellEnd"/>
          </w:p>
        </w:tc>
      </w:tr>
      <w:tr w:rsidR="00F02AEC" w:rsidRPr="00215D48" w14:paraId="318A40A3" w14:textId="77777777" w:rsidTr="00346EC2">
        <w:trPr>
          <w:trHeight w:val="995"/>
        </w:trPr>
        <w:tc>
          <w:tcPr>
            <w:tcW w:w="8720" w:type="dxa"/>
          </w:tcPr>
          <w:p w14:paraId="1AA7C701" w14:textId="46D043F0" w:rsidR="00F02AEC" w:rsidRPr="00215D48" w:rsidRDefault="00346EC2" w:rsidP="007452E8">
            <w:pPr>
              <w:pStyle w:val="Subtitle"/>
              <w:ind w:left="0"/>
            </w:pPr>
            <w:r w:rsidRPr="00346EC2">
              <w:t xml:space="preserve">Active ingredients: </w:t>
            </w:r>
            <w:r w:rsidR="00DD1865">
              <w:t xml:space="preserve">Nivolumab and </w:t>
            </w:r>
            <w:proofErr w:type="spellStart"/>
            <w:r w:rsidR="00DD1865">
              <w:t>Relatlimab</w:t>
            </w:r>
            <w:proofErr w:type="spellEnd"/>
          </w:p>
        </w:tc>
      </w:tr>
      <w:tr w:rsidR="00346EC2" w:rsidRPr="00215D48" w14:paraId="362CCAE4" w14:textId="77777777" w:rsidTr="007452E8">
        <w:trPr>
          <w:trHeight w:val="1916"/>
        </w:trPr>
        <w:tc>
          <w:tcPr>
            <w:tcW w:w="8720" w:type="dxa"/>
          </w:tcPr>
          <w:p w14:paraId="709C45C0" w14:textId="35844FDF" w:rsidR="00346EC2" w:rsidRPr="00215D48" w:rsidRDefault="00346EC2" w:rsidP="007452E8">
            <w:pPr>
              <w:pStyle w:val="Subtitle"/>
              <w:ind w:left="0"/>
            </w:pPr>
            <w:r w:rsidRPr="00346EC2">
              <w:t xml:space="preserve">Sponsor: </w:t>
            </w:r>
            <w:r w:rsidR="00DD1865">
              <w:t>Bristol-Myers Squibb Australia Pty Ltd</w:t>
            </w:r>
          </w:p>
        </w:tc>
      </w:tr>
      <w:tr w:rsidR="00F02AEC" w:rsidRPr="00215D48" w14:paraId="37F2AA1F" w14:textId="77777777" w:rsidTr="007452E8">
        <w:tc>
          <w:tcPr>
            <w:tcW w:w="8720" w:type="dxa"/>
          </w:tcPr>
          <w:p w14:paraId="1FDE8DCD" w14:textId="17F42C34" w:rsidR="00F02AEC" w:rsidRPr="00215D48" w:rsidRDefault="00361B3C" w:rsidP="007452E8">
            <w:pPr>
              <w:pStyle w:val="Date"/>
            </w:pPr>
            <w:r>
              <w:t>December</w:t>
            </w:r>
            <w:r w:rsidR="00DD1865">
              <w:t xml:space="preserve"> 2023</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11"/>
          <w:footerReference w:type="default" r:id="rId12"/>
          <w:headerReference w:type="first" r:id="rId13"/>
          <w:footerReference w:type="first" r:id="rId14"/>
          <w:endnotePr>
            <w:numFmt w:val="decimal"/>
          </w:endnotePr>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5E1BAD5A"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5" w:history="1">
        <w:r w:rsidRPr="000F15B4">
          <w:rPr>
            <w:rStyle w:val="Hyperlink"/>
          </w:rPr>
          <w:t>TGA website</w:t>
        </w:r>
      </w:hyperlink>
      <w:r w:rsidRPr="003C6D1F">
        <w:t>.</w:t>
      </w:r>
    </w:p>
    <w:p w14:paraId="737B7A99" w14:textId="77777777" w:rsidR="00346EC2" w:rsidRDefault="00346EC2" w:rsidP="00346EC2">
      <w:pPr>
        <w:pStyle w:val="NonTOCHeading20"/>
      </w:pPr>
      <w:r>
        <w:t xml:space="preserve">About </w:t>
      </w:r>
      <w:proofErr w:type="spellStart"/>
      <w:r>
        <w:t>AusPARs</w:t>
      </w:r>
      <w:proofErr w:type="spellEnd"/>
    </w:p>
    <w:p w14:paraId="631B2209" w14:textId="4F44E144" w:rsidR="00346EC2" w:rsidRPr="003C6D1F" w:rsidRDefault="00346EC2" w:rsidP="00346EC2">
      <w:pPr>
        <w:pStyle w:val="ListBullet"/>
      </w:pPr>
      <w:r>
        <w:t>The</w:t>
      </w:r>
      <w:r w:rsidRPr="003C6D1F">
        <w:t xml:space="preserve"> Australian Public Assessment Report (</w:t>
      </w:r>
      <w:proofErr w:type="spellStart"/>
      <w:r w:rsidRPr="003C6D1F">
        <w:t>AusPAR</w:t>
      </w:r>
      <w:proofErr w:type="spellEnd"/>
      <w:r w:rsidRPr="003C6D1F">
        <w:t>) provides information about the evaluation of a prescription medicine and the considerations that led the TGA to approve or not approve a prescription medicine submission.</w:t>
      </w:r>
      <w:r>
        <w:t xml:space="preserve"> Further information can be found in </w:t>
      </w:r>
      <w:hyperlink r:id="rId16" w:history="1">
        <w:r w:rsidRPr="005A2EB8">
          <w:rPr>
            <w:rStyle w:val="Hyperlink"/>
          </w:rPr>
          <w:t>Australian Public Assessment Report (</w:t>
        </w:r>
        <w:proofErr w:type="spellStart"/>
        <w:r w:rsidRPr="005A2EB8">
          <w:rPr>
            <w:rStyle w:val="Hyperlink"/>
          </w:rPr>
          <w:t>AusPAR</w:t>
        </w:r>
        <w:proofErr w:type="spellEnd"/>
        <w:r w:rsidRPr="005A2EB8">
          <w:rPr>
            <w:rStyle w:val="Hyperlink"/>
          </w:rPr>
          <w:t>) guidance</w:t>
        </w:r>
      </w:hyperlink>
      <w:r>
        <w:t>.</w:t>
      </w:r>
    </w:p>
    <w:p w14:paraId="22F5A730" w14:textId="77777777" w:rsidR="00346EC2" w:rsidRPr="003C6D1F" w:rsidRDefault="00346EC2" w:rsidP="00346EC2">
      <w:pPr>
        <w:pStyle w:val="ListBullet"/>
      </w:pPr>
      <w:proofErr w:type="spellStart"/>
      <w:r w:rsidRPr="003C6D1F">
        <w:t>AusPARs</w:t>
      </w:r>
      <w:proofErr w:type="spellEnd"/>
      <w:r w:rsidRPr="003C6D1F">
        <w:t xml:space="preserve"> are prepared and published by the TGA.</w:t>
      </w:r>
    </w:p>
    <w:p w14:paraId="451B8FD7" w14:textId="77777777" w:rsidR="00346EC2" w:rsidRPr="003C6D1F" w:rsidRDefault="00346EC2" w:rsidP="00346EC2">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t xml:space="preserve"> The publication of an </w:t>
      </w:r>
      <w:proofErr w:type="spellStart"/>
      <w:r>
        <w:t>AusPAR</w:t>
      </w:r>
      <w:proofErr w:type="spellEnd"/>
      <w:r>
        <w:t xml:space="preserve"> is an important part of the transparency of the TGA’s decision-making process.</w:t>
      </w:r>
    </w:p>
    <w:p w14:paraId="4D69F5CF" w14:textId="77777777" w:rsidR="00346EC2" w:rsidRPr="003C6D1F" w:rsidRDefault="00346EC2" w:rsidP="00346EC2">
      <w:pPr>
        <w:pStyle w:val="ListBullet"/>
      </w:pPr>
      <w:r w:rsidRPr="003C6D1F">
        <w:t xml:space="preserve">A new </w:t>
      </w:r>
      <w:proofErr w:type="spellStart"/>
      <w:r w:rsidRPr="003C6D1F">
        <w:t>AusPAR</w:t>
      </w:r>
      <w:proofErr w:type="spellEnd"/>
      <w:r w:rsidRPr="003C6D1F">
        <w:t xml:space="preserve">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3BEA7F74" w:rsidR="00175CD8" w:rsidRPr="00346EC2" w:rsidRDefault="00F02AEC" w:rsidP="00346EC2">
      <w:pPr>
        <w:pStyle w:val="LegalCopy"/>
        <w:rPr>
          <w:rFonts w:cs="Arial"/>
        </w:rPr>
      </w:pPr>
      <w:r w:rsidRPr="00215D48">
        <w:rPr>
          <w:rFonts w:cs="Arial"/>
        </w:rPr>
        <w:t>© Commonwealth of Australia 20</w:t>
      </w:r>
      <w:r>
        <w:rPr>
          <w:rFonts w:cs="Arial"/>
        </w:rPr>
        <w:t>2</w:t>
      </w:r>
      <w:r w:rsidR="00E47E0C">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7"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shd w:val="clear" w:color="auto" w:fill="E6E6E6"/>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633369A2" w14:textId="1028E58D" w:rsidR="004F1B9E" w:rsidRDefault="00F02AEC">
          <w:pPr>
            <w:pStyle w:val="TOC1"/>
            <w:rPr>
              <w:rFonts w:asciiTheme="minorHAnsi" w:eastAsiaTheme="minorEastAsia" w:hAnsiTheme="minorHAnsi" w:cstheme="minorBidi"/>
              <w:b w:val="0"/>
              <w:noProof/>
              <w:color w:val="auto"/>
              <w:sz w:val="22"/>
              <w:szCs w:val="22"/>
              <w:lang w:eastAsia="en-AU"/>
            </w:rPr>
          </w:pPr>
          <w:r w:rsidRPr="00215D48">
            <w:rPr>
              <w:color w:val="2B579A"/>
              <w:shd w:val="clear" w:color="auto" w:fill="E6E6E6"/>
            </w:rPr>
            <w:fldChar w:fldCharType="begin"/>
          </w:r>
          <w:r w:rsidRPr="00215D48">
            <w:instrText xml:space="preserve"> TOC \h \z \u \t "Heading 2,1,Heading 3,2,Heading 4,3" </w:instrText>
          </w:r>
          <w:r w:rsidRPr="00215D48">
            <w:rPr>
              <w:color w:val="2B579A"/>
              <w:shd w:val="clear" w:color="auto" w:fill="E6E6E6"/>
            </w:rPr>
            <w:fldChar w:fldCharType="separate"/>
          </w:r>
          <w:hyperlink w:anchor="_Toc154134511" w:history="1">
            <w:r w:rsidR="004F1B9E" w:rsidRPr="00022456">
              <w:rPr>
                <w:rStyle w:val="Hyperlink"/>
                <w:noProof/>
              </w:rPr>
              <w:t>List of abbreviations</w:t>
            </w:r>
            <w:r w:rsidR="004F1B9E">
              <w:rPr>
                <w:noProof/>
                <w:webHidden/>
              </w:rPr>
              <w:tab/>
            </w:r>
            <w:r w:rsidR="004F1B9E">
              <w:rPr>
                <w:noProof/>
                <w:webHidden/>
              </w:rPr>
              <w:fldChar w:fldCharType="begin"/>
            </w:r>
            <w:r w:rsidR="004F1B9E">
              <w:rPr>
                <w:noProof/>
                <w:webHidden/>
              </w:rPr>
              <w:instrText xml:space="preserve"> PAGEREF _Toc154134511 \h </w:instrText>
            </w:r>
            <w:r w:rsidR="004F1B9E">
              <w:rPr>
                <w:noProof/>
                <w:webHidden/>
              </w:rPr>
            </w:r>
            <w:r w:rsidR="004F1B9E">
              <w:rPr>
                <w:noProof/>
                <w:webHidden/>
              </w:rPr>
              <w:fldChar w:fldCharType="separate"/>
            </w:r>
            <w:r w:rsidR="00D536D6">
              <w:rPr>
                <w:noProof/>
                <w:webHidden/>
              </w:rPr>
              <w:t>4</w:t>
            </w:r>
            <w:r w:rsidR="004F1B9E">
              <w:rPr>
                <w:noProof/>
                <w:webHidden/>
              </w:rPr>
              <w:fldChar w:fldCharType="end"/>
            </w:r>
          </w:hyperlink>
        </w:p>
        <w:p w14:paraId="46685FB1" w14:textId="65E11975" w:rsidR="004F1B9E" w:rsidRDefault="005E7FD8">
          <w:pPr>
            <w:pStyle w:val="TOC1"/>
            <w:rPr>
              <w:rFonts w:asciiTheme="minorHAnsi" w:eastAsiaTheme="minorEastAsia" w:hAnsiTheme="minorHAnsi" w:cstheme="minorBidi"/>
              <w:b w:val="0"/>
              <w:noProof/>
              <w:color w:val="auto"/>
              <w:sz w:val="22"/>
              <w:szCs w:val="22"/>
              <w:lang w:eastAsia="en-AU"/>
            </w:rPr>
          </w:pPr>
          <w:hyperlink w:anchor="_Toc154134512" w:history="1">
            <w:r w:rsidR="004F1B9E" w:rsidRPr="00022456">
              <w:rPr>
                <w:rStyle w:val="Hyperlink"/>
                <w:noProof/>
              </w:rPr>
              <w:t>Product submission</w:t>
            </w:r>
            <w:r w:rsidR="004F1B9E">
              <w:rPr>
                <w:noProof/>
                <w:webHidden/>
              </w:rPr>
              <w:tab/>
            </w:r>
            <w:r w:rsidR="004F1B9E">
              <w:rPr>
                <w:noProof/>
                <w:webHidden/>
              </w:rPr>
              <w:fldChar w:fldCharType="begin"/>
            </w:r>
            <w:r w:rsidR="004F1B9E">
              <w:rPr>
                <w:noProof/>
                <w:webHidden/>
              </w:rPr>
              <w:instrText xml:space="preserve"> PAGEREF _Toc154134512 \h </w:instrText>
            </w:r>
            <w:r w:rsidR="004F1B9E">
              <w:rPr>
                <w:noProof/>
                <w:webHidden/>
              </w:rPr>
            </w:r>
            <w:r w:rsidR="004F1B9E">
              <w:rPr>
                <w:noProof/>
                <w:webHidden/>
              </w:rPr>
              <w:fldChar w:fldCharType="separate"/>
            </w:r>
            <w:r w:rsidR="00D536D6">
              <w:rPr>
                <w:noProof/>
                <w:webHidden/>
              </w:rPr>
              <w:t>6</w:t>
            </w:r>
            <w:r w:rsidR="004F1B9E">
              <w:rPr>
                <w:noProof/>
                <w:webHidden/>
              </w:rPr>
              <w:fldChar w:fldCharType="end"/>
            </w:r>
          </w:hyperlink>
        </w:p>
        <w:p w14:paraId="2D2BDC19" w14:textId="2147AE68" w:rsidR="004F1B9E" w:rsidRDefault="005E7FD8">
          <w:pPr>
            <w:pStyle w:val="TOC2"/>
            <w:rPr>
              <w:rFonts w:asciiTheme="minorHAnsi" w:eastAsiaTheme="minorEastAsia" w:hAnsiTheme="minorHAnsi" w:cstheme="minorBidi"/>
              <w:b w:val="0"/>
              <w:noProof/>
              <w:color w:val="auto"/>
              <w:sz w:val="22"/>
              <w:szCs w:val="22"/>
              <w:lang w:eastAsia="en-AU"/>
            </w:rPr>
          </w:pPr>
          <w:hyperlink w:anchor="_Toc154134513" w:history="1">
            <w:r w:rsidR="004F1B9E" w:rsidRPr="00022456">
              <w:rPr>
                <w:rStyle w:val="Hyperlink"/>
                <w:noProof/>
                <w:lang w:eastAsia="en-AU"/>
              </w:rPr>
              <w:t>Submission details</w:t>
            </w:r>
            <w:r w:rsidR="004F1B9E">
              <w:rPr>
                <w:noProof/>
                <w:webHidden/>
              </w:rPr>
              <w:tab/>
            </w:r>
            <w:r w:rsidR="004F1B9E">
              <w:rPr>
                <w:noProof/>
                <w:webHidden/>
              </w:rPr>
              <w:fldChar w:fldCharType="begin"/>
            </w:r>
            <w:r w:rsidR="004F1B9E">
              <w:rPr>
                <w:noProof/>
                <w:webHidden/>
              </w:rPr>
              <w:instrText xml:space="preserve"> PAGEREF _Toc154134513 \h </w:instrText>
            </w:r>
            <w:r w:rsidR="004F1B9E">
              <w:rPr>
                <w:noProof/>
                <w:webHidden/>
              </w:rPr>
            </w:r>
            <w:r w:rsidR="004F1B9E">
              <w:rPr>
                <w:noProof/>
                <w:webHidden/>
              </w:rPr>
              <w:fldChar w:fldCharType="separate"/>
            </w:r>
            <w:r w:rsidR="00D536D6">
              <w:rPr>
                <w:noProof/>
                <w:webHidden/>
              </w:rPr>
              <w:t>6</w:t>
            </w:r>
            <w:r w:rsidR="004F1B9E">
              <w:rPr>
                <w:noProof/>
                <w:webHidden/>
              </w:rPr>
              <w:fldChar w:fldCharType="end"/>
            </w:r>
          </w:hyperlink>
        </w:p>
        <w:p w14:paraId="06A779E9" w14:textId="74D98BF1" w:rsidR="004F1B9E" w:rsidRDefault="005E7FD8">
          <w:pPr>
            <w:pStyle w:val="TOC2"/>
            <w:rPr>
              <w:rFonts w:asciiTheme="minorHAnsi" w:eastAsiaTheme="minorEastAsia" w:hAnsiTheme="minorHAnsi" w:cstheme="minorBidi"/>
              <w:b w:val="0"/>
              <w:noProof/>
              <w:color w:val="auto"/>
              <w:sz w:val="22"/>
              <w:szCs w:val="22"/>
              <w:lang w:eastAsia="en-AU"/>
            </w:rPr>
          </w:pPr>
          <w:hyperlink w:anchor="_Toc154134514" w:history="1">
            <w:r w:rsidR="004F1B9E" w:rsidRPr="00022456">
              <w:rPr>
                <w:rStyle w:val="Hyperlink"/>
                <w:noProof/>
              </w:rPr>
              <w:t>Product background</w:t>
            </w:r>
            <w:r w:rsidR="004F1B9E">
              <w:rPr>
                <w:noProof/>
                <w:webHidden/>
              </w:rPr>
              <w:tab/>
            </w:r>
            <w:r w:rsidR="004F1B9E">
              <w:rPr>
                <w:noProof/>
                <w:webHidden/>
              </w:rPr>
              <w:fldChar w:fldCharType="begin"/>
            </w:r>
            <w:r w:rsidR="004F1B9E">
              <w:rPr>
                <w:noProof/>
                <w:webHidden/>
              </w:rPr>
              <w:instrText xml:space="preserve"> PAGEREF _Toc154134514 \h </w:instrText>
            </w:r>
            <w:r w:rsidR="004F1B9E">
              <w:rPr>
                <w:noProof/>
                <w:webHidden/>
              </w:rPr>
            </w:r>
            <w:r w:rsidR="004F1B9E">
              <w:rPr>
                <w:noProof/>
                <w:webHidden/>
              </w:rPr>
              <w:fldChar w:fldCharType="separate"/>
            </w:r>
            <w:r w:rsidR="00D536D6">
              <w:rPr>
                <w:noProof/>
                <w:webHidden/>
              </w:rPr>
              <w:t>7</w:t>
            </w:r>
            <w:r w:rsidR="004F1B9E">
              <w:rPr>
                <w:noProof/>
                <w:webHidden/>
              </w:rPr>
              <w:fldChar w:fldCharType="end"/>
            </w:r>
          </w:hyperlink>
        </w:p>
        <w:p w14:paraId="61FC966A" w14:textId="3341E82C" w:rsidR="004F1B9E" w:rsidRDefault="005E7FD8">
          <w:pPr>
            <w:pStyle w:val="TOC3"/>
            <w:rPr>
              <w:rFonts w:asciiTheme="minorHAnsi" w:eastAsiaTheme="minorEastAsia" w:hAnsiTheme="minorHAnsi" w:cstheme="minorBidi"/>
              <w:b w:val="0"/>
              <w:noProof/>
              <w:color w:val="auto"/>
              <w:szCs w:val="22"/>
              <w:lang w:eastAsia="en-AU"/>
            </w:rPr>
          </w:pPr>
          <w:hyperlink w:anchor="_Toc154134515" w:history="1">
            <w:r w:rsidR="004F1B9E" w:rsidRPr="00022456">
              <w:rPr>
                <w:rStyle w:val="Hyperlink"/>
                <w:noProof/>
                <w:lang w:val="en-US"/>
              </w:rPr>
              <w:t>Mechanism of action</w:t>
            </w:r>
            <w:r w:rsidR="004F1B9E">
              <w:rPr>
                <w:noProof/>
                <w:webHidden/>
              </w:rPr>
              <w:tab/>
            </w:r>
            <w:r w:rsidR="004F1B9E">
              <w:rPr>
                <w:noProof/>
                <w:webHidden/>
              </w:rPr>
              <w:fldChar w:fldCharType="begin"/>
            </w:r>
            <w:r w:rsidR="004F1B9E">
              <w:rPr>
                <w:noProof/>
                <w:webHidden/>
              </w:rPr>
              <w:instrText xml:space="preserve"> PAGEREF _Toc154134515 \h </w:instrText>
            </w:r>
            <w:r w:rsidR="004F1B9E">
              <w:rPr>
                <w:noProof/>
                <w:webHidden/>
              </w:rPr>
            </w:r>
            <w:r w:rsidR="004F1B9E">
              <w:rPr>
                <w:noProof/>
                <w:webHidden/>
              </w:rPr>
              <w:fldChar w:fldCharType="separate"/>
            </w:r>
            <w:r w:rsidR="00D536D6">
              <w:rPr>
                <w:noProof/>
                <w:webHidden/>
              </w:rPr>
              <w:t>7</w:t>
            </w:r>
            <w:r w:rsidR="004F1B9E">
              <w:rPr>
                <w:noProof/>
                <w:webHidden/>
              </w:rPr>
              <w:fldChar w:fldCharType="end"/>
            </w:r>
          </w:hyperlink>
        </w:p>
        <w:p w14:paraId="3223583F" w14:textId="63C17F98" w:rsidR="004F1B9E" w:rsidRDefault="005E7FD8">
          <w:pPr>
            <w:pStyle w:val="TOC3"/>
            <w:rPr>
              <w:rFonts w:asciiTheme="minorHAnsi" w:eastAsiaTheme="minorEastAsia" w:hAnsiTheme="minorHAnsi" w:cstheme="minorBidi"/>
              <w:b w:val="0"/>
              <w:noProof/>
              <w:color w:val="auto"/>
              <w:szCs w:val="22"/>
              <w:lang w:eastAsia="en-AU"/>
            </w:rPr>
          </w:pPr>
          <w:hyperlink w:anchor="_Toc154134516" w:history="1">
            <w:r w:rsidR="004F1B9E" w:rsidRPr="00022456">
              <w:rPr>
                <w:rStyle w:val="Hyperlink"/>
                <w:noProof/>
              </w:rPr>
              <w:t>Condition</w:t>
            </w:r>
            <w:r w:rsidR="004F1B9E">
              <w:rPr>
                <w:noProof/>
                <w:webHidden/>
              </w:rPr>
              <w:tab/>
            </w:r>
            <w:r w:rsidR="004F1B9E">
              <w:rPr>
                <w:noProof/>
                <w:webHidden/>
              </w:rPr>
              <w:fldChar w:fldCharType="begin"/>
            </w:r>
            <w:r w:rsidR="004F1B9E">
              <w:rPr>
                <w:noProof/>
                <w:webHidden/>
              </w:rPr>
              <w:instrText xml:space="preserve"> PAGEREF _Toc154134516 \h </w:instrText>
            </w:r>
            <w:r w:rsidR="004F1B9E">
              <w:rPr>
                <w:noProof/>
                <w:webHidden/>
              </w:rPr>
            </w:r>
            <w:r w:rsidR="004F1B9E">
              <w:rPr>
                <w:noProof/>
                <w:webHidden/>
              </w:rPr>
              <w:fldChar w:fldCharType="separate"/>
            </w:r>
            <w:r w:rsidR="00D536D6">
              <w:rPr>
                <w:noProof/>
                <w:webHidden/>
              </w:rPr>
              <w:t>8</w:t>
            </w:r>
            <w:r w:rsidR="004F1B9E">
              <w:rPr>
                <w:noProof/>
                <w:webHidden/>
              </w:rPr>
              <w:fldChar w:fldCharType="end"/>
            </w:r>
          </w:hyperlink>
        </w:p>
        <w:p w14:paraId="10FD2668" w14:textId="798A51A9" w:rsidR="004F1B9E" w:rsidRDefault="005E7FD8">
          <w:pPr>
            <w:pStyle w:val="TOC3"/>
            <w:rPr>
              <w:rFonts w:asciiTheme="minorHAnsi" w:eastAsiaTheme="minorEastAsia" w:hAnsiTheme="minorHAnsi" w:cstheme="minorBidi"/>
              <w:b w:val="0"/>
              <w:noProof/>
              <w:color w:val="auto"/>
              <w:szCs w:val="22"/>
              <w:lang w:eastAsia="en-AU"/>
            </w:rPr>
          </w:pPr>
          <w:hyperlink w:anchor="_Toc154134517" w:history="1">
            <w:r w:rsidR="004F1B9E" w:rsidRPr="00022456">
              <w:rPr>
                <w:rStyle w:val="Hyperlink"/>
                <w:noProof/>
              </w:rPr>
              <w:t>Current treatment options</w:t>
            </w:r>
            <w:r w:rsidR="004F1B9E">
              <w:rPr>
                <w:noProof/>
                <w:webHidden/>
              </w:rPr>
              <w:tab/>
            </w:r>
            <w:r w:rsidR="004F1B9E">
              <w:rPr>
                <w:noProof/>
                <w:webHidden/>
              </w:rPr>
              <w:fldChar w:fldCharType="begin"/>
            </w:r>
            <w:r w:rsidR="004F1B9E">
              <w:rPr>
                <w:noProof/>
                <w:webHidden/>
              </w:rPr>
              <w:instrText xml:space="preserve"> PAGEREF _Toc154134517 \h </w:instrText>
            </w:r>
            <w:r w:rsidR="004F1B9E">
              <w:rPr>
                <w:noProof/>
                <w:webHidden/>
              </w:rPr>
            </w:r>
            <w:r w:rsidR="004F1B9E">
              <w:rPr>
                <w:noProof/>
                <w:webHidden/>
              </w:rPr>
              <w:fldChar w:fldCharType="separate"/>
            </w:r>
            <w:r w:rsidR="00D536D6">
              <w:rPr>
                <w:noProof/>
                <w:webHidden/>
              </w:rPr>
              <w:t>11</w:t>
            </w:r>
            <w:r w:rsidR="004F1B9E">
              <w:rPr>
                <w:noProof/>
                <w:webHidden/>
              </w:rPr>
              <w:fldChar w:fldCharType="end"/>
            </w:r>
          </w:hyperlink>
        </w:p>
        <w:p w14:paraId="5AB71C20" w14:textId="03651419" w:rsidR="004F1B9E" w:rsidRDefault="005E7FD8">
          <w:pPr>
            <w:pStyle w:val="TOC2"/>
            <w:rPr>
              <w:rFonts w:asciiTheme="minorHAnsi" w:eastAsiaTheme="minorEastAsia" w:hAnsiTheme="minorHAnsi" w:cstheme="minorBidi"/>
              <w:b w:val="0"/>
              <w:noProof/>
              <w:color w:val="auto"/>
              <w:sz w:val="22"/>
              <w:szCs w:val="22"/>
              <w:lang w:eastAsia="en-AU"/>
            </w:rPr>
          </w:pPr>
          <w:hyperlink w:anchor="_Toc154134518" w:history="1">
            <w:r w:rsidR="004F1B9E" w:rsidRPr="00022456">
              <w:rPr>
                <w:rStyle w:val="Hyperlink"/>
                <w:noProof/>
              </w:rPr>
              <w:t>Regulatory status</w:t>
            </w:r>
            <w:r w:rsidR="004F1B9E">
              <w:rPr>
                <w:noProof/>
                <w:webHidden/>
              </w:rPr>
              <w:tab/>
            </w:r>
            <w:r w:rsidR="004F1B9E">
              <w:rPr>
                <w:noProof/>
                <w:webHidden/>
              </w:rPr>
              <w:fldChar w:fldCharType="begin"/>
            </w:r>
            <w:r w:rsidR="004F1B9E">
              <w:rPr>
                <w:noProof/>
                <w:webHidden/>
              </w:rPr>
              <w:instrText xml:space="preserve"> PAGEREF _Toc154134518 \h </w:instrText>
            </w:r>
            <w:r w:rsidR="004F1B9E">
              <w:rPr>
                <w:noProof/>
                <w:webHidden/>
              </w:rPr>
            </w:r>
            <w:r w:rsidR="004F1B9E">
              <w:rPr>
                <w:noProof/>
                <w:webHidden/>
              </w:rPr>
              <w:fldChar w:fldCharType="separate"/>
            </w:r>
            <w:r w:rsidR="00D536D6">
              <w:rPr>
                <w:noProof/>
                <w:webHidden/>
              </w:rPr>
              <w:t>13</w:t>
            </w:r>
            <w:r w:rsidR="004F1B9E">
              <w:rPr>
                <w:noProof/>
                <w:webHidden/>
              </w:rPr>
              <w:fldChar w:fldCharType="end"/>
            </w:r>
          </w:hyperlink>
        </w:p>
        <w:p w14:paraId="3DBEE83E" w14:textId="71385FE0" w:rsidR="004F1B9E" w:rsidRDefault="005E7FD8">
          <w:pPr>
            <w:pStyle w:val="TOC1"/>
            <w:rPr>
              <w:rFonts w:asciiTheme="minorHAnsi" w:eastAsiaTheme="minorEastAsia" w:hAnsiTheme="minorHAnsi" w:cstheme="minorBidi"/>
              <w:b w:val="0"/>
              <w:noProof/>
              <w:color w:val="auto"/>
              <w:sz w:val="22"/>
              <w:szCs w:val="22"/>
              <w:lang w:eastAsia="en-AU"/>
            </w:rPr>
          </w:pPr>
          <w:hyperlink w:anchor="_Toc154134519" w:history="1">
            <w:r w:rsidR="004F1B9E" w:rsidRPr="00022456">
              <w:rPr>
                <w:rStyle w:val="Hyperlink"/>
                <w:noProof/>
              </w:rPr>
              <w:t>Registration timeline</w:t>
            </w:r>
            <w:r w:rsidR="004F1B9E">
              <w:rPr>
                <w:noProof/>
                <w:webHidden/>
              </w:rPr>
              <w:tab/>
            </w:r>
            <w:r w:rsidR="004F1B9E">
              <w:rPr>
                <w:noProof/>
                <w:webHidden/>
              </w:rPr>
              <w:fldChar w:fldCharType="begin"/>
            </w:r>
            <w:r w:rsidR="004F1B9E">
              <w:rPr>
                <w:noProof/>
                <w:webHidden/>
              </w:rPr>
              <w:instrText xml:space="preserve"> PAGEREF _Toc154134519 \h </w:instrText>
            </w:r>
            <w:r w:rsidR="004F1B9E">
              <w:rPr>
                <w:noProof/>
                <w:webHidden/>
              </w:rPr>
            </w:r>
            <w:r w:rsidR="004F1B9E">
              <w:rPr>
                <w:noProof/>
                <w:webHidden/>
              </w:rPr>
              <w:fldChar w:fldCharType="separate"/>
            </w:r>
            <w:r w:rsidR="00D536D6">
              <w:rPr>
                <w:noProof/>
                <w:webHidden/>
              </w:rPr>
              <w:t>14</w:t>
            </w:r>
            <w:r w:rsidR="004F1B9E">
              <w:rPr>
                <w:noProof/>
                <w:webHidden/>
              </w:rPr>
              <w:fldChar w:fldCharType="end"/>
            </w:r>
          </w:hyperlink>
        </w:p>
        <w:p w14:paraId="5FE06C96" w14:textId="344C0F26" w:rsidR="004F1B9E" w:rsidRDefault="005E7FD8">
          <w:pPr>
            <w:pStyle w:val="TOC1"/>
            <w:rPr>
              <w:rFonts w:asciiTheme="minorHAnsi" w:eastAsiaTheme="minorEastAsia" w:hAnsiTheme="minorHAnsi" w:cstheme="minorBidi"/>
              <w:b w:val="0"/>
              <w:noProof/>
              <w:color w:val="auto"/>
              <w:sz w:val="22"/>
              <w:szCs w:val="22"/>
              <w:lang w:eastAsia="en-AU"/>
            </w:rPr>
          </w:pPr>
          <w:hyperlink w:anchor="_Toc154134520" w:history="1">
            <w:r w:rsidR="004F1B9E" w:rsidRPr="00022456">
              <w:rPr>
                <w:rStyle w:val="Hyperlink"/>
                <w:noProof/>
              </w:rPr>
              <w:t>Submission overview and risk/benefit assessment</w:t>
            </w:r>
            <w:r w:rsidR="004F1B9E">
              <w:rPr>
                <w:noProof/>
                <w:webHidden/>
              </w:rPr>
              <w:tab/>
            </w:r>
            <w:r w:rsidR="004F1B9E">
              <w:rPr>
                <w:noProof/>
                <w:webHidden/>
              </w:rPr>
              <w:fldChar w:fldCharType="begin"/>
            </w:r>
            <w:r w:rsidR="004F1B9E">
              <w:rPr>
                <w:noProof/>
                <w:webHidden/>
              </w:rPr>
              <w:instrText xml:space="preserve"> PAGEREF _Toc154134520 \h </w:instrText>
            </w:r>
            <w:r w:rsidR="004F1B9E">
              <w:rPr>
                <w:noProof/>
                <w:webHidden/>
              </w:rPr>
            </w:r>
            <w:r w:rsidR="004F1B9E">
              <w:rPr>
                <w:noProof/>
                <w:webHidden/>
              </w:rPr>
              <w:fldChar w:fldCharType="separate"/>
            </w:r>
            <w:r w:rsidR="00D536D6">
              <w:rPr>
                <w:noProof/>
                <w:webHidden/>
              </w:rPr>
              <w:t>15</w:t>
            </w:r>
            <w:r w:rsidR="004F1B9E">
              <w:rPr>
                <w:noProof/>
                <w:webHidden/>
              </w:rPr>
              <w:fldChar w:fldCharType="end"/>
            </w:r>
          </w:hyperlink>
        </w:p>
        <w:p w14:paraId="3FB29D12" w14:textId="2BE14AED" w:rsidR="004F1B9E" w:rsidRDefault="005E7FD8">
          <w:pPr>
            <w:pStyle w:val="TOC2"/>
            <w:rPr>
              <w:rFonts w:asciiTheme="minorHAnsi" w:eastAsiaTheme="minorEastAsia" w:hAnsiTheme="minorHAnsi" w:cstheme="minorBidi"/>
              <w:b w:val="0"/>
              <w:noProof/>
              <w:color w:val="auto"/>
              <w:sz w:val="22"/>
              <w:szCs w:val="22"/>
              <w:lang w:eastAsia="en-AU"/>
            </w:rPr>
          </w:pPr>
          <w:hyperlink w:anchor="_Toc154134521" w:history="1">
            <w:r w:rsidR="004F1B9E" w:rsidRPr="00022456">
              <w:rPr>
                <w:rStyle w:val="Hyperlink"/>
                <w:noProof/>
              </w:rPr>
              <w:t>Quality</w:t>
            </w:r>
            <w:r w:rsidR="004F1B9E">
              <w:rPr>
                <w:noProof/>
                <w:webHidden/>
              </w:rPr>
              <w:tab/>
            </w:r>
            <w:r w:rsidR="004F1B9E">
              <w:rPr>
                <w:noProof/>
                <w:webHidden/>
              </w:rPr>
              <w:fldChar w:fldCharType="begin"/>
            </w:r>
            <w:r w:rsidR="004F1B9E">
              <w:rPr>
                <w:noProof/>
                <w:webHidden/>
              </w:rPr>
              <w:instrText xml:space="preserve"> PAGEREF _Toc154134521 \h </w:instrText>
            </w:r>
            <w:r w:rsidR="004F1B9E">
              <w:rPr>
                <w:noProof/>
                <w:webHidden/>
              </w:rPr>
            </w:r>
            <w:r w:rsidR="004F1B9E">
              <w:rPr>
                <w:noProof/>
                <w:webHidden/>
              </w:rPr>
              <w:fldChar w:fldCharType="separate"/>
            </w:r>
            <w:r w:rsidR="00D536D6">
              <w:rPr>
                <w:noProof/>
                <w:webHidden/>
              </w:rPr>
              <w:t>15</w:t>
            </w:r>
            <w:r w:rsidR="004F1B9E">
              <w:rPr>
                <w:noProof/>
                <w:webHidden/>
              </w:rPr>
              <w:fldChar w:fldCharType="end"/>
            </w:r>
          </w:hyperlink>
        </w:p>
        <w:p w14:paraId="42408891" w14:textId="3C76BED0" w:rsidR="004F1B9E" w:rsidRDefault="005E7FD8">
          <w:pPr>
            <w:pStyle w:val="TOC2"/>
            <w:rPr>
              <w:rFonts w:asciiTheme="minorHAnsi" w:eastAsiaTheme="minorEastAsia" w:hAnsiTheme="minorHAnsi" w:cstheme="minorBidi"/>
              <w:b w:val="0"/>
              <w:noProof/>
              <w:color w:val="auto"/>
              <w:sz w:val="22"/>
              <w:szCs w:val="22"/>
              <w:lang w:eastAsia="en-AU"/>
            </w:rPr>
          </w:pPr>
          <w:hyperlink w:anchor="_Toc154134522" w:history="1">
            <w:r w:rsidR="004F1B9E" w:rsidRPr="00022456">
              <w:rPr>
                <w:rStyle w:val="Hyperlink"/>
                <w:noProof/>
              </w:rPr>
              <w:t>Nonclinical</w:t>
            </w:r>
            <w:r w:rsidR="004F1B9E">
              <w:rPr>
                <w:noProof/>
                <w:webHidden/>
              </w:rPr>
              <w:tab/>
            </w:r>
            <w:r w:rsidR="004F1B9E">
              <w:rPr>
                <w:noProof/>
                <w:webHidden/>
              </w:rPr>
              <w:fldChar w:fldCharType="begin"/>
            </w:r>
            <w:r w:rsidR="004F1B9E">
              <w:rPr>
                <w:noProof/>
                <w:webHidden/>
              </w:rPr>
              <w:instrText xml:space="preserve"> PAGEREF _Toc154134522 \h </w:instrText>
            </w:r>
            <w:r w:rsidR="004F1B9E">
              <w:rPr>
                <w:noProof/>
                <w:webHidden/>
              </w:rPr>
            </w:r>
            <w:r w:rsidR="004F1B9E">
              <w:rPr>
                <w:noProof/>
                <w:webHidden/>
              </w:rPr>
              <w:fldChar w:fldCharType="separate"/>
            </w:r>
            <w:r w:rsidR="00D536D6">
              <w:rPr>
                <w:noProof/>
                <w:webHidden/>
              </w:rPr>
              <w:t>16</w:t>
            </w:r>
            <w:r w:rsidR="004F1B9E">
              <w:rPr>
                <w:noProof/>
                <w:webHidden/>
              </w:rPr>
              <w:fldChar w:fldCharType="end"/>
            </w:r>
          </w:hyperlink>
        </w:p>
        <w:p w14:paraId="40C3F206" w14:textId="5F4374A6" w:rsidR="004F1B9E" w:rsidRDefault="005E7FD8">
          <w:pPr>
            <w:pStyle w:val="TOC2"/>
            <w:rPr>
              <w:rFonts w:asciiTheme="minorHAnsi" w:eastAsiaTheme="minorEastAsia" w:hAnsiTheme="minorHAnsi" w:cstheme="minorBidi"/>
              <w:b w:val="0"/>
              <w:noProof/>
              <w:color w:val="auto"/>
              <w:sz w:val="22"/>
              <w:szCs w:val="22"/>
              <w:lang w:eastAsia="en-AU"/>
            </w:rPr>
          </w:pPr>
          <w:hyperlink w:anchor="_Toc154134523" w:history="1">
            <w:r w:rsidR="004F1B9E" w:rsidRPr="00022456">
              <w:rPr>
                <w:rStyle w:val="Hyperlink"/>
                <w:noProof/>
              </w:rPr>
              <w:t>Clinical</w:t>
            </w:r>
            <w:r w:rsidR="004F1B9E">
              <w:rPr>
                <w:noProof/>
                <w:webHidden/>
              </w:rPr>
              <w:tab/>
            </w:r>
            <w:r w:rsidR="004F1B9E">
              <w:rPr>
                <w:noProof/>
                <w:webHidden/>
              </w:rPr>
              <w:fldChar w:fldCharType="begin"/>
            </w:r>
            <w:r w:rsidR="004F1B9E">
              <w:rPr>
                <w:noProof/>
                <w:webHidden/>
              </w:rPr>
              <w:instrText xml:space="preserve"> PAGEREF _Toc154134523 \h </w:instrText>
            </w:r>
            <w:r w:rsidR="004F1B9E">
              <w:rPr>
                <w:noProof/>
                <w:webHidden/>
              </w:rPr>
            </w:r>
            <w:r w:rsidR="004F1B9E">
              <w:rPr>
                <w:noProof/>
                <w:webHidden/>
              </w:rPr>
              <w:fldChar w:fldCharType="separate"/>
            </w:r>
            <w:r w:rsidR="00D536D6">
              <w:rPr>
                <w:noProof/>
                <w:webHidden/>
              </w:rPr>
              <w:t>17</w:t>
            </w:r>
            <w:r w:rsidR="004F1B9E">
              <w:rPr>
                <w:noProof/>
                <w:webHidden/>
              </w:rPr>
              <w:fldChar w:fldCharType="end"/>
            </w:r>
          </w:hyperlink>
        </w:p>
        <w:p w14:paraId="3828B7BB" w14:textId="34CE7714" w:rsidR="004F1B9E" w:rsidRDefault="005E7FD8">
          <w:pPr>
            <w:pStyle w:val="TOC3"/>
            <w:rPr>
              <w:rFonts w:asciiTheme="minorHAnsi" w:eastAsiaTheme="minorEastAsia" w:hAnsiTheme="minorHAnsi" w:cstheme="minorBidi"/>
              <w:b w:val="0"/>
              <w:noProof/>
              <w:color w:val="auto"/>
              <w:szCs w:val="22"/>
              <w:lang w:eastAsia="en-AU"/>
            </w:rPr>
          </w:pPr>
          <w:hyperlink w:anchor="_Toc154134524" w:history="1">
            <w:r w:rsidR="004F1B9E" w:rsidRPr="00022456">
              <w:rPr>
                <w:rStyle w:val="Hyperlink"/>
                <w:noProof/>
              </w:rPr>
              <w:t>Summary of clinical studies</w:t>
            </w:r>
            <w:r w:rsidR="004F1B9E">
              <w:rPr>
                <w:noProof/>
                <w:webHidden/>
              </w:rPr>
              <w:tab/>
            </w:r>
            <w:r w:rsidR="004F1B9E">
              <w:rPr>
                <w:noProof/>
                <w:webHidden/>
              </w:rPr>
              <w:fldChar w:fldCharType="begin"/>
            </w:r>
            <w:r w:rsidR="004F1B9E">
              <w:rPr>
                <w:noProof/>
                <w:webHidden/>
              </w:rPr>
              <w:instrText xml:space="preserve"> PAGEREF _Toc154134524 \h </w:instrText>
            </w:r>
            <w:r w:rsidR="004F1B9E">
              <w:rPr>
                <w:noProof/>
                <w:webHidden/>
              </w:rPr>
            </w:r>
            <w:r w:rsidR="004F1B9E">
              <w:rPr>
                <w:noProof/>
                <w:webHidden/>
              </w:rPr>
              <w:fldChar w:fldCharType="separate"/>
            </w:r>
            <w:r w:rsidR="00D536D6">
              <w:rPr>
                <w:noProof/>
                <w:webHidden/>
              </w:rPr>
              <w:t>17</w:t>
            </w:r>
            <w:r w:rsidR="004F1B9E">
              <w:rPr>
                <w:noProof/>
                <w:webHidden/>
              </w:rPr>
              <w:fldChar w:fldCharType="end"/>
            </w:r>
          </w:hyperlink>
        </w:p>
        <w:p w14:paraId="0D1D5BD3" w14:textId="2E50C27D" w:rsidR="004F1B9E" w:rsidRDefault="005E7FD8">
          <w:pPr>
            <w:pStyle w:val="TOC3"/>
            <w:rPr>
              <w:rFonts w:asciiTheme="minorHAnsi" w:eastAsiaTheme="minorEastAsia" w:hAnsiTheme="minorHAnsi" w:cstheme="minorBidi"/>
              <w:b w:val="0"/>
              <w:noProof/>
              <w:color w:val="auto"/>
              <w:szCs w:val="22"/>
              <w:lang w:eastAsia="en-AU"/>
            </w:rPr>
          </w:pPr>
          <w:hyperlink w:anchor="_Toc154134525" w:history="1">
            <w:r w:rsidR="004F1B9E" w:rsidRPr="00022456">
              <w:rPr>
                <w:rStyle w:val="Hyperlink"/>
                <w:noProof/>
              </w:rPr>
              <w:t>Pharmacology</w:t>
            </w:r>
            <w:r w:rsidR="004F1B9E">
              <w:rPr>
                <w:noProof/>
                <w:webHidden/>
              </w:rPr>
              <w:tab/>
            </w:r>
            <w:r w:rsidR="004F1B9E">
              <w:rPr>
                <w:noProof/>
                <w:webHidden/>
              </w:rPr>
              <w:fldChar w:fldCharType="begin"/>
            </w:r>
            <w:r w:rsidR="004F1B9E">
              <w:rPr>
                <w:noProof/>
                <w:webHidden/>
              </w:rPr>
              <w:instrText xml:space="preserve"> PAGEREF _Toc154134525 \h </w:instrText>
            </w:r>
            <w:r w:rsidR="004F1B9E">
              <w:rPr>
                <w:noProof/>
                <w:webHidden/>
              </w:rPr>
            </w:r>
            <w:r w:rsidR="004F1B9E">
              <w:rPr>
                <w:noProof/>
                <w:webHidden/>
              </w:rPr>
              <w:fldChar w:fldCharType="separate"/>
            </w:r>
            <w:r w:rsidR="00D536D6">
              <w:rPr>
                <w:noProof/>
                <w:webHidden/>
              </w:rPr>
              <w:t>18</w:t>
            </w:r>
            <w:r w:rsidR="004F1B9E">
              <w:rPr>
                <w:noProof/>
                <w:webHidden/>
              </w:rPr>
              <w:fldChar w:fldCharType="end"/>
            </w:r>
          </w:hyperlink>
        </w:p>
        <w:p w14:paraId="3A586DCB" w14:textId="769C85AC" w:rsidR="004F1B9E" w:rsidRDefault="005E7FD8">
          <w:pPr>
            <w:pStyle w:val="TOC3"/>
            <w:rPr>
              <w:rFonts w:asciiTheme="minorHAnsi" w:eastAsiaTheme="minorEastAsia" w:hAnsiTheme="minorHAnsi" w:cstheme="minorBidi"/>
              <w:b w:val="0"/>
              <w:noProof/>
              <w:color w:val="auto"/>
              <w:szCs w:val="22"/>
              <w:lang w:eastAsia="en-AU"/>
            </w:rPr>
          </w:pPr>
          <w:hyperlink w:anchor="_Toc154134526" w:history="1">
            <w:r w:rsidR="004F1B9E" w:rsidRPr="00022456">
              <w:rPr>
                <w:rStyle w:val="Hyperlink"/>
                <w:noProof/>
              </w:rPr>
              <w:t>Efficacy</w:t>
            </w:r>
            <w:r w:rsidR="004F1B9E">
              <w:rPr>
                <w:noProof/>
                <w:webHidden/>
              </w:rPr>
              <w:tab/>
            </w:r>
            <w:r w:rsidR="004F1B9E">
              <w:rPr>
                <w:noProof/>
                <w:webHidden/>
              </w:rPr>
              <w:fldChar w:fldCharType="begin"/>
            </w:r>
            <w:r w:rsidR="004F1B9E">
              <w:rPr>
                <w:noProof/>
                <w:webHidden/>
              </w:rPr>
              <w:instrText xml:space="preserve"> PAGEREF _Toc154134526 \h </w:instrText>
            </w:r>
            <w:r w:rsidR="004F1B9E">
              <w:rPr>
                <w:noProof/>
                <w:webHidden/>
              </w:rPr>
            </w:r>
            <w:r w:rsidR="004F1B9E">
              <w:rPr>
                <w:noProof/>
                <w:webHidden/>
              </w:rPr>
              <w:fldChar w:fldCharType="separate"/>
            </w:r>
            <w:r w:rsidR="00D536D6">
              <w:rPr>
                <w:noProof/>
                <w:webHidden/>
              </w:rPr>
              <w:t>22</w:t>
            </w:r>
            <w:r w:rsidR="004F1B9E">
              <w:rPr>
                <w:noProof/>
                <w:webHidden/>
              </w:rPr>
              <w:fldChar w:fldCharType="end"/>
            </w:r>
          </w:hyperlink>
        </w:p>
        <w:p w14:paraId="6D78CACD" w14:textId="074C9C2C" w:rsidR="004F1B9E" w:rsidRDefault="005E7FD8">
          <w:pPr>
            <w:pStyle w:val="TOC3"/>
            <w:rPr>
              <w:rFonts w:asciiTheme="minorHAnsi" w:eastAsiaTheme="minorEastAsia" w:hAnsiTheme="minorHAnsi" w:cstheme="minorBidi"/>
              <w:b w:val="0"/>
              <w:noProof/>
              <w:color w:val="auto"/>
              <w:szCs w:val="22"/>
              <w:lang w:eastAsia="en-AU"/>
            </w:rPr>
          </w:pPr>
          <w:hyperlink w:anchor="_Toc154134527" w:history="1">
            <w:r w:rsidR="004F1B9E" w:rsidRPr="00022456">
              <w:rPr>
                <w:rStyle w:val="Hyperlink"/>
                <w:noProof/>
              </w:rPr>
              <w:t>Safety</w:t>
            </w:r>
            <w:r w:rsidR="004F1B9E">
              <w:rPr>
                <w:noProof/>
                <w:webHidden/>
              </w:rPr>
              <w:tab/>
            </w:r>
            <w:r w:rsidR="004F1B9E">
              <w:rPr>
                <w:noProof/>
                <w:webHidden/>
              </w:rPr>
              <w:fldChar w:fldCharType="begin"/>
            </w:r>
            <w:r w:rsidR="004F1B9E">
              <w:rPr>
                <w:noProof/>
                <w:webHidden/>
              </w:rPr>
              <w:instrText xml:space="preserve"> PAGEREF _Toc154134527 \h </w:instrText>
            </w:r>
            <w:r w:rsidR="004F1B9E">
              <w:rPr>
                <w:noProof/>
                <w:webHidden/>
              </w:rPr>
            </w:r>
            <w:r w:rsidR="004F1B9E">
              <w:rPr>
                <w:noProof/>
                <w:webHidden/>
              </w:rPr>
              <w:fldChar w:fldCharType="separate"/>
            </w:r>
            <w:r w:rsidR="00D536D6">
              <w:rPr>
                <w:noProof/>
                <w:webHidden/>
              </w:rPr>
              <w:t>32</w:t>
            </w:r>
            <w:r w:rsidR="004F1B9E">
              <w:rPr>
                <w:noProof/>
                <w:webHidden/>
              </w:rPr>
              <w:fldChar w:fldCharType="end"/>
            </w:r>
          </w:hyperlink>
        </w:p>
        <w:p w14:paraId="4E09144E" w14:textId="059CB262" w:rsidR="004F1B9E" w:rsidRDefault="005E7FD8">
          <w:pPr>
            <w:pStyle w:val="TOC3"/>
            <w:rPr>
              <w:rFonts w:asciiTheme="minorHAnsi" w:eastAsiaTheme="minorEastAsia" w:hAnsiTheme="minorHAnsi" w:cstheme="minorBidi"/>
              <w:b w:val="0"/>
              <w:noProof/>
              <w:color w:val="auto"/>
              <w:szCs w:val="22"/>
              <w:lang w:eastAsia="en-AU"/>
            </w:rPr>
          </w:pPr>
          <w:hyperlink w:anchor="_Toc154134528" w:history="1">
            <w:r w:rsidR="004F1B9E" w:rsidRPr="00022456">
              <w:rPr>
                <w:rStyle w:val="Hyperlink"/>
                <w:noProof/>
              </w:rPr>
              <w:t>Diagnostic testing considerations</w:t>
            </w:r>
            <w:r w:rsidR="004F1B9E">
              <w:rPr>
                <w:noProof/>
                <w:webHidden/>
              </w:rPr>
              <w:tab/>
            </w:r>
            <w:r w:rsidR="004F1B9E">
              <w:rPr>
                <w:noProof/>
                <w:webHidden/>
              </w:rPr>
              <w:fldChar w:fldCharType="begin"/>
            </w:r>
            <w:r w:rsidR="004F1B9E">
              <w:rPr>
                <w:noProof/>
                <w:webHidden/>
              </w:rPr>
              <w:instrText xml:space="preserve"> PAGEREF _Toc154134528 \h </w:instrText>
            </w:r>
            <w:r w:rsidR="004F1B9E">
              <w:rPr>
                <w:noProof/>
                <w:webHidden/>
              </w:rPr>
            </w:r>
            <w:r w:rsidR="004F1B9E">
              <w:rPr>
                <w:noProof/>
                <w:webHidden/>
              </w:rPr>
              <w:fldChar w:fldCharType="separate"/>
            </w:r>
            <w:r w:rsidR="00D536D6">
              <w:rPr>
                <w:noProof/>
                <w:webHidden/>
              </w:rPr>
              <w:t>38</w:t>
            </w:r>
            <w:r w:rsidR="004F1B9E">
              <w:rPr>
                <w:noProof/>
                <w:webHidden/>
              </w:rPr>
              <w:fldChar w:fldCharType="end"/>
            </w:r>
          </w:hyperlink>
        </w:p>
        <w:p w14:paraId="4D5CDBA9" w14:textId="28F8922A" w:rsidR="004F1B9E" w:rsidRDefault="005E7FD8">
          <w:pPr>
            <w:pStyle w:val="TOC2"/>
            <w:rPr>
              <w:rFonts w:asciiTheme="minorHAnsi" w:eastAsiaTheme="minorEastAsia" w:hAnsiTheme="minorHAnsi" w:cstheme="minorBidi"/>
              <w:b w:val="0"/>
              <w:noProof/>
              <w:color w:val="auto"/>
              <w:sz w:val="22"/>
              <w:szCs w:val="22"/>
              <w:lang w:eastAsia="en-AU"/>
            </w:rPr>
          </w:pPr>
          <w:hyperlink w:anchor="_Toc154134529" w:history="1">
            <w:r w:rsidR="004F1B9E" w:rsidRPr="00022456">
              <w:rPr>
                <w:rStyle w:val="Hyperlink"/>
                <w:noProof/>
                <w:lang w:eastAsia="en-AU"/>
              </w:rPr>
              <w:t>Risk management plan</w:t>
            </w:r>
            <w:r w:rsidR="004F1B9E">
              <w:rPr>
                <w:noProof/>
                <w:webHidden/>
              </w:rPr>
              <w:tab/>
            </w:r>
            <w:r w:rsidR="004F1B9E">
              <w:rPr>
                <w:noProof/>
                <w:webHidden/>
              </w:rPr>
              <w:fldChar w:fldCharType="begin"/>
            </w:r>
            <w:r w:rsidR="004F1B9E">
              <w:rPr>
                <w:noProof/>
                <w:webHidden/>
              </w:rPr>
              <w:instrText xml:space="preserve"> PAGEREF _Toc154134529 \h </w:instrText>
            </w:r>
            <w:r w:rsidR="004F1B9E">
              <w:rPr>
                <w:noProof/>
                <w:webHidden/>
              </w:rPr>
            </w:r>
            <w:r w:rsidR="004F1B9E">
              <w:rPr>
                <w:noProof/>
                <w:webHidden/>
              </w:rPr>
              <w:fldChar w:fldCharType="separate"/>
            </w:r>
            <w:r w:rsidR="00D536D6">
              <w:rPr>
                <w:noProof/>
                <w:webHidden/>
              </w:rPr>
              <w:t>38</w:t>
            </w:r>
            <w:r w:rsidR="004F1B9E">
              <w:rPr>
                <w:noProof/>
                <w:webHidden/>
              </w:rPr>
              <w:fldChar w:fldCharType="end"/>
            </w:r>
          </w:hyperlink>
        </w:p>
        <w:p w14:paraId="7E63CEBD" w14:textId="3391CEA1" w:rsidR="004F1B9E" w:rsidRDefault="005E7FD8">
          <w:pPr>
            <w:pStyle w:val="TOC2"/>
            <w:rPr>
              <w:rFonts w:asciiTheme="minorHAnsi" w:eastAsiaTheme="minorEastAsia" w:hAnsiTheme="minorHAnsi" w:cstheme="minorBidi"/>
              <w:b w:val="0"/>
              <w:noProof/>
              <w:color w:val="auto"/>
              <w:sz w:val="22"/>
              <w:szCs w:val="22"/>
              <w:lang w:eastAsia="en-AU"/>
            </w:rPr>
          </w:pPr>
          <w:hyperlink w:anchor="_Toc154134530" w:history="1">
            <w:r w:rsidR="004F1B9E" w:rsidRPr="00022456">
              <w:rPr>
                <w:rStyle w:val="Hyperlink"/>
                <w:noProof/>
              </w:rPr>
              <w:t>Risk-benefit analysis</w:t>
            </w:r>
            <w:r w:rsidR="004F1B9E">
              <w:rPr>
                <w:noProof/>
                <w:webHidden/>
              </w:rPr>
              <w:tab/>
            </w:r>
            <w:r w:rsidR="004F1B9E">
              <w:rPr>
                <w:noProof/>
                <w:webHidden/>
              </w:rPr>
              <w:fldChar w:fldCharType="begin"/>
            </w:r>
            <w:r w:rsidR="004F1B9E">
              <w:rPr>
                <w:noProof/>
                <w:webHidden/>
              </w:rPr>
              <w:instrText xml:space="preserve"> PAGEREF _Toc154134530 \h </w:instrText>
            </w:r>
            <w:r w:rsidR="004F1B9E">
              <w:rPr>
                <w:noProof/>
                <w:webHidden/>
              </w:rPr>
            </w:r>
            <w:r w:rsidR="004F1B9E">
              <w:rPr>
                <w:noProof/>
                <w:webHidden/>
              </w:rPr>
              <w:fldChar w:fldCharType="separate"/>
            </w:r>
            <w:r w:rsidR="00D536D6">
              <w:rPr>
                <w:noProof/>
                <w:webHidden/>
              </w:rPr>
              <w:t>40</w:t>
            </w:r>
            <w:r w:rsidR="004F1B9E">
              <w:rPr>
                <w:noProof/>
                <w:webHidden/>
              </w:rPr>
              <w:fldChar w:fldCharType="end"/>
            </w:r>
          </w:hyperlink>
        </w:p>
        <w:p w14:paraId="55FF1B86" w14:textId="365930B5" w:rsidR="004F1B9E" w:rsidRDefault="005E7FD8">
          <w:pPr>
            <w:pStyle w:val="TOC3"/>
            <w:rPr>
              <w:rFonts w:asciiTheme="minorHAnsi" w:eastAsiaTheme="minorEastAsia" w:hAnsiTheme="minorHAnsi" w:cstheme="minorBidi"/>
              <w:b w:val="0"/>
              <w:noProof/>
              <w:color w:val="auto"/>
              <w:szCs w:val="22"/>
              <w:lang w:eastAsia="en-AU"/>
            </w:rPr>
          </w:pPr>
          <w:hyperlink w:anchor="_Toc154134531" w:history="1">
            <w:r w:rsidR="004F1B9E" w:rsidRPr="00022456">
              <w:rPr>
                <w:rStyle w:val="Hyperlink"/>
                <w:noProof/>
              </w:rPr>
              <w:t>Delegate’s consideration</w:t>
            </w:r>
            <w:r w:rsidR="004F1B9E">
              <w:rPr>
                <w:noProof/>
                <w:webHidden/>
              </w:rPr>
              <w:tab/>
            </w:r>
            <w:r w:rsidR="004F1B9E">
              <w:rPr>
                <w:noProof/>
                <w:webHidden/>
              </w:rPr>
              <w:fldChar w:fldCharType="begin"/>
            </w:r>
            <w:r w:rsidR="004F1B9E">
              <w:rPr>
                <w:noProof/>
                <w:webHidden/>
              </w:rPr>
              <w:instrText xml:space="preserve"> PAGEREF _Toc154134531 \h </w:instrText>
            </w:r>
            <w:r w:rsidR="004F1B9E">
              <w:rPr>
                <w:noProof/>
                <w:webHidden/>
              </w:rPr>
            </w:r>
            <w:r w:rsidR="004F1B9E">
              <w:rPr>
                <w:noProof/>
                <w:webHidden/>
              </w:rPr>
              <w:fldChar w:fldCharType="separate"/>
            </w:r>
            <w:r w:rsidR="00D536D6">
              <w:rPr>
                <w:noProof/>
                <w:webHidden/>
              </w:rPr>
              <w:t>40</w:t>
            </w:r>
            <w:r w:rsidR="004F1B9E">
              <w:rPr>
                <w:noProof/>
                <w:webHidden/>
              </w:rPr>
              <w:fldChar w:fldCharType="end"/>
            </w:r>
          </w:hyperlink>
        </w:p>
        <w:p w14:paraId="36CFCF0E" w14:textId="3FB8850B" w:rsidR="004F1B9E" w:rsidRDefault="005E7FD8">
          <w:pPr>
            <w:pStyle w:val="TOC3"/>
            <w:rPr>
              <w:rFonts w:asciiTheme="minorHAnsi" w:eastAsiaTheme="minorEastAsia" w:hAnsiTheme="minorHAnsi" w:cstheme="minorBidi"/>
              <w:b w:val="0"/>
              <w:noProof/>
              <w:color w:val="auto"/>
              <w:szCs w:val="22"/>
              <w:lang w:eastAsia="en-AU"/>
            </w:rPr>
          </w:pPr>
          <w:hyperlink w:anchor="_Toc154134532" w:history="1">
            <w:r w:rsidR="004F1B9E" w:rsidRPr="00022456">
              <w:rPr>
                <w:rStyle w:val="Hyperlink"/>
                <w:noProof/>
              </w:rPr>
              <w:t>Proposed action</w:t>
            </w:r>
            <w:r w:rsidR="004F1B9E">
              <w:rPr>
                <w:noProof/>
                <w:webHidden/>
              </w:rPr>
              <w:tab/>
            </w:r>
            <w:r w:rsidR="004F1B9E">
              <w:rPr>
                <w:noProof/>
                <w:webHidden/>
              </w:rPr>
              <w:fldChar w:fldCharType="begin"/>
            </w:r>
            <w:r w:rsidR="004F1B9E">
              <w:rPr>
                <w:noProof/>
                <w:webHidden/>
              </w:rPr>
              <w:instrText xml:space="preserve"> PAGEREF _Toc154134532 \h </w:instrText>
            </w:r>
            <w:r w:rsidR="004F1B9E">
              <w:rPr>
                <w:noProof/>
                <w:webHidden/>
              </w:rPr>
            </w:r>
            <w:r w:rsidR="004F1B9E">
              <w:rPr>
                <w:noProof/>
                <w:webHidden/>
              </w:rPr>
              <w:fldChar w:fldCharType="separate"/>
            </w:r>
            <w:r w:rsidR="00D536D6">
              <w:rPr>
                <w:noProof/>
                <w:webHidden/>
              </w:rPr>
              <w:t>43</w:t>
            </w:r>
            <w:r w:rsidR="004F1B9E">
              <w:rPr>
                <w:noProof/>
                <w:webHidden/>
              </w:rPr>
              <w:fldChar w:fldCharType="end"/>
            </w:r>
          </w:hyperlink>
        </w:p>
        <w:p w14:paraId="5D470AB9" w14:textId="7732677B" w:rsidR="004F1B9E" w:rsidRDefault="005E7FD8">
          <w:pPr>
            <w:pStyle w:val="TOC3"/>
            <w:rPr>
              <w:rFonts w:asciiTheme="minorHAnsi" w:eastAsiaTheme="minorEastAsia" w:hAnsiTheme="minorHAnsi" w:cstheme="minorBidi"/>
              <w:b w:val="0"/>
              <w:noProof/>
              <w:color w:val="auto"/>
              <w:szCs w:val="22"/>
              <w:lang w:eastAsia="en-AU"/>
            </w:rPr>
          </w:pPr>
          <w:hyperlink w:anchor="_Toc154134533" w:history="1">
            <w:r w:rsidR="004F1B9E" w:rsidRPr="00022456">
              <w:rPr>
                <w:rStyle w:val="Hyperlink"/>
                <w:noProof/>
              </w:rPr>
              <w:t>Independent expert advice</w:t>
            </w:r>
            <w:r w:rsidR="004F1B9E">
              <w:rPr>
                <w:noProof/>
                <w:webHidden/>
              </w:rPr>
              <w:tab/>
            </w:r>
            <w:r w:rsidR="004F1B9E">
              <w:rPr>
                <w:noProof/>
                <w:webHidden/>
              </w:rPr>
              <w:fldChar w:fldCharType="begin"/>
            </w:r>
            <w:r w:rsidR="004F1B9E">
              <w:rPr>
                <w:noProof/>
                <w:webHidden/>
              </w:rPr>
              <w:instrText xml:space="preserve"> PAGEREF _Toc154134533 \h </w:instrText>
            </w:r>
            <w:r w:rsidR="004F1B9E">
              <w:rPr>
                <w:noProof/>
                <w:webHidden/>
              </w:rPr>
            </w:r>
            <w:r w:rsidR="004F1B9E">
              <w:rPr>
                <w:noProof/>
                <w:webHidden/>
              </w:rPr>
              <w:fldChar w:fldCharType="separate"/>
            </w:r>
            <w:r w:rsidR="00D536D6">
              <w:rPr>
                <w:noProof/>
                <w:webHidden/>
              </w:rPr>
              <w:t>43</w:t>
            </w:r>
            <w:r w:rsidR="004F1B9E">
              <w:rPr>
                <w:noProof/>
                <w:webHidden/>
              </w:rPr>
              <w:fldChar w:fldCharType="end"/>
            </w:r>
          </w:hyperlink>
        </w:p>
        <w:p w14:paraId="097355B8" w14:textId="4F716DEE" w:rsidR="004F1B9E" w:rsidRDefault="005E7FD8">
          <w:pPr>
            <w:pStyle w:val="TOC3"/>
            <w:rPr>
              <w:rFonts w:asciiTheme="minorHAnsi" w:eastAsiaTheme="minorEastAsia" w:hAnsiTheme="minorHAnsi" w:cstheme="minorBidi"/>
              <w:b w:val="0"/>
              <w:noProof/>
              <w:color w:val="auto"/>
              <w:szCs w:val="22"/>
              <w:lang w:eastAsia="en-AU"/>
            </w:rPr>
          </w:pPr>
          <w:hyperlink w:anchor="_Toc154134534" w:history="1">
            <w:r w:rsidR="004F1B9E" w:rsidRPr="00022456">
              <w:rPr>
                <w:rStyle w:val="Hyperlink"/>
                <w:noProof/>
              </w:rPr>
              <w:t>Advisory Committee considerations</w:t>
            </w:r>
            <w:r w:rsidR="004F1B9E">
              <w:rPr>
                <w:noProof/>
                <w:webHidden/>
              </w:rPr>
              <w:tab/>
            </w:r>
            <w:r w:rsidR="004F1B9E">
              <w:rPr>
                <w:noProof/>
                <w:webHidden/>
              </w:rPr>
              <w:fldChar w:fldCharType="begin"/>
            </w:r>
            <w:r w:rsidR="004F1B9E">
              <w:rPr>
                <w:noProof/>
                <w:webHidden/>
              </w:rPr>
              <w:instrText xml:space="preserve"> PAGEREF _Toc154134534 \h </w:instrText>
            </w:r>
            <w:r w:rsidR="004F1B9E">
              <w:rPr>
                <w:noProof/>
                <w:webHidden/>
              </w:rPr>
            </w:r>
            <w:r w:rsidR="004F1B9E">
              <w:rPr>
                <w:noProof/>
                <w:webHidden/>
              </w:rPr>
              <w:fldChar w:fldCharType="separate"/>
            </w:r>
            <w:r w:rsidR="00D536D6">
              <w:rPr>
                <w:noProof/>
                <w:webHidden/>
              </w:rPr>
              <w:t>44</w:t>
            </w:r>
            <w:r w:rsidR="004F1B9E">
              <w:rPr>
                <w:noProof/>
                <w:webHidden/>
              </w:rPr>
              <w:fldChar w:fldCharType="end"/>
            </w:r>
          </w:hyperlink>
        </w:p>
        <w:p w14:paraId="28AC26A6" w14:textId="10C026B2" w:rsidR="004F1B9E" w:rsidRDefault="005E7FD8">
          <w:pPr>
            <w:pStyle w:val="TOC3"/>
            <w:rPr>
              <w:rFonts w:asciiTheme="minorHAnsi" w:eastAsiaTheme="minorEastAsia" w:hAnsiTheme="minorHAnsi" w:cstheme="minorBidi"/>
              <w:b w:val="0"/>
              <w:noProof/>
              <w:color w:val="auto"/>
              <w:szCs w:val="22"/>
              <w:lang w:eastAsia="en-AU"/>
            </w:rPr>
          </w:pPr>
          <w:hyperlink w:anchor="_Toc154134535" w:history="1">
            <w:r w:rsidR="004F1B9E" w:rsidRPr="00022456">
              <w:rPr>
                <w:rStyle w:val="Hyperlink"/>
                <w:noProof/>
              </w:rPr>
              <w:t>Proposed action following independent expert advice</w:t>
            </w:r>
            <w:r w:rsidR="004F1B9E">
              <w:rPr>
                <w:noProof/>
                <w:webHidden/>
              </w:rPr>
              <w:tab/>
            </w:r>
            <w:r w:rsidR="004F1B9E">
              <w:rPr>
                <w:noProof/>
                <w:webHidden/>
              </w:rPr>
              <w:fldChar w:fldCharType="begin"/>
            </w:r>
            <w:r w:rsidR="004F1B9E">
              <w:rPr>
                <w:noProof/>
                <w:webHidden/>
              </w:rPr>
              <w:instrText xml:space="preserve"> PAGEREF _Toc154134535 \h </w:instrText>
            </w:r>
            <w:r w:rsidR="004F1B9E">
              <w:rPr>
                <w:noProof/>
                <w:webHidden/>
              </w:rPr>
            </w:r>
            <w:r w:rsidR="004F1B9E">
              <w:rPr>
                <w:noProof/>
                <w:webHidden/>
              </w:rPr>
              <w:fldChar w:fldCharType="separate"/>
            </w:r>
            <w:r w:rsidR="00D536D6">
              <w:rPr>
                <w:noProof/>
                <w:webHidden/>
              </w:rPr>
              <w:t>44</w:t>
            </w:r>
            <w:r w:rsidR="004F1B9E">
              <w:rPr>
                <w:noProof/>
                <w:webHidden/>
              </w:rPr>
              <w:fldChar w:fldCharType="end"/>
            </w:r>
          </w:hyperlink>
        </w:p>
        <w:p w14:paraId="6F53679F" w14:textId="4FE50191" w:rsidR="004F1B9E" w:rsidRDefault="005E7FD8">
          <w:pPr>
            <w:pStyle w:val="TOC1"/>
            <w:rPr>
              <w:rFonts w:asciiTheme="minorHAnsi" w:eastAsiaTheme="minorEastAsia" w:hAnsiTheme="minorHAnsi" w:cstheme="minorBidi"/>
              <w:b w:val="0"/>
              <w:noProof/>
              <w:color w:val="auto"/>
              <w:sz w:val="22"/>
              <w:szCs w:val="22"/>
              <w:lang w:eastAsia="en-AU"/>
            </w:rPr>
          </w:pPr>
          <w:hyperlink w:anchor="_Toc154134536" w:history="1">
            <w:r w:rsidR="004F1B9E" w:rsidRPr="00022456">
              <w:rPr>
                <w:rStyle w:val="Hyperlink"/>
                <w:noProof/>
              </w:rPr>
              <w:t>Outcome</w:t>
            </w:r>
            <w:r w:rsidR="004F1B9E">
              <w:rPr>
                <w:noProof/>
                <w:webHidden/>
              </w:rPr>
              <w:tab/>
            </w:r>
            <w:r w:rsidR="004F1B9E">
              <w:rPr>
                <w:noProof/>
                <w:webHidden/>
              </w:rPr>
              <w:fldChar w:fldCharType="begin"/>
            </w:r>
            <w:r w:rsidR="004F1B9E">
              <w:rPr>
                <w:noProof/>
                <w:webHidden/>
              </w:rPr>
              <w:instrText xml:space="preserve"> PAGEREF _Toc154134536 \h </w:instrText>
            </w:r>
            <w:r w:rsidR="004F1B9E">
              <w:rPr>
                <w:noProof/>
                <w:webHidden/>
              </w:rPr>
            </w:r>
            <w:r w:rsidR="004F1B9E">
              <w:rPr>
                <w:noProof/>
                <w:webHidden/>
              </w:rPr>
              <w:fldChar w:fldCharType="separate"/>
            </w:r>
            <w:r w:rsidR="00D536D6">
              <w:rPr>
                <w:noProof/>
                <w:webHidden/>
              </w:rPr>
              <w:t>45</w:t>
            </w:r>
            <w:r w:rsidR="004F1B9E">
              <w:rPr>
                <w:noProof/>
                <w:webHidden/>
              </w:rPr>
              <w:fldChar w:fldCharType="end"/>
            </w:r>
          </w:hyperlink>
        </w:p>
        <w:p w14:paraId="6DBB3D3D" w14:textId="6AD8D25D" w:rsidR="004F1B9E" w:rsidRDefault="005E7FD8">
          <w:pPr>
            <w:pStyle w:val="TOC2"/>
            <w:rPr>
              <w:rFonts w:asciiTheme="minorHAnsi" w:eastAsiaTheme="minorEastAsia" w:hAnsiTheme="minorHAnsi" w:cstheme="minorBidi"/>
              <w:b w:val="0"/>
              <w:noProof/>
              <w:color w:val="auto"/>
              <w:sz w:val="22"/>
              <w:szCs w:val="22"/>
              <w:lang w:eastAsia="en-AU"/>
            </w:rPr>
          </w:pPr>
          <w:hyperlink w:anchor="_Toc154134537" w:history="1">
            <w:r w:rsidR="004F1B9E" w:rsidRPr="00022456">
              <w:rPr>
                <w:rStyle w:val="Hyperlink"/>
                <w:noProof/>
              </w:rPr>
              <w:t>Specific conditions of registration applying to these goods</w:t>
            </w:r>
            <w:r w:rsidR="004F1B9E">
              <w:rPr>
                <w:noProof/>
                <w:webHidden/>
              </w:rPr>
              <w:tab/>
            </w:r>
            <w:r w:rsidR="004F1B9E">
              <w:rPr>
                <w:noProof/>
                <w:webHidden/>
              </w:rPr>
              <w:fldChar w:fldCharType="begin"/>
            </w:r>
            <w:r w:rsidR="004F1B9E">
              <w:rPr>
                <w:noProof/>
                <w:webHidden/>
              </w:rPr>
              <w:instrText xml:space="preserve"> PAGEREF _Toc154134537 \h </w:instrText>
            </w:r>
            <w:r w:rsidR="004F1B9E">
              <w:rPr>
                <w:noProof/>
                <w:webHidden/>
              </w:rPr>
            </w:r>
            <w:r w:rsidR="004F1B9E">
              <w:rPr>
                <w:noProof/>
                <w:webHidden/>
              </w:rPr>
              <w:fldChar w:fldCharType="separate"/>
            </w:r>
            <w:r w:rsidR="00D536D6">
              <w:rPr>
                <w:noProof/>
                <w:webHidden/>
              </w:rPr>
              <w:t>45</w:t>
            </w:r>
            <w:r w:rsidR="004F1B9E">
              <w:rPr>
                <w:noProof/>
                <w:webHidden/>
              </w:rPr>
              <w:fldChar w:fldCharType="end"/>
            </w:r>
          </w:hyperlink>
        </w:p>
        <w:p w14:paraId="43293E60" w14:textId="38806F6F" w:rsidR="004F1B9E" w:rsidRDefault="005E7FD8">
          <w:pPr>
            <w:pStyle w:val="TOC1"/>
            <w:rPr>
              <w:rFonts w:asciiTheme="minorHAnsi" w:eastAsiaTheme="minorEastAsia" w:hAnsiTheme="minorHAnsi" w:cstheme="minorBidi"/>
              <w:b w:val="0"/>
              <w:noProof/>
              <w:color w:val="auto"/>
              <w:sz w:val="22"/>
              <w:szCs w:val="22"/>
              <w:lang w:eastAsia="en-AU"/>
            </w:rPr>
          </w:pPr>
          <w:hyperlink w:anchor="_Toc154134538" w:history="1">
            <w:r w:rsidR="004F1B9E" w:rsidRPr="00022456">
              <w:rPr>
                <w:rStyle w:val="Hyperlink"/>
                <w:noProof/>
              </w:rPr>
              <w:t>Attachment 1. Product Information</w:t>
            </w:r>
            <w:r w:rsidR="004F1B9E">
              <w:rPr>
                <w:noProof/>
                <w:webHidden/>
              </w:rPr>
              <w:tab/>
            </w:r>
            <w:r w:rsidR="004F1B9E">
              <w:rPr>
                <w:noProof/>
                <w:webHidden/>
              </w:rPr>
              <w:fldChar w:fldCharType="begin"/>
            </w:r>
            <w:r w:rsidR="004F1B9E">
              <w:rPr>
                <w:noProof/>
                <w:webHidden/>
              </w:rPr>
              <w:instrText xml:space="preserve"> PAGEREF _Toc154134538 \h </w:instrText>
            </w:r>
            <w:r w:rsidR="004F1B9E">
              <w:rPr>
                <w:noProof/>
                <w:webHidden/>
              </w:rPr>
            </w:r>
            <w:r w:rsidR="004F1B9E">
              <w:rPr>
                <w:noProof/>
                <w:webHidden/>
              </w:rPr>
              <w:fldChar w:fldCharType="separate"/>
            </w:r>
            <w:r w:rsidR="00D536D6">
              <w:rPr>
                <w:noProof/>
                <w:webHidden/>
              </w:rPr>
              <w:t>46</w:t>
            </w:r>
            <w:r w:rsidR="004F1B9E">
              <w:rPr>
                <w:noProof/>
                <w:webHidden/>
              </w:rPr>
              <w:fldChar w:fldCharType="end"/>
            </w:r>
          </w:hyperlink>
        </w:p>
        <w:p w14:paraId="77659F2D" w14:textId="2B4A0570" w:rsidR="00F02AEC" w:rsidRPr="00215D48" w:rsidRDefault="00F02AEC" w:rsidP="007452E8">
          <w:r w:rsidRPr="00215D48">
            <w:rPr>
              <w:color w:val="2B579A"/>
              <w:shd w:val="clear" w:color="auto" w:fill="E6E6E6"/>
            </w:rPr>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0" w:name="_Toc98931917"/>
      <w:bookmarkStart w:id="1" w:name="_Toc103679287"/>
      <w:bookmarkStart w:id="2" w:name="_Toc154134511"/>
      <w:bookmarkStart w:id="3" w:name="_Toc323739589"/>
      <w:bookmarkStart w:id="4" w:name="_Toc356305216"/>
      <w:r>
        <w:lastRenderedPageBreak/>
        <w:t>List of abbreviations</w:t>
      </w:r>
      <w:bookmarkEnd w:id="0"/>
      <w:bookmarkEnd w:id="1"/>
      <w:bookmarkEnd w:id="2"/>
    </w:p>
    <w:tbl>
      <w:tblPr>
        <w:tblStyle w:val="TableTGAblue2023"/>
        <w:tblW w:w="5000" w:type="pct"/>
        <w:tblLook w:val="04A0" w:firstRow="1" w:lastRow="0" w:firstColumn="1" w:lastColumn="0" w:noHBand="0" w:noVBand="1"/>
      </w:tblPr>
      <w:tblGrid>
        <w:gridCol w:w="2174"/>
        <w:gridCol w:w="6886"/>
      </w:tblGrid>
      <w:tr w:rsidR="00324B33" w:rsidRPr="00D01DDB"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D01DDB" w:rsidRDefault="00324B33" w:rsidP="00324B33">
            <w:pPr>
              <w:rPr>
                <w:szCs w:val="22"/>
              </w:rPr>
            </w:pPr>
            <w:r w:rsidRPr="00D01DDB">
              <w:rPr>
                <w:szCs w:val="22"/>
              </w:rPr>
              <w:t>Abbreviation</w:t>
            </w:r>
          </w:p>
        </w:tc>
        <w:tc>
          <w:tcPr>
            <w:tcW w:w="3800" w:type="pct"/>
          </w:tcPr>
          <w:p w14:paraId="4CF6D0CD" w14:textId="2974FA0B"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324B33" w:rsidRPr="00D01DDB" w14:paraId="35340A5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D8B9F80" w14:textId="51457778" w:rsidR="00324B33" w:rsidRPr="00D01DDB" w:rsidRDefault="00215017" w:rsidP="00324B33">
            <w:pPr>
              <w:rPr>
                <w:szCs w:val="22"/>
              </w:rPr>
            </w:pPr>
            <w:r>
              <w:rPr>
                <w:szCs w:val="22"/>
              </w:rPr>
              <w:t>AE</w:t>
            </w:r>
          </w:p>
        </w:tc>
        <w:tc>
          <w:tcPr>
            <w:tcW w:w="3800" w:type="pct"/>
          </w:tcPr>
          <w:p w14:paraId="5072E244" w14:textId="731342AD" w:rsidR="00324B33" w:rsidRPr="00D01DDB" w:rsidRDefault="0021501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Adverse event(s)</w:t>
            </w:r>
          </w:p>
        </w:tc>
      </w:tr>
      <w:tr w:rsidR="00972BB0" w:rsidRPr="00D01DDB" w14:paraId="5315433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A69B17A" w14:textId="58A25AF9" w:rsidR="00972BB0" w:rsidRDefault="00972BB0" w:rsidP="00324B33">
            <w:pPr>
              <w:rPr>
                <w:szCs w:val="22"/>
              </w:rPr>
            </w:pPr>
            <w:r>
              <w:rPr>
                <w:szCs w:val="22"/>
              </w:rPr>
              <w:t>ALT</w:t>
            </w:r>
          </w:p>
        </w:tc>
        <w:tc>
          <w:tcPr>
            <w:tcW w:w="3800" w:type="pct"/>
          </w:tcPr>
          <w:p w14:paraId="13CA4DBF" w14:textId="208ACEDA" w:rsidR="00972BB0" w:rsidRDefault="00972BB0" w:rsidP="00324B33">
            <w:pPr>
              <w:cnfStyle w:val="000000000000" w:firstRow="0" w:lastRow="0" w:firstColumn="0" w:lastColumn="0" w:oddVBand="0" w:evenVBand="0" w:oddHBand="0" w:evenHBand="0" w:firstRowFirstColumn="0" w:firstRowLastColumn="0" w:lastRowFirstColumn="0" w:lastRowLastColumn="0"/>
              <w:rPr>
                <w:szCs w:val="22"/>
              </w:rPr>
            </w:pPr>
            <w:r w:rsidRPr="00972BB0">
              <w:rPr>
                <w:szCs w:val="22"/>
              </w:rPr>
              <w:t>Alanine transaminase</w:t>
            </w:r>
          </w:p>
        </w:tc>
      </w:tr>
      <w:tr w:rsidR="00B651DF" w:rsidRPr="00D01DDB" w14:paraId="504648C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3BE42A5" w14:textId="3C8B4C87" w:rsidR="00B651DF" w:rsidRDefault="00B651DF" w:rsidP="00324B33">
            <w:pPr>
              <w:rPr>
                <w:szCs w:val="22"/>
              </w:rPr>
            </w:pPr>
            <w:r>
              <w:t>AJCC</w:t>
            </w:r>
          </w:p>
        </w:tc>
        <w:tc>
          <w:tcPr>
            <w:tcW w:w="3800" w:type="pct"/>
          </w:tcPr>
          <w:p w14:paraId="550F8AA2" w14:textId="30DC73AD" w:rsidR="00B651DF" w:rsidRPr="00972BB0" w:rsidRDefault="00B651DF" w:rsidP="00324B33">
            <w:pPr>
              <w:cnfStyle w:val="000000000000" w:firstRow="0" w:lastRow="0" w:firstColumn="0" w:lastColumn="0" w:oddVBand="0" w:evenVBand="0" w:oddHBand="0" w:evenHBand="0" w:firstRowFirstColumn="0" w:firstRowLastColumn="0" w:lastRowFirstColumn="0" w:lastRowLastColumn="0"/>
              <w:rPr>
                <w:szCs w:val="22"/>
              </w:rPr>
            </w:pPr>
            <w:r w:rsidRPr="0078184E">
              <w:t>American Joint Committee on Cancer</w:t>
            </w:r>
          </w:p>
        </w:tc>
      </w:tr>
      <w:tr w:rsidR="00324B33" w:rsidRPr="00D01DDB" w14:paraId="696546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3A7AEA" w14:textId="6D49EBE6" w:rsidR="00324B33" w:rsidRPr="00D01DDB" w:rsidRDefault="00324B33" w:rsidP="00324B33">
            <w:pPr>
              <w:rPr>
                <w:szCs w:val="22"/>
              </w:rPr>
            </w:pPr>
            <w:r w:rsidRPr="00D01DDB">
              <w:rPr>
                <w:szCs w:val="22"/>
              </w:rPr>
              <w:t>ARTG</w:t>
            </w:r>
          </w:p>
        </w:tc>
        <w:tc>
          <w:tcPr>
            <w:tcW w:w="3800" w:type="pct"/>
          </w:tcPr>
          <w:p w14:paraId="228A203A" w14:textId="47EBCFA3"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Australian Register of Therapeutic Goods</w:t>
            </w:r>
          </w:p>
        </w:tc>
      </w:tr>
      <w:tr w:rsidR="00324B33" w:rsidRPr="00D01DDB" w14:paraId="0536676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0516A80" w14:textId="1329E9D5" w:rsidR="00324B33" w:rsidRPr="00D01DDB" w:rsidRDefault="00324B33" w:rsidP="00324B33">
            <w:pPr>
              <w:rPr>
                <w:szCs w:val="22"/>
              </w:rPr>
            </w:pPr>
            <w:r w:rsidRPr="00D01DDB">
              <w:rPr>
                <w:szCs w:val="22"/>
              </w:rPr>
              <w:t>ASA</w:t>
            </w:r>
          </w:p>
        </w:tc>
        <w:tc>
          <w:tcPr>
            <w:tcW w:w="3800" w:type="pct"/>
          </w:tcPr>
          <w:p w14:paraId="4E6F5284" w14:textId="38F2CDC3"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w:t>
            </w:r>
            <w:r w:rsidR="008F37C9">
              <w:rPr>
                <w:szCs w:val="22"/>
              </w:rPr>
              <w:t>-</w:t>
            </w:r>
            <w:r w:rsidRPr="00D01DDB">
              <w:rPr>
                <w:szCs w:val="22"/>
              </w:rPr>
              <w:t>specific annex</w:t>
            </w:r>
          </w:p>
        </w:tc>
      </w:tr>
      <w:tr w:rsidR="00972BB0" w:rsidRPr="00D01DDB" w14:paraId="76F0B5A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EF725E4" w14:textId="30599B7E" w:rsidR="00972BB0" w:rsidRPr="00D01DDB" w:rsidRDefault="00972BB0" w:rsidP="00324B33">
            <w:pPr>
              <w:rPr>
                <w:szCs w:val="22"/>
              </w:rPr>
            </w:pPr>
            <w:r>
              <w:rPr>
                <w:szCs w:val="22"/>
              </w:rPr>
              <w:t>AST</w:t>
            </w:r>
          </w:p>
        </w:tc>
        <w:tc>
          <w:tcPr>
            <w:tcW w:w="3800" w:type="pct"/>
          </w:tcPr>
          <w:p w14:paraId="2A757405" w14:textId="228CC035" w:rsidR="00972BB0" w:rsidRPr="00D01DDB" w:rsidRDefault="00972BB0" w:rsidP="00324B33">
            <w:pPr>
              <w:cnfStyle w:val="000000000000" w:firstRow="0" w:lastRow="0" w:firstColumn="0" w:lastColumn="0" w:oddVBand="0" w:evenVBand="0" w:oddHBand="0" w:evenHBand="0" w:firstRowFirstColumn="0" w:firstRowLastColumn="0" w:lastRowFirstColumn="0" w:lastRowLastColumn="0"/>
              <w:rPr>
                <w:szCs w:val="22"/>
              </w:rPr>
            </w:pPr>
            <w:r w:rsidRPr="00972BB0">
              <w:rPr>
                <w:szCs w:val="22"/>
              </w:rPr>
              <w:t>Aspartate transferase</w:t>
            </w:r>
          </w:p>
        </w:tc>
      </w:tr>
      <w:tr w:rsidR="00C32FDF" w:rsidRPr="00D01DDB" w14:paraId="2765249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EFFEC3E" w14:textId="5552B4C4" w:rsidR="00C32FDF" w:rsidRDefault="00C32FDF" w:rsidP="00324B33">
            <w:pPr>
              <w:rPr>
                <w:szCs w:val="22"/>
              </w:rPr>
            </w:pPr>
            <w:r>
              <w:rPr>
                <w:szCs w:val="22"/>
              </w:rPr>
              <w:t>AUC</w:t>
            </w:r>
          </w:p>
        </w:tc>
        <w:tc>
          <w:tcPr>
            <w:tcW w:w="3800" w:type="pct"/>
          </w:tcPr>
          <w:p w14:paraId="2B16DE91" w14:textId="0FA4EEC1" w:rsidR="00C32FDF" w:rsidRPr="00972BB0" w:rsidRDefault="00C32FD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A</w:t>
            </w:r>
            <w:r w:rsidRPr="00C32FDF">
              <w:rPr>
                <w:szCs w:val="22"/>
              </w:rPr>
              <w:t>rea under the concentration versus time curve</w:t>
            </w:r>
          </w:p>
        </w:tc>
      </w:tr>
      <w:tr w:rsidR="00B2486B" w:rsidRPr="00D01DDB" w14:paraId="53EB8C6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4139FDE" w14:textId="6B44FA8A" w:rsidR="00B2486B" w:rsidRDefault="00B2486B" w:rsidP="00324B33">
            <w:pPr>
              <w:rPr>
                <w:szCs w:val="22"/>
              </w:rPr>
            </w:pPr>
            <w:r>
              <w:rPr>
                <w:szCs w:val="22"/>
              </w:rPr>
              <w:t>BICR</w:t>
            </w:r>
          </w:p>
        </w:tc>
        <w:tc>
          <w:tcPr>
            <w:tcW w:w="3800" w:type="pct"/>
          </w:tcPr>
          <w:p w14:paraId="6FE8E023" w14:textId="7E934FB4" w:rsidR="00B2486B" w:rsidRDefault="00B2486B" w:rsidP="00324B33">
            <w:pPr>
              <w:cnfStyle w:val="000000000000" w:firstRow="0" w:lastRow="0" w:firstColumn="0" w:lastColumn="0" w:oddVBand="0" w:evenVBand="0" w:oddHBand="0" w:evenHBand="0" w:firstRowFirstColumn="0" w:firstRowLastColumn="0" w:lastRowFirstColumn="0" w:lastRowLastColumn="0"/>
              <w:rPr>
                <w:szCs w:val="22"/>
              </w:rPr>
            </w:pPr>
            <w:r>
              <w:t>Blinded independent central review</w:t>
            </w:r>
          </w:p>
        </w:tc>
      </w:tr>
      <w:tr w:rsidR="00395140" w:rsidRPr="00D01DDB" w14:paraId="7694A4E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C18809" w14:textId="14711A93" w:rsidR="00395140" w:rsidRPr="00D01DDB" w:rsidRDefault="00395140" w:rsidP="00324B33">
            <w:pPr>
              <w:rPr>
                <w:szCs w:val="22"/>
              </w:rPr>
            </w:pPr>
            <w:r w:rsidRPr="00D01DDB">
              <w:rPr>
                <w:szCs w:val="22"/>
              </w:rPr>
              <w:t>CMI</w:t>
            </w:r>
          </w:p>
        </w:tc>
        <w:tc>
          <w:tcPr>
            <w:tcW w:w="3800" w:type="pct"/>
          </w:tcPr>
          <w:p w14:paraId="5D8C9DF5" w14:textId="60C23379" w:rsidR="00395140" w:rsidRPr="00D01DDB" w:rsidRDefault="00395140"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Consumer Medicines Information</w:t>
            </w:r>
          </w:p>
        </w:tc>
      </w:tr>
      <w:tr w:rsidR="00D82B85" w:rsidRPr="00D01DDB" w14:paraId="45E9531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2A2F93A" w14:textId="3E0AFD03" w:rsidR="00D82B85" w:rsidRPr="00D01DDB" w:rsidRDefault="00D82B85" w:rsidP="00324B33">
            <w:pPr>
              <w:rPr>
                <w:szCs w:val="22"/>
              </w:rPr>
            </w:pPr>
            <w:proofErr w:type="spellStart"/>
            <w:proofErr w:type="gramStart"/>
            <w:r w:rsidRPr="00327B09">
              <w:t>C</w:t>
            </w:r>
            <w:r w:rsidRPr="00D82B85">
              <w:rPr>
                <w:vertAlign w:val="subscript"/>
              </w:rPr>
              <w:t>max</w:t>
            </w:r>
            <w:r w:rsidR="00666068">
              <w:rPr>
                <w:vertAlign w:val="subscript"/>
              </w:rPr>
              <w:t>,</w:t>
            </w:r>
            <w:r w:rsidRPr="00D82B85">
              <w:rPr>
                <w:vertAlign w:val="subscript"/>
              </w:rPr>
              <w:t>ss</w:t>
            </w:r>
            <w:proofErr w:type="spellEnd"/>
            <w:proofErr w:type="gramEnd"/>
          </w:p>
        </w:tc>
        <w:tc>
          <w:tcPr>
            <w:tcW w:w="3800" w:type="pct"/>
          </w:tcPr>
          <w:p w14:paraId="71402C1D" w14:textId="01D6A7B6" w:rsidR="00D82B85" w:rsidRPr="00D01DDB" w:rsidRDefault="00654902" w:rsidP="00324B33">
            <w:pPr>
              <w:cnfStyle w:val="000000000000" w:firstRow="0" w:lastRow="0" w:firstColumn="0" w:lastColumn="0" w:oddVBand="0" w:evenVBand="0" w:oddHBand="0" w:evenHBand="0" w:firstRowFirstColumn="0" w:firstRowLastColumn="0" w:lastRowFirstColumn="0" w:lastRowLastColumn="0"/>
              <w:rPr>
                <w:szCs w:val="22"/>
              </w:rPr>
            </w:pPr>
            <w:r>
              <w:t>M</w:t>
            </w:r>
            <w:r w:rsidR="00D82B85">
              <w:t>aximum concentration at steady</w:t>
            </w:r>
            <w:r w:rsidR="00901FA0">
              <w:t xml:space="preserve"> </w:t>
            </w:r>
            <w:r w:rsidR="00D82B85">
              <w:t>state</w:t>
            </w:r>
          </w:p>
        </w:tc>
      </w:tr>
      <w:tr w:rsidR="00972BB0" w:rsidRPr="00D01DDB" w14:paraId="670DDC7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E5AECCE" w14:textId="1CE3CD2C" w:rsidR="00972BB0" w:rsidRPr="00D01DDB" w:rsidRDefault="00972BB0" w:rsidP="00324B33">
            <w:pPr>
              <w:rPr>
                <w:szCs w:val="22"/>
              </w:rPr>
            </w:pPr>
            <w:r>
              <w:rPr>
                <w:szCs w:val="22"/>
              </w:rPr>
              <w:t>CNS</w:t>
            </w:r>
          </w:p>
        </w:tc>
        <w:tc>
          <w:tcPr>
            <w:tcW w:w="3800" w:type="pct"/>
          </w:tcPr>
          <w:p w14:paraId="013B9D4A" w14:textId="76B7ED18" w:rsidR="00972BB0" w:rsidRPr="00D01DDB" w:rsidRDefault="00972BB0" w:rsidP="00324B33">
            <w:pPr>
              <w:cnfStyle w:val="000000000000" w:firstRow="0" w:lastRow="0" w:firstColumn="0" w:lastColumn="0" w:oddVBand="0" w:evenVBand="0" w:oddHBand="0" w:evenHBand="0" w:firstRowFirstColumn="0" w:firstRowLastColumn="0" w:lastRowFirstColumn="0" w:lastRowLastColumn="0"/>
              <w:rPr>
                <w:szCs w:val="22"/>
              </w:rPr>
            </w:pPr>
            <w:r>
              <w:t>Central nervous system</w:t>
            </w:r>
          </w:p>
        </w:tc>
      </w:tr>
      <w:tr w:rsidR="00972BB0" w:rsidRPr="00D01DDB" w14:paraId="1364E80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A7DD685" w14:textId="7B453BF3" w:rsidR="00972BB0" w:rsidRPr="00D01DDB" w:rsidRDefault="00972BB0" w:rsidP="00972BB0">
            <w:pPr>
              <w:rPr>
                <w:szCs w:val="22"/>
              </w:rPr>
            </w:pPr>
            <w:r>
              <w:t>COVID-19</w:t>
            </w:r>
          </w:p>
        </w:tc>
        <w:tc>
          <w:tcPr>
            <w:tcW w:w="3800" w:type="pct"/>
          </w:tcPr>
          <w:p w14:paraId="489B930B" w14:textId="122F4CBF" w:rsidR="00972BB0" w:rsidRPr="00D01DDB" w:rsidRDefault="00972BB0" w:rsidP="00972BB0">
            <w:pPr>
              <w:cnfStyle w:val="000000000000" w:firstRow="0" w:lastRow="0" w:firstColumn="0" w:lastColumn="0" w:oddVBand="0" w:evenVBand="0" w:oddHBand="0" w:evenHBand="0" w:firstRowFirstColumn="0" w:firstRowLastColumn="0" w:lastRowFirstColumn="0" w:lastRowLastColumn="0"/>
              <w:rPr>
                <w:szCs w:val="22"/>
              </w:rPr>
            </w:pPr>
            <w:r>
              <w:t>Coronavirus disease 2019</w:t>
            </w:r>
          </w:p>
        </w:tc>
      </w:tr>
      <w:tr w:rsidR="00D805CE" w:rsidRPr="00D01DDB" w14:paraId="3FC8A15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744B48C" w14:textId="0A489E54" w:rsidR="00D805CE" w:rsidRDefault="00D805CE" w:rsidP="00972BB0">
            <w:r>
              <w:t>CTLA-4</w:t>
            </w:r>
          </w:p>
        </w:tc>
        <w:tc>
          <w:tcPr>
            <w:tcW w:w="3800" w:type="pct"/>
          </w:tcPr>
          <w:p w14:paraId="41CF10E9" w14:textId="2BF489B7" w:rsidR="00D805CE" w:rsidRDefault="00D805CE" w:rsidP="00972BB0">
            <w:pPr>
              <w:cnfStyle w:val="000000000000" w:firstRow="0" w:lastRow="0" w:firstColumn="0" w:lastColumn="0" w:oddVBand="0" w:evenVBand="0" w:oddHBand="0" w:evenHBand="0" w:firstRowFirstColumn="0" w:firstRowLastColumn="0" w:lastRowFirstColumn="0" w:lastRowLastColumn="0"/>
            </w:pPr>
            <w:r>
              <w:t>Cytotoxic T-lymphocyte antigen-4</w:t>
            </w:r>
          </w:p>
        </w:tc>
      </w:tr>
      <w:tr w:rsidR="00324B33" w:rsidRPr="00D01DDB" w14:paraId="7B87377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E05B04" w14:textId="0D6731AA" w:rsidR="00324B33" w:rsidRPr="00D01DDB" w:rsidRDefault="00324B33" w:rsidP="00324B33">
            <w:pPr>
              <w:rPr>
                <w:szCs w:val="22"/>
              </w:rPr>
            </w:pPr>
            <w:r w:rsidRPr="00D01DDB">
              <w:rPr>
                <w:szCs w:val="22"/>
              </w:rPr>
              <w:t>DLP</w:t>
            </w:r>
          </w:p>
        </w:tc>
        <w:tc>
          <w:tcPr>
            <w:tcW w:w="3800" w:type="pct"/>
          </w:tcPr>
          <w:p w14:paraId="26109D0B" w14:textId="4AE8F60A"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Data lock point</w:t>
            </w:r>
          </w:p>
        </w:tc>
      </w:tr>
      <w:tr w:rsidR="003A14B7" w:rsidRPr="00D01DDB" w14:paraId="2061DD9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2BBB92F" w14:textId="3F925779" w:rsidR="003A14B7" w:rsidRPr="00D01DDB" w:rsidRDefault="003A14B7" w:rsidP="00324B33">
            <w:pPr>
              <w:rPr>
                <w:szCs w:val="22"/>
              </w:rPr>
            </w:pPr>
            <w:r>
              <w:rPr>
                <w:szCs w:val="22"/>
              </w:rPr>
              <w:t>EC</w:t>
            </w:r>
            <w:r w:rsidRPr="003A14B7">
              <w:rPr>
                <w:szCs w:val="22"/>
                <w:vertAlign w:val="subscript"/>
              </w:rPr>
              <w:t>50</w:t>
            </w:r>
          </w:p>
        </w:tc>
        <w:tc>
          <w:tcPr>
            <w:tcW w:w="3800" w:type="pct"/>
          </w:tcPr>
          <w:p w14:paraId="76BBDEDE" w14:textId="290DAD1A" w:rsidR="003A14B7" w:rsidRPr="00D01DDB" w:rsidRDefault="003A14B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H</w:t>
            </w:r>
            <w:r w:rsidRPr="003A14B7">
              <w:rPr>
                <w:szCs w:val="22"/>
              </w:rPr>
              <w:t>alf</w:t>
            </w:r>
            <w:r w:rsidR="00567387">
              <w:rPr>
                <w:szCs w:val="22"/>
              </w:rPr>
              <w:t>-</w:t>
            </w:r>
            <w:r w:rsidRPr="003A14B7">
              <w:rPr>
                <w:szCs w:val="22"/>
              </w:rPr>
              <w:t>maximal effective concentration</w:t>
            </w:r>
          </w:p>
        </w:tc>
      </w:tr>
      <w:tr w:rsidR="00EE178F" w:rsidRPr="00D01DDB" w14:paraId="69AC4FD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DA2325C" w14:textId="2FA87818" w:rsidR="00EE178F" w:rsidRDefault="00EE178F" w:rsidP="00324B33">
            <w:pPr>
              <w:rPr>
                <w:szCs w:val="22"/>
              </w:rPr>
            </w:pPr>
            <w:r w:rsidRPr="00EE178F">
              <w:rPr>
                <w:szCs w:val="22"/>
              </w:rPr>
              <w:t>ECOG</w:t>
            </w:r>
          </w:p>
        </w:tc>
        <w:tc>
          <w:tcPr>
            <w:tcW w:w="3800" w:type="pct"/>
          </w:tcPr>
          <w:p w14:paraId="6272D042" w14:textId="6E769419" w:rsidR="00EE178F" w:rsidRDefault="00EE178F" w:rsidP="00324B33">
            <w:pPr>
              <w:cnfStyle w:val="000000000000" w:firstRow="0" w:lastRow="0" w:firstColumn="0" w:lastColumn="0" w:oddVBand="0" w:evenVBand="0" w:oddHBand="0" w:evenHBand="0" w:firstRowFirstColumn="0" w:firstRowLastColumn="0" w:lastRowFirstColumn="0" w:lastRowLastColumn="0"/>
              <w:rPr>
                <w:szCs w:val="22"/>
              </w:rPr>
            </w:pPr>
            <w:r w:rsidRPr="00EE178F">
              <w:rPr>
                <w:szCs w:val="22"/>
              </w:rPr>
              <w:t>Eastern Cooperative Oncology Group</w:t>
            </w:r>
          </w:p>
        </w:tc>
      </w:tr>
      <w:tr w:rsidR="003D1296" w:rsidRPr="00D01DDB" w14:paraId="0215E1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78D74DF" w14:textId="28C10D56" w:rsidR="003D1296" w:rsidRDefault="003D1296" w:rsidP="00324B33">
            <w:pPr>
              <w:rPr>
                <w:szCs w:val="22"/>
              </w:rPr>
            </w:pPr>
            <w:r>
              <w:rPr>
                <w:szCs w:val="22"/>
              </w:rPr>
              <w:t>EU</w:t>
            </w:r>
          </w:p>
        </w:tc>
        <w:tc>
          <w:tcPr>
            <w:tcW w:w="3800" w:type="pct"/>
          </w:tcPr>
          <w:p w14:paraId="18C96AE0" w14:textId="56F5968D" w:rsidR="003D1296" w:rsidRDefault="003D1296"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European Union</w:t>
            </w:r>
          </w:p>
        </w:tc>
      </w:tr>
      <w:tr w:rsidR="00215017" w:rsidRPr="00D01DDB" w14:paraId="22501D7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729AF8F" w14:textId="624A2ABE" w:rsidR="00215017" w:rsidRPr="00D01DDB" w:rsidRDefault="00215017" w:rsidP="00324B33">
            <w:pPr>
              <w:rPr>
                <w:szCs w:val="22"/>
              </w:rPr>
            </w:pPr>
            <w:r>
              <w:rPr>
                <w:szCs w:val="22"/>
              </w:rPr>
              <w:t>FDA</w:t>
            </w:r>
          </w:p>
        </w:tc>
        <w:tc>
          <w:tcPr>
            <w:tcW w:w="3800" w:type="pct"/>
          </w:tcPr>
          <w:p w14:paraId="0540CEF4" w14:textId="523A8D5D" w:rsidR="00215017" w:rsidRPr="00D01DDB" w:rsidRDefault="0021501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Food and Drug Administration (United States of America)</w:t>
            </w:r>
          </w:p>
        </w:tc>
      </w:tr>
      <w:tr w:rsidR="00972BB0" w:rsidRPr="00D01DDB" w14:paraId="3091DD8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A65C1D0" w14:textId="1FFAD9D4" w:rsidR="00972BB0" w:rsidRDefault="00972BB0" w:rsidP="00324B33">
            <w:pPr>
              <w:rPr>
                <w:szCs w:val="22"/>
              </w:rPr>
            </w:pPr>
            <w:r>
              <w:rPr>
                <w:szCs w:val="22"/>
              </w:rPr>
              <w:t>HLH</w:t>
            </w:r>
          </w:p>
        </w:tc>
        <w:tc>
          <w:tcPr>
            <w:tcW w:w="3800" w:type="pct"/>
          </w:tcPr>
          <w:p w14:paraId="5CC94611" w14:textId="10EA8099" w:rsidR="00972BB0" w:rsidRDefault="00972BB0" w:rsidP="00324B33">
            <w:pPr>
              <w:cnfStyle w:val="000000000000" w:firstRow="0" w:lastRow="0" w:firstColumn="0" w:lastColumn="0" w:oddVBand="0" w:evenVBand="0" w:oddHBand="0" w:evenHBand="0" w:firstRowFirstColumn="0" w:firstRowLastColumn="0" w:lastRowFirstColumn="0" w:lastRowLastColumn="0"/>
              <w:rPr>
                <w:szCs w:val="22"/>
              </w:rPr>
            </w:pPr>
            <w:proofErr w:type="spellStart"/>
            <w:r>
              <w:t>Haemophagocytic</w:t>
            </w:r>
            <w:proofErr w:type="spellEnd"/>
            <w:r>
              <w:t xml:space="preserve"> </w:t>
            </w:r>
            <w:proofErr w:type="spellStart"/>
            <w:r>
              <w:t>lymphohistiocytosis</w:t>
            </w:r>
            <w:proofErr w:type="spellEnd"/>
          </w:p>
        </w:tc>
      </w:tr>
      <w:tr w:rsidR="00E26976" w:rsidRPr="00D01DDB" w14:paraId="2ABBC83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98D6C6D" w14:textId="55C79923" w:rsidR="00E26976" w:rsidRPr="00E26976" w:rsidRDefault="00E26976" w:rsidP="00324B33">
            <w:pPr>
              <w:rPr>
                <w:szCs w:val="22"/>
              </w:rPr>
            </w:pPr>
            <w:r w:rsidRPr="00E26976">
              <w:rPr>
                <w:szCs w:val="22"/>
              </w:rPr>
              <w:t>HR</w:t>
            </w:r>
          </w:p>
        </w:tc>
        <w:tc>
          <w:tcPr>
            <w:tcW w:w="3800" w:type="pct"/>
          </w:tcPr>
          <w:p w14:paraId="718587E8" w14:textId="755DA031" w:rsidR="00E26976" w:rsidRDefault="00E26976" w:rsidP="00324B33">
            <w:pPr>
              <w:cnfStyle w:val="000000000000" w:firstRow="0" w:lastRow="0" w:firstColumn="0" w:lastColumn="0" w:oddVBand="0" w:evenVBand="0" w:oddHBand="0" w:evenHBand="0" w:firstRowFirstColumn="0" w:firstRowLastColumn="0" w:lastRowFirstColumn="0" w:lastRowLastColumn="0"/>
            </w:pPr>
            <w:r w:rsidRPr="00E26976">
              <w:rPr>
                <w:noProof/>
              </w:rPr>
              <w:t>Hazard ratio</w:t>
            </w:r>
          </w:p>
        </w:tc>
      </w:tr>
      <w:tr w:rsidR="00972BB0" w:rsidRPr="00D01DDB" w14:paraId="170D691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86CBE75" w14:textId="2DCA6894" w:rsidR="00972BB0" w:rsidRDefault="00972BB0" w:rsidP="00324B33">
            <w:pPr>
              <w:rPr>
                <w:szCs w:val="22"/>
              </w:rPr>
            </w:pPr>
            <w:r>
              <w:rPr>
                <w:szCs w:val="22"/>
              </w:rPr>
              <w:t>IMAE</w:t>
            </w:r>
          </w:p>
        </w:tc>
        <w:tc>
          <w:tcPr>
            <w:tcW w:w="3800" w:type="pct"/>
          </w:tcPr>
          <w:p w14:paraId="4ED3310C" w14:textId="4F5488EC" w:rsidR="00972BB0" w:rsidRDefault="008F79EB" w:rsidP="00972BB0">
            <w:pPr>
              <w:cnfStyle w:val="000000000000" w:firstRow="0" w:lastRow="0" w:firstColumn="0" w:lastColumn="0" w:oddVBand="0" w:evenVBand="0" w:oddHBand="0" w:evenHBand="0" w:firstRowFirstColumn="0" w:firstRowLastColumn="0" w:lastRowFirstColumn="0" w:lastRowLastColumn="0"/>
              <w:rPr>
                <w:szCs w:val="22"/>
              </w:rPr>
            </w:pPr>
            <w:r>
              <w:t>Immune-mediated</w:t>
            </w:r>
            <w:r w:rsidR="00972BB0" w:rsidRPr="002A1609">
              <w:t xml:space="preserve"> adverse events</w:t>
            </w:r>
          </w:p>
        </w:tc>
      </w:tr>
      <w:tr w:rsidR="00735D03" w:rsidRPr="00D01DDB" w14:paraId="38FC486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F9A3EC3" w14:textId="50E23851" w:rsidR="00735D03" w:rsidRPr="000E296C" w:rsidRDefault="00735D03" w:rsidP="00324B33">
            <w:pPr>
              <w:rPr>
                <w:szCs w:val="22"/>
              </w:rPr>
            </w:pPr>
            <w:r w:rsidRPr="000E296C">
              <w:rPr>
                <w:szCs w:val="22"/>
              </w:rPr>
              <w:t>LAG</w:t>
            </w:r>
            <w:r w:rsidRPr="000E296C">
              <w:rPr>
                <w:szCs w:val="22"/>
              </w:rPr>
              <w:noBreakHyphen/>
              <w:t>3</w:t>
            </w:r>
          </w:p>
        </w:tc>
        <w:tc>
          <w:tcPr>
            <w:tcW w:w="3800" w:type="pct"/>
          </w:tcPr>
          <w:p w14:paraId="4B669203" w14:textId="1C3CEDFC" w:rsidR="00735D03" w:rsidRPr="002A1609" w:rsidRDefault="00735D03" w:rsidP="00972BB0">
            <w:pPr>
              <w:cnfStyle w:val="000000000000" w:firstRow="0" w:lastRow="0" w:firstColumn="0" w:lastColumn="0" w:oddVBand="0" w:evenVBand="0" w:oddHBand="0" w:evenHBand="0" w:firstRowFirstColumn="0" w:firstRowLastColumn="0" w:lastRowFirstColumn="0" w:lastRowLastColumn="0"/>
            </w:pPr>
            <w:r w:rsidRPr="000E296C">
              <w:t>Lymphocyte</w:t>
            </w:r>
            <w:r w:rsidR="000E296C" w:rsidRPr="000E296C">
              <w:noBreakHyphen/>
            </w:r>
            <w:r w:rsidRPr="000E296C">
              <w:t>activation gene 3</w:t>
            </w:r>
          </w:p>
        </w:tc>
      </w:tr>
      <w:tr w:rsidR="00134639" w:rsidRPr="00D01DDB" w14:paraId="1EBB7CF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05D18FA" w14:textId="0CD8D5B4" w:rsidR="00134639" w:rsidRPr="00735D03" w:rsidRDefault="00134639" w:rsidP="00324B33">
            <w:pPr>
              <w:rPr>
                <w:szCs w:val="22"/>
              </w:rPr>
            </w:pPr>
            <w:r>
              <w:rPr>
                <w:szCs w:val="22"/>
              </w:rPr>
              <w:t>LDH</w:t>
            </w:r>
          </w:p>
        </w:tc>
        <w:tc>
          <w:tcPr>
            <w:tcW w:w="3800" w:type="pct"/>
          </w:tcPr>
          <w:p w14:paraId="4E93FF71" w14:textId="4E5D6C19" w:rsidR="00134639" w:rsidRDefault="00134639" w:rsidP="00972BB0">
            <w:pPr>
              <w:cnfStyle w:val="000000000000" w:firstRow="0" w:lastRow="0" w:firstColumn="0" w:lastColumn="0" w:oddVBand="0" w:evenVBand="0" w:oddHBand="0" w:evenHBand="0" w:firstRowFirstColumn="0" w:firstRowLastColumn="0" w:lastRowFirstColumn="0" w:lastRowLastColumn="0"/>
            </w:pPr>
            <w:r>
              <w:t>Lactate dehydrogenase</w:t>
            </w:r>
          </w:p>
        </w:tc>
      </w:tr>
      <w:tr w:rsidR="00B651DF" w:rsidRPr="00D01DDB" w14:paraId="6A4E404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4D848D" w14:textId="0B79A538" w:rsidR="00B651DF" w:rsidRDefault="00B651DF" w:rsidP="00324B33">
            <w:pPr>
              <w:rPr>
                <w:szCs w:val="22"/>
              </w:rPr>
            </w:pPr>
            <w:r w:rsidRPr="005824A4">
              <w:t>MedDRA</w:t>
            </w:r>
          </w:p>
        </w:tc>
        <w:tc>
          <w:tcPr>
            <w:tcW w:w="3800" w:type="pct"/>
          </w:tcPr>
          <w:p w14:paraId="7AE2CFE3" w14:textId="4922F7E4" w:rsidR="00B651DF" w:rsidRDefault="00B651DF" w:rsidP="00972BB0">
            <w:pPr>
              <w:cnfStyle w:val="000000000000" w:firstRow="0" w:lastRow="0" w:firstColumn="0" w:lastColumn="0" w:oddVBand="0" w:evenVBand="0" w:oddHBand="0" w:evenHBand="0" w:firstRowFirstColumn="0" w:firstRowLastColumn="0" w:lastRowFirstColumn="0" w:lastRowLastColumn="0"/>
            </w:pPr>
            <w:r w:rsidRPr="00B651DF">
              <w:t>Medical Dictionary for Regulatory Activities</w:t>
            </w:r>
          </w:p>
        </w:tc>
      </w:tr>
      <w:tr w:rsidR="004D77FC" w:rsidRPr="00D01DDB" w14:paraId="71FE196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AF9E416" w14:textId="13AFE9A5" w:rsidR="004D77FC" w:rsidRPr="00735D03" w:rsidRDefault="004D77FC" w:rsidP="00324B33">
            <w:pPr>
              <w:rPr>
                <w:szCs w:val="22"/>
              </w:rPr>
            </w:pPr>
            <w:r>
              <w:rPr>
                <w:szCs w:val="22"/>
              </w:rPr>
              <w:t>MHC</w:t>
            </w:r>
          </w:p>
        </w:tc>
        <w:tc>
          <w:tcPr>
            <w:tcW w:w="3800" w:type="pct"/>
          </w:tcPr>
          <w:p w14:paraId="0FB01ABA" w14:textId="06EAFA1B" w:rsidR="004D77FC" w:rsidRDefault="004D77FC" w:rsidP="00972BB0">
            <w:pPr>
              <w:cnfStyle w:val="000000000000" w:firstRow="0" w:lastRow="0" w:firstColumn="0" w:lastColumn="0" w:oddVBand="0" w:evenVBand="0" w:oddHBand="0" w:evenHBand="0" w:firstRowFirstColumn="0" w:firstRowLastColumn="0" w:lastRowFirstColumn="0" w:lastRowLastColumn="0"/>
            </w:pPr>
            <w:r>
              <w:rPr>
                <w:iCs/>
              </w:rPr>
              <w:t>M</w:t>
            </w:r>
            <w:r w:rsidRPr="006D5B91">
              <w:rPr>
                <w:iCs/>
              </w:rPr>
              <w:t>ajor histocompatibility complex</w:t>
            </w:r>
          </w:p>
        </w:tc>
      </w:tr>
      <w:tr w:rsidR="00512514" w:rsidRPr="00D01DDB" w14:paraId="7723D71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CA2FACD" w14:textId="5AA1B229" w:rsidR="00512514" w:rsidRDefault="00512514" w:rsidP="00324B33">
            <w:pPr>
              <w:rPr>
                <w:szCs w:val="22"/>
              </w:rPr>
            </w:pPr>
            <w:r>
              <w:rPr>
                <w:szCs w:val="22"/>
              </w:rPr>
              <w:t>OESI</w:t>
            </w:r>
          </w:p>
        </w:tc>
        <w:tc>
          <w:tcPr>
            <w:tcW w:w="3800" w:type="pct"/>
          </w:tcPr>
          <w:p w14:paraId="237C6B0F" w14:textId="0A1C2EBB" w:rsidR="00512514" w:rsidRDefault="00512514" w:rsidP="00972BB0">
            <w:pPr>
              <w:cnfStyle w:val="000000000000" w:firstRow="0" w:lastRow="0" w:firstColumn="0" w:lastColumn="0" w:oddVBand="0" w:evenVBand="0" w:oddHBand="0" w:evenHBand="0" w:firstRowFirstColumn="0" w:firstRowLastColumn="0" w:lastRowFirstColumn="0" w:lastRowLastColumn="0"/>
              <w:rPr>
                <w:iCs/>
              </w:rPr>
            </w:pPr>
            <w:r>
              <w:t>Other events of special interest</w:t>
            </w:r>
          </w:p>
        </w:tc>
      </w:tr>
      <w:tr w:rsidR="00215017" w:rsidRPr="00D01DDB" w14:paraId="6A9BBDF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40DD717" w14:textId="442A7BAA" w:rsidR="00215017" w:rsidRDefault="00215017" w:rsidP="00324B33">
            <w:pPr>
              <w:rPr>
                <w:szCs w:val="22"/>
              </w:rPr>
            </w:pPr>
            <w:r>
              <w:rPr>
                <w:szCs w:val="22"/>
              </w:rPr>
              <w:t>ORR</w:t>
            </w:r>
          </w:p>
        </w:tc>
        <w:tc>
          <w:tcPr>
            <w:tcW w:w="3800" w:type="pct"/>
          </w:tcPr>
          <w:p w14:paraId="62016565" w14:textId="53E3B745" w:rsidR="00215017" w:rsidRDefault="0021501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Objective response rate</w:t>
            </w:r>
          </w:p>
        </w:tc>
      </w:tr>
      <w:tr w:rsidR="00215017" w:rsidRPr="00D01DDB" w14:paraId="699CC15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9494777" w14:textId="7E94A824" w:rsidR="00215017" w:rsidRPr="00D01DDB" w:rsidRDefault="00215017" w:rsidP="00324B33">
            <w:pPr>
              <w:rPr>
                <w:szCs w:val="22"/>
              </w:rPr>
            </w:pPr>
            <w:r>
              <w:rPr>
                <w:szCs w:val="22"/>
              </w:rPr>
              <w:t>OS</w:t>
            </w:r>
          </w:p>
        </w:tc>
        <w:tc>
          <w:tcPr>
            <w:tcW w:w="3800" w:type="pct"/>
          </w:tcPr>
          <w:p w14:paraId="2B474E8A" w14:textId="7AD92668" w:rsidR="00215017" w:rsidRPr="00D01DDB" w:rsidRDefault="0021501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Overall survival</w:t>
            </w:r>
          </w:p>
        </w:tc>
      </w:tr>
      <w:tr w:rsidR="00962D0D" w:rsidRPr="00D01DDB" w14:paraId="6102C6C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7DA4D2" w14:textId="432ED391" w:rsidR="00962D0D" w:rsidRDefault="00962D0D" w:rsidP="00324B33">
            <w:pPr>
              <w:rPr>
                <w:szCs w:val="22"/>
              </w:rPr>
            </w:pPr>
            <w:r>
              <w:rPr>
                <w:szCs w:val="22"/>
              </w:rPr>
              <w:t>PD-1</w:t>
            </w:r>
          </w:p>
        </w:tc>
        <w:tc>
          <w:tcPr>
            <w:tcW w:w="3800" w:type="pct"/>
          </w:tcPr>
          <w:p w14:paraId="7428EC6B" w14:textId="5200F283" w:rsidR="00962D0D" w:rsidRDefault="00962D0D" w:rsidP="00324B33">
            <w:pPr>
              <w:cnfStyle w:val="000000000000" w:firstRow="0" w:lastRow="0" w:firstColumn="0" w:lastColumn="0" w:oddVBand="0" w:evenVBand="0" w:oddHBand="0" w:evenHBand="0" w:firstRowFirstColumn="0" w:firstRowLastColumn="0" w:lastRowFirstColumn="0" w:lastRowLastColumn="0"/>
              <w:rPr>
                <w:szCs w:val="22"/>
              </w:rPr>
            </w:pPr>
            <w:r>
              <w:t xml:space="preserve">Programmed death </w:t>
            </w:r>
            <w:proofErr w:type="gramStart"/>
            <w:r>
              <w:t>receptor-1</w:t>
            </w:r>
            <w:proofErr w:type="gramEnd"/>
          </w:p>
        </w:tc>
      </w:tr>
      <w:tr w:rsidR="00962D0D" w:rsidRPr="00D01DDB" w14:paraId="4DC1D01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DAD21C1" w14:textId="74754128" w:rsidR="00962D0D" w:rsidRDefault="00962D0D" w:rsidP="00324B33">
            <w:pPr>
              <w:rPr>
                <w:szCs w:val="22"/>
              </w:rPr>
            </w:pPr>
            <w:r>
              <w:rPr>
                <w:szCs w:val="22"/>
              </w:rPr>
              <w:t>PD-L (1 or 2)</w:t>
            </w:r>
          </w:p>
        </w:tc>
        <w:tc>
          <w:tcPr>
            <w:tcW w:w="3800" w:type="pct"/>
          </w:tcPr>
          <w:p w14:paraId="75F4DCA6" w14:textId="78B1DE51" w:rsidR="00962D0D" w:rsidRDefault="00962D0D" w:rsidP="00324B33">
            <w:pPr>
              <w:cnfStyle w:val="000000000000" w:firstRow="0" w:lastRow="0" w:firstColumn="0" w:lastColumn="0" w:oddVBand="0" w:evenVBand="0" w:oddHBand="0" w:evenHBand="0" w:firstRowFirstColumn="0" w:firstRowLastColumn="0" w:lastRowFirstColumn="0" w:lastRowLastColumn="0"/>
            </w:pPr>
            <w:r>
              <w:t xml:space="preserve">Ligands for </w:t>
            </w:r>
            <w:r w:rsidR="00666068">
              <w:t>p</w:t>
            </w:r>
            <w:r w:rsidR="00666068" w:rsidRPr="00666068">
              <w:t xml:space="preserve">rogrammed death </w:t>
            </w:r>
            <w:proofErr w:type="gramStart"/>
            <w:r w:rsidR="00666068" w:rsidRPr="00666068">
              <w:t>receptor-1</w:t>
            </w:r>
            <w:proofErr w:type="gramEnd"/>
          </w:p>
        </w:tc>
      </w:tr>
      <w:tr w:rsidR="0000788E" w:rsidRPr="00D01DDB" w14:paraId="7FAD26D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46602A6" w14:textId="015AC079" w:rsidR="0000788E" w:rsidRDefault="0000788E" w:rsidP="00324B33">
            <w:pPr>
              <w:rPr>
                <w:szCs w:val="22"/>
              </w:rPr>
            </w:pPr>
            <w:r>
              <w:rPr>
                <w:szCs w:val="22"/>
              </w:rPr>
              <w:t>PFS</w:t>
            </w:r>
          </w:p>
        </w:tc>
        <w:tc>
          <w:tcPr>
            <w:tcW w:w="3800" w:type="pct"/>
          </w:tcPr>
          <w:p w14:paraId="48805E44" w14:textId="1C7A7C80" w:rsidR="0000788E" w:rsidRDefault="0000788E" w:rsidP="00324B33">
            <w:pPr>
              <w:cnfStyle w:val="000000000000" w:firstRow="0" w:lastRow="0" w:firstColumn="0" w:lastColumn="0" w:oddVBand="0" w:evenVBand="0" w:oddHBand="0" w:evenHBand="0" w:firstRowFirstColumn="0" w:firstRowLastColumn="0" w:lastRowFirstColumn="0" w:lastRowLastColumn="0"/>
              <w:rPr>
                <w:szCs w:val="22"/>
              </w:rPr>
            </w:pPr>
            <w:r>
              <w:t>Progression</w:t>
            </w:r>
            <w:r w:rsidR="00816EA6">
              <w:noBreakHyphen/>
            </w:r>
            <w:r>
              <w:t>free survival</w:t>
            </w:r>
          </w:p>
        </w:tc>
      </w:tr>
      <w:tr w:rsidR="00395140" w:rsidRPr="00D01DDB" w14:paraId="2756B6F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2AA960E" w14:textId="72403C37" w:rsidR="00395140" w:rsidRPr="00D01DDB" w:rsidRDefault="00395140" w:rsidP="00324B33">
            <w:pPr>
              <w:rPr>
                <w:szCs w:val="22"/>
              </w:rPr>
            </w:pPr>
            <w:r w:rsidRPr="00D01DDB">
              <w:rPr>
                <w:szCs w:val="22"/>
              </w:rPr>
              <w:lastRenderedPageBreak/>
              <w:t>PI</w:t>
            </w:r>
          </w:p>
        </w:tc>
        <w:tc>
          <w:tcPr>
            <w:tcW w:w="3800" w:type="pct"/>
          </w:tcPr>
          <w:p w14:paraId="354B5DB5" w14:textId="3DAE38C1" w:rsidR="00395140" w:rsidRPr="00D01DDB" w:rsidRDefault="00395140"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Product Information</w:t>
            </w:r>
          </w:p>
        </w:tc>
      </w:tr>
      <w:tr w:rsidR="00215017" w:rsidRPr="00D01DDB" w14:paraId="31E0671B" w14:textId="7777777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77094E0" w14:textId="77777777" w:rsidR="00215017" w:rsidRPr="00D01DDB" w:rsidRDefault="00215017">
            <w:pPr>
              <w:rPr>
                <w:szCs w:val="22"/>
              </w:rPr>
            </w:pPr>
            <w:r w:rsidRPr="00D01DDB">
              <w:rPr>
                <w:szCs w:val="22"/>
              </w:rPr>
              <w:t>PSUR</w:t>
            </w:r>
          </w:p>
        </w:tc>
        <w:tc>
          <w:tcPr>
            <w:tcW w:w="3800" w:type="pct"/>
          </w:tcPr>
          <w:p w14:paraId="350C3F2D" w14:textId="77777777" w:rsidR="00215017" w:rsidRPr="00D01DDB" w:rsidRDefault="00215017">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Periodic safety update report</w:t>
            </w:r>
          </w:p>
        </w:tc>
      </w:tr>
      <w:tr w:rsidR="00324B33" w:rsidRPr="00D01DDB" w14:paraId="07F3695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390BCA" w14:textId="201D691B" w:rsidR="00324B33" w:rsidRPr="00D01DDB" w:rsidRDefault="00324B33" w:rsidP="00324B33">
            <w:pPr>
              <w:rPr>
                <w:szCs w:val="22"/>
              </w:rPr>
            </w:pPr>
            <w:r w:rsidRPr="00D01DDB">
              <w:rPr>
                <w:szCs w:val="22"/>
              </w:rPr>
              <w:t>RMP</w:t>
            </w:r>
          </w:p>
        </w:tc>
        <w:tc>
          <w:tcPr>
            <w:tcW w:w="3800" w:type="pct"/>
          </w:tcPr>
          <w:p w14:paraId="2C862F75" w14:textId="2355E842"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Risk management plan</w:t>
            </w:r>
          </w:p>
        </w:tc>
      </w:tr>
      <w:tr w:rsidR="00324B33" w:rsidRPr="00D01DDB" w14:paraId="254AC9B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74FC2A0" w14:textId="41297C79" w:rsidR="00324B33" w:rsidRPr="00D01DDB" w:rsidRDefault="00324B33" w:rsidP="00324B33">
            <w:pPr>
              <w:rPr>
                <w:szCs w:val="22"/>
              </w:rPr>
            </w:pPr>
            <w:r w:rsidRPr="00D01DDB">
              <w:rPr>
                <w:szCs w:val="22"/>
              </w:rPr>
              <w:t>TGA</w:t>
            </w:r>
          </w:p>
        </w:tc>
        <w:tc>
          <w:tcPr>
            <w:tcW w:w="3800" w:type="pct"/>
          </w:tcPr>
          <w:p w14:paraId="29EA6BA3" w14:textId="6F99059F"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Therapeutic Goods Administration</w:t>
            </w:r>
          </w:p>
        </w:tc>
      </w:tr>
      <w:tr w:rsidR="00EE178F" w:rsidRPr="00D01DDB" w14:paraId="144602B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3B99265" w14:textId="6BF4E24D" w:rsidR="00EE178F" w:rsidRPr="00D01DDB" w:rsidRDefault="00EE178F" w:rsidP="00324B33">
            <w:pPr>
              <w:rPr>
                <w:szCs w:val="22"/>
              </w:rPr>
            </w:pPr>
            <w:r>
              <w:rPr>
                <w:szCs w:val="22"/>
              </w:rPr>
              <w:t>US(A)</w:t>
            </w:r>
          </w:p>
        </w:tc>
        <w:tc>
          <w:tcPr>
            <w:tcW w:w="3800" w:type="pct"/>
          </w:tcPr>
          <w:p w14:paraId="2131F30D" w14:textId="01766298" w:rsidR="00EE178F" w:rsidRPr="00D01DDB" w:rsidRDefault="00EE178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United States (of America)</w:t>
            </w:r>
          </w:p>
        </w:tc>
      </w:tr>
      <w:tr w:rsidR="00324B33" w:rsidRPr="00D01DDB" w14:paraId="2C8657A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46CFA8D" w14:textId="37C7B9FF" w:rsidR="00324B33" w:rsidRPr="00D01DDB" w:rsidRDefault="00215017" w:rsidP="00324B33">
            <w:pPr>
              <w:rPr>
                <w:szCs w:val="22"/>
              </w:rPr>
            </w:pPr>
            <w:r>
              <w:rPr>
                <w:szCs w:val="22"/>
              </w:rPr>
              <w:t>UV</w:t>
            </w:r>
          </w:p>
        </w:tc>
        <w:tc>
          <w:tcPr>
            <w:tcW w:w="3800" w:type="pct"/>
          </w:tcPr>
          <w:p w14:paraId="53D4D108" w14:textId="620D49B8" w:rsidR="00324B33" w:rsidRPr="00D01DDB" w:rsidRDefault="0021501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Ultraviolet</w:t>
            </w:r>
          </w:p>
        </w:tc>
      </w:tr>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5" w:name="_Toc103679288"/>
      <w:bookmarkStart w:id="6" w:name="_Toc154134512"/>
      <w:r>
        <w:lastRenderedPageBreak/>
        <w:t>Product submission</w:t>
      </w:r>
      <w:bookmarkEnd w:id="5"/>
      <w:bookmarkEnd w:id="6"/>
    </w:p>
    <w:p w14:paraId="21D559DF" w14:textId="77777777" w:rsidR="00324B33" w:rsidRDefault="00324B33" w:rsidP="00324B33">
      <w:pPr>
        <w:pStyle w:val="Heading3"/>
        <w:rPr>
          <w:lang w:eastAsia="en-AU"/>
        </w:rPr>
      </w:pPr>
      <w:bookmarkStart w:id="7" w:name="_Toc247691502"/>
      <w:bookmarkStart w:id="8" w:name="_Toc314842483"/>
      <w:bookmarkStart w:id="9" w:name="_Toc103679289"/>
      <w:bookmarkStart w:id="10" w:name="_Toc154134513"/>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77777777" w:rsidR="00324B33" w:rsidRPr="00AE3317" w:rsidRDefault="00324B33" w:rsidP="007452E8">
            <w:pPr>
              <w:rPr>
                <w:i/>
                <w:szCs w:val="22"/>
              </w:rPr>
            </w:pPr>
            <w:r w:rsidRPr="00AE3317">
              <w:rPr>
                <w:i/>
                <w:szCs w:val="22"/>
              </w:rPr>
              <w:t>Type of submission:</w:t>
            </w:r>
          </w:p>
        </w:tc>
        <w:tc>
          <w:tcPr>
            <w:tcW w:w="3423" w:type="pct"/>
          </w:tcPr>
          <w:p w14:paraId="4F07C303" w14:textId="361A418E" w:rsidR="00324B33" w:rsidRPr="00BD5DBD" w:rsidRDefault="00324B33" w:rsidP="007452E8">
            <w:pPr>
              <w:rPr>
                <w:szCs w:val="22"/>
              </w:rPr>
            </w:pPr>
            <w:r w:rsidRPr="00AE3317">
              <w:rPr>
                <w:szCs w:val="22"/>
              </w:rPr>
              <w:t xml:space="preserve">New </w:t>
            </w:r>
            <w:r w:rsidR="00D92397" w:rsidRPr="00AE3317">
              <w:rPr>
                <w:szCs w:val="22"/>
              </w:rPr>
              <w:t>combination</w:t>
            </w:r>
          </w:p>
        </w:tc>
      </w:tr>
      <w:tr w:rsidR="00324B33" w:rsidRPr="00BD5DBD" w14:paraId="13482B61" w14:textId="77777777" w:rsidTr="00F865A7">
        <w:tc>
          <w:tcPr>
            <w:tcW w:w="1577" w:type="pct"/>
          </w:tcPr>
          <w:p w14:paraId="2C427FCF" w14:textId="106FA2EF" w:rsidR="00324B33" w:rsidRPr="00BD5DBD" w:rsidRDefault="00324B33" w:rsidP="007452E8">
            <w:pPr>
              <w:rPr>
                <w:i/>
                <w:szCs w:val="22"/>
              </w:rPr>
            </w:pPr>
            <w:r w:rsidRPr="00BD5DBD">
              <w:rPr>
                <w:i/>
                <w:szCs w:val="22"/>
              </w:rPr>
              <w:t>Product name:</w:t>
            </w:r>
          </w:p>
        </w:tc>
        <w:tc>
          <w:tcPr>
            <w:tcW w:w="3423" w:type="pct"/>
          </w:tcPr>
          <w:p w14:paraId="0E2DEF76" w14:textId="318A161D" w:rsidR="00324B33" w:rsidRPr="00BD5DBD" w:rsidRDefault="00D92397" w:rsidP="007452E8">
            <w:pPr>
              <w:rPr>
                <w:szCs w:val="22"/>
              </w:rPr>
            </w:pPr>
            <w:proofErr w:type="spellStart"/>
            <w:r>
              <w:rPr>
                <w:szCs w:val="22"/>
              </w:rPr>
              <w:t>Opdualag</w:t>
            </w:r>
            <w:proofErr w:type="spellEnd"/>
          </w:p>
        </w:tc>
      </w:tr>
      <w:tr w:rsidR="00324B33" w:rsidRPr="00BD5DBD" w14:paraId="01255B5B" w14:textId="77777777" w:rsidTr="00F865A7">
        <w:tc>
          <w:tcPr>
            <w:tcW w:w="1577" w:type="pct"/>
          </w:tcPr>
          <w:p w14:paraId="52B4F3D7" w14:textId="5F9081A5" w:rsidR="00324B33" w:rsidRPr="00BD5DBD" w:rsidRDefault="00324B33" w:rsidP="007452E8">
            <w:pPr>
              <w:rPr>
                <w:i/>
                <w:szCs w:val="22"/>
              </w:rPr>
            </w:pPr>
            <w:r w:rsidRPr="00BD5DBD">
              <w:rPr>
                <w:i/>
                <w:szCs w:val="22"/>
              </w:rPr>
              <w:t>Active ingredients:</w:t>
            </w:r>
          </w:p>
        </w:tc>
        <w:tc>
          <w:tcPr>
            <w:tcW w:w="3423" w:type="pct"/>
          </w:tcPr>
          <w:p w14:paraId="02FB6383" w14:textId="64901E64" w:rsidR="00324B33" w:rsidRPr="00BD5DBD" w:rsidRDefault="00D92397" w:rsidP="007452E8">
            <w:pPr>
              <w:rPr>
                <w:szCs w:val="22"/>
              </w:rPr>
            </w:pPr>
            <w:r>
              <w:rPr>
                <w:szCs w:val="22"/>
              </w:rPr>
              <w:t xml:space="preserve">Nivolumab and </w:t>
            </w:r>
            <w:proofErr w:type="spellStart"/>
            <w:r w:rsidR="00361B3C">
              <w:rPr>
                <w:szCs w:val="22"/>
              </w:rPr>
              <w:t>R</w:t>
            </w:r>
            <w:r>
              <w:rPr>
                <w:szCs w:val="22"/>
              </w:rPr>
              <w:t>elatlimab</w:t>
            </w:r>
            <w:proofErr w:type="spellEnd"/>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657D3487" w:rsidR="00324B33" w:rsidRPr="00BD5DBD" w:rsidRDefault="00324B33" w:rsidP="007452E8">
            <w:pPr>
              <w:rPr>
                <w:szCs w:val="22"/>
              </w:rPr>
            </w:pPr>
            <w:r w:rsidRPr="00BD5DBD">
              <w:rPr>
                <w:szCs w:val="22"/>
              </w:rPr>
              <w:t>Approved</w:t>
            </w:r>
          </w:p>
        </w:tc>
      </w:tr>
      <w:tr w:rsidR="00AE1947" w:rsidRPr="00BD5DBD" w14:paraId="32B72632" w14:textId="77777777" w:rsidTr="00F865A7">
        <w:tc>
          <w:tcPr>
            <w:tcW w:w="1577" w:type="pct"/>
          </w:tcPr>
          <w:p w14:paraId="332A5CD5" w14:textId="4356988B" w:rsidR="00AE1947" w:rsidRPr="00BD5DBD" w:rsidRDefault="00AE1947" w:rsidP="00B22C73">
            <w:r w:rsidRPr="00BD5DBD">
              <w:rPr>
                <w:i/>
                <w:szCs w:val="22"/>
              </w:rPr>
              <w:t>Date of decision:</w:t>
            </w:r>
          </w:p>
        </w:tc>
        <w:tc>
          <w:tcPr>
            <w:tcW w:w="3423" w:type="pct"/>
          </w:tcPr>
          <w:p w14:paraId="7B381CD6" w14:textId="37B120CD" w:rsidR="00AE1947" w:rsidRPr="00BD5DBD" w:rsidRDefault="00D92397">
            <w:pPr>
              <w:rPr>
                <w:szCs w:val="22"/>
              </w:rPr>
            </w:pPr>
            <w:r>
              <w:rPr>
                <w:szCs w:val="22"/>
              </w:rPr>
              <w:t>5 October 2022</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0EE3898F" w:rsidR="00324B33" w:rsidRPr="00BD5DBD" w:rsidRDefault="00B97500" w:rsidP="007452E8">
            <w:pPr>
              <w:rPr>
                <w:szCs w:val="22"/>
              </w:rPr>
            </w:pPr>
            <w:r>
              <w:rPr>
                <w:szCs w:val="22"/>
              </w:rPr>
              <w:t>7 October 2022</w:t>
            </w:r>
          </w:p>
        </w:tc>
      </w:tr>
      <w:tr w:rsidR="00324B33" w:rsidRPr="00BD5DBD" w14:paraId="547E08D7" w14:textId="77777777" w:rsidTr="00F865A7">
        <w:tc>
          <w:tcPr>
            <w:tcW w:w="1577" w:type="pct"/>
          </w:tcPr>
          <w:p w14:paraId="5030EF30" w14:textId="0E9C4690" w:rsidR="00324B33" w:rsidRPr="00BD5DBD" w:rsidRDefault="00324B33" w:rsidP="007452E8">
            <w:pPr>
              <w:rPr>
                <w:i/>
                <w:szCs w:val="22"/>
              </w:rPr>
            </w:pPr>
            <w:r w:rsidRPr="00BD5DBD">
              <w:rPr>
                <w:i/>
                <w:szCs w:val="22"/>
              </w:rPr>
              <w:t>ARTG number:</w:t>
            </w:r>
          </w:p>
        </w:tc>
        <w:tc>
          <w:tcPr>
            <w:tcW w:w="3423" w:type="pct"/>
          </w:tcPr>
          <w:p w14:paraId="0054E912" w14:textId="1F1E580E" w:rsidR="00324B33" w:rsidRPr="00BD5DBD" w:rsidRDefault="00D92397" w:rsidP="007452E8">
            <w:pPr>
              <w:rPr>
                <w:szCs w:val="22"/>
              </w:rPr>
            </w:pPr>
            <w:r>
              <w:rPr>
                <w:szCs w:val="22"/>
              </w:rPr>
              <w:t>372783</w:t>
            </w:r>
          </w:p>
        </w:tc>
      </w:tr>
      <w:tr w:rsidR="00324B33" w:rsidRPr="00BD5DBD" w14:paraId="7618393F" w14:textId="77777777" w:rsidTr="00F865A7">
        <w:tc>
          <w:tcPr>
            <w:tcW w:w="1577" w:type="pct"/>
          </w:tcPr>
          <w:p w14:paraId="6C24CEB6" w14:textId="1187B537" w:rsidR="00E47E0C" w:rsidRPr="00BD5DBD" w:rsidRDefault="00324B33" w:rsidP="007452E8">
            <w:pPr>
              <w:rPr>
                <w:rStyle w:val="Hyperlink"/>
                <w:i/>
                <w:szCs w:val="22"/>
              </w:rPr>
            </w:pPr>
            <w:r w:rsidRPr="00BD5DBD">
              <w:rPr>
                <w:rFonts w:ascii="Wingdings 3" w:hAnsi="Wingdings 3"/>
                <w:szCs w:val="22"/>
                <w:lang w:eastAsia="en-AU"/>
              </w:rPr>
              <w:t></w:t>
            </w:r>
            <w:hyperlink r:id="rId18" w:history="1">
              <w:r w:rsidRPr="00BD5DBD">
                <w:rPr>
                  <w:rStyle w:val="Hyperlink"/>
                  <w:i/>
                  <w:szCs w:val="22"/>
                </w:rPr>
                <w:t>Black Triangle Scheme</w:t>
              </w:r>
            </w:hyperlink>
          </w:p>
          <w:p w14:paraId="02260DE2" w14:textId="1FC334AE" w:rsidR="00324B33" w:rsidRPr="00BD5DBD" w:rsidRDefault="00E47E0C" w:rsidP="007452E8">
            <w:pPr>
              <w:rPr>
                <w:i/>
                <w:szCs w:val="22"/>
              </w:rPr>
            </w:pPr>
            <w:r w:rsidRPr="00BD5DBD">
              <w:rPr>
                <w:i/>
                <w:szCs w:val="22"/>
              </w:rPr>
              <w:t xml:space="preserve">for </w:t>
            </w:r>
            <w:r w:rsidR="007B04DE" w:rsidRPr="00BD5DBD">
              <w:rPr>
                <w:i/>
                <w:szCs w:val="22"/>
              </w:rPr>
              <w:t>the current</w:t>
            </w:r>
            <w:r w:rsidRPr="00BD5DBD">
              <w:rPr>
                <w:i/>
                <w:szCs w:val="22"/>
              </w:rPr>
              <w:t xml:space="preserve"> submission</w:t>
            </w:r>
            <w:r w:rsidR="00324B33" w:rsidRPr="00BD5DBD">
              <w:rPr>
                <w:i/>
                <w:szCs w:val="22"/>
              </w:rPr>
              <w:t>:</w:t>
            </w:r>
          </w:p>
        </w:tc>
        <w:tc>
          <w:tcPr>
            <w:tcW w:w="3423" w:type="pct"/>
          </w:tcPr>
          <w:p w14:paraId="08EF3693" w14:textId="2CBEC44F" w:rsidR="00324B33" w:rsidRPr="00BD5DBD" w:rsidRDefault="00324B33" w:rsidP="007452E8">
            <w:pPr>
              <w:rPr>
                <w:szCs w:val="22"/>
              </w:rPr>
            </w:pPr>
            <w:r w:rsidRPr="00BD5DBD">
              <w:rPr>
                <w:szCs w:val="22"/>
              </w:rPr>
              <w:t>Yes</w:t>
            </w:r>
          </w:p>
          <w:p w14:paraId="6FF3C6A2" w14:textId="775DE894" w:rsidR="00324B33" w:rsidRPr="00BD5DBD" w:rsidRDefault="00324B33" w:rsidP="00D92397">
            <w:pPr>
              <w:rPr>
                <w:szCs w:val="22"/>
              </w:rPr>
            </w:pPr>
            <w:r w:rsidRPr="00BD5DBD">
              <w:rPr>
                <w:szCs w:val="22"/>
              </w:rPr>
              <w:t>This product will remain in the scheme for 5 years, starting on the date the product is first supplied in Australia</w:t>
            </w:r>
            <w:r w:rsidR="00C82F47">
              <w:rPr>
                <w:szCs w:val="22"/>
              </w:rPr>
              <w:t>.</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161A64FA" w14:textId="63CD66EB" w:rsidR="00324B33" w:rsidRDefault="00D92397" w:rsidP="007452E8">
            <w:pPr>
              <w:rPr>
                <w:szCs w:val="22"/>
              </w:rPr>
            </w:pPr>
            <w:r>
              <w:rPr>
                <w:szCs w:val="22"/>
              </w:rPr>
              <w:t>Bristol</w:t>
            </w:r>
            <w:r w:rsidR="00AE3317">
              <w:rPr>
                <w:szCs w:val="22"/>
              </w:rPr>
              <w:noBreakHyphen/>
            </w:r>
            <w:r>
              <w:rPr>
                <w:szCs w:val="22"/>
              </w:rPr>
              <w:t>Myers Squibb Australia Pty Ltd</w:t>
            </w:r>
          </w:p>
          <w:p w14:paraId="4C9507A5" w14:textId="5FD0E629" w:rsidR="00B601F0" w:rsidRDefault="00B601F0" w:rsidP="007452E8">
            <w:r>
              <w:t xml:space="preserve">Level 2, </w:t>
            </w:r>
            <w:r w:rsidR="00D92397">
              <w:t>4 Nexus Court</w:t>
            </w:r>
          </w:p>
          <w:p w14:paraId="68DD94B0" w14:textId="0635811B" w:rsidR="00D92397" w:rsidRPr="00BD5DBD" w:rsidRDefault="00D92397" w:rsidP="00B601F0">
            <w:pPr>
              <w:rPr>
                <w:szCs w:val="22"/>
              </w:rPr>
            </w:pPr>
            <w:r>
              <w:t>Mulgrave</w:t>
            </w:r>
            <w:r w:rsidR="00C82F47">
              <w:t xml:space="preserve"> VIC</w:t>
            </w:r>
            <w:r>
              <w:t xml:space="preserve"> 3170</w:t>
            </w:r>
          </w:p>
        </w:tc>
      </w:tr>
      <w:tr w:rsidR="00324B33" w:rsidRPr="00BD5DBD" w14:paraId="5322B989" w14:textId="77777777" w:rsidTr="00F865A7">
        <w:tc>
          <w:tcPr>
            <w:tcW w:w="1577" w:type="pct"/>
          </w:tcPr>
          <w:p w14:paraId="24F217E3" w14:textId="35E553C0" w:rsidR="00324B33" w:rsidRPr="00BD5DBD" w:rsidRDefault="00324B33" w:rsidP="007452E8">
            <w:pPr>
              <w:rPr>
                <w:i/>
                <w:szCs w:val="22"/>
              </w:rPr>
            </w:pPr>
            <w:r w:rsidRPr="00BD5DBD">
              <w:rPr>
                <w:i/>
                <w:szCs w:val="22"/>
              </w:rPr>
              <w:t>Dose form:</w:t>
            </w:r>
          </w:p>
        </w:tc>
        <w:tc>
          <w:tcPr>
            <w:tcW w:w="3423" w:type="pct"/>
          </w:tcPr>
          <w:p w14:paraId="768B254C" w14:textId="5E3A2302" w:rsidR="00324B33" w:rsidRPr="00BD5DBD" w:rsidRDefault="00D92397" w:rsidP="00D92397">
            <w:pPr>
              <w:rPr>
                <w:szCs w:val="22"/>
              </w:rPr>
            </w:pPr>
            <w:r>
              <w:rPr>
                <w:shd w:val="clear" w:color="auto" w:fill="FFFFFF"/>
              </w:rPr>
              <w:t xml:space="preserve">Concentrate solution for </w:t>
            </w:r>
            <w:r w:rsidR="00C82F47">
              <w:rPr>
                <w:shd w:val="clear" w:color="auto" w:fill="FFFFFF"/>
              </w:rPr>
              <w:t>intravenous</w:t>
            </w:r>
            <w:r>
              <w:rPr>
                <w:shd w:val="clear" w:color="auto" w:fill="FFFFFF"/>
              </w:rPr>
              <w:t xml:space="preserve"> infusion</w:t>
            </w:r>
          </w:p>
        </w:tc>
      </w:tr>
      <w:tr w:rsidR="00324B33" w:rsidRPr="00BD5DBD" w14:paraId="115243E6" w14:textId="77777777" w:rsidTr="00F865A7">
        <w:tc>
          <w:tcPr>
            <w:tcW w:w="1577" w:type="pct"/>
          </w:tcPr>
          <w:p w14:paraId="7634B062" w14:textId="4A9BE26A" w:rsidR="00324B33" w:rsidRPr="00BD5DBD" w:rsidRDefault="00324B33" w:rsidP="007452E8">
            <w:pPr>
              <w:rPr>
                <w:i/>
                <w:szCs w:val="22"/>
              </w:rPr>
            </w:pPr>
            <w:r w:rsidRPr="00BD5DBD">
              <w:rPr>
                <w:i/>
                <w:szCs w:val="22"/>
              </w:rPr>
              <w:t>Strength:</w:t>
            </w:r>
          </w:p>
        </w:tc>
        <w:tc>
          <w:tcPr>
            <w:tcW w:w="3423" w:type="pct"/>
          </w:tcPr>
          <w:p w14:paraId="5E5F83DB" w14:textId="30FBDEC0" w:rsidR="00324B33" w:rsidRPr="00BD5DBD" w:rsidRDefault="00D92397" w:rsidP="00D92397">
            <w:pPr>
              <w:rPr>
                <w:szCs w:val="22"/>
              </w:rPr>
            </w:pPr>
            <w:r>
              <w:rPr>
                <w:shd w:val="clear" w:color="auto" w:fill="FFFFFF"/>
              </w:rPr>
              <w:t xml:space="preserve">Nivolumab 240 mg and </w:t>
            </w:r>
            <w:proofErr w:type="spellStart"/>
            <w:r>
              <w:rPr>
                <w:shd w:val="clear" w:color="auto" w:fill="FFFFFF"/>
              </w:rPr>
              <w:t>Relatlimab</w:t>
            </w:r>
            <w:proofErr w:type="spellEnd"/>
            <w:r>
              <w:rPr>
                <w:shd w:val="clear" w:color="auto" w:fill="FFFFFF"/>
              </w:rPr>
              <w:t xml:space="preserve"> 80 mg</w:t>
            </w:r>
          </w:p>
        </w:tc>
      </w:tr>
      <w:tr w:rsidR="00324B33" w:rsidRPr="00BD5DBD" w14:paraId="34B07BA6" w14:textId="77777777" w:rsidTr="00F865A7">
        <w:tc>
          <w:tcPr>
            <w:tcW w:w="1577" w:type="pct"/>
          </w:tcPr>
          <w:p w14:paraId="1C039224" w14:textId="4E8C56FB" w:rsidR="00324B33" w:rsidRPr="00BD5DBD" w:rsidRDefault="00324B33" w:rsidP="007452E8">
            <w:pPr>
              <w:rPr>
                <w:i/>
                <w:szCs w:val="22"/>
              </w:rPr>
            </w:pPr>
            <w:r w:rsidRPr="00BD5DBD">
              <w:rPr>
                <w:i/>
                <w:szCs w:val="22"/>
              </w:rPr>
              <w:t>Container:</w:t>
            </w:r>
          </w:p>
        </w:tc>
        <w:tc>
          <w:tcPr>
            <w:tcW w:w="3423" w:type="pct"/>
          </w:tcPr>
          <w:p w14:paraId="500A42C6" w14:textId="43659CCE" w:rsidR="00324B33" w:rsidRPr="00BD5DBD" w:rsidRDefault="00D92397" w:rsidP="00D92397">
            <w:pPr>
              <w:rPr>
                <w:szCs w:val="22"/>
              </w:rPr>
            </w:pPr>
            <w:r>
              <w:rPr>
                <w:szCs w:val="22"/>
              </w:rPr>
              <w:t>Vial</w:t>
            </w:r>
          </w:p>
        </w:tc>
      </w:tr>
      <w:tr w:rsidR="00324B33" w:rsidRPr="00BD5DBD" w14:paraId="176B6773" w14:textId="77777777" w:rsidTr="00F865A7">
        <w:tc>
          <w:tcPr>
            <w:tcW w:w="1577" w:type="pct"/>
          </w:tcPr>
          <w:p w14:paraId="71846159" w14:textId="05B43EDF" w:rsidR="00324B33" w:rsidRPr="00BD5DBD" w:rsidRDefault="00324B33" w:rsidP="007452E8">
            <w:pPr>
              <w:rPr>
                <w:i/>
                <w:szCs w:val="22"/>
              </w:rPr>
            </w:pPr>
            <w:r w:rsidRPr="00BD5DBD">
              <w:rPr>
                <w:i/>
                <w:szCs w:val="22"/>
              </w:rPr>
              <w:t>Pack size:</w:t>
            </w:r>
          </w:p>
        </w:tc>
        <w:tc>
          <w:tcPr>
            <w:tcW w:w="3423" w:type="pct"/>
          </w:tcPr>
          <w:p w14:paraId="7E978F8F" w14:textId="21CF5B0B" w:rsidR="00324B33" w:rsidRPr="00BD5DBD" w:rsidRDefault="00D92397" w:rsidP="00D92397">
            <w:pPr>
              <w:rPr>
                <w:szCs w:val="22"/>
              </w:rPr>
            </w:pPr>
            <w:r>
              <w:rPr>
                <w:szCs w:val="22"/>
              </w:rPr>
              <w:t>20 mL</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6E143E2E" w14:textId="0BE4D2C7" w:rsidR="00324B33" w:rsidRPr="00DD1865" w:rsidRDefault="00DD1865" w:rsidP="007452E8">
            <w:pPr>
              <w:rPr>
                <w:i/>
                <w:iCs/>
                <w:szCs w:val="22"/>
              </w:rPr>
            </w:pPr>
            <w:proofErr w:type="spellStart"/>
            <w:r w:rsidRPr="00DD1865">
              <w:rPr>
                <w:i/>
                <w:iCs/>
                <w:szCs w:val="22"/>
              </w:rPr>
              <w:t>Opdualag</w:t>
            </w:r>
            <w:proofErr w:type="spellEnd"/>
            <w:r w:rsidRPr="00DD1865">
              <w:rPr>
                <w:i/>
                <w:iCs/>
                <w:szCs w:val="22"/>
              </w:rPr>
              <w:t xml:space="preserve"> is indicated for the treatment of patients with unresectable or metastatic melanoma who are at least 12</w:t>
            </w:r>
            <w:r>
              <w:rPr>
                <w:i/>
                <w:iCs/>
                <w:szCs w:val="22"/>
              </w:rPr>
              <w:t> </w:t>
            </w:r>
            <w:r w:rsidRPr="00DD1865">
              <w:rPr>
                <w:i/>
                <w:iCs/>
                <w:szCs w:val="22"/>
              </w:rPr>
              <w:t>years old.</w:t>
            </w:r>
          </w:p>
        </w:tc>
      </w:tr>
      <w:tr w:rsidR="00324B33" w:rsidRPr="00BD5DBD" w14:paraId="5AFDEED3" w14:textId="77777777" w:rsidTr="00F865A7">
        <w:tc>
          <w:tcPr>
            <w:tcW w:w="1577" w:type="pct"/>
          </w:tcPr>
          <w:p w14:paraId="03884BD1" w14:textId="31AC9CD1" w:rsidR="00324B33" w:rsidRPr="00BD5DBD" w:rsidRDefault="00324B33" w:rsidP="007452E8">
            <w:pPr>
              <w:rPr>
                <w:i/>
                <w:szCs w:val="22"/>
              </w:rPr>
            </w:pPr>
            <w:r w:rsidRPr="00BD5DBD">
              <w:rPr>
                <w:i/>
                <w:szCs w:val="22"/>
              </w:rPr>
              <w:t>Route of administration:</w:t>
            </w:r>
          </w:p>
        </w:tc>
        <w:tc>
          <w:tcPr>
            <w:tcW w:w="3423" w:type="pct"/>
          </w:tcPr>
          <w:p w14:paraId="1ED1357E" w14:textId="0872EC07" w:rsidR="00324B33" w:rsidRPr="00BD5DBD" w:rsidRDefault="00B601F0" w:rsidP="007452E8">
            <w:pPr>
              <w:rPr>
                <w:szCs w:val="22"/>
              </w:rPr>
            </w:pPr>
            <w:r>
              <w:rPr>
                <w:szCs w:val="22"/>
              </w:rPr>
              <w:t>Intravenous</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7560020F" w14:textId="77777777" w:rsidR="00B601F0" w:rsidRDefault="00B601F0" w:rsidP="007452E8">
            <w:r>
              <w:t>Treatment must be initiated and supervised by physicians experienced in the treatment of cancer.</w:t>
            </w:r>
          </w:p>
          <w:p w14:paraId="1246B144" w14:textId="33B07E67" w:rsidR="00324B33" w:rsidRPr="00BD5DBD" w:rsidRDefault="00B601F0" w:rsidP="007452E8">
            <w:pPr>
              <w:rPr>
                <w:szCs w:val="22"/>
              </w:rPr>
            </w:pPr>
            <w:r>
              <w:t xml:space="preserve">The recommended dose of </w:t>
            </w:r>
            <w:proofErr w:type="spellStart"/>
            <w:r>
              <w:t>Opdualag</w:t>
            </w:r>
            <w:proofErr w:type="spellEnd"/>
            <w:r>
              <w:t xml:space="preserve"> for adult patients, or for paediatric patients who are 12 years or older and weigh at least 40 kg, is 480 mg nivolumab and 160 mg </w:t>
            </w:r>
            <w:proofErr w:type="spellStart"/>
            <w:r>
              <w:t>relatlimab</w:t>
            </w:r>
            <w:proofErr w:type="spellEnd"/>
            <w:r>
              <w:t xml:space="preserve"> administered as a </w:t>
            </w:r>
            <w:proofErr w:type="gramStart"/>
            <w:r>
              <w:t>30</w:t>
            </w:r>
            <w:r w:rsidR="00AE3317">
              <w:t> </w:t>
            </w:r>
            <w:r>
              <w:t>minute</w:t>
            </w:r>
            <w:proofErr w:type="gramEnd"/>
            <w:r>
              <w:t xml:space="preserve"> intravenous infusion once every 4 weeks, until disease progression or unacceptable toxicity.</w:t>
            </w:r>
          </w:p>
          <w:p w14:paraId="3D0B2D5C" w14:textId="77777777" w:rsidR="00324B33" w:rsidRPr="00BD5DBD" w:rsidRDefault="00324B33" w:rsidP="007452E8">
            <w:pPr>
              <w:rPr>
                <w:szCs w:val="22"/>
              </w:rPr>
            </w:pPr>
            <w:r w:rsidRPr="00BD5DBD">
              <w:rPr>
                <w:szCs w:val="22"/>
              </w:rPr>
              <w:t>For further information regarding dosage, refer to the Product Information.</w:t>
            </w:r>
          </w:p>
        </w:tc>
      </w:tr>
      <w:tr w:rsidR="00324B33" w:rsidRPr="00BD5DBD" w14:paraId="24DC408E" w14:textId="77777777" w:rsidTr="00F865A7">
        <w:tc>
          <w:tcPr>
            <w:tcW w:w="1577" w:type="pct"/>
          </w:tcPr>
          <w:p w14:paraId="26380792" w14:textId="77777777" w:rsidR="00324B33" w:rsidRPr="00BD5DBD" w:rsidRDefault="00324B33" w:rsidP="007452E8">
            <w:pPr>
              <w:rPr>
                <w:i/>
                <w:szCs w:val="22"/>
              </w:rPr>
            </w:pPr>
            <w:r w:rsidRPr="00BD5DBD">
              <w:rPr>
                <w:i/>
                <w:szCs w:val="22"/>
              </w:rPr>
              <w:t>Pregnancy category:</w:t>
            </w:r>
          </w:p>
        </w:tc>
        <w:tc>
          <w:tcPr>
            <w:tcW w:w="3423" w:type="pct"/>
          </w:tcPr>
          <w:p w14:paraId="66BD4F9D" w14:textId="77777777" w:rsidR="00B22C73" w:rsidRDefault="00B22C73" w:rsidP="007452E8">
            <w:pPr>
              <w:rPr>
                <w:szCs w:val="22"/>
              </w:rPr>
            </w:pPr>
            <w:r>
              <w:rPr>
                <w:szCs w:val="22"/>
              </w:rPr>
              <w:t>D</w:t>
            </w:r>
          </w:p>
          <w:p w14:paraId="4E87274F" w14:textId="216D7180" w:rsidR="00324B33" w:rsidRDefault="00B601F0" w:rsidP="00B601F0">
            <w:pPr>
              <w:rPr>
                <w:szCs w:val="22"/>
              </w:rPr>
            </w:pPr>
            <w:r>
              <w:rPr>
                <w:shd w:val="clear" w:color="auto" w:fill="FFFFFF"/>
              </w:rPr>
              <w:t xml:space="preserve">Drugs which have caused, are suspected to have caused or may be expected to cause, an increased incidence of human </w:t>
            </w:r>
            <w:proofErr w:type="spellStart"/>
            <w:r>
              <w:rPr>
                <w:shd w:val="clear" w:color="auto" w:fill="FFFFFF"/>
              </w:rPr>
              <w:t>fetal</w:t>
            </w:r>
            <w:proofErr w:type="spellEnd"/>
            <w:r>
              <w:rPr>
                <w:shd w:val="clear" w:color="auto" w:fill="FFFFFF"/>
              </w:rPr>
              <w:t xml:space="preserve"> malformations or irreversible damage. These drugs may also have adverse pharmacological effects. Accompanying texts should be consulted for further details.</w:t>
            </w:r>
          </w:p>
          <w:p w14:paraId="5E2AA3D6" w14:textId="6FC155B3" w:rsidR="00324B33" w:rsidRPr="00BD5DBD" w:rsidRDefault="00324B33" w:rsidP="00B22C73">
            <w:pPr>
              <w:rPr>
                <w:szCs w:val="22"/>
              </w:rPr>
            </w:pPr>
            <w:r w:rsidRPr="00BD5DBD">
              <w:rPr>
                <w:szCs w:val="22"/>
              </w:rPr>
              <w:lastRenderedPageBreak/>
              <w:t xml:space="preserve">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w:t>
            </w:r>
            <w:r w:rsidR="00B22C73">
              <w:rPr>
                <w:szCs w:val="22"/>
              </w:rPr>
              <w:t>s</w:t>
            </w:r>
            <w:r w:rsidRPr="00BD5DBD">
              <w:rPr>
                <w:szCs w:val="22"/>
              </w:rPr>
              <w:t xml:space="preserve">tate or </w:t>
            </w:r>
            <w:r w:rsidR="00B22C73">
              <w:rPr>
                <w:szCs w:val="22"/>
              </w:rPr>
              <w:t>t</w:t>
            </w:r>
            <w:r w:rsidRPr="00BD5DBD">
              <w:rPr>
                <w:szCs w:val="22"/>
              </w:rPr>
              <w:t>erritory.</w:t>
            </w:r>
          </w:p>
        </w:tc>
      </w:tr>
    </w:tbl>
    <w:p w14:paraId="51F2479F" w14:textId="77777777" w:rsidR="00324B33" w:rsidRDefault="00324B33" w:rsidP="00324B33">
      <w:pPr>
        <w:pStyle w:val="Heading3"/>
      </w:pPr>
      <w:bookmarkStart w:id="11" w:name="_Toc247691503"/>
      <w:bookmarkStart w:id="12" w:name="_Toc314842484"/>
      <w:bookmarkStart w:id="13" w:name="_Toc103679290"/>
      <w:bookmarkStart w:id="14" w:name="_Toc154134514"/>
      <w:r>
        <w:lastRenderedPageBreak/>
        <w:t>Product background</w:t>
      </w:r>
      <w:bookmarkEnd w:id="11"/>
      <w:bookmarkEnd w:id="12"/>
      <w:bookmarkEnd w:id="13"/>
      <w:bookmarkEnd w:id="14"/>
    </w:p>
    <w:p w14:paraId="56B27CF2" w14:textId="42E49430" w:rsidR="00A1456E" w:rsidRPr="00BD5DBD" w:rsidRDefault="00324B33" w:rsidP="00324B33">
      <w:pPr>
        <w:rPr>
          <w:szCs w:val="22"/>
        </w:rPr>
      </w:pPr>
      <w:r w:rsidRPr="00BD5DBD">
        <w:rPr>
          <w:szCs w:val="22"/>
        </w:rPr>
        <w:t xml:space="preserve">This </w:t>
      </w:r>
      <w:proofErr w:type="spellStart"/>
      <w:r w:rsidRPr="00BD5DBD">
        <w:rPr>
          <w:szCs w:val="22"/>
        </w:rPr>
        <w:t>AusPAR</w:t>
      </w:r>
      <w:proofErr w:type="spellEnd"/>
      <w:r w:rsidRPr="00BD5DBD">
        <w:rPr>
          <w:szCs w:val="22"/>
        </w:rPr>
        <w:t xml:space="preserve"> describes the submission by </w:t>
      </w:r>
      <w:r w:rsidR="00B601F0">
        <w:rPr>
          <w:szCs w:val="22"/>
        </w:rPr>
        <w:t>Bristol-Myers Squibb Australia Pty Ltd</w:t>
      </w:r>
      <w:r w:rsidRPr="00BD5DBD">
        <w:rPr>
          <w:szCs w:val="22"/>
        </w:rPr>
        <w:t xml:space="preserve"> (the sponsor) to register </w:t>
      </w:r>
      <w:proofErr w:type="spellStart"/>
      <w:r w:rsidR="00B601F0">
        <w:rPr>
          <w:szCs w:val="22"/>
        </w:rPr>
        <w:t>Opdualag</w:t>
      </w:r>
      <w:proofErr w:type="spellEnd"/>
      <w:r w:rsidR="00B601F0">
        <w:rPr>
          <w:szCs w:val="22"/>
        </w:rPr>
        <w:t xml:space="preserve"> (nivolumab 240 mg and </w:t>
      </w:r>
      <w:proofErr w:type="spellStart"/>
      <w:r w:rsidR="00B601F0">
        <w:rPr>
          <w:szCs w:val="22"/>
        </w:rPr>
        <w:t>relatlimab</w:t>
      </w:r>
      <w:proofErr w:type="spellEnd"/>
      <w:r w:rsidR="00B601F0">
        <w:rPr>
          <w:szCs w:val="22"/>
        </w:rPr>
        <w:t xml:space="preserve"> 80 mg)</w:t>
      </w:r>
      <w:r w:rsidRPr="00BD5DBD">
        <w:rPr>
          <w:szCs w:val="22"/>
        </w:rPr>
        <w:t xml:space="preserve"> </w:t>
      </w:r>
      <w:r w:rsidR="00C82F47">
        <w:rPr>
          <w:szCs w:val="22"/>
        </w:rPr>
        <w:t xml:space="preserve">concentrate solution for intravenous infusion in </w:t>
      </w:r>
      <w:r w:rsidR="00A5455E">
        <w:rPr>
          <w:szCs w:val="22"/>
        </w:rPr>
        <w:t xml:space="preserve">a </w:t>
      </w:r>
      <w:r w:rsidR="00C82F47">
        <w:rPr>
          <w:szCs w:val="22"/>
        </w:rPr>
        <w:t>vial</w:t>
      </w:r>
      <w:r w:rsidRPr="00BD5DBD">
        <w:rPr>
          <w:szCs w:val="22"/>
        </w:rPr>
        <w:t xml:space="preserve"> for the following proposed indication:</w:t>
      </w:r>
      <w:r w:rsidR="00A1456E" w:rsidRPr="00BD5DBD">
        <w:rPr>
          <w:rStyle w:val="FootnoteReference"/>
          <w:szCs w:val="22"/>
        </w:rPr>
        <w:footnoteReference w:id="2"/>
      </w:r>
    </w:p>
    <w:p w14:paraId="5444DB0F" w14:textId="49E1715C" w:rsidR="00A1456E" w:rsidRPr="001831F2" w:rsidRDefault="00A1456E" w:rsidP="00B601F0">
      <w:pPr>
        <w:ind w:left="720"/>
        <w:rPr>
          <w:i/>
          <w:iCs/>
        </w:rPr>
      </w:pPr>
      <w:proofErr w:type="spellStart"/>
      <w:r w:rsidRPr="001831F2">
        <w:rPr>
          <w:i/>
          <w:iCs/>
        </w:rPr>
        <w:t>Opdualag</w:t>
      </w:r>
      <w:proofErr w:type="spellEnd"/>
      <w:r w:rsidRPr="001831F2">
        <w:rPr>
          <w:i/>
          <w:iCs/>
        </w:rPr>
        <w:t xml:space="preserve"> is indicated for the treatment of adult and adolescent patients (12 years and older and weighing at least 40 kg) with unresectable or metastatic melanoma.</w:t>
      </w:r>
    </w:p>
    <w:p w14:paraId="57F64A8E" w14:textId="77777777" w:rsidR="005922FD" w:rsidRPr="004C6176" w:rsidRDefault="005922FD" w:rsidP="005922FD">
      <w:pPr>
        <w:pStyle w:val="Heading4"/>
        <w:rPr>
          <w:lang w:val="en-US"/>
        </w:rPr>
      </w:pPr>
      <w:bookmarkStart w:id="15" w:name="_Toc154134515"/>
      <w:bookmarkStart w:id="16" w:name="_Toc314842485"/>
      <w:bookmarkStart w:id="17" w:name="_Toc247691504"/>
      <w:r w:rsidRPr="004C6176">
        <w:rPr>
          <w:lang w:val="en-US"/>
        </w:rPr>
        <w:t>Mechanism of action</w:t>
      </w:r>
      <w:bookmarkEnd w:id="15"/>
    </w:p>
    <w:p w14:paraId="1E970BAB" w14:textId="77777777" w:rsidR="005922FD" w:rsidRPr="006D5B91" w:rsidRDefault="005922FD" w:rsidP="005922FD">
      <w:r w:rsidRPr="00656AD7">
        <w:t>The molecular biology of immune recognition and activation includes regulatory mechanisms</w:t>
      </w:r>
      <w:r>
        <w:t xml:space="preserve">, called ‘checkpoints’, </w:t>
      </w:r>
      <w:r w:rsidRPr="00656AD7">
        <w:t>that</w:t>
      </w:r>
      <w:r>
        <w:t xml:space="preserve"> </w:t>
      </w:r>
      <w:r w:rsidRPr="00656AD7">
        <w:t xml:space="preserve">prevent autoimmune injury to </w:t>
      </w:r>
      <w:r w:rsidRPr="00DE06FA">
        <w:t>normal tissue.</w:t>
      </w:r>
      <w:r w:rsidRPr="00DE06FA">
        <w:rPr>
          <w:rStyle w:val="FootnoteReference"/>
        </w:rPr>
        <w:footnoteReference w:id="3"/>
      </w:r>
      <w:r w:rsidRPr="00DE06FA">
        <w:t xml:space="preserve"> </w:t>
      </w:r>
      <w:r>
        <w:t>L</w:t>
      </w:r>
      <w:r w:rsidRPr="00735D03">
        <w:t>ymphocyte activation gene 3 (</w:t>
      </w:r>
      <w:r w:rsidRPr="00FC6CED">
        <w:rPr>
          <w:i/>
          <w:iCs/>
        </w:rPr>
        <w:t>LAG</w:t>
      </w:r>
      <w:r w:rsidRPr="00FC6CED">
        <w:rPr>
          <w:i/>
          <w:iCs/>
        </w:rPr>
        <w:noBreakHyphen/>
        <w:t>3</w:t>
      </w:r>
      <w:r w:rsidRPr="00735D03">
        <w:t xml:space="preserve">) and </w:t>
      </w:r>
      <w:r>
        <w:t>programmed death receptor-1 (</w:t>
      </w:r>
      <w:r w:rsidRPr="00735D03">
        <w:t>PD-1</w:t>
      </w:r>
      <w:r>
        <w:t>)</w:t>
      </w:r>
      <w:r w:rsidRPr="00735D03">
        <w:t xml:space="preserve"> are inhibitory co</w:t>
      </w:r>
      <w:r>
        <w:noBreakHyphen/>
      </w:r>
      <w:r w:rsidRPr="00735D03">
        <w:t>receptors involved in such checkpoint functions.</w:t>
      </w:r>
      <w:bookmarkStart w:id="18" w:name="_Ref104809737"/>
      <w:r w:rsidRPr="00735D03">
        <w:rPr>
          <w:rStyle w:val="FootnoteReference"/>
          <w:iCs/>
          <w:lang w:eastAsia="en-AU"/>
        </w:rPr>
        <w:footnoteReference w:id="4"/>
      </w:r>
      <w:bookmarkEnd w:id="18"/>
      <w:r>
        <w:t xml:space="preserve"> </w:t>
      </w:r>
      <w:r w:rsidRPr="00735D03">
        <w:t>Drugs that block interaction between PD-1 and its ligand (PD-L1) reduce this mechanism of</w:t>
      </w:r>
      <w:r>
        <w:t xml:space="preserve"> immune tolerance and are thereby believed to </w:t>
      </w:r>
      <w:r w:rsidRPr="006D5B91">
        <w:t>facilitate tumour recognition by immune effector cell</w:t>
      </w:r>
      <w:r>
        <w:t>s</w:t>
      </w:r>
      <w:r w:rsidRPr="006D5B91">
        <w:t>.</w:t>
      </w:r>
      <w:r w:rsidRPr="006D5B91">
        <w:rPr>
          <w:rStyle w:val="FootnoteReference"/>
        </w:rPr>
        <w:footnoteReference w:id="5"/>
      </w:r>
    </w:p>
    <w:p w14:paraId="23A7700C" w14:textId="7F5E42D5" w:rsidR="005922FD" w:rsidRDefault="005922FD" w:rsidP="005922FD">
      <w:r w:rsidRPr="006D5B91">
        <w:rPr>
          <w:iCs/>
          <w:lang w:eastAsia="en-AU"/>
        </w:rPr>
        <w:t>LAG</w:t>
      </w:r>
      <w:r>
        <w:rPr>
          <w:iCs/>
          <w:lang w:eastAsia="en-AU"/>
        </w:rPr>
        <w:noBreakHyphen/>
      </w:r>
      <w:r w:rsidRPr="006D5B91">
        <w:rPr>
          <w:iCs/>
          <w:lang w:eastAsia="en-AU"/>
        </w:rPr>
        <w:t>3 is a</w:t>
      </w:r>
      <w:r>
        <w:rPr>
          <w:iCs/>
          <w:lang w:eastAsia="en-AU"/>
        </w:rPr>
        <w:t>n</w:t>
      </w:r>
      <w:r w:rsidRPr="006D5B91">
        <w:rPr>
          <w:iCs/>
          <w:lang w:eastAsia="en-AU"/>
        </w:rPr>
        <w:t xml:space="preserve"> inhibitory immune checkpoint co-receptor</w:t>
      </w:r>
      <w:r>
        <w:rPr>
          <w:iCs/>
          <w:lang w:eastAsia="en-AU"/>
        </w:rPr>
        <w:t xml:space="preserve">, and </w:t>
      </w:r>
      <w:r w:rsidRPr="00247533">
        <w:rPr>
          <w:iCs/>
          <w:lang w:eastAsia="en-AU"/>
        </w:rPr>
        <w:t xml:space="preserve">is expressed on </w:t>
      </w:r>
      <w:r>
        <w:rPr>
          <w:iCs/>
          <w:lang w:eastAsia="en-AU"/>
        </w:rPr>
        <w:t>activated CD4+ </w:t>
      </w:r>
      <w:r w:rsidRPr="00156579">
        <w:rPr>
          <w:iCs/>
          <w:lang w:eastAsia="en-AU"/>
        </w:rPr>
        <w:t>T</w:t>
      </w:r>
      <w:r>
        <w:rPr>
          <w:iCs/>
          <w:lang w:eastAsia="en-AU"/>
        </w:rPr>
        <w:t>-</w:t>
      </w:r>
      <w:r w:rsidRPr="00156579">
        <w:rPr>
          <w:iCs/>
          <w:lang w:eastAsia="en-AU"/>
        </w:rPr>
        <w:t>cells</w:t>
      </w:r>
      <w:r>
        <w:rPr>
          <w:iCs/>
          <w:lang w:eastAsia="en-AU"/>
        </w:rPr>
        <w:t xml:space="preserve"> and </w:t>
      </w:r>
      <w:r w:rsidRPr="00156579">
        <w:rPr>
          <w:iCs/>
          <w:lang w:eastAsia="en-AU"/>
        </w:rPr>
        <w:t>CD8+</w:t>
      </w:r>
      <w:r>
        <w:rPr>
          <w:iCs/>
          <w:lang w:eastAsia="en-AU"/>
        </w:rPr>
        <w:t> </w:t>
      </w:r>
      <w:r w:rsidRPr="00156579">
        <w:rPr>
          <w:iCs/>
          <w:lang w:eastAsia="en-AU"/>
        </w:rPr>
        <w:t>T</w:t>
      </w:r>
      <w:r>
        <w:rPr>
          <w:iCs/>
          <w:lang w:eastAsia="en-AU"/>
        </w:rPr>
        <w:t>-</w:t>
      </w:r>
      <w:r w:rsidRPr="00156579">
        <w:rPr>
          <w:iCs/>
          <w:lang w:eastAsia="en-AU"/>
        </w:rPr>
        <w:t>cells</w:t>
      </w:r>
      <w:r>
        <w:rPr>
          <w:iCs/>
          <w:lang w:eastAsia="en-AU"/>
        </w:rPr>
        <w:t>,</w:t>
      </w:r>
      <w:r w:rsidRPr="00156579">
        <w:rPr>
          <w:iCs/>
          <w:lang w:eastAsia="en-AU"/>
        </w:rPr>
        <w:t xml:space="preserve"> especially those that are ‘exhausted’, that is, in settings of chronic antigen</w:t>
      </w:r>
      <w:r>
        <w:rPr>
          <w:iCs/>
          <w:lang w:eastAsia="en-AU"/>
        </w:rPr>
        <w:t xml:space="preserve"> </w:t>
      </w:r>
      <w:r w:rsidRPr="00735D03">
        <w:rPr>
          <w:iCs/>
          <w:lang w:eastAsia="en-AU"/>
        </w:rPr>
        <w:t>exposure.</w:t>
      </w:r>
      <w:r w:rsidRPr="00735D03">
        <w:rPr>
          <w:iCs/>
          <w:color w:val="2B579A"/>
          <w:shd w:val="clear" w:color="auto" w:fill="E6E6E6"/>
          <w:vertAlign w:val="superscript"/>
          <w:lang w:eastAsia="en-AU"/>
        </w:rPr>
        <w:fldChar w:fldCharType="begin"/>
      </w:r>
      <w:r w:rsidRPr="00735D03">
        <w:rPr>
          <w:iCs/>
          <w:vertAlign w:val="superscript"/>
          <w:lang w:eastAsia="en-AU"/>
        </w:rPr>
        <w:instrText xml:space="preserve"> NOTEREF _Ref104809737 \h  \* MERGEFORMAT </w:instrText>
      </w:r>
      <w:r w:rsidRPr="00735D03">
        <w:rPr>
          <w:iCs/>
          <w:color w:val="2B579A"/>
          <w:shd w:val="clear" w:color="auto" w:fill="E6E6E6"/>
          <w:vertAlign w:val="superscript"/>
          <w:lang w:eastAsia="en-AU"/>
        </w:rPr>
      </w:r>
      <w:r w:rsidRPr="00735D03">
        <w:rPr>
          <w:iCs/>
          <w:color w:val="2B579A"/>
          <w:shd w:val="clear" w:color="auto" w:fill="E6E6E6"/>
          <w:vertAlign w:val="superscript"/>
          <w:lang w:eastAsia="en-AU"/>
        </w:rPr>
        <w:fldChar w:fldCharType="separate"/>
      </w:r>
      <w:r w:rsidR="004F1B9E">
        <w:rPr>
          <w:iCs/>
          <w:vertAlign w:val="superscript"/>
          <w:lang w:eastAsia="en-AU"/>
        </w:rPr>
        <w:t>3</w:t>
      </w:r>
      <w:r w:rsidRPr="00735D03">
        <w:rPr>
          <w:iCs/>
          <w:color w:val="2B579A"/>
          <w:shd w:val="clear" w:color="auto" w:fill="E6E6E6"/>
          <w:vertAlign w:val="superscript"/>
          <w:lang w:eastAsia="en-AU"/>
        </w:rPr>
        <w:fldChar w:fldCharType="end"/>
      </w:r>
      <w:r w:rsidRPr="00E465C4">
        <w:rPr>
          <w:iCs/>
          <w:lang w:eastAsia="en-AU"/>
        </w:rPr>
        <w:t xml:space="preserve"> </w:t>
      </w:r>
      <w:r w:rsidRPr="00735D03">
        <w:rPr>
          <w:iCs/>
          <w:lang w:eastAsia="en-AU"/>
        </w:rPr>
        <w:t>LAG</w:t>
      </w:r>
      <w:r>
        <w:rPr>
          <w:iCs/>
          <w:lang w:eastAsia="en-AU"/>
        </w:rPr>
        <w:noBreakHyphen/>
      </w:r>
      <w:r w:rsidRPr="00735D03">
        <w:rPr>
          <w:iCs/>
          <w:lang w:eastAsia="en-AU"/>
        </w:rPr>
        <w:t>3 is also expressed on inhibitory regulatory T</w:t>
      </w:r>
      <w:r>
        <w:rPr>
          <w:iCs/>
          <w:lang w:eastAsia="en-AU"/>
        </w:rPr>
        <w:t>-</w:t>
      </w:r>
      <w:r w:rsidRPr="00735D03">
        <w:rPr>
          <w:iCs/>
          <w:lang w:eastAsia="en-AU"/>
        </w:rPr>
        <w:t>cells in patients with cancer</w:t>
      </w:r>
      <w:r>
        <w:rPr>
          <w:iCs/>
          <w:lang w:eastAsia="en-AU"/>
        </w:rPr>
        <w:t xml:space="preserve"> (including </w:t>
      </w:r>
      <w:r w:rsidRPr="001B2C57">
        <w:rPr>
          <w:iCs/>
          <w:lang w:eastAsia="en-AU"/>
        </w:rPr>
        <w:t>melanoma</w:t>
      </w:r>
      <w:r>
        <w:rPr>
          <w:iCs/>
          <w:lang w:eastAsia="en-AU"/>
        </w:rPr>
        <w:t>), which suppress anti-tumour T-cell activity.</w:t>
      </w:r>
      <w:r>
        <w:rPr>
          <w:rStyle w:val="FootnoteReference"/>
          <w:iCs/>
          <w:lang w:eastAsia="en-AU"/>
        </w:rPr>
        <w:footnoteReference w:id="6"/>
      </w:r>
      <w:r w:rsidRPr="001B2C57">
        <w:rPr>
          <w:iCs/>
          <w:lang w:eastAsia="en-AU"/>
        </w:rPr>
        <w:t xml:space="preserve"> </w:t>
      </w:r>
      <w:r>
        <w:rPr>
          <w:iCs/>
          <w:lang w:eastAsia="en-AU"/>
        </w:rPr>
        <w:t>Conversely, loss</w:t>
      </w:r>
      <w:r w:rsidRPr="006D5B91">
        <w:rPr>
          <w:iCs/>
          <w:lang w:eastAsia="en-AU"/>
        </w:rPr>
        <w:t xml:space="preserve"> of LAG</w:t>
      </w:r>
      <w:r>
        <w:rPr>
          <w:iCs/>
          <w:lang w:eastAsia="en-AU"/>
        </w:rPr>
        <w:noBreakHyphen/>
      </w:r>
      <w:r w:rsidRPr="006D5B91">
        <w:rPr>
          <w:iCs/>
          <w:lang w:eastAsia="en-AU"/>
        </w:rPr>
        <w:t>3</w:t>
      </w:r>
      <w:r>
        <w:rPr>
          <w:iCs/>
          <w:lang w:eastAsia="en-AU"/>
        </w:rPr>
        <w:t xml:space="preserve"> function</w:t>
      </w:r>
      <w:r w:rsidRPr="006D5B91">
        <w:rPr>
          <w:iCs/>
          <w:lang w:eastAsia="en-AU"/>
        </w:rPr>
        <w:t xml:space="preserve"> exacerbate</w:t>
      </w:r>
      <w:r>
        <w:rPr>
          <w:iCs/>
          <w:lang w:eastAsia="en-AU"/>
        </w:rPr>
        <w:t>s</w:t>
      </w:r>
      <w:r w:rsidRPr="006D5B91">
        <w:rPr>
          <w:iCs/>
          <w:lang w:eastAsia="en-AU"/>
        </w:rPr>
        <w:t xml:space="preserve"> </w:t>
      </w:r>
      <w:r>
        <w:rPr>
          <w:iCs/>
          <w:lang w:eastAsia="en-AU"/>
        </w:rPr>
        <w:t xml:space="preserve">autoimmune </w:t>
      </w:r>
      <w:r w:rsidRPr="006D5B91">
        <w:rPr>
          <w:iCs/>
          <w:lang w:eastAsia="en-AU"/>
        </w:rPr>
        <w:t>disease.</w:t>
      </w:r>
      <w:r>
        <w:rPr>
          <w:rStyle w:val="FootnoteReference"/>
          <w:iCs/>
          <w:lang w:eastAsia="en-AU"/>
        </w:rPr>
        <w:footnoteReference w:id="7"/>
      </w:r>
      <w:r>
        <w:rPr>
          <w:iCs/>
          <w:lang w:eastAsia="en-AU"/>
        </w:rPr>
        <w:t xml:space="preserve"> LAG</w:t>
      </w:r>
      <w:r>
        <w:rPr>
          <w:iCs/>
          <w:lang w:eastAsia="en-AU"/>
        </w:rPr>
        <w:noBreakHyphen/>
        <w:t>3 therefore presents a potential drug target in both cancer and autoimmune disease. The precise molecular mechanisms by which LAG</w:t>
      </w:r>
      <w:r>
        <w:rPr>
          <w:iCs/>
          <w:lang w:eastAsia="en-AU"/>
        </w:rPr>
        <w:noBreakHyphen/>
        <w:t>3 regulates T-cell activation remain to be characterised, however</w:t>
      </w:r>
      <w:r w:rsidRPr="00F35FB9">
        <w:rPr>
          <w:iCs/>
          <w:lang w:eastAsia="en-AU"/>
        </w:rPr>
        <w:t xml:space="preserve">, </w:t>
      </w:r>
      <w:r>
        <w:rPr>
          <w:iCs/>
          <w:lang w:eastAsia="en-AU"/>
        </w:rPr>
        <w:t>recent data suggest the</w:t>
      </w:r>
      <w:r w:rsidRPr="00F35FB9">
        <w:rPr>
          <w:iCs/>
          <w:lang w:eastAsia="en-AU"/>
        </w:rPr>
        <w:t xml:space="preserve"> </w:t>
      </w:r>
      <w:r>
        <w:rPr>
          <w:iCs/>
          <w:lang w:eastAsia="en-AU"/>
        </w:rPr>
        <w:t xml:space="preserve">major </w:t>
      </w:r>
      <w:r w:rsidRPr="00F35FB9">
        <w:rPr>
          <w:iCs/>
          <w:lang w:eastAsia="en-AU"/>
        </w:rPr>
        <w:t xml:space="preserve">functional ligand </w:t>
      </w:r>
      <w:r>
        <w:rPr>
          <w:iCs/>
          <w:lang w:eastAsia="en-AU"/>
        </w:rPr>
        <w:t>of LAG</w:t>
      </w:r>
      <w:r>
        <w:rPr>
          <w:iCs/>
          <w:lang w:eastAsia="en-AU"/>
        </w:rPr>
        <w:noBreakHyphen/>
        <w:t>3 is stable</w:t>
      </w:r>
      <w:r w:rsidRPr="006D5B91">
        <w:rPr>
          <w:iCs/>
          <w:lang w:eastAsia="en-AU"/>
        </w:rPr>
        <w:t xml:space="preserve"> </w:t>
      </w:r>
      <w:r w:rsidRPr="004D77FC">
        <w:rPr>
          <w:iCs/>
          <w:lang w:eastAsia="en-AU"/>
        </w:rPr>
        <w:t xml:space="preserve">peptide-major histocompatibility complex </w:t>
      </w:r>
      <w:r>
        <w:rPr>
          <w:iCs/>
          <w:lang w:eastAsia="en-AU"/>
        </w:rPr>
        <w:t>C</w:t>
      </w:r>
      <w:r w:rsidRPr="004D77FC">
        <w:rPr>
          <w:iCs/>
          <w:lang w:eastAsia="en-AU"/>
        </w:rPr>
        <w:t>lass II (</w:t>
      </w:r>
      <w:proofErr w:type="spellStart"/>
      <w:r w:rsidRPr="004D77FC">
        <w:rPr>
          <w:iCs/>
          <w:lang w:eastAsia="en-AU"/>
        </w:rPr>
        <w:t>pMHCII</w:t>
      </w:r>
      <w:proofErr w:type="spellEnd"/>
      <w:r w:rsidRPr="004D77FC">
        <w:rPr>
          <w:iCs/>
          <w:lang w:eastAsia="en-AU"/>
        </w:rPr>
        <w:t xml:space="preserve">) (and not </w:t>
      </w:r>
      <w:r w:rsidRPr="004D77FC">
        <w:t>fibrinogen-like</w:t>
      </w:r>
      <w:r w:rsidRPr="00BE2C74">
        <w:t xml:space="preserve"> </w:t>
      </w:r>
      <w:r w:rsidRPr="004D77FC">
        <w:t>protein</w:t>
      </w:r>
      <w:r>
        <w:t> </w:t>
      </w:r>
      <w:r w:rsidRPr="004D77FC">
        <w:t>1</w:t>
      </w:r>
      <w:r w:rsidRPr="004D77FC">
        <w:rPr>
          <w:iCs/>
          <w:lang w:eastAsia="en-AU"/>
        </w:rPr>
        <w:t>).</w:t>
      </w:r>
      <w:r w:rsidRPr="004D77FC">
        <w:rPr>
          <w:rStyle w:val="FootnoteReference"/>
          <w:iCs/>
          <w:sz w:val="21"/>
          <w:szCs w:val="21"/>
          <w:lang w:eastAsia="en-AU"/>
        </w:rPr>
        <w:footnoteReference w:id="8"/>
      </w:r>
      <w:r w:rsidRPr="004D77FC">
        <w:rPr>
          <w:iCs/>
          <w:lang w:eastAsia="en-AU"/>
        </w:rPr>
        <w:t xml:space="preserve"> LAG</w:t>
      </w:r>
      <w:r w:rsidRPr="004D77FC">
        <w:rPr>
          <w:iCs/>
          <w:lang w:eastAsia="en-AU"/>
        </w:rPr>
        <w:noBreakHyphen/>
        <w:t>3 has also been reported to disrupt T</w:t>
      </w:r>
      <w:r>
        <w:rPr>
          <w:iCs/>
          <w:lang w:eastAsia="en-AU"/>
        </w:rPr>
        <w:t>-</w:t>
      </w:r>
      <w:r w:rsidRPr="004D77FC">
        <w:rPr>
          <w:iCs/>
          <w:lang w:eastAsia="en-AU"/>
        </w:rPr>
        <w:t xml:space="preserve">cell receptor signalling by interfering with immune synapse pH in a major histocompatibility complex (MHC) </w:t>
      </w:r>
      <w:r>
        <w:rPr>
          <w:iCs/>
          <w:lang w:eastAsia="en-AU"/>
        </w:rPr>
        <w:lastRenderedPageBreak/>
        <w:t>C</w:t>
      </w:r>
      <w:r w:rsidRPr="004D77FC">
        <w:rPr>
          <w:iCs/>
          <w:lang w:eastAsia="en-AU"/>
        </w:rPr>
        <w:t xml:space="preserve">lass </w:t>
      </w:r>
      <w:r>
        <w:rPr>
          <w:iCs/>
          <w:lang w:eastAsia="en-AU"/>
        </w:rPr>
        <w:t>II</w:t>
      </w:r>
      <w:r w:rsidRPr="004D77FC">
        <w:rPr>
          <w:iCs/>
          <w:lang w:eastAsia="en-AU"/>
        </w:rPr>
        <w:t>-independent fashion.</w:t>
      </w:r>
      <w:r w:rsidRPr="004D77FC">
        <w:rPr>
          <w:rStyle w:val="FootnoteReference"/>
          <w:iCs/>
          <w:lang w:eastAsia="en-AU"/>
        </w:rPr>
        <w:footnoteReference w:id="9"/>
      </w:r>
      <w:r>
        <w:rPr>
          <w:iCs/>
          <w:lang w:eastAsia="en-AU"/>
        </w:rPr>
        <w:t xml:space="preserve"> As the </w:t>
      </w:r>
      <w:r w:rsidRPr="00591305">
        <w:t>mechanisms by which LAG</w:t>
      </w:r>
      <w:r>
        <w:noBreakHyphen/>
      </w:r>
      <w:r w:rsidRPr="00591305">
        <w:t xml:space="preserve">3 and PD-1 contribute to immune tolerance may be distinct from each other, </w:t>
      </w:r>
      <w:r>
        <w:t>there could be</w:t>
      </w:r>
      <w:r w:rsidRPr="00591305">
        <w:t xml:space="preserve"> synergism of dual blockade in rescuing antitumo</w:t>
      </w:r>
      <w:r>
        <w:t>u</w:t>
      </w:r>
      <w:r w:rsidRPr="00591305">
        <w:t>r immunity.</w:t>
      </w:r>
      <w:r w:rsidRPr="00591305">
        <w:rPr>
          <w:rStyle w:val="FootnoteReference"/>
        </w:rPr>
        <w:footnoteReference w:id="10"/>
      </w:r>
      <w:bookmarkStart w:id="19" w:name="_Ref95732484"/>
    </w:p>
    <w:p w14:paraId="0486379D" w14:textId="77777777" w:rsidR="00A1456E" w:rsidRPr="005158DA" w:rsidRDefault="00A1456E" w:rsidP="00A1456E">
      <w:pPr>
        <w:pStyle w:val="Heading4"/>
      </w:pPr>
      <w:bookmarkStart w:id="20" w:name="_Toc154134516"/>
      <w:bookmarkEnd w:id="19"/>
      <w:r w:rsidRPr="005158DA">
        <w:t>Condition</w:t>
      </w:r>
      <w:bookmarkEnd w:id="20"/>
    </w:p>
    <w:p w14:paraId="597A93C5" w14:textId="53559A50" w:rsidR="00A1456E" w:rsidRPr="00073711" w:rsidRDefault="00A1456E" w:rsidP="00A1456E">
      <w:r>
        <w:t>Melanomas are malignant neoplasms of melanocytic origin. The term ‘melanoma’ is generally taken to refer to cutaneous melanoma unless otherwise specified, as this makes up the vast majority of melanoma (around 90</w:t>
      </w:r>
      <w:r w:rsidRPr="00073711">
        <w:t>%).</w:t>
      </w:r>
      <w:r w:rsidRPr="00073711">
        <w:rPr>
          <w:rStyle w:val="FootnoteReference"/>
        </w:rPr>
        <w:footnoteReference w:id="11"/>
      </w:r>
      <w:r w:rsidRPr="00073711">
        <w:t xml:space="preserve"> </w:t>
      </w:r>
      <w:r>
        <w:t xml:space="preserve">It </w:t>
      </w:r>
      <w:r w:rsidRPr="00073711">
        <w:t xml:space="preserve">is associated with mutations in the </w:t>
      </w:r>
      <w:r w:rsidR="002402D1">
        <w:t>m</w:t>
      </w:r>
      <w:r w:rsidR="00777D76" w:rsidRPr="002402D1">
        <w:t>itogen-activated protein kinase</w:t>
      </w:r>
      <w:r w:rsidRPr="00073711">
        <w:t xml:space="preserve"> pathway (notably,</w:t>
      </w:r>
      <w:r w:rsidRPr="00777D76">
        <w:rPr>
          <w:i/>
          <w:iCs/>
        </w:rPr>
        <w:t xml:space="preserve"> BRAF</w:t>
      </w:r>
      <w:r w:rsidRPr="00073711">
        <w:t xml:space="preserve"> and </w:t>
      </w:r>
      <w:r w:rsidRPr="00777D76">
        <w:rPr>
          <w:i/>
          <w:iCs/>
        </w:rPr>
        <w:t>NRAS</w:t>
      </w:r>
      <w:r w:rsidRPr="00073711">
        <w:t>), lymphatic dissemination</w:t>
      </w:r>
      <w:r>
        <w:t xml:space="preserve"> (</w:t>
      </w:r>
      <w:r w:rsidRPr="0024357B">
        <w:t>mostly to lung, brain, lymph node, and soft tissue</w:t>
      </w:r>
      <w:r>
        <w:t>)</w:t>
      </w:r>
      <w:r w:rsidRPr="00073711">
        <w:t xml:space="preserve">, and </w:t>
      </w:r>
      <w:r>
        <w:t xml:space="preserve">the </w:t>
      </w:r>
      <w:r w:rsidRPr="00073711">
        <w:t>high</w:t>
      </w:r>
      <w:r>
        <w:t>est</w:t>
      </w:r>
      <w:r w:rsidRPr="00073711">
        <w:t xml:space="preserve"> tumour mutational burden</w:t>
      </w:r>
      <w:r>
        <w:t xml:space="preserve"> among major cancer types</w:t>
      </w:r>
      <w:r w:rsidRPr="00073711">
        <w:t>.</w:t>
      </w:r>
      <w:r>
        <w:rPr>
          <w:rStyle w:val="FootnoteReference"/>
        </w:rPr>
        <w:footnoteReference w:id="12"/>
      </w:r>
      <w:r w:rsidRPr="0024357B">
        <w:rPr>
          <w:vertAlign w:val="superscript"/>
        </w:rPr>
        <w:t>,</w:t>
      </w:r>
      <w:r w:rsidRPr="00073711">
        <w:rPr>
          <w:rStyle w:val="FootnoteReference"/>
        </w:rPr>
        <w:footnoteReference w:id="13"/>
      </w:r>
      <w:r w:rsidRPr="00073711">
        <w:t xml:space="preserve"> </w:t>
      </w:r>
      <w:r>
        <w:t xml:space="preserve">Disseminated disease first manifests in regional lymph nodes in about half of cases, as </w:t>
      </w:r>
      <w:r w:rsidRPr="008C1290">
        <w:t xml:space="preserve">satellite or in-transit metastases </w:t>
      </w:r>
      <w:r>
        <w:t>for around 20%, and as distant metastases for around 30%.</w:t>
      </w:r>
      <w:r w:rsidRPr="00073711">
        <w:rPr>
          <w:rStyle w:val="FootnoteReference"/>
        </w:rPr>
        <w:footnoteReference w:id="14"/>
      </w:r>
    </w:p>
    <w:p w14:paraId="2FAA3D9A" w14:textId="7186D148" w:rsidR="00A1456E" w:rsidRPr="005C7937" w:rsidRDefault="00A1456E" w:rsidP="00A1456E">
      <w:r w:rsidRPr="0000788E">
        <w:t>Exposure (especially intense, intermittent exposure) to ultraviolet (UV) light has a causal</w:t>
      </w:r>
      <w:r>
        <w:t xml:space="preserve"> association with the development of melanoma, evidenced by a specific genetic mutational </w:t>
      </w:r>
      <w:r w:rsidRPr="00735D03">
        <w:t>signature</w:t>
      </w:r>
      <w:bookmarkStart w:id="21" w:name="_Ref104197152"/>
      <w:r w:rsidRPr="00735D03">
        <w:t>.</w:t>
      </w:r>
      <w:bookmarkStart w:id="22" w:name="_Ref139552267"/>
      <w:r w:rsidRPr="00735D03">
        <w:rPr>
          <w:rStyle w:val="FootnoteReference"/>
        </w:rPr>
        <w:footnoteReference w:id="15"/>
      </w:r>
      <w:bookmarkEnd w:id="21"/>
      <w:bookmarkEnd w:id="22"/>
      <w:r w:rsidRPr="00735D03">
        <w:rPr>
          <w:vertAlign w:val="superscript"/>
        </w:rPr>
        <w:t>,</w:t>
      </w:r>
      <w:bookmarkStart w:id="23" w:name="_Ref104206852"/>
      <w:r w:rsidRPr="00735D03">
        <w:rPr>
          <w:rStyle w:val="FootnoteReference"/>
        </w:rPr>
        <w:footnoteReference w:id="16"/>
      </w:r>
      <w:bookmarkEnd w:id="23"/>
      <w:r w:rsidRPr="00735D03">
        <w:t xml:space="preserve"> Other independent risk factors include pale skin (phototype 1</w:t>
      </w:r>
      <w:r w:rsidR="005D77FE">
        <w:t xml:space="preserve"> or </w:t>
      </w:r>
      <w:r w:rsidRPr="00735D03">
        <w:t>2), large and</w:t>
      </w:r>
      <w:r w:rsidRPr="00CD5555">
        <w:t xml:space="preserve"> irregular atypical or dysplastic naevi, </w:t>
      </w:r>
      <w:r>
        <w:t>and personal or family history: around 10% are seen in a familial setting.</w:t>
      </w:r>
      <w:r w:rsidR="00777D76" w:rsidRPr="00777D76">
        <w:rPr>
          <w:color w:val="2B579A"/>
          <w:shd w:val="clear" w:color="auto" w:fill="E6E6E6"/>
          <w:vertAlign w:val="superscript"/>
        </w:rPr>
        <w:fldChar w:fldCharType="begin"/>
      </w:r>
      <w:r w:rsidR="00777D76" w:rsidRPr="00777D76">
        <w:rPr>
          <w:vertAlign w:val="superscript"/>
        </w:rPr>
        <w:instrText xml:space="preserve"> NOTEREF _Ref139552267 \h </w:instrText>
      </w:r>
      <w:r w:rsidR="00777D76">
        <w:rPr>
          <w:vertAlign w:val="superscript"/>
        </w:rPr>
        <w:instrText xml:space="preserve"> \* MERGEFORMAT </w:instrText>
      </w:r>
      <w:r w:rsidR="00777D76" w:rsidRPr="00777D76">
        <w:rPr>
          <w:color w:val="2B579A"/>
          <w:shd w:val="clear" w:color="auto" w:fill="E6E6E6"/>
          <w:vertAlign w:val="superscript"/>
        </w:rPr>
      </w:r>
      <w:r w:rsidR="00777D76" w:rsidRPr="00777D76">
        <w:rPr>
          <w:color w:val="2B579A"/>
          <w:shd w:val="clear" w:color="auto" w:fill="E6E6E6"/>
          <w:vertAlign w:val="superscript"/>
        </w:rPr>
        <w:fldChar w:fldCharType="separate"/>
      </w:r>
      <w:r w:rsidR="004F1B9E">
        <w:rPr>
          <w:vertAlign w:val="superscript"/>
        </w:rPr>
        <w:t>14</w:t>
      </w:r>
      <w:r w:rsidR="00777D76" w:rsidRPr="00777D76">
        <w:rPr>
          <w:color w:val="2B579A"/>
          <w:shd w:val="clear" w:color="auto" w:fill="E6E6E6"/>
          <w:vertAlign w:val="superscript"/>
        </w:rPr>
        <w:fldChar w:fldCharType="end"/>
      </w:r>
      <w:r>
        <w:t xml:space="preserve"> </w:t>
      </w:r>
      <w:r w:rsidRPr="00677D19">
        <w:t xml:space="preserve">Men have </w:t>
      </w:r>
      <w:r>
        <w:t xml:space="preserve">a </w:t>
      </w:r>
      <w:r w:rsidRPr="00677D19">
        <w:t>higher incidence (</w:t>
      </w:r>
      <w:r>
        <w:t>possibly attributable</w:t>
      </w:r>
      <w:r w:rsidRPr="00677D19">
        <w:t xml:space="preserve"> to </w:t>
      </w:r>
      <w:r>
        <w:t xml:space="preserve">higher average </w:t>
      </w:r>
      <w:r w:rsidRPr="00677D19">
        <w:t>occupational</w:t>
      </w:r>
      <w:r>
        <w:t xml:space="preserve"> and recreational</w:t>
      </w:r>
      <w:r w:rsidRPr="00677D19">
        <w:t xml:space="preserve"> UV exposure) and worse survival rates than women</w:t>
      </w:r>
      <w:r>
        <w:t>.</w:t>
      </w:r>
      <w:bookmarkStart w:id="24" w:name="_Ref104195764"/>
      <w:r>
        <w:rPr>
          <w:rStyle w:val="FootnoteReference"/>
        </w:rPr>
        <w:footnoteReference w:id="17"/>
      </w:r>
      <w:bookmarkEnd w:id="24"/>
      <w:r>
        <w:t xml:space="preserve"> </w:t>
      </w:r>
      <w:bookmarkStart w:id="25" w:name="paedscondition"/>
      <w:bookmarkEnd w:id="25"/>
      <w:r>
        <w:t xml:space="preserve">Based on data from the Victorian Cancer Registry, the median age at diagnosis is </w:t>
      </w:r>
      <w:r w:rsidRPr="00946BBF">
        <w:t>63</w:t>
      </w:r>
      <w:r w:rsidR="00777D76">
        <w:t> </w:t>
      </w:r>
      <w:r w:rsidRPr="00946BBF">
        <w:t xml:space="preserve">years in </w:t>
      </w:r>
      <w:r w:rsidRPr="005C7937">
        <w:t>males and 59</w:t>
      </w:r>
      <w:r w:rsidR="00777D76">
        <w:t> </w:t>
      </w:r>
      <w:r w:rsidRPr="005C7937">
        <w:t>years in females.</w:t>
      </w:r>
      <w:bookmarkStart w:id="26" w:name="_Ref104198142"/>
      <w:r w:rsidRPr="005C7937">
        <w:rPr>
          <w:rStyle w:val="FootnoteReference"/>
        </w:rPr>
        <w:footnoteReference w:id="18"/>
      </w:r>
      <w:bookmarkEnd w:id="26"/>
      <w:r w:rsidRPr="005C7937">
        <w:t xml:space="preserve"> The mean age of diagnosis among Australian patients is 65.7</w:t>
      </w:r>
      <w:r w:rsidR="00777D76">
        <w:t> </w:t>
      </w:r>
      <w:r w:rsidRPr="005C7937">
        <w:t xml:space="preserve">years </w:t>
      </w:r>
      <w:r w:rsidR="00777D76">
        <w:t>for</w:t>
      </w:r>
      <w:r w:rsidRPr="005C7937">
        <w:t xml:space="preserve"> males and 62.4</w:t>
      </w:r>
      <w:r w:rsidR="00777D76">
        <w:t> </w:t>
      </w:r>
      <w:r w:rsidRPr="005C7937">
        <w:t xml:space="preserve">years </w:t>
      </w:r>
      <w:r w:rsidR="00777D76">
        <w:t>for</w:t>
      </w:r>
      <w:r w:rsidRPr="005C7937">
        <w:t xml:space="preserve"> females.</w:t>
      </w:r>
      <w:r w:rsidR="00D071A3" w:rsidRPr="00D071A3">
        <w:rPr>
          <w:color w:val="2B579A"/>
          <w:shd w:val="clear" w:color="auto" w:fill="E6E6E6"/>
          <w:vertAlign w:val="superscript"/>
        </w:rPr>
        <w:fldChar w:fldCharType="begin"/>
      </w:r>
      <w:r w:rsidR="00D071A3" w:rsidRPr="00D071A3">
        <w:rPr>
          <w:vertAlign w:val="superscript"/>
        </w:rPr>
        <w:instrText xml:space="preserve"> NOTEREF _Ref104195764 \h </w:instrText>
      </w:r>
      <w:r w:rsidR="00D071A3">
        <w:rPr>
          <w:vertAlign w:val="superscript"/>
        </w:rPr>
        <w:instrText xml:space="preserve"> \* MERGEFORMAT </w:instrText>
      </w:r>
      <w:r w:rsidR="00D071A3" w:rsidRPr="00D071A3">
        <w:rPr>
          <w:color w:val="2B579A"/>
          <w:shd w:val="clear" w:color="auto" w:fill="E6E6E6"/>
          <w:vertAlign w:val="superscript"/>
        </w:rPr>
      </w:r>
      <w:r w:rsidR="00D071A3" w:rsidRPr="00D071A3">
        <w:rPr>
          <w:color w:val="2B579A"/>
          <w:shd w:val="clear" w:color="auto" w:fill="E6E6E6"/>
          <w:vertAlign w:val="superscript"/>
        </w:rPr>
        <w:fldChar w:fldCharType="separate"/>
      </w:r>
      <w:r w:rsidR="004F1B9E">
        <w:rPr>
          <w:vertAlign w:val="superscript"/>
        </w:rPr>
        <w:t>16</w:t>
      </w:r>
      <w:r w:rsidR="00D071A3" w:rsidRPr="00D071A3">
        <w:rPr>
          <w:color w:val="2B579A"/>
          <w:shd w:val="clear" w:color="auto" w:fill="E6E6E6"/>
          <w:vertAlign w:val="superscript"/>
        </w:rPr>
        <w:fldChar w:fldCharType="end"/>
      </w:r>
    </w:p>
    <w:p w14:paraId="69B19EDB" w14:textId="4B3C0257" w:rsidR="00A1456E" w:rsidRDefault="00A1456E" w:rsidP="00A1456E">
      <w:r w:rsidRPr="00C33FF6">
        <w:lastRenderedPageBreak/>
        <w:t>Factors associated with worse prognosis for melanoma include the (Breslow) thickness of</w:t>
      </w:r>
      <w:r>
        <w:t xml:space="preserve"> primary tumour, ulceration, mitotic rate, extent</w:t>
      </w:r>
      <w:r w:rsidR="00C808E2">
        <w:t xml:space="preserve"> and </w:t>
      </w:r>
      <w:r>
        <w:t>sites of nodal</w:t>
      </w:r>
      <w:r w:rsidR="00C808E2">
        <w:t xml:space="preserve"> and </w:t>
      </w:r>
      <w:r>
        <w:t>metastatic disease, and</w:t>
      </w:r>
      <w:r w:rsidRPr="0024357B">
        <w:t xml:space="preserve"> lactate dehydrogenase level</w:t>
      </w:r>
      <w:r>
        <w:t>.</w:t>
      </w:r>
      <w:r w:rsidRPr="00077B27">
        <w:rPr>
          <w:rStyle w:val="FootnoteReference"/>
        </w:rPr>
        <w:footnoteReference w:id="19"/>
      </w:r>
      <w:r w:rsidR="00077B27" w:rsidRPr="00C33FF6">
        <w:rPr>
          <w:vertAlign w:val="superscript"/>
        </w:rPr>
        <w:t>,</w:t>
      </w:r>
      <w:r w:rsidRPr="00077B27">
        <w:rPr>
          <w:rStyle w:val="FootnoteReference"/>
        </w:rPr>
        <w:footnoteReference w:id="20"/>
      </w:r>
    </w:p>
    <w:p w14:paraId="5E28215B" w14:textId="01206C23" w:rsidR="00A1456E" w:rsidRPr="00BE1715" w:rsidRDefault="00A1456E" w:rsidP="00A1456E">
      <w:r w:rsidRPr="00B46CD6">
        <w:t xml:space="preserve">Molecular genetic features may also be prognostic. Based on driver mutations, melanomas are </w:t>
      </w:r>
      <w:r w:rsidRPr="00BE1715">
        <w:t xml:space="preserve">considered under four genomic subtypes: </w:t>
      </w:r>
      <w:r w:rsidRPr="00BE1715">
        <w:rPr>
          <w:i/>
          <w:iCs/>
        </w:rPr>
        <w:t>BRAF</w:t>
      </w:r>
      <w:r w:rsidRPr="00BE1715">
        <w:t xml:space="preserve">‐mutant, </w:t>
      </w:r>
      <w:r w:rsidRPr="00BE1715">
        <w:rPr>
          <w:i/>
          <w:iCs/>
        </w:rPr>
        <w:t>NRAS</w:t>
      </w:r>
      <w:r w:rsidRPr="00BE1715">
        <w:t xml:space="preserve">‐mutant, </w:t>
      </w:r>
      <w:r w:rsidRPr="00BE1715">
        <w:rPr>
          <w:i/>
          <w:iCs/>
        </w:rPr>
        <w:t>NF1</w:t>
      </w:r>
      <w:r w:rsidRPr="00BE1715">
        <w:t>‐</w:t>
      </w:r>
      <w:proofErr w:type="gramStart"/>
      <w:r w:rsidRPr="00BE1715">
        <w:t>loss</w:t>
      </w:r>
      <w:proofErr w:type="gramEnd"/>
      <w:r w:rsidRPr="00BE1715">
        <w:t xml:space="preserve"> and triple wild</w:t>
      </w:r>
      <w:r w:rsidR="00B651DF">
        <w:noBreakHyphen/>
      </w:r>
      <w:r w:rsidRPr="00C16B39">
        <w:t>type.</w:t>
      </w:r>
      <w:r w:rsidRPr="00C16B39">
        <w:rPr>
          <w:rStyle w:val="FootnoteReference"/>
        </w:rPr>
        <w:footnoteReference w:id="21"/>
      </w:r>
      <w:r w:rsidR="00D071A3" w:rsidRPr="00C16B39">
        <w:rPr>
          <w:vertAlign w:val="superscript"/>
        </w:rPr>
        <w:t>,</w:t>
      </w:r>
      <w:r w:rsidRPr="00C16B39">
        <w:rPr>
          <w:rStyle w:val="FootnoteReference"/>
        </w:rPr>
        <w:footnoteReference w:id="22"/>
      </w:r>
      <w:r w:rsidRPr="00C16B39">
        <w:t xml:space="preserve"> These subtypes account for </w:t>
      </w:r>
      <w:r w:rsidR="00D071A3" w:rsidRPr="00C16B39">
        <w:t xml:space="preserve">approximately </w:t>
      </w:r>
      <w:r w:rsidRPr="00C16B39">
        <w:t>50%, 30%, 10</w:t>
      </w:r>
      <w:r w:rsidR="00D071A3" w:rsidRPr="00C16B39">
        <w:t xml:space="preserve"> to </w:t>
      </w:r>
      <w:r w:rsidRPr="00C16B39">
        <w:t>15%</w:t>
      </w:r>
      <w:r w:rsidR="00D071A3" w:rsidRPr="00C16B39">
        <w:t>,</w:t>
      </w:r>
      <w:r w:rsidRPr="00C16B39">
        <w:t xml:space="preserve"> and 5</w:t>
      </w:r>
      <w:r w:rsidR="00D071A3">
        <w:t xml:space="preserve"> to </w:t>
      </w:r>
      <w:r w:rsidRPr="00B46CD6">
        <w:t xml:space="preserve">10% of cutaneous melanomas, respectively, and show differing clinical associations. However, whilst it is clear that </w:t>
      </w:r>
      <w:r w:rsidRPr="00D071A3">
        <w:rPr>
          <w:i/>
          <w:iCs/>
        </w:rPr>
        <w:t>BRAF</w:t>
      </w:r>
      <w:r w:rsidRPr="00B46CD6">
        <w:t>‐mutation confers a poorer prognosis,</w:t>
      </w:r>
      <w:r w:rsidRPr="00B46CD6">
        <w:rPr>
          <w:rStyle w:val="FootnoteReference"/>
        </w:rPr>
        <w:footnoteReference w:id="23"/>
      </w:r>
      <w:r w:rsidRPr="00B46CD6">
        <w:rPr>
          <w:vertAlign w:val="superscript"/>
        </w:rPr>
        <w:t>,</w:t>
      </w:r>
      <w:r w:rsidRPr="00B46CD6">
        <w:rPr>
          <w:rStyle w:val="FootnoteReference"/>
        </w:rPr>
        <w:footnoteReference w:id="24"/>
      </w:r>
      <w:r w:rsidRPr="00C33FF6">
        <w:t xml:space="preserve"> </w:t>
      </w:r>
      <w:r w:rsidRPr="00B46CD6">
        <w:t xml:space="preserve">there are conflicting reports on the </w:t>
      </w:r>
      <w:r w:rsidRPr="00BE1715">
        <w:t xml:space="preserve">prognostic significance of </w:t>
      </w:r>
      <w:r w:rsidRPr="00BE1715">
        <w:rPr>
          <w:i/>
          <w:iCs/>
        </w:rPr>
        <w:t>NRAS</w:t>
      </w:r>
      <w:r w:rsidRPr="00BE1715">
        <w:t>, and the clinical utility of a promising 31-gene expression profile panel remains to be confirmed.</w:t>
      </w:r>
      <w:r w:rsidR="00D071A3" w:rsidRPr="00BE1715">
        <w:rPr>
          <w:color w:val="2B579A"/>
          <w:shd w:val="clear" w:color="auto" w:fill="E6E6E6"/>
          <w:vertAlign w:val="superscript"/>
        </w:rPr>
        <w:fldChar w:fldCharType="begin"/>
      </w:r>
      <w:r w:rsidR="00D071A3" w:rsidRPr="00BE1715">
        <w:rPr>
          <w:vertAlign w:val="superscript"/>
        </w:rPr>
        <w:instrText xml:space="preserve"> NOTEREF _Ref104206852 \h  \* MERGEFORMAT </w:instrText>
      </w:r>
      <w:r w:rsidR="00D071A3" w:rsidRPr="00BE1715">
        <w:rPr>
          <w:color w:val="2B579A"/>
          <w:shd w:val="clear" w:color="auto" w:fill="E6E6E6"/>
          <w:vertAlign w:val="superscript"/>
        </w:rPr>
      </w:r>
      <w:r w:rsidR="00D071A3" w:rsidRPr="00BE1715">
        <w:rPr>
          <w:color w:val="2B579A"/>
          <w:shd w:val="clear" w:color="auto" w:fill="E6E6E6"/>
          <w:vertAlign w:val="superscript"/>
        </w:rPr>
        <w:fldChar w:fldCharType="separate"/>
      </w:r>
      <w:r w:rsidR="004F1B9E">
        <w:rPr>
          <w:vertAlign w:val="superscript"/>
        </w:rPr>
        <w:t>15</w:t>
      </w:r>
      <w:r w:rsidR="00D071A3" w:rsidRPr="00BE1715">
        <w:rPr>
          <w:color w:val="2B579A"/>
          <w:shd w:val="clear" w:color="auto" w:fill="E6E6E6"/>
          <w:vertAlign w:val="superscript"/>
        </w:rPr>
        <w:fldChar w:fldCharType="end"/>
      </w:r>
    </w:p>
    <w:p w14:paraId="11D29EAD" w14:textId="2F005406" w:rsidR="00A1456E" w:rsidRPr="000C4A4E" w:rsidRDefault="00A1456E" w:rsidP="00A1456E">
      <w:bookmarkStart w:id="27" w:name="_Hlk106610043"/>
      <w:r w:rsidRPr="00BE1715">
        <w:t>Cutaneous melanoma is very rare in paediatric patients (under 18 years of age), with an Australian incidence likely less than 1 in 100,000.</w:t>
      </w:r>
      <w:r w:rsidRPr="00BE1715">
        <w:rPr>
          <w:rStyle w:val="FootnoteReference"/>
        </w:rPr>
        <w:footnoteReference w:id="25"/>
      </w:r>
      <w:r w:rsidRPr="00BE1715">
        <w:t xml:space="preserve"> Melanoma in paediatric patients </w:t>
      </w:r>
      <w:bookmarkEnd w:id="27"/>
      <w:r w:rsidRPr="00BE1715">
        <w:t xml:space="preserve">can be </w:t>
      </w:r>
      <w:r w:rsidRPr="000C4A4E">
        <w:t>considered within four age groups, each with different epidemiology and risk factors: congenital (</w:t>
      </w:r>
      <w:r w:rsidRPr="000C4A4E">
        <w:rPr>
          <w:i/>
          <w:iCs/>
        </w:rPr>
        <w:t>in utero</w:t>
      </w:r>
      <w:r w:rsidRPr="000C4A4E">
        <w:t xml:space="preserve"> to birth), infantile (birth to </w:t>
      </w:r>
      <w:r w:rsidR="00077B27">
        <w:t>one</w:t>
      </w:r>
      <w:r w:rsidR="00D071A3">
        <w:t> </w:t>
      </w:r>
      <w:r w:rsidRPr="000C4A4E">
        <w:t>year), childhood (</w:t>
      </w:r>
      <w:r w:rsidR="00077B27">
        <w:t>one</w:t>
      </w:r>
      <w:r w:rsidR="00D071A3">
        <w:t> </w:t>
      </w:r>
      <w:r w:rsidRPr="000C4A4E">
        <w:t>year to puberty), and adolescent (</w:t>
      </w:r>
      <w:proofErr w:type="spellStart"/>
      <w:r w:rsidRPr="000C4A4E">
        <w:t>postpuberty</w:t>
      </w:r>
      <w:proofErr w:type="spellEnd"/>
      <w:r w:rsidRPr="000C4A4E">
        <w:t>).</w:t>
      </w:r>
      <w:bookmarkStart w:id="28" w:name="_Ref105574918"/>
      <w:r w:rsidRPr="000C4A4E">
        <w:rPr>
          <w:rStyle w:val="FootnoteReference"/>
        </w:rPr>
        <w:footnoteReference w:id="26"/>
      </w:r>
      <w:bookmarkEnd w:id="28"/>
      <w:r w:rsidRPr="000C4A4E">
        <w:t xml:space="preserve"> Around 2% of melanomas overall occur in paediatric patients, but they mostly occur in adolescents and are very rare in patients under the age of 14 (perhaps 5</w:t>
      </w:r>
      <w:r w:rsidR="00077B27">
        <w:t> </w:t>
      </w:r>
      <w:r w:rsidRPr="000C4A4E">
        <w:t>cases per million in Australia).</w:t>
      </w:r>
      <w:r w:rsidRPr="000C4A4E">
        <w:rPr>
          <w:rStyle w:val="FootnoteReference"/>
        </w:rPr>
        <w:footnoteReference w:id="27"/>
      </w:r>
      <w:r w:rsidRPr="000C4A4E">
        <w:t xml:space="preserve"> The incidence of melanoma during the second decade of life is probably 7</w:t>
      </w:r>
      <w:r w:rsidR="00D071A3">
        <w:t xml:space="preserve"> to </w:t>
      </w:r>
      <w:r w:rsidRPr="000C4A4E">
        <w:t>10 times higher than during the first</w:t>
      </w:r>
      <w:r w:rsidR="00D071A3">
        <w:t xml:space="preserve"> decade</w:t>
      </w:r>
      <w:r w:rsidRPr="000C4A4E">
        <w:t>.</w:t>
      </w:r>
      <w:r w:rsidRPr="000C4A4E">
        <w:rPr>
          <w:rStyle w:val="FootnoteReference"/>
        </w:rPr>
        <w:footnoteReference w:id="28"/>
      </w:r>
    </w:p>
    <w:p w14:paraId="581DFDC8" w14:textId="652672FC" w:rsidR="00A1456E" w:rsidRPr="000C4A4E" w:rsidRDefault="00A1456E" w:rsidP="00A1456E">
      <w:r w:rsidRPr="000C4A4E">
        <w:t>Whil</w:t>
      </w:r>
      <w:r w:rsidR="00C06313">
        <w:t>e</w:t>
      </w:r>
      <w:r w:rsidRPr="000C4A4E">
        <w:t xml:space="preserve"> the age cut-off (puberty) is ultimately arbitrary, prepubertal and </w:t>
      </w:r>
      <w:proofErr w:type="spellStart"/>
      <w:r w:rsidRPr="000C4A4E">
        <w:t>postpubertal</w:t>
      </w:r>
      <w:proofErr w:type="spellEnd"/>
      <w:r w:rsidRPr="000C4A4E">
        <w:t xml:space="preserve"> melanomas are meaningfully different.</w:t>
      </w:r>
      <w:r w:rsidRPr="000C4A4E">
        <w:rPr>
          <w:rStyle w:val="FootnoteReference"/>
        </w:rPr>
        <w:footnoteReference w:id="29"/>
      </w:r>
      <w:r w:rsidRPr="000C4A4E">
        <w:t xml:space="preserve"> In prepubertal patients, melanomas are mostly </w:t>
      </w:r>
      <w:proofErr w:type="spellStart"/>
      <w:r w:rsidRPr="000C4A4E">
        <w:t>spitzoid</w:t>
      </w:r>
      <w:proofErr w:type="spellEnd"/>
      <w:r w:rsidRPr="000C4A4E">
        <w:t xml:space="preserve"> or can arise from congenital naevi, whilst the majority of </w:t>
      </w:r>
      <w:proofErr w:type="spellStart"/>
      <w:r w:rsidRPr="000C4A4E">
        <w:t>postpubertal</w:t>
      </w:r>
      <w:proofErr w:type="spellEnd"/>
      <w:r w:rsidRPr="000C4A4E">
        <w:t xml:space="preserve"> melanomas are conventional melanoma, </w:t>
      </w:r>
      <w:r w:rsidR="00864345">
        <w:t xml:space="preserve">that is, </w:t>
      </w:r>
      <w:r w:rsidRPr="000C4A4E">
        <w:t>similar morphologically to adult melanoma.</w:t>
      </w:r>
      <w:bookmarkStart w:id="29" w:name="_Ref105576856"/>
      <w:r w:rsidRPr="000C4A4E">
        <w:rPr>
          <w:rStyle w:val="FootnoteReference"/>
        </w:rPr>
        <w:footnoteReference w:id="30"/>
      </w:r>
      <w:bookmarkEnd w:id="29"/>
      <w:r w:rsidRPr="000C4A4E">
        <w:t xml:space="preserve"> </w:t>
      </w:r>
      <w:proofErr w:type="spellStart"/>
      <w:r w:rsidRPr="000C4A4E">
        <w:t>Spitzoid</w:t>
      </w:r>
      <w:proofErr w:type="spellEnd"/>
      <w:r w:rsidRPr="000C4A4E">
        <w:t xml:space="preserve"> melanoma does occur in adolescents but is much less common (perhaps 10%),</w:t>
      </w:r>
      <w:bookmarkStart w:id="30" w:name="_Ref105577508"/>
      <w:r w:rsidRPr="000C4A4E">
        <w:rPr>
          <w:rStyle w:val="FootnoteReference"/>
        </w:rPr>
        <w:footnoteReference w:id="31"/>
      </w:r>
      <w:bookmarkEnd w:id="30"/>
      <w:r w:rsidRPr="000C4A4E">
        <w:t xml:space="preserve"> and behaves differently.</w:t>
      </w:r>
      <w:r w:rsidR="00864345" w:rsidRPr="00864345">
        <w:rPr>
          <w:color w:val="2B579A"/>
          <w:shd w:val="clear" w:color="auto" w:fill="E6E6E6"/>
          <w:vertAlign w:val="superscript"/>
        </w:rPr>
        <w:fldChar w:fldCharType="begin"/>
      </w:r>
      <w:r w:rsidR="00864345" w:rsidRPr="00864345">
        <w:rPr>
          <w:vertAlign w:val="superscript"/>
        </w:rPr>
        <w:instrText xml:space="preserve"> NOTEREF _Ref105576856 \h </w:instrText>
      </w:r>
      <w:r w:rsidR="00864345">
        <w:rPr>
          <w:vertAlign w:val="superscript"/>
        </w:rPr>
        <w:instrText xml:space="preserve"> \* MERGEFORMAT </w:instrText>
      </w:r>
      <w:r w:rsidR="00864345" w:rsidRPr="00864345">
        <w:rPr>
          <w:color w:val="2B579A"/>
          <w:shd w:val="clear" w:color="auto" w:fill="E6E6E6"/>
          <w:vertAlign w:val="superscript"/>
        </w:rPr>
      </w:r>
      <w:r w:rsidR="00864345" w:rsidRPr="00864345">
        <w:rPr>
          <w:color w:val="2B579A"/>
          <w:shd w:val="clear" w:color="auto" w:fill="E6E6E6"/>
          <w:vertAlign w:val="superscript"/>
        </w:rPr>
        <w:fldChar w:fldCharType="separate"/>
      </w:r>
      <w:r w:rsidR="004F1B9E">
        <w:rPr>
          <w:vertAlign w:val="superscript"/>
        </w:rPr>
        <w:t>29</w:t>
      </w:r>
      <w:r w:rsidR="00864345" w:rsidRPr="00864345">
        <w:rPr>
          <w:color w:val="2B579A"/>
          <w:shd w:val="clear" w:color="auto" w:fill="E6E6E6"/>
          <w:vertAlign w:val="superscript"/>
        </w:rPr>
        <w:fldChar w:fldCharType="end"/>
      </w:r>
    </w:p>
    <w:p w14:paraId="119DBE92" w14:textId="09ACC566" w:rsidR="00A1456E" w:rsidRPr="000C4A4E" w:rsidRDefault="00A1456E" w:rsidP="00A1456E">
      <w:r w:rsidRPr="000C4A4E">
        <w:lastRenderedPageBreak/>
        <w:t>Whil</w:t>
      </w:r>
      <w:r w:rsidR="00C06313">
        <w:t>e</w:t>
      </w:r>
      <w:r w:rsidRPr="000C4A4E">
        <w:t xml:space="preserve"> clinicopathological characteristics of melanoma in adolescent patients (but not pre</w:t>
      </w:r>
      <w:r w:rsidR="00077B27">
        <w:noBreakHyphen/>
      </w:r>
      <w:r w:rsidRPr="000C4A4E">
        <w:t>pubescent patients) are comparable to those in adult patients,</w:t>
      </w:r>
      <w:r w:rsidRPr="000C4A4E">
        <w:rPr>
          <w:rStyle w:val="FootnoteReference"/>
        </w:rPr>
        <w:t xml:space="preserve"> </w:t>
      </w:r>
      <w:r w:rsidRPr="000C4A4E">
        <w:t>melanoma in adolescents shows a female preponderance and a higher proportion of nodular melanomas and amelanotic melanomas than for adults.</w:t>
      </w:r>
      <w:r w:rsidR="00864345" w:rsidRPr="00864345">
        <w:rPr>
          <w:color w:val="2B579A"/>
          <w:shd w:val="clear" w:color="auto" w:fill="E6E6E6"/>
          <w:vertAlign w:val="superscript"/>
        </w:rPr>
        <w:fldChar w:fldCharType="begin"/>
      </w:r>
      <w:r w:rsidR="00864345" w:rsidRPr="00864345">
        <w:rPr>
          <w:vertAlign w:val="superscript"/>
        </w:rPr>
        <w:instrText xml:space="preserve"> NOTEREF _Ref105574918 \h </w:instrText>
      </w:r>
      <w:r w:rsidR="00864345">
        <w:rPr>
          <w:vertAlign w:val="superscript"/>
        </w:rPr>
        <w:instrText xml:space="preserve"> \* MERGEFORMAT </w:instrText>
      </w:r>
      <w:r w:rsidR="00864345" w:rsidRPr="00864345">
        <w:rPr>
          <w:color w:val="2B579A"/>
          <w:shd w:val="clear" w:color="auto" w:fill="E6E6E6"/>
          <w:vertAlign w:val="superscript"/>
        </w:rPr>
      </w:r>
      <w:r w:rsidR="00864345" w:rsidRPr="00864345">
        <w:rPr>
          <w:color w:val="2B579A"/>
          <w:shd w:val="clear" w:color="auto" w:fill="E6E6E6"/>
          <w:vertAlign w:val="superscript"/>
        </w:rPr>
        <w:fldChar w:fldCharType="separate"/>
      </w:r>
      <w:r w:rsidR="004F1B9E">
        <w:rPr>
          <w:vertAlign w:val="superscript"/>
        </w:rPr>
        <w:t>25</w:t>
      </w:r>
      <w:r w:rsidR="00864345" w:rsidRPr="00864345">
        <w:rPr>
          <w:color w:val="2B579A"/>
          <w:shd w:val="clear" w:color="auto" w:fill="E6E6E6"/>
          <w:vertAlign w:val="superscript"/>
        </w:rPr>
        <w:fldChar w:fldCharType="end"/>
      </w:r>
    </w:p>
    <w:p w14:paraId="6BA4A381" w14:textId="28980887" w:rsidR="00A1456E" w:rsidRPr="000C4A4E" w:rsidRDefault="00A1456E" w:rsidP="00A1456E">
      <w:r w:rsidRPr="000C4A4E">
        <w:t>Importantly, conventional melanomas in paediatric patients (which occur mostly in adolescents) have been demonstrated to show genomic similarity to those in adults.</w:t>
      </w:r>
      <w:bookmarkStart w:id="31" w:name="_Ref105419282"/>
      <w:r w:rsidRPr="000C4A4E">
        <w:rPr>
          <w:rStyle w:val="FootnoteReference"/>
        </w:rPr>
        <w:footnoteReference w:id="32"/>
      </w:r>
      <w:bookmarkEnd w:id="31"/>
      <w:r w:rsidRPr="000C4A4E">
        <w:t xml:space="preserve"> They demonstrate high mutation rates, a high frequency of single nucleotide variations typical of UV</w:t>
      </w:r>
      <w:r w:rsidR="00C33FF6">
        <w:noBreakHyphen/>
      </w:r>
      <w:r w:rsidRPr="000C4A4E">
        <w:t xml:space="preserve">related damage, </w:t>
      </w:r>
      <w:r w:rsidRPr="00BE1715">
        <w:t xml:space="preserve">and a similar rate of activating </w:t>
      </w:r>
      <w:r w:rsidRPr="00BE1715">
        <w:rPr>
          <w:i/>
          <w:iCs/>
        </w:rPr>
        <w:t>BRAF</w:t>
      </w:r>
      <w:r w:rsidR="00BE1715" w:rsidRPr="00BE1715">
        <w:t xml:space="preserve"> </w:t>
      </w:r>
      <w:r w:rsidRPr="00BE1715">
        <w:t>V600 mutation to adult melanoma.</w:t>
      </w:r>
      <w:r w:rsidR="00CC5FE1" w:rsidRPr="00BE1715">
        <w:rPr>
          <w:color w:val="2B579A"/>
          <w:shd w:val="clear" w:color="auto" w:fill="E6E6E6"/>
          <w:vertAlign w:val="superscript"/>
        </w:rPr>
        <w:fldChar w:fldCharType="begin"/>
      </w:r>
      <w:r w:rsidR="00CC5FE1" w:rsidRPr="00BE1715">
        <w:rPr>
          <w:vertAlign w:val="superscript"/>
        </w:rPr>
        <w:instrText xml:space="preserve"> NOTEREF _Ref105577508 \h  \* MERGEFORMAT </w:instrText>
      </w:r>
      <w:r w:rsidR="00CC5FE1" w:rsidRPr="00BE1715">
        <w:rPr>
          <w:color w:val="2B579A"/>
          <w:shd w:val="clear" w:color="auto" w:fill="E6E6E6"/>
          <w:vertAlign w:val="superscript"/>
        </w:rPr>
      </w:r>
      <w:r w:rsidR="00CC5FE1" w:rsidRPr="00BE1715">
        <w:rPr>
          <w:color w:val="2B579A"/>
          <w:shd w:val="clear" w:color="auto" w:fill="E6E6E6"/>
          <w:vertAlign w:val="superscript"/>
        </w:rPr>
        <w:fldChar w:fldCharType="separate"/>
      </w:r>
      <w:r w:rsidR="004F1B9E">
        <w:rPr>
          <w:vertAlign w:val="superscript"/>
        </w:rPr>
        <w:t>30</w:t>
      </w:r>
      <w:r w:rsidR="00CC5FE1" w:rsidRPr="00BE1715">
        <w:rPr>
          <w:color w:val="2B579A"/>
          <w:shd w:val="clear" w:color="auto" w:fill="E6E6E6"/>
          <w:vertAlign w:val="superscript"/>
        </w:rPr>
        <w:fldChar w:fldCharType="end"/>
      </w:r>
    </w:p>
    <w:p w14:paraId="5A62F02A" w14:textId="4D9BE331" w:rsidR="004B7BF3" w:rsidRDefault="00A1456E" w:rsidP="00C33FF6">
      <w:r>
        <w:t>Skin cancer is</w:t>
      </w:r>
      <w:r w:rsidRPr="00DE2AD2">
        <w:t xml:space="preserve"> often referred to as Australia’s ‘national cancer</w:t>
      </w:r>
      <w:r w:rsidR="00CC5FE1">
        <w:t>’</w:t>
      </w:r>
      <w:r>
        <w:t>,</w:t>
      </w:r>
      <w:r w:rsidRPr="00DE2AD2">
        <w:rPr>
          <w:rStyle w:val="FootnoteReference"/>
        </w:rPr>
        <w:footnoteReference w:id="33"/>
      </w:r>
      <w:r w:rsidRPr="00DE2AD2">
        <w:t xml:space="preserve"> </w:t>
      </w:r>
      <w:r>
        <w:t xml:space="preserve">and </w:t>
      </w:r>
      <w:r w:rsidRPr="00DE2AD2">
        <w:t>Australia has the highest incidence of melanoma in the world.</w:t>
      </w:r>
      <w:r w:rsidRPr="00DE2AD2">
        <w:rPr>
          <w:rStyle w:val="FootnoteReference"/>
        </w:rPr>
        <w:footnoteReference w:id="34"/>
      </w:r>
      <w:r>
        <w:t xml:space="preserve"> </w:t>
      </w:r>
      <w:r w:rsidRPr="00DE2AD2">
        <w:t>The age-standardised</w:t>
      </w:r>
      <w:r>
        <w:t xml:space="preserve"> </w:t>
      </w:r>
      <w:r w:rsidRPr="00DE2AD2">
        <w:t xml:space="preserve">incidence of melanoma </w:t>
      </w:r>
      <w:r>
        <w:t xml:space="preserve">in Australia approximately </w:t>
      </w:r>
      <w:r w:rsidRPr="00DE2AD2">
        <w:t xml:space="preserve">doubled </w:t>
      </w:r>
      <w:r>
        <w:t>between</w:t>
      </w:r>
      <w:r w:rsidRPr="00DE2AD2">
        <w:t xml:space="preserve"> 1982 </w:t>
      </w:r>
      <w:r>
        <w:t>and 2002</w:t>
      </w:r>
      <w:r w:rsidRPr="00DE2AD2">
        <w:t xml:space="preserve">, </w:t>
      </w:r>
      <w:r>
        <w:t>and</w:t>
      </w:r>
      <w:r w:rsidRPr="00DE2AD2">
        <w:t xml:space="preserve"> </w:t>
      </w:r>
      <w:r>
        <w:t xml:space="preserve">although the rate of increase </w:t>
      </w:r>
      <w:r w:rsidRPr="00DE2AD2">
        <w:t xml:space="preserve">appears to have </w:t>
      </w:r>
      <w:r>
        <w:t xml:space="preserve">slowed, the most recent data and estimates from the Australian Institute of Health and Welfare (AIHW) indicate it continuing to rise, with a predicted age-standardised incidence of </w:t>
      </w:r>
      <w:r w:rsidRPr="00B3267D">
        <w:t>55.3 per 100,000 in 2021.</w:t>
      </w:r>
      <w:r w:rsidRPr="00B3267D">
        <w:rPr>
          <w:rStyle w:val="FootnoteReference"/>
        </w:rPr>
        <w:footnoteReference w:id="35"/>
      </w:r>
    </w:p>
    <w:p w14:paraId="26DDCB3A" w14:textId="6B8BDADD" w:rsidR="00A1456E" w:rsidRDefault="00A1456E" w:rsidP="00C33FF6">
      <w:r>
        <w:t xml:space="preserve">In 2021, melanoma was predicted to be the second most common cancer diagnosed in Australian males (after prostate cancer), and the third most common diagnosed in females (after breast and colorectal carcinoma) and in people regardless of sex (after breast and prostate </w:t>
      </w:r>
      <w:r w:rsidRPr="00145C5C">
        <w:t>cancer).</w:t>
      </w:r>
      <w:r w:rsidR="00145C5C" w:rsidRPr="00145C5C">
        <w:rPr>
          <w:color w:val="2B579A"/>
          <w:shd w:val="clear" w:color="auto" w:fill="E6E6E6"/>
          <w:vertAlign w:val="superscript"/>
        </w:rPr>
        <w:fldChar w:fldCharType="begin"/>
      </w:r>
      <w:r w:rsidR="00145C5C" w:rsidRPr="00145C5C">
        <w:rPr>
          <w:vertAlign w:val="superscript"/>
        </w:rPr>
        <w:instrText xml:space="preserve"> NOTEREF _Ref104195764 \h  \* MERGEFORMAT </w:instrText>
      </w:r>
      <w:r w:rsidR="00145C5C" w:rsidRPr="00145C5C">
        <w:rPr>
          <w:color w:val="2B579A"/>
          <w:shd w:val="clear" w:color="auto" w:fill="E6E6E6"/>
          <w:vertAlign w:val="superscript"/>
        </w:rPr>
      </w:r>
      <w:r w:rsidR="00145C5C" w:rsidRPr="00145C5C">
        <w:rPr>
          <w:color w:val="2B579A"/>
          <w:shd w:val="clear" w:color="auto" w:fill="E6E6E6"/>
          <w:vertAlign w:val="superscript"/>
        </w:rPr>
        <w:fldChar w:fldCharType="separate"/>
      </w:r>
      <w:r w:rsidR="004F1B9E">
        <w:rPr>
          <w:vertAlign w:val="superscript"/>
        </w:rPr>
        <w:t>16</w:t>
      </w:r>
      <w:r w:rsidR="00145C5C" w:rsidRPr="00145C5C">
        <w:rPr>
          <w:color w:val="2B579A"/>
          <w:shd w:val="clear" w:color="auto" w:fill="E6E6E6"/>
          <w:vertAlign w:val="superscript"/>
        </w:rPr>
        <w:fldChar w:fldCharType="end"/>
      </w:r>
    </w:p>
    <w:p w14:paraId="25CA383A" w14:textId="6F58367C" w:rsidR="00A1456E" w:rsidRPr="00B46CD6" w:rsidRDefault="00A1456E" w:rsidP="00A1456E">
      <w:pPr>
        <w:rPr>
          <w:b/>
          <w:bCs/>
        </w:rPr>
      </w:pPr>
      <w:r>
        <w:t>Incidence does, however, appear to be decreasing in younger Australian patients. B</w:t>
      </w:r>
      <w:r w:rsidRPr="00CC37F1">
        <w:t xml:space="preserve">etween 2001 and 2021 the age-specific rate of melanoma </w:t>
      </w:r>
      <w:r w:rsidRPr="00CD5555">
        <w:t>dropped from 1.9 to 0.4 per 100,000 in people aged 10</w:t>
      </w:r>
      <w:r w:rsidR="00145C5C">
        <w:t xml:space="preserve"> to </w:t>
      </w:r>
      <w:r w:rsidRPr="00CD5555">
        <w:t>19 years, and from 23.3 to 14.9 in people aged 20</w:t>
      </w:r>
      <w:r w:rsidR="00145C5C">
        <w:t xml:space="preserve"> to </w:t>
      </w:r>
      <w:r w:rsidRPr="00CD5555">
        <w:t>39 years.</w:t>
      </w:r>
      <w:r w:rsidR="00145C5C" w:rsidRPr="00145C5C">
        <w:rPr>
          <w:color w:val="2B579A"/>
          <w:shd w:val="clear" w:color="auto" w:fill="E6E6E6"/>
          <w:vertAlign w:val="superscript"/>
        </w:rPr>
        <w:fldChar w:fldCharType="begin"/>
      </w:r>
      <w:r w:rsidR="00145C5C" w:rsidRPr="00145C5C">
        <w:rPr>
          <w:vertAlign w:val="superscript"/>
        </w:rPr>
        <w:instrText xml:space="preserve"> NOTEREF _Ref104195764 \h </w:instrText>
      </w:r>
      <w:r w:rsidR="00145C5C">
        <w:rPr>
          <w:vertAlign w:val="superscript"/>
        </w:rPr>
        <w:instrText xml:space="preserve"> \* MERGEFORMAT </w:instrText>
      </w:r>
      <w:r w:rsidR="00145C5C" w:rsidRPr="00145C5C">
        <w:rPr>
          <w:color w:val="2B579A"/>
          <w:shd w:val="clear" w:color="auto" w:fill="E6E6E6"/>
          <w:vertAlign w:val="superscript"/>
        </w:rPr>
      </w:r>
      <w:r w:rsidR="00145C5C" w:rsidRPr="00145C5C">
        <w:rPr>
          <w:color w:val="2B579A"/>
          <w:shd w:val="clear" w:color="auto" w:fill="E6E6E6"/>
          <w:vertAlign w:val="superscript"/>
        </w:rPr>
        <w:fldChar w:fldCharType="separate"/>
      </w:r>
      <w:r w:rsidR="004F1B9E">
        <w:rPr>
          <w:vertAlign w:val="superscript"/>
        </w:rPr>
        <w:t>16</w:t>
      </w:r>
      <w:r w:rsidR="00145C5C" w:rsidRPr="00145C5C">
        <w:rPr>
          <w:color w:val="2B579A"/>
          <w:shd w:val="clear" w:color="auto" w:fill="E6E6E6"/>
          <w:vertAlign w:val="superscript"/>
        </w:rPr>
        <w:fldChar w:fldCharType="end"/>
      </w:r>
      <w:r>
        <w:t xml:space="preserve"> Evidence from Queensland is also supportive: the</w:t>
      </w:r>
      <w:r w:rsidRPr="00CC37F1">
        <w:t xml:space="preserve"> incidence of thin invasive melanoma</w:t>
      </w:r>
      <w:r>
        <w:t xml:space="preserve"> has decreased since the 1990s in people born after the inception of</w:t>
      </w:r>
      <w:r w:rsidRPr="00CC37F1">
        <w:t xml:space="preserve"> </w:t>
      </w:r>
      <w:r>
        <w:t>state</w:t>
      </w:r>
      <w:r w:rsidRPr="00CC37F1">
        <w:t xml:space="preserve"> primary prevention and early detection programs</w:t>
      </w:r>
      <w:r>
        <w:t>.</w:t>
      </w:r>
      <w:r>
        <w:rPr>
          <w:rStyle w:val="FootnoteReference"/>
        </w:rPr>
        <w:footnoteReference w:id="36"/>
      </w:r>
      <w:r w:rsidRPr="00B46CD6">
        <w:t xml:space="preserve"> </w:t>
      </w:r>
      <w:r w:rsidRPr="00CC37F1">
        <w:t xml:space="preserve">Changes in incidence and mortality rates over time might be </w:t>
      </w:r>
      <w:r>
        <w:t>related</w:t>
      </w:r>
      <w:r w:rsidRPr="00CC37F1">
        <w:t xml:space="preserve"> to public health education and primary prevention campaigns.</w:t>
      </w:r>
      <w:r w:rsidRPr="00CC37F1">
        <w:rPr>
          <w:rStyle w:val="FootnoteReference"/>
        </w:rPr>
        <w:footnoteReference w:id="37"/>
      </w:r>
    </w:p>
    <w:p w14:paraId="59DBDFD6" w14:textId="5AF908DE" w:rsidR="00A1456E" w:rsidRDefault="00A1456E" w:rsidP="00A1456E">
      <w:r>
        <w:t xml:space="preserve">Despite its relatively high incidence, melanoma is only the </w:t>
      </w:r>
      <w:r w:rsidR="00145C5C">
        <w:t xml:space="preserve">eleventh </w:t>
      </w:r>
      <w:r>
        <w:t>most deadly cancer in Australia in 2021, with a predicted age-standardised mortality of around 4 per 100,000.</w:t>
      </w:r>
      <w:r w:rsidR="00145C5C" w:rsidRPr="00145C5C">
        <w:rPr>
          <w:color w:val="2B579A"/>
          <w:shd w:val="clear" w:color="auto" w:fill="E6E6E6"/>
          <w:vertAlign w:val="superscript"/>
        </w:rPr>
        <w:fldChar w:fldCharType="begin"/>
      </w:r>
      <w:r w:rsidR="00145C5C" w:rsidRPr="00145C5C">
        <w:rPr>
          <w:vertAlign w:val="superscript"/>
        </w:rPr>
        <w:instrText xml:space="preserve"> NOTEREF _Ref104195764 \h </w:instrText>
      </w:r>
      <w:r w:rsidR="00145C5C">
        <w:rPr>
          <w:vertAlign w:val="superscript"/>
        </w:rPr>
        <w:instrText xml:space="preserve"> \* MERGEFORMAT </w:instrText>
      </w:r>
      <w:r w:rsidR="00145C5C" w:rsidRPr="00145C5C">
        <w:rPr>
          <w:color w:val="2B579A"/>
          <w:shd w:val="clear" w:color="auto" w:fill="E6E6E6"/>
          <w:vertAlign w:val="superscript"/>
        </w:rPr>
      </w:r>
      <w:r w:rsidR="00145C5C" w:rsidRPr="00145C5C">
        <w:rPr>
          <w:color w:val="2B579A"/>
          <w:shd w:val="clear" w:color="auto" w:fill="E6E6E6"/>
          <w:vertAlign w:val="superscript"/>
        </w:rPr>
        <w:fldChar w:fldCharType="separate"/>
      </w:r>
      <w:r w:rsidR="004F1B9E">
        <w:rPr>
          <w:vertAlign w:val="superscript"/>
        </w:rPr>
        <w:t>16</w:t>
      </w:r>
      <w:r w:rsidR="00145C5C" w:rsidRPr="00145C5C">
        <w:rPr>
          <w:color w:val="2B579A"/>
          <w:shd w:val="clear" w:color="auto" w:fill="E6E6E6"/>
          <w:vertAlign w:val="superscript"/>
        </w:rPr>
        <w:fldChar w:fldCharType="end"/>
      </w:r>
      <w:r>
        <w:t xml:space="preserve"> This is largely attributable to the frequency with which they are diagnosed at an early stage (around </w:t>
      </w:r>
      <w:r w:rsidRPr="0000788E">
        <w:t>90% in Victoria are Stage 1 or 2 at diagnosis),</w:t>
      </w:r>
      <w:r w:rsidR="00145C5C" w:rsidRPr="0000788E">
        <w:rPr>
          <w:color w:val="2B579A"/>
          <w:shd w:val="clear" w:color="auto" w:fill="E6E6E6"/>
          <w:vertAlign w:val="superscript"/>
        </w:rPr>
        <w:fldChar w:fldCharType="begin"/>
      </w:r>
      <w:r w:rsidR="00145C5C" w:rsidRPr="0000788E">
        <w:rPr>
          <w:vertAlign w:val="superscript"/>
        </w:rPr>
        <w:instrText xml:space="preserve"> NOTEREF _Ref104198142 \h  \* MERGEFORMAT </w:instrText>
      </w:r>
      <w:r w:rsidR="00145C5C" w:rsidRPr="0000788E">
        <w:rPr>
          <w:color w:val="2B579A"/>
          <w:shd w:val="clear" w:color="auto" w:fill="E6E6E6"/>
          <w:vertAlign w:val="superscript"/>
        </w:rPr>
      </w:r>
      <w:r w:rsidR="00145C5C" w:rsidRPr="0000788E">
        <w:rPr>
          <w:color w:val="2B579A"/>
          <w:shd w:val="clear" w:color="auto" w:fill="E6E6E6"/>
          <w:vertAlign w:val="superscript"/>
        </w:rPr>
        <w:fldChar w:fldCharType="separate"/>
      </w:r>
      <w:r w:rsidR="004F1B9E">
        <w:rPr>
          <w:vertAlign w:val="superscript"/>
        </w:rPr>
        <w:t>17</w:t>
      </w:r>
      <w:r w:rsidR="00145C5C" w:rsidRPr="0000788E">
        <w:rPr>
          <w:color w:val="2B579A"/>
          <w:shd w:val="clear" w:color="auto" w:fill="E6E6E6"/>
          <w:vertAlign w:val="superscript"/>
        </w:rPr>
        <w:fldChar w:fldCharType="end"/>
      </w:r>
      <w:r w:rsidRPr="0000788E">
        <w:t xml:space="preserve"> making them amenable to excision</w:t>
      </w:r>
      <w:r w:rsidR="001301AD">
        <w:noBreakHyphen/>
      </w:r>
      <w:r w:rsidRPr="0000788E">
        <w:t>based</w:t>
      </w:r>
      <w:r>
        <w:t xml:space="preserve"> treatment with curative intent. For Australians with melanoma overall, the </w:t>
      </w:r>
      <w:proofErr w:type="gramStart"/>
      <w:r>
        <w:t>5</w:t>
      </w:r>
      <w:r w:rsidR="00145C5C">
        <w:t> </w:t>
      </w:r>
      <w:r>
        <w:t>year</w:t>
      </w:r>
      <w:proofErr w:type="gramEnd"/>
      <w:r>
        <w:t xml:space="preserve"> relative survival between 2007 and 2011 was 90%.</w:t>
      </w:r>
      <w:r>
        <w:rPr>
          <w:rStyle w:val="FootnoteReference"/>
        </w:rPr>
        <w:footnoteReference w:id="38"/>
      </w:r>
    </w:p>
    <w:p w14:paraId="6326FB9E" w14:textId="0440E397" w:rsidR="00A1456E" w:rsidRDefault="00A1456E" w:rsidP="00A1456E">
      <w:r>
        <w:lastRenderedPageBreak/>
        <w:t>For patients who</w:t>
      </w:r>
      <w:r w:rsidR="00145C5C">
        <w:t>se</w:t>
      </w:r>
      <w:r>
        <w:t xml:space="preserve"> disease is locally advanced and not </w:t>
      </w:r>
      <w:r w:rsidRPr="009665B5">
        <w:t xml:space="preserve">considered </w:t>
      </w:r>
      <w:proofErr w:type="spellStart"/>
      <w:r w:rsidRPr="009665B5">
        <w:t>resectable</w:t>
      </w:r>
      <w:proofErr w:type="spellEnd"/>
      <w:r w:rsidRPr="009665B5">
        <w:t>, or is metastatic, systemic treatment is indicated.</w:t>
      </w:r>
      <w:bookmarkStart w:id="32" w:name="_Ref104822117"/>
      <w:r w:rsidRPr="00E72B46">
        <w:rPr>
          <w:rStyle w:val="FootnoteReference"/>
        </w:rPr>
        <w:footnoteReference w:id="39"/>
      </w:r>
      <w:bookmarkEnd w:id="32"/>
      <w:r w:rsidRPr="009665B5">
        <w:t xml:space="preserve"> </w:t>
      </w:r>
      <w:r>
        <w:t xml:space="preserve">Prognosis for these </w:t>
      </w:r>
      <w:r w:rsidRPr="002D493F">
        <w:t>patients had historically been dismal with a median overall survival (OS) of around 7 to</w:t>
      </w:r>
      <w:r w:rsidRPr="00FB7294">
        <w:t xml:space="preserve"> </w:t>
      </w:r>
      <w:r>
        <w:t>9</w:t>
      </w:r>
      <w:r w:rsidR="00145C5C">
        <w:t> </w:t>
      </w:r>
      <w:r w:rsidRPr="00FB7294">
        <w:t xml:space="preserve">months, and </w:t>
      </w:r>
      <w:r>
        <w:t>a</w:t>
      </w:r>
      <w:r w:rsidRPr="00FB7294">
        <w:t xml:space="preserve"> 5-year survival rate </w:t>
      </w:r>
      <w:r>
        <w:t>of around</w:t>
      </w:r>
      <w:r w:rsidRPr="00FB7294">
        <w:t xml:space="preserve"> 5</w:t>
      </w:r>
      <w:r>
        <w:t>%.</w:t>
      </w:r>
      <w:r>
        <w:rPr>
          <w:rStyle w:val="FootnoteReference"/>
        </w:rPr>
        <w:footnoteReference w:id="40"/>
      </w:r>
      <w:r>
        <w:t xml:space="preserve"> This has dramatically changed over the last decade with the advent of new treatment options.</w:t>
      </w:r>
      <w:r w:rsidRPr="00D95DEF">
        <w:rPr>
          <w:rStyle w:val="FootnoteReference"/>
        </w:rPr>
        <w:footnoteReference w:id="41"/>
      </w:r>
      <w:r w:rsidRPr="00D95DEF">
        <w:t xml:space="preserve"> </w:t>
      </w:r>
      <w:r>
        <w:t>I</w:t>
      </w:r>
      <w:r w:rsidRPr="00D95DEF">
        <w:t>n 2016, 5-year survival rates for Australians with metastatic melanoma were 26% for patients with metastatic disease and 61% for those with regional spread.</w:t>
      </w:r>
      <w:r w:rsidRPr="00D95DEF">
        <w:rPr>
          <w:rStyle w:val="FootnoteReference"/>
        </w:rPr>
        <w:footnoteReference w:id="42"/>
      </w:r>
      <w:r w:rsidRPr="001C5078">
        <w:t xml:space="preserve"> </w:t>
      </w:r>
      <w:r>
        <w:t>More recent Australia-specific survival data is not yet reported.</w:t>
      </w:r>
    </w:p>
    <w:p w14:paraId="0CCE40BC" w14:textId="77777777" w:rsidR="006A4D3C" w:rsidRDefault="006A4D3C" w:rsidP="006A4D3C">
      <w:pPr>
        <w:pStyle w:val="Heading4"/>
      </w:pPr>
      <w:bookmarkStart w:id="34" w:name="_Toc154134517"/>
      <w:r w:rsidRPr="00D305C6">
        <w:t>Current treatment options</w:t>
      </w:r>
      <w:bookmarkEnd w:id="34"/>
    </w:p>
    <w:p w14:paraId="770DE0DD" w14:textId="42E8525D" w:rsidR="00A1456E" w:rsidRDefault="00A1456E" w:rsidP="00A1456E">
      <w:r>
        <w:t>In 2010, for</w:t>
      </w:r>
      <w:r w:rsidRPr="00D305C6">
        <w:t xml:space="preserve"> patients </w:t>
      </w:r>
      <w:r>
        <w:t>with advanced, unresectable melanoma, single agent chemotherapy with dacarbazine had been considered the standard</w:t>
      </w:r>
      <w:r w:rsidR="004C3E39">
        <w:noBreakHyphen/>
      </w:r>
      <w:r>
        <w:t>of</w:t>
      </w:r>
      <w:r w:rsidR="004C3E39">
        <w:noBreakHyphen/>
      </w:r>
      <w:r>
        <w:t>care for three decades, with response rates of 7</w:t>
      </w:r>
      <w:r w:rsidR="00B309E2">
        <w:t xml:space="preserve"> to </w:t>
      </w:r>
      <w:r>
        <w:t>15%,</w:t>
      </w:r>
      <w:r>
        <w:rPr>
          <w:rStyle w:val="FootnoteReference"/>
        </w:rPr>
        <w:footnoteReference w:id="43"/>
      </w:r>
      <w:r>
        <w:t xml:space="preserve"> and no demonstrated effect on survival time.</w:t>
      </w:r>
      <w:r>
        <w:rPr>
          <w:rStyle w:val="FootnoteReference"/>
        </w:rPr>
        <w:footnoteReference w:id="44"/>
      </w:r>
      <w:r>
        <w:t xml:space="preserve"> A new era for advanced melanoma treatment began that year, when an inhibitor of </w:t>
      </w:r>
      <w:r w:rsidR="00D805CE">
        <w:t>cytotoxic T-lymphocyte antigen-4 (</w:t>
      </w:r>
      <w:r>
        <w:t>CTLA4</w:t>
      </w:r>
      <w:r w:rsidR="00D805CE">
        <w:t>)</w:t>
      </w:r>
      <w:r>
        <w:t xml:space="preserve"> – an immune checkpoint receptor –</w:t>
      </w:r>
      <w:r w:rsidRPr="007D29B6">
        <w:t xml:space="preserve"> </w:t>
      </w:r>
      <w:r w:rsidRPr="0068062D">
        <w:t>became the first drug to demonstrate significant prolongation of median OS in patients with</w:t>
      </w:r>
      <w:r>
        <w:t xml:space="preserve"> advanced melanoma.</w:t>
      </w:r>
      <w:r>
        <w:rPr>
          <w:rStyle w:val="FootnoteReference"/>
        </w:rPr>
        <w:footnoteReference w:id="45"/>
      </w:r>
      <w:r>
        <w:t xml:space="preserve"> The following year, an inhibitor of the melanoma-associated oncoprotein, </w:t>
      </w:r>
      <w:r w:rsidRPr="006E46C7">
        <w:t>BRAF, w</w:t>
      </w:r>
      <w:r w:rsidRPr="0068062D">
        <w:t xml:space="preserve">as shown to prolong OS significantly in those with a </w:t>
      </w:r>
      <w:r w:rsidRPr="0068062D">
        <w:rPr>
          <w:i/>
          <w:iCs/>
        </w:rPr>
        <w:t>BRAF</w:t>
      </w:r>
      <w:r w:rsidRPr="0068062D">
        <w:t xml:space="preserve"> V600E mutation.</w:t>
      </w:r>
      <w:r w:rsidRPr="0068062D">
        <w:rPr>
          <w:rStyle w:val="FootnoteReference"/>
        </w:rPr>
        <w:footnoteReference w:id="46"/>
      </w:r>
      <w:r>
        <w:t xml:space="preserve"> </w:t>
      </w:r>
      <w:r w:rsidRPr="009253FA">
        <w:t>Ipilimumab</w:t>
      </w:r>
      <w:r w:rsidR="009253FA" w:rsidRPr="009253FA">
        <w:rPr>
          <w:rStyle w:val="FootnoteReference"/>
        </w:rPr>
        <w:footnoteReference w:id="47"/>
      </w:r>
      <w:r w:rsidRPr="009253FA">
        <w:t xml:space="preserve"> and vemurafenib</w:t>
      </w:r>
      <w:r w:rsidR="009253FA" w:rsidRPr="009253FA">
        <w:rPr>
          <w:rStyle w:val="FootnoteReference"/>
        </w:rPr>
        <w:footnoteReference w:id="48"/>
      </w:r>
      <w:r w:rsidRPr="009253FA">
        <w:t xml:space="preserve"> </w:t>
      </w:r>
      <w:r w:rsidR="009253FA" w:rsidRPr="009253FA">
        <w:t xml:space="preserve">have </w:t>
      </w:r>
      <w:r w:rsidRPr="009253FA">
        <w:t xml:space="preserve">regulatory approval in Australia. Acquired resistance to anti-BRAF monotherapy was found to emerge after around </w:t>
      </w:r>
      <w:r w:rsidR="00B309E2" w:rsidRPr="009253FA">
        <w:t>6</w:t>
      </w:r>
      <w:r w:rsidRPr="009253FA">
        <w:t xml:space="preserve"> months in around half of patients</w:t>
      </w:r>
      <w:r w:rsidRPr="00B309E2">
        <w:t xml:space="preserve"> </w:t>
      </w:r>
      <w:r w:rsidRPr="006E46C7">
        <w:t xml:space="preserve">receiving it, but in 2014, combination treatment with the addition of a </w:t>
      </w:r>
      <w:r w:rsidR="00B309E2" w:rsidRPr="006E46C7">
        <w:t>mitogen-activated protein kinase (</w:t>
      </w:r>
      <w:r w:rsidRPr="006E46C7">
        <w:t>MEK</w:t>
      </w:r>
      <w:r w:rsidR="00B309E2" w:rsidRPr="006E46C7">
        <w:t>)</w:t>
      </w:r>
      <w:r w:rsidRPr="006E46C7">
        <w:t xml:space="preserve"> inhibitor was found to delay such resistance and increase OS.</w:t>
      </w:r>
      <w:bookmarkStart w:id="36" w:name="_Ref139612773"/>
      <w:r w:rsidRPr="006E46C7">
        <w:rPr>
          <w:rStyle w:val="FootnoteReference"/>
        </w:rPr>
        <w:footnoteReference w:id="49"/>
      </w:r>
      <w:bookmarkEnd w:id="36"/>
    </w:p>
    <w:p w14:paraId="6A786C5A" w14:textId="67A8BED2" w:rsidR="00A1456E" w:rsidRPr="007B6EDC" w:rsidRDefault="00A1456E" w:rsidP="00A1456E">
      <w:r>
        <w:t xml:space="preserve">Meanwhile, the research base supporting immune checkpoint inhibition was also expanding. In </w:t>
      </w:r>
      <w:r w:rsidRPr="006873CD">
        <w:t xml:space="preserve">2015, monoclonal antibodies against </w:t>
      </w:r>
      <w:r w:rsidR="006873CD" w:rsidRPr="006873CD">
        <w:t>programmed death receptor-1 (</w:t>
      </w:r>
      <w:r w:rsidRPr="006873CD">
        <w:t>PD-1</w:t>
      </w:r>
      <w:r w:rsidR="006873CD" w:rsidRPr="006873CD">
        <w:t>)</w:t>
      </w:r>
      <w:r w:rsidRPr="006873CD">
        <w:t>, another checkpoint</w:t>
      </w:r>
      <w:r>
        <w:t xml:space="preserve"> molecule, demonstrated not only </w:t>
      </w:r>
      <w:r w:rsidRPr="00D805CE">
        <w:t>longer survival but a better toxicity profile than anti-CTLA4 monotherapy.</w:t>
      </w:r>
      <w:r w:rsidRPr="006873CD">
        <w:rPr>
          <w:rStyle w:val="FootnoteReference"/>
        </w:rPr>
        <w:footnoteReference w:id="50"/>
      </w:r>
      <w:r w:rsidR="006873CD" w:rsidRPr="006873CD">
        <w:rPr>
          <w:vertAlign w:val="superscript"/>
        </w:rPr>
        <w:t>,</w:t>
      </w:r>
      <w:r w:rsidRPr="006873CD">
        <w:rPr>
          <w:rStyle w:val="FootnoteReference"/>
        </w:rPr>
        <w:footnoteReference w:id="51"/>
      </w:r>
      <w:r w:rsidRPr="006873CD">
        <w:rPr>
          <w:vertAlign w:val="superscript"/>
        </w:rPr>
        <w:t xml:space="preserve"> </w:t>
      </w:r>
      <w:r w:rsidRPr="00D805CE">
        <w:t>Extended follow</w:t>
      </w:r>
      <w:r>
        <w:t xml:space="preserve"> up has confirmed the durability of such benefit, with 5</w:t>
      </w:r>
      <w:r w:rsidR="00AD131C">
        <w:t>-</w:t>
      </w:r>
      <w:r>
        <w:t>year survival rates and median survival times of 44% and 36.9</w:t>
      </w:r>
      <w:r w:rsidR="0041684F">
        <w:t> </w:t>
      </w:r>
      <w:r>
        <w:t xml:space="preserve">months (nivolumab) versus 26% and </w:t>
      </w:r>
      <w:r>
        <w:lastRenderedPageBreak/>
        <w:t>19.9</w:t>
      </w:r>
      <w:r w:rsidR="0041684F">
        <w:t> </w:t>
      </w:r>
      <w:r>
        <w:t>months (ipilimumab) in one study (</w:t>
      </w:r>
      <w:r w:rsidR="00952329">
        <w:t xml:space="preserve">the </w:t>
      </w:r>
      <w:proofErr w:type="spellStart"/>
      <w:r w:rsidR="00DC5490">
        <w:t>C</w:t>
      </w:r>
      <w:r w:rsidR="00952329">
        <w:t>heckMate</w:t>
      </w:r>
      <w:proofErr w:type="spellEnd"/>
      <w:r>
        <w:t xml:space="preserve"> 067</w:t>
      </w:r>
      <w:r w:rsidR="00DC5490">
        <w:t xml:space="preserve"> trial</w:t>
      </w:r>
      <w:r>
        <w:t>),</w:t>
      </w:r>
      <w:bookmarkStart w:id="37" w:name="_Ref140222918"/>
      <w:r>
        <w:rPr>
          <w:rStyle w:val="FootnoteReference"/>
        </w:rPr>
        <w:footnoteReference w:id="52"/>
      </w:r>
      <w:bookmarkEnd w:id="37"/>
      <w:r w:rsidRPr="00E149E3">
        <w:rPr>
          <w:vertAlign w:val="superscript"/>
        </w:rPr>
        <w:t>,</w:t>
      </w:r>
      <w:bookmarkStart w:id="38" w:name="_Ref104299675"/>
      <w:r>
        <w:rPr>
          <w:rStyle w:val="FootnoteReference"/>
        </w:rPr>
        <w:footnoteReference w:id="53"/>
      </w:r>
      <w:bookmarkEnd w:id="38"/>
      <w:r>
        <w:t xml:space="preserve"> and 39% and 32.7</w:t>
      </w:r>
      <w:r w:rsidR="0041684F">
        <w:t> </w:t>
      </w:r>
      <w:r>
        <w:t>months (pembrolizumab) versus 31% and 15.9</w:t>
      </w:r>
      <w:r w:rsidR="0041684F">
        <w:t> </w:t>
      </w:r>
      <w:r>
        <w:t>months (ipilimumab) in the other (</w:t>
      </w:r>
      <w:r w:rsidR="00952329">
        <w:t xml:space="preserve">the </w:t>
      </w:r>
      <w:r>
        <w:t>KEYNOTE-006</w:t>
      </w:r>
      <w:r w:rsidR="00DC5490">
        <w:t xml:space="preserve"> trial</w:t>
      </w:r>
      <w:r>
        <w:t>).</w:t>
      </w:r>
      <w:r>
        <w:rPr>
          <w:rStyle w:val="FootnoteReference"/>
        </w:rPr>
        <w:footnoteReference w:id="54"/>
      </w:r>
      <w:r>
        <w:t xml:space="preserve"> Patients treated with a PD-1 inhibitor in combination with a CTLA4 inhibitor in the third treatment arm in </w:t>
      </w:r>
      <w:r w:rsidR="00DC5490">
        <w:t xml:space="preserve">the </w:t>
      </w:r>
      <w:proofErr w:type="spellStart"/>
      <w:r w:rsidR="00DC5490">
        <w:t>C</w:t>
      </w:r>
      <w:r w:rsidR="00952329">
        <w:t>heckMate</w:t>
      </w:r>
      <w:proofErr w:type="spellEnd"/>
      <w:r>
        <w:t xml:space="preserve"> 067 </w:t>
      </w:r>
      <w:r w:rsidR="00DC5490">
        <w:t xml:space="preserve">trial </w:t>
      </w:r>
      <w:r>
        <w:t xml:space="preserve">have </w:t>
      </w:r>
      <w:r w:rsidR="00AD131C">
        <w:t xml:space="preserve">demonstrated </w:t>
      </w:r>
      <w:r>
        <w:t>a 5</w:t>
      </w:r>
      <w:r w:rsidR="006873CD">
        <w:t> </w:t>
      </w:r>
      <w:r>
        <w:t>year survival rate of 52%,</w:t>
      </w:r>
      <w:r w:rsidR="0041684F" w:rsidRPr="0041684F">
        <w:rPr>
          <w:color w:val="2B579A"/>
          <w:shd w:val="clear" w:color="auto" w:fill="E6E6E6"/>
          <w:vertAlign w:val="superscript"/>
        </w:rPr>
        <w:fldChar w:fldCharType="begin"/>
      </w:r>
      <w:r w:rsidR="0041684F" w:rsidRPr="0041684F">
        <w:rPr>
          <w:vertAlign w:val="superscript"/>
        </w:rPr>
        <w:instrText xml:space="preserve"> NOTEREF _Ref104299675 \h </w:instrText>
      </w:r>
      <w:r w:rsidR="0041684F">
        <w:rPr>
          <w:vertAlign w:val="superscript"/>
        </w:rPr>
        <w:instrText xml:space="preserve"> \* MERGEFORMAT </w:instrText>
      </w:r>
      <w:r w:rsidR="0041684F" w:rsidRPr="0041684F">
        <w:rPr>
          <w:color w:val="2B579A"/>
          <w:shd w:val="clear" w:color="auto" w:fill="E6E6E6"/>
          <w:vertAlign w:val="superscript"/>
        </w:rPr>
      </w:r>
      <w:r w:rsidR="0041684F" w:rsidRPr="0041684F">
        <w:rPr>
          <w:color w:val="2B579A"/>
          <w:shd w:val="clear" w:color="auto" w:fill="E6E6E6"/>
          <w:vertAlign w:val="superscript"/>
        </w:rPr>
        <w:fldChar w:fldCharType="separate"/>
      </w:r>
      <w:r w:rsidR="004F1B9E">
        <w:rPr>
          <w:vertAlign w:val="superscript"/>
        </w:rPr>
        <w:t>52</w:t>
      </w:r>
      <w:r w:rsidR="0041684F" w:rsidRPr="0041684F">
        <w:rPr>
          <w:color w:val="2B579A"/>
          <w:shd w:val="clear" w:color="auto" w:fill="E6E6E6"/>
          <w:vertAlign w:val="superscript"/>
        </w:rPr>
        <w:fldChar w:fldCharType="end"/>
      </w:r>
      <w:r>
        <w:t xml:space="preserve"> and a 6.5</w:t>
      </w:r>
      <w:r w:rsidR="006873CD">
        <w:t> </w:t>
      </w:r>
      <w:r>
        <w:t>year survival rate of 49%.</w:t>
      </w:r>
      <w:r>
        <w:rPr>
          <w:rStyle w:val="FootnoteReference"/>
        </w:rPr>
        <w:footnoteReference w:id="55"/>
      </w:r>
      <w:r>
        <w:t xml:space="preserve"> Unfortunately, the combination is also associated with increased toxicity compared to anti-PD-1 monotherapy: rates of treatment</w:t>
      </w:r>
      <w:r w:rsidR="003269A5">
        <w:t xml:space="preserve"> </w:t>
      </w:r>
      <w:r>
        <w:t>related adverse events that were high grade and of those that led to treatment discontinuation were more than double</w:t>
      </w:r>
      <w:r w:rsidR="00AD131C">
        <w:t>d</w:t>
      </w:r>
      <w:r>
        <w:t xml:space="preserve"> (59% versus 23%, and 42% vs 13%, </w:t>
      </w:r>
      <w:r w:rsidRPr="007B6EDC">
        <w:t>respectively).</w:t>
      </w:r>
      <w:r w:rsidR="007B6EDC" w:rsidRPr="007B6EDC">
        <w:rPr>
          <w:color w:val="2B579A"/>
          <w:shd w:val="clear" w:color="auto" w:fill="E6E6E6"/>
          <w:vertAlign w:val="superscript"/>
        </w:rPr>
        <w:fldChar w:fldCharType="begin"/>
      </w:r>
      <w:r w:rsidR="007B6EDC" w:rsidRPr="007B6EDC">
        <w:rPr>
          <w:vertAlign w:val="superscript"/>
        </w:rPr>
        <w:instrText xml:space="preserve"> NOTEREF _Ref104299675 \h  \* MERGEFORMAT </w:instrText>
      </w:r>
      <w:r w:rsidR="007B6EDC" w:rsidRPr="007B6EDC">
        <w:rPr>
          <w:color w:val="2B579A"/>
          <w:shd w:val="clear" w:color="auto" w:fill="E6E6E6"/>
          <w:vertAlign w:val="superscript"/>
        </w:rPr>
      </w:r>
      <w:r w:rsidR="007B6EDC" w:rsidRPr="007B6EDC">
        <w:rPr>
          <w:color w:val="2B579A"/>
          <w:shd w:val="clear" w:color="auto" w:fill="E6E6E6"/>
          <w:vertAlign w:val="superscript"/>
        </w:rPr>
        <w:fldChar w:fldCharType="separate"/>
      </w:r>
      <w:r w:rsidR="004F1B9E">
        <w:rPr>
          <w:vertAlign w:val="superscript"/>
        </w:rPr>
        <w:t>52</w:t>
      </w:r>
      <w:r w:rsidR="007B6EDC" w:rsidRPr="007B6EDC">
        <w:rPr>
          <w:color w:val="2B579A"/>
          <w:shd w:val="clear" w:color="auto" w:fill="E6E6E6"/>
          <w:vertAlign w:val="superscript"/>
        </w:rPr>
        <w:fldChar w:fldCharType="end"/>
      </w:r>
    </w:p>
    <w:p w14:paraId="28E1B275" w14:textId="1950AD5E" w:rsidR="00A1456E" w:rsidRDefault="00A1456E" w:rsidP="00A1456E">
      <w:r>
        <w:t>For patients with an actionable</w:t>
      </w:r>
      <w:r w:rsidRPr="007B6EDC">
        <w:rPr>
          <w:i/>
          <w:iCs/>
        </w:rPr>
        <w:t xml:space="preserve"> BRAF</w:t>
      </w:r>
      <w:r>
        <w:t xml:space="preserve"> mutation, immunotherapy and </w:t>
      </w:r>
      <w:r w:rsidRPr="00870D5F">
        <w:t>BRAF</w:t>
      </w:r>
      <w:r w:rsidRPr="007B6EDC">
        <w:rPr>
          <w:i/>
          <w:iCs/>
        </w:rPr>
        <w:t>/</w:t>
      </w:r>
      <w:r w:rsidRPr="0068062D">
        <w:t xml:space="preserve">MEK </w:t>
      </w:r>
      <w:r>
        <w:t>inhibitor therapy both present therapeutic options, as OS benefit with immunotherapy has been demonstrated to be independent</w:t>
      </w:r>
      <w:r w:rsidRPr="000500A2">
        <w:t xml:space="preserve"> of </w:t>
      </w:r>
      <w:r w:rsidRPr="00870D5F">
        <w:rPr>
          <w:i/>
          <w:iCs/>
        </w:rPr>
        <w:t>BRAF</w:t>
      </w:r>
      <w:r w:rsidRPr="000500A2">
        <w:t xml:space="preserve"> mutation status</w:t>
      </w:r>
      <w:r>
        <w:t>.</w:t>
      </w:r>
      <w:r>
        <w:rPr>
          <w:rStyle w:val="FootnoteReference"/>
        </w:rPr>
        <w:footnoteReference w:id="56"/>
      </w:r>
      <w:r w:rsidRPr="000500A2">
        <w:rPr>
          <w:vertAlign w:val="superscript"/>
        </w:rPr>
        <w:t>,</w:t>
      </w:r>
      <w:r>
        <w:rPr>
          <w:rStyle w:val="FootnoteReference"/>
        </w:rPr>
        <w:footnoteReference w:id="57"/>
      </w:r>
      <w:r>
        <w:t xml:space="preserve"> A direct randomised comparison between single agent immunotherapy </w:t>
      </w:r>
      <w:r w:rsidRPr="00DE6CF4">
        <w:t xml:space="preserve">and </w:t>
      </w:r>
      <w:r w:rsidRPr="00870D5F">
        <w:t>BRAF</w:t>
      </w:r>
      <w:r w:rsidRPr="007B6EDC">
        <w:rPr>
          <w:i/>
          <w:iCs/>
        </w:rPr>
        <w:t>/</w:t>
      </w:r>
      <w:r w:rsidRPr="0068062D">
        <w:t>MEK</w:t>
      </w:r>
      <w:r w:rsidRPr="00DE6CF4">
        <w:t xml:space="preserve"> inhibitor therapy is not yet available</w:t>
      </w:r>
      <w:r>
        <w:t>,</w:t>
      </w:r>
      <w:r w:rsidRPr="00DE6CF4">
        <w:rPr>
          <w:rStyle w:val="FootnoteReference"/>
        </w:rPr>
        <w:footnoteReference w:id="58"/>
      </w:r>
      <w:r>
        <w:t xml:space="preserve"> however, data comparing anti-CTLA4/PD-1 doublet therapy </w:t>
      </w:r>
      <w:r w:rsidR="00AD131C">
        <w:t>directly</w:t>
      </w:r>
      <w:r>
        <w:t xml:space="preserve"> against </w:t>
      </w:r>
      <w:r w:rsidRPr="00870D5F">
        <w:t>BRAF</w:t>
      </w:r>
      <w:r w:rsidRPr="007B6EDC">
        <w:rPr>
          <w:i/>
          <w:iCs/>
        </w:rPr>
        <w:t>/</w:t>
      </w:r>
      <w:r w:rsidRPr="0068062D">
        <w:t xml:space="preserve">MEK </w:t>
      </w:r>
      <w:r>
        <w:t>inhibitor therapy became available i</w:t>
      </w:r>
      <w:r w:rsidRPr="00FD18EA">
        <w:t xml:space="preserve">n November 2021, </w:t>
      </w:r>
      <w:r>
        <w:t xml:space="preserve">when </w:t>
      </w:r>
      <w:r w:rsidRPr="00FD18EA">
        <w:t xml:space="preserve">the </w:t>
      </w:r>
      <w:proofErr w:type="spellStart"/>
      <w:r w:rsidRPr="00FD18EA">
        <w:t>DREAMseq</w:t>
      </w:r>
      <w:proofErr w:type="spellEnd"/>
      <w:r w:rsidRPr="00FD18EA">
        <w:t xml:space="preserve"> randomised trial was ceased early based on </w:t>
      </w:r>
      <w:r>
        <w:t>results demonstrating</w:t>
      </w:r>
      <w:r w:rsidRPr="00FD18EA">
        <w:t xml:space="preserve"> a 2</w:t>
      </w:r>
      <w:r w:rsidR="00AD131C">
        <w:t>-</w:t>
      </w:r>
      <w:r w:rsidRPr="00FD18EA">
        <w:t xml:space="preserve">year OS rate of 72% for patients </w:t>
      </w:r>
      <w:r>
        <w:t xml:space="preserve">in Arm A </w:t>
      </w:r>
      <w:r w:rsidRPr="006873CD">
        <w:t>(who received CTLA4</w:t>
      </w:r>
      <w:r w:rsidR="000F4B6F">
        <w:t xml:space="preserve"> plus</w:t>
      </w:r>
      <w:r w:rsidR="005922FD">
        <w:t xml:space="preserve"> </w:t>
      </w:r>
      <w:r w:rsidRPr="006873CD">
        <w:t xml:space="preserve">PD-1 inhibition first-line and </w:t>
      </w:r>
      <w:r w:rsidRPr="00870D5F">
        <w:t>BRAF</w:t>
      </w:r>
      <w:r w:rsidR="000F4B6F">
        <w:rPr>
          <w:i/>
          <w:iCs/>
        </w:rPr>
        <w:t xml:space="preserve"> </w:t>
      </w:r>
      <w:r w:rsidR="000F4B6F" w:rsidRPr="00564C67">
        <w:t xml:space="preserve">plus </w:t>
      </w:r>
      <w:r w:rsidRPr="006873CD">
        <w:t>MEK inhibition second-line), and</w:t>
      </w:r>
      <w:r w:rsidRPr="00FD18EA">
        <w:t xml:space="preserve"> 52% for those</w:t>
      </w:r>
      <w:r>
        <w:t xml:space="preserve"> in Arm B</w:t>
      </w:r>
      <w:r w:rsidRPr="00FD18EA">
        <w:t xml:space="preserve"> </w:t>
      </w:r>
      <w:r>
        <w:t>(</w:t>
      </w:r>
      <w:r w:rsidRPr="00FD18EA">
        <w:t>who received the same two combinations in the reverse order</w:t>
      </w:r>
      <w:r>
        <w:t>); rates of toxicity were similar between arms</w:t>
      </w:r>
      <w:r w:rsidRPr="00FD18EA">
        <w:t>.</w:t>
      </w:r>
      <w:bookmarkStart w:id="39" w:name="_Ref140500336"/>
      <w:r w:rsidRPr="00FD18EA">
        <w:rPr>
          <w:rStyle w:val="FootnoteReference"/>
        </w:rPr>
        <w:footnoteReference w:id="59"/>
      </w:r>
      <w:bookmarkEnd w:id="39"/>
      <w:r w:rsidRPr="00FD18EA">
        <w:t xml:space="preserve"> </w:t>
      </w:r>
      <w:r>
        <w:t>However, both the progression</w:t>
      </w:r>
      <w:r w:rsidR="00C808E2">
        <w:noBreakHyphen/>
      </w:r>
      <w:r>
        <w:t>free surviv</w:t>
      </w:r>
      <w:r w:rsidRPr="0000788E">
        <w:t>al (PFS) and t</w:t>
      </w:r>
      <w:r>
        <w:t xml:space="preserve">he </w:t>
      </w:r>
      <w:r w:rsidRPr="006873CD">
        <w:t>OS Kaplan-Meier curve were biphasic, with crossover at 6 and 10</w:t>
      </w:r>
      <w:r w:rsidR="007B6EDC" w:rsidRPr="006873CD">
        <w:t> </w:t>
      </w:r>
      <w:r w:rsidRPr="006873CD">
        <w:t>months, respectively.</w:t>
      </w:r>
      <w:r w:rsidR="00D06F59" w:rsidRPr="006873CD">
        <w:rPr>
          <w:color w:val="2B579A"/>
          <w:shd w:val="clear" w:color="auto" w:fill="E6E6E6"/>
          <w:vertAlign w:val="superscript"/>
        </w:rPr>
        <w:fldChar w:fldCharType="begin"/>
      </w:r>
      <w:r w:rsidR="00D06F59" w:rsidRPr="006873CD">
        <w:rPr>
          <w:vertAlign w:val="superscript"/>
        </w:rPr>
        <w:instrText xml:space="preserve"> NOTEREF _Ref140500336 \h  \* MERGEFORMAT </w:instrText>
      </w:r>
      <w:r w:rsidR="00D06F59" w:rsidRPr="006873CD">
        <w:rPr>
          <w:color w:val="2B579A"/>
          <w:shd w:val="clear" w:color="auto" w:fill="E6E6E6"/>
          <w:vertAlign w:val="superscript"/>
        </w:rPr>
      </w:r>
      <w:r w:rsidR="00D06F59" w:rsidRPr="006873CD">
        <w:rPr>
          <w:color w:val="2B579A"/>
          <w:shd w:val="clear" w:color="auto" w:fill="E6E6E6"/>
          <w:vertAlign w:val="superscript"/>
        </w:rPr>
        <w:fldChar w:fldCharType="separate"/>
      </w:r>
      <w:r w:rsidR="004F1B9E">
        <w:rPr>
          <w:vertAlign w:val="superscript"/>
        </w:rPr>
        <w:t>58</w:t>
      </w:r>
      <w:r w:rsidR="00D06F59" w:rsidRPr="006873CD">
        <w:rPr>
          <w:color w:val="2B579A"/>
          <w:shd w:val="clear" w:color="auto" w:fill="E6E6E6"/>
          <w:vertAlign w:val="superscript"/>
        </w:rPr>
        <w:fldChar w:fldCharType="end"/>
      </w:r>
      <w:r w:rsidRPr="006873CD">
        <w:rPr>
          <w:vertAlign w:val="superscript"/>
        </w:rPr>
        <w:t xml:space="preserve"> </w:t>
      </w:r>
      <w:r w:rsidRPr="006873CD">
        <w:t>This</w:t>
      </w:r>
      <w:r>
        <w:t xml:space="preserve"> appearance of non-proportional hazards has been seen in multiple previous studies comparing immunotherapy-only regimens to treatments with a</w:t>
      </w:r>
      <w:r w:rsidRPr="009401A3">
        <w:t xml:space="preserve"> </w:t>
      </w:r>
      <w:r>
        <w:t>faster onset</w:t>
      </w:r>
      <w:r w:rsidR="00AD131C">
        <w:t xml:space="preserve"> </w:t>
      </w:r>
      <w:r>
        <w:t>of</w:t>
      </w:r>
      <w:r w:rsidR="00AD131C">
        <w:t xml:space="preserve"> </w:t>
      </w:r>
      <w:r>
        <w:t>action.</w:t>
      </w:r>
      <w:r>
        <w:rPr>
          <w:rStyle w:val="FootnoteReference"/>
        </w:rPr>
        <w:footnoteReference w:id="60"/>
      </w:r>
      <w:r>
        <w:t xml:space="preserve"> For patients with rapidly progressive, symptomatic, </w:t>
      </w:r>
      <w:r w:rsidRPr="007B6EDC">
        <w:rPr>
          <w:i/>
          <w:iCs/>
        </w:rPr>
        <w:t>BRAF</w:t>
      </w:r>
      <w:r w:rsidR="00AD131C">
        <w:t xml:space="preserve"> mutation</w:t>
      </w:r>
      <w:r>
        <w:t xml:space="preserve">-positive disease, therefore, initial </w:t>
      </w:r>
      <w:r w:rsidRPr="00870D5F">
        <w:t>BRAF</w:t>
      </w:r>
      <w:r w:rsidRPr="007B6EDC">
        <w:rPr>
          <w:i/>
          <w:iCs/>
        </w:rPr>
        <w:t>/</w:t>
      </w:r>
      <w:r w:rsidRPr="0068062D">
        <w:t xml:space="preserve">MEK </w:t>
      </w:r>
      <w:r>
        <w:t>inhibitor therapy may be preferable</w:t>
      </w:r>
      <w:r w:rsidRPr="00021B76">
        <w:t>.</w:t>
      </w:r>
      <w:bookmarkStart w:id="40" w:name="_Ref104364991"/>
      <w:r>
        <w:rPr>
          <w:rStyle w:val="FootnoteReference"/>
        </w:rPr>
        <w:footnoteReference w:id="61"/>
      </w:r>
      <w:bookmarkEnd w:id="40"/>
      <w:r>
        <w:rPr>
          <w:vertAlign w:val="superscript"/>
        </w:rPr>
        <w:t xml:space="preserve"> </w:t>
      </w:r>
      <w:r>
        <w:t xml:space="preserve">For the remainder of </w:t>
      </w:r>
      <w:r w:rsidRPr="00AD131C">
        <w:rPr>
          <w:i/>
          <w:iCs/>
        </w:rPr>
        <w:t>BRAF</w:t>
      </w:r>
      <w:r w:rsidR="00AD131C">
        <w:t xml:space="preserve"> mutation</w:t>
      </w:r>
      <w:r>
        <w:t xml:space="preserve">-positive </w:t>
      </w:r>
      <w:r w:rsidR="00AD131C">
        <w:t>tumours</w:t>
      </w:r>
      <w:r>
        <w:t xml:space="preserve">, however, it appears </w:t>
      </w:r>
      <w:r w:rsidR="005922FD">
        <w:t xml:space="preserve">based on </w:t>
      </w:r>
      <w:proofErr w:type="spellStart"/>
      <w:r w:rsidR="005922FD">
        <w:t>DREAMseq</w:t>
      </w:r>
      <w:proofErr w:type="spellEnd"/>
      <w:r w:rsidR="005922FD">
        <w:t xml:space="preserve"> </w:t>
      </w:r>
      <w:r>
        <w:t xml:space="preserve">that anti-CTLA4/PD-1 </w:t>
      </w:r>
      <w:r>
        <w:lastRenderedPageBreak/>
        <w:t>immunotherapy is the preferred first-line option.</w:t>
      </w:r>
      <w:bookmarkStart w:id="41" w:name="_Ref104377432"/>
      <w:r>
        <w:rPr>
          <w:rStyle w:val="FootnoteReference"/>
        </w:rPr>
        <w:footnoteReference w:id="62"/>
      </w:r>
      <w:bookmarkEnd w:id="41"/>
      <w:r>
        <w:t xml:space="preserve"> A complication of interpreting this data is that </w:t>
      </w:r>
      <w:bookmarkStart w:id="42" w:name="adjuvantSOC"/>
      <w:r>
        <w:t xml:space="preserve">in recent years, adjuvant therapy with either </w:t>
      </w:r>
      <w:r w:rsidRPr="00870D5F">
        <w:t>BRAF</w:t>
      </w:r>
      <w:r w:rsidRPr="007B6EDC">
        <w:rPr>
          <w:i/>
          <w:iCs/>
        </w:rPr>
        <w:t>/</w:t>
      </w:r>
      <w:r w:rsidRPr="0068062D">
        <w:t xml:space="preserve">MEK </w:t>
      </w:r>
      <w:r>
        <w:t xml:space="preserve">or </w:t>
      </w:r>
      <w:r w:rsidRPr="006873CD">
        <w:t xml:space="preserve">CTLA4/PD-1 inhibition has become </w:t>
      </w:r>
      <w:r w:rsidR="00AD131C">
        <w:t xml:space="preserve">the </w:t>
      </w:r>
      <w:r w:rsidRPr="006873CD">
        <w:t>standard</w:t>
      </w:r>
      <w:r w:rsidR="00AD131C">
        <w:t xml:space="preserve"> </w:t>
      </w:r>
      <w:r w:rsidRPr="006873CD">
        <w:t>of</w:t>
      </w:r>
      <w:r w:rsidR="00AD131C">
        <w:t xml:space="preserve"> </w:t>
      </w:r>
      <w:r w:rsidRPr="006873CD">
        <w:t xml:space="preserve">care </w:t>
      </w:r>
      <w:bookmarkEnd w:id="42"/>
      <w:r w:rsidRPr="006873CD">
        <w:t>and may affect tumour microenvironment</w:t>
      </w:r>
      <w:r>
        <w:t xml:space="preserve"> at relapse, subsequent response, and ultimately survival.</w:t>
      </w:r>
      <w:r w:rsidR="007B6EDC" w:rsidRPr="007B6EDC">
        <w:rPr>
          <w:color w:val="2B579A"/>
          <w:shd w:val="clear" w:color="auto" w:fill="E6E6E6"/>
          <w:vertAlign w:val="superscript"/>
        </w:rPr>
        <w:fldChar w:fldCharType="begin"/>
      </w:r>
      <w:r w:rsidR="007B6EDC" w:rsidRPr="007B6EDC">
        <w:rPr>
          <w:vertAlign w:val="superscript"/>
        </w:rPr>
        <w:instrText xml:space="preserve"> NOTEREF _Ref104377432 \h </w:instrText>
      </w:r>
      <w:r w:rsidR="007B6EDC">
        <w:rPr>
          <w:vertAlign w:val="superscript"/>
        </w:rPr>
        <w:instrText xml:space="preserve"> \* MERGEFORMAT </w:instrText>
      </w:r>
      <w:r w:rsidR="007B6EDC" w:rsidRPr="007B6EDC">
        <w:rPr>
          <w:color w:val="2B579A"/>
          <w:shd w:val="clear" w:color="auto" w:fill="E6E6E6"/>
          <w:vertAlign w:val="superscript"/>
        </w:rPr>
      </w:r>
      <w:r w:rsidR="007B6EDC" w:rsidRPr="007B6EDC">
        <w:rPr>
          <w:color w:val="2B579A"/>
          <w:shd w:val="clear" w:color="auto" w:fill="E6E6E6"/>
          <w:vertAlign w:val="superscript"/>
        </w:rPr>
        <w:fldChar w:fldCharType="separate"/>
      </w:r>
      <w:r w:rsidR="004F1B9E">
        <w:rPr>
          <w:vertAlign w:val="superscript"/>
        </w:rPr>
        <w:t>61</w:t>
      </w:r>
      <w:r w:rsidR="007B6EDC" w:rsidRPr="007B6EDC">
        <w:rPr>
          <w:color w:val="2B579A"/>
          <w:shd w:val="clear" w:color="auto" w:fill="E6E6E6"/>
          <w:vertAlign w:val="superscript"/>
        </w:rPr>
        <w:fldChar w:fldCharType="end"/>
      </w:r>
      <w:r>
        <w:t xml:space="preserve"> In </w:t>
      </w:r>
      <w:proofErr w:type="spellStart"/>
      <w:r>
        <w:t>DREAMseq</w:t>
      </w:r>
      <w:proofErr w:type="spellEnd"/>
      <w:r>
        <w:t>, only 14% of patients had received prior systemic therapy, and this was almost exclusively adjuvant interferon: none had received</w:t>
      </w:r>
      <w:r w:rsidRPr="00271524">
        <w:t xml:space="preserve"> adjuvant </w:t>
      </w:r>
      <w:r>
        <w:t xml:space="preserve">immune checkpoint inhibitor </w:t>
      </w:r>
      <w:r w:rsidRPr="00271524">
        <w:t xml:space="preserve">or </w:t>
      </w:r>
      <w:r w:rsidRPr="00870D5F">
        <w:t>BRAF</w:t>
      </w:r>
      <w:r w:rsidRPr="007B6EDC">
        <w:rPr>
          <w:i/>
          <w:iCs/>
        </w:rPr>
        <w:t>/</w:t>
      </w:r>
      <w:r w:rsidRPr="0068062D">
        <w:t>MEK</w:t>
      </w:r>
      <w:r w:rsidRPr="00271524">
        <w:t>-targeted therapy.</w:t>
      </w:r>
      <w:r w:rsidR="007B6EDC" w:rsidRPr="007B6EDC">
        <w:rPr>
          <w:color w:val="2B579A"/>
          <w:shd w:val="clear" w:color="auto" w:fill="E6E6E6"/>
          <w:vertAlign w:val="superscript"/>
        </w:rPr>
        <w:fldChar w:fldCharType="begin"/>
      </w:r>
      <w:r w:rsidR="007B6EDC" w:rsidRPr="007B6EDC">
        <w:rPr>
          <w:vertAlign w:val="superscript"/>
        </w:rPr>
        <w:instrText xml:space="preserve"> NOTEREF _Ref104377432 \h </w:instrText>
      </w:r>
      <w:r w:rsidR="007B6EDC">
        <w:rPr>
          <w:vertAlign w:val="superscript"/>
        </w:rPr>
        <w:instrText xml:space="preserve"> \* MERGEFORMAT </w:instrText>
      </w:r>
      <w:r w:rsidR="007B6EDC" w:rsidRPr="007B6EDC">
        <w:rPr>
          <w:color w:val="2B579A"/>
          <w:shd w:val="clear" w:color="auto" w:fill="E6E6E6"/>
          <w:vertAlign w:val="superscript"/>
        </w:rPr>
      </w:r>
      <w:r w:rsidR="007B6EDC" w:rsidRPr="007B6EDC">
        <w:rPr>
          <w:color w:val="2B579A"/>
          <w:shd w:val="clear" w:color="auto" w:fill="E6E6E6"/>
          <w:vertAlign w:val="superscript"/>
        </w:rPr>
        <w:fldChar w:fldCharType="separate"/>
      </w:r>
      <w:r w:rsidR="004F1B9E">
        <w:rPr>
          <w:vertAlign w:val="superscript"/>
        </w:rPr>
        <w:t>61</w:t>
      </w:r>
      <w:r w:rsidR="007B6EDC" w:rsidRPr="007B6EDC">
        <w:rPr>
          <w:color w:val="2B579A"/>
          <w:shd w:val="clear" w:color="auto" w:fill="E6E6E6"/>
          <w:vertAlign w:val="superscript"/>
        </w:rPr>
        <w:fldChar w:fldCharType="end"/>
      </w:r>
    </w:p>
    <w:p w14:paraId="7587EC58" w14:textId="36EF6DAA" w:rsidR="00A1456E" w:rsidRDefault="00A1456E" w:rsidP="00A1456E">
      <w:r>
        <w:t xml:space="preserve">Combinations of checkpoint inhibitors and </w:t>
      </w:r>
      <w:r w:rsidRPr="00870D5F">
        <w:t>BRAF</w:t>
      </w:r>
      <w:r w:rsidRPr="007B6EDC">
        <w:rPr>
          <w:i/>
          <w:iCs/>
        </w:rPr>
        <w:t>/</w:t>
      </w:r>
      <w:r w:rsidRPr="0068062D">
        <w:t xml:space="preserve">MEK </w:t>
      </w:r>
      <w:r>
        <w:t xml:space="preserve">inhibitors have also been investigated for the first-line treatment of </w:t>
      </w:r>
      <w:r w:rsidRPr="007B6EDC">
        <w:rPr>
          <w:i/>
          <w:iCs/>
        </w:rPr>
        <w:t>BRAF</w:t>
      </w:r>
      <w:r w:rsidR="00AD131C">
        <w:t xml:space="preserve"> mutated</w:t>
      </w:r>
      <w:r>
        <w:t xml:space="preserve"> advanced melanoma: early evidence of high toxicity </w:t>
      </w:r>
      <w:r w:rsidRPr="00701992">
        <w:t>with regimens containing an anti-CTLA4 drug led to a focus on those containing a PD</w:t>
      </w:r>
      <w:r w:rsidR="002A124F">
        <w:noBreakHyphen/>
        <w:t>1 or PD</w:t>
      </w:r>
      <w:r w:rsidR="002A124F">
        <w:noBreakHyphen/>
        <w:t>L1</w:t>
      </w:r>
      <w:r>
        <w:t xml:space="preserve"> inhibitor. Of four </w:t>
      </w:r>
      <w:r w:rsidR="00F13FE1">
        <w:t>randomised clinical trials</w:t>
      </w:r>
      <w:r>
        <w:t>, a significant PFS benefit of anti</w:t>
      </w:r>
      <w:r w:rsidR="00E43A44">
        <w:noBreakHyphen/>
      </w:r>
      <w:r>
        <w:t>PD</w:t>
      </w:r>
      <w:r w:rsidR="00E43A44">
        <w:noBreakHyphen/>
      </w:r>
      <w:r w:rsidR="005922FD">
        <w:t>(L)</w:t>
      </w:r>
      <w:r>
        <w:t>1 add</w:t>
      </w:r>
      <w:r w:rsidR="00E43A44">
        <w:noBreakHyphen/>
      </w:r>
      <w:r>
        <w:t xml:space="preserve">on to </w:t>
      </w:r>
      <w:r w:rsidRPr="00870D5F">
        <w:t>BRAF</w:t>
      </w:r>
      <w:r w:rsidRPr="00F13FE1">
        <w:rPr>
          <w:i/>
          <w:iCs/>
        </w:rPr>
        <w:t>/</w:t>
      </w:r>
      <w:r w:rsidRPr="0068062D">
        <w:t xml:space="preserve">MEK </w:t>
      </w:r>
      <w:r>
        <w:t xml:space="preserve">inhibitor therapy has only been demonstrated by one </w:t>
      </w:r>
      <w:r w:rsidR="00E43A44">
        <w:t xml:space="preserve">trial </w:t>
      </w:r>
      <w:r>
        <w:t>(IMspire150).</w:t>
      </w:r>
      <w:r>
        <w:rPr>
          <w:rStyle w:val="FootnoteReference"/>
        </w:rPr>
        <w:footnoteReference w:id="63"/>
      </w:r>
      <w:r>
        <w:t xml:space="preserve"> Randomised comparison of these triplets to single agent PD-</w:t>
      </w:r>
      <w:r w:rsidR="005922FD">
        <w:t>(L)</w:t>
      </w:r>
      <w:r>
        <w:t>1 inhibitor therapy have not been made, and a</w:t>
      </w:r>
      <w:r w:rsidRPr="0017585E">
        <w:t xml:space="preserve"> major limitation of the </w:t>
      </w:r>
      <w:r>
        <w:t xml:space="preserve">data on </w:t>
      </w:r>
      <w:r w:rsidRPr="0017585E">
        <w:t xml:space="preserve">triplet therapies is the lack of </w:t>
      </w:r>
      <w:r>
        <w:t>an anti-PD-</w:t>
      </w:r>
      <w:r w:rsidR="005922FD">
        <w:t>(</w:t>
      </w:r>
      <w:r>
        <w:t>L</w:t>
      </w:r>
      <w:r w:rsidR="005922FD">
        <w:t>)</w:t>
      </w:r>
      <w:r>
        <w:t>1/CTLA4</w:t>
      </w:r>
      <w:r w:rsidRPr="0017585E">
        <w:t xml:space="preserve"> comparator arm, which was not standard</w:t>
      </w:r>
      <w:r w:rsidR="004C3E39">
        <w:noBreakHyphen/>
      </w:r>
      <w:r w:rsidRPr="0017585E">
        <w:t>of</w:t>
      </w:r>
      <w:r w:rsidR="004C3E39">
        <w:noBreakHyphen/>
      </w:r>
      <w:r w:rsidRPr="0017585E">
        <w:t>care at the time of trial design</w:t>
      </w:r>
      <w:bookmarkStart w:id="43" w:name="_Ref104382495"/>
      <w:r>
        <w:t>.</w:t>
      </w:r>
      <w:r w:rsidRPr="00FD18EA">
        <w:rPr>
          <w:rStyle w:val="FootnoteReference"/>
        </w:rPr>
        <w:footnoteReference w:id="64"/>
      </w:r>
      <w:bookmarkEnd w:id="43"/>
    </w:p>
    <w:p w14:paraId="4A726E74" w14:textId="77777777" w:rsidR="001831F2" w:rsidDel="00077B27" w:rsidRDefault="001831F2" w:rsidP="001831F2">
      <w:r w:rsidRPr="000C4A4E" w:rsidDel="00077B27">
        <w:t xml:space="preserve">Treatment of advanced melanoma in adolescents is based on </w:t>
      </w:r>
      <w:r w:rsidDel="00077B27">
        <w:t>the approach</w:t>
      </w:r>
      <w:r w:rsidRPr="000C4A4E" w:rsidDel="00077B27">
        <w:t xml:space="preserve"> for adults</w:t>
      </w:r>
      <w:r w:rsidDel="00077B27">
        <w:t>, extrapolating evidence from adult studies</w:t>
      </w:r>
      <w:r w:rsidRPr="000C4A4E" w:rsidDel="00077B27">
        <w:t>.</w:t>
      </w:r>
      <w:r w:rsidDel="00077B27">
        <w:rPr>
          <w:rStyle w:val="FootnoteReference"/>
        </w:rPr>
        <w:footnoteReference w:id="65"/>
      </w:r>
      <w:r w:rsidRPr="003E2100" w:rsidDel="00077B27">
        <w:rPr>
          <w:vertAlign w:val="superscript"/>
        </w:rPr>
        <w:t>,</w:t>
      </w:r>
      <w:r w:rsidDel="00077B27">
        <w:rPr>
          <w:rStyle w:val="FootnoteReference"/>
        </w:rPr>
        <w:footnoteReference w:id="66"/>
      </w:r>
      <w:r w:rsidDel="00077B27">
        <w:t xml:space="preserve"> </w:t>
      </w:r>
      <w:r w:rsidRPr="000C4A4E" w:rsidDel="00077B27">
        <w:t>Data evaluating treatment outcomes in adolescents is limited but suggests comparable efficacy and toxicity of available therapies.</w:t>
      </w:r>
      <w:r w:rsidRPr="000C4A4E" w:rsidDel="00077B27">
        <w:rPr>
          <w:rStyle w:val="FootnoteReference"/>
        </w:rPr>
        <w:footnoteReference w:id="67"/>
      </w:r>
    </w:p>
    <w:p w14:paraId="0D615854" w14:textId="77777777" w:rsidR="00A1456E" w:rsidRPr="003F31A2" w:rsidRDefault="00A1456E" w:rsidP="00324B33">
      <w:pPr>
        <w:pStyle w:val="Heading3"/>
      </w:pPr>
      <w:bookmarkStart w:id="44" w:name="_Toc103679291"/>
      <w:bookmarkStart w:id="45" w:name="_Toc154134518"/>
      <w:r>
        <w:t>Regulatory status</w:t>
      </w:r>
      <w:bookmarkEnd w:id="16"/>
      <w:bookmarkEnd w:id="17"/>
      <w:bookmarkEnd w:id="44"/>
      <w:bookmarkEnd w:id="45"/>
    </w:p>
    <w:p w14:paraId="6A8633FA" w14:textId="3BF248D1" w:rsidR="00A1456E" w:rsidRDefault="005922FD" w:rsidP="00324B33">
      <w:pPr>
        <w:rPr>
          <w:szCs w:val="22"/>
        </w:rPr>
      </w:pPr>
      <w:r>
        <w:rPr>
          <w:szCs w:val="22"/>
        </w:rPr>
        <w:t>OPDUALAG</w:t>
      </w:r>
      <w:r w:rsidR="00A1456E" w:rsidRPr="004D77FC">
        <w:rPr>
          <w:szCs w:val="22"/>
        </w:rPr>
        <w:t xml:space="preserve"> is a new fixed</w:t>
      </w:r>
      <w:r w:rsidR="008F79EB">
        <w:rPr>
          <w:szCs w:val="22"/>
        </w:rPr>
        <w:t>-</w:t>
      </w:r>
      <w:r w:rsidR="00A1456E" w:rsidRPr="004D77FC">
        <w:rPr>
          <w:szCs w:val="22"/>
        </w:rPr>
        <w:t>dose combination for Australian regulatory purposes.</w:t>
      </w:r>
    </w:p>
    <w:p w14:paraId="51D40E46" w14:textId="332531E5" w:rsidR="007E332E" w:rsidRPr="00BD5DBD" w:rsidRDefault="007E332E" w:rsidP="007E332E">
      <w:pPr>
        <w:rPr>
          <w:szCs w:val="22"/>
        </w:rPr>
      </w:pPr>
      <w:r w:rsidRPr="004D77FC">
        <w:rPr>
          <w:szCs w:val="22"/>
        </w:rPr>
        <w:t xml:space="preserve">This evaluation was facilitated through </w:t>
      </w:r>
      <w:hyperlink r:id="rId19" w:history="1">
        <w:r w:rsidRPr="004D77FC">
          <w:rPr>
            <w:rStyle w:val="Hyperlink"/>
            <w:szCs w:val="22"/>
          </w:rPr>
          <w:t>Project Orbis</w:t>
        </w:r>
      </w:hyperlink>
      <w:r w:rsidRPr="004D77FC">
        <w:rPr>
          <w:szCs w:val="22"/>
        </w:rPr>
        <w:t>, an initiative of the United States</w:t>
      </w:r>
      <w:r>
        <w:rPr>
          <w:szCs w:val="22"/>
        </w:rPr>
        <w:t xml:space="preserve"> of America (USA)</w:t>
      </w:r>
      <w:r w:rsidRPr="004D77FC">
        <w:rPr>
          <w:szCs w:val="22"/>
        </w:rPr>
        <w:t xml:space="preserve"> Food and Drug Administration (FDA) Oncology </w:t>
      </w:r>
      <w:proofErr w:type="spellStart"/>
      <w:r w:rsidRPr="004D77FC">
        <w:rPr>
          <w:szCs w:val="22"/>
        </w:rPr>
        <w:t>Center</w:t>
      </w:r>
      <w:proofErr w:type="spellEnd"/>
      <w:r w:rsidRPr="004D77FC">
        <w:rPr>
          <w:szCs w:val="22"/>
        </w:rPr>
        <w:t xml:space="preserve"> of Excellence. Under this project, the FDA,</w:t>
      </w:r>
      <w:r>
        <w:rPr>
          <w:szCs w:val="22"/>
        </w:rPr>
        <w:t xml:space="preserve"> </w:t>
      </w:r>
      <w:proofErr w:type="spellStart"/>
      <w:r w:rsidRPr="004D77FC">
        <w:rPr>
          <w:szCs w:val="22"/>
        </w:rPr>
        <w:t>Swissmedic</w:t>
      </w:r>
      <w:proofErr w:type="spellEnd"/>
      <w:r w:rsidRPr="004D77FC">
        <w:rPr>
          <w:szCs w:val="22"/>
        </w:rPr>
        <w:t xml:space="preserve"> (Switzerland) and the TGA collaboratively reviewed the submission. This evaluation process provided a framework for process alignment and management of evaluation issues in real-time across jurisdictions. Each regulator made independent decisions regarding approval (market authorisation) of the new medicine.</w:t>
      </w:r>
    </w:p>
    <w:p w14:paraId="715B7D2A" w14:textId="0388EB98" w:rsidR="00A1456E" w:rsidRPr="00BD5DBD" w:rsidRDefault="007E332E" w:rsidP="00324B33">
      <w:pPr>
        <w:rPr>
          <w:szCs w:val="22"/>
        </w:rPr>
      </w:pPr>
      <w:bookmarkStart w:id="46" w:name="_Hlk144455755"/>
      <w:r>
        <w:rPr>
          <w:szCs w:val="22"/>
        </w:rPr>
        <w:t>During</w:t>
      </w:r>
      <w:r w:rsidR="00A1456E" w:rsidRPr="00BD5DBD">
        <w:rPr>
          <w:szCs w:val="22"/>
        </w:rPr>
        <w:t xml:space="preserve"> the time the TGA </w:t>
      </w:r>
      <w:r>
        <w:rPr>
          <w:szCs w:val="22"/>
        </w:rPr>
        <w:t xml:space="preserve">was </w:t>
      </w:r>
      <w:r w:rsidR="00A1456E" w:rsidRPr="00BD5DBD">
        <w:rPr>
          <w:szCs w:val="22"/>
        </w:rPr>
        <w:t>consider</w:t>
      </w:r>
      <w:r>
        <w:rPr>
          <w:szCs w:val="22"/>
        </w:rPr>
        <w:t>ing</w:t>
      </w:r>
      <w:r w:rsidR="00A1456E" w:rsidRPr="00BD5DBD">
        <w:rPr>
          <w:szCs w:val="22"/>
        </w:rPr>
        <w:t xml:space="preserve"> this submission,</w:t>
      </w:r>
      <w:r w:rsidR="00A1456E">
        <w:rPr>
          <w:szCs w:val="22"/>
        </w:rPr>
        <w:t xml:space="preserve"> </w:t>
      </w:r>
      <w:r w:rsidR="006A4D3C" w:rsidRPr="006A4D3C">
        <w:rPr>
          <w:szCs w:val="22"/>
        </w:rPr>
        <w:t>similar submission</w:t>
      </w:r>
      <w:r w:rsidR="006A4D3C">
        <w:rPr>
          <w:szCs w:val="22"/>
        </w:rPr>
        <w:t>s</w:t>
      </w:r>
      <w:r w:rsidR="006A4D3C" w:rsidRPr="006A4D3C">
        <w:rPr>
          <w:szCs w:val="22"/>
        </w:rPr>
        <w:t xml:space="preserve"> </w:t>
      </w:r>
      <w:r>
        <w:rPr>
          <w:szCs w:val="22"/>
        </w:rPr>
        <w:t>were</w:t>
      </w:r>
      <w:r w:rsidR="006A4D3C" w:rsidRPr="006A4D3C">
        <w:rPr>
          <w:szCs w:val="22"/>
        </w:rPr>
        <w:t xml:space="preserve"> approved</w:t>
      </w:r>
      <w:r w:rsidR="006A4D3C">
        <w:rPr>
          <w:szCs w:val="22"/>
        </w:rPr>
        <w:t xml:space="preserve"> </w:t>
      </w:r>
      <w:r>
        <w:rPr>
          <w:szCs w:val="22"/>
        </w:rPr>
        <w:t>in</w:t>
      </w:r>
      <w:r w:rsidR="006A4D3C">
        <w:rPr>
          <w:szCs w:val="22"/>
        </w:rPr>
        <w:t xml:space="preserve"> the </w:t>
      </w:r>
      <w:r w:rsidR="00EE178F">
        <w:rPr>
          <w:szCs w:val="22"/>
        </w:rPr>
        <w:t>USA</w:t>
      </w:r>
      <w:r w:rsidR="006A4D3C" w:rsidRPr="00BD5DBD">
        <w:rPr>
          <w:szCs w:val="22"/>
        </w:rPr>
        <w:t xml:space="preserve"> </w:t>
      </w:r>
      <w:r w:rsidR="006A4D3C">
        <w:rPr>
          <w:szCs w:val="22"/>
        </w:rPr>
        <w:t xml:space="preserve">on </w:t>
      </w:r>
      <w:r w:rsidR="006A4D3C" w:rsidRPr="006A4D3C">
        <w:rPr>
          <w:szCs w:val="22"/>
        </w:rPr>
        <w:t>18 March 2022</w:t>
      </w:r>
      <w:r w:rsidR="006A4D3C">
        <w:rPr>
          <w:szCs w:val="22"/>
        </w:rPr>
        <w:t xml:space="preserve"> and </w:t>
      </w:r>
      <w:r>
        <w:rPr>
          <w:szCs w:val="22"/>
        </w:rPr>
        <w:t xml:space="preserve">in </w:t>
      </w:r>
      <w:r w:rsidR="006A4D3C">
        <w:rPr>
          <w:szCs w:val="22"/>
        </w:rPr>
        <w:t>the European Union on 15 September 2022. A</w:t>
      </w:r>
      <w:r w:rsidR="00A1456E" w:rsidRPr="00BD5DBD">
        <w:rPr>
          <w:szCs w:val="22"/>
        </w:rPr>
        <w:t xml:space="preserve"> similar submission was under consideration in </w:t>
      </w:r>
      <w:r w:rsidR="00A1456E">
        <w:rPr>
          <w:szCs w:val="22"/>
        </w:rPr>
        <w:t>Switzerland (submitted on 16 August 2021).</w:t>
      </w:r>
    </w:p>
    <w:bookmarkEnd w:id="46"/>
    <w:p w14:paraId="1B9AB90D" w14:textId="3E8AA98C" w:rsidR="00A1456E" w:rsidRPr="00BD5DBD" w:rsidRDefault="00A1456E" w:rsidP="00324B33">
      <w:pPr>
        <w:rPr>
          <w:szCs w:val="22"/>
        </w:rPr>
      </w:pPr>
      <w:r w:rsidRPr="00BD5DBD">
        <w:rPr>
          <w:szCs w:val="22"/>
        </w:rPr>
        <w:t>The following table summarises these submissions and provides the indications where approved.</w:t>
      </w:r>
    </w:p>
    <w:p w14:paraId="19B9E0AC" w14:textId="56CD1A70" w:rsidR="00A1456E" w:rsidRDefault="00A1456E" w:rsidP="00324B33">
      <w:pPr>
        <w:pStyle w:val="TableTitle"/>
      </w:pPr>
      <w:bookmarkStart w:id="47" w:name="_Ref99705479"/>
      <w:r>
        <w:lastRenderedPageBreak/>
        <w:t xml:space="preserve">Table </w:t>
      </w:r>
      <w:r>
        <w:fldChar w:fldCharType="begin"/>
      </w:r>
      <w:r>
        <w:instrText>SEQ Table \* ARABIC</w:instrText>
      </w:r>
      <w:r>
        <w:fldChar w:fldCharType="separate"/>
      </w:r>
      <w:r w:rsidR="004F1B9E">
        <w:rPr>
          <w:noProof/>
        </w:rPr>
        <w:t>1</w:t>
      </w:r>
      <w:r>
        <w:fldChar w:fldCharType="end"/>
      </w:r>
      <w:bookmarkEnd w:id="47"/>
      <w:r>
        <w:t>: International regulatory status</w:t>
      </w:r>
    </w:p>
    <w:tbl>
      <w:tblPr>
        <w:tblStyle w:val="TableTGAblue2023"/>
        <w:tblW w:w="5000" w:type="pct"/>
        <w:tblLook w:val="04A0" w:firstRow="1" w:lastRow="0" w:firstColumn="1" w:lastColumn="0" w:noHBand="0" w:noVBand="1"/>
      </w:tblPr>
      <w:tblGrid>
        <w:gridCol w:w="1641"/>
        <w:gridCol w:w="2180"/>
        <w:gridCol w:w="2180"/>
        <w:gridCol w:w="3059"/>
      </w:tblGrid>
      <w:tr w:rsidR="00A1456E" w:rsidRPr="00D01DDB" w14:paraId="405E5D78" w14:textId="16839333" w:rsidTr="003722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 w:type="pct"/>
          </w:tcPr>
          <w:p w14:paraId="185B099B" w14:textId="7A4C0E6C" w:rsidR="00A1456E" w:rsidRPr="00D01DDB" w:rsidRDefault="00A1456E" w:rsidP="00324B33">
            <w:pPr>
              <w:rPr>
                <w:szCs w:val="22"/>
              </w:rPr>
            </w:pPr>
            <w:r w:rsidRPr="00D01DDB">
              <w:rPr>
                <w:szCs w:val="22"/>
              </w:rPr>
              <w:t>Region</w:t>
            </w:r>
          </w:p>
        </w:tc>
        <w:tc>
          <w:tcPr>
            <w:tcW w:w="1203" w:type="pct"/>
          </w:tcPr>
          <w:p w14:paraId="778C35C7" w14:textId="52D23C85" w:rsidR="00A1456E" w:rsidRPr="00D01DDB" w:rsidRDefault="00A1456E"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Submission date</w:t>
            </w:r>
          </w:p>
        </w:tc>
        <w:tc>
          <w:tcPr>
            <w:tcW w:w="1203" w:type="pct"/>
          </w:tcPr>
          <w:p w14:paraId="58F81584" w14:textId="66689ABF" w:rsidR="00A1456E" w:rsidRPr="00D01DDB" w:rsidRDefault="00A1456E"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Status</w:t>
            </w:r>
          </w:p>
        </w:tc>
        <w:tc>
          <w:tcPr>
            <w:tcW w:w="1688" w:type="pct"/>
          </w:tcPr>
          <w:p w14:paraId="50B2D435" w14:textId="560588D2" w:rsidR="00A1456E" w:rsidRPr="00D01DDB" w:rsidRDefault="00A1456E"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Approved indications</w:t>
            </w:r>
          </w:p>
        </w:tc>
      </w:tr>
      <w:tr w:rsidR="00A1456E" w:rsidRPr="00D01DDB" w14:paraId="38D24E86" w14:textId="77777777" w:rsidTr="003722FD">
        <w:tc>
          <w:tcPr>
            <w:cnfStyle w:val="001000000000" w:firstRow="0" w:lastRow="0" w:firstColumn="1" w:lastColumn="0" w:oddVBand="0" w:evenVBand="0" w:oddHBand="0" w:evenHBand="0" w:firstRowFirstColumn="0" w:firstRowLastColumn="0" w:lastRowFirstColumn="0" w:lastRowLastColumn="0"/>
            <w:tcW w:w="906" w:type="pct"/>
          </w:tcPr>
          <w:p w14:paraId="4C540DE5" w14:textId="16F96558" w:rsidR="00A1456E" w:rsidRPr="00D01DDB" w:rsidRDefault="00A1456E" w:rsidP="00324B33">
            <w:pPr>
              <w:rPr>
                <w:szCs w:val="22"/>
              </w:rPr>
            </w:pPr>
            <w:r>
              <w:rPr>
                <w:szCs w:val="22"/>
              </w:rPr>
              <w:t>United States of America</w:t>
            </w:r>
          </w:p>
        </w:tc>
        <w:tc>
          <w:tcPr>
            <w:tcW w:w="1203" w:type="pct"/>
          </w:tcPr>
          <w:p w14:paraId="4FA5DDA9" w14:textId="77879B7F" w:rsidR="00A1456E" w:rsidRPr="00D01DDB" w:rsidRDefault="00A1456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19 July 2021</w:t>
            </w:r>
          </w:p>
        </w:tc>
        <w:tc>
          <w:tcPr>
            <w:tcW w:w="1203" w:type="pct"/>
          </w:tcPr>
          <w:p w14:paraId="29358393" w14:textId="53F2EE72" w:rsidR="00A1456E" w:rsidRPr="00D01DDB" w:rsidRDefault="00A1456E"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 xml:space="preserve">Approved on </w:t>
            </w:r>
            <w:r>
              <w:rPr>
                <w:szCs w:val="22"/>
              </w:rPr>
              <w:t>18 March 2022</w:t>
            </w:r>
          </w:p>
        </w:tc>
        <w:tc>
          <w:tcPr>
            <w:tcW w:w="1688" w:type="pct"/>
          </w:tcPr>
          <w:p w14:paraId="05055674" w14:textId="7BE0193D" w:rsidR="00A1456E" w:rsidRPr="00E72CAE" w:rsidRDefault="00A1456E" w:rsidP="00324B33">
            <w:pPr>
              <w:cnfStyle w:val="000000000000" w:firstRow="0" w:lastRow="0" w:firstColumn="0" w:lastColumn="0" w:oddVBand="0" w:evenVBand="0" w:oddHBand="0" w:evenHBand="0" w:firstRowFirstColumn="0" w:firstRowLastColumn="0" w:lastRowFirstColumn="0" w:lastRowLastColumn="0"/>
              <w:rPr>
                <w:i/>
                <w:iCs/>
                <w:szCs w:val="22"/>
              </w:rPr>
            </w:pPr>
            <w:proofErr w:type="spellStart"/>
            <w:r w:rsidRPr="00E72CAE">
              <w:rPr>
                <w:i/>
                <w:iCs/>
              </w:rPr>
              <w:t>Opdualag</w:t>
            </w:r>
            <w:proofErr w:type="spellEnd"/>
            <w:r w:rsidRPr="00E72CAE">
              <w:rPr>
                <w:i/>
                <w:iCs/>
              </w:rPr>
              <w:t xml:space="preserve"> is indicated for the treatment of adult and </w:t>
            </w:r>
            <w:proofErr w:type="spellStart"/>
            <w:r w:rsidRPr="00E72CAE">
              <w:rPr>
                <w:i/>
                <w:iCs/>
              </w:rPr>
              <w:t>pediatric</w:t>
            </w:r>
            <w:proofErr w:type="spellEnd"/>
            <w:r w:rsidRPr="00E72CAE">
              <w:rPr>
                <w:i/>
                <w:iCs/>
              </w:rPr>
              <w:t xml:space="preserve"> patients 12 years of age or older with unresectable or metastatic melanoma.</w:t>
            </w:r>
          </w:p>
        </w:tc>
      </w:tr>
      <w:tr w:rsidR="00A1456E" w:rsidRPr="00D01DDB" w14:paraId="0FE2863F" w14:textId="77777777" w:rsidTr="003722FD">
        <w:tc>
          <w:tcPr>
            <w:cnfStyle w:val="001000000000" w:firstRow="0" w:lastRow="0" w:firstColumn="1" w:lastColumn="0" w:oddVBand="0" w:evenVBand="0" w:oddHBand="0" w:evenHBand="0" w:firstRowFirstColumn="0" w:firstRowLastColumn="0" w:lastRowFirstColumn="0" w:lastRowLastColumn="0"/>
            <w:tcW w:w="906" w:type="pct"/>
          </w:tcPr>
          <w:p w14:paraId="0543383A" w14:textId="5DB89DBA" w:rsidR="00A1456E" w:rsidRDefault="00A1456E" w:rsidP="00880194">
            <w:pPr>
              <w:rPr>
                <w:szCs w:val="22"/>
              </w:rPr>
            </w:pPr>
            <w:r>
              <w:rPr>
                <w:szCs w:val="22"/>
              </w:rPr>
              <w:t>European Union</w:t>
            </w:r>
          </w:p>
        </w:tc>
        <w:tc>
          <w:tcPr>
            <w:tcW w:w="1203" w:type="pct"/>
          </w:tcPr>
          <w:p w14:paraId="7ED0AF35" w14:textId="476AECA4" w:rsidR="00A1456E" w:rsidRDefault="00A1456E" w:rsidP="00880194">
            <w:pPr>
              <w:cnfStyle w:val="000000000000" w:firstRow="0" w:lastRow="0" w:firstColumn="0" w:lastColumn="0" w:oddVBand="0" w:evenVBand="0" w:oddHBand="0" w:evenHBand="0" w:firstRowFirstColumn="0" w:firstRowLastColumn="0" w:lastRowFirstColumn="0" w:lastRowLastColumn="0"/>
              <w:rPr>
                <w:szCs w:val="22"/>
              </w:rPr>
            </w:pPr>
            <w:r>
              <w:rPr>
                <w:szCs w:val="22"/>
              </w:rPr>
              <w:t>13 September 2021</w:t>
            </w:r>
          </w:p>
        </w:tc>
        <w:tc>
          <w:tcPr>
            <w:tcW w:w="1203" w:type="pct"/>
          </w:tcPr>
          <w:p w14:paraId="26DE6F8E" w14:textId="72D863A7" w:rsidR="00A1456E" w:rsidRPr="00D01DDB" w:rsidRDefault="00A1456E" w:rsidP="00880194">
            <w:pPr>
              <w:cnfStyle w:val="000000000000" w:firstRow="0" w:lastRow="0" w:firstColumn="0" w:lastColumn="0" w:oddVBand="0" w:evenVBand="0" w:oddHBand="0" w:evenHBand="0" w:firstRowFirstColumn="0" w:firstRowLastColumn="0" w:lastRowFirstColumn="0" w:lastRowLastColumn="0"/>
              <w:rPr>
                <w:szCs w:val="22"/>
              </w:rPr>
            </w:pPr>
            <w:r>
              <w:rPr>
                <w:szCs w:val="22"/>
              </w:rPr>
              <w:t>Approved on 15 September 2022</w:t>
            </w:r>
          </w:p>
        </w:tc>
        <w:tc>
          <w:tcPr>
            <w:tcW w:w="1688" w:type="pct"/>
          </w:tcPr>
          <w:p w14:paraId="3E6A5242" w14:textId="6FA27225" w:rsidR="00A1456E" w:rsidRPr="00E72CAE" w:rsidRDefault="00A1456E" w:rsidP="00880194">
            <w:pPr>
              <w:cnfStyle w:val="000000000000" w:firstRow="0" w:lastRow="0" w:firstColumn="0" w:lastColumn="0" w:oddVBand="0" w:evenVBand="0" w:oddHBand="0" w:evenHBand="0" w:firstRowFirstColumn="0" w:firstRowLastColumn="0" w:lastRowFirstColumn="0" w:lastRowLastColumn="0"/>
              <w:rPr>
                <w:i/>
                <w:iCs/>
                <w:szCs w:val="22"/>
              </w:rPr>
            </w:pPr>
            <w:proofErr w:type="spellStart"/>
            <w:r w:rsidRPr="00E72CAE">
              <w:rPr>
                <w:i/>
                <w:iCs/>
              </w:rPr>
              <w:t>Opdualag</w:t>
            </w:r>
            <w:proofErr w:type="spellEnd"/>
            <w:r w:rsidRPr="00E72CAE">
              <w:rPr>
                <w:i/>
                <w:iCs/>
              </w:rPr>
              <w:t xml:space="preserve"> is indicated for the first-line treatment of advanced (unresectable or metastatic) melanoma in adults and adolescents 12 years of age and older with tumour cell PD-L1 expression less than 1%.</w:t>
            </w:r>
          </w:p>
        </w:tc>
      </w:tr>
      <w:tr w:rsidR="003722FD" w:rsidRPr="00D01DDB" w14:paraId="26C6541D" w14:textId="77777777" w:rsidTr="003722FD">
        <w:tc>
          <w:tcPr>
            <w:cnfStyle w:val="001000000000" w:firstRow="0" w:lastRow="0" w:firstColumn="1" w:lastColumn="0" w:oddVBand="0" w:evenVBand="0" w:oddHBand="0" w:evenHBand="0" w:firstRowFirstColumn="0" w:firstRowLastColumn="0" w:lastRowFirstColumn="0" w:lastRowLastColumn="0"/>
            <w:tcW w:w="906" w:type="pct"/>
          </w:tcPr>
          <w:p w14:paraId="6A9D2B96" w14:textId="408B2A38" w:rsidR="003722FD" w:rsidRDefault="003722FD" w:rsidP="003722FD">
            <w:pPr>
              <w:rPr>
                <w:szCs w:val="22"/>
              </w:rPr>
            </w:pPr>
            <w:r>
              <w:rPr>
                <w:szCs w:val="22"/>
              </w:rPr>
              <w:t>Switzerland</w:t>
            </w:r>
          </w:p>
        </w:tc>
        <w:tc>
          <w:tcPr>
            <w:tcW w:w="1203" w:type="pct"/>
          </w:tcPr>
          <w:p w14:paraId="2A9E0504" w14:textId="35DF8FC5" w:rsidR="003722FD" w:rsidRDefault="003722FD" w:rsidP="003722FD">
            <w:pPr>
              <w:cnfStyle w:val="000000000000" w:firstRow="0" w:lastRow="0" w:firstColumn="0" w:lastColumn="0" w:oddVBand="0" w:evenVBand="0" w:oddHBand="0" w:evenHBand="0" w:firstRowFirstColumn="0" w:firstRowLastColumn="0" w:lastRowFirstColumn="0" w:lastRowLastColumn="0"/>
              <w:rPr>
                <w:szCs w:val="22"/>
              </w:rPr>
            </w:pPr>
            <w:r>
              <w:rPr>
                <w:szCs w:val="22"/>
              </w:rPr>
              <w:t>16 August 2021</w:t>
            </w:r>
          </w:p>
        </w:tc>
        <w:tc>
          <w:tcPr>
            <w:tcW w:w="1203" w:type="pct"/>
          </w:tcPr>
          <w:p w14:paraId="0B333709" w14:textId="5C9B41D8" w:rsidR="003722FD" w:rsidRDefault="003722FD" w:rsidP="003722FD">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Under consideration</w:t>
            </w:r>
          </w:p>
        </w:tc>
        <w:tc>
          <w:tcPr>
            <w:tcW w:w="1688" w:type="pct"/>
          </w:tcPr>
          <w:p w14:paraId="46D2F9CF" w14:textId="4B39EE09" w:rsidR="003722FD" w:rsidRPr="00E72CAE" w:rsidRDefault="003722FD" w:rsidP="003722FD">
            <w:pPr>
              <w:cnfStyle w:val="000000000000" w:firstRow="0" w:lastRow="0" w:firstColumn="0" w:lastColumn="0" w:oddVBand="0" w:evenVBand="0" w:oddHBand="0" w:evenHBand="0" w:firstRowFirstColumn="0" w:firstRowLastColumn="0" w:lastRowFirstColumn="0" w:lastRowLastColumn="0"/>
              <w:rPr>
                <w:i/>
                <w:iCs/>
              </w:rPr>
            </w:pPr>
            <w:r w:rsidRPr="00D01DDB">
              <w:rPr>
                <w:szCs w:val="22"/>
              </w:rPr>
              <w:t>Under consideration</w:t>
            </w:r>
          </w:p>
        </w:tc>
      </w:tr>
    </w:tbl>
    <w:p w14:paraId="6D92589C" w14:textId="77777777" w:rsidR="00A1456E" w:rsidRDefault="00A1456E" w:rsidP="00324B33">
      <w:pPr>
        <w:pStyle w:val="Heading2"/>
      </w:pPr>
      <w:bookmarkStart w:id="48" w:name="_Toc504480011"/>
      <w:bookmarkStart w:id="49" w:name="_Toc103679293"/>
      <w:bookmarkStart w:id="50" w:name="_Toc154134519"/>
      <w:r>
        <w:t>Registration timeline</w:t>
      </w:r>
      <w:bookmarkEnd w:id="48"/>
      <w:bookmarkEnd w:id="49"/>
      <w:bookmarkEnd w:id="50"/>
    </w:p>
    <w:p w14:paraId="225E3D87" w14:textId="1F3070CE" w:rsidR="00A1456E" w:rsidRPr="00BD5DBD" w:rsidRDefault="00A1456E" w:rsidP="00324B33">
      <w:pPr>
        <w:rPr>
          <w:szCs w:val="22"/>
        </w:rPr>
      </w:pPr>
      <w:r w:rsidRPr="00BD5DBD">
        <w:rPr>
          <w:szCs w:val="22"/>
        </w:rPr>
        <w:t>The following table captures the key steps and dates for this submission.</w:t>
      </w:r>
    </w:p>
    <w:p w14:paraId="6BB76942" w14:textId="5687F58E" w:rsidR="00A1456E" w:rsidRPr="00BD5DBD" w:rsidRDefault="00A1456E" w:rsidP="00324B33">
      <w:pPr>
        <w:rPr>
          <w:szCs w:val="22"/>
        </w:rPr>
      </w:pPr>
      <w:r w:rsidRPr="00BD5DBD">
        <w:rPr>
          <w:szCs w:val="22"/>
        </w:rPr>
        <w:t xml:space="preserve">This submission was evaluated under the </w:t>
      </w:r>
      <w:hyperlink r:id="rId20" w:history="1">
        <w:r w:rsidRPr="00BD5DBD">
          <w:rPr>
            <w:rStyle w:val="Hyperlink"/>
            <w:szCs w:val="22"/>
          </w:rPr>
          <w:t>standard prescription medicines registration process</w:t>
        </w:r>
      </w:hyperlink>
      <w:r w:rsidRPr="00BD5DBD">
        <w:rPr>
          <w:szCs w:val="22"/>
        </w:rPr>
        <w:t>.</w:t>
      </w:r>
    </w:p>
    <w:p w14:paraId="44628C5F" w14:textId="1E45858C" w:rsidR="00A1456E" w:rsidRPr="00A37EE7" w:rsidRDefault="00A1456E" w:rsidP="0013528C">
      <w:pPr>
        <w:pStyle w:val="TableTitle"/>
      </w:pPr>
      <w:r w:rsidRPr="00A37EE7">
        <w:t xml:space="preserve">Table </w:t>
      </w:r>
      <w:r w:rsidRPr="00A37EE7">
        <w:rPr>
          <w:color w:val="2B579A"/>
          <w:shd w:val="clear" w:color="auto" w:fill="E6E6E6"/>
        </w:rPr>
        <w:fldChar w:fldCharType="begin"/>
      </w:r>
      <w:r w:rsidRPr="004F1B9E">
        <w:instrText xml:space="preserve"> SEQ Table \* ARABIC </w:instrText>
      </w:r>
      <w:r w:rsidRPr="00A37EE7">
        <w:rPr>
          <w:color w:val="2B579A"/>
          <w:shd w:val="clear" w:color="auto" w:fill="E6E6E6"/>
        </w:rPr>
        <w:fldChar w:fldCharType="separate"/>
      </w:r>
      <w:r w:rsidR="004F1B9E">
        <w:rPr>
          <w:noProof/>
        </w:rPr>
        <w:t>2</w:t>
      </w:r>
      <w:r w:rsidRPr="00A37EE7">
        <w:rPr>
          <w:noProof/>
          <w:color w:val="2B579A"/>
          <w:shd w:val="clear" w:color="auto" w:fill="E6E6E6"/>
        </w:rPr>
        <w:fldChar w:fldCharType="end"/>
      </w:r>
      <w:r w:rsidRPr="00A37EE7">
        <w:t>: Timeline for Submission PM-2021-03689-1-4</w:t>
      </w:r>
    </w:p>
    <w:tbl>
      <w:tblPr>
        <w:tblStyle w:val="TableTGAblue2023"/>
        <w:tblW w:w="8642" w:type="dxa"/>
        <w:tblLook w:val="04A0" w:firstRow="1" w:lastRow="0" w:firstColumn="1" w:lastColumn="0" w:noHBand="0" w:noVBand="1"/>
      </w:tblPr>
      <w:tblGrid>
        <w:gridCol w:w="4390"/>
        <w:gridCol w:w="4252"/>
      </w:tblGrid>
      <w:tr w:rsidR="00A1456E" w:rsidRPr="00D01DDB" w14:paraId="6C59BE9C" w14:textId="77777777" w:rsidTr="00324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16D80E78" w14:textId="3EC0CCAF" w:rsidR="00A1456E" w:rsidRPr="00D01DDB" w:rsidRDefault="00A1456E" w:rsidP="00324B33">
            <w:pPr>
              <w:rPr>
                <w:szCs w:val="22"/>
              </w:rPr>
            </w:pPr>
            <w:r w:rsidRPr="00D01DDB">
              <w:rPr>
                <w:szCs w:val="22"/>
              </w:rPr>
              <w:t>Description</w:t>
            </w:r>
          </w:p>
        </w:tc>
        <w:tc>
          <w:tcPr>
            <w:tcW w:w="4252" w:type="dxa"/>
          </w:tcPr>
          <w:p w14:paraId="79AFDC4B" w14:textId="05792035" w:rsidR="00A1456E" w:rsidRPr="00D01DDB" w:rsidRDefault="00A1456E"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A1456E" w:rsidRPr="00D01DDB" w14:paraId="23610C53" w14:textId="77777777" w:rsidTr="00324B33">
        <w:tc>
          <w:tcPr>
            <w:cnfStyle w:val="001000000000" w:firstRow="0" w:lastRow="0" w:firstColumn="1" w:lastColumn="0" w:oddVBand="0" w:evenVBand="0" w:oddHBand="0" w:evenHBand="0" w:firstRowFirstColumn="0" w:firstRowLastColumn="0" w:lastRowFirstColumn="0" w:lastRowLastColumn="0"/>
            <w:tcW w:w="4390" w:type="dxa"/>
          </w:tcPr>
          <w:p w14:paraId="759D2A12" w14:textId="0D705F83" w:rsidR="00A1456E" w:rsidRPr="00D01DDB" w:rsidRDefault="00A1456E" w:rsidP="00324B33">
            <w:pPr>
              <w:rPr>
                <w:szCs w:val="22"/>
              </w:rPr>
            </w:pPr>
            <w:r w:rsidRPr="00D01DDB">
              <w:rPr>
                <w:szCs w:val="22"/>
              </w:rPr>
              <w:t>Submission dossier accepted and first round evaluation commenced</w:t>
            </w:r>
          </w:p>
        </w:tc>
        <w:tc>
          <w:tcPr>
            <w:tcW w:w="4252" w:type="dxa"/>
          </w:tcPr>
          <w:p w14:paraId="2963D9D8" w14:textId="5A3C2E4F" w:rsidR="00A1456E" w:rsidRPr="00D01DDB" w:rsidRDefault="00A1456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30 September 2021</w:t>
            </w:r>
          </w:p>
        </w:tc>
      </w:tr>
      <w:tr w:rsidR="00A1456E" w:rsidRPr="00D01DDB" w14:paraId="53437815" w14:textId="77777777" w:rsidTr="00324B33">
        <w:tc>
          <w:tcPr>
            <w:cnfStyle w:val="001000000000" w:firstRow="0" w:lastRow="0" w:firstColumn="1" w:lastColumn="0" w:oddVBand="0" w:evenVBand="0" w:oddHBand="0" w:evenHBand="0" w:firstRowFirstColumn="0" w:firstRowLastColumn="0" w:lastRowFirstColumn="0" w:lastRowLastColumn="0"/>
            <w:tcW w:w="4390" w:type="dxa"/>
          </w:tcPr>
          <w:p w14:paraId="4C037D4E" w14:textId="2B0CE255" w:rsidR="00A1456E" w:rsidRPr="00D01DDB" w:rsidRDefault="00A1456E" w:rsidP="00324B33">
            <w:pPr>
              <w:rPr>
                <w:szCs w:val="22"/>
              </w:rPr>
            </w:pPr>
            <w:r w:rsidRPr="00D01DDB">
              <w:rPr>
                <w:szCs w:val="22"/>
              </w:rPr>
              <w:t>First round evaluation completed</w:t>
            </w:r>
          </w:p>
        </w:tc>
        <w:tc>
          <w:tcPr>
            <w:tcW w:w="4252" w:type="dxa"/>
          </w:tcPr>
          <w:p w14:paraId="3CEAFAAB" w14:textId="72254E34" w:rsidR="00A1456E" w:rsidRPr="00D01DDB" w:rsidRDefault="005054A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30 March 2022</w:t>
            </w:r>
          </w:p>
        </w:tc>
      </w:tr>
      <w:tr w:rsidR="00A1456E" w:rsidRPr="00D01DDB" w14:paraId="60DA57CC" w14:textId="77777777" w:rsidTr="00324B33">
        <w:tc>
          <w:tcPr>
            <w:cnfStyle w:val="001000000000" w:firstRow="0" w:lastRow="0" w:firstColumn="1" w:lastColumn="0" w:oddVBand="0" w:evenVBand="0" w:oddHBand="0" w:evenHBand="0" w:firstRowFirstColumn="0" w:firstRowLastColumn="0" w:lastRowFirstColumn="0" w:lastRowLastColumn="0"/>
            <w:tcW w:w="4390" w:type="dxa"/>
          </w:tcPr>
          <w:p w14:paraId="02EA1147" w14:textId="2853A422" w:rsidR="00A1456E" w:rsidRPr="00D01DDB" w:rsidRDefault="00A1456E" w:rsidP="00324B33">
            <w:pPr>
              <w:rPr>
                <w:szCs w:val="22"/>
              </w:rPr>
            </w:pPr>
            <w:r w:rsidRPr="00D01DDB">
              <w:rPr>
                <w:szCs w:val="22"/>
              </w:rPr>
              <w:t>Sponsor provides responses on questions raised in first round evaluation</w:t>
            </w:r>
          </w:p>
        </w:tc>
        <w:tc>
          <w:tcPr>
            <w:tcW w:w="4252" w:type="dxa"/>
          </w:tcPr>
          <w:p w14:paraId="68A577C1" w14:textId="22A53900" w:rsidR="00A1456E" w:rsidRPr="00D01DDB" w:rsidRDefault="003722FD"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 May 2022</w:t>
            </w:r>
          </w:p>
        </w:tc>
      </w:tr>
      <w:tr w:rsidR="00A1456E" w:rsidRPr="00D01DDB" w14:paraId="767E33A4" w14:textId="77777777" w:rsidTr="00324B33">
        <w:tc>
          <w:tcPr>
            <w:cnfStyle w:val="001000000000" w:firstRow="0" w:lastRow="0" w:firstColumn="1" w:lastColumn="0" w:oddVBand="0" w:evenVBand="0" w:oddHBand="0" w:evenHBand="0" w:firstRowFirstColumn="0" w:firstRowLastColumn="0" w:lastRowFirstColumn="0" w:lastRowLastColumn="0"/>
            <w:tcW w:w="4390" w:type="dxa"/>
          </w:tcPr>
          <w:p w14:paraId="4AFC5B50" w14:textId="2BCC6A3E" w:rsidR="00A1456E" w:rsidRPr="00D01DDB" w:rsidRDefault="00A1456E" w:rsidP="00324B33">
            <w:pPr>
              <w:rPr>
                <w:szCs w:val="22"/>
              </w:rPr>
            </w:pPr>
            <w:r w:rsidRPr="00D01DDB">
              <w:rPr>
                <w:szCs w:val="22"/>
              </w:rPr>
              <w:t>Second round evaluation completed</w:t>
            </w:r>
          </w:p>
        </w:tc>
        <w:tc>
          <w:tcPr>
            <w:tcW w:w="4252" w:type="dxa"/>
          </w:tcPr>
          <w:p w14:paraId="4E47DF62" w14:textId="45D46A39" w:rsidR="00A1456E" w:rsidRPr="00D01DDB" w:rsidRDefault="005054A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21 June 2022</w:t>
            </w:r>
          </w:p>
        </w:tc>
      </w:tr>
      <w:tr w:rsidR="00A1456E" w:rsidRPr="00D01DDB" w14:paraId="302FCB45" w14:textId="77777777" w:rsidTr="00324B33">
        <w:tc>
          <w:tcPr>
            <w:cnfStyle w:val="001000000000" w:firstRow="0" w:lastRow="0" w:firstColumn="1" w:lastColumn="0" w:oddVBand="0" w:evenVBand="0" w:oddHBand="0" w:evenHBand="0" w:firstRowFirstColumn="0" w:firstRowLastColumn="0" w:lastRowFirstColumn="0" w:lastRowLastColumn="0"/>
            <w:tcW w:w="4390" w:type="dxa"/>
          </w:tcPr>
          <w:p w14:paraId="716E9DC1" w14:textId="74650B12" w:rsidR="00A1456E" w:rsidRPr="00D01DDB" w:rsidRDefault="00A1456E" w:rsidP="00324B33">
            <w:pPr>
              <w:rPr>
                <w:szCs w:val="22"/>
              </w:rPr>
            </w:pPr>
            <w:r w:rsidRPr="00D01DDB">
              <w:rPr>
                <w:szCs w:val="22"/>
              </w:rPr>
              <w:t>Delegate’s Overall benefit-risk assessment</w:t>
            </w:r>
            <w:r w:rsidR="000E296C">
              <w:rPr>
                <w:rStyle w:val="FootnoteReference"/>
                <w:szCs w:val="22"/>
              </w:rPr>
              <w:footnoteReference w:id="68"/>
            </w:r>
          </w:p>
        </w:tc>
        <w:tc>
          <w:tcPr>
            <w:tcW w:w="4252" w:type="dxa"/>
          </w:tcPr>
          <w:p w14:paraId="3BA6EF79" w14:textId="44E6AB3D" w:rsidR="00A1456E" w:rsidRPr="00D01DDB" w:rsidRDefault="00A1456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31 August 2022</w:t>
            </w:r>
          </w:p>
        </w:tc>
      </w:tr>
      <w:tr w:rsidR="00A1456E" w:rsidRPr="00D01DDB" w14:paraId="5832EBC8" w14:textId="77777777" w:rsidTr="00324B33">
        <w:tc>
          <w:tcPr>
            <w:cnfStyle w:val="001000000000" w:firstRow="0" w:lastRow="0" w:firstColumn="1" w:lastColumn="0" w:oddVBand="0" w:evenVBand="0" w:oddHBand="0" w:evenHBand="0" w:firstRowFirstColumn="0" w:firstRowLastColumn="0" w:lastRowFirstColumn="0" w:lastRowLastColumn="0"/>
            <w:tcW w:w="4390" w:type="dxa"/>
          </w:tcPr>
          <w:p w14:paraId="720592DE" w14:textId="1F72CD22" w:rsidR="00A1456E" w:rsidRPr="00D01DDB" w:rsidRDefault="00A1456E" w:rsidP="00324B33">
            <w:pPr>
              <w:rPr>
                <w:szCs w:val="22"/>
              </w:rPr>
            </w:pPr>
            <w:r w:rsidRPr="00D01DDB">
              <w:rPr>
                <w:szCs w:val="22"/>
              </w:rPr>
              <w:t>Sponsor’s pre-Advisory Committee response</w:t>
            </w:r>
          </w:p>
        </w:tc>
        <w:tc>
          <w:tcPr>
            <w:tcW w:w="4252" w:type="dxa"/>
          </w:tcPr>
          <w:p w14:paraId="5AE04841" w14:textId="16728EE2" w:rsidR="00A1456E" w:rsidRPr="00D01DDB" w:rsidRDefault="00A1456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Not applicable</w:t>
            </w:r>
          </w:p>
        </w:tc>
      </w:tr>
      <w:tr w:rsidR="00A1456E" w:rsidRPr="00D01DDB" w14:paraId="5754F7AC" w14:textId="77777777" w:rsidTr="00324B33">
        <w:tc>
          <w:tcPr>
            <w:cnfStyle w:val="001000000000" w:firstRow="0" w:lastRow="0" w:firstColumn="1" w:lastColumn="0" w:oddVBand="0" w:evenVBand="0" w:oddHBand="0" w:evenHBand="0" w:firstRowFirstColumn="0" w:firstRowLastColumn="0" w:lastRowFirstColumn="0" w:lastRowLastColumn="0"/>
            <w:tcW w:w="4390" w:type="dxa"/>
          </w:tcPr>
          <w:p w14:paraId="789DE187" w14:textId="123446EE" w:rsidR="00A1456E" w:rsidRPr="00D01DDB" w:rsidRDefault="00A1456E" w:rsidP="00324B33">
            <w:pPr>
              <w:rPr>
                <w:szCs w:val="22"/>
              </w:rPr>
            </w:pPr>
            <w:r w:rsidRPr="00D01DDB">
              <w:rPr>
                <w:szCs w:val="22"/>
              </w:rPr>
              <w:t>Advisory Committee meeting</w:t>
            </w:r>
          </w:p>
        </w:tc>
        <w:tc>
          <w:tcPr>
            <w:tcW w:w="4252" w:type="dxa"/>
          </w:tcPr>
          <w:p w14:paraId="5BE1EDE7" w14:textId="674AC22D" w:rsidR="00A1456E" w:rsidRPr="00D01DDB" w:rsidRDefault="00A1456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Not applicable</w:t>
            </w:r>
          </w:p>
        </w:tc>
      </w:tr>
      <w:tr w:rsidR="00A1456E" w:rsidRPr="00D01DDB" w14:paraId="6E5D32FE" w14:textId="77777777" w:rsidTr="00324B33">
        <w:tc>
          <w:tcPr>
            <w:cnfStyle w:val="001000000000" w:firstRow="0" w:lastRow="0" w:firstColumn="1" w:lastColumn="0" w:oddVBand="0" w:evenVBand="0" w:oddHBand="0" w:evenHBand="0" w:firstRowFirstColumn="0" w:firstRowLastColumn="0" w:lastRowFirstColumn="0" w:lastRowLastColumn="0"/>
            <w:tcW w:w="4390" w:type="dxa"/>
          </w:tcPr>
          <w:p w14:paraId="4E95C44C" w14:textId="7A91C710" w:rsidR="00A1456E" w:rsidRPr="00D01DDB" w:rsidRDefault="00A1456E" w:rsidP="00324B33">
            <w:pPr>
              <w:rPr>
                <w:szCs w:val="22"/>
              </w:rPr>
            </w:pPr>
            <w:r w:rsidRPr="00D01DDB">
              <w:rPr>
                <w:szCs w:val="22"/>
              </w:rPr>
              <w:t>Registration decision (Outcome)</w:t>
            </w:r>
          </w:p>
        </w:tc>
        <w:tc>
          <w:tcPr>
            <w:tcW w:w="4252" w:type="dxa"/>
          </w:tcPr>
          <w:p w14:paraId="62987ABD" w14:textId="5ABD1298" w:rsidR="00A1456E" w:rsidRPr="00D01DDB" w:rsidRDefault="00A1456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5 October 2022</w:t>
            </w:r>
          </w:p>
        </w:tc>
      </w:tr>
      <w:tr w:rsidR="00A1456E" w:rsidRPr="00D01DDB" w14:paraId="6DDCDDA4" w14:textId="77777777" w:rsidTr="00324B33">
        <w:tc>
          <w:tcPr>
            <w:cnfStyle w:val="001000000000" w:firstRow="0" w:lastRow="0" w:firstColumn="1" w:lastColumn="0" w:oddVBand="0" w:evenVBand="0" w:oddHBand="0" w:evenHBand="0" w:firstRowFirstColumn="0" w:firstRowLastColumn="0" w:lastRowFirstColumn="0" w:lastRowLastColumn="0"/>
            <w:tcW w:w="4390" w:type="dxa"/>
          </w:tcPr>
          <w:p w14:paraId="192FD19D" w14:textId="7D5F96C5" w:rsidR="00A1456E" w:rsidRPr="00D01DDB" w:rsidRDefault="00A1456E" w:rsidP="00324B33">
            <w:pPr>
              <w:rPr>
                <w:szCs w:val="22"/>
              </w:rPr>
            </w:pPr>
            <w:r>
              <w:lastRenderedPageBreak/>
              <w:t>Administrative activities and registration on the ARTG completed</w:t>
            </w:r>
          </w:p>
        </w:tc>
        <w:tc>
          <w:tcPr>
            <w:tcW w:w="4252" w:type="dxa"/>
          </w:tcPr>
          <w:p w14:paraId="5A8923FD" w14:textId="52BFD9EC" w:rsidR="00A1456E" w:rsidRPr="00D01DDB" w:rsidRDefault="00A1456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7 October 2022</w:t>
            </w:r>
          </w:p>
        </w:tc>
      </w:tr>
      <w:tr w:rsidR="00A1456E" w:rsidRPr="00D01DDB" w14:paraId="56D922E2" w14:textId="77777777" w:rsidTr="00324B33">
        <w:tc>
          <w:tcPr>
            <w:cnfStyle w:val="001000000000" w:firstRow="0" w:lastRow="0" w:firstColumn="1" w:lastColumn="0" w:oddVBand="0" w:evenVBand="0" w:oddHBand="0" w:evenHBand="0" w:firstRowFirstColumn="0" w:firstRowLastColumn="0" w:lastRowFirstColumn="0" w:lastRowLastColumn="0"/>
            <w:tcW w:w="4390" w:type="dxa"/>
          </w:tcPr>
          <w:p w14:paraId="787FD8DD" w14:textId="0E0CF97F" w:rsidR="00A1456E" w:rsidRPr="00D01DDB" w:rsidRDefault="00A1456E" w:rsidP="00324B33">
            <w:pPr>
              <w:rPr>
                <w:szCs w:val="22"/>
              </w:rPr>
            </w:pPr>
            <w:r w:rsidRPr="00D01DDB">
              <w:rPr>
                <w:szCs w:val="22"/>
              </w:rPr>
              <w:t>Number of working days from submission dossier acceptance to registration decision*</w:t>
            </w:r>
          </w:p>
        </w:tc>
        <w:tc>
          <w:tcPr>
            <w:tcW w:w="4252" w:type="dxa"/>
          </w:tcPr>
          <w:p w14:paraId="5BAF9FA1" w14:textId="1345550B" w:rsidR="00A1456E" w:rsidRPr="00D01DDB" w:rsidRDefault="00A1456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221</w:t>
            </w:r>
          </w:p>
        </w:tc>
      </w:tr>
    </w:tbl>
    <w:p w14:paraId="7B02554C" w14:textId="77777777" w:rsidR="00A1456E" w:rsidRDefault="00A1456E" w:rsidP="00433318">
      <w:pPr>
        <w:pStyle w:val="TableDescription"/>
      </w:pPr>
      <w:r>
        <w:t>*</w:t>
      </w:r>
      <w:r w:rsidRPr="00BF3774">
        <w:t xml:space="preserve">Statutory </w:t>
      </w:r>
      <w:r>
        <w:t>timeframe for standard submissions is 255 working days</w:t>
      </w:r>
    </w:p>
    <w:p w14:paraId="220925F1" w14:textId="77777777" w:rsidR="00A1456E" w:rsidRPr="00792A32" w:rsidRDefault="00A1456E" w:rsidP="00C22214">
      <w:pPr>
        <w:pStyle w:val="Heading2"/>
      </w:pPr>
      <w:bookmarkStart w:id="51" w:name="_Toc196046504"/>
      <w:bookmarkStart w:id="52" w:name="_Toc247691527"/>
      <w:bookmarkStart w:id="53" w:name="_Toc314842510"/>
      <w:bookmarkStart w:id="54" w:name="_Toc103679294"/>
      <w:bookmarkStart w:id="55" w:name="_Toc154134520"/>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51"/>
      <w:bookmarkEnd w:id="52"/>
      <w:bookmarkEnd w:id="53"/>
      <w:bookmarkEnd w:id="54"/>
      <w:bookmarkEnd w:id="55"/>
    </w:p>
    <w:p w14:paraId="5F5FAA14" w14:textId="00FBE3B4" w:rsidR="00A1456E" w:rsidRPr="00BD5DBD" w:rsidRDefault="00A1456E" w:rsidP="00C22214">
      <w:pPr>
        <w:rPr>
          <w:szCs w:val="22"/>
        </w:rPr>
      </w:pPr>
      <w:bookmarkStart w:id="56" w:name="_Toc247691528"/>
      <w:bookmarkStart w:id="57" w:name="_Toc314842511"/>
      <w:r w:rsidRPr="00BD5DBD">
        <w:rPr>
          <w:szCs w:val="22"/>
        </w:rPr>
        <w:t>This section is a TGA summary of wording used in TGA’s evaluation report</w:t>
      </w:r>
      <w:r w:rsidR="005054A4">
        <w:rPr>
          <w:szCs w:val="22"/>
        </w:rPr>
        <w:t>s</w:t>
      </w:r>
      <w:r w:rsidRPr="00BD5DBD">
        <w:rPr>
          <w:szCs w:val="22"/>
        </w:rPr>
        <w:t>, which discussed numerous aspects of overseas evaluation reports and included some information that was commercial-in-confidence.</w:t>
      </w:r>
    </w:p>
    <w:p w14:paraId="37F5A1C0" w14:textId="77777777" w:rsidR="00A1456E" w:rsidRDefault="00A1456E" w:rsidP="00C22214">
      <w:pPr>
        <w:pStyle w:val="Heading3"/>
      </w:pPr>
      <w:bookmarkStart w:id="58" w:name="_Toc103679295"/>
      <w:bookmarkStart w:id="59" w:name="_Toc154134521"/>
      <w:r>
        <w:t>Quality</w:t>
      </w:r>
      <w:bookmarkEnd w:id="56"/>
      <w:bookmarkEnd w:id="57"/>
      <w:bookmarkEnd w:id="58"/>
      <w:bookmarkEnd w:id="59"/>
    </w:p>
    <w:p w14:paraId="76B32561" w14:textId="35A58F8F" w:rsidR="00A1456E" w:rsidRPr="00B3588F" w:rsidRDefault="005054A4" w:rsidP="00C22214">
      <w:pPr>
        <w:pStyle w:val="Instructions"/>
        <w:rPr>
          <w:rFonts w:eastAsiaTheme="minorHAnsi" w:cstheme="minorBidi"/>
          <w:i w:val="0"/>
          <w:color w:val="auto"/>
          <w:szCs w:val="20"/>
          <w:lang w:val="en-US"/>
        </w:rPr>
      </w:pPr>
      <w:r w:rsidRPr="003722FD">
        <w:rPr>
          <w:rFonts w:eastAsiaTheme="minorHAnsi" w:cstheme="minorBidi"/>
          <w:i w:val="0"/>
          <w:color w:val="auto"/>
          <w:szCs w:val="20"/>
          <w:lang w:val="en-US"/>
        </w:rPr>
        <w:t xml:space="preserve">Nivolumab and </w:t>
      </w:r>
      <w:proofErr w:type="spellStart"/>
      <w:r w:rsidRPr="003722FD">
        <w:rPr>
          <w:rFonts w:eastAsiaTheme="minorHAnsi" w:cstheme="minorBidi"/>
          <w:i w:val="0"/>
          <w:color w:val="auto"/>
          <w:szCs w:val="20"/>
          <w:lang w:val="en-US"/>
        </w:rPr>
        <w:t>r</w:t>
      </w:r>
      <w:r w:rsidR="00B3588F" w:rsidRPr="003722FD">
        <w:rPr>
          <w:rFonts w:eastAsiaTheme="minorHAnsi" w:cstheme="minorBidi"/>
          <w:i w:val="0"/>
          <w:color w:val="auto"/>
          <w:szCs w:val="20"/>
          <w:lang w:val="en-US"/>
        </w:rPr>
        <w:t>elatlimab</w:t>
      </w:r>
      <w:proofErr w:type="spellEnd"/>
      <w:r w:rsidR="00B3588F" w:rsidRPr="003722FD">
        <w:rPr>
          <w:rFonts w:eastAsiaTheme="minorHAnsi" w:cstheme="minorBidi"/>
          <w:i w:val="0"/>
          <w:color w:val="auto"/>
          <w:szCs w:val="20"/>
          <w:lang w:val="en-US"/>
        </w:rPr>
        <w:t xml:space="preserve"> </w:t>
      </w:r>
      <w:r w:rsidR="00456DF4" w:rsidRPr="003722FD">
        <w:rPr>
          <w:rFonts w:eastAsiaTheme="minorHAnsi" w:cstheme="minorBidi"/>
          <w:i w:val="0"/>
          <w:color w:val="auto"/>
          <w:szCs w:val="20"/>
          <w:lang w:val="en-US"/>
        </w:rPr>
        <w:t xml:space="preserve">are </w:t>
      </w:r>
      <w:r w:rsidR="00B3588F" w:rsidRPr="003722FD">
        <w:rPr>
          <w:rFonts w:eastAsiaTheme="minorHAnsi" w:cstheme="minorBidi"/>
          <w:i w:val="0"/>
          <w:color w:val="auto"/>
          <w:szCs w:val="20"/>
          <w:lang w:val="en-US"/>
        </w:rPr>
        <w:t>human immunoglobulin G4 monoclonal</w:t>
      </w:r>
      <w:r w:rsidR="00B3588F" w:rsidRPr="003722FD">
        <w:t xml:space="preserve"> </w:t>
      </w:r>
      <w:r w:rsidR="00B3588F" w:rsidRPr="003722FD">
        <w:rPr>
          <w:rFonts w:eastAsiaTheme="minorHAnsi" w:cstheme="minorBidi"/>
          <w:i w:val="0"/>
          <w:color w:val="auto"/>
          <w:szCs w:val="20"/>
          <w:lang w:val="en-US"/>
        </w:rPr>
        <w:t>antibodies</w:t>
      </w:r>
      <w:r w:rsidR="00192A1F">
        <w:rPr>
          <w:rFonts w:eastAsiaTheme="minorHAnsi" w:cstheme="minorBidi"/>
          <w:i w:val="0"/>
          <w:color w:val="auto"/>
          <w:szCs w:val="20"/>
          <w:lang w:val="en-US"/>
        </w:rPr>
        <w:t>.</w:t>
      </w:r>
    </w:p>
    <w:p w14:paraId="2E62F90C" w14:textId="6C1D8788" w:rsidR="00A1456E" w:rsidRPr="00192A1F" w:rsidRDefault="00A1456E" w:rsidP="0CC3EFE5">
      <w:pPr>
        <w:autoSpaceDE w:val="0"/>
        <w:autoSpaceDN w:val="0"/>
        <w:adjustRightInd w:val="0"/>
        <w:spacing w:after="0" w:line="240" w:lineRule="auto"/>
        <w:rPr>
          <w:lang w:eastAsia="en-AU"/>
        </w:rPr>
      </w:pPr>
      <w:r w:rsidRPr="0CC3EFE5">
        <w:rPr>
          <w:lang w:eastAsia="en-AU"/>
        </w:rPr>
        <w:t>Nivolumab</w:t>
      </w:r>
      <w:r w:rsidR="00B3588F" w:rsidRPr="0CC3EFE5">
        <w:rPr>
          <w:lang w:eastAsia="en-AU"/>
        </w:rPr>
        <w:t xml:space="preserve"> has been previously evaluated by the TGA</w:t>
      </w:r>
      <w:r w:rsidR="007A48BC" w:rsidRPr="0CC3EFE5">
        <w:rPr>
          <w:lang w:eastAsia="en-AU"/>
        </w:rPr>
        <w:t>;</w:t>
      </w:r>
      <w:r w:rsidR="007A48BC" w:rsidRPr="0CC3EFE5">
        <w:rPr>
          <w:rStyle w:val="FootnoteReference"/>
          <w:lang w:eastAsia="en-AU"/>
        </w:rPr>
        <w:footnoteReference w:id="69"/>
      </w:r>
      <w:r w:rsidR="003722FD" w:rsidRPr="0CC3EFE5">
        <w:rPr>
          <w:lang w:eastAsia="en-AU"/>
        </w:rPr>
        <w:t xml:space="preserve"> information on its chemistry and quality has been published</w:t>
      </w:r>
      <w:r w:rsidR="00B3588F" w:rsidRPr="0CC3EFE5">
        <w:rPr>
          <w:lang w:eastAsia="en-AU"/>
        </w:rPr>
        <w:t>.</w:t>
      </w:r>
      <w:r w:rsidR="008336A1" w:rsidRPr="0CC3EFE5">
        <w:rPr>
          <w:rStyle w:val="FootnoteReference"/>
          <w:lang w:eastAsia="en-AU"/>
        </w:rPr>
        <w:footnoteReference w:id="70"/>
      </w:r>
      <w:r w:rsidR="007A48BC" w:rsidRPr="0CC3EFE5">
        <w:rPr>
          <w:lang w:eastAsia="en-AU"/>
        </w:rPr>
        <w:t xml:space="preserve"> Compared to the earlier product, nivolumab </w:t>
      </w:r>
      <w:r w:rsidR="00192A1F" w:rsidRPr="00556673">
        <w:rPr>
          <w:lang w:eastAsia="en-AU"/>
        </w:rPr>
        <w:t xml:space="preserve">for </w:t>
      </w:r>
      <w:proofErr w:type="spellStart"/>
      <w:r w:rsidR="00192A1F" w:rsidRPr="00556673">
        <w:rPr>
          <w:lang w:eastAsia="en-AU"/>
        </w:rPr>
        <w:t>Opdualag</w:t>
      </w:r>
      <w:proofErr w:type="spellEnd"/>
      <w:r w:rsidR="00192A1F" w:rsidRPr="00556673">
        <w:rPr>
          <w:lang w:eastAsia="en-AU"/>
        </w:rPr>
        <w:t xml:space="preserve"> </w:t>
      </w:r>
      <w:r w:rsidR="007A48BC" w:rsidRPr="00556673">
        <w:rPr>
          <w:lang w:eastAsia="en-AU"/>
        </w:rPr>
        <w:t>is formulated in a histidine</w:t>
      </w:r>
      <w:r w:rsidR="00E14559">
        <w:rPr>
          <w:lang w:eastAsia="en-AU"/>
        </w:rPr>
        <w:t>-</w:t>
      </w:r>
      <w:r w:rsidR="007A48BC" w:rsidRPr="00556673">
        <w:rPr>
          <w:lang w:eastAsia="en-AU"/>
        </w:rPr>
        <w:t>based buffer rather than a citrate</w:t>
      </w:r>
      <w:r w:rsidR="00E14559">
        <w:rPr>
          <w:lang w:eastAsia="en-AU"/>
        </w:rPr>
        <w:t>-</w:t>
      </w:r>
      <w:r w:rsidR="007A48BC" w:rsidRPr="00556673">
        <w:rPr>
          <w:lang w:eastAsia="en-AU"/>
        </w:rPr>
        <w:t>based buffer.</w:t>
      </w:r>
    </w:p>
    <w:p w14:paraId="43E61393" w14:textId="07E08F4D" w:rsidR="007B27D2" w:rsidRDefault="00A1456E" w:rsidP="00B3588F">
      <w:pPr>
        <w:adjustRightInd w:val="0"/>
        <w:snapToGrid w:val="0"/>
        <w:spacing w:before="180" w:after="180" w:line="240" w:lineRule="atLeast"/>
      </w:pPr>
      <w:proofErr w:type="spellStart"/>
      <w:r w:rsidRPr="00B3588F">
        <w:rPr>
          <w:iCs/>
          <w:szCs w:val="21"/>
          <w:lang w:eastAsia="en-AU"/>
        </w:rPr>
        <w:t>Relatlimab</w:t>
      </w:r>
      <w:proofErr w:type="spellEnd"/>
      <w:r w:rsidR="00B3588F" w:rsidRPr="00B3588F">
        <w:rPr>
          <w:iCs/>
          <w:szCs w:val="21"/>
          <w:lang w:eastAsia="en-AU"/>
        </w:rPr>
        <w:t xml:space="preserve"> is a new biological entity</w:t>
      </w:r>
      <w:r w:rsidR="00BB3038">
        <w:rPr>
          <w:iCs/>
          <w:szCs w:val="21"/>
          <w:lang w:eastAsia="en-AU"/>
        </w:rPr>
        <w:t xml:space="preserve"> and has not been previously evaluated by the TGA</w:t>
      </w:r>
      <w:r w:rsidR="00B3588F" w:rsidRPr="00B3588F">
        <w:rPr>
          <w:iCs/>
          <w:szCs w:val="21"/>
          <w:lang w:eastAsia="en-AU"/>
        </w:rPr>
        <w:t>.</w:t>
      </w:r>
      <w:r w:rsidR="00AC26A4">
        <w:rPr>
          <w:iCs/>
          <w:szCs w:val="21"/>
          <w:lang w:eastAsia="en-AU"/>
        </w:rPr>
        <w:t xml:space="preserve"> </w:t>
      </w:r>
      <w:proofErr w:type="spellStart"/>
      <w:r w:rsidR="00192A1F">
        <w:t>Relatlimab</w:t>
      </w:r>
      <w:proofErr w:type="spellEnd"/>
      <w:r w:rsidR="003722FD">
        <w:t xml:space="preserve"> </w:t>
      </w:r>
      <w:r w:rsidR="00192A1F">
        <w:t>consists of 2 identical heavy chains and 2</w:t>
      </w:r>
      <w:r w:rsidR="002036A4">
        <w:t> </w:t>
      </w:r>
      <w:r w:rsidR="00192A1F">
        <w:t xml:space="preserve">identical light </w:t>
      </w:r>
      <w:r w:rsidR="006A4D3C">
        <w:t>chains,</w:t>
      </w:r>
      <w:r w:rsidR="00192A1F">
        <w:t xml:space="preserve"> and its</w:t>
      </w:r>
      <w:r w:rsidR="003722FD">
        <w:t xml:space="preserve"> schematic representation is shown in </w:t>
      </w:r>
      <w:r w:rsidR="003722FD">
        <w:rPr>
          <w:color w:val="2B579A"/>
          <w:shd w:val="clear" w:color="auto" w:fill="E6E6E6"/>
        </w:rPr>
        <w:fldChar w:fldCharType="begin"/>
      </w:r>
      <w:r w:rsidR="003722FD">
        <w:instrText xml:space="preserve"> REF _Ref143766762 \h </w:instrText>
      </w:r>
      <w:r w:rsidR="003722FD">
        <w:rPr>
          <w:color w:val="2B579A"/>
          <w:shd w:val="clear" w:color="auto" w:fill="E6E6E6"/>
        </w:rPr>
      </w:r>
      <w:r w:rsidR="003722FD">
        <w:rPr>
          <w:color w:val="2B579A"/>
          <w:shd w:val="clear" w:color="auto" w:fill="E6E6E6"/>
        </w:rPr>
        <w:fldChar w:fldCharType="separate"/>
      </w:r>
      <w:r w:rsidR="004F1B9E" w:rsidRPr="00AC26A4">
        <w:t xml:space="preserve">Figure </w:t>
      </w:r>
      <w:r w:rsidR="004F1B9E">
        <w:rPr>
          <w:noProof/>
        </w:rPr>
        <w:t>1</w:t>
      </w:r>
      <w:r w:rsidR="003722FD">
        <w:rPr>
          <w:color w:val="2B579A"/>
          <w:shd w:val="clear" w:color="auto" w:fill="E6E6E6"/>
        </w:rPr>
        <w:fldChar w:fldCharType="end"/>
      </w:r>
      <w:r w:rsidR="00AC26A4">
        <w:t>.</w:t>
      </w:r>
      <w:r w:rsidR="002036A4">
        <w:t xml:space="preserve"> </w:t>
      </w:r>
      <w:proofErr w:type="spellStart"/>
      <w:r w:rsidR="002036A4">
        <w:t>Relatlimab</w:t>
      </w:r>
      <w:proofErr w:type="spellEnd"/>
      <w:r w:rsidR="002036A4">
        <w:t xml:space="preserve"> has a calculated molecular mass of 148</w:t>
      </w:r>
      <w:r w:rsidR="00AE7ED0">
        <w:t> </w:t>
      </w:r>
      <w:proofErr w:type="spellStart"/>
      <w:r w:rsidR="002036A4">
        <w:t>kDa</w:t>
      </w:r>
      <w:proofErr w:type="spellEnd"/>
      <w:r w:rsidR="002036A4">
        <w:t>.</w:t>
      </w:r>
    </w:p>
    <w:p w14:paraId="56F66E51" w14:textId="1DFB8F2C" w:rsidR="00AC26A4" w:rsidRPr="00AC26A4" w:rsidRDefault="00AC26A4" w:rsidP="002A124F">
      <w:pPr>
        <w:pStyle w:val="FigureTitle"/>
        <w:keepNext/>
        <w:rPr>
          <w:szCs w:val="21"/>
          <w:lang w:eastAsia="en-AU"/>
        </w:rPr>
      </w:pPr>
      <w:bookmarkStart w:id="60" w:name="_Ref143766762"/>
      <w:r w:rsidRPr="00AC26A4">
        <w:t xml:space="preserve">Figure </w:t>
      </w:r>
      <w:r>
        <w:fldChar w:fldCharType="begin"/>
      </w:r>
      <w:r>
        <w:instrText>SEQ Figure \* ARABIC</w:instrText>
      </w:r>
      <w:r>
        <w:fldChar w:fldCharType="separate"/>
      </w:r>
      <w:r w:rsidR="004F1B9E">
        <w:rPr>
          <w:noProof/>
        </w:rPr>
        <w:t>1</w:t>
      </w:r>
      <w:r>
        <w:fldChar w:fldCharType="end"/>
      </w:r>
      <w:bookmarkEnd w:id="60"/>
      <w:r w:rsidRPr="00AC26A4">
        <w:t xml:space="preserve">: </w:t>
      </w:r>
      <w:r w:rsidR="003722FD">
        <w:t xml:space="preserve">Schematic representation of </w:t>
      </w:r>
      <w:proofErr w:type="spellStart"/>
      <w:r>
        <w:t>relatlimab</w:t>
      </w:r>
      <w:proofErr w:type="spellEnd"/>
    </w:p>
    <w:p w14:paraId="4B7D558C" w14:textId="03F13523" w:rsidR="00456DF4" w:rsidRPr="00B3588F" w:rsidRDefault="00AC26A4" w:rsidP="00B3588F">
      <w:pPr>
        <w:adjustRightInd w:val="0"/>
        <w:snapToGrid w:val="0"/>
        <w:spacing w:before="180" w:after="180" w:line="240" w:lineRule="atLeast"/>
        <w:rPr>
          <w:iCs/>
          <w:szCs w:val="21"/>
          <w:lang w:eastAsia="en-AU"/>
        </w:rPr>
      </w:pPr>
      <w:r>
        <w:rPr>
          <w:noProof/>
          <w:color w:val="2B579A"/>
          <w:shd w:val="clear" w:color="auto" w:fill="E6E6E6"/>
        </w:rPr>
        <w:drawing>
          <wp:inline distT="0" distB="0" distL="0" distR="0" wp14:anchorId="57902BEC" wp14:editId="2C1601C0">
            <wp:extent cx="3365771" cy="2571488"/>
            <wp:effectExtent l="0" t="0" r="6350" b="635"/>
            <wp:docPr id="4" name="Picture 4" descr="Schematic of relatlimab showing the light and heavy chains of the  immunoglobuli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hematic of relatlimab showing the light and heavy chains of the  immunoglobulin&#10;"/>
                    <pic:cNvPicPr/>
                  </pic:nvPicPr>
                  <pic:blipFill>
                    <a:blip r:embed="rId21"/>
                    <a:stretch>
                      <a:fillRect/>
                    </a:stretch>
                  </pic:blipFill>
                  <pic:spPr>
                    <a:xfrm>
                      <a:off x="0" y="0"/>
                      <a:ext cx="3379164" cy="2581720"/>
                    </a:xfrm>
                    <a:prstGeom prst="rect">
                      <a:avLst/>
                    </a:prstGeom>
                  </pic:spPr>
                </pic:pic>
              </a:graphicData>
            </a:graphic>
          </wp:inline>
        </w:drawing>
      </w:r>
    </w:p>
    <w:p w14:paraId="5928BD5E" w14:textId="6141CBDD" w:rsidR="00192A1F" w:rsidRPr="00B3588F" w:rsidRDefault="00192A1F" w:rsidP="00192A1F">
      <w:pPr>
        <w:pStyle w:val="Instructions"/>
        <w:rPr>
          <w:rFonts w:eastAsiaTheme="minorHAnsi" w:cstheme="minorBidi"/>
          <w:i w:val="0"/>
          <w:color w:val="auto"/>
          <w:szCs w:val="20"/>
          <w:lang w:val="en-US"/>
        </w:rPr>
      </w:pPr>
      <w:r w:rsidRPr="003722FD">
        <w:rPr>
          <w:rFonts w:eastAsiaTheme="minorHAnsi" w:cstheme="minorBidi"/>
          <w:i w:val="0"/>
          <w:color w:val="auto"/>
          <w:szCs w:val="20"/>
          <w:lang w:val="en-US"/>
        </w:rPr>
        <w:t xml:space="preserve">Nivolumab and </w:t>
      </w:r>
      <w:proofErr w:type="spellStart"/>
      <w:r w:rsidRPr="003722FD">
        <w:rPr>
          <w:rFonts w:eastAsiaTheme="minorHAnsi" w:cstheme="minorBidi"/>
          <w:i w:val="0"/>
          <w:color w:val="auto"/>
          <w:szCs w:val="20"/>
          <w:lang w:val="en-US"/>
        </w:rPr>
        <w:t>relatlimab</w:t>
      </w:r>
      <w:proofErr w:type="spellEnd"/>
      <w:r w:rsidRPr="003722FD">
        <w:rPr>
          <w:rFonts w:eastAsiaTheme="minorHAnsi" w:cstheme="minorBidi"/>
          <w:i w:val="0"/>
          <w:color w:val="auto"/>
          <w:szCs w:val="20"/>
          <w:lang w:val="en-US"/>
        </w:rPr>
        <w:t xml:space="preserve"> are expressed in a</w:t>
      </w:r>
      <w:r>
        <w:rPr>
          <w:rFonts w:eastAsiaTheme="minorHAnsi" w:cstheme="minorBidi"/>
          <w:i w:val="0"/>
          <w:color w:val="auto"/>
          <w:szCs w:val="20"/>
          <w:lang w:val="en-US"/>
        </w:rPr>
        <w:t xml:space="preserve"> </w:t>
      </w:r>
      <w:r w:rsidRPr="00B3588F">
        <w:rPr>
          <w:rFonts w:eastAsiaTheme="minorHAnsi" w:cstheme="minorBidi"/>
          <w:i w:val="0"/>
          <w:color w:val="auto"/>
          <w:szCs w:val="20"/>
          <w:lang w:val="en-US"/>
        </w:rPr>
        <w:t>Chinese hamster ovary cell</w:t>
      </w:r>
      <w:r>
        <w:rPr>
          <w:rFonts w:eastAsiaTheme="minorHAnsi" w:cstheme="minorBidi"/>
          <w:i w:val="0"/>
          <w:color w:val="auto"/>
          <w:szCs w:val="20"/>
          <w:lang w:val="en-US"/>
        </w:rPr>
        <w:t xml:space="preserve"> line</w:t>
      </w:r>
      <w:r w:rsidRPr="00B3588F">
        <w:rPr>
          <w:rFonts w:eastAsiaTheme="minorHAnsi" w:cstheme="minorBidi"/>
          <w:i w:val="0"/>
          <w:color w:val="auto"/>
          <w:szCs w:val="20"/>
          <w:lang w:val="en-US"/>
        </w:rPr>
        <w:t xml:space="preserve"> by recombinant DNA technology</w:t>
      </w:r>
      <w:r>
        <w:rPr>
          <w:rFonts w:eastAsiaTheme="minorHAnsi" w:cstheme="minorBidi"/>
          <w:i w:val="0"/>
          <w:color w:val="auto"/>
          <w:szCs w:val="20"/>
          <w:lang w:val="en-US"/>
        </w:rPr>
        <w:t xml:space="preserve"> and purified using standard chromatography and filtration steps</w:t>
      </w:r>
      <w:r w:rsidRPr="00B3588F">
        <w:rPr>
          <w:rFonts w:eastAsiaTheme="minorHAnsi" w:cstheme="minorBidi"/>
          <w:i w:val="0"/>
          <w:color w:val="auto"/>
          <w:szCs w:val="20"/>
          <w:lang w:val="en-US"/>
        </w:rPr>
        <w:t>.</w:t>
      </w:r>
    </w:p>
    <w:p w14:paraId="7BF995A1" w14:textId="4C9E39B5" w:rsidR="00A1456E" w:rsidRPr="00763EDC" w:rsidRDefault="00A1456E" w:rsidP="00B411B6">
      <w:r>
        <w:rPr>
          <w:lang w:val="en-US"/>
        </w:rPr>
        <w:lastRenderedPageBreak/>
        <w:t xml:space="preserve">Review of the </w:t>
      </w:r>
      <w:r>
        <w:t>submission was completed with no outstanding issues with registration of the product from a quality perspective. The propo</w:t>
      </w:r>
      <w:r w:rsidRPr="00A164DF">
        <w:t xml:space="preserve">sed shelf life </w:t>
      </w:r>
      <w:r>
        <w:t xml:space="preserve">for the drug product </w:t>
      </w:r>
      <w:r w:rsidRPr="00A164DF">
        <w:t>of 3</w:t>
      </w:r>
      <w:r>
        <w:t>6</w:t>
      </w:r>
      <w:r w:rsidR="002A1EC6">
        <w:t> </w:t>
      </w:r>
      <w:r w:rsidRPr="00A164DF">
        <w:t xml:space="preserve">months </w:t>
      </w:r>
      <w:r w:rsidRPr="00556673">
        <w:t xml:space="preserve">when stored at </w:t>
      </w:r>
      <w:r w:rsidR="002149AA" w:rsidRPr="00556673">
        <w:t>2</w:t>
      </w:r>
      <w:r w:rsidR="002149AA" w:rsidRPr="00556673">
        <w:rPr>
          <w:rFonts w:ascii="Times New Roman" w:hAnsi="Times New Roman" w:cs="Times New Roman"/>
        </w:rPr>
        <w:t>°</w:t>
      </w:r>
      <w:r w:rsidR="002149AA" w:rsidRPr="00556673">
        <w:t>C to 8</w:t>
      </w:r>
      <w:r w:rsidR="002149AA" w:rsidRPr="00556673">
        <w:rPr>
          <w:rFonts w:ascii="Times New Roman" w:hAnsi="Times New Roman" w:cs="Times New Roman"/>
        </w:rPr>
        <w:t>°</w:t>
      </w:r>
      <w:r w:rsidR="002149AA" w:rsidRPr="00556673">
        <w:t xml:space="preserve">C </w:t>
      </w:r>
      <w:r w:rsidRPr="00556673">
        <w:t xml:space="preserve">with the storage conditions </w:t>
      </w:r>
      <w:r w:rsidR="00D13A84" w:rsidRPr="00556673">
        <w:t xml:space="preserve">‘do not freeze’, </w:t>
      </w:r>
      <w:r w:rsidR="002A1EC6" w:rsidRPr="00556673">
        <w:t>‘</w:t>
      </w:r>
      <w:r w:rsidRPr="00556673">
        <w:t>protect from light</w:t>
      </w:r>
      <w:r w:rsidR="002A1EC6" w:rsidRPr="00556673">
        <w:t>’</w:t>
      </w:r>
      <w:r w:rsidRPr="00556673">
        <w:t xml:space="preserve"> and </w:t>
      </w:r>
      <w:r w:rsidR="002A1EC6" w:rsidRPr="00556673">
        <w:t>‘</w:t>
      </w:r>
      <w:r w:rsidRPr="00556673">
        <w:t>do</w:t>
      </w:r>
      <w:r w:rsidRPr="00A164DF">
        <w:t xml:space="preserve"> not </w:t>
      </w:r>
      <w:r w:rsidR="00D13A84">
        <w:t>shake</w:t>
      </w:r>
      <w:r w:rsidR="002A1EC6">
        <w:t>’</w:t>
      </w:r>
      <w:r w:rsidRPr="00A164DF">
        <w:t xml:space="preserve"> </w:t>
      </w:r>
      <w:r>
        <w:t>was considered</w:t>
      </w:r>
      <w:r w:rsidRPr="00A164DF">
        <w:t xml:space="preserve"> acceptable.</w:t>
      </w:r>
    </w:p>
    <w:p w14:paraId="30EE31F5" w14:textId="5BCAB36A" w:rsidR="00A1456E" w:rsidRDefault="00A1456E" w:rsidP="00B411B6">
      <w:r w:rsidRPr="00A164DF">
        <w:t xml:space="preserve">Sufficient evidence was provided to demonstrate that the risks related to adventitious agents in the manufacturing of </w:t>
      </w:r>
      <w:proofErr w:type="spellStart"/>
      <w:r w:rsidRPr="00A164DF">
        <w:t>O</w:t>
      </w:r>
      <w:r w:rsidR="002A1EC6">
        <w:t>pdualag</w:t>
      </w:r>
      <w:proofErr w:type="spellEnd"/>
      <w:r w:rsidRPr="00A164DF">
        <w:t xml:space="preserve"> have been managed to an acceptable level. An e</w:t>
      </w:r>
      <w:r w:rsidRPr="009501A1">
        <w:t xml:space="preserve">valuation of sterility </w:t>
      </w:r>
      <w:r w:rsidRPr="00763EDC">
        <w:rPr>
          <w:lang w:val="en-US"/>
        </w:rPr>
        <w:t>aspects</w:t>
      </w:r>
      <w:r w:rsidRPr="009501A1">
        <w:t xml:space="preserve"> concluded </w:t>
      </w:r>
      <w:r w:rsidRPr="00A164DF">
        <w:t xml:space="preserve">that there were no objections from a microbiological perspective to approval of the application to register </w:t>
      </w:r>
      <w:proofErr w:type="spellStart"/>
      <w:r w:rsidRPr="00A164DF">
        <w:t>O</w:t>
      </w:r>
      <w:r w:rsidR="002A1EC6">
        <w:t>pdualag</w:t>
      </w:r>
      <w:proofErr w:type="spellEnd"/>
      <w:r w:rsidRPr="00A164DF">
        <w:t>.</w:t>
      </w:r>
      <w:r w:rsidRPr="009501A1">
        <w:t xml:space="preserve"> </w:t>
      </w:r>
      <w:bookmarkStart w:id="61" w:name="_Hlk111633901"/>
      <w:r>
        <w:t>Container safety aspects were adequate</w:t>
      </w:r>
      <w:r w:rsidRPr="00AA47E6">
        <w:t>.</w:t>
      </w:r>
      <w:bookmarkEnd w:id="61"/>
    </w:p>
    <w:p w14:paraId="3CFF5035" w14:textId="5F08D037" w:rsidR="00A1456E" w:rsidRPr="009501A1" w:rsidRDefault="00A1456E" w:rsidP="00B411B6">
      <w:r w:rsidRPr="009501A1">
        <w:t>Standard quality</w:t>
      </w:r>
      <w:r w:rsidR="00E14559">
        <w:t>-</w:t>
      </w:r>
      <w:r w:rsidRPr="009501A1">
        <w:t>related conditions of registration are proposed.</w:t>
      </w:r>
    </w:p>
    <w:p w14:paraId="2BE90AAE" w14:textId="77777777" w:rsidR="00C22214" w:rsidRDefault="00C22214" w:rsidP="00C22214">
      <w:pPr>
        <w:pStyle w:val="Heading3"/>
      </w:pPr>
      <w:bookmarkStart w:id="62" w:name="_Toc314842512"/>
      <w:bookmarkStart w:id="63" w:name="_Toc103679296"/>
      <w:bookmarkStart w:id="64" w:name="_Toc154134522"/>
      <w:r>
        <w:t>Nonclinical</w:t>
      </w:r>
      <w:bookmarkEnd w:id="62"/>
      <w:bookmarkEnd w:id="63"/>
      <w:bookmarkEnd w:id="64"/>
    </w:p>
    <w:p w14:paraId="0C72EB9F" w14:textId="5381C0B2" w:rsidR="004E7F82" w:rsidRDefault="004E7F82" w:rsidP="004E7F82">
      <w:r w:rsidRPr="00970CEE">
        <w:t xml:space="preserve">The </w:t>
      </w:r>
      <w:r>
        <w:t xml:space="preserve">submitted </w:t>
      </w:r>
      <w:r w:rsidRPr="00970CEE">
        <w:t xml:space="preserve">nonclinical </w:t>
      </w:r>
      <w:r>
        <w:t>data support the following</w:t>
      </w:r>
      <w:bookmarkStart w:id="65" w:name="_Ref106305506"/>
      <w:r>
        <w:t xml:space="preserve"> statements</w:t>
      </w:r>
      <w:r w:rsidR="003A14B7">
        <w:t xml:space="preserve"> for </w:t>
      </w:r>
      <w:proofErr w:type="spellStart"/>
      <w:r w:rsidR="003A14B7">
        <w:t>relatlimab</w:t>
      </w:r>
      <w:proofErr w:type="spellEnd"/>
      <w:r>
        <w:t>.</w:t>
      </w:r>
      <w:bookmarkEnd w:id="65"/>
    </w:p>
    <w:p w14:paraId="2FC5FA9F" w14:textId="70AF4DBD" w:rsidR="004E7F82" w:rsidRPr="003A14B7" w:rsidRDefault="004E7F82" w:rsidP="003A14B7">
      <w:pPr>
        <w:pStyle w:val="ListBullet"/>
        <w:rPr>
          <w:i/>
          <w:iCs/>
        </w:rPr>
      </w:pPr>
      <w:r w:rsidRPr="003A14B7">
        <w:rPr>
          <w:i/>
          <w:iCs/>
        </w:rPr>
        <w:t>In vitro</w:t>
      </w:r>
      <w:r w:rsidR="003A14B7">
        <w:rPr>
          <w:i/>
          <w:iCs/>
        </w:rPr>
        <w:t xml:space="preserve">, </w:t>
      </w:r>
      <w:proofErr w:type="spellStart"/>
      <w:r w:rsidR="003A14B7">
        <w:t>relatlimab</w:t>
      </w:r>
      <w:proofErr w:type="spellEnd"/>
      <w:r w:rsidR="003A14B7">
        <w:t>:</w:t>
      </w:r>
    </w:p>
    <w:p w14:paraId="592C60A7" w14:textId="5446B967" w:rsidR="004E7F82" w:rsidRDefault="003A14B7" w:rsidP="003A14B7">
      <w:pPr>
        <w:pStyle w:val="ListBullet2"/>
      </w:pPr>
      <w:r>
        <w:t>b</w:t>
      </w:r>
      <w:r w:rsidR="004E7F82">
        <w:t>ound t</w:t>
      </w:r>
      <w:r w:rsidR="004E7F82" w:rsidRPr="00CA4A1B">
        <w:t xml:space="preserve">he </w:t>
      </w:r>
      <w:r w:rsidR="004E7F82" w:rsidRPr="00BE2C74">
        <w:t xml:space="preserve">D1 domain of human LAG-3 </w:t>
      </w:r>
      <w:r w:rsidR="004E7F82">
        <w:t xml:space="preserve">with a </w:t>
      </w:r>
      <w:r>
        <w:t>dissociation constant</w:t>
      </w:r>
      <w:r w:rsidR="004E7F82" w:rsidRPr="00BE2C74">
        <w:t xml:space="preserve"> </w:t>
      </w:r>
      <w:r w:rsidR="004E7F82">
        <w:t xml:space="preserve">of </w:t>
      </w:r>
      <w:r w:rsidR="004E7F82" w:rsidRPr="00BE2C74">
        <w:t>0.12</w:t>
      </w:r>
      <w:r w:rsidR="006A4D3C">
        <w:t> </w:t>
      </w:r>
      <w:proofErr w:type="spellStart"/>
      <w:r w:rsidR="004E7F82" w:rsidRPr="00BE2C74">
        <w:t>nM</w:t>
      </w:r>
      <w:proofErr w:type="spellEnd"/>
      <w:r w:rsidR="004E7F82">
        <w:t>; r</w:t>
      </w:r>
      <w:r w:rsidR="004E7F82" w:rsidRPr="00BE2C74">
        <w:t>ecombinant human LAG</w:t>
      </w:r>
      <w:r>
        <w:noBreakHyphen/>
      </w:r>
      <w:r w:rsidR="004E7F82" w:rsidRPr="00BE2C74">
        <w:t>3</w:t>
      </w:r>
      <w:r>
        <w:noBreakHyphen/>
      </w:r>
      <w:r w:rsidR="004E7F82" w:rsidRPr="00BE2C74">
        <w:t xml:space="preserve">mFc fusion protein </w:t>
      </w:r>
      <w:r w:rsidR="004E7F82">
        <w:t xml:space="preserve">with a </w:t>
      </w:r>
      <w:r w:rsidRPr="003A14B7">
        <w:t>half</w:t>
      </w:r>
      <w:r w:rsidR="00567387">
        <w:t>-</w:t>
      </w:r>
      <w:r w:rsidRPr="003A14B7">
        <w:t>maximal effective concentration</w:t>
      </w:r>
      <w:r>
        <w:t xml:space="preserve"> (</w:t>
      </w:r>
      <w:r w:rsidR="004E7F82" w:rsidRPr="00BE2C74">
        <w:t>EC</w:t>
      </w:r>
      <w:r w:rsidR="004E7F82" w:rsidRPr="00CA4A1B">
        <w:rPr>
          <w:vertAlign w:val="subscript"/>
        </w:rPr>
        <w:t>50</w:t>
      </w:r>
      <w:r>
        <w:t xml:space="preserve">) </w:t>
      </w:r>
      <w:r w:rsidR="004E7F82">
        <w:t>of</w:t>
      </w:r>
      <w:r w:rsidR="004E7F82" w:rsidRPr="00BE2C74">
        <w:t xml:space="preserve"> 0.49 </w:t>
      </w:r>
      <w:proofErr w:type="spellStart"/>
      <w:r w:rsidR="004E7F82" w:rsidRPr="00BE2C74">
        <w:t>nM</w:t>
      </w:r>
      <w:proofErr w:type="spellEnd"/>
      <w:r w:rsidR="004E7F82">
        <w:t xml:space="preserve">; and </w:t>
      </w:r>
      <w:r w:rsidR="004E7F82" w:rsidRPr="00BE2C74">
        <w:t>LAG</w:t>
      </w:r>
      <w:r>
        <w:noBreakHyphen/>
      </w:r>
      <w:r w:rsidR="004E7F82" w:rsidRPr="00BE2C74">
        <w:t>3 in activated human T</w:t>
      </w:r>
      <w:r w:rsidR="006A4D3C">
        <w:t>-</w:t>
      </w:r>
      <w:r w:rsidR="004E7F82" w:rsidRPr="00BE2C74">
        <w:t xml:space="preserve">cells </w:t>
      </w:r>
      <w:r w:rsidR="004E7F82">
        <w:t xml:space="preserve">with a </w:t>
      </w:r>
      <w:r>
        <w:t>dissociation constant</w:t>
      </w:r>
      <w:r w:rsidR="004E7F82" w:rsidRPr="00BE2C74">
        <w:t xml:space="preserve"> </w:t>
      </w:r>
      <w:r w:rsidR="004E7F82">
        <w:t>of</w:t>
      </w:r>
      <w:r w:rsidR="004E7F82" w:rsidRPr="00BE2C74">
        <w:t xml:space="preserve"> 0.51 </w:t>
      </w:r>
      <w:proofErr w:type="spellStart"/>
      <w:proofErr w:type="gramStart"/>
      <w:r w:rsidR="004E7F82" w:rsidRPr="00BE2C74">
        <w:t>nM</w:t>
      </w:r>
      <w:proofErr w:type="spellEnd"/>
      <w:proofErr w:type="gramEnd"/>
    </w:p>
    <w:p w14:paraId="1684DE08" w14:textId="04093AF0" w:rsidR="004E7F82" w:rsidRDefault="003A14B7" w:rsidP="003A14B7">
      <w:pPr>
        <w:pStyle w:val="ListBullet2"/>
      </w:pPr>
      <w:r>
        <w:t>i</w:t>
      </w:r>
      <w:r w:rsidR="004E7F82">
        <w:t>nhibited</w:t>
      </w:r>
      <w:r w:rsidR="004E7F82" w:rsidRPr="00BE2C74">
        <w:t xml:space="preserve"> interaction</w:t>
      </w:r>
      <w:r w:rsidR="004E7F82">
        <w:t xml:space="preserve"> between</w:t>
      </w:r>
      <w:r w:rsidR="004E7F82" w:rsidRPr="00BE2C74">
        <w:t xml:space="preserve"> LAG-3 </w:t>
      </w:r>
      <w:r w:rsidR="004E7F82">
        <w:t>and</w:t>
      </w:r>
      <w:r w:rsidR="004E7F82" w:rsidRPr="00BE2C74">
        <w:t xml:space="preserve"> MHC </w:t>
      </w:r>
      <w:r w:rsidR="0025152D">
        <w:t>C</w:t>
      </w:r>
      <w:r w:rsidR="004E7F82" w:rsidRPr="00BE2C74">
        <w:t xml:space="preserve">lass II </w:t>
      </w:r>
      <w:r w:rsidR="004E7F82">
        <w:t xml:space="preserve">at an </w:t>
      </w:r>
      <w:r w:rsidR="004E7F82" w:rsidRPr="00BE2C74">
        <w:t>EC</w:t>
      </w:r>
      <w:r w:rsidR="004E7F82" w:rsidRPr="00CA4A1B">
        <w:rPr>
          <w:vertAlign w:val="subscript"/>
        </w:rPr>
        <w:t>50</w:t>
      </w:r>
      <w:r w:rsidR="004E7F82" w:rsidRPr="00BE2C74">
        <w:t xml:space="preserve"> of 0.67 </w:t>
      </w:r>
      <w:proofErr w:type="spellStart"/>
      <w:r w:rsidR="004E7F82" w:rsidRPr="00BE2C74">
        <w:t>nM</w:t>
      </w:r>
      <w:proofErr w:type="spellEnd"/>
      <w:r w:rsidR="004E7F82">
        <w:t>;</w:t>
      </w:r>
      <w:r w:rsidR="004E7F82" w:rsidRPr="00BE2C74">
        <w:t xml:space="preserve"> </w:t>
      </w:r>
      <w:r w:rsidR="004E7F82">
        <w:t xml:space="preserve">and between </w:t>
      </w:r>
      <w:r w:rsidR="004E7F82" w:rsidRPr="00735D03">
        <w:t>LAG</w:t>
      </w:r>
      <w:r w:rsidR="00735D03" w:rsidRPr="00735D03">
        <w:noBreakHyphen/>
      </w:r>
      <w:r w:rsidR="004E7F82" w:rsidRPr="00735D03">
        <w:t xml:space="preserve">3 </w:t>
      </w:r>
      <w:r w:rsidR="004E7F82">
        <w:t xml:space="preserve">and </w:t>
      </w:r>
      <w:r w:rsidR="004E7F82" w:rsidRPr="00BE2C74">
        <w:t xml:space="preserve">fibrinogen-like protein 1 </w:t>
      </w:r>
      <w:r w:rsidR="004E7F82">
        <w:t xml:space="preserve">at an </w:t>
      </w:r>
      <w:r w:rsidR="004E7F82" w:rsidRPr="00BE2C74">
        <w:t>EC</w:t>
      </w:r>
      <w:r w:rsidR="004E7F82" w:rsidRPr="00CA4A1B">
        <w:rPr>
          <w:vertAlign w:val="subscript"/>
        </w:rPr>
        <w:t>50</w:t>
      </w:r>
      <w:r w:rsidR="004E7F82" w:rsidRPr="00BE2C74">
        <w:t xml:space="preserve"> of 0.02 </w:t>
      </w:r>
      <w:proofErr w:type="spellStart"/>
      <w:proofErr w:type="gramStart"/>
      <w:r w:rsidR="004E7F82" w:rsidRPr="00BE2C74">
        <w:t>nM</w:t>
      </w:r>
      <w:proofErr w:type="spellEnd"/>
      <w:proofErr w:type="gramEnd"/>
    </w:p>
    <w:p w14:paraId="024699F3" w14:textId="71662959" w:rsidR="004E7F82" w:rsidRDefault="0025152D" w:rsidP="003A14B7">
      <w:pPr>
        <w:pStyle w:val="ListBullet2"/>
      </w:pPr>
      <w:r>
        <w:t>s</w:t>
      </w:r>
      <w:r w:rsidR="004E7F82">
        <w:t xml:space="preserve">timulated </w:t>
      </w:r>
      <w:r w:rsidR="004E7F82" w:rsidRPr="00BE2C74">
        <w:t>T</w:t>
      </w:r>
      <w:r w:rsidR="006A4D3C">
        <w:t>-</w:t>
      </w:r>
      <w:r w:rsidR="004E7F82" w:rsidRPr="00BE2C74">
        <w:t>cell activation in human LAG-3 T</w:t>
      </w:r>
      <w:r w:rsidR="006A4D3C">
        <w:t>-</w:t>
      </w:r>
      <w:r w:rsidR="004E7F82" w:rsidRPr="00BE2C74">
        <w:t>cell hybridoma 349 cells (EC</w:t>
      </w:r>
      <w:r w:rsidR="004E7F82" w:rsidRPr="008A726B">
        <w:rPr>
          <w:vertAlign w:val="subscript"/>
        </w:rPr>
        <w:t>50</w:t>
      </w:r>
      <w:r w:rsidR="004E7F82" w:rsidRPr="00BE2C74">
        <w:t xml:space="preserve"> 1.05</w:t>
      </w:r>
      <w:r w:rsidR="006A4D3C">
        <w:noBreakHyphen/>
      </w:r>
      <w:r w:rsidR="004E7F82" w:rsidRPr="00BE2C74">
        <w:t>1.39</w:t>
      </w:r>
      <w:r>
        <w:t> </w:t>
      </w:r>
      <w:proofErr w:type="spellStart"/>
      <w:r w:rsidR="004E7F82" w:rsidRPr="00BE2C74">
        <w:t>nM</w:t>
      </w:r>
      <w:proofErr w:type="spellEnd"/>
      <w:r w:rsidR="004E7F82" w:rsidRPr="00BE2C74">
        <w:t>)</w:t>
      </w:r>
      <w:r w:rsidR="004E7F82">
        <w:t xml:space="preserve"> when</w:t>
      </w:r>
      <w:r w:rsidR="004E7F82" w:rsidRPr="00BE2C74">
        <w:t xml:space="preserve"> co-cultured with MHC</w:t>
      </w:r>
      <w:r>
        <w:t xml:space="preserve"> Class </w:t>
      </w:r>
      <w:r w:rsidR="004E7F82" w:rsidRPr="00BE2C74">
        <w:t xml:space="preserve">II matched antigen-presenting </w:t>
      </w:r>
      <w:proofErr w:type="gramStart"/>
      <w:r w:rsidR="004E7F82" w:rsidRPr="00BE2C74">
        <w:t>cells</w:t>
      </w:r>
      <w:proofErr w:type="gramEnd"/>
    </w:p>
    <w:p w14:paraId="698CA5DD" w14:textId="774D2953" w:rsidR="004E7F82" w:rsidRDefault="0025152D" w:rsidP="003A14B7">
      <w:pPr>
        <w:pStyle w:val="ListBullet2"/>
      </w:pPr>
      <w:r>
        <w:t>d</w:t>
      </w:r>
      <w:r w:rsidR="004E7F82">
        <w:t>id not induce</w:t>
      </w:r>
      <w:r w:rsidR="004E7F82" w:rsidRPr="00984102">
        <w:t xml:space="preserve"> antibody-dependent cellular toxicity or complement-dependent cytotoxicity </w:t>
      </w:r>
      <w:r w:rsidR="004E7F82">
        <w:t>on LAG-3+ activated human T</w:t>
      </w:r>
      <w:r w:rsidR="006A4D3C">
        <w:t>-</w:t>
      </w:r>
      <w:proofErr w:type="gramStart"/>
      <w:r w:rsidR="004E7F82">
        <w:t>cells</w:t>
      </w:r>
      <w:proofErr w:type="gramEnd"/>
    </w:p>
    <w:p w14:paraId="53C3FE08" w14:textId="1D93AF04" w:rsidR="004E7F82" w:rsidRDefault="0025152D" w:rsidP="003A14B7">
      <w:pPr>
        <w:pStyle w:val="ListBullet2"/>
      </w:pPr>
      <w:r>
        <w:t>d</w:t>
      </w:r>
      <w:r w:rsidR="004E7F82">
        <w:t>id not significantly induce</w:t>
      </w:r>
      <w:r w:rsidR="004E7F82" w:rsidRPr="001A419C">
        <w:t xml:space="preserve"> T</w:t>
      </w:r>
      <w:r w:rsidR="004E7F82">
        <w:t>-cell</w:t>
      </w:r>
      <w:r w:rsidR="004E7F82" w:rsidRPr="001A419C">
        <w:t>, B</w:t>
      </w:r>
      <w:r w:rsidR="004E7F82">
        <w:t>-cell</w:t>
      </w:r>
      <w:r w:rsidR="004E7F82" w:rsidRPr="001A419C">
        <w:t xml:space="preserve">, </w:t>
      </w:r>
      <w:r w:rsidR="004E7F82">
        <w:t xml:space="preserve">or </w:t>
      </w:r>
      <w:r>
        <w:t>natural killer</w:t>
      </w:r>
      <w:r w:rsidR="004E7F82" w:rsidRPr="001A419C">
        <w:t xml:space="preserve"> </w:t>
      </w:r>
      <w:r w:rsidR="004E7F82">
        <w:t xml:space="preserve">cell </w:t>
      </w:r>
      <w:r w:rsidR="004E7F82" w:rsidRPr="001A419C">
        <w:t>activation or cytokine release</w:t>
      </w:r>
      <w:r w:rsidR="004E7F82">
        <w:t xml:space="preserve"> in human peripheral blood mononuclear cells, alone or in combination with nivolumab.</w:t>
      </w:r>
    </w:p>
    <w:p w14:paraId="39E1168E" w14:textId="77777777" w:rsidR="003A14B7" w:rsidRPr="0016783B" w:rsidRDefault="003A14B7" w:rsidP="003A14B7">
      <w:pPr>
        <w:pStyle w:val="ListBullet"/>
      </w:pPr>
      <w:r w:rsidRPr="00D51324">
        <w:t>No off</w:t>
      </w:r>
      <w:r>
        <w:t>-</w:t>
      </w:r>
      <w:r w:rsidRPr="00D51324">
        <w:t>target</w:t>
      </w:r>
      <w:r>
        <w:t xml:space="preserve"> effect</w:t>
      </w:r>
      <w:r w:rsidRPr="00D51324">
        <w:t>s</w:t>
      </w:r>
      <w:r>
        <w:t xml:space="preserve"> or interaction with </w:t>
      </w:r>
      <w:proofErr w:type="spellStart"/>
      <w:r>
        <w:t>hERG</w:t>
      </w:r>
      <w:proofErr w:type="spellEnd"/>
      <w:r>
        <w:t xml:space="preserve"> channels</w:t>
      </w:r>
      <w:r w:rsidRPr="00D51324">
        <w:t xml:space="preserve"> are expected </w:t>
      </w:r>
      <w:r>
        <w:t xml:space="preserve">with </w:t>
      </w:r>
      <w:proofErr w:type="spellStart"/>
      <w:r>
        <w:t>relatlimab</w:t>
      </w:r>
      <w:proofErr w:type="spellEnd"/>
      <w:r>
        <w:t xml:space="preserve"> as it is a monoclonal antibody.</w:t>
      </w:r>
    </w:p>
    <w:p w14:paraId="20F55538" w14:textId="45ADF0A3" w:rsidR="004E7F82" w:rsidRPr="002D5200" w:rsidRDefault="004E7F82" w:rsidP="0025152D">
      <w:pPr>
        <w:pStyle w:val="ListBullet"/>
      </w:pPr>
      <w:r w:rsidRPr="008A726B">
        <w:rPr>
          <w:i/>
          <w:iCs/>
        </w:rPr>
        <w:t xml:space="preserve">In vivo, </w:t>
      </w:r>
      <w:r w:rsidRPr="00BD174C">
        <w:t>i</w:t>
      </w:r>
      <w:r w:rsidRPr="00E84913">
        <w:t>n syngeneic mouse tumo</w:t>
      </w:r>
      <w:r>
        <w:t>u</w:t>
      </w:r>
      <w:r w:rsidRPr="00E84913">
        <w:t>r model</w:t>
      </w:r>
      <w:r>
        <w:t>s (</w:t>
      </w:r>
      <w:r w:rsidRPr="00870D5F">
        <w:t>MC38 colon adenocarcinoma and Sa1N fibrosarcoma),</w:t>
      </w:r>
      <w:r w:rsidRPr="00E84913">
        <w:t xml:space="preserve"> </w:t>
      </w:r>
      <w:r>
        <w:t xml:space="preserve">nivolumab and </w:t>
      </w:r>
      <w:proofErr w:type="spellStart"/>
      <w:r>
        <w:t>relatlimab</w:t>
      </w:r>
      <w:proofErr w:type="spellEnd"/>
      <w:r>
        <w:t xml:space="preserve"> inhibited tumour growth more when given in combination than compared to either one given as a monotherapy.</w:t>
      </w:r>
    </w:p>
    <w:p w14:paraId="031E2E3C" w14:textId="3AA429F2" w:rsidR="004E7F82" w:rsidRPr="00395365" w:rsidRDefault="004E7F82" w:rsidP="0025152D">
      <w:pPr>
        <w:pStyle w:val="ListBullet"/>
        <w:rPr>
          <w:kern w:val="2"/>
        </w:rPr>
      </w:pPr>
      <w:bookmarkStart w:id="66" w:name="OLE_LINK1"/>
      <w:r>
        <w:t>In a 4-week intravenous r</w:t>
      </w:r>
      <w:r w:rsidRPr="00901EA6">
        <w:t>epeat-dose toxicity stud</w:t>
      </w:r>
      <w:r>
        <w:t xml:space="preserve">y, moderate inflammation of the central nervous system </w:t>
      </w:r>
      <w:r w:rsidR="0025152D">
        <w:t xml:space="preserve">(CNS) </w:t>
      </w:r>
      <w:r>
        <w:t xml:space="preserve">(including </w:t>
      </w:r>
      <w:r w:rsidRPr="00C27D6B">
        <w:t>spinal cord</w:t>
      </w:r>
      <w:r>
        <w:t>,</w:t>
      </w:r>
      <w:r w:rsidRPr="00C27D6B">
        <w:t xml:space="preserve"> perivascular </w:t>
      </w:r>
      <w:r>
        <w:t xml:space="preserve">brain </w:t>
      </w:r>
      <w:r w:rsidRPr="00C27D6B">
        <w:t>parenchyma, choroid plexus, and meninges)</w:t>
      </w:r>
      <w:r>
        <w:t xml:space="preserve"> and CNS vasculitis resulting in moribundity were seen </w:t>
      </w:r>
      <w:r w:rsidRPr="00901EA6">
        <w:t>in Cynomolgus monkeys</w:t>
      </w:r>
      <w:r>
        <w:t xml:space="preserve"> who received ni</w:t>
      </w:r>
      <w:r w:rsidRPr="00C27D6B">
        <w:t xml:space="preserve">volumab </w:t>
      </w:r>
      <w:r>
        <w:t>in combination with</w:t>
      </w:r>
      <w:r w:rsidRPr="00C27D6B">
        <w:t xml:space="preserve"> </w:t>
      </w:r>
      <w:proofErr w:type="spellStart"/>
      <w:r w:rsidRPr="00C27D6B">
        <w:t>relatlimab</w:t>
      </w:r>
      <w:proofErr w:type="spellEnd"/>
      <w:r w:rsidRPr="00C27D6B">
        <w:t xml:space="preserve"> </w:t>
      </w:r>
      <w:r>
        <w:t>at exposures 3 and 27 times, respectively, the human exposure (by steady</w:t>
      </w:r>
      <w:r w:rsidR="00901FA0">
        <w:t xml:space="preserve"> </w:t>
      </w:r>
      <w:r>
        <w:t xml:space="preserve">state </w:t>
      </w:r>
      <w:r w:rsidR="00C32FDF" w:rsidRPr="00C32FDF">
        <w:t>area under the concentration versus time curve</w:t>
      </w:r>
      <w:r w:rsidR="00C32FDF">
        <w:t xml:space="preserve"> (</w:t>
      </w:r>
      <w:r>
        <w:t>AUC</w:t>
      </w:r>
      <w:r w:rsidR="00C32FDF">
        <w:t>)</w:t>
      </w:r>
      <w:r>
        <w:t>) at the recommended dose.</w:t>
      </w:r>
      <w:r>
        <w:rPr>
          <w:kern w:val="2"/>
        </w:rPr>
        <w:t xml:space="preserve">. These data </w:t>
      </w:r>
      <w:r w:rsidR="005E149D">
        <w:rPr>
          <w:kern w:val="2"/>
        </w:rPr>
        <w:t xml:space="preserve">indicate </w:t>
      </w:r>
      <w:r>
        <w:rPr>
          <w:kern w:val="2"/>
        </w:rPr>
        <w:t>immune</w:t>
      </w:r>
      <w:r w:rsidR="00630E7F">
        <w:rPr>
          <w:kern w:val="2"/>
        </w:rPr>
        <w:t>-</w:t>
      </w:r>
      <w:r>
        <w:rPr>
          <w:kern w:val="2"/>
        </w:rPr>
        <w:t xml:space="preserve">mediated CNS toxicity </w:t>
      </w:r>
      <w:r w:rsidR="005E149D">
        <w:rPr>
          <w:kern w:val="2"/>
        </w:rPr>
        <w:t xml:space="preserve">can occur </w:t>
      </w:r>
      <w:r>
        <w:rPr>
          <w:kern w:val="2"/>
        </w:rPr>
        <w:t xml:space="preserve">in monkeys when </w:t>
      </w:r>
      <w:proofErr w:type="spellStart"/>
      <w:r>
        <w:rPr>
          <w:kern w:val="2"/>
        </w:rPr>
        <w:t>relatlimab</w:t>
      </w:r>
      <w:proofErr w:type="spellEnd"/>
      <w:r>
        <w:rPr>
          <w:kern w:val="2"/>
        </w:rPr>
        <w:t xml:space="preserve"> is added to nivolumab</w:t>
      </w:r>
      <w:r w:rsidR="00630E7F">
        <w:rPr>
          <w:kern w:val="2"/>
        </w:rPr>
        <w:t>.</w:t>
      </w:r>
      <w:r w:rsidR="00654902">
        <w:rPr>
          <w:kern w:val="2"/>
        </w:rPr>
        <w:t xml:space="preserve"> </w:t>
      </w:r>
      <w:r w:rsidR="00630E7F">
        <w:rPr>
          <w:kern w:val="2"/>
        </w:rPr>
        <w:t xml:space="preserve">As a result, </w:t>
      </w:r>
      <w:r>
        <w:rPr>
          <w:kern w:val="2"/>
        </w:rPr>
        <w:t xml:space="preserve">CNS events were given specific </w:t>
      </w:r>
      <w:r w:rsidR="00630E7F">
        <w:rPr>
          <w:kern w:val="2"/>
        </w:rPr>
        <w:t xml:space="preserve">attention </w:t>
      </w:r>
      <w:r>
        <w:rPr>
          <w:kern w:val="2"/>
        </w:rPr>
        <w:t>in the clinical review.</w:t>
      </w:r>
    </w:p>
    <w:p w14:paraId="37E0682C" w14:textId="7E34E757" w:rsidR="004E7F82" w:rsidRDefault="004E7F82" w:rsidP="0025152D">
      <w:pPr>
        <w:pStyle w:val="ListBullet"/>
        <w:rPr>
          <w:kern w:val="2"/>
        </w:rPr>
      </w:pPr>
      <w:r w:rsidRPr="00DE3847">
        <w:t xml:space="preserve">No genotoxicity or carcinogenicity studies were submitted. Given the protein nature of the </w:t>
      </w:r>
      <w:r w:rsidR="00C32FDF">
        <w:t>medicine</w:t>
      </w:r>
      <w:r w:rsidRPr="00DE3847">
        <w:t xml:space="preserve"> and the proposed indication, this is considered acceptable</w:t>
      </w:r>
      <w:r>
        <w:t>.</w:t>
      </w:r>
    </w:p>
    <w:p w14:paraId="3709388E" w14:textId="77777777" w:rsidR="004E7F82" w:rsidRDefault="004E7F82" w:rsidP="0025152D">
      <w:pPr>
        <w:pStyle w:val="ListBullet"/>
      </w:pPr>
      <w:r>
        <w:t xml:space="preserve">Fertility, </w:t>
      </w:r>
      <w:proofErr w:type="gramStart"/>
      <w:r>
        <w:t>pregnancy</w:t>
      </w:r>
      <w:proofErr w:type="gramEnd"/>
      <w:r>
        <w:t xml:space="preserve"> and lactation:</w:t>
      </w:r>
    </w:p>
    <w:p w14:paraId="77CB5E86" w14:textId="4FE4E487" w:rsidR="004E7F82" w:rsidRPr="005B229F" w:rsidRDefault="004E7F82" w:rsidP="00C32FDF">
      <w:pPr>
        <w:pStyle w:val="ListBullet2"/>
        <w:rPr>
          <w:kern w:val="2"/>
        </w:rPr>
      </w:pPr>
      <w:r>
        <w:lastRenderedPageBreak/>
        <w:t>In accordance with ICH guideline S9,</w:t>
      </w:r>
      <w:r w:rsidR="00C32FDF">
        <w:rPr>
          <w:rStyle w:val="FootnoteReference"/>
        </w:rPr>
        <w:footnoteReference w:id="71"/>
      </w:r>
      <w:r>
        <w:t xml:space="preserve"> no </w:t>
      </w:r>
      <w:r w:rsidRPr="00470583">
        <w:t xml:space="preserve">studies of fertility and early embryonic development </w:t>
      </w:r>
      <w:r w:rsidR="00C32FDF">
        <w:t xml:space="preserve">or </w:t>
      </w:r>
      <w:r w:rsidRPr="00470583">
        <w:t xml:space="preserve">pre-postnatal development were conducted with </w:t>
      </w:r>
      <w:proofErr w:type="spellStart"/>
      <w:r w:rsidRPr="00470583">
        <w:t>relatlimab</w:t>
      </w:r>
      <w:proofErr w:type="spellEnd"/>
      <w:r w:rsidRPr="00470583">
        <w:t>.</w:t>
      </w:r>
      <w:r w:rsidRPr="005B229F">
        <w:rPr>
          <w:szCs w:val="18"/>
        </w:rPr>
        <w:t xml:space="preserve"> </w:t>
      </w:r>
      <w:r>
        <w:t>In a 4</w:t>
      </w:r>
      <w:r w:rsidR="006A4D3C">
        <w:noBreakHyphen/>
      </w:r>
      <w:r>
        <w:t>week intravenous r</w:t>
      </w:r>
      <w:r w:rsidRPr="00901EA6">
        <w:t>epeat</w:t>
      </w:r>
      <w:r w:rsidR="006A4D3C">
        <w:t xml:space="preserve"> </w:t>
      </w:r>
      <w:r w:rsidRPr="00901EA6">
        <w:t>dose toxicity stud</w:t>
      </w:r>
      <w:r>
        <w:t>y, m</w:t>
      </w:r>
      <w:r w:rsidRPr="005B229F">
        <w:rPr>
          <w:szCs w:val="18"/>
        </w:rPr>
        <w:t>ixed</w:t>
      </w:r>
      <w:r w:rsidR="006A4D3C">
        <w:rPr>
          <w:szCs w:val="18"/>
        </w:rPr>
        <w:t xml:space="preserve"> </w:t>
      </w:r>
      <w:r w:rsidRPr="005B229F">
        <w:rPr>
          <w:szCs w:val="18"/>
        </w:rPr>
        <w:t xml:space="preserve">cell inflammation of the epididymis, seminal vesicles, testes, and mineralisation of seminal vesicles were seen in </w:t>
      </w:r>
      <w:r w:rsidRPr="00901EA6">
        <w:t>Cynomolgus monkeys</w:t>
      </w:r>
      <w:r>
        <w:t xml:space="preserve"> who received ni</w:t>
      </w:r>
      <w:r w:rsidRPr="00C27D6B">
        <w:t xml:space="preserve">volumab </w:t>
      </w:r>
      <w:r>
        <w:t>in combination with</w:t>
      </w:r>
      <w:r w:rsidRPr="00C27D6B">
        <w:t xml:space="preserve"> </w:t>
      </w:r>
      <w:proofErr w:type="spellStart"/>
      <w:r w:rsidRPr="00C27D6B">
        <w:t>relatlimab</w:t>
      </w:r>
      <w:proofErr w:type="spellEnd"/>
      <w:r w:rsidRPr="00C27D6B">
        <w:t xml:space="preserve"> </w:t>
      </w:r>
      <w:r>
        <w:t>at exposures 3 and 27 times, respectively, the human exposure (by steady</w:t>
      </w:r>
      <w:r w:rsidR="006A4D3C">
        <w:t xml:space="preserve"> </w:t>
      </w:r>
      <w:r>
        <w:t>state AUC) at the recommended dose.</w:t>
      </w:r>
    </w:p>
    <w:bookmarkEnd w:id="66"/>
    <w:p w14:paraId="4FF62AB2" w14:textId="2D5101C2" w:rsidR="004E7F82" w:rsidRPr="005B229F" w:rsidRDefault="004E7F82" w:rsidP="00C32FDF">
      <w:pPr>
        <w:pStyle w:val="ListBullet2"/>
        <w:rPr>
          <w:kern w:val="2"/>
        </w:rPr>
      </w:pPr>
      <w:r>
        <w:t xml:space="preserve">Based on its mechanism of action, and data from earlier animal studies of nivolumab, </w:t>
      </w:r>
      <w:proofErr w:type="spellStart"/>
      <w:r>
        <w:t>relatlimab</w:t>
      </w:r>
      <w:proofErr w:type="spellEnd"/>
      <w:r>
        <w:t xml:space="preserve"> in combination with nivolumab is expected to pose a risk to </w:t>
      </w:r>
      <w:r w:rsidRPr="00C27D6B">
        <w:t xml:space="preserve">embryofetal </w:t>
      </w:r>
      <w:r>
        <w:t>development</w:t>
      </w:r>
      <w:r w:rsidRPr="00C27D6B">
        <w:t>.</w:t>
      </w:r>
      <w:r>
        <w:t xml:space="preserve"> </w:t>
      </w:r>
      <w:r w:rsidRPr="005B229F">
        <w:rPr>
          <w:kern w:val="2"/>
        </w:rPr>
        <w:t xml:space="preserve">The </w:t>
      </w:r>
      <w:r w:rsidR="004F5CB8">
        <w:rPr>
          <w:kern w:val="2"/>
        </w:rPr>
        <w:t>s</w:t>
      </w:r>
      <w:r w:rsidRPr="005B229F">
        <w:rPr>
          <w:kern w:val="2"/>
        </w:rPr>
        <w:t>ponsor has proposed Pregnancy Category D,</w:t>
      </w:r>
      <w:r w:rsidR="00C06313">
        <w:rPr>
          <w:rStyle w:val="FootnoteReference"/>
          <w:kern w:val="2"/>
        </w:rPr>
        <w:footnoteReference w:id="72"/>
      </w:r>
      <w:r w:rsidRPr="005B229F">
        <w:rPr>
          <w:kern w:val="2"/>
        </w:rPr>
        <w:t xml:space="preserve"> which is appropriate based on the above.</w:t>
      </w:r>
    </w:p>
    <w:p w14:paraId="31D0DDC9" w14:textId="1B16E1DD" w:rsidR="004E7F82" w:rsidRPr="00470583" w:rsidRDefault="004E7F82" w:rsidP="00C32FDF">
      <w:pPr>
        <w:pStyle w:val="ListBullet2"/>
        <w:rPr>
          <w:kern w:val="2"/>
        </w:rPr>
      </w:pPr>
      <w:r w:rsidRPr="00C27D6B">
        <w:t xml:space="preserve">No studies were conducted to investigate the presence of </w:t>
      </w:r>
      <w:proofErr w:type="spellStart"/>
      <w:r w:rsidRPr="00C27D6B">
        <w:t>relatlimab</w:t>
      </w:r>
      <w:proofErr w:type="spellEnd"/>
      <w:r w:rsidRPr="00C27D6B">
        <w:t xml:space="preserve"> in breast milk</w:t>
      </w:r>
      <w:r>
        <w:t xml:space="preserve"> or </w:t>
      </w:r>
      <w:r w:rsidRPr="0021001E">
        <w:t xml:space="preserve">placental transfer. As </w:t>
      </w:r>
      <w:r w:rsidR="003722FD" w:rsidRPr="0021001E">
        <w:rPr>
          <w:rFonts w:eastAsiaTheme="minorHAnsi" w:cstheme="minorBidi"/>
          <w:color w:val="auto"/>
          <w:lang w:val="en-US"/>
        </w:rPr>
        <w:t>immunoglobulin G4</w:t>
      </w:r>
      <w:r w:rsidRPr="0021001E">
        <w:t xml:space="preserve"> antibodies, both </w:t>
      </w:r>
      <w:proofErr w:type="spellStart"/>
      <w:r w:rsidRPr="0021001E">
        <w:t>relatlimab</w:t>
      </w:r>
      <w:proofErr w:type="spellEnd"/>
      <w:r w:rsidRPr="0021001E">
        <w:t xml:space="preserve"> and nivolumab</w:t>
      </w:r>
      <w:r>
        <w:t xml:space="preserve"> may cross the placenta and potentially transfer through milk during lactation</w:t>
      </w:r>
      <w:r w:rsidRPr="00C27D6B">
        <w:t>.</w:t>
      </w:r>
    </w:p>
    <w:p w14:paraId="34D929CF" w14:textId="28676EE8" w:rsidR="004E7F82" w:rsidRPr="00970CEE" w:rsidRDefault="004E7F82" w:rsidP="004E7F82">
      <w:r>
        <w:t>The nonclinical evaluation came to the followin</w:t>
      </w:r>
      <w:r w:rsidRPr="00FA7C35">
        <w:t>g conclusions:</w:t>
      </w:r>
    </w:p>
    <w:p w14:paraId="0A25B01C" w14:textId="269E3070" w:rsidR="004E7F82" w:rsidRPr="00FA7C35" w:rsidRDefault="004E7F82" w:rsidP="00C06313">
      <w:pPr>
        <w:pStyle w:val="ListBullet"/>
      </w:pPr>
      <w:r w:rsidRPr="00FA7C35">
        <w:t xml:space="preserve">No major deficiencies were identified in the </w:t>
      </w:r>
      <w:r w:rsidR="003A14B7">
        <w:t>nonclinical</w:t>
      </w:r>
      <w:r w:rsidRPr="00FA7C35">
        <w:t xml:space="preserve"> dossier. </w:t>
      </w:r>
      <w:r w:rsidR="008C205C" w:rsidRPr="008C205C">
        <w:t xml:space="preserve">No new nonclinical data </w:t>
      </w:r>
      <w:r w:rsidR="008C205C" w:rsidRPr="00FA7C35">
        <w:t>w</w:t>
      </w:r>
      <w:r w:rsidR="003A14B7">
        <w:t>ere</w:t>
      </w:r>
      <w:r w:rsidR="008C205C" w:rsidRPr="00FA7C35">
        <w:t xml:space="preserve"> submitted for nivolumab.</w:t>
      </w:r>
    </w:p>
    <w:p w14:paraId="62E1E7B4" w14:textId="77777777" w:rsidR="004E7F82" w:rsidRPr="00FA7C35" w:rsidRDefault="004E7F82" w:rsidP="00C06313">
      <w:pPr>
        <w:pStyle w:val="ListBullet"/>
      </w:pPr>
      <w:r w:rsidRPr="00FA7C35">
        <w:t>Findings from the primary pharmacology studies adequately support the proposed indication.</w:t>
      </w:r>
    </w:p>
    <w:p w14:paraId="0F82D3D0" w14:textId="45C5B1C3" w:rsidR="004E7F82" w:rsidRPr="00FA7C35" w:rsidRDefault="004E7F82" w:rsidP="00C06313">
      <w:pPr>
        <w:pStyle w:val="ListBullet"/>
      </w:pPr>
      <w:r w:rsidRPr="00FA7C35">
        <w:t xml:space="preserve">Repeat dose toxicity </w:t>
      </w:r>
      <w:r w:rsidR="00567387">
        <w:t xml:space="preserve">studies </w:t>
      </w:r>
      <w:r w:rsidRPr="00FA7C35">
        <w:t xml:space="preserve">with nivolumab and </w:t>
      </w:r>
      <w:proofErr w:type="spellStart"/>
      <w:r w:rsidRPr="00FA7C35">
        <w:t>relatlimab</w:t>
      </w:r>
      <w:proofErr w:type="spellEnd"/>
      <w:r w:rsidRPr="00FA7C35">
        <w:t xml:space="preserve"> </w:t>
      </w:r>
      <w:r w:rsidR="00567387">
        <w:t xml:space="preserve">in </w:t>
      </w:r>
      <w:r w:rsidRPr="00FA7C35">
        <w:t xml:space="preserve">combination </w:t>
      </w:r>
      <w:r w:rsidR="00567387">
        <w:t>identified</w:t>
      </w:r>
      <w:r w:rsidR="00567387" w:rsidRPr="00FA7C35">
        <w:t xml:space="preserve"> </w:t>
      </w:r>
      <w:r w:rsidRPr="00FA7C35">
        <w:t xml:space="preserve">inflammation/infiltration affecting the brain and spinal cord </w:t>
      </w:r>
      <w:r w:rsidR="00567387">
        <w:t>as a potential toxicity</w:t>
      </w:r>
      <w:r w:rsidRPr="00FA7C35">
        <w:t>.</w:t>
      </w:r>
    </w:p>
    <w:p w14:paraId="290489DC" w14:textId="75EF8D5A" w:rsidR="004E7F82" w:rsidRPr="00FA7C35" w:rsidRDefault="004E7F82" w:rsidP="00C06313">
      <w:pPr>
        <w:pStyle w:val="ListBullet"/>
      </w:pPr>
      <w:r w:rsidRPr="00FA7C35">
        <w:t xml:space="preserve">No embryofetal development studies were performed with </w:t>
      </w:r>
      <w:proofErr w:type="spellStart"/>
      <w:r w:rsidRPr="00FA7C35">
        <w:t>relatlimab</w:t>
      </w:r>
      <w:proofErr w:type="spellEnd"/>
      <w:r w:rsidRPr="00FA7C35">
        <w:t xml:space="preserve"> and based on its mechanism of action and data from animal studies of nivolumab alone and </w:t>
      </w:r>
      <w:proofErr w:type="spellStart"/>
      <w:r w:rsidRPr="00FA7C35">
        <w:t>relatlimab</w:t>
      </w:r>
      <w:proofErr w:type="spellEnd"/>
      <w:r w:rsidRPr="00FA7C35">
        <w:t xml:space="preserve"> in combination with nivolumab can cause embryo-</w:t>
      </w:r>
      <w:proofErr w:type="spellStart"/>
      <w:r w:rsidRPr="00FA7C35">
        <w:t>fetal</w:t>
      </w:r>
      <w:proofErr w:type="spellEnd"/>
      <w:r w:rsidRPr="00FA7C35">
        <w:t xml:space="preserve"> risk. Therefore, Pregnancy Category D is considered appropriate.</w:t>
      </w:r>
    </w:p>
    <w:p w14:paraId="2E2998B6" w14:textId="3B909529" w:rsidR="004E7F82" w:rsidRPr="00FA7C35" w:rsidRDefault="004E7F82" w:rsidP="00C06313">
      <w:pPr>
        <w:pStyle w:val="ListBullet"/>
      </w:pPr>
      <w:r w:rsidRPr="00FA7C35">
        <w:t xml:space="preserve">There are no nonclinical objections to approval of </w:t>
      </w:r>
      <w:r w:rsidR="00567387">
        <w:t xml:space="preserve">the </w:t>
      </w:r>
      <w:r w:rsidRPr="00FA7C35">
        <w:t xml:space="preserve">nivolumab and </w:t>
      </w:r>
      <w:proofErr w:type="spellStart"/>
      <w:r w:rsidRPr="00FA7C35">
        <w:t>relatlimab</w:t>
      </w:r>
      <w:proofErr w:type="spellEnd"/>
      <w:r w:rsidRPr="00FA7C35">
        <w:t xml:space="preserve"> </w:t>
      </w:r>
      <w:r w:rsidR="002036A4">
        <w:t>fixed</w:t>
      </w:r>
      <w:r w:rsidR="008F79EB">
        <w:t>-</w:t>
      </w:r>
      <w:r w:rsidR="002036A4">
        <w:t>dose combination</w:t>
      </w:r>
      <w:r w:rsidRPr="00FA7C35">
        <w:t xml:space="preserve"> provided the clinical studies provide adequate dosing and efficacy data.</w:t>
      </w:r>
    </w:p>
    <w:p w14:paraId="35B580A5" w14:textId="69B9BE44" w:rsidR="00C22214" w:rsidRDefault="00C22214" w:rsidP="008804CF">
      <w:pPr>
        <w:pStyle w:val="Heading3"/>
      </w:pPr>
      <w:bookmarkStart w:id="67" w:name="_Toc247691530"/>
      <w:bookmarkStart w:id="68" w:name="_Toc314842513"/>
      <w:bookmarkStart w:id="69" w:name="_Toc103679297"/>
      <w:bookmarkStart w:id="70" w:name="_Toc154134523"/>
      <w:r>
        <w:t>Clinical</w:t>
      </w:r>
      <w:bookmarkEnd w:id="67"/>
      <w:bookmarkEnd w:id="68"/>
      <w:bookmarkEnd w:id="69"/>
      <w:bookmarkEnd w:id="70"/>
    </w:p>
    <w:p w14:paraId="32B0DEDA" w14:textId="77777777" w:rsidR="00C22214" w:rsidRPr="00433318" w:rsidRDefault="00C22214" w:rsidP="00433318">
      <w:pPr>
        <w:pStyle w:val="Heading4"/>
      </w:pPr>
      <w:bookmarkStart w:id="71" w:name="_Toc98931928"/>
      <w:bookmarkStart w:id="72" w:name="_Toc154134524"/>
      <w:r>
        <w:t>Summary of clinical studies</w:t>
      </w:r>
      <w:bookmarkEnd w:id="71"/>
      <w:bookmarkEnd w:id="72"/>
    </w:p>
    <w:p w14:paraId="46622364" w14:textId="024439A9" w:rsidR="00C22214" w:rsidRPr="00BD5DBD" w:rsidRDefault="00C22214" w:rsidP="00C22214">
      <w:pPr>
        <w:rPr>
          <w:szCs w:val="22"/>
        </w:rPr>
      </w:pPr>
      <w:r w:rsidRPr="00BD5DBD">
        <w:rPr>
          <w:szCs w:val="22"/>
        </w:rPr>
        <w:t>The clinical dossier consisted of</w:t>
      </w:r>
      <w:r w:rsidR="007357B9" w:rsidRPr="00BD5DBD">
        <w:rPr>
          <w:szCs w:val="22"/>
        </w:rPr>
        <w:t>:</w:t>
      </w:r>
    </w:p>
    <w:p w14:paraId="0DA7F9FE" w14:textId="5B0A13C1" w:rsidR="008E5BBA" w:rsidRPr="008E5BBA" w:rsidRDefault="008E5BBA">
      <w:pPr>
        <w:pStyle w:val="ListBullet"/>
        <w:rPr>
          <w:szCs w:val="22"/>
        </w:rPr>
      </w:pPr>
      <w:r w:rsidRPr="0021001E">
        <w:rPr>
          <w:szCs w:val="22"/>
        </w:rPr>
        <w:t>one</w:t>
      </w:r>
      <w:r w:rsidR="00C22214" w:rsidRPr="0021001E">
        <w:rPr>
          <w:szCs w:val="22"/>
        </w:rPr>
        <w:t xml:space="preserve"> Phase I</w:t>
      </w:r>
      <w:r w:rsidRPr="0021001E">
        <w:rPr>
          <w:szCs w:val="22"/>
        </w:rPr>
        <w:t>/</w:t>
      </w:r>
      <w:proofErr w:type="spellStart"/>
      <w:r w:rsidRPr="0021001E">
        <w:rPr>
          <w:szCs w:val="22"/>
        </w:rPr>
        <w:t>IIa</w:t>
      </w:r>
      <w:proofErr w:type="spellEnd"/>
      <w:r w:rsidR="00C22214" w:rsidRPr="0021001E">
        <w:rPr>
          <w:szCs w:val="22"/>
        </w:rPr>
        <w:t xml:space="preserve"> stud</w:t>
      </w:r>
      <w:r w:rsidRPr="0021001E">
        <w:rPr>
          <w:szCs w:val="22"/>
        </w:rPr>
        <w:t xml:space="preserve">y, </w:t>
      </w:r>
      <w:r w:rsidR="006A4D3C">
        <w:rPr>
          <w:szCs w:val="22"/>
        </w:rPr>
        <w:t xml:space="preserve">Study </w:t>
      </w:r>
      <w:r w:rsidR="006A4D3C" w:rsidRPr="0021001E">
        <w:rPr>
          <w:szCs w:val="22"/>
        </w:rPr>
        <w:t>CA224020</w:t>
      </w:r>
      <w:r w:rsidR="006A4D3C">
        <w:rPr>
          <w:szCs w:val="22"/>
        </w:rPr>
        <w:t xml:space="preserve"> (also known as the </w:t>
      </w:r>
      <w:r w:rsidRPr="0021001E">
        <w:rPr>
          <w:szCs w:val="22"/>
        </w:rPr>
        <w:t>RELATIVITY-020</w:t>
      </w:r>
      <w:r w:rsidR="006A4D3C">
        <w:rPr>
          <w:szCs w:val="22"/>
        </w:rPr>
        <w:t xml:space="preserve"> trial</w:t>
      </w:r>
      <w:r w:rsidRPr="0021001E">
        <w:rPr>
          <w:szCs w:val="22"/>
        </w:rPr>
        <w:t>)</w:t>
      </w:r>
      <w:r w:rsidR="002550FB">
        <w:rPr>
          <w:szCs w:val="22"/>
        </w:rPr>
        <w:t>,</w:t>
      </w:r>
      <w:r w:rsidRPr="0021001E">
        <w:rPr>
          <w:szCs w:val="22"/>
        </w:rPr>
        <w:t xml:space="preserve"> which was an open</w:t>
      </w:r>
      <w:r w:rsidR="006A4D3C">
        <w:rPr>
          <w:szCs w:val="22"/>
        </w:rPr>
        <w:t xml:space="preserve"> </w:t>
      </w:r>
      <w:r w:rsidRPr="008E5BBA">
        <w:rPr>
          <w:szCs w:val="22"/>
        </w:rPr>
        <w:t xml:space="preserve">label study that investigated a range of doses of </w:t>
      </w:r>
      <w:proofErr w:type="spellStart"/>
      <w:r w:rsidRPr="008E5BBA">
        <w:rPr>
          <w:szCs w:val="22"/>
        </w:rPr>
        <w:t>relatlimab</w:t>
      </w:r>
      <w:proofErr w:type="spellEnd"/>
      <w:r w:rsidRPr="008E5BBA">
        <w:rPr>
          <w:szCs w:val="22"/>
        </w:rPr>
        <w:t xml:space="preserve"> (alone and in combination with nivolumab) in adults with various solid tumours and adolescents 12 years and older with melanoma.</w:t>
      </w:r>
      <w:r w:rsidR="00093F07">
        <w:rPr>
          <w:szCs w:val="22"/>
        </w:rPr>
        <w:t xml:space="preserve"> </w:t>
      </w:r>
      <w:r w:rsidR="00093F07">
        <w:t xml:space="preserve">No patients with previously untreated melanoma received </w:t>
      </w:r>
      <w:proofErr w:type="spellStart"/>
      <w:r w:rsidR="00093F07">
        <w:t>Opdualag</w:t>
      </w:r>
      <w:proofErr w:type="spellEnd"/>
      <w:r w:rsidR="00093F07">
        <w:t xml:space="preserve"> in this study.</w:t>
      </w:r>
    </w:p>
    <w:p w14:paraId="6B56CB17" w14:textId="418C8AB5" w:rsidR="00C22214" w:rsidRPr="00093F07" w:rsidRDefault="008E5BBA">
      <w:pPr>
        <w:pStyle w:val="ListBullet"/>
        <w:rPr>
          <w:szCs w:val="22"/>
        </w:rPr>
      </w:pPr>
      <w:r w:rsidRPr="008E5BBA">
        <w:rPr>
          <w:szCs w:val="22"/>
        </w:rPr>
        <w:t>one</w:t>
      </w:r>
      <w:r w:rsidR="00C22214" w:rsidRPr="008E5BBA">
        <w:rPr>
          <w:szCs w:val="22"/>
        </w:rPr>
        <w:t xml:space="preserve"> Phase II</w:t>
      </w:r>
      <w:r w:rsidRPr="008E5BBA">
        <w:rPr>
          <w:szCs w:val="22"/>
        </w:rPr>
        <w:t>/III</w:t>
      </w:r>
      <w:r w:rsidR="00C22214" w:rsidRPr="008E5BBA">
        <w:rPr>
          <w:szCs w:val="22"/>
        </w:rPr>
        <w:t xml:space="preserve"> stud</w:t>
      </w:r>
      <w:r w:rsidRPr="008E5BBA">
        <w:rPr>
          <w:szCs w:val="22"/>
        </w:rPr>
        <w:t xml:space="preserve">y, </w:t>
      </w:r>
      <w:r w:rsidR="006A4D3C">
        <w:rPr>
          <w:szCs w:val="22"/>
        </w:rPr>
        <w:t xml:space="preserve">Study CA224047 (also known as the </w:t>
      </w:r>
      <w:r w:rsidRPr="008E5BBA">
        <w:rPr>
          <w:szCs w:val="22"/>
        </w:rPr>
        <w:t>RELATIVITY-047</w:t>
      </w:r>
      <w:r w:rsidR="006A4D3C">
        <w:rPr>
          <w:szCs w:val="22"/>
        </w:rPr>
        <w:t xml:space="preserve"> trial)</w:t>
      </w:r>
      <w:r>
        <w:rPr>
          <w:szCs w:val="22"/>
        </w:rPr>
        <w:t xml:space="preserve">, </w:t>
      </w:r>
      <w:r w:rsidRPr="00B37B18">
        <w:t>a seamless, randomi</w:t>
      </w:r>
      <w:r>
        <w:t>s</w:t>
      </w:r>
      <w:r w:rsidRPr="00B37B18">
        <w:t>ed</w:t>
      </w:r>
      <w:r>
        <w:t xml:space="preserve"> (1:1)</w:t>
      </w:r>
      <w:r w:rsidRPr="00B37B18">
        <w:t>, double</w:t>
      </w:r>
      <w:r w:rsidR="006A4D3C">
        <w:t xml:space="preserve"> </w:t>
      </w:r>
      <w:r w:rsidRPr="00B37B18">
        <w:t xml:space="preserve">blind study of </w:t>
      </w:r>
      <w:proofErr w:type="spellStart"/>
      <w:r w:rsidR="006A4D3C">
        <w:t>Opdualag</w:t>
      </w:r>
      <w:proofErr w:type="spellEnd"/>
      <w:r w:rsidR="006A4D3C" w:rsidDel="006A4D3C">
        <w:t xml:space="preserve"> </w:t>
      </w:r>
      <w:r>
        <w:t>versus</w:t>
      </w:r>
      <w:r w:rsidRPr="00B37B18">
        <w:t xml:space="preserve"> nivolumab monotherapy </w:t>
      </w:r>
      <w:r w:rsidRPr="00B37B18">
        <w:lastRenderedPageBreak/>
        <w:t xml:space="preserve">in </w:t>
      </w:r>
      <w:r>
        <w:t>adult or paediatric patients at least 12 years old</w:t>
      </w:r>
      <w:r w:rsidRPr="00B37B18">
        <w:t xml:space="preserve"> with previously untreated metastatic or</w:t>
      </w:r>
      <w:r>
        <w:t xml:space="preserve"> </w:t>
      </w:r>
      <w:r w:rsidRPr="00B37B18">
        <w:t>unresectable melanoma.</w:t>
      </w:r>
    </w:p>
    <w:p w14:paraId="7DB6F488" w14:textId="47CDFCCB" w:rsidR="00093F07" w:rsidRPr="00D95DEF" w:rsidRDefault="00093F07" w:rsidP="0CC3EFE5">
      <w:pPr>
        <w:pStyle w:val="Heading4"/>
        <w:rPr>
          <w:rFonts w:eastAsia="Times New Roman"/>
          <w:b w:val="0"/>
          <w:bCs w:val="0"/>
          <w:i/>
          <w:iCs/>
        </w:rPr>
      </w:pPr>
      <w:bookmarkStart w:id="73" w:name="_Toc154134525"/>
      <w:r>
        <w:t>Pharmacology</w:t>
      </w:r>
      <w:bookmarkEnd w:id="73"/>
    </w:p>
    <w:p w14:paraId="6ECFF978" w14:textId="7B5A4815" w:rsidR="00093F07" w:rsidRPr="00093F07" w:rsidRDefault="00093F07" w:rsidP="00093F07">
      <w:pPr>
        <w:pStyle w:val="Heading5"/>
      </w:pPr>
      <w:r w:rsidRPr="00093F07">
        <w:t>Pharmacokinetics</w:t>
      </w:r>
    </w:p>
    <w:p w14:paraId="3BA2585F" w14:textId="55B1DFF2" w:rsidR="00093F07" w:rsidRPr="00093F07" w:rsidRDefault="00093F07" w:rsidP="00093F07">
      <w:pPr>
        <w:pStyle w:val="Heading6"/>
      </w:pPr>
      <w:r w:rsidRPr="00093F07">
        <w:t xml:space="preserve">Nivolumab </w:t>
      </w:r>
      <w:r>
        <w:t>pharmacokinetics</w:t>
      </w:r>
    </w:p>
    <w:p w14:paraId="5E24FE04" w14:textId="6CFDEF3E" w:rsidR="00093F07" w:rsidRDefault="00093F07" w:rsidP="00093F07">
      <w:r>
        <w:t>The pharmacokinetics of n</w:t>
      </w:r>
      <w:r w:rsidRPr="0075796D">
        <w:t>ivolumab ha</w:t>
      </w:r>
      <w:r>
        <w:t>ve</w:t>
      </w:r>
      <w:r w:rsidRPr="0075796D">
        <w:t xml:space="preserve"> been </w:t>
      </w:r>
      <w:r>
        <w:t>previously characterised, including in the setting of advanced melanoma, as assessed during earlier regulatory submissions to the TGA</w:t>
      </w:r>
      <w:r w:rsidRPr="0075796D">
        <w:t xml:space="preserve">. </w:t>
      </w:r>
      <w:r>
        <w:t>Consistent with what has been previously described, when</w:t>
      </w:r>
      <w:r w:rsidRPr="0075796D">
        <w:t xml:space="preserve"> given in combination with </w:t>
      </w:r>
      <w:proofErr w:type="spellStart"/>
      <w:r w:rsidRPr="0075796D">
        <w:t>relatlimab</w:t>
      </w:r>
      <w:proofErr w:type="spellEnd"/>
      <w:r>
        <w:t xml:space="preserve">, nivolumab </w:t>
      </w:r>
      <w:r w:rsidR="003269A5">
        <w:t>p</w:t>
      </w:r>
      <w:r w:rsidR="003269A5" w:rsidRPr="003269A5">
        <w:t>harmacokinetic</w:t>
      </w:r>
      <w:r w:rsidR="003269A5">
        <w:t>s (</w:t>
      </w:r>
      <w:r>
        <w:t>PK</w:t>
      </w:r>
      <w:r w:rsidR="003269A5">
        <w:t>)</w:t>
      </w:r>
      <w:r>
        <w:t xml:space="preserve"> </w:t>
      </w:r>
      <w:r w:rsidR="003269A5">
        <w:t xml:space="preserve">were </w:t>
      </w:r>
      <w:r w:rsidRPr="0075796D">
        <w:t>described by a linear 2-compartment model with time</w:t>
      </w:r>
      <w:r w:rsidR="00901FA0">
        <w:t xml:space="preserve"> </w:t>
      </w:r>
      <w:r w:rsidRPr="0075796D">
        <w:t xml:space="preserve">varying </w:t>
      </w:r>
      <w:r>
        <w:t xml:space="preserve">clearance, a geometric </w:t>
      </w:r>
      <w:r w:rsidRPr="00DF7EF9">
        <w:t xml:space="preserve">mean </w:t>
      </w:r>
      <w:r>
        <w:t>volume of distribution of</w:t>
      </w:r>
      <w:r w:rsidRPr="00DF7EF9">
        <w:t xml:space="preserve"> 6.65</w:t>
      </w:r>
      <w:r>
        <w:t> </w:t>
      </w:r>
      <w:r w:rsidRPr="00DF7EF9">
        <w:t>L (</w:t>
      </w:r>
      <w:r w:rsidR="0021001E">
        <w:t xml:space="preserve">coefficient of variation </w:t>
      </w:r>
      <w:r w:rsidRPr="00DF7EF9">
        <w:t>19</w:t>
      </w:r>
      <w:r>
        <w:t>%), and elimination half-life of 26.5 days</w:t>
      </w:r>
      <w:r w:rsidRPr="0075796D">
        <w:t>.</w:t>
      </w:r>
    </w:p>
    <w:p w14:paraId="4C31C08F" w14:textId="64D008E5" w:rsidR="00093F07" w:rsidRDefault="00093F07" w:rsidP="00093F07">
      <w:pPr>
        <w:pStyle w:val="Heading6"/>
      </w:pPr>
      <w:proofErr w:type="spellStart"/>
      <w:r>
        <w:t>Relatlimab</w:t>
      </w:r>
      <w:proofErr w:type="spellEnd"/>
      <w:r>
        <w:t xml:space="preserve"> </w:t>
      </w:r>
      <w:r w:rsidR="006A4D3C">
        <w:t>p</w:t>
      </w:r>
      <w:r w:rsidR="006A4D3C" w:rsidRPr="006A4D3C">
        <w:t>harmacokinetics</w:t>
      </w:r>
    </w:p>
    <w:p w14:paraId="2BB51760" w14:textId="7779DF65" w:rsidR="00093F07" w:rsidRDefault="00093F07" w:rsidP="00093F07">
      <w:proofErr w:type="spellStart"/>
      <w:r w:rsidRPr="0075796D">
        <w:t>Relatlimab</w:t>
      </w:r>
      <w:proofErr w:type="spellEnd"/>
      <w:r w:rsidRPr="0075796D">
        <w:t xml:space="preserve"> exhibit</w:t>
      </w:r>
      <w:r>
        <w:t>ed</w:t>
      </w:r>
      <w:r w:rsidRPr="0075796D">
        <w:t xml:space="preserve"> nonlinear </w:t>
      </w:r>
      <w:r>
        <w:t xml:space="preserve">(approximately </w:t>
      </w:r>
      <w:r w:rsidRPr="0075796D">
        <w:t xml:space="preserve">31% of total </w:t>
      </w:r>
      <w:proofErr w:type="spellStart"/>
      <w:r w:rsidRPr="0075796D">
        <w:t>relatlimab</w:t>
      </w:r>
      <w:proofErr w:type="spellEnd"/>
      <w:r w:rsidRPr="0075796D">
        <w:t xml:space="preserve"> </w:t>
      </w:r>
      <w:r>
        <w:t xml:space="preserve">clearance </w:t>
      </w:r>
      <w:r w:rsidRPr="0075796D">
        <w:t>at the recommended dose</w:t>
      </w:r>
      <w:r>
        <w:t xml:space="preserve">) </w:t>
      </w:r>
      <w:r w:rsidRPr="0075796D">
        <w:t>and time</w:t>
      </w:r>
      <w:r w:rsidR="00901FA0">
        <w:t xml:space="preserve"> </w:t>
      </w:r>
      <w:r w:rsidRPr="0075796D">
        <w:t xml:space="preserve">varying PK. </w:t>
      </w:r>
      <w:r>
        <w:t>The nonlinear component (not seen with nivolumab) was considered likely due to a higher level of target receptors compared to nivolumab. The</w:t>
      </w:r>
      <w:r w:rsidRPr="0075796D">
        <w:t xml:space="preserve"> </w:t>
      </w:r>
      <w:r>
        <w:t>m</w:t>
      </w:r>
      <w:r w:rsidRPr="009B0103">
        <w:t>odel</w:t>
      </w:r>
      <w:r w:rsidR="00901FA0">
        <w:t xml:space="preserve"> </w:t>
      </w:r>
      <w:r w:rsidRPr="009B0103">
        <w:t xml:space="preserve">predicted average </w:t>
      </w:r>
      <w:r>
        <w:t xml:space="preserve">serum </w:t>
      </w:r>
      <w:proofErr w:type="spellStart"/>
      <w:r>
        <w:t>relatlimab</w:t>
      </w:r>
      <w:proofErr w:type="spellEnd"/>
      <w:r>
        <w:t xml:space="preserve"> </w:t>
      </w:r>
      <w:r w:rsidRPr="009B0103">
        <w:t>concentration after the first dose</w:t>
      </w:r>
      <w:r>
        <w:t xml:space="preserve"> </w:t>
      </w:r>
      <w:r w:rsidRPr="0075796D">
        <w:t xml:space="preserve">increased dose proportionally </w:t>
      </w:r>
      <w:r>
        <w:t xml:space="preserve">with doses at and above </w:t>
      </w:r>
      <w:r w:rsidRPr="0075796D">
        <w:t>160</w:t>
      </w:r>
      <w:r>
        <w:t> </w:t>
      </w:r>
      <w:r w:rsidRPr="0075796D">
        <w:t xml:space="preserve">mg </w:t>
      </w:r>
      <w:r w:rsidR="00594EA0">
        <w:t xml:space="preserve">every 4 weeks. </w:t>
      </w:r>
      <w:r>
        <w:t xml:space="preserve">At the recommended dose (with nivolumab), serum </w:t>
      </w:r>
      <w:proofErr w:type="spellStart"/>
      <w:r>
        <w:t>relatlimab</w:t>
      </w:r>
      <w:proofErr w:type="spellEnd"/>
      <w:r w:rsidRPr="0075796D">
        <w:t xml:space="preserve"> steady</w:t>
      </w:r>
      <w:r w:rsidR="00901FA0">
        <w:t xml:space="preserve"> </w:t>
      </w:r>
      <w:r w:rsidRPr="0075796D">
        <w:t xml:space="preserve">state concentrations </w:t>
      </w:r>
      <w:r w:rsidR="00567387">
        <w:t>we</w:t>
      </w:r>
      <w:r w:rsidRPr="0075796D">
        <w:t xml:space="preserve">re reached by </w:t>
      </w:r>
      <w:r w:rsidRPr="0021001E">
        <w:t>approximately 16 weeks with about two</w:t>
      </w:r>
      <w:r w:rsidR="00901FA0">
        <w:t>-</w:t>
      </w:r>
      <w:r w:rsidRPr="0021001E">
        <w:t xml:space="preserve">fold systemic accumulation, a geometric mean volume of distribution of </w:t>
      </w:r>
      <w:r w:rsidRPr="00594EA0">
        <w:t>6.65</w:t>
      </w:r>
      <w:r w:rsidR="000E6D0D" w:rsidRPr="00594EA0">
        <w:t> </w:t>
      </w:r>
      <w:r w:rsidRPr="00594EA0">
        <w:t>L (</w:t>
      </w:r>
      <w:r w:rsidR="0021001E" w:rsidRPr="00594EA0">
        <w:t xml:space="preserve">coefficient of variation </w:t>
      </w:r>
      <w:r w:rsidRPr="00594EA0">
        <w:t>20%), and 97% clearance within 69</w:t>
      </w:r>
      <w:r w:rsidR="000E6D0D" w:rsidRPr="00594EA0">
        <w:t> </w:t>
      </w:r>
      <w:r w:rsidRPr="00594EA0">
        <w:t>days. Steady</w:t>
      </w:r>
      <w:r w:rsidR="00901FA0">
        <w:t xml:space="preserve"> </w:t>
      </w:r>
      <w:r w:rsidRPr="00594EA0">
        <w:t xml:space="preserve">state LAG-3 </w:t>
      </w:r>
      <w:r>
        <w:t>receptor occupancy is estimated to be 74% at trough concentration and 84% at average concentration.</w:t>
      </w:r>
    </w:p>
    <w:p w14:paraId="5D4E8727" w14:textId="77777777" w:rsidR="00093F07" w:rsidRDefault="00093F07" w:rsidP="00093F07">
      <w:pPr>
        <w:pStyle w:val="Heading6"/>
      </w:pPr>
      <w:r>
        <w:t>Intrinsic factors</w:t>
      </w:r>
    </w:p>
    <w:p w14:paraId="28A3D5BC" w14:textId="3754BD09" w:rsidR="00093F07" w:rsidRDefault="00093F07" w:rsidP="00093F07">
      <w:proofErr w:type="gramStart"/>
      <w:r w:rsidRPr="0076764B">
        <w:t>A number of</w:t>
      </w:r>
      <w:proofErr w:type="gramEnd"/>
      <w:r w:rsidRPr="0076764B">
        <w:t xml:space="preserve"> covariates in the pop</w:t>
      </w:r>
      <w:r w:rsidR="00594EA0" w:rsidRPr="0076764B">
        <w:t xml:space="preserve">ulation pharmacokinetic </w:t>
      </w:r>
      <w:r w:rsidRPr="0076764B">
        <w:t>model showed statistically significant</w:t>
      </w:r>
      <w:r>
        <w:t xml:space="preserve"> effects on baseline clearance of nivolumab, </w:t>
      </w:r>
      <w:proofErr w:type="spellStart"/>
      <w:r>
        <w:t>relatlimab</w:t>
      </w:r>
      <w:proofErr w:type="spellEnd"/>
      <w:r>
        <w:t xml:space="preserve">, or both. Most </w:t>
      </w:r>
      <w:r w:rsidR="00594EA0">
        <w:t xml:space="preserve">effects </w:t>
      </w:r>
      <w:r>
        <w:t>were small (</w:t>
      </w:r>
      <w:r w:rsidR="000E6D0D">
        <w:t xml:space="preserve">less than </w:t>
      </w:r>
      <w:r>
        <w:t>20%) and therefore considered clinically irrelevant.</w:t>
      </w:r>
    </w:p>
    <w:p w14:paraId="304B5CB9" w14:textId="06434636" w:rsidR="00093F07" w:rsidRPr="005E0B82" w:rsidRDefault="00093F07" w:rsidP="00093F07">
      <w:r>
        <w:t xml:space="preserve">Serum albumin (for </w:t>
      </w:r>
      <w:r w:rsidRPr="00272249">
        <w:t xml:space="preserve">nivolumab only) and body weight had a </w:t>
      </w:r>
      <w:r w:rsidR="000E6D0D">
        <w:t xml:space="preserve">greater than </w:t>
      </w:r>
      <w:r w:rsidRPr="00272249">
        <w:t xml:space="preserve">20% effect on clearance but these </w:t>
      </w:r>
      <w:r w:rsidR="000E6D0D">
        <w:t xml:space="preserve">factors </w:t>
      </w:r>
      <w:r w:rsidRPr="00272249">
        <w:t>are not expected to be clinically relevant effects, given the flat exposure-response relationships for efficacy and safety</w:t>
      </w:r>
      <w:r w:rsidR="0076764B">
        <w:t xml:space="preserve">. </w:t>
      </w:r>
      <w:proofErr w:type="spellStart"/>
      <w:r w:rsidRPr="00272249">
        <w:t>Relatlimab</w:t>
      </w:r>
      <w:proofErr w:type="spellEnd"/>
      <w:r>
        <w:t xml:space="preserve"> steady</w:t>
      </w:r>
      <w:r w:rsidR="00901FA0">
        <w:t xml:space="preserve"> </w:t>
      </w:r>
      <w:r>
        <w:t xml:space="preserve">state exposure was 31% lower in patients at the 95th body weight percentile, and 26% higher in patients at the 5th </w:t>
      </w:r>
      <w:r w:rsidRPr="005E0B82">
        <w:t>percentile relative to the median body weight (75 kg).</w:t>
      </w:r>
    </w:p>
    <w:p w14:paraId="5630ED5D" w14:textId="5DE94860" w:rsidR="00093F07" w:rsidRPr="005E0B82" w:rsidRDefault="00093F07" w:rsidP="00093F07">
      <w:r w:rsidRPr="005E0B82">
        <w:t xml:space="preserve">The effect of race on nivolumab and </w:t>
      </w:r>
      <w:proofErr w:type="spellStart"/>
      <w:r w:rsidRPr="005E0B82">
        <w:t>relatlimab</w:t>
      </w:r>
      <w:proofErr w:type="spellEnd"/>
      <w:r w:rsidRPr="005E0B82">
        <w:t xml:space="preserve"> PK was not able to be characterised due to an insufficient representation of non-Caucasian people among the study participants who contributed data to the pop</w:t>
      </w:r>
      <w:r w:rsidR="00594EA0">
        <w:t>ulation pharmacokinetics</w:t>
      </w:r>
      <w:r w:rsidRPr="005E0B82">
        <w:t xml:space="preserve"> datasets (5</w:t>
      </w:r>
      <w:r w:rsidR="003269A5">
        <w:t xml:space="preserve">% to </w:t>
      </w:r>
      <w:r w:rsidRPr="005E0B82">
        <w:t>8%).</w:t>
      </w:r>
    </w:p>
    <w:p w14:paraId="2E0EDF8E" w14:textId="1D810FF7" w:rsidR="00093F07" w:rsidRDefault="00093F07" w:rsidP="00093F07">
      <w:r>
        <w:t>M</w:t>
      </w:r>
      <w:r w:rsidRPr="00A549E6">
        <w:t xml:space="preserve">ild or moderate hepatic or renal impairment </w:t>
      </w:r>
      <w:r>
        <w:t xml:space="preserve">did not significantly affect the PK </w:t>
      </w:r>
      <w:r w:rsidRPr="00A549E6">
        <w:t xml:space="preserve">of nivolumab </w:t>
      </w:r>
      <w:r>
        <w:t>or</w:t>
      </w:r>
      <w:r w:rsidRPr="00A549E6">
        <w:t xml:space="preserve"> </w:t>
      </w:r>
      <w:proofErr w:type="spellStart"/>
      <w:r w:rsidRPr="00A549E6">
        <w:t>relatlimab</w:t>
      </w:r>
      <w:proofErr w:type="spellEnd"/>
      <w:r>
        <w:t xml:space="preserve">. </w:t>
      </w:r>
      <w:proofErr w:type="spellStart"/>
      <w:r>
        <w:t>O</w:t>
      </w:r>
      <w:r w:rsidR="000E6D0D">
        <w:t>pdualag</w:t>
      </w:r>
      <w:proofErr w:type="spellEnd"/>
      <w:r>
        <w:t xml:space="preserve"> has not been studied in patients with severe renal or hepatic impairment</w:t>
      </w:r>
      <w:r w:rsidR="000E6D0D">
        <w:t>;</w:t>
      </w:r>
      <w:r>
        <w:t xml:space="preserve"> however, both drugs are monoclonal antibodies</w:t>
      </w:r>
      <w:r w:rsidR="000E6D0D">
        <w:t xml:space="preserve">, </w:t>
      </w:r>
      <w:r w:rsidR="00567387">
        <w:t>and therefore</w:t>
      </w:r>
      <w:r w:rsidR="000E6D0D">
        <w:t xml:space="preserve"> </w:t>
      </w:r>
      <w:r>
        <w:t>not expected to be subject to hepatic metabolism or renal clearance</w:t>
      </w:r>
      <w:r w:rsidR="0008486F">
        <w:t xml:space="preserve"> but expected to be </w:t>
      </w:r>
      <w:r w:rsidR="0008486F" w:rsidRPr="008B2E31">
        <w:t>catabolised into small peptides and amino acids</w:t>
      </w:r>
      <w:r>
        <w:t>.</w:t>
      </w:r>
    </w:p>
    <w:p w14:paraId="0BA30B1A" w14:textId="7B4E47BA" w:rsidR="00093F07" w:rsidRDefault="00093F07" w:rsidP="00093F07">
      <w:pPr>
        <w:pStyle w:val="Heading6"/>
      </w:pPr>
      <w:r>
        <w:t>Time</w:t>
      </w:r>
      <w:r w:rsidR="00630E7F">
        <w:t>-</w:t>
      </w:r>
      <w:r>
        <w:t>varying clearance</w:t>
      </w:r>
    </w:p>
    <w:p w14:paraId="08EDA6FC" w14:textId="1A46CA69" w:rsidR="00093F07" w:rsidRDefault="00093F07" w:rsidP="00093F07">
      <w:r>
        <w:t xml:space="preserve">Clearance of both nivolumab and </w:t>
      </w:r>
      <w:proofErr w:type="spellStart"/>
      <w:r>
        <w:t>relatlimab</w:t>
      </w:r>
      <w:proofErr w:type="spellEnd"/>
      <w:r>
        <w:t xml:space="preserve"> decreased over the duration of therapy: clearance at steady state was around 20% and 10% lower, respectively, </w:t>
      </w:r>
      <w:proofErr w:type="gramStart"/>
      <w:r>
        <w:t>than</w:t>
      </w:r>
      <w:proofErr w:type="gramEnd"/>
      <w:r>
        <w:t xml:space="preserve"> after the first </w:t>
      </w:r>
      <w:r w:rsidRPr="005E0B82">
        <w:t>do</w:t>
      </w:r>
      <w:r w:rsidRPr="00271F6A">
        <w:t>se. Time</w:t>
      </w:r>
      <w:r w:rsidR="00567387">
        <w:t>-</w:t>
      </w:r>
      <w:r w:rsidRPr="00271F6A">
        <w:lastRenderedPageBreak/>
        <w:t>varying clearance has been described for multiple therapeutic monoclonal antibod</w:t>
      </w:r>
      <w:r w:rsidRPr="005E0B82">
        <w:t xml:space="preserve">ies </w:t>
      </w:r>
      <w:r w:rsidR="00271F6A">
        <w:t xml:space="preserve">used </w:t>
      </w:r>
      <w:r w:rsidRPr="005E0B82">
        <w:t xml:space="preserve">in </w:t>
      </w:r>
      <w:r w:rsidRPr="00271F6A">
        <w:t>oncology and is a known feature of nivolumab PK. Decreased tumour</w:t>
      </w:r>
      <w:r w:rsidR="00567387">
        <w:t>-</w:t>
      </w:r>
      <w:r w:rsidRPr="00271F6A">
        <w:t>related catabolism with</w:t>
      </w:r>
      <w:r w:rsidRPr="005E0B82">
        <w:t xml:space="preserve"> treatment efficacy is likely part of the explanation for this phenomenon, and as a possible </w:t>
      </w:r>
      <w:r w:rsidRPr="00271F6A">
        <w:t>confounding factor of exposure-response analyses, is the reason that such analyses are generally</w:t>
      </w:r>
      <w:r w:rsidRPr="005E0B82">
        <w:t xml:space="preserve"> undertaken using exposure after</w:t>
      </w:r>
      <w:r w:rsidR="00567387">
        <w:t xml:space="preserve"> the</w:t>
      </w:r>
      <w:r w:rsidRPr="005E0B82">
        <w:t xml:space="preserve"> first dose, rather than at steady state.</w:t>
      </w:r>
      <w:r w:rsidR="000E6D0D">
        <w:rPr>
          <w:rStyle w:val="FootnoteReference"/>
        </w:rPr>
        <w:footnoteReference w:id="73"/>
      </w:r>
    </w:p>
    <w:p w14:paraId="202BD06A" w14:textId="1431FE2E" w:rsidR="00093F07" w:rsidRDefault="00093F07" w:rsidP="00093F07">
      <w:r>
        <w:t>Baseline nivolumab clearance was not significantly different in patients who</w:t>
      </w:r>
      <w:r w:rsidR="000E6D0D">
        <w:t xml:space="preserve"> had</w:t>
      </w:r>
      <w:r>
        <w:t xml:space="preserve"> received immunotherapy in prior lines of treatment compared to those being treated first-line.</w:t>
      </w:r>
    </w:p>
    <w:p w14:paraId="4BE73532" w14:textId="77777777" w:rsidR="00093F07" w:rsidRDefault="00093F07" w:rsidP="00093F07">
      <w:pPr>
        <w:pStyle w:val="Heading6"/>
      </w:pPr>
      <w:r>
        <w:t>Interactions</w:t>
      </w:r>
    </w:p>
    <w:p w14:paraId="7FF08BF6" w14:textId="5CF0D5CB" w:rsidR="00093F07" w:rsidRDefault="00093F07" w:rsidP="00093F07">
      <w:r>
        <w:t>N</w:t>
      </w:r>
      <w:r w:rsidRPr="0075796D">
        <w:t xml:space="preserve">o PK interaction between </w:t>
      </w:r>
      <w:r>
        <w:t>the two active substances</w:t>
      </w:r>
      <w:r w:rsidRPr="0075796D">
        <w:t xml:space="preserve"> was observed when given in combination.</w:t>
      </w:r>
    </w:p>
    <w:p w14:paraId="4A36638A" w14:textId="5DDF5614" w:rsidR="00093F07" w:rsidRPr="008B2E31" w:rsidRDefault="00093F07" w:rsidP="00093F07">
      <w:r>
        <w:t>No interactions with other drugs are predicted as both active substances are monoclonal antibodies</w:t>
      </w:r>
      <w:r w:rsidR="00567387">
        <w:t xml:space="preserve"> which are highly specific</w:t>
      </w:r>
      <w:r w:rsidRPr="008B2E31">
        <w:t>.</w:t>
      </w:r>
      <w:bookmarkStart w:id="74" w:name="_Hlk96081328"/>
    </w:p>
    <w:p w14:paraId="239572B0" w14:textId="41CC4930" w:rsidR="00093F07" w:rsidRDefault="00093F07" w:rsidP="00093F07">
      <w:r w:rsidRPr="00271F6A">
        <w:t xml:space="preserve">Due to the low incidence of </w:t>
      </w:r>
      <w:r w:rsidR="00271F6A" w:rsidRPr="00271F6A">
        <w:t>treatment</w:t>
      </w:r>
      <w:r w:rsidR="00816EA6">
        <w:noBreakHyphen/>
      </w:r>
      <w:r w:rsidR="00271F6A" w:rsidRPr="00271F6A">
        <w:t>emergent anti</w:t>
      </w:r>
      <w:r w:rsidR="00271F6A" w:rsidRPr="00271F6A">
        <w:noBreakHyphen/>
        <w:t>drug antibodies</w:t>
      </w:r>
      <w:r w:rsidRPr="00271F6A">
        <w:t xml:space="preserve"> and </w:t>
      </w:r>
      <w:r w:rsidR="00271F6A" w:rsidRPr="00271F6A">
        <w:t>treatment</w:t>
      </w:r>
      <w:r w:rsidR="00816EA6">
        <w:noBreakHyphen/>
      </w:r>
      <w:r w:rsidR="00271F6A" w:rsidRPr="00271F6A">
        <w:t>emergent neutralising antibodies</w:t>
      </w:r>
      <w:r w:rsidR="0008486F">
        <w:t xml:space="preserve"> (see </w:t>
      </w:r>
      <w:r w:rsidR="00001C2C" w:rsidRPr="00001C2C">
        <w:rPr>
          <w:color w:val="0000FF"/>
        </w:rPr>
        <w:fldChar w:fldCharType="begin"/>
      </w:r>
      <w:r w:rsidR="00001C2C" w:rsidRPr="00001C2C">
        <w:rPr>
          <w:color w:val="0000FF"/>
        </w:rPr>
        <w:instrText xml:space="preserve"> REF _Ref154129564 \h </w:instrText>
      </w:r>
      <w:r w:rsidR="00001C2C">
        <w:rPr>
          <w:color w:val="0000FF"/>
        </w:rPr>
        <w:instrText xml:space="preserve"> \* MERGEFORMAT </w:instrText>
      </w:r>
      <w:r w:rsidR="00001C2C" w:rsidRPr="00001C2C">
        <w:rPr>
          <w:color w:val="0000FF"/>
        </w:rPr>
      </w:r>
      <w:r w:rsidR="00001C2C" w:rsidRPr="00001C2C">
        <w:rPr>
          <w:color w:val="0000FF"/>
        </w:rPr>
        <w:fldChar w:fldCharType="separate"/>
      </w:r>
      <w:r w:rsidR="004F1B9E" w:rsidRPr="004F1B9E">
        <w:rPr>
          <w:color w:val="0000FF"/>
        </w:rPr>
        <w:t>Summary of key data</w:t>
      </w:r>
      <w:r w:rsidR="00001C2C" w:rsidRPr="00001C2C">
        <w:rPr>
          <w:color w:val="0000FF"/>
        </w:rPr>
        <w:fldChar w:fldCharType="end"/>
      </w:r>
      <w:r w:rsidR="0008486F">
        <w:t>)</w:t>
      </w:r>
      <w:r w:rsidRPr="00271F6A">
        <w:t>, their effect on the pharmacokinetics or pharmacodynamics exposures of nivolumab</w:t>
      </w:r>
      <w:r w:rsidR="003269A5">
        <w:t xml:space="preserve"> with </w:t>
      </w:r>
      <w:proofErr w:type="spellStart"/>
      <w:r w:rsidRPr="00271F6A">
        <w:t>relatlimab</w:t>
      </w:r>
      <w:proofErr w:type="spellEnd"/>
      <w:r w:rsidRPr="00271F6A">
        <w:t xml:space="preserve"> could</w:t>
      </w:r>
      <w:r w:rsidR="000E6D0D" w:rsidRPr="00271F6A">
        <w:t xml:space="preserve"> not</w:t>
      </w:r>
      <w:r w:rsidRPr="00271F6A">
        <w:t xml:space="preserve"> be meaningfully analysed.</w:t>
      </w:r>
      <w:bookmarkEnd w:id="74"/>
    </w:p>
    <w:p w14:paraId="375D7D57" w14:textId="77777777" w:rsidR="00093F07" w:rsidRDefault="00093F07" w:rsidP="00093F07">
      <w:pPr>
        <w:pStyle w:val="Heading6"/>
      </w:pPr>
      <w:bookmarkStart w:id="75" w:name="_Ref106107927"/>
      <w:r>
        <w:t>Exposure-response analyses</w:t>
      </w:r>
      <w:bookmarkEnd w:id="75"/>
    </w:p>
    <w:p w14:paraId="189E3D50" w14:textId="32574BB0" w:rsidR="00093F07" w:rsidRPr="00350D51" w:rsidRDefault="00093F07" w:rsidP="00093F07">
      <w:r>
        <w:t>Pooled d</w:t>
      </w:r>
      <w:r w:rsidRPr="00350D51">
        <w:t xml:space="preserve">ata from </w:t>
      </w:r>
      <w:r>
        <w:t xml:space="preserve">patients with melanoma across the two </w:t>
      </w:r>
      <w:r w:rsidRPr="00350D51">
        <w:t>RELATIVITY</w:t>
      </w:r>
      <w:r>
        <w:t xml:space="preserve"> </w:t>
      </w:r>
      <w:r w:rsidR="003269A5">
        <w:t xml:space="preserve">trials </w:t>
      </w:r>
      <w:r>
        <w:t>indicated that,</w:t>
      </w:r>
      <w:r w:rsidRPr="00350D51">
        <w:t xml:space="preserve"> when given in combination with nivolumab 480</w:t>
      </w:r>
      <w:r w:rsidR="00E72CAE">
        <w:t> </w:t>
      </w:r>
      <w:r w:rsidRPr="00350D51">
        <w:t>mg</w:t>
      </w:r>
      <w:r w:rsidR="00E72CAE">
        <w:t xml:space="preserve"> every 4 weeks</w:t>
      </w:r>
      <w:r w:rsidRPr="00272249">
        <w:t xml:space="preserve">, higher doses of </w:t>
      </w:r>
      <w:proofErr w:type="spellStart"/>
      <w:r w:rsidRPr="00272249">
        <w:t>relatlimab</w:t>
      </w:r>
      <w:proofErr w:type="spellEnd"/>
      <w:r w:rsidRPr="00272249">
        <w:t xml:space="preserve"> (480</w:t>
      </w:r>
      <w:r w:rsidR="00E72CAE">
        <w:t> mg</w:t>
      </w:r>
      <w:r w:rsidRPr="00272249">
        <w:t xml:space="preserve"> versus 160</w:t>
      </w:r>
      <w:r w:rsidR="00E72CAE">
        <w:t> </w:t>
      </w:r>
      <w:r w:rsidRPr="00272249">
        <w:t xml:space="preserve">mg </w:t>
      </w:r>
      <w:r w:rsidR="00E72CAE">
        <w:t>every 4 weeks</w:t>
      </w:r>
      <w:r w:rsidRPr="00272249">
        <w:t>) are not associated with significantly better efficacy</w:t>
      </w:r>
      <w:r>
        <w:t xml:space="preserve"> </w:t>
      </w:r>
      <w:r w:rsidRPr="00271F6A">
        <w:t>(progression</w:t>
      </w:r>
      <w:r w:rsidR="00C808E2">
        <w:noBreakHyphen/>
      </w:r>
      <w:r w:rsidRPr="00271F6A">
        <w:t xml:space="preserve">free survival </w:t>
      </w:r>
      <w:r w:rsidR="006A4D3C">
        <w:t>(</w:t>
      </w:r>
      <w:r w:rsidRPr="00271F6A">
        <w:t>PFS</w:t>
      </w:r>
      <w:r w:rsidR="006A4D3C">
        <w:t>)</w:t>
      </w:r>
      <w:r w:rsidRPr="00271F6A">
        <w:t xml:space="preserve"> or objective response).</w:t>
      </w:r>
    </w:p>
    <w:p w14:paraId="09A2DD37" w14:textId="38DD5B0F" w:rsidR="00093F07" w:rsidRPr="00350D51" w:rsidRDefault="00093F07" w:rsidP="00093F07">
      <w:r w:rsidRPr="00350D51">
        <w:t>A flat exposure-toxicity relationship had previously been seen with nivolumab monotherapy at doses of 0.1 to 10</w:t>
      </w:r>
      <w:r w:rsidR="00E72CAE">
        <w:t> </w:t>
      </w:r>
      <w:r w:rsidRPr="00350D51">
        <w:t>mg</w:t>
      </w:r>
      <w:r w:rsidR="00C808E2">
        <w:t> per </w:t>
      </w:r>
      <w:r w:rsidRPr="00350D51">
        <w:t xml:space="preserve">kg </w:t>
      </w:r>
      <w:r w:rsidR="00E72CAE">
        <w:t>every 2 weeks</w:t>
      </w:r>
      <w:r w:rsidRPr="00350D51">
        <w:t>, in earlier nivolumab submissions.</w:t>
      </w:r>
    </w:p>
    <w:p w14:paraId="480D2E78" w14:textId="23D8CE0A" w:rsidR="00093F07" w:rsidRPr="00350D51" w:rsidRDefault="00093F07" w:rsidP="00093F07">
      <w:r w:rsidRPr="00350D51">
        <w:t xml:space="preserve">Pooled data from </w:t>
      </w:r>
      <w:r w:rsidR="003269A5">
        <w:t xml:space="preserve">the </w:t>
      </w:r>
      <w:r w:rsidRPr="00350D51">
        <w:t>RELATIVITY-020 and RELATIVITY-047</w:t>
      </w:r>
      <w:r w:rsidR="003269A5">
        <w:t xml:space="preserve"> trials</w:t>
      </w:r>
      <w:r w:rsidRPr="00350D51">
        <w:t xml:space="preserve"> also indicated a flat exposure-response relationship for toxicity of the combination (including infusion reactions), based on assessment </w:t>
      </w:r>
      <w:r w:rsidRPr="0000788E">
        <w:t>of</w:t>
      </w:r>
      <w:r w:rsidR="0011043E" w:rsidRPr="0000788E">
        <w:t xml:space="preserve"> </w:t>
      </w:r>
      <w:r w:rsidR="003269A5" w:rsidRPr="003269A5">
        <w:t xml:space="preserve">Common Terminology Criteria </w:t>
      </w:r>
      <w:r w:rsidR="003269A5">
        <w:t>adverse event (</w:t>
      </w:r>
      <w:r w:rsidR="0011043E" w:rsidRPr="0000788E">
        <w:t>CTCAE</w:t>
      </w:r>
      <w:r w:rsidR="003269A5">
        <w:t>)</w:t>
      </w:r>
      <w:r w:rsidRPr="0000788E">
        <w:t xml:space="preserve"> </w:t>
      </w:r>
      <w:r w:rsidR="00E72CAE" w:rsidRPr="0000788E">
        <w:t>G</w:t>
      </w:r>
      <w:r w:rsidRPr="0000788E">
        <w:t>rade</w:t>
      </w:r>
      <w:r w:rsidR="00E72CAE" w:rsidRPr="0000788E">
        <w:t xml:space="preserve"> 2 and higher </w:t>
      </w:r>
      <w:r w:rsidRPr="0000788E">
        <w:t>immune</w:t>
      </w:r>
      <w:r w:rsidR="003269A5">
        <w:t xml:space="preserve"> </w:t>
      </w:r>
      <w:r w:rsidRPr="0000788E">
        <w:t>related adverse reactions,</w:t>
      </w:r>
      <w:bookmarkStart w:id="76" w:name="_Ref143852129"/>
      <w:r w:rsidR="00E72CAE" w:rsidRPr="0000788E">
        <w:rPr>
          <w:rStyle w:val="FootnoteReference"/>
        </w:rPr>
        <w:footnoteReference w:id="74"/>
      </w:r>
      <w:bookmarkEnd w:id="76"/>
      <w:r w:rsidRPr="0000788E">
        <w:t xml:space="preserve"> and </w:t>
      </w:r>
      <w:r w:rsidR="00E72CAE" w:rsidRPr="0000788E">
        <w:t>G</w:t>
      </w:r>
      <w:r w:rsidRPr="0000788E">
        <w:t xml:space="preserve">rade 3 </w:t>
      </w:r>
      <w:r w:rsidR="00E72CAE" w:rsidRPr="0000788E">
        <w:t>and higher</w:t>
      </w:r>
      <w:r w:rsidR="00E72CAE">
        <w:t xml:space="preserve"> </w:t>
      </w:r>
      <w:r w:rsidRPr="00350D51">
        <w:t xml:space="preserve">adverse reactions for </w:t>
      </w:r>
      <w:proofErr w:type="spellStart"/>
      <w:r w:rsidRPr="00350D51">
        <w:t>relatlimab</w:t>
      </w:r>
      <w:proofErr w:type="spellEnd"/>
      <w:r w:rsidRPr="00350D51">
        <w:t xml:space="preserve"> up to 1440</w:t>
      </w:r>
      <w:r w:rsidR="00E72CAE">
        <w:t> </w:t>
      </w:r>
      <w:r w:rsidRPr="00350D51">
        <w:t xml:space="preserve">mg </w:t>
      </w:r>
      <w:r w:rsidR="00E72CAE">
        <w:t>every 4 weeks</w:t>
      </w:r>
      <w:r w:rsidRPr="00350D51">
        <w:t xml:space="preserve"> when given in combination with nivolumab.</w:t>
      </w:r>
    </w:p>
    <w:p w14:paraId="3CBC80DE" w14:textId="1677F80A" w:rsidR="00093F07" w:rsidRPr="00350D51" w:rsidRDefault="00093F07" w:rsidP="00093F07">
      <w:r w:rsidRPr="0000788E">
        <w:t>Exploratory analyses conducted by the FDA of safety metrics by body weight category were not</w:t>
      </w:r>
      <w:r w:rsidRPr="00350D51">
        <w:t xml:space="preserve"> indicative of worse toxicity in patients lighter than 50</w:t>
      </w:r>
      <w:r w:rsidR="00E72CAE">
        <w:t> </w:t>
      </w:r>
      <w:r w:rsidRPr="00350D51">
        <w:t>kg compared to those weighing 50</w:t>
      </w:r>
      <w:r w:rsidR="00E72CAE">
        <w:t xml:space="preserve"> to </w:t>
      </w:r>
      <w:r w:rsidRPr="00350D51">
        <w:t>80</w:t>
      </w:r>
      <w:r w:rsidR="00E72CAE">
        <w:t> </w:t>
      </w:r>
      <w:r w:rsidRPr="00350D51">
        <w:t>kg or more than 80</w:t>
      </w:r>
      <w:r w:rsidR="00E72CAE">
        <w:t> </w:t>
      </w:r>
      <w:r w:rsidRPr="00350D51">
        <w:t>kg</w:t>
      </w:r>
      <w:r w:rsidR="00DB5656">
        <w:t>.</w:t>
      </w:r>
      <w:r w:rsidR="00DB5656">
        <w:rPr>
          <w:rStyle w:val="FootnoteReference"/>
        </w:rPr>
        <w:footnoteReference w:id="75"/>
      </w:r>
    </w:p>
    <w:p w14:paraId="26A8A53C" w14:textId="77777777" w:rsidR="00093F07" w:rsidRPr="009B7F40" w:rsidRDefault="00093F07" w:rsidP="009B7F40">
      <w:pPr>
        <w:pStyle w:val="Heading5"/>
      </w:pPr>
      <w:bookmarkStart w:id="77" w:name="_Ref104890140"/>
      <w:r w:rsidRPr="009B7F40">
        <w:t>Dosing</w:t>
      </w:r>
      <w:bookmarkEnd w:id="77"/>
    </w:p>
    <w:p w14:paraId="2ED7A772" w14:textId="1AFCE8D6" w:rsidR="00093F07" w:rsidRDefault="00093F07" w:rsidP="00093F07">
      <w:r w:rsidRPr="00D95DEF">
        <w:t xml:space="preserve">The </w:t>
      </w:r>
      <w:r w:rsidR="00DB5656">
        <w:t>s</w:t>
      </w:r>
      <w:r>
        <w:t xml:space="preserve">ponsor </w:t>
      </w:r>
      <w:r w:rsidRPr="00D95DEF">
        <w:t>propose</w:t>
      </w:r>
      <w:r>
        <w:t xml:space="preserve">d the following doses, given every </w:t>
      </w:r>
      <w:r w:rsidR="00DB5656">
        <w:t>4</w:t>
      </w:r>
      <w:r>
        <w:t xml:space="preserve"> weeks by </w:t>
      </w:r>
      <w:proofErr w:type="gramStart"/>
      <w:r>
        <w:t>30</w:t>
      </w:r>
      <w:r w:rsidR="00DB5656">
        <w:t> </w:t>
      </w:r>
      <w:r>
        <w:t>minute</w:t>
      </w:r>
      <w:proofErr w:type="gramEnd"/>
      <w:r>
        <w:t xml:space="preserve"> intravenous infusion, and continued until disease progression or unacceptable toxicity:</w:t>
      </w:r>
    </w:p>
    <w:p w14:paraId="79252E4A" w14:textId="2EAD48D8" w:rsidR="00093F07" w:rsidRDefault="00093F07" w:rsidP="005A4D0D">
      <w:pPr>
        <w:pStyle w:val="ListBullet"/>
      </w:pPr>
      <w:r>
        <w:t>Adults:</w:t>
      </w:r>
      <w:r w:rsidR="003269A5">
        <w:t xml:space="preserve"> </w:t>
      </w:r>
      <w:r>
        <w:t>480</w:t>
      </w:r>
      <w:r w:rsidR="00DB5656">
        <w:t> </w:t>
      </w:r>
      <w:r>
        <w:t>mg nivolumab</w:t>
      </w:r>
      <w:r w:rsidR="00DB5656">
        <w:t xml:space="preserve"> and 160 mg </w:t>
      </w:r>
      <w:proofErr w:type="spellStart"/>
      <w:r w:rsidR="00DB5656">
        <w:t>relatlimab</w:t>
      </w:r>
      <w:proofErr w:type="spellEnd"/>
    </w:p>
    <w:p w14:paraId="65C40061" w14:textId="048180AA" w:rsidR="00093F07" w:rsidRDefault="00093F07" w:rsidP="005A4D0D">
      <w:pPr>
        <w:pStyle w:val="ListBullet"/>
      </w:pPr>
      <w:r>
        <w:lastRenderedPageBreak/>
        <w:t>Patients 12</w:t>
      </w:r>
      <w:r w:rsidR="00DB5656">
        <w:t> </w:t>
      </w:r>
      <w:r>
        <w:t>years or older and weighing at least 40</w:t>
      </w:r>
      <w:r w:rsidR="00DB5656">
        <w:t> </w:t>
      </w:r>
      <w:r>
        <w:t>kg:</w:t>
      </w:r>
      <w:r w:rsidR="003269A5">
        <w:t xml:space="preserve"> </w:t>
      </w:r>
      <w:r>
        <w:t>6</w:t>
      </w:r>
      <w:r w:rsidR="00DB5656">
        <w:t> </w:t>
      </w:r>
      <w:r>
        <w:t>mg</w:t>
      </w:r>
      <w:r w:rsidR="00C808E2">
        <w:t> per </w:t>
      </w:r>
      <w:r>
        <w:t>kg nivolumab</w:t>
      </w:r>
      <w:r w:rsidR="00DB5656">
        <w:t xml:space="preserve"> and 2 mg</w:t>
      </w:r>
      <w:r w:rsidR="00C808E2">
        <w:t> per </w:t>
      </w:r>
      <w:r w:rsidR="00DB5656">
        <w:t xml:space="preserve">kg </w:t>
      </w:r>
      <w:proofErr w:type="spellStart"/>
      <w:r w:rsidR="00DB5656">
        <w:t>relatlimab</w:t>
      </w:r>
      <w:proofErr w:type="spellEnd"/>
      <w:r>
        <w:t xml:space="preserve"> (up to a maximum of </w:t>
      </w:r>
      <w:r w:rsidR="00DB5656">
        <w:t xml:space="preserve">480 mg nivolumab and 160 mg </w:t>
      </w:r>
      <w:proofErr w:type="spellStart"/>
      <w:r w:rsidR="00DB5656">
        <w:t>relatlimab</w:t>
      </w:r>
      <w:proofErr w:type="spellEnd"/>
      <w:r>
        <w:t>)</w:t>
      </w:r>
      <w:r w:rsidR="00DB5656">
        <w:t>.</w:t>
      </w:r>
    </w:p>
    <w:p w14:paraId="2B4F803A" w14:textId="3A34F2A1" w:rsidR="00093F07" w:rsidRPr="00D95DEF" w:rsidRDefault="00093F07" w:rsidP="00093F07">
      <w:pPr>
        <w:pStyle w:val="Heading6"/>
      </w:pPr>
      <w:r w:rsidRPr="00D95DEF">
        <w:t xml:space="preserve">Justification </w:t>
      </w:r>
      <w:r>
        <w:t>for</w:t>
      </w:r>
      <w:r w:rsidRPr="00D95DEF">
        <w:t xml:space="preserve"> fixed</w:t>
      </w:r>
      <w:r w:rsidR="008F79EB">
        <w:t>-</w:t>
      </w:r>
      <w:r w:rsidRPr="00D95DEF">
        <w:t>dose combination</w:t>
      </w:r>
    </w:p>
    <w:p w14:paraId="23F6F5A2" w14:textId="1C4CCE13" w:rsidR="00093F07" w:rsidRPr="009C0135" w:rsidRDefault="00093F07" w:rsidP="00093F07">
      <w:pPr>
        <w:rPr>
          <w:iCs/>
          <w:lang w:eastAsia="en-AU"/>
        </w:rPr>
      </w:pPr>
      <w:r>
        <w:rPr>
          <w:iCs/>
          <w:lang w:eastAsia="en-AU"/>
        </w:rPr>
        <w:t xml:space="preserve">The </w:t>
      </w:r>
      <w:r w:rsidR="009B7F40">
        <w:rPr>
          <w:iCs/>
          <w:lang w:eastAsia="en-AU"/>
        </w:rPr>
        <w:t>s</w:t>
      </w:r>
      <w:r>
        <w:rPr>
          <w:iCs/>
          <w:lang w:eastAsia="en-AU"/>
        </w:rPr>
        <w:t>ponsor’s j</w:t>
      </w:r>
      <w:r w:rsidRPr="009C0135">
        <w:rPr>
          <w:iCs/>
          <w:lang w:eastAsia="en-AU"/>
        </w:rPr>
        <w:t xml:space="preserve">ustification for </w:t>
      </w:r>
      <w:r>
        <w:rPr>
          <w:iCs/>
          <w:lang w:eastAsia="en-AU"/>
        </w:rPr>
        <w:t xml:space="preserve">taking </w:t>
      </w:r>
      <w:r w:rsidRPr="009C0135">
        <w:rPr>
          <w:iCs/>
          <w:lang w:eastAsia="en-AU"/>
        </w:rPr>
        <w:t>a fixed</w:t>
      </w:r>
      <w:r w:rsidR="008F79EB">
        <w:rPr>
          <w:iCs/>
          <w:lang w:eastAsia="en-AU"/>
        </w:rPr>
        <w:t>-</w:t>
      </w:r>
      <w:r w:rsidRPr="009C0135">
        <w:rPr>
          <w:iCs/>
          <w:lang w:eastAsia="en-AU"/>
        </w:rPr>
        <w:t xml:space="preserve">dose approach was that nivolumab and </w:t>
      </w:r>
      <w:proofErr w:type="spellStart"/>
      <w:r w:rsidRPr="009C0135">
        <w:rPr>
          <w:iCs/>
          <w:lang w:eastAsia="en-AU"/>
        </w:rPr>
        <w:t>relatlimab</w:t>
      </w:r>
      <w:proofErr w:type="spellEnd"/>
      <w:r w:rsidRPr="009C0135">
        <w:rPr>
          <w:iCs/>
          <w:lang w:eastAsia="en-AU"/>
        </w:rPr>
        <w:t xml:space="preserve"> have distinct immune checkpoint targets, and based on biological rationale, </w:t>
      </w:r>
      <w:r w:rsidR="009B7F40">
        <w:rPr>
          <w:iCs/>
          <w:lang w:eastAsia="en-AU"/>
        </w:rPr>
        <w:t>non</w:t>
      </w:r>
      <w:r w:rsidRPr="009C0135">
        <w:rPr>
          <w:iCs/>
          <w:lang w:eastAsia="en-AU"/>
        </w:rPr>
        <w:t>clinical and early phase clinical data, may act synergistically or at least additively.</w:t>
      </w:r>
    </w:p>
    <w:p w14:paraId="543A030B" w14:textId="6CCE559E" w:rsidR="00093F07" w:rsidRPr="009C0135" w:rsidRDefault="00093F07" w:rsidP="00093F07">
      <w:pPr>
        <w:rPr>
          <w:iCs/>
          <w:lang w:eastAsia="en-AU"/>
        </w:rPr>
      </w:pPr>
      <w:r w:rsidRPr="009C0135">
        <w:rPr>
          <w:iCs/>
          <w:lang w:eastAsia="en-AU"/>
        </w:rPr>
        <w:t>The proposed benefit of a single combination product was that it simplifies therapy, with reduced total infusion time, simpler dose calculation and reduced opportunity for dosing error, and a single P</w:t>
      </w:r>
      <w:r w:rsidR="003269A5">
        <w:rPr>
          <w:iCs/>
          <w:lang w:eastAsia="en-AU"/>
        </w:rPr>
        <w:t>I</w:t>
      </w:r>
      <w:r w:rsidRPr="009C0135">
        <w:rPr>
          <w:iCs/>
          <w:lang w:eastAsia="en-AU"/>
        </w:rPr>
        <w:t xml:space="preserve"> document, reducing the likelihood of confusion.</w:t>
      </w:r>
    </w:p>
    <w:p w14:paraId="5093A9DE" w14:textId="498A8299" w:rsidR="00093F07" w:rsidRPr="009C0135" w:rsidRDefault="00093F07" w:rsidP="00093F07">
      <w:pPr>
        <w:rPr>
          <w:iCs/>
          <w:lang w:eastAsia="en-AU"/>
        </w:rPr>
      </w:pPr>
      <w:r>
        <w:rPr>
          <w:iCs/>
          <w:lang w:eastAsia="en-AU"/>
        </w:rPr>
        <w:t xml:space="preserve">The </w:t>
      </w:r>
      <w:r w:rsidR="009B7F40">
        <w:rPr>
          <w:iCs/>
          <w:lang w:eastAsia="en-AU"/>
        </w:rPr>
        <w:t>s</w:t>
      </w:r>
      <w:r>
        <w:rPr>
          <w:iCs/>
          <w:lang w:eastAsia="en-AU"/>
        </w:rPr>
        <w:t>ponsor stated that the safety profile of the fixed</w:t>
      </w:r>
      <w:r w:rsidR="008F79EB">
        <w:rPr>
          <w:iCs/>
          <w:lang w:eastAsia="en-AU"/>
        </w:rPr>
        <w:t>-</w:t>
      </w:r>
      <w:r>
        <w:rPr>
          <w:iCs/>
          <w:lang w:eastAsia="en-AU"/>
        </w:rPr>
        <w:t>dose combination as studied in the pivotal trial was acceptable given the clinical setting. T</w:t>
      </w:r>
      <w:r w:rsidRPr="009C0135">
        <w:rPr>
          <w:iCs/>
          <w:lang w:eastAsia="en-AU"/>
        </w:rPr>
        <w:t>he lack of ability to</w:t>
      </w:r>
      <w:r>
        <w:rPr>
          <w:iCs/>
          <w:lang w:eastAsia="en-AU"/>
        </w:rPr>
        <w:t xml:space="preserve"> reduce the</w:t>
      </w:r>
      <w:r w:rsidRPr="009C0135">
        <w:rPr>
          <w:iCs/>
          <w:lang w:eastAsia="en-AU"/>
        </w:rPr>
        <w:t xml:space="preserve"> dose</w:t>
      </w:r>
      <w:r>
        <w:rPr>
          <w:iCs/>
          <w:lang w:eastAsia="en-AU"/>
        </w:rPr>
        <w:t xml:space="preserve"> of</w:t>
      </w:r>
      <w:r w:rsidRPr="009C0135">
        <w:rPr>
          <w:iCs/>
          <w:lang w:eastAsia="en-AU"/>
        </w:rPr>
        <w:t xml:space="preserve"> one active agent separately from the other</w:t>
      </w:r>
      <w:r>
        <w:rPr>
          <w:iCs/>
          <w:lang w:eastAsia="en-AU"/>
        </w:rPr>
        <w:t xml:space="preserve"> was not specifically addressed.</w:t>
      </w:r>
      <w:r w:rsidRPr="009C0135">
        <w:rPr>
          <w:iCs/>
          <w:lang w:eastAsia="en-AU"/>
        </w:rPr>
        <w:t xml:space="preserve"> </w:t>
      </w:r>
      <w:r>
        <w:rPr>
          <w:iCs/>
          <w:lang w:eastAsia="en-AU"/>
        </w:rPr>
        <w:t xml:space="preserve">Due to the apparent flat exposure-response relationship for safety for both nivolumab and </w:t>
      </w:r>
      <w:proofErr w:type="spellStart"/>
      <w:r>
        <w:rPr>
          <w:iCs/>
          <w:lang w:eastAsia="en-AU"/>
        </w:rPr>
        <w:t>relatlimab</w:t>
      </w:r>
      <w:proofErr w:type="spellEnd"/>
      <w:r>
        <w:rPr>
          <w:iCs/>
          <w:lang w:eastAsia="en-AU"/>
        </w:rPr>
        <w:t>, this is not of concern.</w:t>
      </w:r>
    </w:p>
    <w:p w14:paraId="4BE88091" w14:textId="77777777" w:rsidR="00093F07" w:rsidRDefault="00093F07" w:rsidP="00093F07">
      <w:pPr>
        <w:pStyle w:val="Heading6"/>
      </w:pPr>
      <w:r>
        <w:t xml:space="preserve">Justification for proposed adult </w:t>
      </w:r>
      <w:proofErr w:type="gramStart"/>
      <w:r>
        <w:t>dose</w:t>
      </w:r>
      <w:proofErr w:type="gramEnd"/>
    </w:p>
    <w:p w14:paraId="31990920" w14:textId="73038129" w:rsidR="00093F07" w:rsidRDefault="00093F07" w:rsidP="00093F07">
      <w:r>
        <w:t>The existing approved dose of nivolumab for advanced melanoma is a flat dose of 240</w:t>
      </w:r>
      <w:r w:rsidR="009B7F40">
        <w:t> </w:t>
      </w:r>
      <w:r>
        <w:t xml:space="preserve">mg </w:t>
      </w:r>
      <w:r w:rsidR="009B7F40">
        <w:t>every 2</w:t>
      </w:r>
      <w:r w:rsidR="003269A5">
        <w:t> </w:t>
      </w:r>
      <w:r w:rsidR="009B7F40">
        <w:t>weeks</w:t>
      </w:r>
      <w:r>
        <w:t xml:space="preserve"> or 480</w:t>
      </w:r>
      <w:r w:rsidR="009B7F40">
        <w:t> </w:t>
      </w:r>
      <w:r>
        <w:t xml:space="preserve">mg </w:t>
      </w:r>
      <w:r w:rsidR="009B7F40">
        <w:t>every 4 weeks</w:t>
      </w:r>
      <w:r>
        <w:t>, based on similar benefit-risk to the studied 3</w:t>
      </w:r>
      <w:r w:rsidR="009B7F40">
        <w:t> </w:t>
      </w:r>
      <w:r>
        <w:t>mg</w:t>
      </w:r>
      <w:r w:rsidR="00C808E2">
        <w:t> per </w:t>
      </w:r>
      <w:r>
        <w:t xml:space="preserve">kg </w:t>
      </w:r>
      <w:r w:rsidR="009B7F40">
        <w:t>every 2</w:t>
      </w:r>
      <w:r w:rsidR="003269A5">
        <w:t> </w:t>
      </w:r>
      <w:r w:rsidR="009B7F40">
        <w:t>weeks</w:t>
      </w:r>
      <w:r>
        <w:t xml:space="preserve"> dosing regimen.</w:t>
      </w:r>
    </w:p>
    <w:p w14:paraId="56FFF148" w14:textId="0E3848F6" w:rsidR="00093F07" w:rsidRDefault="00093F07" w:rsidP="00093F07">
      <w:r>
        <w:t xml:space="preserve">In </w:t>
      </w:r>
      <w:r w:rsidR="003269A5">
        <w:t xml:space="preserve">the </w:t>
      </w:r>
      <w:r>
        <w:t>RELATIVITY-020</w:t>
      </w:r>
      <w:r w:rsidR="003269A5">
        <w:t xml:space="preserve"> trial</w:t>
      </w:r>
      <w:r>
        <w:t>, a range of doses</w:t>
      </w:r>
      <w:r w:rsidR="003269A5">
        <w:t xml:space="preserve"> or </w:t>
      </w:r>
      <w:r>
        <w:t xml:space="preserve">regimens for the combination of </w:t>
      </w:r>
      <w:proofErr w:type="spellStart"/>
      <w:r>
        <w:t>relatlimab</w:t>
      </w:r>
      <w:proofErr w:type="spellEnd"/>
      <w:r>
        <w:t xml:space="preserve"> plus nivolumab were tested:</w:t>
      </w:r>
    </w:p>
    <w:p w14:paraId="33D83D22" w14:textId="6B9F9382" w:rsidR="00093F07" w:rsidRDefault="00093F07" w:rsidP="009B7F40">
      <w:pPr>
        <w:pStyle w:val="ListBullet"/>
      </w:pPr>
      <w:proofErr w:type="spellStart"/>
      <w:r>
        <w:t>relatlimab</w:t>
      </w:r>
      <w:proofErr w:type="spellEnd"/>
      <w:r>
        <w:t xml:space="preserve"> monotherapy: 20 </w:t>
      </w:r>
      <w:r w:rsidR="009B7F40">
        <w:t xml:space="preserve">to </w:t>
      </w:r>
      <w:r>
        <w:t>800</w:t>
      </w:r>
      <w:r w:rsidR="009B7F40">
        <w:t> </w:t>
      </w:r>
      <w:r>
        <w:t xml:space="preserve">mg </w:t>
      </w:r>
      <w:r w:rsidR="009B7F40">
        <w:t>every 2 weeks</w:t>
      </w:r>
    </w:p>
    <w:p w14:paraId="09AE235D" w14:textId="72D59EC7" w:rsidR="00093F07" w:rsidRDefault="00093F07" w:rsidP="009B7F40">
      <w:pPr>
        <w:pStyle w:val="ListBullet"/>
      </w:pPr>
      <w:r>
        <w:t xml:space="preserve">nivolumab </w:t>
      </w:r>
      <w:r w:rsidR="00BD671E">
        <w:t>with</w:t>
      </w:r>
      <w:r>
        <w:t xml:space="preserve"> </w:t>
      </w:r>
      <w:proofErr w:type="spellStart"/>
      <w:r>
        <w:t>relatlimab</w:t>
      </w:r>
      <w:proofErr w:type="spellEnd"/>
      <w:r>
        <w:t>:</w:t>
      </w:r>
    </w:p>
    <w:p w14:paraId="788F4A5F" w14:textId="48948311" w:rsidR="00093F07" w:rsidRDefault="00093F07" w:rsidP="009B7F40">
      <w:pPr>
        <w:pStyle w:val="ListBullet2"/>
      </w:pPr>
      <w:r>
        <w:t xml:space="preserve">nivolumab 80 </w:t>
      </w:r>
      <w:r w:rsidR="009B7F40">
        <w:t>to</w:t>
      </w:r>
      <w:r>
        <w:t xml:space="preserve"> 240</w:t>
      </w:r>
      <w:r w:rsidR="009B7F40">
        <w:t> </w:t>
      </w:r>
      <w:r>
        <w:t xml:space="preserve">mg </w:t>
      </w:r>
      <w:r w:rsidR="009B7F40">
        <w:t>every 2 weeks</w:t>
      </w:r>
      <w:r>
        <w:t xml:space="preserve"> </w:t>
      </w:r>
      <w:r w:rsidR="009B7F40">
        <w:t>with</w:t>
      </w:r>
      <w:r>
        <w:t xml:space="preserve"> </w:t>
      </w:r>
      <w:proofErr w:type="spellStart"/>
      <w:r>
        <w:t>relatlimab</w:t>
      </w:r>
      <w:proofErr w:type="spellEnd"/>
      <w:r>
        <w:t xml:space="preserve"> 20</w:t>
      </w:r>
      <w:r w:rsidR="009B7F40">
        <w:t xml:space="preserve"> to</w:t>
      </w:r>
      <w:r>
        <w:t xml:space="preserve"> 240</w:t>
      </w:r>
      <w:r w:rsidR="009B7F40">
        <w:t> </w:t>
      </w:r>
      <w:r>
        <w:t xml:space="preserve">mg </w:t>
      </w:r>
      <w:r w:rsidR="009B7F40">
        <w:t>every 2 weeks</w:t>
      </w:r>
    </w:p>
    <w:p w14:paraId="2C25296E" w14:textId="7FE4E229" w:rsidR="00093F07" w:rsidRDefault="00093F07" w:rsidP="009B7F40">
      <w:pPr>
        <w:pStyle w:val="ListBullet2"/>
      </w:pPr>
      <w:r>
        <w:t>nivolumab 480</w:t>
      </w:r>
      <w:r w:rsidR="009B7F40">
        <w:t> </w:t>
      </w:r>
      <w:r>
        <w:t xml:space="preserve">mg </w:t>
      </w:r>
      <w:r w:rsidR="009B7F40">
        <w:t>every 4 weeks with</w:t>
      </w:r>
      <w:r>
        <w:t xml:space="preserve"> </w:t>
      </w:r>
      <w:proofErr w:type="spellStart"/>
      <w:r>
        <w:t>relatlimab</w:t>
      </w:r>
      <w:proofErr w:type="spellEnd"/>
      <w:r>
        <w:t xml:space="preserve"> 160</w:t>
      </w:r>
      <w:r w:rsidR="009B7F40">
        <w:t xml:space="preserve"> to </w:t>
      </w:r>
      <w:r>
        <w:t>1440</w:t>
      </w:r>
      <w:r w:rsidR="009B7F40">
        <w:t> </w:t>
      </w:r>
      <w:r>
        <w:t xml:space="preserve">mg </w:t>
      </w:r>
      <w:r w:rsidR="009B7F40">
        <w:t>every 4 weeks.</w:t>
      </w:r>
    </w:p>
    <w:p w14:paraId="28B331CF" w14:textId="57070F06" w:rsidR="00093F07" w:rsidRDefault="00093F07" w:rsidP="00093F07">
      <w:r>
        <w:t xml:space="preserve">Based on preliminary data from </w:t>
      </w:r>
      <w:r w:rsidR="003269A5">
        <w:t xml:space="preserve">the </w:t>
      </w:r>
      <w:r>
        <w:t>RELATIVITY-020</w:t>
      </w:r>
      <w:r w:rsidR="003269A5">
        <w:t xml:space="preserve"> trial</w:t>
      </w:r>
      <w:r>
        <w:t xml:space="preserve">, the initial dose studied in melanoma subjects was </w:t>
      </w:r>
      <w:r w:rsidR="00F718F0">
        <w:t xml:space="preserve">nivolumab 240 mg with </w:t>
      </w:r>
      <w:proofErr w:type="spellStart"/>
      <w:r>
        <w:t>relatlimab</w:t>
      </w:r>
      <w:proofErr w:type="spellEnd"/>
      <w:r>
        <w:t xml:space="preserve"> 80</w:t>
      </w:r>
      <w:r w:rsidR="009B7F40">
        <w:t> </w:t>
      </w:r>
      <w:r>
        <w:t xml:space="preserve">mg </w:t>
      </w:r>
      <w:r w:rsidR="009B7F40">
        <w:t>every 2 weeks</w:t>
      </w:r>
      <w:r>
        <w:t xml:space="preserve">. As a higher and less frequent </w:t>
      </w:r>
      <w:proofErr w:type="spellStart"/>
      <w:r>
        <w:t>relatlimab</w:t>
      </w:r>
      <w:proofErr w:type="spellEnd"/>
      <w:r>
        <w:t xml:space="preserve"> 160</w:t>
      </w:r>
      <w:r w:rsidR="009B7F40">
        <w:t> </w:t>
      </w:r>
      <w:r>
        <w:t xml:space="preserve">mg </w:t>
      </w:r>
      <w:r w:rsidR="009B7F40">
        <w:t>every 4 weeks</w:t>
      </w:r>
      <w:r>
        <w:t xml:space="preserve"> dose was predicted to provide similar </w:t>
      </w:r>
      <w:proofErr w:type="spellStart"/>
      <w:r>
        <w:t>relatlimab</w:t>
      </w:r>
      <w:proofErr w:type="spellEnd"/>
      <w:r>
        <w:t xml:space="preserve"> exposure and peripheral receptor occupancy to that of 80</w:t>
      </w:r>
      <w:r w:rsidR="009B7F40">
        <w:t> </w:t>
      </w:r>
      <w:r>
        <w:t xml:space="preserve">mg </w:t>
      </w:r>
      <w:r w:rsidR="009B7F40">
        <w:t>every 2 weeks</w:t>
      </w:r>
      <w:r>
        <w:t xml:space="preserve">, </w:t>
      </w:r>
      <w:r w:rsidR="00F718F0">
        <w:t>the nivolumab 480 mg with</w:t>
      </w:r>
      <w:r>
        <w:t xml:space="preserve"> </w:t>
      </w:r>
      <w:proofErr w:type="spellStart"/>
      <w:r>
        <w:t>relatlimab</w:t>
      </w:r>
      <w:proofErr w:type="spellEnd"/>
      <w:r>
        <w:t xml:space="preserve"> 160</w:t>
      </w:r>
      <w:r w:rsidR="009B7F40">
        <w:t> </w:t>
      </w:r>
      <w:r>
        <w:t xml:space="preserve">mg </w:t>
      </w:r>
      <w:r w:rsidR="009B7F40">
        <w:t>every 4 weeks</w:t>
      </w:r>
      <w:r>
        <w:t xml:space="preserve"> dosing regimen was chosen for evaluation in </w:t>
      </w:r>
      <w:r w:rsidR="00F718F0">
        <w:t xml:space="preserve">the </w:t>
      </w:r>
      <w:r>
        <w:t xml:space="preserve">pivotal </w:t>
      </w:r>
      <w:r w:rsidR="003269A5">
        <w:t>RELATIVITY-047 trial</w:t>
      </w:r>
      <w:r>
        <w:t>.</w:t>
      </w:r>
    </w:p>
    <w:p w14:paraId="7D8AABA9" w14:textId="77777777" w:rsidR="00093F07" w:rsidRDefault="00093F07" w:rsidP="00093F07">
      <w:pPr>
        <w:pStyle w:val="Heading6"/>
      </w:pPr>
      <w:bookmarkStart w:id="78" w:name="_Ref107580355"/>
      <w:r>
        <w:t>Justification for shortened infusion time</w:t>
      </w:r>
      <w:bookmarkEnd w:id="78"/>
    </w:p>
    <w:p w14:paraId="4BE86DF3" w14:textId="7C4AAF4F" w:rsidR="00093F07" w:rsidRDefault="00093F07" w:rsidP="00093F07">
      <w:r w:rsidRPr="00F124ED">
        <w:t xml:space="preserve">In both RELATIVITY studies, </w:t>
      </w:r>
      <w:proofErr w:type="spellStart"/>
      <w:r w:rsidRPr="00F124ED">
        <w:t>relatlimab</w:t>
      </w:r>
      <w:proofErr w:type="spellEnd"/>
      <w:r w:rsidRPr="00F124ED">
        <w:t xml:space="preserve"> was administered as monotherapy or in combination with nivolumab over </w:t>
      </w:r>
      <w:r w:rsidR="00F718F0">
        <w:t xml:space="preserve">a </w:t>
      </w:r>
      <w:proofErr w:type="gramStart"/>
      <w:r w:rsidRPr="00F124ED">
        <w:t>60</w:t>
      </w:r>
      <w:r w:rsidR="009B7F40">
        <w:t> </w:t>
      </w:r>
      <w:r w:rsidRPr="00F124ED">
        <w:t>minute</w:t>
      </w:r>
      <w:proofErr w:type="gramEnd"/>
      <w:r w:rsidRPr="00F124ED">
        <w:t xml:space="preserve"> infusion duration. </w:t>
      </w:r>
      <w:r>
        <w:t>T</w:t>
      </w:r>
      <w:r w:rsidRPr="00F124ED">
        <w:t xml:space="preserve">he </w:t>
      </w:r>
      <w:r w:rsidR="009B7F40">
        <w:t>s</w:t>
      </w:r>
      <w:r w:rsidRPr="00F124ED">
        <w:t xml:space="preserve">ponsor proposes a </w:t>
      </w:r>
      <w:r>
        <w:t xml:space="preserve">shorter, </w:t>
      </w:r>
      <w:proofErr w:type="gramStart"/>
      <w:r w:rsidRPr="00F124ED">
        <w:t>30</w:t>
      </w:r>
      <w:r w:rsidR="009B7F40">
        <w:t> </w:t>
      </w:r>
      <w:r w:rsidRPr="00F124ED">
        <w:t>minute</w:t>
      </w:r>
      <w:proofErr w:type="gramEnd"/>
      <w:r w:rsidRPr="00F124ED">
        <w:t xml:space="preserve"> infusion time</w:t>
      </w:r>
      <w:r>
        <w:t xml:space="preserve"> for </w:t>
      </w:r>
      <w:proofErr w:type="spellStart"/>
      <w:r>
        <w:t>O</w:t>
      </w:r>
      <w:r w:rsidR="009B7F40">
        <w:t>pdualag</w:t>
      </w:r>
      <w:proofErr w:type="spellEnd"/>
      <w:r w:rsidR="00F718F0">
        <w:t>,</w:t>
      </w:r>
      <w:r>
        <w:t xml:space="preserve"> </w:t>
      </w:r>
      <w:r w:rsidRPr="00A41F9A">
        <w:t>for patient, caregiver, and health care provider</w:t>
      </w:r>
      <w:r>
        <w:t xml:space="preserve"> convenience</w:t>
      </w:r>
      <w:r w:rsidRPr="00A41F9A">
        <w:t>.</w:t>
      </w:r>
    </w:p>
    <w:p w14:paraId="2ECEF159" w14:textId="77777777" w:rsidR="00093F07" w:rsidRDefault="00093F07" w:rsidP="00093F07">
      <w:r>
        <w:t>There are no direct clinical data to support this infusion time, however:</w:t>
      </w:r>
    </w:p>
    <w:p w14:paraId="540DB6A7" w14:textId="4471A6B8" w:rsidR="00093F07" w:rsidRDefault="00F718F0" w:rsidP="009B7F40">
      <w:pPr>
        <w:pStyle w:val="ListBullet"/>
      </w:pPr>
      <w:r>
        <w:t>b</w:t>
      </w:r>
      <w:r w:rsidR="00093F07">
        <w:t xml:space="preserve">oth nivolumab and </w:t>
      </w:r>
      <w:proofErr w:type="spellStart"/>
      <w:r w:rsidR="00093F07">
        <w:t>relatlimab</w:t>
      </w:r>
      <w:proofErr w:type="spellEnd"/>
      <w:r w:rsidR="00093F07">
        <w:t xml:space="preserve"> contain only human immunoglobulin protein sequences, so are considered to have a low risk of inducing immunogenicity or associated infusion or hypersensitivity </w:t>
      </w:r>
      <w:proofErr w:type="gramStart"/>
      <w:r w:rsidR="00093F07">
        <w:t>reactions</w:t>
      </w:r>
      <w:proofErr w:type="gramEnd"/>
    </w:p>
    <w:p w14:paraId="2D24FDE9" w14:textId="5715A88D" w:rsidR="00093F07" w:rsidRDefault="00F718F0" w:rsidP="009B7F40">
      <w:pPr>
        <w:pStyle w:val="ListBullet"/>
      </w:pPr>
      <w:r>
        <w:t>i</w:t>
      </w:r>
      <w:r w:rsidR="00093F07" w:rsidRPr="00A41F9A">
        <w:t>nfusion reactions</w:t>
      </w:r>
      <w:r w:rsidR="00093F07">
        <w:t xml:space="preserve"> were uncommon with the </w:t>
      </w:r>
      <w:proofErr w:type="gramStart"/>
      <w:r w:rsidR="00093F07">
        <w:t>60</w:t>
      </w:r>
      <w:r w:rsidR="009B7F40">
        <w:t> </w:t>
      </w:r>
      <w:r w:rsidR="00093F07">
        <w:t>minute</w:t>
      </w:r>
      <w:proofErr w:type="gramEnd"/>
      <w:r w:rsidR="00093F07">
        <w:t xml:space="preserve"> infusion in the pivotal trial (6%) and there </w:t>
      </w:r>
      <w:r w:rsidR="00093F07" w:rsidRPr="0038229D">
        <w:t>were no high-grade events or discontinuations. The duration of treatment in the pivotal trial (median</w:t>
      </w:r>
      <w:r w:rsidR="009B7F40">
        <w:t> </w:t>
      </w:r>
      <w:r w:rsidR="00093F07" w:rsidRPr="0038229D">
        <w:t>5.6 months, mean</w:t>
      </w:r>
      <w:r w:rsidR="009B7F40">
        <w:t> </w:t>
      </w:r>
      <w:r w:rsidR="00093F07" w:rsidRPr="0038229D">
        <w:t>9.0 months, max</w:t>
      </w:r>
      <w:r w:rsidR="009B7F40">
        <w:t>imum</w:t>
      </w:r>
      <w:r w:rsidR="00093F07" w:rsidRPr="0038229D">
        <w:t xml:space="preserve"> 31.5</w:t>
      </w:r>
      <w:r w:rsidR="009B7F40">
        <w:t> </w:t>
      </w:r>
      <w:r w:rsidR="00093F07" w:rsidRPr="0038229D">
        <w:t>months</w:t>
      </w:r>
      <w:r w:rsidR="009B7F40">
        <w:t>)</w:t>
      </w:r>
      <w:r w:rsidR="00093F07" w:rsidRPr="0038229D">
        <w:t xml:space="preserve"> is ade</w:t>
      </w:r>
      <w:r w:rsidR="00093F07">
        <w:t xml:space="preserve">quate to support this </w:t>
      </w:r>
      <w:proofErr w:type="gramStart"/>
      <w:r w:rsidR="00093F07">
        <w:t>assessment</w:t>
      </w:r>
      <w:proofErr w:type="gramEnd"/>
    </w:p>
    <w:p w14:paraId="7F2D93EE" w14:textId="74EFFC8A" w:rsidR="00093F07" w:rsidRDefault="00F718F0" w:rsidP="009B7F40">
      <w:pPr>
        <w:pStyle w:val="ListBullet"/>
      </w:pPr>
      <w:r>
        <w:lastRenderedPageBreak/>
        <w:t>t</w:t>
      </w:r>
      <w:r w:rsidR="00093F07">
        <w:t xml:space="preserve">here was not an apparent correlation between </w:t>
      </w:r>
      <w:proofErr w:type="spellStart"/>
      <w:r w:rsidR="00093F07">
        <w:t>relatlimab</w:t>
      </w:r>
      <w:proofErr w:type="spellEnd"/>
      <w:r w:rsidR="00093F07">
        <w:t xml:space="preserve"> dose and incidence of infusion or hypersensitivity </w:t>
      </w:r>
      <w:proofErr w:type="gramStart"/>
      <w:r w:rsidR="00093F07">
        <w:t>reactions</w:t>
      </w:r>
      <w:proofErr w:type="gramEnd"/>
    </w:p>
    <w:p w14:paraId="12910BD2" w14:textId="365B811B" w:rsidR="00093F07" w:rsidRDefault="00F718F0" w:rsidP="009B7F40">
      <w:pPr>
        <w:pStyle w:val="ListBullet"/>
      </w:pPr>
      <w:r>
        <w:t>t</w:t>
      </w:r>
      <w:r w:rsidR="00093F07">
        <w:t xml:space="preserve">he rate of </w:t>
      </w:r>
      <w:proofErr w:type="spellStart"/>
      <w:r w:rsidR="00093F07">
        <w:t>relatlimab</w:t>
      </w:r>
      <w:proofErr w:type="spellEnd"/>
      <w:r w:rsidR="00093F07">
        <w:t xml:space="preserve"> infusion would be approximately 5</w:t>
      </w:r>
      <w:r w:rsidR="009B7F40">
        <w:t> </w:t>
      </w:r>
      <w:r w:rsidR="00093F07">
        <w:t xml:space="preserve">mg/min if </w:t>
      </w:r>
      <w:proofErr w:type="spellStart"/>
      <w:r>
        <w:t>Opdualag</w:t>
      </w:r>
      <w:proofErr w:type="spellEnd"/>
      <w:r w:rsidR="00093F07">
        <w:t xml:space="preserve"> was given over a duration of 30</w:t>
      </w:r>
      <w:r w:rsidR="009B7F40">
        <w:t> </w:t>
      </w:r>
      <w:r w:rsidR="00093F07">
        <w:t xml:space="preserve">minutes. A much higher </w:t>
      </w:r>
      <w:proofErr w:type="spellStart"/>
      <w:r w:rsidR="00093F07">
        <w:t>relatlimab</w:t>
      </w:r>
      <w:proofErr w:type="spellEnd"/>
      <w:r w:rsidR="00093F07">
        <w:t xml:space="preserve"> infusion rate of 24</w:t>
      </w:r>
      <w:r w:rsidR="009B7F40">
        <w:t> </w:t>
      </w:r>
      <w:r w:rsidR="00093F07">
        <w:t>mg/min (</w:t>
      </w:r>
      <w:r w:rsidR="00093F07" w:rsidRPr="00A41F9A">
        <w:t>1440</w:t>
      </w:r>
      <w:r w:rsidR="009B7F40">
        <w:t> </w:t>
      </w:r>
      <w:r w:rsidR="00093F07" w:rsidRPr="00A41F9A">
        <w:t xml:space="preserve">mg </w:t>
      </w:r>
      <w:r w:rsidR="00093F07">
        <w:t>given</w:t>
      </w:r>
      <w:r w:rsidR="00093F07" w:rsidRPr="00A41F9A">
        <w:t xml:space="preserve"> over 60</w:t>
      </w:r>
      <w:r w:rsidR="009B7F40">
        <w:t> </w:t>
      </w:r>
      <w:r w:rsidR="00093F07" w:rsidRPr="00A41F9A">
        <w:t>minutes</w:t>
      </w:r>
      <w:r w:rsidR="00093F07">
        <w:t>) was received by 19</w:t>
      </w:r>
      <w:r w:rsidR="009B7F40">
        <w:t> </w:t>
      </w:r>
      <w:r w:rsidR="00093F07">
        <w:t xml:space="preserve">patients in </w:t>
      </w:r>
      <w:r w:rsidR="003269A5">
        <w:t xml:space="preserve">the </w:t>
      </w:r>
      <w:r w:rsidR="00093F07">
        <w:t xml:space="preserve">RELATIVITY-020 </w:t>
      </w:r>
      <w:r w:rsidR="003269A5">
        <w:t xml:space="preserve">trial </w:t>
      </w:r>
      <w:r w:rsidR="00093F07">
        <w:t xml:space="preserve">Part B. The safety profile in patients receiving this dose was not notably different from other doses and there was no apparent correlation between higher doses and safety </w:t>
      </w:r>
      <w:proofErr w:type="gramStart"/>
      <w:r w:rsidR="00093F07">
        <w:t>outcomes</w:t>
      </w:r>
      <w:proofErr w:type="gramEnd"/>
    </w:p>
    <w:p w14:paraId="617F4297" w14:textId="1A4B1FCE" w:rsidR="00093F07" w:rsidRDefault="00093F07" w:rsidP="009B7F40">
      <w:pPr>
        <w:pStyle w:val="ListBullet"/>
      </w:pPr>
      <w:r>
        <w:t xml:space="preserve">the total protein infusion rate with a </w:t>
      </w:r>
      <w:proofErr w:type="gramStart"/>
      <w:r>
        <w:t>30</w:t>
      </w:r>
      <w:r w:rsidR="009B7F40">
        <w:t> </w:t>
      </w:r>
      <w:r>
        <w:t>minute</w:t>
      </w:r>
      <w:proofErr w:type="gramEnd"/>
      <w:r>
        <w:t xml:space="preserve"> infusion of the proposed </w:t>
      </w:r>
      <w:proofErr w:type="spellStart"/>
      <w:r>
        <w:t>O</w:t>
      </w:r>
      <w:r w:rsidR="009B7F40">
        <w:t>pdualag</w:t>
      </w:r>
      <w:proofErr w:type="spellEnd"/>
      <w:r>
        <w:t xml:space="preserve"> dose would be 21</w:t>
      </w:r>
      <w:r w:rsidR="009B7F40">
        <w:t> </w:t>
      </w:r>
      <w:r>
        <w:t xml:space="preserve">mg/min, which is the same as the total protein infusion rate for the highest dose that was tested in </w:t>
      </w:r>
      <w:r w:rsidR="003269A5">
        <w:t>the RELATIVITY-020 trial</w:t>
      </w:r>
      <w:r>
        <w:t xml:space="preserve"> (480</w:t>
      </w:r>
      <w:r w:rsidR="009B7F40">
        <w:t> </w:t>
      </w:r>
      <w:r>
        <w:t>mg nivo</w:t>
      </w:r>
      <w:r w:rsidR="00BE57A9">
        <w:t xml:space="preserve">lumab with </w:t>
      </w:r>
      <w:r>
        <w:t>1440</w:t>
      </w:r>
      <w:r w:rsidR="00BE57A9">
        <w:t> </w:t>
      </w:r>
      <w:r>
        <w:t xml:space="preserve">mg </w:t>
      </w:r>
      <w:proofErr w:type="spellStart"/>
      <w:r>
        <w:t>relatlimab</w:t>
      </w:r>
      <w:proofErr w:type="spellEnd"/>
      <w:r>
        <w:t xml:space="preserve"> </w:t>
      </w:r>
      <w:r w:rsidR="00BE57A9">
        <w:t>every 4 weeks</w:t>
      </w:r>
      <w:r>
        <w:t xml:space="preserve"> given sequentially over 90</w:t>
      </w:r>
      <w:r w:rsidR="00BE57A9">
        <w:t> </w:t>
      </w:r>
      <w:r>
        <w:t>minutes)</w:t>
      </w:r>
    </w:p>
    <w:p w14:paraId="6A2A89BF" w14:textId="578F7BAF" w:rsidR="00093F07" w:rsidRDefault="00F718F0" w:rsidP="009B7F40">
      <w:pPr>
        <w:pStyle w:val="ListBullet"/>
      </w:pPr>
      <w:r>
        <w:t>p</w:t>
      </w:r>
      <w:r w:rsidR="00093F07">
        <w:t>op</w:t>
      </w:r>
      <w:r w:rsidR="00594EA0">
        <w:t>ulation pharmacokinetic</w:t>
      </w:r>
      <w:r w:rsidR="00093F07">
        <w:t xml:space="preserve"> analysis predicts </w:t>
      </w:r>
      <w:r w:rsidR="00BE57A9">
        <w:t xml:space="preserve">less than </w:t>
      </w:r>
      <w:r w:rsidR="00093F07">
        <w:t xml:space="preserve">1% difference in exposure metrics for </w:t>
      </w:r>
      <w:r w:rsidR="00093F07" w:rsidRPr="00A41F9A">
        <w:t>systemic exposures (</w:t>
      </w:r>
      <w:r w:rsidR="00BE57A9">
        <w:t xml:space="preserve">that is, </w:t>
      </w:r>
      <w:r w:rsidR="00DB4503">
        <w:t>maximum concentration, minimum concentration and average concentration</w:t>
      </w:r>
      <w:r w:rsidR="00093F07" w:rsidRPr="00A41F9A">
        <w:t xml:space="preserve">) </w:t>
      </w:r>
      <w:r w:rsidR="00093F07">
        <w:t>between a 30</w:t>
      </w:r>
      <w:r w:rsidR="00BE57A9">
        <w:t> </w:t>
      </w:r>
      <w:r w:rsidR="00093F07">
        <w:t xml:space="preserve">minute and a </w:t>
      </w:r>
      <w:proofErr w:type="gramStart"/>
      <w:r w:rsidR="00093F07">
        <w:t>60</w:t>
      </w:r>
      <w:r w:rsidR="00BE57A9">
        <w:t> </w:t>
      </w:r>
      <w:r w:rsidR="00093F07">
        <w:t>minute</w:t>
      </w:r>
      <w:proofErr w:type="gramEnd"/>
      <w:r w:rsidR="00093F07">
        <w:t xml:space="preserve"> infusion time.</w:t>
      </w:r>
    </w:p>
    <w:p w14:paraId="7CF35DFE" w14:textId="104AFE43" w:rsidR="00093F07" w:rsidRDefault="00093F07" w:rsidP="00093F07">
      <w:pPr>
        <w:pStyle w:val="Heading6"/>
      </w:pPr>
      <w:bookmarkStart w:id="79" w:name="_Ref105580297"/>
      <w:bookmarkStart w:id="80" w:name="_Ref105580338"/>
      <w:r>
        <w:t xml:space="preserve">Justification for proposed paediatric </w:t>
      </w:r>
      <w:bookmarkEnd w:id="79"/>
      <w:proofErr w:type="gramStart"/>
      <w:r>
        <w:t>dose</w:t>
      </w:r>
      <w:bookmarkEnd w:id="80"/>
      <w:proofErr w:type="gramEnd"/>
    </w:p>
    <w:p w14:paraId="1F69D1E9" w14:textId="36F3E907" w:rsidR="00093F07" w:rsidRPr="00A41F9A" w:rsidRDefault="00093F07" w:rsidP="00093F07">
      <w:r>
        <w:t xml:space="preserve">The pivotal trial did not include patients younger than 12 years, and conventional melanoma </w:t>
      </w:r>
      <w:r w:rsidR="00BE57A9">
        <w:t xml:space="preserve">is </w:t>
      </w:r>
      <w:r>
        <w:t xml:space="preserve">not expected to occur in such patients. Direct data to inform PK or efficacy and safety of </w:t>
      </w:r>
      <w:proofErr w:type="spellStart"/>
      <w:r>
        <w:t>relatlimab</w:t>
      </w:r>
      <w:proofErr w:type="spellEnd"/>
      <w:r>
        <w:t xml:space="preserve"> in adolescents is not available, because although the RELATIVITY clinical trials both allowed paediatric patients over the age of 12 </w:t>
      </w:r>
      <w:r w:rsidR="00BE57A9">
        <w:t xml:space="preserve">years </w:t>
      </w:r>
      <w:r>
        <w:t xml:space="preserve">to enrol, only </w:t>
      </w:r>
      <w:r w:rsidRPr="00A41F9A">
        <w:t>one such patient did so (a 17</w:t>
      </w:r>
      <w:r w:rsidR="003269A5">
        <w:noBreakHyphen/>
      </w:r>
      <w:r w:rsidRPr="00A41F9A">
        <w:t xml:space="preserve">year-old patient in </w:t>
      </w:r>
      <w:r w:rsidR="003269A5">
        <w:t>the RELATIVITY-020 trial</w:t>
      </w:r>
      <w:r w:rsidRPr="00A41F9A">
        <w:t>).</w:t>
      </w:r>
    </w:p>
    <w:p w14:paraId="39A69C34" w14:textId="463F7CEC" w:rsidR="00093F07" w:rsidRDefault="00093F07" w:rsidP="00093F07">
      <w:r w:rsidRPr="000F11B8">
        <w:t xml:space="preserve">The </w:t>
      </w:r>
      <w:r w:rsidR="00BE57A9">
        <w:t>s</w:t>
      </w:r>
      <w:r w:rsidRPr="000F11B8">
        <w:t>ponsor conducted modelling of PK data from studies in which 26</w:t>
      </w:r>
      <w:r w:rsidR="00BE57A9">
        <w:t> </w:t>
      </w:r>
      <w:r w:rsidRPr="000F11B8">
        <w:t>patients under the age of 12</w:t>
      </w:r>
      <w:r w:rsidR="00BE57A9">
        <w:t> </w:t>
      </w:r>
      <w:r w:rsidRPr="000F11B8">
        <w:t>years, and 24</w:t>
      </w:r>
      <w:r w:rsidR="00BE57A9">
        <w:t> </w:t>
      </w:r>
      <w:r w:rsidRPr="000F11B8">
        <w:t xml:space="preserve">patients between the ages of 12 and 17 </w:t>
      </w:r>
      <w:r w:rsidR="00BE57A9">
        <w:t xml:space="preserve">years </w:t>
      </w:r>
      <w:r w:rsidRPr="000F11B8">
        <w:t xml:space="preserve">received nivolumab (including the 17-year-old in </w:t>
      </w:r>
      <w:r w:rsidR="003269A5">
        <w:t>the RELATIVITY-020 trial</w:t>
      </w:r>
      <w:r w:rsidRPr="000F11B8">
        <w:t>).</w:t>
      </w:r>
    </w:p>
    <w:p w14:paraId="47C35872" w14:textId="1FDD7C33" w:rsidR="00093F07" w:rsidRPr="000F11B8" w:rsidRDefault="00093F07" w:rsidP="00093F07">
      <w:r w:rsidRPr="000F11B8">
        <w:t xml:space="preserve">Based on overall PK similarity of nivolumab and </w:t>
      </w:r>
      <w:proofErr w:type="spellStart"/>
      <w:r w:rsidRPr="000F11B8">
        <w:t>relatlimab</w:t>
      </w:r>
      <w:proofErr w:type="spellEnd"/>
      <w:r w:rsidRPr="000F11B8">
        <w:t xml:space="preserve">, the </w:t>
      </w:r>
      <w:r w:rsidR="00BE57A9">
        <w:t>s</w:t>
      </w:r>
      <w:r w:rsidRPr="000F11B8">
        <w:t xml:space="preserve">ponsor applied the paediatric effect on nivolumab clearance to the linear component of </w:t>
      </w:r>
      <w:proofErr w:type="spellStart"/>
      <w:r w:rsidRPr="000F11B8">
        <w:t>relatlimab</w:t>
      </w:r>
      <w:proofErr w:type="spellEnd"/>
      <w:r w:rsidRPr="000F11B8">
        <w:t xml:space="preserve"> clearance and the paediatric effect on nivolumab volume of distribution to the </w:t>
      </w:r>
      <w:proofErr w:type="spellStart"/>
      <w:r w:rsidRPr="000F11B8">
        <w:t>relatlimab</w:t>
      </w:r>
      <w:proofErr w:type="spellEnd"/>
      <w:r w:rsidRPr="000F11B8">
        <w:t xml:space="preserve"> volume of distribution, to predict </w:t>
      </w:r>
      <w:proofErr w:type="spellStart"/>
      <w:r w:rsidRPr="000F11B8">
        <w:t>relatlimab</w:t>
      </w:r>
      <w:proofErr w:type="spellEnd"/>
      <w:r w:rsidRPr="000F11B8">
        <w:t xml:space="preserve"> exposure in </w:t>
      </w:r>
      <w:r>
        <w:t>adolescent patients (</w:t>
      </w:r>
      <w:r w:rsidRPr="000F11B8">
        <w:t xml:space="preserve">paediatric </w:t>
      </w:r>
      <w:r>
        <w:t>patients aged at least 12 years)</w:t>
      </w:r>
      <w:r w:rsidRPr="000F11B8">
        <w:t>.</w:t>
      </w:r>
    </w:p>
    <w:p w14:paraId="2C24FA49" w14:textId="77777777" w:rsidR="00093F07" w:rsidRPr="00327B09" w:rsidRDefault="00093F07" w:rsidP="00093F07">
      <w:r w:rsidRPr="000F11B8">
        <w:t>The model predicted a weight-independent decrease in baseline clearance for paediatric patients</w:t>
      </w:r>
      <w:r w:rsidRPr="00327B09">
        <w:t>, and was applied to four possible paediatric dosing scenarios to try and obtain close to adult exposures:</w:t>
      </w:r>
    </w:p>
    <w:p w14:paraId="21A29970" w14:textId="7EF03E3B" w:rsidR="00093F07" w:rsidRPr="0067665F" w:rsidRDefault="00093F07" w:rsidP="00BE57A9">
      <w:pPr>
        <w:pStyle w:val="ListBullet"/>
      </w:pPr>
      <w:r w:rsidRPr="0067665F">
        <w:t xml:space="preserve">Scenario 1: </w:t>
      </w:r>
      <w:r w:rsidR="0067665F" w:rsidRPr="0067665F">
        <w:t xml:space="preserve">nivolumab 6 mg/kg with </w:t>
      </w:r>
      <w:proofErr w:type="spellStart"/>
      <w:r w:rsidR="0067665F" w:rsidRPr="0067665F">
        <w:t>relatlimab</w:t>
      </w:r>
      <w:proofErr w:type="spellEnd"/>
      <w:r w:rsidR="0067665F" w:rsidRPr="0067665F">
        <w:t xml:space="preserve"> 2 mg/kg</w:t>
      </w:r>
      <w:r w:rsidRPr="0067665F">
        <w:t xml:space="preserve"> (</w:t>
      </w:r>
      <w:r w:rsidR="00BE57A9" w:rsidRPr="0067665F">
        <w:t xml:space="preserve">for patients below </w:t>
      </w:r>
      <w:r w:rsidRPr="0067665F">
        <w:t>40 kg</w:t>
      </w:r>
      <w:r w:rsidR="00BE57A9" w:rsidRPr="0067665F">
        <w:t xml:space="preserve"> body weight</w:t>
      </w:r>
      <w:r w:rsidRPr="0067665F">
        <w:t xml:space="preserve">) or </w:t>
      </w:r>
      <w:r w:rsidR="0067665F" w:rsidRPr="0067665F">
        <w:t xml:space="preserve">nivolumab 480 mg with </w:t>
      </w:r>
      <w:proofErr w:type="spellStart"/>
      <w:r w:rsidR="0067665F" w:rsidRPr="0067665F">
        <w:t>relatlimab</w:t>
      </w:r>
      <w:proofErr w:type="spellEnd"/>
      <w:r w:rsidR="0067665F" w:rsidRPr="0067665F">
        <w:t xml:space="preserve"> 160 mg</w:t>
      </w:r>
      <w:r w:rsidRPr="0067665F">
        <w:t xml:space="preserve"> (</w:t>
      </w:r>
      <w:r w:rsidR="00BE57A9" w:rsidRPr="0067665F">
        <w:t>for patients</w:t>
      </w:r>
      <w:r w:rsidRPr="0067665F">
        <w:t xml:space="preserve"> 40</w:t>
      </w:r>
      <w:r w:rsidR="00BE57A9" w:rsidRPr="0067665F">
        <w:t> </w:t>
      </w:r>
      <w:r w:rsidRPr="0067665F">
        <w:t>kg</w:t>
      </w:r>
      <w:r w:rsidR="00BE57A9" w:rsidRPr="0067665F">
        <w:t xml:space="preserve"> and over</w:t>
      </w:r>
      <w:r w:rsidRPr="0067665F">
        <w:t xml:space="preserve">) </w:t>
      </w:r>
      <w:r w:rsidR="00BE57A9" w:rsidRPr="0067665F">
        <w:t>every 4</w:t>
      </w:r>
      <w:r w:rsidR="003269A5">
        <w:t> </w:t>
      </w:r>
      <w:r w:rsidR="00BE57A9" w:rsidRPr="0067665F">
        <w:t>weeks</w:t>
      </w:r>
    </w:p>
    <w:p w14:paraId="75E52C22" w14:textId="3261395B" w:rsidR="00093F07" w:rsidRPr="0067665F" w:rsidRDefault="00093F07" w:rsidP="00BE57A9">
      <w:pPr>
        <w:pStyle w:val="ListBullet"/>
      </w:pPr>
      <w:r w:rsidRPr="0067665F">
        <w:t xml:space="preserve">Scenario 2: </w:t>
      </w:r>
      <w:r w:rsidR="0067665F" w:rsidRPr="0067665F">
        <w:t xml:space="preserve">nivolumab 6 mg/kg with </w:t>
      </w:r>
      <w:proofErr w:type="spellStart"/>
      <w:r w:rsidR="0067665F" w:rsidRPr="0067665F">
        <w:t>relatlimab</w:t>
      </w:r>
      <w:proofErr w:type="spellEnd"/>
      <w:r w:rsidR="0067665F" w:rsidRPr="0067665F">
        <w:t xml:space="preserve"> 2 mg/kg </w:t>
      </w:r>
      <w:r w:rsidRPr="0067665F">
        <w:t xml:space="preserve">up to a maximum of </w:t>
      </w:r>
      <w:r w:rsidR="0067665F" w:rsidRPr="0067665F">
        <w:t xml:space="preserve">nivolumab 480 mg with </w:t>
      </w:r>
      <w:proofErr w:type="spellStart"/>
      <w:r w:rsidR="0067665F" w:rsidRPr="0067665F">
        <w:t>relatlimab</w:t>
      </w:r>
      <w:proofErr w:type="spellEnd"/>
      <w:r w:rsidR="0067665F" w:rsidRPr="0067665F">
        <w:t xml:space="preserve"> 160 mg </w:t>
      </w:r>
      <w:r w:rsidR="00BE57A9" w:rsidRPr="0067665F">
        <w:t>every 4 weeks</w:t>
      </w:r>
    </w:p>
    <w:p w14:paraId="73DB1B5F" w14:textId="3EFF5EB4" w:rsidR="00093F07" w:rsidRPr="00D82B85" w:rsidRDefault="00093F07" w:rsidP="00BE57A9">
      <w:pPr>
        <w:pStyle w:val="ListBullet"/>
      </w:pPr>
      <w:r w:rsidRPr="00D82B85">
        <w:t xml:space="preserve">Scenario 3: </w:t>
      </w:r>
      <w:r w:rsidR="0067665F" w:rsidRPr="00D82B85">
        <w:t xml:space="preserve">nivolumab 7.5 mg/kg with </w:t>
      </w:r>
      <w:proofErr w:type="spellStart"/>
      <w:r w:rsidR="0067665F" w:rsidRPr="00D82B85">
        <w:t>relatlimab</w:t>
      </w:r>
      <w:proofErr w:type="spellEnd"/>
      <w:r w:rsidR="0067665F" w:rsidRPr="00D82B85">
        <w:t xml:space="preserve"> 2.5 mg/kg up to a maximum of nivolumab 480 mg with </w:t>
      </w:r>
      <w:proofErr w:type="spellStart"/>
      <w:r w:rsidR="0067665F" w:rsidRPr="00D82B85">
        <w:t>relatlimab</w:t>
      </w:r>
      <w:proofErr w:type="spellEnd"/>
      <w:r w:rsidR="0067665F" w:rsidRPr="00D82B85">
        <w:t xml:space="preserve"> 160 mg every 4 weeks</w:t>
      </w:r>
    </w:p>
    <w:p w14:paraId="37B5F1A4" w14:textId="4670933B" w:rsidR="00093F07" w:rsidRPr="00D82B85" w:rsidRDefault="00093F07" w:rsidP="00BE57A9">
      <w:pPr>
        <w:pStyle w:val="ListBullet"/>
      </w:pPr>
      <w:r w:rsidRPr="00D82B85">
        <w:t xml:space="preserve">Scenario 4: </w:t>
      </w:r>
      <w:r w:rsidR="00D82B85" w:rsidRPr="00D82B85">
        <w:t xml:space="preserve">nivolumab 9 mg/kg with </w:t>
      </w:r>
      <w:proofErr w:type="spellStart"/>
      <w:r w:rsidR="00D82B85" w:rsidRPr="00D82B85">
        <w:t>relatlimab</w:t>
      </w:r>
      <w:proofErr w:type="spellEnd"/>
      <w:r w:rsidR="00D82B85" w:rsidRPr="00D82B85">
        <w:t xml:space="preserve"> 3 mg/kg up to a maximum of nivolumab 480 mg with </w:t>
      </w:r>
      <w:proofErr w:type="spellStart"/>
      <w:r w:rsidR="00D82B85" w:rsidRPr="00D82B85">
        <w:t>relatlimab</w:t>
      </w:r>
      <w:proofErr w:type="spellEnd"/>
      <w:r w:rsidR="00D82B85" w:rsidRPr="00D82B85">
        <w:t xml:space="preserve"> 160 mg every 4 weeks</w:t>
      </w:r>
      <w:r w:rsidR="00BE57A9" w:rsidRPr="00D82B85">
        <w:t>.</w:t>
      </w:r>
    </w:p>
    <w:p w14:paraId="5A03EA3B" w14:textId="77777777" w:rsidR="00093F07" w:rsidRPr="00327B09" w:rsidRDefault="00093F07" w:rsidP="00093F07">
      <w:r w:rsidRPr="00327B09">
        <w:t>Dosing regimens in Scenarios 1, 3, and 4 were ruled out as:</w:t>
      </w:r>
    </w:p>
    <w:p w14:paraId="633DC87A" w14:textId="7A062C4D" w:rsidR="00093F07" w:rsidRPr="00327B09" w:rsidRDefault="003269A5" w:rsidP="00BE57A9">
      <w:pPr>
        <w:pStyle w:val="ListBullet"/>
      </w:pPr>
      <w:r>
        <w:t>p</w:t>
      </w:r>
      <w:r w:rsidR="00093F07" w:rsidRPr="00327B09">
        <w:t>redicted median exposures (</w:t>
      </w:r>
      <w:r w:rsidR="00D82B85">
        <w:t>maximum concentration at steady</w:t>
      </w:r>
      <w:r w:rsidR="00901FA0">
        <w:t xml:space="preserve"> </w:t>
      </w:r>
      <w:r w:rsidR="00D82B85">
        <w:t>state (</w:t>
      </w:r>
      <w:proofErr w:type="spellStart"/>
      <w:proofErr w:type="gramStart"/>
      <w:r w:rsidR="00093F07" w:rsidRPr="00327B09">
        <w:t>C</w:t>
      </w:r>
      <w:r w:rsidR="00093F07" w:rsidRPr="00D82B85">
        <w:rPr>
          <w:vertAlign w:val="subscript"/>
        </w:rPr>
        <w:t>max</w:t>
      </w:r>
      <w:r>
        <w:rPr>
          <w:vertAlign w:val="subscript"/>
        </w:rPr>
        <w:t>,</w:t>
      </w:r>
      <w:r w:rsidR="00093F07" w:rsidRPr="00D82B85">
        <w:rPr>
          <w:vertAlign w:val="subscript"/>
        </w:rPr>
        <w:t>ss</w:t>
      </w:r>
      <w:proofErr w:type="spellEnd"/>
      <w:proofErr w:type="gramEnd"/>
      <w:r w:rsidR="00D82B85">
        <w:t>)</w:t>
      </w:r>
      <w:r w:rsidR="00093F07" w:rsidRPr="00327B09">
        <w:t>) for nivolumab were higher than the adult range for adolescents between 40 and 60</w:t>
      </w:r>
      <w:r w:rsidR="00BE57A9">
        <w:t> </w:t>
      </w:r>
      <w:r w:rsidR="00093F07" w:rsidRPr="00327B09">
        <w:t>kg under Scenario 1</w:t>
      </w:r>
    </w:p>
    <w:p w14:paraId="5440D180" w14:textId="59DE8234" w:rsidR="00093F07" w:rsidRPr="00327B09" w:rsidRDefault="003269A5" w:rsidP="00BE57A9">
      <w:pPr>
        <w:pStyle w:val="ListBullet"/>
      </w:pPr>
      <w:r>
        <w:t>p</w:t>
      </w:r>
      <w:r w:rsidR="00093F07" w:rsidRPr="00327B09">
        <w:t>redicted median exposures (</w:t>
      </w:r>
      <w:proofErr w:type="spellStart"/>
      <w:proofErr w:type="gramStart"/>
      <w:r w:rsidR="00D82B85" w:rsidRPr="00327B09">
        <w:t>C</w:t>
      </w:r>
      <w:r w:rsidR="00D82B85" w:rsidRPr="00D82B85">
        <w:rPr>
          <w:vertAlign w:val="subscript"/>
        </w:rPr>
        <w:t>max</w:t>
      </w:r>
      <w:r>
        <w:rPr>
          <w:vertAlign w:val="subscript"/>
        </w:rPr>
        <w:t>,</w:t>
      </w:r>
      <w:r w:rsidR="00D82B85" w:rsidRPr="00D82B85">
        <w:rPr>
          <w:vertAlign w:val="subscript"/>
        </w:rPr>
        <w:t>ss</w:t>
      </w:r>
      <w:proofErr w:type="spellEnd"/>
      <w:proofErr w:type="gramEnd"/>
      <w:r w:rsidR="00093F07" w:rsidRPr="00327B09">
        <w:t xml:space="preserve">) for </w:t>
      </w:r>
      <w:proofErr w:type="spellStart"/>
      <w:r w:rsidR="00093F07" w:rsidRPr="00327B09">
        <w:t>relatlimab</w:t>
      </w:r>
      <w:proofErr w:type="spellEnd"/>
      <w:r w:rsidR="00093F07" w:rsidRPr="00327B09">
        <w:t xml:space="preserve"> were higher than the adult range for adolescents between 60 and 70</w:t>
      </w:r>
      <w:r w:rsidR="00BE57A9">
        <w:t> </w:t>
      </w:r>
      <w:r w:rsidR="00093F07" w:rsidRPr="00327B09">
        <w:t>kg under Scenario 3</w:t>
      </w:r>
    </w:p>
    <w:p w14:paraId="55B20BE4" w14:textId="4835E506" w:rsidR="00093F07" w:rsidRPr="00327B09" w:rsidRDefault="003269A5" w:rsidP="00BE57A9">
      <w:pPr>
        <w:pStyle w:val="ListBullet"/>
      </w:pPr>
      <w:r>
        <w:lastRenderedPageBreak/>
        <w:t>p</w:t>
      </w:r>
      <w:r w:rsidR="00093F07" w:rsidRPr="00327B09">
        <w:t>redicted median exposures (</w:t>
      </w:r>
      <w:proofErr w:type="spellStart"/>
      <w:proofErr w:type="gramStart"/>
      <w:r w:rsidR="00D82B85" w:rsidRPr="00327B09">
        <w:t>C</w:t>
      </w:r>
      <w:r w:rsidR="00D82B85" w:rsidRPr="00D82B85">
        <w:rPr>
          <w:vertAlign w:val="subscript"/>
        </w:rPr>
        <w:t>max</w:t>
      </w:r>
      <w:r>
        <w:rPr>
          <w:vertAlign w:val="subscript"/>
        </w:rPr>
        <w:t>,</w:t>
      </w:r>
      <w:r w:rsidR="00D82B85" w:rsidRPr="00D82B85">
        <w:rPr>
          <w:vertAlign w:val="subscript"/>
        </w:rPr>
        <w:t>ss</w:t>
      </w:r>
      <w:proofErr w:type="spellEnd"/>
      <w:proofErr w:type="gramEnd"/>
      <w:r w:rsidR="00093F07" w:rsidRPr="00327B09">
        <w:t xml:space="preserve">) for </w:t>
      </w:r>
      <w:proofErr w:type="spellStart"/>
      <w:r w:rsidR="00093F07" w:rsidRPr="00327B09">
        <w:t>relatlimab</w:t>
      </w:r>
      <w:proofErr w:type="spellEnd"/>
      <w:r w:rsidR="00093F07" w:rsidRPr="00327B09">
        <w:t xml:space="preserve"> were higher than the adult range for adolescents between 40 and 70</w:t>
      </w:r>
      <w:r w:rsidR="00BE57A9">
        <w:t> </w:t>
      </w:r>
      <w:r w:rsidR="00093F07" w:rsidRPr="00327B09">
        <w:t>kg under Scenario 4</w:t>
      </w:r>
      <w:r w:rsidR="00DB2B33">
        <w:t>.</w:t>
      </w:r>
    </w:p>
    <w:p w14:paraId="2A7F155A" w14:textId="5978C0C6" w:rsidR="00093F07" w:rsidRPr="00A41F9A" w:rsidRDefault="00093F07" w:rsidP="00093F07">
      <w:r w:rsidRPr="00327B09">
        <w:t xml:space="preserve">Scenario 2 gave the closest predicted exposure for adolescent patients, and this is the dose proposed by the </w:t>
      </w:r>
      <w:r w:rsidR="00BE57A9">
        <w:t>s</w:t>
      </w:r>
      <w:r w:rsidRPr="00327B09">
        <w:t>ponsor for paediatric patients over 12</w:t>
      </w:r>
      <w:r w:rsidR="00BE57A9">
        <w:t> </w:t>
      </w:r>
      <w:r w:rsidRPr="00327B09">
        <w:t>years of age. Patients with body weight lower than 40</w:t>
      </w:r>
      <w:r w:rsidR="00BE57A9">
        <w:t> </w:t>
      </w:r>
      <w:r w:rsidRPr="00327B09">
        <w:t>kg were excluded</w:t>
      </w:r>
      <w:r>
        <w:t xml:space="preserve"> from the </w:t>
      </w:r>
      <w:r w:rsidR="00BE57A9">
        <w:t>s</w:t>
      </w:r>
      <w:r>
        <w:t>ponsor’s proposed indication</w:t>
      </w:r>
      <w:r w:rsidRPr="00327B09">
        <w:t xml:space="preserve">, as the predictions for median </w:t>
      </w:r>
      <w:proofErr w:type="spellStart"/>
      <w:r w:rsidRPr="00327B09">
        <w:t>relatlimab</w:t>
      </w:r>
      <w:proofErr w:type="spellEnd"/>
      <w:r w:rsidRPr="00327B09">
        <w:t xml:space="preserve"> exposures in such patients were</w:t>
      </w:r>
      <w:r w:rsidRPr="00BE57A9">
        <w:t xml:space="preserve"> below </w:t>
      </w:r>
      <w:r w:rsidRPr="00327B09">
        <w:t>the range of adult median exposures, raising concerns for lack of efficacy, and the estimates are also unreliable because the paediatric patients aged 12</w:t>
      </w:r>
      <w:r w:rsidR="00BE57A9">
        <w:t> </w:t>
      </w:r>
      <w:r w:rsidRPr="00327B09">
        <w:t xml:space="preserve">years or older who contributed </w:t>
      </w:r>
      <w:r>
        <w:t xml:space="preserve">nivolumab exposure </w:t>
      </w:r>
      <w:r w:rsidRPr="00327B09">
        <w:t>data to the</w:t>
      </w:r>
      <w:r>
        <w:t xml:space="preserve"> </w:t>
      </w:r>
      <w:r w:rsidRPr="00327B09">
        <w:t>pop</w:t>
      </w:r>
      <w:r w:rsidR="00594EA0">
        <w:t>ulation pharmacokinetic</w:t>
      </w:r>
      <w:r w:rsidRPr="00327B09">
        <w:t xml:space="preserve"> model were 40</w:t>
      </w:r>
      <w:r w:rsidR="00BE57A9">
        <w:t> </w:t>
      </w:r>
      <w:r w:rsidRPr="00327B09">
        <w:t>kg or heavier (median 60</w:t>
      </w:r>
      <w:r w:rsidR="00BE57A9">
        <w:t> </w:t>
      </w:r>
      <w:r w:rsidRPr="00327B09">
        <w:t>kg, minimum 39.7</w:t>
      </w:r>
      <w:r w:rsidR="00BE57A9">
        <w:t> </w:t>
      </w:r>
      <w:r w:rsidRPr="00327B09">
        <w:t>kg).</w:t>
      </w:r>
      <w:bookmarkStart w:id="81" w:name="paeds40kgconclusion"/>
    </w:p>
    <w:p w14:paraId="6862EA45" w14:textId="77777777" w:rsidR="00093F07" w:rsidRPr="00CD3C8C" w:rsidRDefault="00093F07" w:rsidP="00093F07">
      <w:pPr>
        <w:pStyle w:val="Heading4"/>
      </w:pPr>
      <w:bookmarkStart w:id="82" w:name="_Ref95742083"/>
      <w:bookmarkStart w:id="83" w:name="_Ref95810732"/>
      <w:bookmarkStart w:id="84" w:name="_Toc154134526"/>
      <w:bookmarkEnd w:id="81"/>
      <w:r w:rsidRPr="00CD3C8C">
        <w:t>Efficacy</w:t>
      </w:r>
      <w:bookmarkEnd w:id="82"/>
      <w:bookmarkEnd w:id="83"/>
      <w:bookmarkEnd w:id="84"/>
    </w:p>
    <w:p w14:paraId="73CB5E17" w14:textId="6082321C" w:rsidR="00F76A31" w:rsidRPr="00D82B85" w:rsidRDefault="00F76A31" w:rsidP="00D82B85">
      <w:pPr>
        <w:pStyle w:val="Heading5"/>
      </w:pPr>
      <w:bookmarkStart w:id="85" w:name="_Ref104911004"/>
      <w:r w:rsidRPr="00D82B85">
        <w:t>Pivotal study –</w:t>
      </w:r>
      <w:r w:rsidR="00EE178F">
        <w:t xml:space="preserve"> Study </w:t>
      </w:r>
      <w:r w:rsidRPr="00D82B85">
        <w:t>CA224047 (RELATIVITY-047</w:t>
      </w:r>
      <w:r w:rsidR="00EE178F">
        <w:t xml:space="preserve"> trial</w:t>
      </w:r>
      <w:r w:rsidRPr="00D82B85">
        <w:t>)</w:t>
      </w:r>
      <w:bookmarkEnd w:id="85"/>
    </w:p>
    <w:p w14:paraId="5BE59E53" w14:textId="737A2289" w:rsidR="00F76A31" w:rsidRPr="001628C1" w:rsidRDefault="00F76A31" w:rsidP="00F76A31">
      <w:r w:rsidRPr="00CD3C8C">
        <w:t xml:space="preserve">The pivotal data supporting efficacy come from </w:t>
      </w:r>
      <w:r w:rsidR="00EE178F">
        <w:t>S</w:t>
      </w:r>
      <w:r w:rsidRPr="00CD3C8C">
        <w:t xml:space="preserve">tudy </w:t>
      </w:r>
      <w:r>
        <w:t xml:space="preserve">CA224047, also known as </w:t>
      </w:r>
      <w:r w:rsidR="003269A5">
        <w:t>the RELATIVITY-047 trial</w:t>
      </w:r>
      <w:r w:rsidRPr="00CD3C8C">
        <w:t xml:space="preserve">. The </w:t>
      </w:r>
      <w:r>
        <w:t xml:space="preserve">study is included in </w:t>
      </w:r>
      <w:r w:rsidR="0008486F">
        <w:t xml:space="preserve">a major </w:t>
      </w:r>
      <w:r w:rsidR="00DD4358">
        <w:t>US</w:t>
      </w:r>
      <w:r>
        <w:t xml:space="preserve"> clinical trial directory</w:t>
      </w:r>
      <w:r w:rsidRPr="00B37B18">
        <w:t>,</w:t>
      </w:r>
      <w:r>
        <w:rPr>
          <w:rStyle w:val="FootnoteReference"/>
        </w:rPr>
        <w:footnoteReference w:id="76"/>
      </w:r>
      <w:r w:rsidRPr="00B37B18">
        <w:t xml:space="preserve"> and its design has </w:t>
      </w:r>
      <w:r w:rsidRPr="001628C1">
        <w:t>been described in the literature and in the publicly available FDA label.</w:t>
      </w:r>
      <w:bookmarkStart w:id="86" w:name="_Ref140505903"/>
      <w:r w:rsidRPr="001628C1">
        <w:rPr>
          <w:rStyle w:val="FootnoteReference"/>
        </w:rPr>
        <w:footnoteReference w:id="77"/>
      </w:r>
      <w:bookmarkEnd w:id="86"/>
      <w:r w:rsidRPr="001628C1">
        <w:rPr>
          <w:vertAlign w:val="superscript"/>
        </w:rPr>
        <w:t>,</w:t>
      </w:r>
      <w:r w:rsidRPr="001628C1">
        <w:rPr>
          <w:rStyle w:val="FootnoteReference"/>
        </w:rPr>
        <w:footnoteReference w:id="78"/>
      </w:r>
      <w:r w:rsidRPr="001628C1">
        <w:rPr>
          <w:vertAlign w:val="superscript"/>
        </w:rPr>
        <w:t>,</w:t>
      </w:r>
      <w:r w:rsidRPr="001628C1">
        <w:rPr>
          <w:rStyle w:val="FootnoteReference"/>
        </w:rPr>
        <w:footnoteReference w:id="79"/>
      </w:r>
    </w:p>
    <w:p w14:paraId="12F7CDAB" w14:textId="2BEC3385" w:rsidR="00F76A31" w:rsidRPr="0002027E" w:rsidRDefault="00F76A31" w:rsidP="00F76A31">
      <w:r>
        <w:t xml:space="preserve">The primary </w:t>
      </w:r>
      <w:r w:rsidRPr="00847DE3">
        <w:t xml:space="preserve">clinical study report </w:t>
      </w:r>
      <w:r>
        <w:t xml:space="preserve">dated 25 May 2021 </w:t>
      </w:r>
      <w:r w:rsidRPr="00847DE3">
        <w:t xml:space="preserve">from </w:t>
      </w:r>
      <w:r w:rsidR="003269A5">
        <w:t>the RELATIVITY-047 trial</w:t>
      </w:r>
      <w:r w:rsidRPr="00847DE3">
        <w:t xml:space="preserve"> </w:t>
      </w:r>
      <w:r w:rsidR="00D82B85">
        <w:t>was</w:t>
      </w:r>
      <w:r w:rsidRPr="00847DE3">
        <w:t xml:space="preserve"> submitted in support of the proposed registration of </w:t>
      </w:r>
      <w:proofErr w:type="spellStart"/>
      <w:r w:rsidRPr="00847DE3">
        <w:t>O</w:t>
      </w:r>
      <w:r>
        <w:t>pdualag</w:t>
      </w:r>
      <w:proofErr w:type="spellEnd"/>
      <w:r>
        <w:t>.</w:t>
      </w:r>
      <w:r w:rsidRPr="00847DE3">
        <w:t xml:space="preserve"> </w:t>
      </w:r>
      <w:r>
        <w:t>The date of</w:t>
      </w:r>
      <w:r w:rsidRPr="005C6F97">
        <w:t xml:space="preserve"> database lock </w:t>
      </w:r>
      <w:r w:rsidRPr="0002027E">
        <w:t>for the</w:t>
      </w:r>
      <w:r>
        <w:t xml:space="preserve"> clinical study report</w:t>
      </w:r>
      <w:r w:rsidRPr="0002027E">
        <w:t xml:space="preserve"> was 9</w:t>
      </w:r>
      <w:r>
        <w:t> </w:t>
      </w:r>
      <w:r w:rsidRPr="0002027E">
        <w:t>Mar</w:t>
      </w:r>
      <w:r>
        <w:t>ch </w:t>
      </w:r>
      <w:r w:rsidRPr="0002027E">
        <w:t>2021.</w:t>
      </w:r>
    </w:p>
    <w:p w14:paraId="4799C1BB" w14:textId="0BB5D370" w:rsidR="00F76A31" w:rsidRPr="0002027E" w:rsidRDefault="00F76A31" w:rsidP="00F76A31">
      <w:r w:rsidRPr="0002027E">
        <w:t>A</w:t>
      </w:r>
      <w:r>
        <w:t>n</w:t>
      </w:r>
      <w:r w:rsidRPr="0002027E">
        <w:t xml:space="preserve"> </w:t>
      </w:r>
      <w:r>
        <w:t>updated clinical study report</w:t>
      </w:r>
      <w:r w:rsidRPr="0002027E">
        <w:t xml:space="preserve"> addenda document with </w:t>
      </w:r>
      <w:r>
        <w:t xml:space="preserve">database lock date of </w:t>
      </w:r>
      <w:r w:rsidRPr="0002027E">
        <w:t>28</w:t>
      </w:r>
      <w:r>
        <w:t> </w:t>
      </w:r>
      <w:r w:rsidRPr="0002027E">
        <w:t>Oct</w:t>
      </w:r>
      <w:r>
        <w:t>ober </w:t>
      </w:r>
      <w:r w:rsidRPr="0002027E">
        <w:t xml:space="preserve">2021, with additional data on secondary endpoints, was </w:t>
      </w:r>
      <w:r>
        <w:t xml:space="preserve">provided by the sponsor </w:t>
      </w:r>
      <w:r w:rsidRPr="0002027E">
        <w:t>in January</w:t>
      </w:r>
      <w:r>
        <w:t> </w:t>
      </w:r>
      <w:r w:rsidRPr="0002027E">
        <w:t>2022.</w:t>
      </w:r>
    </w:p>
    <w:p w14:paraId="70AA0E01" w14:textId="77777777" w:rsidR="00F76A31" w:rsidRPr="00847DE3" w:rsidRDefault="00F76A31" w:rsidP="00F76A31">
      <w:pPr>
        <w:pStyle w:val="Heading6"/>
      </w:pPr>
      <w:r w:rsidRPr="00847DE3">
        <w:t>Design</w:t>
      </w:r>
    </w:p>
    <w:p w14:paraId="46E82BDB" w14:textId="65F32611" w:rsidR="00F76A31" w:rsidRDefault="00EE178F" w:rsidP="00F76A31">
      <w:r>
        <w:t>T</w:t>
      </w:r>
      <w:r w:rsidR="003269A5">
        <w:t>he RELATIVITY-047 trial</w:t>
      </w:r>
      <w:r w:rsidR="00F76A31" w:rsidRPr="00B37B18">
        <w:t xml:space="preserve"> is a seamless </w:t>
      </w:r>
      <w:r w:rsidR="00F76A31">
        <w:t>P</w:t>
      </w:r>
      <w:r w:rsidR="00F76A31" w:rsidRPr="00B37B18">
        <w:t xml:space="preserve">hase </w:t>
      </w:r>
      <w:r w:rsidR="00F76A31">
        <w:t>II/III</w:t>
      </w:r>
      <w:r w:rsidR="00F76A31" w:rsidRPr="00B37B18">
        <w:t>, randomi</w:t>
      </w:r>
      <w:r w:rsidR="00F76A31">
        <w:t>s</w:t>
      </w:r>
      <w:r w:rsidR="00F76A31" w:rsidRPr="00B37B18">
        <w:t>ed</w:t>
      </w:r>
      <w:r w:rsidR="00F76A31">
        <w:t xml:space="preserve"> (1:1)</w:t>
      </w:r>
      <w:r w:rsidR="00F76A31" w:rsidRPr="00B37B18">
        <w:t>, double</w:t>
      </w:r>
      <w:r>
        <w:t xml:space="preserve"> </w:t>
      </w:r>
      <w:r w:rsidR="00F76A31" w:rsidRPr="00B37B18">
        <w:t xml:space="preserve">blind study of </w:t>
      </w:r>
      <w:proofErr w:type="spellStart"/>
      <w:r w:rsidR="00F76A31">
        <w:t>O</w:t>
      </w:r>
      <w:r w:rsidR="00DC0FE2">
        <w:t>pdualag</w:t>
      </w:r>
      <w:proofErr w:type="spellEnd"/>
      <w:r w:rsidR="00F76A31" w:rsidRPr="00B37B18">
        <w:t xml:space="preserve"> </w:t>
      </w:r>
      <w:r w:rsidR="00F76A31">
        <w:t>versus</w:t>
      </w:r>
      <w:r w:rsidR="00F76A31" w:rsidRPr="00B37B18">
        <w:t xml:space="preserve"> nivolumab monotherapy in </w:t>
      </w:r>
      <w:r w:rsidR="00F76A31">
        <w:t>adult or paediatric patients at least 12</w:t>
      </w:r>
      <w:r>
        <w:t> </w:t>
      </w:r>
      <w:r w:rsidR="00F76A31">
        <w:t>years old</w:t>
      </w:r>
      <w:r w:rsidR="00F76A31" w:rsidRPr="00B37B18">
        <w:t xml:space="preserve"> with previously untreated metastatic or</w:t>
      </w:r>
      <w:r w:rsidR="00F76A31">
        <w:t xml:space="preserve"> </w:t>
      </w:r>
      <w:r w:rsidR="00F76A31" w:rsidRPr="00B37B18">
        <w:t>unresectable melanoma.</w:t>
      </w:r>
    </w:p>
    <w:p w14:paraId="53E75530" w14:textId="13F90D67" w:rsidR="00F76A31" w:rsidRDefault="00F76A31" w:rsidP="00F76A31">
      <w:r>
        <w:t>Prior (neo)adjuvant treatment was allowed: with an anti-PD-1, anti-</w:t>
      </w:r>
      <w:r w:rsidR="00EE178F" w:rsidRPr="00EE178F">
        <w:t>CTLA4</w:t>
      </w:r>
      <w:r>
        <w:t xml:space="preserve">, or </w:t>
      </w:r>
      <w:r w:rsidRPr="0068062D">
        <w:rPr>
          <w:i/>
          <w:iCs/>
        </w:rPr>
        <w:t>BRAF</w:t>
      </w:r>
      <w:r>
        <w:t xml:space="preserve">-MEK containing regimen, </w:t>
      </w:r>
      <w:proofErr w:type="gramStart"/>
      <w:r>
        <w:t>as long as</w:t>
      </w:r>
      <w:proofErr w:type="gramEnd"/>
      <w:r>
        <w:t xml:space="preserve"> recurrence occurred at least 6</w:t>
      </w:r>
      <w:r w:rsidR="00DC0FE2">
        <w:t> </w:t>
      </w:r>
      <w:r>
        <w:t>months after the last dose; and with interferon, as long as the last dose was at least 6</w:t>
      </w:r>
      <w:r w:rsidR="00DC0FE2">
        <w:t> </w:t>
      </w:r>
      <w:r>
        <w:t>weeks before randomisation.</w:t>
      </w:r>
    </w:p>
    <w:p w14:paraId="6CBBEA1A" w14:textId="585A1FE8" w:rsidR="00F76A31" w:rsidRDefault="00F76A31" w:rsidP="00F76A31">
      <w:r w:rsidRPr="00D82B85">
        <w:lastRenderedPageBreak/>
        <w:t>Patients with a poor performance status (</w:t>
      </w:r>
      <w:r w:rsidR="00EE178F" w:rsidRPr="00EE178F">
        <w:t xml:space="preserve">Eastern Cooperative Oncology Group </w:t>
      </w:r>
      <w:r w:rsidR="00EE178F">
        <w:t>(</w:t>
      </w:r>
      <w:r w:rsidRPr="00D82B85">
        <w:t>ECOG</w:t>
      </w:r>
      <w:r w:rsidR="00EE178F">
        <w:t>)</w:t>
      </w:r>
      <w:r w:rsidRPr="00D82B85">
        <w:t xml:space="preserve"> 2 or higher,</w:t>
      </w:r>
      <w:r w:rsidR="00DC0FE2" w:rsidRPr="00D82B85">
        <w:rPr>
          <w:rStyle w:val="FootnoteReference"/>
        </w:rPr>
        <w:footnoteReference w:id="80"/>
      </w:r>
      <w:r w:rsidRPr="00D82B85">
        <w:t xml:space="preserve"> or Lansky score </w:t>
      </w:r>
      <w:r w:rsidR="00DC0FE2" w:rsidRPr="00D82B85">
        <w:t xml:space="preserve">less than </w:t>
      </w:r>
      <w:r w:rsidRPr="00D82B85">
        <w:t>80%</w:t>
      </w:r>
      <w:r w:rsidR="000B7661" w:rsidRPr="00D82B85">
        <w:t xml:space="preserve"> for</w:t>
      </w:r>
      <w:r w:rsidR="000B7661" w:rsidRPr="002E087D">
        <w:t xml:space="preserve"> patients aged 12 to 17 years</w:t>
      </w:r>
      <w:r w:rsidR="00DC0FE2" w:rsidRPr="002E087D">
        <w:rPr>
          <w:rStyle w:val="FootnoteReference"/>
        </w:rPr>
        <w:footnoteReference w:id="81"/>
      </w:r>
      <w:r w:rsidRPr="002E087D">
        <w:t>), uveal melanoma, active and untreated brain</w:t>
      </w:r>
      <w:r>
        <w:t xml:space="preserve"> metastases, active autoimmune disease, medical conditions requiring systemic immunosuppression, a history of prior malignancy active within 3</w:t>
      </w:r>
      <w:r w:rsidR="00DC0FE2">
        <w:t> </w:t>
      </w:r>
      <w:r>
        <w:t xml:space="preserve">years (except locally cured cancers), a history of myocarditis, and those with a baseline elevated troponin </w:t>
      </w:r>
      <w:r w:rsidR="00DC0FE2">
        <w:t xml:space="preserve">more than twice the upper limit of normal, </w:t>
      </w:r>
      <w:r>
        <w:t>were excluded.</w:t>
      </w:r>
    </w:p>
    <w:p w14:paraId="0010D538" w14:textId="3C98E497" w:rsidR="00F76A31" w:rsidRDefault="00F76A31" w:rsidP="00F76A31">
      <w:r>
        <w:t>Patients were randomised (1:1) to receive</w:t>
      </w:r>
      <w:r w:rsidRPr="00B37B18">
        <w:t xml:space="preserve"> </w:t>
      </w:r>
      <w:r>
        <w:t xml:space="preserve">either </w:t>
      </w:r>
      <w:proofErr w:type="spellStart"/>
      <w:r>
        <w:t>O</w:t>
      </w:r>
      <w:r w:rsidR="00DC0FE2">
        <w:t>pdualag</w:t>
      </w:r>
      <w:proofErr w:type="spellEnd"/>
      <w:r>
        <w:t xml:space="preserve"> (</w:t>
      </w:r>
      <w:r w:rsidRPr="00B37B18">
        <w:t>nivolumab 480</w:t>
      </w:r>
      <w:r w:rsidR="00DC0FE2">
        <w:t> </w:t>
      </w:r>
      <w:r w:rsidRPr="00B37B18">
        <w:t>mg</w:t>
      </w:r>
      <w:r w:rsidRPr="005C6F97">
        <w:t xml:space="preserve"> </w:t>
      </w:r>
      <w:r>
        <w:t xml:space="preserve">plus </w:t>
      </w:r>
      <w:proofErr w:type="spellStart"/>
      <w:r w:rsidRPr="00B37B18">
        <w:t>relatlimab</w:t>
      </w:r>
      <w:proofErr w:type="spellEnd"/>
      <w:r>
        <w:t xml:space="preserve"> </w:t>
      </w:r>
      <w:r w:rsidRPr="00D82B85">
        <w:t>160</w:t>
      </w:r>
      <w:r w:rsidR="00DC0FE2" w:rsidRPr="00D82B85">
        <w:t> </w:t>
      </w:r>
      <w:r w:rsidRPr="00D82B85">
        <w:t xml:space="preserve">mg) </w:t>
      </w:r>
      <w:r w:rsidR="00DC0FE2" w:rsidRPr="00D82B85">
        <w:t>intravenously every 4 weeks</w:t>
      </w:r>
      <w:r w:rsidRPr="00D82B85">
        <w:t xml:space="preserve"> (n</w:t>
      </w:r>
      <w:r w:rsidR="00B83235">
        <w:t> = </w:t>
      </w:r>
      <w:r w:rsidRPr="00D82B85">
        <w:t>355) or nivolumab monotherapy 480</w:t>
      </w:r>
      <w:r w:rsidR="00D82B85">
        <w:t> </w:t>
      </w:r>
      <w:r w:rsidRPr="00D82B85">
        <w:t>mg</w:t>
      </w:r>
      <w:r w:rsidRPr="00B37B18">
        <w:t xml:space="preserve"> </w:t>
      </w:r>
      <w:r w:rsidR="00DC0FE2" w:rsidRPr="00D82B85">
        <w:t>intravenously every 4 weeks</w:t>
      </w:r>
      <w:r w:rsidRPr="00D82B85">
        <w:t xml:space="preserve"> (n</w:t>
      </w:r>
      <w:r w:rsidR="00B83235">
        <w:t> = </w:t>
      </w:r>
      <w:r w:rsidRPr="00D82B85">
        <w:t>359). The infusion products were matched in presentation for</w:t>
      </w:r>
      <w:r>
        <w:t xml:space="preserve"> the purpose of maintaining double blinding. Dose modifications were not permitted. </w:t>
      </w:r>
      <w:r w:rsidRPr="00B37B18">
        <w:t>Randomi</w:t>
      </w:r>
      <w:r>
        <w:t>s</w:t>
      </w:r>
      <w:r w:rsidRPr="00B37B18">
        <w:t>ation was stratified by tumo</w:t>
      </w:r>
      <w:r>
        <w:t>u</w:t>
      </w:r>
      <w:r w:rsidRPr="00B37B18">
        <w:t xml:space="preserve">r PD-L1 expression (1% </w:t>
      </w:r>
      <w:r w:rsidR="00DC0FE2">
        <w:t>and over versus less than</w:t>
      </w:r>
      <w:r w:rsidRPr="00B37B18">
        <w:t xml:space="preserve"> 1%), LAG</w:t>
      </w:r>
      <w:r w:rsidR="00B651DF">
        <w:noBreakHyphen/>
      </w:r>
      <w:r w:rsidRPr="00B37B18">
        <w:t>3 expression (</w:t>
      </w:r>
      <w:r w:rsidR="00DC0FE2" w:rsidRPr="00B37B18">
        <w:t xml:space="preserve">1% </w:t>
      </w:r>
      <w:r w:rsidR="00DC0FE2">
        <w:t>and over versus less than</w:t>
      </w:r>
      <w:r w:rsidR="00DC0FE2" w:rsidRPr="00B37B18">
        <w:t xml:space="preserve"> 1%</w:t>
      </w:r>
      <w:r w:rsidRPr="00B37B18">
        <w:t xml:space="preserve">), </w:t>
      </w:r>
      <w:r w:rsidRPr="00134639">
        <w:rPr>
          <w:i/>
          <w:iCs/>
        </w:rPr>
        <w:t>BRAF</w:t>
      </w:r>
      <w:r w:rsidRPr="00B37B18">
        <w:t xml:space="preserve"> mutation </w:t>
      </w:r>
      <w:r>
        <w:t xml:space="preserve">status </w:t>
      </w:r>
      <w:r w:rsidRPr="00B37B18">
        <w:t>(V600 mutation positive v</w:t>
      </w:r>
      <w:r w:rsidR="00DC0FE2">
        <w:t>ersu</w:t>
      </w:r>
      <w:r w:rsidRPr="00B37B18">
        <w:t xml:space="preserve">s V600 wild-type), and </w:t>
      </w:r>
      <w:r w:rsidR="00E11693">
        <w:t>presence of metastasis based o</w:t>
      </w:r>
      <w:r w:rsidR="00E11693" w:rsidRPr="0078184E">
        <w:t xml:space="preserve">n </w:t>
      </w:r>
      <w:r w:rsidRPr="0078184E">
        <w:t>A</w:t>
      </w:r>
      <w:r w:rsidR="00E11693" w:rsidRPr="0078184E">
        <w:t xml:space="preserve">merican Joint Committee on Cancer </w:t>
      </w:r>
      <w:r w:rsidR="0078184E">
        <w:t xml:space="preserve">(AJCC) </w:t>
      </w:r>
      <w:r w:rsidR="00E11693" w:rsidRPr="0078184E">
        <w:t>staging system (version 8)</w:t>
      </w:r>
      <w:r w:rsidR="00E11693" w:rsidRPr="0078184E">
        <w:rPr>
          <w:rStyle w:val="FootnoteReference"/>
        </w:rPr>
        <w:footnoteReference w:id="82"/>
      </w:r>
      <w:r w:rsidR="001628C1" w:rsidRPr="001628C1">
        <w:rPr>
          <w:vertAlign w:val="superscript"/>
        </w:rPr>
        <w:t>,</w:t>
      </w:r>
      <w:r w:rsidR="001628C1">
        <w:rPr>
          <w:rStyle w:val="FootnoteReference"/>
        </w:rPr>
        <w:footnoteReference w:id="83"/>
      </w:r>
      <w:r w:rsidRPr="0078184E">
        <w:t xml:space="preserve"> (</w:t>
      </w:r>
      <w:r w:rsidR="00134639" w:rsidRPr="00134639">
        <w:t>M0</w:t>
      </w:r>
      <w:r w:rsidR="00C808E2">
        <w:t xml:space="preserve"> and </w:t>
      </w:r>
      <w:r w:rsidR="00134639" w:rsidRPr="00134639">
        <w:t xml:space="preserve">M1 with normal </w:t>
      </w:r>
      <w:r w:rsidR="00134639">
        <w:t>lactate dehydrogenase (</w:t>
      </w:r>
      <w:r w:rsidR="00134639" w:rsidRPr="00134639">
        <w:t>LDH</w:t>
      </w:r>
      <w:r w:rsidR="00134639">
        <w:t>)</w:t>
      </w:r>
      <w:r w:rsidR="00134639" w:rsidRPr="00134639">
        <w:t xml:space="preserve"> v</w:t>
      </w:r>
      <w:r w:rsidR="00134639">
        <w:t>ersu</w:t>
      </w:r>
      <w:r w:rsidR="00134639" w:rsidRPr="00134639">
        <w:t>s M1 with elevated LDH</w:t>
      </w:r>
      <w:r w:rsidRPr="00134639">
        <w:t>).</w:t>
      </w:r>
    </w:p>
    <w:p w14:paraId="20D07CDE" w14:textId="75C4AB1B" w:rsidR="00F76A31" w:rsidRDefault="00F76A31" w:rsidP="00F76A31">
      <w:r>
        <w:t>Under the seamless design 425 patients were first randomised as an initial</w:t>
      </w:r>
      <w:r w:rsidR="00DC0FE2">
        <w:t xml:space="preserve"> P</w:t>
      </w:r>
      <w:r>
        <w:t xml:space="preserve">hase </w:t>
      </w:r>
      <w:r w:rsidR="00DC0FE2">
        <w:t>II</w:t>
      </w:r>
      <w:r>
        <w:t xml:space="preserve"> step, and after a recruitment pause (to allow for adequate follow</w:t>
      </w:r>
      <w:r w:rsidR="00134639">
        <w:noBreakHyphen/>
      </w:r>
      <w:r>
        <w:t xml:space="preserve">up for an interim PFS analysis) if the result met the criteria for continuation, a further 289 patients would be randomised to complete the </w:t>
      </w:r>
      <w:r w:rsidR="00DC0FE2">
        <w:t>P</w:t>
      </w:r>
      <w:r>
        <w:t xml:space="preserve">hase </w:t>
      </w:r>
      <w:r w:rsidR="00DC0FE2">
        <w:t>III</w:t>
      </w:r>
      <w:r>
        <w:t xml:space="preserve"> portion of the study.</w:t>
      </w:r>
    </w:p>
    <w:p w14:paraId="79531AFA" w14:textId="506B2967" w:rsidR="00F76A31" w:rsidRDefault="00F76A31" w:rsidP="00F76A31">
      <w:r w:rsidRPr="00134639">
        <w:rPr>
          <w:noProof/>
        </w:rPr>
        <w:lastRenderedPageBreak/>
        <w:t>Study treatment was ceased on disease progression per RECIST v1.1 criteria</w:t>
      </w:r>
      <w:r w:rsidRPr="00134639">
        <w:t>,</w:t>
      </w:r>
      <w:r w:rsidR="00B3267D" w:rsidRPr="00134639">
        <w:rPr>
          <w:rStyle w:val="FootnoteReference"/>
        </w:rPr>
        <w:footnoteReference w:id="84"/>
      </w:r>
      <w:r w:rsidRPr="00134639">
        <w:t xml:space="preserve"> </w:t>
      </w:r>
      <w:r w:rsidRPr="00134639">
        <w:rPr>
          <w:noProof/>
        </w:rPr>
        <w:t>or for</w:t>
      </w:r>
      <w:r w:rsidRPr="00021271">
        <w:rPr>
          <w:noProof/>
        </w:rPr>
        <w:t xml:space="preserve"> unacceptable toxicity, however, treatment beyond initial </w:t>
      </w:r>
      <w:r w:rsidRPr="00021271">
        <w:t>investigator</w:t>
      </w:r>
      <w:r w:rsidR="00B651DF">
        <w:t xml:space="preserve"> </w:t>
      </w:r>
      <w:r w:rsidRPr="00021271">
        <w:t xml:space="preserve">assessed radiographic </w:t>
      </w:r>
      <w:r w:rsidRPr="00021271">
        <w:rPr>
          <w:noProof/>
        </w:rPr>
        <w:t xml:space="preserve">progression </w:t>
      </w:r>
      <w:r w:rsidRPr="00021271">
        <w:t xml:space="preserve">was permitted </w:t>
      </w:r>
      <w:r>
        <w:t xml:space="preserve">(to allow for the phenomenon of pseudo-progression described to occur in </w:t>
      </w:r>
      <w:r w:rsidRPr="00021271">
        <w:t>immuno</w:t>
      </w:r>
      <w:r w:rsidR="00B651DF">
        <w:t>-</w:t>
      </w:r>
      <w:r w:rsidRPr="00021271">
        <w:t>oncology)</w:t>
      </w:r>
      <w:r>
        <w:t>.</w:t>
      </w:r>
      <w:r w:rsidR="00B3267D">
        <w:rPr>
          <w:rStyle w:val="FootnoteReference"/>
        </w:rPr>
        <w:footnoteReference w:id="85"/>
      </w:r>
      <w:r w:rsidRPr="00021271">
        <w:t xml:space="preserve"> </w:t>
      </w:r>
      <w:r>
        <w:t xml:space="preserve">Criteria for allowing treatment beyond radiographic progression (around </w:t>
      </w:r>
      <w:r w:rsidRPr="00B37B18">
        <w:t xml:space="preserve">investigator-assessed clinical benefit and </w:t>
      </w:r>
      <w:r>
        <w:t>tolerance of</w:t>
      </w:r>
      <w:r w:rsidRPr="00B37B18">
        <w:t xml:space="preserve"> study treatment</w:t>
      </w:r>
      <w:r>
        <w:t>) were specified in the protocol</w:t>
      </w:r>
      <w:r w:rsidRPr="00B37B18">
        <w:t>.</w:t>
      </w:r>
    </w:p>
    <w:p w14:paraId="043ED77E" w14:textId="574C1E9C" w:rsidR="00F76A31" w:rsidRDefault="00F76A31" w:rsidP="00F76A31">
      <w:r>
        <w:t>Tumour</w:t>
      </w:r>
      <w:r w:rsidRPr="00B37B18">
        <w:t xml:space="preserve"> assessments </w:t>
      </w:r>
      <w:r>
        <w:t xml:space="preserve">were conducted at </w:t>
      </w:r>
      <w:r w:rsidR="00B3267D">
        <w:t>W</w:t>
      </w:r>
      <w:r>
        <w:t>eek</w:t>
      </w:r>
      <w:r w:rsidR="00B3267D">
        <w:t> </w:t>
      </w:r>
      <w:r w:rsidRPr="00B37B18">
        <w:t>12</w:t>
      </w:r>
      <w:r>
        <w:t xml:space="preserve"> (post-randomisation), then every 8</w:t>
      </w:r>
      <w:r w:rsidR="00B3267D">
        <w:t> </w:t>
      </w:r>
      <w:r>
        <w:t xml:space="preserve">weeks </w:t>
      </w:r>
      <w:r w:rsidRPr="00B2486B">
        <w:t xml:space="preserve">until </w:t>
      </w:r>
      <w:r w:rsidR="00B3267D" w:rsidRPr="00B2486B">
        <w:t>W</w:t>
      </w:r>
      <w:r w:rsidRPr="00B2486B">
        <w:t>eek</w:t>
      </w:r>
      <w:r w:rsidR="00B3267D" w:rsidRPr="00B2486B">
        <w:t> </w:t>
      </w:r>
      <w:r w:rsidRPr="00B2486B">
        <w:t>52, then every 12</w:t>
      </w:r>
      <w:r w:rsidR="00B3267D" w:rsidRPr="00B2486B">
        <w:t> </w:t>
      </w:r>
      <w:r w:rsidRPr="00B2486B">
        <w:t xml:space="preserve">weeks thereafter until </w:t>
      </w:r>
      <w:r w:rsidR="00B3267D" w:rsidRPr="00B2486B">
        <w:t xml:space="preserve">the blinded independent </w:t>
      </w:r>
      <w:r w:rsidR="00B2486B" w:rsidRPr="00B2486B">
        <w:t>central review</w:t>
      </w:r>
      <w:r w:rsidR="00B3267D" w:rsidRPr="00B2486B">
        <w:t xml:space="preserve"> (</w:t>
      </w:r>
      <w:r w:rsidRPr="00B2486B">
        <w:t>BICR</w:t>
      </w:r>
      <w:r w:rsidR="00B3267D" w:rsidRPr="00B2486B">
        <w:t xml:space="preserve">) </w:t>
      </w:r>
      <w:r w:rsidRPr="00B2486B">
        <w:t>confirmed disease progression or treatment discontinuation, whichever occurred later.</w:t>
      </w:r>
    </w:p>
    <w:p w14:paraId="79DDBB2F" w14:textId="7A22509C" w:rsidR="00F76A31" w:rsidRPr="00B2486B" w:rsidRDefault="00F76A31" w:rsidP="00F76A31">
      <w:r w:rsidRPr="00B2486B">
        <w:t xml:space="preserve">A summary of the design of </w:t>
      </w:r>
      <w:r w:rsidR="003269A5">
        <w:t>the RELATIVITY-047 trial</w:t>
      </w:r>
      <w:r w:rsidRPr="00B2486B">
        <w:t xml:space="preserve"> is included in </w:t>
      </w:r>
      <w:r w:rsidR="00B3267D" w:rsidRPr="00B2486B">
        <w:rPr>
          <w:color w:val="2B579A"/>
          <w:shd w:val="clear" w:color="auto" w:fill="E6E6E6"/>
        </w:rPr>
        <w:fldChar w:fldCharType="begin"/>
      </w:r>
      <w:r w:rsidR="00B3267D" w:rsidRPr="00B2486B">
        <w:instrText xml:space="preserve"> REF _Ref140062747 \h </w:instrText>
      </w:r>
      <w:r w:rsidR="00B3267D" w:rsidRPr="00B2486B">
        <w:rPr>
          <w:color w:val="2B579A"/>
          <w:shd w:val="clear" w:color="auto" w:fill="E6E6E6"/>
        </w:rPr>
      </w:r>
      <w:r w:rsidR="00B3267D" w:rsidRPr="00B2486B">
        <w:rPr>
          <w:color w:val="2B579A"/>
          <w:shd w:val="clear" w:color="auto" w:fill="E6E6E6"/>
        </w:rPr>
        <w:fldChar w:fldCharType="separate"/>
      </w:r>
      <w:r w:rsidR="004F1B9E">
        <w:t xml:space="preserve">Figure </w:t>
      </w:r>
      <w:r w:rsidR="004F1B9E">
        <w:rPr>
          <w:noProof/>
        </w:rPr>
        <w:t>2</w:t>
      </w:r>
      <w:r w:rsidR="00B3267D" w:rsidRPr="00B2486B">
        <w:rPr>
          <w:color w:val="2B579A"/>
          <w:shd w:val="clear" w:color="auto" w:fill="E6E6E6"/>
        </w:rPr>
        <w:fldChar w:fldCharType="end"/>
      </w:r>
      <w:r w:rsidR="00B3267D" w:rsidRPr="00B2486B">
        <w:t xml:space="preserve"> below</w:t>
      </w:r>
      <w:r w:rsidRPr="00B2486B">
        <w:t>.</w:t>
      </w:r>
    </w:p>
    <w:p w14:paraId="4A63060A" w14:textId="27A1F405" w:rsidR="00F76A31" w:rsidRDefault="00F76A31" w:rsidP="00F76A31">
      <w:r w:rsidRPr="00B2486B">
        <w:t xml:space="preserve">The primary efficacy outcome </w:t>
      </w:r>
      <w:r w:rsidR="0008486F">
        <w:t>wa</w:t>
      </w:r>
      <w:r w:rsidRPr="00B2486B">
        <w:t xml:space="preserve">s PFS by BICR, and the key secondary endpoints (with hierarchical testing) </w:t>
      </w:r>
      <w:r w:rsidR="0008486F">
        <w:t>we</w:t>
      </w:r>
      <w:r w:rsidRPr="00B2486B">
        <w:t>re overall survival (OS) and objective response rate per BICR.</w:t>
      </w:r>
      <w:r>
        <w:t xml:space="preserve"> </w:t>
      </w:r>
      <w:r w:rsidR="004B7BF3">
        <w:t>Progression</w:t>
      </w:r>
      <w:r w:rsidR="00C808E2">
        <w:noBreakHyphen/>
      </w:r>
      <w:r w:rsidR="004B7BF3">
        <w:t>free survival</w:t>
      </w:r>
      <w:r>
        <w:t xml:space="preserve"> per investigator, PFS by biomarkers (LAG-3, PD-L1, PD-L1/LAG-3), </w:t>
      </w:r>
      <w:r w:rsidR="00FC6CED">
        <w:t>PFS</w:t>
      </w:r>
      <w:r w:rsidR="00B2486B" w:rsidRPr="00763CE9">
        <w:t xml:space="preserve"> after the next line of subsequent therapy, </w:t>
      </w:r>
      <w:r w:rsidRPr="00763CE9">
        <w:t xml:space="preserve">and </w:t>
      </w:r>
      <w:r w:rsidR="00763CE9" w:rsidRPr="00763CE9">
        <w:t>treatment</w:t>
      </w:r>
      <w:r w:rsidR="006A4D3C">
        <w:t xml:space="preserve"> </w:t>
      </w:r>
      <w:r w:rsidR="00763CE9" w:rsidRPr="00763CE9">
        <w:t>free interval</w:t>
      </w:r>
      <w:r w:rsidRPr="00763CE9">
        <w:t>/</w:t>
      </w:r>
      <w:r w:rsidR="00763CE9" w:rsidRPr="00763CE9">
        <w:t>treatment</w:t>
      </w:r>
      <w:r w:rsidR="006A4D3C">
        <w:t xml:space="preserve"> </w:t>
      </w:r>
      <w:r w:rsidR="00763CE9" w:rsidRPr="00763CE9">
        <w:t>free survival</w:t>
      </w:r>
      <w:r w:rsidRPr="00763CE9">
        <w:t xml:space="preserve"> were all exploratory endpoints.</w:t>
      </w:r>
    </w:p>
    <w:p w14:paraId="53EB9329" w14:textId="38412C61" w:rsidR="00F76A31" w:rsidRPr="00395AFC" w:rsidRDefault="00F76A31" w:rsidP="00F76A31">
      <w:pPr>
        <w:rPr>
          <w:noProof/>
        </w:rPr>
      </w:pPr>
      <w:r>
        <w:rPr>
          <w:noProof/>
        </w:rPr>
        <w:t xml:space="preserve">The statistical analysis plan and changes to it are described in detail in the FDA </w:t>
      </w:r>
      <w:r w:rsidR="00B651DF" w:rsidRPr="00B651DF">
        <w:rPr>
          <w:noProof/>
        </w:rPr>
        <w:t>multidisciplinary review</w:t>
      </w:r>
      <w:r>
        <w:rPr>
          <w:noProof/>
        </w:rPr>
        <w:t xml:space="preserve"> document</w:t>
      </w:r>
      <w:r w:rsidR="004B7BF3">
        <w:rPr>
          <w:noProof/>
        </w:rPr>
        <w:t>.</w:t>
      </w:r>
      <w:r w:rsidR="004B7BF3">
        <w:rPr>
          <w:rStyle w:val="FootnoteReference"/>
          <w:noProof/>
        </w:rPr>
        <w:footnoteReference w:id="86"/>
      </w:r>
      <w:r>
        <w:rPr>
          <w:noProof/>
        </w:rPr>
        <w:t xml:space="preserve"> No concerns have emerged about the interpretability of the study results with regard to protocol amendments, good clinical practice issues or protocol deviations.</w:t>
      </w:r>
    </w:p>
    <w:p w14:paraId="58B84144" w14:textId="4CA63AF1" w:rsidR="00B3267D" w:rsidRPr="00B3267D" w:rsidRDefault="00B3267D" w:rsidP="008B1427">
      <w:pPr>
        <w:pStyle w:val="FigureTitle"/>
        <w:keepNext/>
      </w:pPr>
      <w:bookmarkStart w:id="87" w:name="_Ref140062747"/>
      <w:r>
        <w:t xml:space="preserve">Figure </w:t>
      </w:r>
      <w:r>
        <w:fldChar w:fldCharType="begin"/>
      </w:r>
      <w:r>
        <w:instrText>SEQ Figure \* ARABIC</w:instrText>
      </w:r>
      <w:r>
        <w:fldChar w:fldCharType="separate"/>
      </w:r>
      <w:r w:rsidR="004F1B9E">
        <w:rPr>
          <w:noProof/>
        </w:rPr>
        <w:t>2</w:t>
      </w:r>
      <w:r>
        <w:fldChar w:fldCharType="end"/>
      </w:r>
      <w:bookmarkEnd w:id="87"/>
      <w:r>
        <w:t xml:space="preserve">: </w:t>
      </w:r>
      <w:r w:rsidR="00B651DF">
        <w:t xml:space="preserve">RELATIVITY-047 </w:t>
      </w:r>
      <w:r>
        <w:t>Schematic of the</w:t>
      </w:r>
      <w:r w:rsidR="00B651DF">
        <w:t xml:space="preserve"> study</w:t>
      </w:r>
      <w:r>
        <w:t xml:space="preserve"> design</w:t>
      </w:r>
    </w:p>
    <w:p w14:paraId="3FF5C6D2" w14:textId="3850BDEC" w:rsidR="00F76A31" w:rsidRPr="00315221" w:rsidRDefault="00F76A31" w:rsidP="00F76A31">
      <w:pPr>
        <w:jc w:val="both"/>
        <w:rPr>
          <w:lang w:eastAsia="zh-TW"/>
        </w:rPr>
      </w:pPr>
      <w:r w:rsidRPr="001628C1">
        <w:rPr>
          <w:noProof/>
          <w:color w:val="2B579A"/>
          <w:shd w:val="clear" w:color="auto" w:fill="E6E6E6"/>
        </w:rPr>
        <w:drawing>
          <wp:inline distT="0" distB="0" distL="0" distR="0" wp14:anchorId="1F01E030" wp14:editId="1EDB10D1">
            <wp:extent cx="5731510" cy="1976120"/>
            <wp:effectExtent l="95250" t="95250" r="97790" b="100330"/>
            <wp:docPr id="1" name="Picture 1" descr="Schematic of RELATIVITY-047 which has key stages of screening period, stratification, treatment assignment, treatment, and interim analysis decision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ematic of RELATIVITY-047 which has key stages of screening period, stratification, treatment assignment, treatment, and interim analysis decision point."/>
                    <pic:cNvPicPr/>
                  </pic:nvPicPr>
                  <pic:blipFill>
                    <a:blip r:embed="rId22"/>
                    <a:stretch>
                      <a:fillRect/>
                    </a:stretch>
                  </pic:blipFill>
                  <pic:spPr>
                    <a:xfrm>
                      <a:off x="0" y="0"/>
                      <a:ext cx="5731510" cy="1976120"/>
                    </a:xfrm>
                    <a:prstGeom prst="rect">
                      <a:avLst/>
                    </a:prstGeom>
                    <a:solidFill>
                      <a:srgbClr val="FFFFFF">
                        <a:shade val="85000"/>
                      </a:srgbClr>
                    </a:solidFill>
                    <a:ln w="88900" cap="sq">
                      <a:solidFill>
                        <a:srgbClr val="FFFFFF"/>
                      </a:solidFill>
                      <a:miter lim="800000"/>
                    </a:ln>
                    <a:effectLst/>
                  </pic:spPr>
                </pic:pic>
              </a:graphicData>
            </a:graphic>
          </wp:inline>
        </w:drawing>
      </w:r>
    </w:p>
    <w:p w14:paraId="0C92CFDE" w14:textId="4431C3BB" w:rsidR="004B7BF3" w:rsidRPr="001628C1" w:rsidRDefault="008B1427" w:rsidP="00763CE9">
      <w:pPr>
        <w:pStyle w:val="FigureDescription"/>
      </w:pPr>
      <w:r w:rsidRPr="001628C1">
        <w:t>Abbreviations: AJCC</w:t>
      </w:r>
      <w:r w:rsidR="00B83235">
        <w:t> = </w:t>
      </w:r>
      <w:r w:rsidR="00763CE9" w:rsidRPr="001628C1">
        <w:t xml:space="preserve">American Joint Committee on Cancer; </w:t>
      </w:r>
      <w:r w:rsidRPr="001628C1">
        <w:t>BRAF</w:t>
      </w:r>
      <w:r w:rsidR="00B83235">
        <w:t> = </w:t>
      </w:r>
      <w:r w:rsidR="00763CE9" w:rsidRPr="001628C1">
        <w:t>B-Raf proto-oncogene;</w:t>
      </w:r>
      <w:r w:rsidRPr="001628C1">
        <w:t xml:space="preserve"> FDC</w:t>
      </w:r>
      <w:r w:rsidR="00B83235">
        <w:t> = </w:t>
      </w:r>
      <w:r w:rsidRPr="001628C1">
        <w:t>fixed</w:t>
      </w:r>
      <w:r w:rsidR="008F79EB">
        <w:t>-</w:t>
      </w:r>
      <w:r w:rsidRPr="001628C1">
        <w:t>dose combination; IV</w:t>
      </w:r>
      <w:r w:rsidR="00B83235">
        <w:t> = </w:t>
      </w:r>
      <w:r w:rsidRPr="001628C1">
        <w:t>intravenous; LAG-3</w:t>
      </w:r>
      <w:r w:rsidR="00B83235">
        <w:t> = </w:t>
      </w:r>
      <w:r w:rsidR="00763CE9" w:rsidRPr="001628C1">
        <w:t>lymphocyte</w:t>
      </w:r>
      <w:r w:rsidR="00763CE9" w:rsidRPr="001628C1">
        <w:noBreakHyphen/>
        <w:t>activation gene 3;</w:t>
      </w:r>
      <w:r w:rsidRPr="001628C1">
        <w:t xml:space="preserve"> </w:t>
      </w:r>
      <w:r w:rsidR="00763CE9" w:rsidRPr="001628C1">
        <w:t>M</w:t>
      </w:r>
      <w:r w:rsidR="00B83235">
        <w:t> = </w:t>
      </w:r>
      <w:r w:rsidR="00763CE9" w:rsidRPr="001628C1">
        <w:t xml:space="preserve">metastases; </w:t>
      </w:r>
      <w:r w:rsidRPr="001628C1">
        <w:t>N</w:t>
      </w:r>
      <w:r w:rsidR="00B83235">
        <w:t> = </w:t>
      </w:r>
      <w:r w:rsidR="00763CE9" w:rsidRPr="001628C1">
        <w:t>number of subjects</w:t>
      </w:r>
      <w:r w:rsidRPr="001628C1">
        <w:t>; Q4W</w:t>
      </w:r>
      <w:r w:rsidR="00B83235">
        <w:t> = </w:t>
      </w:r>
      <w:r w:rsidRPr="001628C1">
        <w:t>every 4 weeks; PD-L1</w:t>
      </w:r>
      <w:r w:rsidR="00B83235">
        <w:t> = </w:t>
      </w:r>
      <w:r w:rsidR="00763CE9" w:rsidRPr="001628C1">
        <w:t>programmed death</w:t>
      </w:r>
      <w:r w:rsidR="00763CE9" w:rsidRPr="001628C1">
        <w:noBreakHyphen/>
        <w:t>ligand 1</w:t>
      </w:r>
      <w:r w:rsidRPr="001628C1">
        <w:t>; PFS</w:t>
      </w:r>
      <w:r w:rsidR="00B83235">
        <w:t> = </w:t>
      </w:r>
      <w:r w:rsidRPr="001628C1">
        <w:t>progression</w:t>
      </w:r>
      <w:r w:rsidR="00C808E2">
        <w:noBreakHyphen/>
      </w:r>
      <w:r w:rsidRPr="001628C1">
        <w:t>free survival; Rand</w:t>
      </w:r>
      <w:r w:rsidR="00B83235">
        <w:t> = </w:t>
      </w:r>
      <w:r w:rsidRPr="001628C1">
        <w:t>randomised.</w:t>
      </w:r>
    </w:p>
    <w:p w14:paraId="52D94898" w14:textId="3A23DC44" w:rsidR="00F76A31" w:rsidRPr="00395AFC" w:rsidRDefault="00F76A31" w:rsidP="00F76A31">
      <w:pPr>
        <w:pStyle w:val="Heading6"/>
        <w:rPr>
          <w:noProof/>
        </w:rPr>
      </w:pPr>
      <w:r w:rsidRPr="00395AFC">
        <w:rPr>
          <w:noProof/>
        </w:rPr>
        <w:lastRenderedPageBreak/>
        <w:t>Populatio</w:t>
      </w:r>
      <w:r w:rsidR="00DC15BA">
        <w:rPr>
          <w:noProof/>
        </w:rPr>
        <w:t>n</w:t>
      </w:r>
    </w:p>
    <w:p w14:paraId="74C2D50B" w14:textId="03FA1DD2" w:rsidR="00F76A31" w:rsidRPr="00395AFC" w:rsidRDefault="00F76A31" w:rsidP="00F76A31">
      <w:pPr>
        <w:rPr>
          <w:noProof/>
        </w:rPr>
      </w:pPr>
      <w:r w:rsidRPr="00395AFC">
        <w:rPr>
          <w:noProof/>
        </w:rPr>
        <w:t>Patients were randomised across 114</w:t>
      </w:r>
      <w:r w:rsidR="008B1427">
        <w:rPr>
          <w:noProof/>
        </w:rPr>
        <w:t> </w:t>
      </w:r>
      <w:r w:rsidRPr="00395AFC">
        <w:rPr>
          <w:noProof/>
        </w:rPr>
        <w:t>sites in 25</w:t>
      </w:r>
      <w:r w:rsidR="008B1427">
        <w:rPr>
          <w:noProof/>
        </w:rPr>
        <w:t> </w:t>
      </w:r>
      <w:r w:rsidRPr="00395AFC">
        <w:rPr>
          <w:noProof/>
        </w:rPr>
        <w:t xml:space="preserve">countries (Argentina, Australia, Austria, Belgium, Brazil, Canada, Chile, Columbia, Denmark, Finland, France, Germany, Greece, Israel, Italy, Mexico, New Zealand, Norway, Poland, Romania, Russian Federation, Spain, Sweden, </w:t>
      </w:r>
      <w:r w:rsidRPr="000B287E">
        <w:rPr>
          <w:noProof/>
        </w:rPr>
        <w:t>U</w:t>
      </w:r>
      <w:r w:rsidR="00215017" w:rsidRPr="000B287E">
        <w:rPr>
          <w:noProof/>
        </w:rPr>
        <w:t>nited Kingdom</w:t>
      </w:r>
      <w:r w:rsidRPr="000B287E">
        <w:rPr>
          <w:noProof/>
        </w:rPr>
        <w:t xml:space="preserve">, </w:t>
      </w:r>
      <w:r w:rsidR="00B651DF">
        <w:rPr>
          <w:noProof/>
        </w:rPr>
        <w:t xml:space="preserve">and </w:t>
      </w:r>
      <w:r w:rsidRPr="000B287E">
        <w:rPr>
          <w:noProof/>
        </w:rPr>
        <w:t>U</w:t>
      </w:r>
      <w:r w:rsidR="00215017" w:rsidRPr="000B287E">
        <w:rPr>
          <w:noProof/>
        </w:rPr>
        <w:t>nited States of America</w:t>
      </w:r>
      <w:r w:rsidRPr="000B287E">
        <w:rPr>
          <w:noProof/>
        </w:rPr>
        <w:t>). In total, 61</w:t>
      </w:r>
      <w:r w:rsidR="008B1427" w:rsidRPr="000B287E">
        <w:rPr>
          <w:noProof/>
        </w:rPr>
        <w:t> </w:t>
      </w:r>
      <w:r w:rsidRPr="000B287E">
        <w:rPr>
          <w:noProof/>
        </w:rPr>
        <w:t>patients (almost a tenth of the study</w:t>
      </w:r>
      <w:r>
        <w:rPr>
          <w:noProof/>
        </w:rPr>
        <w:t xml:space="preserve"> </w:t>
      </w:r>
      <w:r w:rsidRPr="00763CE9">
        <w:rPr>
          <w:noProof/>
        </w:rPr>
        <w:t xml:space="preserve">population) were randomised at sites in Australia or New Zealand: 32 to </w:t>
      </w:r>
      <w:r w:rsidR="00763CE9" w:rsidRPr="00763CE9">
        <w:rPr>
          <w:noProof/>
        </w:rPr>
        <w:t>Opdualag</w:t>
      </w:r>
      <w:r w:rsidRPr="00763CE9">
        <w:rPr>
          <w:noProof/>
        </w:rPr>
        <w:t xml:space="preserve"> and 29 to nivo</w:t>
      </w:r>
      <w:r w:rsidR="00763CE9" w:rsidRPr="00763CE9">
        <w:rPr>
          <w:noProof/>
        </w:rPr>
        <w:t>lumab</w:t>
      </w:r>
      <w:r w:rsidRPr="00763CE9">
        <w:rPr>
          <w:noProof/>
        </w:rPr>
        <w:t>.</w:t>
      </w:r>
    </w:p>
    <w:p w14:paraId="7174016D" w14:textId="23CF8F01" w:rsidR="00F76A31" w:rsidRPr="00494866" w:rsidRDefault="00F76A31" w:rsidP="00F76A31">
      <w:r w:rsidRPr="00395AFC">
        <w:t xml:space="preserve">Demographics and baseline disease characteristics were generally similar between treatment arms (suggestive of intact randomisation), and in keeping with what would be expected for a first-line advanced melanoma population in </w:t>
      </w:r>
      <w:r w:rsidRPr="009F2088">
        <w:t>Australia. The median age was 63</w:t>
      </w:r>
      <w:r w:rsidR="008B1427">
        <w:t> </w:t>
      </w:r>
      <w:r w:rsidRPr="009F2088">
        <w:t>years (range: 20</w:t>
      </w:r>
      <w:r w:rsidR="00B651DF">
        <w:t> </w:t>
      </w:r>
      <w:r w:rsidRPr="009F2088">
        <w:t>to 94</w:t>
      </w:r>
      <w:r w:rsidR="00DC15BA">
        <w:t> </w:t>
      </w:r>
      <w:r w:rsidR="008B1427">
        <w:t>years</w:t>
      </w:r>
      <w:r w:rsidRPr="009F2088">
        <w:t>), 58% of patients were male, 97% were Caucasian, 7% were Hispanic, and two</w:t>
      </w:r>
      <w:r w:rsidR="008B1427">
        <w:noBreakHyphen/>
      </w:r>
      <w:r w:rsidRPr="009F2088">
        <w:t>thirds had an ECOG P</w:t>
      </w:r>
      <w:r w:rsidR="008B1427">
        <w:t>erformance Status</w:t>
      </w:r>
      <w:r w:rsidRPr="009F2088">
        <w:t xml:space="preserve"> of 0. </w:t>
      </w:r>
      <w:r w:rsidR="00066A05">
        <w:t>Of</w:t>
      </w:r>
      <w:r w:rsidRPr="009F2088">
        <w:t xml:space="preserve"> their tumours, PD-L1 expression was </w:t>
      </w:r>
      <w:r w:rsidR="00E11693">
        <w:t xml:space="preserve">at least </w:t>
      </w:r>
      <w:r w:rsidRPr="009F2088">
        <w:t xml:space="preserve">1% in 41% of cases, LAG-3 expression was </w:t>
      </w:r>
      <w:r w:rsidR="00E11693">
        <w:t xml:space="preserve">at least </w:t>
      </w:r>
      <w:r w:rsidRPr="009F2088">
        <w:t xml:space="preserve">1% in 75% of cases, and 39% had a </w:t>
      </w:r>
      <w:r w:rsidRPr="00494866">
        <w:rPr>
          <w:i/>
          <w:iCs/>
        </w:rPr>
        <w:t>BRAF</w:t>
      </w:r>
      <w:r w:rsidRPr="00494866">
        <w:t xml:space="preserve"> V600 mutation. Almost all patients (92%) had AJCC stage IV disease, 39% had M1c disease (39%), 2.4% had M1d disease, and 36% had elevated </w:t>
      </w:r>
      <w:r w:rsidR="00066A05" w:rsidRPr="00494866">
        <w:t>LDH</w:t>
      </w:r>
      <w:r w:rsidRPr="00494866">
        <w:t>. Overall, 9% of patients had received</w:t>
      </w:r>
      <w:r w:rsidRPr="009F2088">
        <w:t xml:space="preserve"> a prior systemic therapy for their melanoma</w:t>
      </w:r>
      <w:r w:rsidR="00E11693">
        <w:t>,</w:t>
      </w:r>
      <w:r w:rsidRPr="009F2088">
        <w:t xml:space="preserve"> mostly adjuvant interferon</w:t>
      </w:r>
      <w:r>
        <w:t xml:space="preserve"> (6%)</w:t>
      </w:r>
      <w:r w:rsidR="00E11693">
        <w:t>;</w:t>
      </w:r>
      <w:r>
        <w:t xml:space="preserve"> </w:t>
      </w:r>
      <w:r w:rsidRPr="00245B5A">
        <w:t>1% had received anti-CTLA4 treatment</w:t>
      </w:r>
      <w:r w:rsidR="00E11693">
        <w:t>;</w:t>
      </w:r>
      <w:r w:rsidRPr="00245B5A">
        <w:t xml:space="preserve"> 1% had received anti-PD-1 treatment</w:t>
      </w:r>
      <w:r w:rsidR="00E11693">
        <w:t>;</w:t>
      </w:r>
      <w:r w:rsidRPr="00245B5A">
        <w:t xml:space="preserve"> and 0.1% had received combined </w:t>
      </w:r>
      <w:r w:rsidRPr="00494866">
        <w:t>anti-CTLA4/anti-PD-1 treatment.</w:t>
      </w:r>
    </w:p>
    <w:p w14:paraId="0A67AB50" w14:textId="77777777" w:rsidR="00F76A31" w:rsidRPr="00690805" w:rsidRDefault="00F76A31" w:rsidP="00F76A31">
      <w:pPr>
        <w:pStyle w:val="Heading6"/>
      </w:pPr>
      <w:r w:rsidRPr="00690805">
        <w:t>Disposition</w:t>
      </w:r>
    </w:p>
    <w:p w14:paraId="4623C127" w14:textId="16822625" w:rsidR="00F76A31" w:rsidRDefault="00EA22F7" w:rsidP="00F76A31">
      <w:r w:rsidRPr="00EA22F7">
        <w:t>D</w:t>
      </w:r>
      <w:r w:rsidR="00F76A31" w:rsidRPr="00EA22F7">
        <w:t xml:space="preserve">isposition across the two arms </w:t>
      </w:r>
      <w:r w:rsidRPr="00EA22F7">
        <w:t>showed a</w:t>
      </w:r>
      <w:r w:rsidR="00F76A31" w:rsidRPr="00EA22F7">
        <w:t xml:space="preserve">round two thirds (67% of the </w:t>
      </w:r>
      <w:proofErr w:type="spellStart"/>
      <w:r w:rsidRPr="00EA22F7">
        <w:t>Opdualag</w:t>
      </w:r>
      <w:proofErr w:type="spellEnd"/>
      <w:r w:rsidR="00F76A31" w:rsidRPr="00EA22F7">
        <w:t xml:space="preserve"> arm and 65% of the nivo</w:t>
      </w:r>
      <w:r w:rsidRPr="00EA22F7">
        <w:t>lumab</w:t>
      </w:r>
      <w:r w:rsidR="00F76A31" w:rsidRPr="00EA22F7">
        <w:t xml:space="preserve"> arm</w:t>
      </w:r>
      <w:r w:rsidRPr="00EA22F7">
        <w:t>)</w:t>
      </w:r>
      <w:r w:rsidR="00F76A31" w:rsidRPr="00EA22F7">
        <w:t xml:space="preserve"> </w:t>
      </w:r>
      <w:r w:rsidRPr="00EA22F7">
        <w:t xml:space="preserve">of subjects </w:t>
      </w:r>
      <w:r w:rsidR="00F76A31" w:rsidRPr="00EA22F7">
        <w:t>had discontinued treatment at time of database lock.</w:t>
      </w:r>
      <w:r w:rsidRPr="00EA22F7">
        <w:rPr>
          <w:rStyle w:val="FootnoteReference"/>
        </w:rPr>
        <w:footnoteReference w:id="87"/>
      </w:r>
      <w:r w:rsidR="00F76A31" w:rsidRPr="00EA22F7">
        <w:t xml:space="preserve"> A higher proportion of the </w:t>
      </w:r>
      <w:proofErr w:type="spellStart"/>
      <w:r w:rsidRPr="00EA22F7">
        <w:t>Opdualag</w:t>
      </w:r>
      <w:proofErr w:type="spellEnd"/>
      <w:r w:rsidR="00F76A31" w:rsidRPr="00EA22F7">
        <w:t xml:space="preserve"> arm discontinued treatment due to study drug toxicity, and a</w:t>
      </w:r>
      <w:r w:rsidR="00F76A31">
        <w:t xml:space="preserve"> higher proportion of the nivo</w:t>
      </w:r>
      <w:r>
        <w:t>lumab</w:t>
      </w:r>
      <w:r w:rsidR="00F76A31">
        <w:t xml:space="preserve"> arm discontinued treatment due to disease progression. Study discontinuation due to death was 3% higher in the nivo</w:t>
      </w:r>
      <w:r>
        <w:t>lumab</w:t>
      </w:r>
      <w:r w:rsidR="00F76A31">
        <w:t xml:space="preserve"> arm.</w:t>
      </w:r>
    </w:p>
    <w:p w14:paraId="64B5CBA2" w14:textId="77777777" w:rsidR="00F76A31" w:rsidRDefault="00F76A31" w:rsidP="00F76A31">
      <w:r w:rsidRPr="00937C39">
        <w:t>The proportion of patients who received subsequent anticancer therapy (radiation, surgery, or systemic agents) was similar between arms.</w:t>
      </w:r>
    </w:p>
    <w:p w14:paraId="2D51F738" w14:textId="77777777" w:rsidR="00F76A31" w:rsidRPr="00A223F9" w:rsidRDefault="00F76A31" w:rsidP="00F76A31">
      <w:pPr>
        <w:pStyle w:val="Heading6"/>
      </w:pPr>
      <w:r>
        <w:t>Efficacy o</w:t>
      </w:r>
      <w:r w:rsidRPr="00A223F9">
        <w:t>utcomes</w:t>
      </w:r>
    </w:p>
    <w:p w14:paraId="3C85F25D" w14:textId="1F70712E" w:rsidR="00F76A31" w:rsidRPr="00146125" w:rsidRDefault="00F76A31" w:rsidP="00F76A31">
      <w:r>
        <w:t>At the time of database lock for the primary analysis, the median duration of follow</w:t>
      </w:r>
      <w:r w:rsidR="00EA22F7">
        <w:noBreakHyphen/>
      </w:r>
      <w:r>
        <w:t xml:space="preserve">up was </w:t>
      </w:r>
      <w:r w:rsidRPr="00146125">
        <w:t>13</w:t>
      </w:r>
      <w:r w:rsidR="0078184E" w:rsidRPr="00146125">
        <w:t> </w:t>
      </w:r>
      <w:r w:rsidRPr="00146125">
        <w:t>months (range</w:t>
      </w:r>
      <w:r w:rsidR="00EA22F7" w:rsidRPr="00146125">
        <w:t>:</w:t>
      </w:r>
      <w:r w:rsidRPr="00146125">
        <w:t xml:space="preserve"> 0</w:t>
      </w:r>
      <w:r w:rsidR="00B651DF">
        <w:t xml:space="preserve"> to</w:t>
      </w:r>
      <w:r w:rsidR="0078184E" w:rsidRPr="00146125">
        <w:t xml:space="preserve"> </w:t>
      </w:r>
      <w:r w:rsidRPr="00146125">
        <w:t>33</w:t>
      </w:r>
      <w:r w:rsidR="0078184E" w:rsidRPr="00146125">
        <w:t> </w:t>
      </w:r>
      <w:r w:rsidRPr="00146125">
        <w:t xml:space="preserve">months), with </w:t>
      </w:r>
      <w:r w:rsidR="00EA22F7" w:rsidRPr="00146125">
        <w:t>coronavirus disease 2019 (</w:t>
      </w:r>
      <w:r w:rsidRPr="00146125">
        <w:t>COVID-19</w:t>
      </w:r>
      <w:r w:rsidR="00EA22F7" w:rsidRPr="00146125">
        <w:t>)</w:t>
      </w:r>
      <w:r w:rsidRPr="00146125">
        <w:t xml:space="preserve"> responsible for an</w:t>
      </w:r>
      <w:r>
        <w:t xml:space="preserve"> enrolment slowdown contributing to the wide range and low minimum. R</w:t>
      </w:r>
      <w:r w:rsidRPr="00F91B47">
        <w:t>esults</w:t>
      </w:r>
      <w:r>
        <w:rPr>
          <w:color w:val="FF0000"/>
        </w:rPr>
        <w:t xml:space="preserve"> </w:t>
      </w:r>
      <w:r w:rsidRPr="00F91B47">
        <w:t xml:space="preserve">for </w:t>
      </w:r>
      <w:r w:rsidR="003269A5">
        <w:t>the RELATIVITY</w:t>
      </w:r>
      <w:r w:rsidR="00DC15BA">
        <w:noBreakHyphen/>
      </w:r>
      <w:r w:rsidR="003269A5">
        <w:t>047 trial</w:t>
      </w:r>
      <w:r w:rsidRPr="00146125">
        <w:t xml:space="preserve"> are summarised in </w:t>
      </w:r>
      <w:r w:rsidR="00662768">
        <w:rPr>
          <w:color w:val="2B579A"/>
          <w:shd w:val="clear" w:color="auto" w:fill="E6E6E6"/>
        </w:rPr>
        <w:fldChar w:fldCharType="begin"/>
      </w:r>
      <w:r w:rsidR="00662768">
        <w:instrText xml:space="preserve"> REF _Ref143786920 \h </w:instrText>
      </w:r>
      <w:r w:rsidR="00662768">
        <w:rPr>
          <w:color w:val="2B579A"/>
          <w:shd w:val="clear" w:color="auto" w:fill="E6E6E6"/>
        </w:rPr>
      </w:r>
      <w:r w:rsidR="00662768">
        <w:rPr>
          <w:color w:val="2B579A"/>
          <w:shd w:val="clear" w:color="auto" w:fill="E6E6E6"/>
        </w:rPr>
        <w:fldChar w:fldCharType="separate"/>
      </w:r>
      <w:r w:rsidR="004F1B9E">
        <w:t xml:space="preserve">Table </w:t>
      </w:r>
      <w:r w:rsidR="004F1B9E">
        <w:rPr>
          <w:noProof/>
        </w:rPr>
        <w:t>3</w:t>
      </w:r>
      <w:r w:rsidR="00662768">
        <w:rPr>
          <w:color w:val="2B579A"/>
          <w:shd w:val="clear" w:color="auto" w:fill="E6E6E6"/>
        </w:rPr>
        <w:fldChar w:fldCharType="end"/>
      </w:r>
      <w:r w:rsidR="003E567B">
        <w:t xml:space="preserve"> </w:t>
      </w:r>
      <w:r w:rsidRPr="00146125">
        <w:t xml:space="preserve">and </w:t>
      </w:r>
      <w:r w:rsidR="00146125" w:rsidRPr="00146125">
        <w:rPr>
          <w:color w:val="2B579A"/>
          <w:shd w:val="clear" w:color="auto" w:fill="E6E6E6"/>
        </w:rPr>
        <w:fldChar w:fldCharType="begin"/>
      </w:r>
      <w:r w:rsidR="00146125" w:rsidRPr="00146125">
        <w:instrText xml:space="preserve"> REF _Ref143786354 \h </w:instrText>
      </w:r>
      <w:r w:rsidR="00146125">
        <w:instrText xml:space="preserve"> \* MERGEFORMAT </w:instrText>
      </w:r>
      <w:r w:rsidR="00146125" w:rsidRPr="00146125">
        <w:rPr>
          <w:color w:val="2B579A"/>
          <w:shd w:val="clear" w:color="auto" w:fill="E6E6E6"/>
        </w:rPr>
      </w:r>
      <w:r w:rsidR="00146125" w:rsidRPr="00146125">
        <w:rPr>
          <w:color w:val="2B579A"/>
          <w:shd w:val="clear" w:color="auto" w:fill="E6E6E6"/>
        </w:rPr>
        <w:fldChar w:fldCharType="separate"/>
      </w:r>
      <w:r w:rsidR="004F1B9E">
        <w:t xml:space="preserve">Figure </w:t>
      </w:r>
      <w:r w:rsidR="004F1B9E">
        <w:rPr>
          <w:noProof/>
        </w:rPr>
        <w:t>3</w:t>
      </w:r>
      <w:r w:rsidR="00146125" w:rsidRPr="00146125">
        <w:rPr>
          <w:color w:val="2B579A"/>
          <w:shd w:val="clear" w:color="auto" w:fill="E6E6E6"/>
        </w:rPr>
        <w:fldChar w:fldCharType="end"/>
      </w:r>
      <w:r w:rsidRPr="00146125">
        <w:t>.</w:t>
      </w:r>
    </w:p>
    <w:p w14:paraId="79AFBD83" w14:textId="7191A576" w:rsidR="00F76A31" w:rsidRPr="00E26976" w:rsidRDefault="00F76A31" w:rsidP="00F76A31">
      <w:pPr>
        <w:rPr>
          <w:noProof/>
        </w:rPr>
      </w:pPr>
      <w:r w:rsidRPr="00E26976">
        <w:t>The primary efficacy endpoint showed a statistically significant and clinically meaningful increase in PFS by BICR of 5.5</w:t>
      </w:r>
      <w:r w:rsidR="002E087D" w:rsidRPr="00E26976">
        <w:t> </w:t>
      </w:r>
      <w:r w:rsidRPr="00E26976">
        <w:t xml:space="preserve">months with the addition of </w:t>
      </w:r>
      <w:proofErr w:type="spellStart"/>
      <w:r w:rsidRPr="00E26976">
        <w:t>relatlimab</w:t>
      </w:r>
      <w:proofErr w:type="spellEnd"/>
      <w:r w:rsidRPr="00E26976">
        <w:t xml:space="preserve"> to nivolumab treatment, corresponding to</w:t>
      </w:r>
      <w:r w:rsidRPr="00E26976">
        <w:rPr>
          <w:noProof/>
        </w:rPr>
        <w:t xml:space="preserve"> a hazard ratio of 0.75 (95% CI: 0.62, 0.92) and a </w:t>
      </w:r>
      <w:r w:rsidR="002E087D" w:rsidRPr="00E26976">
        <w:rPr>
          <w:noProof/>
        </w:rPr>
        <w:t>2</w:t>
      </w:r>
      <w:r w:rsidRPr="00E26976">
        <w:rPr>
          <w:noProof/>
        </w:rPr>
        <w:t>-sided p-value less than the pre-specified alpha level of 0.049.</w:t>
      </w:r>
    </w:p>
    <w:p w14:paraId="660641B9" w14:textId="6C19FDE7" w:rsidR="00F76A31" w:rsidRPr="000371DB" w:rsidRDefault="00F76A31" w:rsidP="00F76A31">
      <w:r w:rsidRPr="00E26976">
        <w:rPr>
          <w:noProof/>
        </w:rPr>
        <w:t>Exploratory landmark analyses indicated an approximate</w:t>
      </w:r>
      <w:r w:rsidR="002E087D" w:rsidRPr="00E26976">
        <w:rPr>
          <w:noProof/>
        </w:rPr>
        <w:t>ly</w:t>
      </w:r>
      <w:r w:rsidRPr="00E26976">
        <w:rPr>
          <w:noProof/>
        </w:rPr>
        <w:t xml:space="preserve"> 12</w:t>
      </w:r>
      <w:r w:rsidR="00E26976" w:rsidRPr="00E26976">
        <w:rPr>
          <w:noProof/>
        </w:rPr>
        <w:t xml:space="preserve"> to </w:t>
      </w:r>
      <w:r w:rsidRPr="00E26976">
        <w:rPr>
          <w:noProof/>
        </w:rPr>
        <w:t>13% higher Kaplan-Meier estimated PFS rate at arbitrary 6</w:t>
      </w:r>
      <w:r w:rsidR="002E087D" w:rsidRPr="00E26976">
        <w:rPr>
          <w:noProof/>
        </w:rPr>
        <w:t> </w:t>
      </w:r>
      <w:r w:rsidRPr="00E26976">
        <w:rPr>
          <w:noProof/>
        </w:rPr>
        <w:t>month and 12</w:t>
      </w:r>
      <w:r w:rsidR="002E087D" w:rsidRPr="00E26976">
        <w:rPr>
          <w:noProof/>
        </w:rPr>
        <w:t> </w:t>
      </w:r>
      <w:r w:rsidRPr="00E26976">
        <w:rPr>
          <w:noProof/>
        </w:rPr>
        <w:t xml:space="preserve">month time points with </w:t>
      </w:r>
      <w:r w:rsidR="00E26976" w:rsidRPr="00E26976">
        <w:rPr>
          <w:noProof/>
        </w:rPr>
        <w:t>Opdualag</w:t>
      </w:r>
      <w:r w:rsidRPr="00E26976">
        <w:rPr>
          <w:noProof/>
        </w:rPr>
        <w:t xml:space="preserve"> compared to</w:t>
      </w:r>
      <w:r w:rsidRPr="000371DB">
        <w:rPr>
          <w:noProof/>
        </w:rPr>
        <w:t xml:space="preserve"> </w:t>
      </w:r>
      <w:r w:rsidR="002E087D">
        <w:rPr>
          <w:noProof/>
        </w:rPr>
        <w:t>relatlimab</w:t>
      </w:r>
      <w:r w:rsidRPr="000371DB">
        <w:rPr>
          <w:noProof/>
        </w:rPr>
        <w:t>.</w:t>
      </w:r>
    </w:p>
    <w:p w14:paraId="19144F38" w14:textId="36C46BC7" w:rsidR="00F76A31" w:rsidRDefault="00F76A31" w:rsidP="00F76A31">
      <w:pPr>
        <w:rPr>
          <w:noProof/>
        </w:rPr>
      </w:pPr>
      <w:r>
        <w:rPr>
          <w:noProof/>
        </w:rPr>
        <w:t>At time of final analysis, a</w:t>
      </w:r>
      <w:r w:rsidRPr="00B05EE4">
        <w:rPr>
          <w:noProof/>
        </w:rPr>
        <w:t xml:space="preserve"> statistically significant </w:t>
      </w:r>
      <w:r>
        <w:rPr>
          <w:noProof/>
        </w:rPr>
        <w:t xml:space="preserve">difference between arms was not detected for </w:t>
      </w:r>
      <w:r w:rsidRPr="009253FA">
        <w:rPr>
          <w:noProof/>
        </w:rPr>
        <w:t>the key secondary endpoint (</w:t>
      </w:r>
      <w:r w:rsidR="009253FA" w:rsidRPr="009253FA">
        <w:rPr>
          <w:noProof/>
        </w:rPr>
        <w:t>overall survival</w:t>
      </w:r>
      <w:r w:rsidRPr="009253FA">
        <w:rPr>
          <w:noProof/>
        </w:rPr>
        <w:t>), with cumulative design power of 69%. Among all</w:t>
      </w:r>
      <w:r>
        <w:rPr>
          <w:noProof/>
        </w:rPr>
        <w:t xml:space="preserve"> randomised subjects, there were 137</w:t>
      </w:r>
      <w:r w:rsidR="002E087D">
        <w:rPr>
          <w:noProof/>
        </w:rPr>
        <w:t> </w:t>
      </w:r>
      <w:r>
        <w:rPr>
          <w:noProof/>
        </w:rPr>
        <w:t xml:space="preserve">deaths in the </w:t>
      </w:r>
      <w:r w:rsidR="00E26976">
        <w:rPr>
          <w:noProof/>
        </w:rPr>
        <w:t>Opdualag</w:t>
      </w:r>
      <w:r>
        <w:rPr>
          <w:noProof/>
        </w:rPr>
        <w:t xml:space="preserve"> arm and 160</w:t>
      </w:r>
      <w:r w:rsidR="002E087D">
        <w:rPr>
          <w:noProof/>
        </w:rPr>
        <w:t> </w:t>
      </w:r>
      <w:r>
        <w:rPr>
          <w:noProof/>
        </w:rPr>
        <w:t xml:space="preserve">deaths in the </w:t>
      </w:r>
      <w:r w:rsidRPr="00E26976">
        <w:rPr>
          <w:noProof/>
        </w:rPr>
        <w:t>nivo</w:t>
      </w:r>
      <w:r w:rsidR="002E087D" w:rsidRPr="00E26976">
        <w:rPr>
          <w:noProof/>
        </w:rPr>
        <w:t>lumab</w:t>
      </w:r>
      <w:r w:rsidRPr="00E26976">
        <w:rPr>
          <w:noProof/>
        </w:rPr>
        <w:t xml:space="preserve"> arm, corresponding to a hazard ratio of 0.80 (</w:t>
      </w:r>
      <w:r w:rsidR="00B95387" w:rsidRPr="00E26976">
        <w:rPr>
          <w:noProof/>
        </w:rPr>
        <w:t>95% CI</w:t>
      </w:r>
      <w:r w:rsidR="00E26976" w:rsidRPr="00E26976">
        <w:rPr>
          <w:noProof/>
        </w:rPr>
        <w:t>:</w:t>
      </w:r>
      <w:r w:rsidR="00B95387" w:rsidRPr="00E26976">
        <w:rPr>
          <w:noProof/>
        </w:rPr>
        <w:t xml:space="preserve"> </w:t>
      </w:r>
      <w:r w:rsidRPr="00E26976">
        <w:rPr>
          <w:noProof/>
        </w:rPr>
        <w:t>0.64, 1.01) with a nominal</w:t>
      </w:r>
      <w:r>
        <w:rPr>
          <w:noProof/>
        </w:rPr>
        <w:t xml:space="preserve"> </w:t>
      </w:r>
      <w:r>
        <w:rPr>
          <w:noProof/>
        </w:rPr>
        <w:lastRenderedPageBreak/>
        <w:t>p</w:t>
      </w:r>
      <w:r w:rsidR="00095D26">
        <w:rPr>
          <w:noProof/>
        </w:rPr>
        <w:noBreakHyphen/>
      </w:r>
      <w:r>
        <w:rPr>
          <w:noProof/>
        </w:rPr>
        <w:t xml:space="preserve">value of 0.0593 (2-sided O’Brien Fleming boundary for statistical significance </w:t>
      </w:r>
      <w:r w:rsidR="00B95387">
        <w:rPr>
          <w:noProof/>
        </w:rPr>
        <w:t xml:space="preserve">less than </w:t>
      </w:r>
      <w:r>
        <w:rPr>
          <w:noProof/>
        </w:rPr>
        <w:t>0.04302).</w:t>
      </w:r>
    </w:p>
    <w:p w14:paraId="3B2FD83B" w14:textId="39673BBF" w:rsidR="00F76A31" w:rsidRDefault="00F76A31" w:rsidP="00F76A31">
      <w:pPr>
        <w:rPr>
          <w:noProof/>
        </w:rPr>
      </w:pPr>
      <w:r>
        <w:t xml:space="preserve">No other endpoints were formally analysed. The </w:t>
      </w:r>
      <w:r w:rsidR="00B651DF">
        <w:t>objective response rate</w:t>
      </w:r>
      <w:r>
        <w:t xml:space="preserve"> was 43% (</w:t>
      </w:r>
      <w:r w:rsidR="00B95387">
        <w:t>95% CI</w:t>
      </w:r>
      <w:r w:rsidR="00E26976">
        <w:t>:</w:t>
      </w:r>
      <w:r w:rsidR="00B95387" w:rsidRPr="0CC3EFE5">
        <w:rPr>
          <w:noProof/>
        </w:rPr>
        <w:t xml:space="preserve"> </w:t>
      </w:r>
      <w:r w:rsidRPr="0CC3EFE5">
        <w:rPr>
          <w:noProof/>
        </w:rPr>
        <w:t xml:space="preserve">38, 48) </w:t>
      </w:r>
      <w:r>
        <w:t xml:space="preserve">in the </w:t>
      </w:r>
      <w:proofErr w:type="spellStart"/>
      <w:r w:rsidR="00E26976">
        <w:t>Opdualag</w:t>
      </w:r>
      <w:proofErr w:type="spellEnd"/>
      <w:r>
        <w:t xml:space="preserve"> arm </w:t>
      </w:r>
      <w:r w:rsidRPr="0CC3EFE5">
        <w:rPr>
          <w:noProof/>
        </w:rPr>
        <w:t>and 33% (</w:t>
      </w:r>
      <w:r w:rsidR="00B95387">
        <w:t>95% CI</w:t>
      </w:r>
      <w:r w:rsidR="00E26976">
        <w:t>:</w:t>
      </w:r>
      <w:r w:rsidR="00B95387" w:rsidRPr="0CC3EFE5">
        <w:rPr>
          <w:noProof/>
        </w:rPr>
        <w:t xml:space="preserve"> </w:t>
      </w:r>
      <w:r w:rsidRPr="0CC3EFE5">
        <w:rPr>
          <w:noProof/>
        </w:rPr>
        <w:t>28, 38) in the nivo</w:t>
      </w:r>
      <w:r w:rsidR="00E26976" w:rsidRPr="0CC3EFE5">
        <w:rPr>
          <w:noProof/>
        </w:rPr>
        <w:t>lumab</w:t>
      </w:r>
      <w:r w:rsidRPr="0CC3EFE5">
        <w:rPr>
          <w:noProof/>
        </w:rPr>
        <w:t xml:space="preserve"> arm. The rates of partial response and progressive disease, respectively, were 27% and 30% in the </w:t>
      </w:r>
      <w:r w:rsidR="00E26976" w:rsidRPr="0CC3EFE5">
        <w:rPr>
          <w:noProof/>
        </w:rPr>
        <w:t>Opdualag</w:t>
      </w:r>
      <w:r w:rsidRPr="0CC3EFE5">
        <w:rPr>
          <w:noProof/>
        </w:rPr>
        <w:t xml:space="preserve"> arm; and 18% and 42% in the nivo</w:t>
      </w:r>
      <w:r w:rsidR="00E26976" w:rsidRPr="0CC3EFE5">
        <w:rPr>
          <w:noProof/>
        </w:rPr>
        <w:t>lumab</w:t>
      </w:r>
      <w:r w:rsidRPr="0CC3EFE5">
        <w:rPr>
          <w:noProof/>
        </w:rPr>
        <w:t xml:space="preserve"> arm. Rates of complete response, times to response and durations of response were not appreciably different between arms.</w:t>
      </w:r>
    </w:p>
    <w:p w14:paraId="2EE00161" w14:textId="42A89952" w:rsidR="00662768" w:rsidRPr="00991ED8" w:rsidRDefault="00662768" w:rsidP="00662768">
      <w:pPr>
        <w:pStyle w:val="TableTitle"/>
        <w:rPr>
          <w:noProof/>
        </w:rPr>
      </w:pPr>
      <w:bookmarkStart w:id="88" w:name="_Ref143786920"/>
      <w:r>
        <w:t xml:space="preserve">Table </w:t>
      </w:r>
      <w:r>
        <w:fldChar w:fldCharType="begin"/>
      </w:r>
      <w:r>
        <w:instrText>SEQ Table \* ARABIC</w:instrText>
      </w:r>
      <w:r>
        <w:fldChar w:fldCharType="separate"/>
      </w:r>
      <w:r w:rsidR="004F1B9E">
        <w:rPr>
          <w:noProof/>
        </w:rPr>
        <w:t>3</w:t>
      </w:r>
      <w:r>
        <w:fldChar w:fldCharType="end"/>
      </w:r>
      <w:bookmarkEnd w:id="88"/>
      <w:r>
        <w:t xml:space="preserve">: </w:t>
      </w:r>
      <w:r w:rsidRPr="00696A64">
        <w:t>RELATIVITY</w:t>
      </w:r>
      <w:r w:rsidR="001301AD">
        <w:noBreakHyphen/>
      </w:r>
      <w:r w:rsidRPr="00696A64">
        <w:t>0</w:t>
      </w:r>
      <w:r>
        <w:t>47 Primary efficacy results of progression</w:t>
      </w:r>
      <w:r w:rsidR="00C808E2">
        <w:noBreakHyphen/>
      </w:r>
      <w:r>
        <w:t xml:space="preserve">free survival </w:t>
      </w:r>
      <w:r w:rsidR="00B651DF">
        <w:t>(</w:t>
      </w:r>
      <w:r>
        <w:t>all randomised participants</w:t>
      </w:r>
      <w:r w:rsidR="00B651DF">
        <w:t>)</w:t>
      </w:r>
    </w:p>
    <w:tbl>
      <w:tblPr>
        <w:tblStyle w:val="TableTGAblue2023"/>
        <w:tblW w:w="0" w:type="auto"/>
        <w:tblInd w:w="-5" w:type="dxa"/>
        <w:tblLook w:val="04A0" w:firstRow="1" w:lastRow="0" w:firstColumn="1" w:lastColumn="0" w:noHBand="0" w:noVBand="1"/>
      </w:tblPr>
      <w:tblGrid>
        <w:gridCol w:w="3828"/>
        <w:gridCol w:w="2693"/>
        <w:gridCol w:w="2544"/>
      </w:tblGrid>
      <w:tr w:rsidR="00F76A31" w:rsidRPr="00146125" w14:paraId="681816E5" w14:textId="77777777" w:rsidTr="0014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EEB6439" w14:textId="77777777" w:rsidR="00F76A31" w:rsidRPr="00146125" w:rsidRDefault="00F76A31" w:rsidP="00146125">
            <w:pPr>
              <w:pStyle w:val="TableText"/>
            </w:pPr>
          </w:p>
        </w:tc>
        <w:tc>
          <w:tcPr>
            <w:tcW w:w="2693" w:type="dxa"/>
          </w:tcPr>
          <w:p w14:paraId="3770C62F" w14:textId="00027E7D" w:rsidR="00B95387" w:rsidRPr="00146125" w:rsidRDefault="00B95387" w:rsidP="00146125">
            <w:pPr>
              <w:pStyle w:val="TableText"/>
              <w:cnfStyle w:val="100000000000" w:firstRow="1" w:lastRow="0" w:firstColumn="0" w:lastColumn="0" w:oddVBand="0" w:evenVBand="0" w:oddHBand="0" w:evenHBand="0" w:firstRowFirstColumn="0" w:firstRowLastColumn="0" w:lastRowFirstColumn="0" w:lastRowLastColumn="0"/>
            </w:pPr>
            <w:r w:rsidRPr="00146125">
              <w:t xml:space="preserve">Nivolumab with </w:t>
            </w:r>
            <w:proofErr w:type="spellStart"/>
            <w:r w:rsidRPr="00146125">
              <w:t>Relatlimab</w:t>
            </w:r>
            <w:proofErr w:type="spellEnd"/>
            <w:r w:rsidRPr="00146125">
              <w:t xml:space="preserve"> (n</w:t>
            </w:r>
            <w:r w:rsidR="00B83235">
              <w:t> = </w:t>
            </w:r>
            <w:r w:rsidRPr="00146125">
              <w:t>355)</w:t>
            </w:r>
          </w:p>
        </w:tc>
        <w:tc>
          <w:tcPr>
            <w:tcW w:w="2544" w:type="dxa"/>
          </w:tcPr>
          <w:p w14:paraId="7C6FCCFE" w14:textId="7ABB3FB6" w:rsidR="00F76A31" w:rsidRPr="00146125" w:rsidRDefault="00B95387" w:rsidP="00146125">
            <w:pPr>
              <w:pStyle w:val="TableText"/>
              <w:cnfStyle w:val="100000000000" w:firstRow="1" w:lastRow="0" w:firstColumn="0" w:lastColumn="0" w:oddVBand="0" w:evenVBand="0" w:oddHBand="0" w:evenHBand="0" w:firstRowFirstColumn="0" w:firstRowLastColumn="0" w:lastRowFirstColumn="0" w:lastRowLastColumn="0"/>
            </w:pPr>
            <w:r w:rsidRPr="00146125">
              <w:t>Nivolumab (n</w:t>
            </w:r>
            <w:r w:rsidR="00B83235">
              <w:t> = </w:t>
            </w:r>
            <w:r w:rsidRPr="00146125">
              <w:t>359)</w:t>
            </w:r>
          </w:p>
        </w:tc>
      </w:tr>
      <w:tr w:rsidR="00B95387" w:rsidRPr="00146125" w14:paraId="012A317C" w14:textId="77777777" w:rsidTr="00146125">
        <w:tc>
          <w:tcPr>
            <w:cnfStyle w:val="001000000000" w:firstRow="0" w:lastRow="0" w:firstColumn="1" w:lastColumn="0" w:oddVBand="0" w:evenVBand="0" w:oddHBand="0" w:evenHBand="0" w:firstRowFirstColumn="0" w:firstRowLastColumn="0" w:lastRowFirstColumn="0" w:lastRowLastColumn="0"/>
            <w:tcW w:w="3828" w:type="dxa"/>
          </w:tcPr>
          <w:p w14:paraId="2177FFEB" w14:textId="51E2B455" w:rsidR="00B95387" w:rsidRPr="00146125" w:rsidRDefault="00B95387" w:rsidP="00146125">
            <w:pPr>
              <w:pStyle w:val="TableText"/>
            </w:pPr>
            <w:r w:rsidRPr="00146125">
              <w:t>Patients with death or progression events, n (%)</w:t>
            </w:r>
          </w:p>
        </w:tc>
        <w:tc>
          <w:tcPr>
            <w:tcW w:w="2693" w:type="dxa"/>
          </w:tcPr>
          <w:p w14:paraId="13A1A0E2" w14:textId="012CF6FA" w:rsidR="00B95387" w:rsidRPr="00146125" w:rsidRDefault="00B95387" w:rsidP="00146125">
            <w:pPr>
              <w:pStyle w:val="TableText"/>
              <w:cnfStyle w:val="000000000000" w:firstRow="0" w:lastRow="0" w:firstColumn="0" w:lastColumn="0" w:oddVBand="0" w:evenVBand="0" w:oddHBand="0" w:evenHBand="0" w:firstRowFirstColumn="0" w:firstRowLastColumn="0" w:lastRowFirstColumn="0" w:lastRowLastColumn="0"/>
            </w:pPr>
            <w:r w:rsidRPr="00146125">
              <w:t>180 (51%)</w:t>
            </w:r>
          </w:p>
        </w:tc>
        <w:tc>
          <w:tcPr>
            <w:tcW w:w="2544" w:type="dxa"/>
          </w:tcPr>
          <w:p w14:paraId="3AA5AEA8" w14:textId="350B7CFC" w:rsidR="00B95387" w:rsidRPr="00146125" w:rsidRDefault="00B95387" w:rsidP="00146125">
            <w:pPr>
              <w:pStyle w:val="TableText"/>
              <w:cnfStyle w:val="000000000000" w:firstRow="0" w:lastRow="0" w:firstColumn="0" w:lastColumn="0" w:oddVBand="0" w:evenVBand="0" w:oddHBand="0" w:evenHBand="0" w:firstRowFirstColumn="0" w:firstRowLastColumn="0" w:lastRowFirstColumn="0" w:lastRowLastColumn="0"/>
            </w:pPr>
            <w:r w:rsidRPr="00146125">
              <w:t>211 (59%)</w:t>
            </w:r>
          </w:p>
        </w:tc>
      </w:tr>
      <w:tr w:rsidR="00B95387" w:rsidRPr="00146125" w14:paraId="17E5A5E3" w14:textId="77777777" w:rsidTr="00146125">
        <w:tc>
          <w:tcPr>
            <w:cnfStyle w:val="001000000000" w:firstRow="0" w:lastRow="0" w:firstColumn="1" w:lastColumn="0" w:oddVBand="0" w:evenVBand="0" w:oddHBand="0" w:evenHBand="0" w:firstRowFirstColumn="0" w:firstRowLastColumn="0" w:lastRowFirstColumn="0" w:lastRowLastColumn="0"/>
            <w:tcW w:w="3828" w:type="dxa"/>
          </w:tcPr>
          <w:p w14:paraId="4AB91C57" w14:textId="14C690D0" w:rsidR="00B95387" w:rsidRPr="00146125" w:rsidRDefault="00B95387" w:rsidP="00146125">
            <w:pPr>
              <w:pStyle w:val="TableText"/>
              <w:rPr>
                <w:i/>
                <w:iCs/>
              </w:rPr>
            </w:pPr>
            <w:r w:rsidRPr="00146125">
              <w:rPr>
                <w:i/>
                <w:iCs/>
              </w:rPr>
              <w:t>Patients with progression events, n (%)</w:t>
            </w:r>
          </w:p>
        </w:tc>
        <w:tc>
          <w:tcPr>
            <w:tcW w:w="2693" w:type="dxa"/>
          </w:tcPr>
          <w:p w14:paraId="3A811B96" w14:textId="20AE428F" w:rsidR="00B95387" w:rsidRPr="00146125" w:rsidRDefault="00B95387" w:rsidP="00146125">
            <w:pPr>
              <w:pStyle w:val="TableText"/>
              <w:cnfStyle w:val="000000000000" w:firstRow="0" w:lastRow="0" w:firstColumn="0" w:lastColumn="0" w:oddVBand="0" w:evenVBand="0" w:oddHBand="0" w:evenHBand="0" w:firstRowFirstColumn="0" w:firstRowLastColumn="0" w:lastRowFirstColumn="0" w:lastRowLastColumn="0"/>
              <w:rPr>
                <w:i/>
                <w:iCs/>
              </w:rPr>
            </w:pPr>
            <w:r w:rsidRPr="00146125">
              <w:rPr>
                <w:i/>
                <w:iCs/>
              </w:rPr>
              <w:t>156 (44%)</w:t>
            </w:r>
          </w:p>
        </w:tc>
        <w:tc>
          <w:tcPr>
            <w:tcW w:w="2544" w:type="dxa"/>
          </w:tcPr>
          <w:p w14:paraId="060C109A" w14:textId="583C329D" w:rsidR="00B95387" w:rsidRPr="00146125" w:rsidRDefault="00B95387" w:rsidP="00146125">
            <w:pPr>
              <w:pStyle w:val="TableText"/>
              <w:cnfStyle w:val="000000000000" w:firstRow="0" w:lastRow="0" w:firstColumn="0" w:lastColumn="0" w:oddVBand="0" w:evenVBand="0" w:oddHBand="0" w:evenHBand="0" w:firstRowFirstColumn="0" w:firstRowLastColumn="0" w:lastRowFirstColumn="0" w:lastRowLastColumn="0"/>
              <w:rPr>
                <w:i/>
                <w:iCs/>
              </w:rPr>
            </w:pPr>
            <w:r w:rsidRPr="00146125">
              <w:rPr>
                <w:i/>
                <w:iCs/>
              </w:rPr>
              <w:t>194 (54%)</w:t>
            </w:r>
          </w:p>
        </w:tc>
      </w:tr>
      <w:tr w:rsidR="00B95387" w:rsidRPr="00146125" w14:paraId="4573C016" w14:textId="77777777" w:rsidTr="00146125">
        <w:tc>
          <w:tcPr>
            <w:cnfStyle w:val="001000000000" w:firstRow="0" w:lastRow="0" w:firstColumn="1" w:lastColumn="0" w:oddVBand="0" w:evenVBand="0" w:oddHBand="0" w:evenHBand="0" w:firstRowFirstColumn="0" w:firstRowLastColumn="0" w:lastRowFirstColumn="0" w:lastRowLastColumn="0"/>
            <w:tcW w:w="3828" w:type="dxa"/>
          </w:tcPr>
          <w:p w14:paraId="6019A2F2" w14:textId="186E9E3F" w:rsidR="00B95387" w:rsidRPr="00146125" w:rsidRDefault="00B95387" w:rsidP="00146125">
            <w:pPr>
              <w:pStyle w:val="TableText"/>
              <w:rPr>
                <w:i/>
                <w:iCs/>
              </w:rPr>
            </w:pPr>
            <w:r w:rsidRPr="00146125">
              <w:rPr>
                <w:i/>
                <w:iCs/>
              </w:rPr>
              <w:t>Patients who died without progression being recorded, n (%)</w:t>
            </w:r>
          </w:p>
        </w:tc>
        <w:tc>
          <w:tcPr>
            <w:tcW w:w="2693" w:type="dxa"/>
          </w:tcPr>
          <w:p w14:paraId="528D0191" w14:textId="66B99394" w:rsidR="00B95387" w:rsidRPr="00146125" w:rsidRDefault="00B95387" w:rsidP="00146125">
            <w:pPr>
              <w:pStyle w:val="TableText"/>
              <w:cnfStyle w:val="000000000000" w:firstRow="0" w:lastRow="0" w:firstColumn="0" w:lastColumn="0" w:oddVBand="0" w:evenVBand="0" w:oddHBand="0" w:evenHBand="0" w:firstRowFirstColumn="0" w:firstRowLastColumn="0" w:lastRowFirstColumn="0" w:lastRowLastColumn="0"/>
              <w:rPr>
                <w:i/>
                <w:iCs/>
              </w:rPr>
            </w:pPr>
            <w:r w:rsidRPr="00146125">
              <w:rPr>
                <w:i/>
                <w:iCs/>
              </w:rPr>
              <w:t>24 (7%)</w:t>
            </w:r>
          </w:p>
        </w:tc>
        <w:tc>
          <w:tcPr>
            <w:tcW w:w="2544" w:type="dxa"/>
          </w:tcPr>
          <w:p w14:paraId="068207D9" w14:textId="785F738C" w:rsidR="00B95387" w:rsidRPr="00146125" w:rsidRDefault="00B95387" w:rsidP="00146125">
            <w:pPr>
              <w:pStyle w:val="TableText"/>
              <w:cnfStyle w:val="000000000000" w:firstRow="0" w:lastRow="0" w:firstColumn="0" w:lastColumn="0" w:oddVBand="0" w:evenVBand="0" w:oddHBand="0" w:evenHBand="0" w:firstRowFirstColumn="0" w:firstRowLastColumn="0" w:lastRowFirstColumn="0" w:lastRowLastColumn="0"/>
              <w:rPr>
                <w:i/>
                <w:iCs/>
              </w:rPr>
            </w:pPr>
            <w:r w:rsidRPr="00146125">
              <w:rPr>
                <w:i/>
                <w:iCs/>
              </w:rPr>
              <w:t>17 (5%)</w:t>
            </w:r>
          </w:p>
        </w:tc>
      </w:tr>
      <w:tr w:rsidR="00B95387" w:rsidRPr="00146125" w14:paraId="43C75E54" w14:textId="77777777" w:rsidTr="00146125">
        <w:tc>
          <w:tcPr>
            <w:cnfStyle w:val="001000000000" w:firstRow="0" w:lastRow="0" w:firstColumn="1" w:lastColumn="0" w:oddVBand="0" w:evenVBand="0" w:oddHBand="0" w:evenHBand="0" w:firstRowFirstColumn="0" w:firstRowLastColumn="0" w:lastRowFirstColumn="0" w:lastRowLastColumn="0"/>
            <w:tcW w:w="3828" w:type="dxa"/>
          </w:tcPr>
          <w:p w14:paraId="049CE4F0" w14:textId="00E0B973" w:rsidR="00B95387" w:rsidRPr="00146125" w:rsidRDefault="00B95387" w:rsidP="00146125">
            <w:pPr>
              <w:pStyle w:val="TableText"/>
            </w:pPr>
            <w:r w:rsidRPr="00146125">
              <w:t>Median PFS (95% CI</w:t>
            </w:r>
            <w:proofErr w:type="gramStart"/>
            <w:r w:rsidRPr="00146125">
              <w:t>),</w:t>
            </w:r>
            <w:r w:rsidRPr="00146125">
              <w:rPr>
                <w:vertAlign w:val="superscript"/>
              </w:rPr>
              <w:t>a</w:t>
            </w:r>
            <w:proofErr w:type="gramEnd"/>
            <w:r w:rsidRPr="00146125">
              <w:t xml:space="preserve"> months</w:t>
            </w:r>
          </w:p>
        </w:tc>
        <w:tc>
          <w:tcPr>
            <w:tcW w:w="2693" w:type="dxa"/>
          </w:tcPr>
          <w:p w14:paraId="12076F9B" w14:textId="4837205B" w:rsidR="00B95387" w:rsidRPr="00146125" w:rsidRDefault="00B95387" w:rsidP="00146125">
            <w:pPr>
              <w:pStyle w:val="TableText"/>
              <w:cnfStyle w:val="000000000000" w:firstRow="0" w:lastRow="0" w:firstColumn="0" w:lastColumn="0" w:oddVBand="0" w:evenVBand="0" w:oddHBand="0" w:evenHBand="0" w:firstRowFirstColumn="0" w:firstRowLastColumn="0" w:lastRowFirstColumn="0" w:lastRowLastColumn="0"/>
            </w:pPr>
            <w:r w:rsidRPr="00146125">
              <w:t>10.1 (6.4, 15.7)</w:t>
            </w:r>
          </w:p>
        </w:tc>
        <w:tc>
          <w:tcPr>
            <w:tcW w:w="2544" w:type="dxa"/>
          </w:tcPr>
          <w:p w14:paraId="42514B6D" w14:textId="05E12A04" w:rsidR="00B95387" w:rsidRPr="00146125" w:rsidRDefault="00B95387" w:rsidP="00146125">
            <w:pPr>
              <w:pStyle w:val="TableText"/>
              <w:cnfStyle w:val="000000000000" w:firstRow="0" w:lastRow="0" w:firstColumn="0" w:lastColumn="0" w:oddVBand="0" w:evenVBand="0" w:oddHBand="0" w:evenHBand="0" w:firstRowFirstColumn="0" w:firstRowLastColumn="0" w:lastRowFirstColumn="0" w:lastRowLastColumn="0"/>
            </w:pPr>
            <w:r w:rsidRPr="00146125">
              <w:t>4.6 (3.4, 5.6)</w:t>
            </w:r>
          </w:p>
        </w:tc>
      </w:tr>
      <w:tr w:rsidR="00B95387" w:rsidRPr="00146125" w14:paraId="287FA7CE" w14:textId="77777777" w:rsidTr="00146125">
        <w:tc>
          <w:tcPr>
            <w:cnfStyle w:val="001000000000" w:firstRow="0" w:lastRow="0" w:firstColumn="1" w:lastColumn="0" w:oddVBand="0" w:evenVBand="0" w:oddHBand="0" w:evenHBand="0" w:firstRowFirstColumn="0" w:firstRowLastColumn="0" w:lastRowFirstColumn="0" w:lastRowLastColumn="0"/>
            <w:tcW w:w="3828" w:type="dxa"/>
          </w:tcPr>
          <w:p w14:paraId="527A8C2A" w14:textId="1B4BA428" w:rsidR="00B95387" w:rsidRPr="00146125" w:rsidRDefault="00B95387" w:rsidP="00146125">
            <w:pPr>
              <w:pStyle w:val="TableText"/>
            </w:pPr>
            <w:r w:rsidRPr="00146125">
              <w:t>H</w:t>
            </w:r>
            <w:r w:rsidR="00EA22F7" w:rsidRPr="00146125">
              <w:t>azard Ratio</w:t>
            </w:r>
            <w:r w:rsidRPr="00146125">
              <w:t xml:space="preserve"> (95% CI) </w:t>
            </w:r>
            <w:r w:rsidR="00B651DF">
              <w:t>(</w:t>
            </w:r>
            <w:r w:rsidRPr="00146125">
              <w:t>p-</w:t>
            </w:r>
            <w:proofErr w:type="gramStart"/>
            <w:r w:rsidRPr="00146125">
              <w:t>value</w:t>
            </w:r>
            <w:r w:rsidR="00B651DF">
              <w:t>)</w:t>
            </w:r>
            <w:r w:rsidRPr="00146125">
              <w:rPr>
                <w:vertAlign w:val="superscript"/>
              </w:rPr>
              <w:t>b</w:t>
            </w:r>
            <w:proofErr w:type="gramEnd"/>
          </w:p>
        </w:tc>
        <w:tc>
          <w:tcPr>
            <w:tcW w:w="5237" w:type="dxa"/>
            <w:gridSpan w:val="2"/>
            <w:vAlign w:val="center"/>
          </w:tcPr>
          <w:p w14:paraId="78928831" w14:textId="56E8196B" w:rsidR="00B95387" w:rsidRPr="00146125" w:rsidRDefault="00B95387" w:rsidP="00146125">
            <w:pPr>
              <w:pStyle w:val="TableText"/>
              <w:cnfStyle w:val="000000000000" w:firstRow="0" w:lastRow="0" w:firstColumn="0" w:lastColumn="0" w:oddVBand="0" w:evenVBand="0" w:oddHBand="0" w:evenHBand="0" w:firstRowFirstColumn="0" w:firstRowLastColumn="0" w:lastRowFirstColumn="0" w:lastRowLastColumn="0"/>
            </w:pPr>
            <w:r w:rsidRPr="00146125">
              <w:t xml:space="preserve">0.75 (0.62, 0.92) </w:t>
            </w:r>
            <w:r w:rsidR="00B651DF">
              <w:t>(</w:t>
            </w:r>
            <w:r w:rsidRPr="00146125">
              <w:t>p</w:t>
            </w:r>
            <w:r w:rsidR="00B83235">
              <w:t> = </w:t>
            </w:r>
            <w:r w:rsidRPr="00146125">
              <w:t>0.0055</w:t>
            </w:r>
            <w:r w:rsidR="00B651DF">
              <w:t>)</w:t>
            </w:r>
          </w:p>
        </w:tc>
      </w:tr>
    </w:tbl>
    <w:p w14:paraId="68EDFB01" w14:textId="674D4E06" w:rsidR="00B95387" w:rsidRPr="00B95387" w:rsidRDefault="00B95387" w:rsidP="00B95387">
      <w:pPr>
        <w:pStyle w:val="TableDescription"/>
      </w:pPr>
      <w:r w:rsidRPr="00B95387">
        <w:t>Abbreviations: CI</w:t>
      </w:r>
      <w:r w:rsidR="00B83235">
        <w:t> = </w:t>
      </w:r>
      <w:r w:rsidRPr="00B95387">
        <w:t xml:space="preserve">confidence interval; </w:t>
      </w:r>
      <w:r>
        <w:t>n</w:t>
      </w:r>
      <w:r w:rsidR="00B83235">
        <w:t> = </w:t>
      </w:r>
      <w:r w:rsidR="00EA22F7">
        <w:t>number of subjects</w:t>
      </w:r>
      <w:r>
        <w:t xml:space="preserve">; </w:t>
      </w:r>
      <w:r w:rsidRPr="00B95387">
        <w:t>PFS</w:t>
      </w:r>
      <w:r w:rsidR="00B83235">
        <w:t> = </w:t>
      </w:r>
      <w:r w:rsidRPr="00B95387">
        <w:t>progression</w:t>
      </w:r>
      <w:r w:rsidR="00C808E2">
        <w:noBreakHyphen/>
      </w:r>
      <w:r w:rsidRPr="00B95387">
        <w:t>free survival.</w:t>
      </w:r>
    </w:p>
    <w:p w14:paraId="0CC34516" w14:textId="19937638" w:rsidR="00B95387" w:rsidRPr="00B95387" w:rsidRDefault="00B95387" w:rsidP="00B95387">
      <w:pPr>
        <w:pStyle w:val="TableDescription"/>
      </w:pPr>
      <w:r>
        <w:t xml:space="preserve">a </w:t>
      </w:r>
      <w:r w:rsidRPr="00B95387">
        <w:t>Kaplan‐Meier estimate</w:t>
      </w:r>
    </w:p>
    <w:p w14:paraId="3A3E09CD" w14:textId="5086488D" w:rsidR="00B95387" w:rsidRPr="00B95387" w:rsidRDefault="00B95387" w:rsidP="00B95387">
      <w:pPr>
        <w:pStyle w:val="TableDescription"/>
      </w:pPr>
      <w:r w:rsidRPr="00146125">
        <w:t xml:space="preserve">b Cox proportional hazards model and log-rank test: stratified by LAG-3 (1% and over versus less than 1%), </w:t>
      </w:r>
      <w:r w:rsidRPr="00146125">
        <w:rPr>
          <w:i/>
          <w:iCs/>
        </w:rPr>
        <w:t>BRAF</w:t>
      </w:r>
      <w:r w:rsidRPr="00146125">
        <w:t xml:space="preserve"> (mutation positive versus mutation wild-type), and </w:t>
      </w:r>
      <w:r w:rsidR="00B651DF" w:rsidRPr="00B651DF">
        <w:t xml:space="preserve">American Joint Committee on Cancer </w:t>
      </w:r>
      <w:r w:rsidR="00B651DF">
        <w:t>(</w:t>
      </w:r>
      <w:r w:rsidRPr="00146125">
        <w:t>AJCC</w:t>
      </w:r>
      <w:r w:rsidR="00B651DF">
        <w:t>)</w:t>
      </w:r>
      <w:r w:rsidRPr="00146125">
        <w:t xml:space="preserve"> M-stage (</w:t>
      </w:r>
      <w:r w:rsidR="00146125" w:rsidRPr="00146125">
        <w:t>M0</w:t>
      </w:r>
      <w:r w:rsidR="00C808E2">
        <w:t xml:space="preserve"> and </w:t>
      </w:r>
      <w:r w:rsidR="00146125" w:rsidRPr="00146125">
        <w:t>M1 with normal lactate dehydrogenase (LDH) versus M1 with elevated LDH</w:t>
      </w:r>
      <w:r w:rsidRPr="00146125">
        <w:t>). PD-L1 was removed from stratification (as pre-specified in the statistical analysis plan v2.1) because it led to subgroups with fewer than 10 subjects.</w:t>
      </w:r>
    </w:p>
    <w:p w14:paraId="16415F01" w14:textId="6B88D535" w:rsidR="00B95387" w:rsidRPr="00951E76" w:rsidRDefault="00B95387" w:rsidP="00FC6CED">
      <w:pPr>
        <w:pStyle w:val="TableDescription"/>
      </w:pPr>
      <w:r>
        <w:t>D</w:t>
      </w:r>
      <w:r w:rsidRPr="00B95387">
        <w:t xml:space="preserve">atabase lock </w:t>
      </w:r>
      <w:r>
        <w:t>date</w:t>
      </w:r>
      <w:r w:rsidR="00B651DF">
        <w:t>:</w:t>
      </w:r>
      <w:r>
        <w:t xml:space="preserve"> </w:t>
      </w:r>
      <w:r w:rsidRPr="00B95387">
        <w:t>9 Mar</w:t>
      </w:r>
      <w:r>
        <w:t>ch</w:t>
      </w:r>
      <w:r w:rsidRPr="00B95387">
        <w:t xml:space="preserve"> 2021</w:t>
      </w:r>
    </w:p>
    <w:p w14:paraId="3DBE6A61" w14:textId="0127A5AC" w:rsidR="00093F07" w:rsidRDefault="00B40533" w:rsidP="00662768">
      <w:pPr>
        <w:pStyle w:val="FigureTitle"/>
        <w:keepNext/>
        <w:rPr>
          <w:szCs w:val="22"/>
        </w:rPr>
      </w:pPr>
      <w:bookmarkStart w:id="89" w:name="_Ref143786354"/>
      <w:r>
        <w:lastRenderedPageBreak/>
        <w:t xml:space="preserve">Figure </w:t>
      </w:r>
      <w:r>
        <w:fldChar w:fldCharType="begin"/>
      </w:r>
      <w:r>
        <w:instrText>SEQ Figure \* ARABIC</w:instrText>
      </w:r>
      <w:r>
        <w:fldChar w:fldCharType="separate"/>
      </w:r>
      <w:r w:rsidR="004F1B9E">
        <w:rPr>
          <w:noProof/>
        </w:rPr>
        <w:t>3</w:t>
      </w:r>
      <w:r>
        <w:fldChar w:fldCharType="end"/>
      </w:r>
      <w:bookmarkEnd w:id="89"/>
      <w:r>
        <w:t xml:space="preserve">: </w:t>
      </w:r>
      <w:r w:rsidR="003269A5">
        <w:t>RELATIVITY</w:t>
      </w:r>
      <w:r w:rsidR="00095D26">
        <w:noBreakHyphen/>
      </w:r>
      <w:r w:rsidR="003269A5">
        <w:t xml:space="preserve">047 </w:t>
      </w:r>
      <w:r>
        <w:t>Kaplan-Meier plot of progression</w:t>
      </w:r>
      <w:r w:rsidR="00C808E2">
        <w:noBreakHyphen/>
      </w:r>
      <w:r>
        <w:t xml:space="preserve">free survival </w:t>
      </w:r>
      <w:r w:rsidR="00B651DF">
        <w:t>(</w:t>
      </w:r>
      <w:r>
        <w:t>all randomised participants</w:t>
      </w:r>
      <w:r w:rsidR="00B651DF">
        <w:t>)</w:t>
      </w:r>
    </w:p>
    <w:p w14:paraId="1CBF45D5" w14:textId="5DE12766" w:rsidR="00B40533" w:rsidRDefault="00B40533" w:rsidP="00093F07">
      <w:pPr>
        <w:pStyle w:val="ListBullet"/>
        <w:numPr>
          <w:ilvl w:val="0"/>
          <w:numId w:val="0"/>
        </w:numPr>
        <w:ind w:left="360" w:hanging="360"/>
        <w:rPr>
          <w:szCs w:val="22"/>
        </w:rPr>
      </w:pPr>
      <w:r>
        <w:rPr>
          <w:noProof/>
          <w:color w:val="2B579A"/>
          <w:shd w:val="clear" w:color="auto" w:fill="E6E6E6"/>
        </w:rPr>
        <w:drawing>
          <wp:inline distT="0" distB="0" distL="0" distR="0" wp14:anchorId="451F6DCD" wp14:editId="4D78C5AD">
            <wp:extent cx="5155488" cy="4598377"/>
            <wp:effectExtent l="0" t="0" r="7620" b="0"/>
            <wp:docPr id="2" name="Picture 2" descr="Kaplan-Meier plot showing probability of progression free survival on Y axis (from 0 to 1) against time on X axis (0 to 30 months). There are 2 curves for nivolumab or Opdualag, showing individual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aplan-Meier plot showing probability of progression free survival on Y axis (from 0 to 1) against time on X axis (0 to 30 months). There are 2 curves for nivolumab or Opdualag, showing individual events."/>
                    <pic:cNvPicPr/>
                  </pic:nvPicPr>
                  <pic:blipFill>
                    <a:blip r:embed="rId23"/>
                    <a:stretch>
                      <a:fillRect/>
                    </a:stretch>
                  </pic:blipFill>
                  <pic:spPr>
                    <a:xfrm>
                      <a:off x="0" y="0"/>
                      <a:ext cx="5164638" cy="4606538"/>
                    </a:xfrm>
                    <a:prstGeom prst="rect">
                      <a:avLst/>
                    </a:prstGeom>
                  </pic:spPr>
                </pic:pic>
              </a:graphicData>
            </a:graphic>
          </wp:inline>
        </w:drawing>
      </w:r>
    </w:p>
    <w:p w14:paraId="535F05AA" w14:textId="1B97CE65" w:rsidR="00095D26" w:rsidRDefault="00B40533" w:rsidP="00095D26">
      <w:pPr>
        <w:pStyle w:val="TableDescription"/>
      </w:pPr>
      <w:r>
        <w:t xml:space="preserve">Abbreviations: </w:t>
      </w:r>
      <w:r w:rsidRPr="00F91B47">
        <w:t>BICR</w:t>
      </w:r>
      <w:r w:rsidR="00B83235">
        <w:t> = </w:t>
      </w:r>
      <w:r w:rsidRPr="00F91B47">
        <w:t xml:space="preserve">blinded independent central review; </w:t>
      </w:r>
      <w:r>
        <w:t>BMS-986213</w:t>
      </w:r>
      <w:r w:rsidR="00B83235">
        <w:t> = </w:t>
      </w:r>
      <w:proofErr w:type="spellStart"/>
      <w:r>
        <w:t>Opdualag</w:t>
      </w:r>
      <w:proofErr w:type="spellEnd"/>
      <w:r>
        <w:t xml:space="preserve">; </w:t>
      </w:r>
      <w:r w:rsidRPr="00F91B47">
        <w:t>CI</w:t>
      </w:r>
      <w:r w:rsidR="00B83235">
        <w:t> = </w:t>
      </w:r>
      <w:r w:rsidRPr="00F91B47">
        <w:t>confidence interval</w:t>
      </w:r>
      <w:r w:rsidR="00B651DF">
        <w:t>.</w:t>
      </w:r>
      <w:bookmarkStart w:id="90" w:name="_Toc314842514"/>
      <w:bookmarkStart w:id="91" w:name="_Toc103679298"/>
    </w:p>
    <w:p w14:paraId="2E3DCB47" w14:textId="17E550F2" w:rsidR="00B40533" w:rsidRDefault="00662768" w:rsidP="00095D26">
      <w:pPr>
        <w:pStyle w:val="TableDescription"/>
      </w:pPr>
      <w:r>
        <w:t>D</w:t>
      </w:r>
      <w:r w:rsidR="00B40533" w:rsidRPr="00F91B47">
        <w:t>atabase lock</w:t>
      </w:r>
      <w:r>
        <w:t xml:space="preserve"> date</w:t>
      </w:r>
      <w:r w:rsidR="00B651DF">
        <w:t>:</w:t>
      </w:r>
      <w:r>
        <w:t xml:space="preserve"> 9 March 2021</w:t>
      </w:r>
    </w:p>
    <w:p w14:paraId="13AC38D0" w14:textId="77777777" w:rsidR="00B40533" w:rsidRPr="004173C9" w:rsidRDefault="00B40533" w:rsidP="00B40533">
      <w:pPr>
        <w:pStyle w:val="Heading7"/>
        <w:rPr>
          <w:noProof/>
        </w:rPr>
      </w:pPr>
      <w:r w:rsidRPr="004173C9">
        <w:rPr>
          <w:noProof/>
        </w:rPr>
        <w:t>Sensitivity and subgroup analyses</w:t>
      </w:r>
    </w:p>
    <w:p w14:paraId="510C4B1E" w14:textId="250B350E" w:rsidR="00B40533" w:rsidRDefault="00B40533" w:rsidP="00B40533">
      <w:r w:rsidRPr="00991ED8">
        <w:t>Exploratory sensitivity and subgroup analyses</w:t>
      </w:r>
      <w:r>
        <w:t xml:space="preserve"> performed by the sponsor and FDA</w:t>
      </w:r>
      <w:r w:rsidRPr="00991ED8">
        <w:t xml:space="preserve"> are </w:t>
      </w:r>
      <w:r w:rsidRPr="0024217E">
        <w:t>available.</w:t>
      </w:r>
      <w:r w:rsidRPr="0024217E">
        <w:rPr>
          <w:rStyle w:val="FootnoteReference"/>
        </w:rPr>
        <w:footnoteReference w:id="88"/>
      </w:r>
      <w:r w:rsidRPr="0024217E">
        <w:t xml:space="preserve"> The results of these </w:t>
      </w:r>
      <w:r w:rsidR="00012CAE" w:rsidRPr="0024217E">
        <w:t xml:space="preserve">analyses </w:t>
      </w:r>
      <w:r w:rsidRPr="0024217E">
        <w:t>were generally consistent with the primary analysis (by</w:t>
      </w:r>
      <w:r>
        <w:t xml:space="preserve"> BICR)</w:t>
      </w:r>
      <w:r w:rsidRPr="004173C9">
        <w:t xml:space="preserve"> in the entire randomised population</w:t>
      </w:r>
      <w:r>
        <w:t xml:space="preserve">. Their interpretation is limited by their </w:t>
      </w:r>
      <w:r w:rsidRPr="00FB2338">
        <w:t>post</w:t>
      </w:r>
      <w:r w:rsidR="00FB2338">
        <w:t>-</w:t>
      </w:r>
      <w:r w:rsidRPr="00FB2338">
        <w:t>hoc</w:t>
      </w:r>
      <w:r>
        <w:t xml:space="preserve"> nature and the lack of alpha control.</w:t>
      </w:r>
    </w:p>
    <w:p w14:paraId="5FAAA9A5" w14:textId="79E50F29" w:rsidR="00B40533" w:rsidRDefault="00B40533" w:rsidP="00B40533">
      <w:pPr>
        <w:rPr>
          <w:noProof/>
        </w:rPr>
      </w:pPr>
      <w:r>
        <w:t xml:space="preserve">Subgroup results for PFS are </w:t>
      </w:r>
      <w:r w:rsidR="00012CAE">
        <w:t xml:space="preserve">shown in </w:t>
      </w:r>
      <w:r w:rsidR="00012CAE">
        <w:rPr>
          <w:color w:val="2B579A"/>
          <w:shd w:val="clear" w:color="auto" w:fill="E6E6E6"/>
        </w:rPr>
        <w:fldChar w:fldCharType="begin"/>
      </w:r>
      <w:r w:rsidR="00012CAE">
        <w:instrText xml:space="preserve"> REF _Ref140069990 \h </w:instrText>
      </w:r>
      <w:r w:rsidR="00012CAE">
        <w:rPr>
          <w:color w:val="2B579A"/>
          <w:shd w:val="clear" w:color="auto" w:fill="E6E6E6"/>
        </w:rPr>
      </w:r>
      <w:r w:rsidR="00012CAE">
        <w:rPr>
          <w:color w:val="2B579A"/>
          <w:shd w:val="clear" w:color="auto" w:fill="E6E6E6"/>
        </w:rPr>
        <w:fldChar w:fldCharType="separate"/>
      </w:r>
      <w:r w:rsidR="004F1B9E">
        <w:t xml:space="preserve">Figure </w:t>
      </w:r>
      <w:r w:rsidR="004F1B9E">
        <w:rPr>
          <w:noProof/>
        </w:rPr>
        <w:t>4</w:t>
      </w:r>
      <w:r w:rsidR="00012CAE">
        <w:rPr>
          <w:color w:val="2B579A"/>
          <w:shd w:val="clear" w:color="auto" w:fill="E6E6E6"/>
        </w:rPr>
        <w:fldChar w:fldCharType="end"/>
      </w:r>
      <w:r w:rsidR="00012CAE">
        <w:t>.</w:t>
      </w:r>
      <w:r w:rsidRPr="00C865A6">
        <w:t xml:space="preserve"> </w:t>
      </w:r>
      <w:r w:rsidRPr="004173C9">
        <w:rPr>
          <w:noProof/>
        </w:rPr>
        <w:t xml:space="preserve">Of particular interest </w:t>
      </w:r>
      <w:r>
        <w:rPr>
          <w:noProof/>
        </w:rPr>
        <w:t>were</w:t>
      </w:r>
      <w:r w:rsidRPr="004173C9">
        <w:rPr>
          <w:noProof/>
        </w:rPr>
        <w:t xml:space="preserve"> the subgroup analyses with regard to PD-L1 status, as the association of this biomarker with efficacy has been </w:t>
      </w:r>
      <w:r w:rsidRPr="0024217E">
        <w:rPr>
          <w:noProof/>
        </w:rPr>
        <w:t>heterogeneous across studies of therapeutic regimens containing an anti-PD</w:t>
      </w:r>
      <w:r w:rsidR="002A124F">
        <w:rPr>
          <w:noProof/>
        </w:rPr>
        <w:noBreakHyphen/>
      </w:r>
      <w:r w:rsidRPr="0024217E">
        <w:rPr>
          <w:noProof/>
        </w:rPr>
        <w:t xml:space="preserve">1 </w:t>
      </w:r>
      <w:r w:rsidR="002A124F">
        <w:rPr>
          <w:noProof/>
        </w:rPr>
        <w:t>or anti-PD</w:t>
      </w:r>
      <w:r w:rsidR="002A124F">
        <w:rPr>
          <w:noProof/>
        </w:rPr>
        <w:noBreakHyphen/>
        <w:t xml:space="preserve">L1 </w:t>
      </w:r>
      <w:r w:rsidRPr="0024217E">
        <w:rPr>
          <w:noProof/>
        </w:rPr>
        <w:t>drug. Biological</w:t>
      </w:r>
      <w:r>
        <w:rPr>
          <w:noProof/>
        </w:rPr>
        <w:t xml:space="preserve"> rationale supports that patients with higher PD-L1 might have sufficient efficacy with nivolumab alone such that the addition of relatlimab may do more harm than good.</w:t>
      </w:r>
    </w:p>
    <w:p w14:paraId="313B006D" w14:textId="0D158C11" w:rsidR="00B40533" w:rsidRDefault="00B40533" w:rsidP="00B40533">
      <w:pPr>
        <w:rPr>
          <w:noProof/>
        </w:rPr>
      </w:pPr>
      <w:r>
        <w:rPr>
          <w:noProof/>
        </w:rPr>
        <w:t xml:space="preserve">The point estimate for </w:t>
      </w:r>
      <w:r w:rsidR="0024217E">
        <w:rPr>
          <w:noProof/>
        </w:rPr>
        <w:t>PFS hazard ratio</w:t>
      </w:r>
      <w:r w:rsidR="00BD671E">
        <w:rPr>
          <w:noProof/>
        </w:rPr>
        <w:t xml:space="preserve"> </w:t>
      </w:r>
      <w:r>
        <w:rPr>
          <w:noProof/>
        </w:rPr>
        <w:t xml:space="preserve">at the 10% PD-L1 cut-off is above 1, however, </w:t>
      </w:r>
      <w:r w:rsidR="00BD671E">
        <w:rPr>
          <w:noProof/>
        </w:rPr>
        <w:t>this</w:t>
      </w:r>
      <w:r>
        <w:rPr>
          <w:noProof/>
        </w:rPr>
        <w:t xml:space="preserve"> is not the case at cut</w:t>
      </w:r>
      <w:r w:rsidR="008F37C9">
        <w:rPr>
          <w:noProof/>
        </w:rPr>
        <w:t>-</w:t>
      </w:r>
      <w:r>
        <w:rPr>
          <w:noProof/>
        </w:rPr>
        <w:t>offs of 5% or 1%, and the confidence interval is very wide (0.66</w:t>
      </w:r>
      <w:r w:rsidR="00BD671E">
        <w:rPr>
          <w:noProof/>
        </w:rPr>
        <w:t xml:space="preserve"> to </w:t>
      </w:r>
      <w:r>
        <w:rPr>
          <w:noProof/>
        </w:rPr>
        <w:t>1.92). This reflects the small subgroup size (140</w:t>
      </w:r>
      <w:r w:rsidR="00BD671E">
        <w:rPr>
          <w:noProof/>
        </w:rPr>
        <w:t> </w:t>
      </w:r>
      <w:r>
        <w:rPr>
          <w:noProof/>
        </w:rPr>
        <w:t xml:space="preserve">patients) and the small absolute difference in number of PFS events between arms (26 with nivolumab </w:t>
      </w:r>
      <w:r w:rsidR="00BD671E">
        <w:rPr>
          <w:noProof/>
        </w:rPr>
        <w:t xml:space="preserve">alone </w:t>
      </w:r>
      <w:r>
        <w:rPr>
          <w:noProof/>
        </w:rPr>
        <w:t xml:space="preserve">and 29 with </w:t>
      </w:r>
      <w:r w:rsidR="0024217E">
        <w:rPr>
          <w:noProof/>
        </w:rPr>
        <w:t>Opdualag</w:t>
      </w:r>
      <w:r>
        <w:rPr>
          <w:noProof/>
        </w:rPr>
        <w:t>).</w:t>
      </w:r>
    </w:p>
    <w:p w14:paraId="3F8C1523" w14:textId="6A9950E8" w:rsidR="00B40533" w:rsidRDefault="00B40533" w:rsidP="00B40533">
      <w:pPr>
        <w:rPr>
          <w:noProof/>
        </w:rPr>
      </w:pPr>
      <w:r>
        <w:rPr>
          <w:noProof/>
        </w:rPr>
        <w:lastRenderedPageBreak/>
        <w:t xml:space="preserve">Exploratory subgroup analysis of the OS results similarly showed a </w:t>
      </w:r>
      <w:r w:rsidR="00B651DF" w:rsidRPr="00B651DF">
        <w:rPr>
          <w:noProof/>
        </w:rPr>
        <w:t>hazard ratio</w:t>
      </w:r>
      <w:r>
        <w:rPr>
          <w:noProof/>
        </w:rPr>
        <w:t xml:space="preserve"> point estimate above 1 for subgroups based on a PD-L1 cut</w:t>
      </w:r>
      <w:r w:rsidR="008F37C9">
        <w:rPr>
          <w:noProof/>
        </w:rPr>
        <w:t>-</w:t>
      </w:r>
      <w:r>
        <w:rPr>
          <w:noProof/>
        </w:rPr>
        <w:t>off of 5% and also 10%. Again the confidence intervals are wide and include 1.</w:t>
      </w:r>
    </w:p>
    <w:p w14:paraId="7C13BAC0" w14:textId="2119E04B" w:rsidR="00B40533" w:rsidRDefault="00B40533" w:rsidP="00B40533">
      <w:pPr>
        <w:rPr>
          <w:noProof/>
        </w:rPr>
      </w:pPr>
      <w:r>
        <w:rPr>
          <w:noProof/>
        </w:rPr>
        <w:t>As randomisation was stratified by PD-L1 using the cut-off of 1%, subgroups based on other PD</w:t>
      </w:r>
      <w:r w:rsidR="00BD671E">
        <w:rPr>
          <w:noProof/>
        </w:rPr>
        <w:noBreakHyphen/>
      </w:r>
      <w:r>
        <w:rPr>
          <w:noProof/>
        </w:rPr>
        <w:t>L1 cut-offs are not congruent with randomisation strata and prognostic baseline characteristics may be meaningfully imbalanced between such groups, more likely so in subgroups</w:t>
      </w:r>
      <w:r w:rsidRPr="003F3B0C">
        <w:rPr>
          <w:noProof/>
        </w:rPr>
        <w:t xml:space="preserve"> </w:t>
      </w:r>
      <w:r>
        <w:rPr>
          <w:noProof/>
        </w:rPr>
        <w:t xml:space="preserve">of smaller size. </w:t>
      </w:r>
      <w:r w:rsidR="00BD671E">
        <w:rPr>
          <w:noProof/>
        </w:rPr>
        <w:t>B</w:t>
      </w:r>
      <w:r>
        <w:rPr>
          <w:noProof/>
        </w:rPr>
        <w:t>aseline characteristics for PD-L1 subgroups</w:t>
      </w:r>
      <w:r w:rsidR="00BD671E">
        <w:rPr>
          <w:noProof/>
        </w:rPr>
        <w:t xml:space="preserve"> show</w:t>
      </w:r>
      <w:r>
        <w:rPr>
          <w:noProof/>
        </w:rPr>
        <w:t xml:space="preserve"> notable imbalances between arms</w:t>
      </w:r>
      <w:r w:rsidR="00FF6BA7">
        <w:rPr>
          <w:rStyle w:val="FootnoteReference"/>
          <w:noProof/>
        </w:rPr>
        <w:footnoteReference w:id="89"/>
      </w:r>
      <w:r w:rsidR="00B651DF">
        <w:rPr>
          <w:noProof/>
        </w:rPr>
        <w:t>,</w:t>
      </w:r>
      <w:r>
        <w:rPr>
          <w:noProof/>
        </w:rPr>
        <w:t xml:space="preserve"> particularly baseline </w:t>
      </w:r>
      <w:r w:rsidR="004731FD">
        <w:rPr>
          <w:noProof/>
        </w:rPr>
        <w:t>LDH</w:t>
      </w:r>
      <w:r>
        <w:rPr>
          <w:noProof/>
        </w:rPr>
        <w:t xml:space="preserve"> and M stage at the 10% cut</w:t>
      </w:r>
      <w:r w:rsidR="008F37C9">
        <w:rPr>
          <w:noProof/>
        </w:rPr>
        <w:t>-</w:t>
      </w:r>
      <w:r>
        <w:rPr>
          <w:noProof/>
        </w:rPr>
        <w:t>off</w:t>
      </w:r>
      <w:r w:rsidR="00B651DF">
        <w:rPr>
          <w:noProof/>
        </w:rPr>
        <w:t>,</w:t>
      </w:r>
      <w:r>
        <w:rPr>
          <w:noProof/>
        </w:rPr>
        <w:t xml:space="preserve"> that could have affected the PFS and OS subgroup results.</w:t>
      </w:r>
    </w:p>
    <w:p w14:paraId="1BF04C31" w14:textId="540C3DE4" w:rsidR="00B40533" w:rsidRPr="00907109" w:rsidRDefault="00B40533" w:rsidP="00B40533">
      <w:pPr>
        <w:rPr>
          <w:noProof/>
        </w:rPr>
      </w:pPr>
      <w:r>
        <w:rPr>
          <w:noProof/>
        </w:rPr>
        <w:t>A</w:t>
      </w:r>
      <w:r w:rsidRPr="00907109">
        <w:rPr>
          <w:noProof/>
        </w:rPr>
        <w:t>n exploratory FDA analysis of safety in subgroups based on PD-L1 status</w:t>
      </w:r>
      <w:r w:rsidR="00FF6BA7">
        <w:rPr>
          <w:rStyle w:val="FootnoteReference"/>
          <w:noProof/>
        </w:rPr>
        <w:footnoteReference w:id="90"/>
      </w:r>
      <w:r w:rsidRPr="00907109">
        <w:rPr>
          <w:noProof/>
        </w:rPr>
        <w:t xml:space="preserve"> did not identify a toxicity</w:t>
      </w:r>
      <w:r w:rsidR="0008486F">
        <w:rPr>
          <w:noProof/>
        </w:rPr>
        <w:t>-</w:t>
      </w:r>
      <w:r w:rsidRPr="00907109">
        <w:rPr>
          <w:noProof/>
        </w:rPr>
        <w:t xml:space="preserve">related explanation for the trend towards </w:t>
      </w:r>
      <w:r>
        <w:rPr>
          <w:noProof/>
        </w:rPr>
        <w:t>higher</w:t>
      </w:r>
      <w:r w:rsidRPr="00907109">
        <w:rPr>
          <w:noProof/>
        </w:rPr>
        <w:t xml:space="preserve"> </w:t>
      </w:r>
      <w:r>
        <w:rPr>
          <w:noProof/>
        </w:rPr>
        <w:t xml:space="preserve">hazard ratios </w:t>
      </w:r>
      <w:r w:rsidRPr="00907109">
        <w:rPr>
          <w:noProof/>
        </w:rPr>
        <w:t xml:space="preserve">in patients with </w:t>
      </w:r>
      <w:r>
        <w:rPr>
          <w:noProof/>
        </w:rPr>
        <w:t>positive</w:t>
      </w:r>
      <w:r w:rsidRPr="00907109">
        <w:rPr>
          <w:noProof/>
        </w:rPr>
        <w:t xml:space="preserve"> PD-L1 status</w:t>
      </w:r>
      <w:r w:rsidR="005107FB">
        <w:rPr>
          <w:noProof/>
        </w:rPr>
        <w:t>; see</w:t>
      </w:r>
      <w:r w:rsidR="005107FB" w:rsidRPr="005107FB">
        <w:rPr>
          <w:noProof/>
        </w:rPr>
        <w:t xml:space="preserve"> </w:t>
      </w:r>
      <w:r w:rsidR="005107FB">
        <w:rPr>
          <w:noProof/>
          <w:color w:val="2B579A"/>
          <w:shd w:val="clear" w:color="auto" w:fill="E6E6E6"/>
        </w:rPr>
        <w:fldChar w:fldCharType="begin"/>
      </w:r>
      <w:r w:rsidR="005107FB">
        <w:rPr>
          <w:noProof/>
        </w:rPr>
        <w:instrText xml:space="preserve"> REF _Ref140069990 \h </w:instrText>
      </w:r>
      <w:r w:rsidR="005107FB">
        <w:rPr>
          <w:noProof/>
          <w:color w:val="2B579A"/>
          <w:shd w:val="clear" w:color="auto" w:fill="E6E6E6"/>
        </w:rPr>
      </w:r>
      <w:r w:rsidR="005107FB">
        <w:rPr>
          <w:noProof/>
          <w:color w:val="2B579A"/>
          <w:shd w:val="clear" w:color="auto" w:fill="E6E6E6"/>
        </w:rPr>
        <w:fldChar w:fldCharType="separate"/>
      </w:r>
      <w:r w:rsidR="004F1B9E">
        <w:t xml:space="preserve">Figure </w:t>
      </w:r>
      <w:r w:rsidR="004F1B9E">
        <w:rPr>
          <w:noProof/>
        </w:rPr>
        <w:t>4</w:t>
      </w:r>
      <w:r w:rsidR="005107FB">
        <w:rPr>
          <w:noProof/>
          <w:color w:val="2B579A"/>
          <w:shd w:val="clear" w:color="auto" w:fill="E6E6E6"/>
        </w:rPr>
        <w:fldChar w:fldCharType="end"/>
      </w:r>
      <w:r w:rsidRPr="00907109">
        <w:rPr>
          <w:noProof/>
        </w:rPr>
        <w:t>.</w:t>
      </w:r>
    </w:p>
    <w:p w14:paraId="1892E204" w14:textId="393CAA3D" w:rsidR="00FF6BA7" w:rsidRDefault="00012CAE" w:rsidP="00FF6BA7">
      <w:pPr>
        <w:pStyle w:val="FigureTitle"/>
        <w:keepNext/>
      </w:pPr>
      <w:bookmarkStart w:id="92" w:name="_Ref140069990"/>
      <w:r>
        <w:lastRenderedPageBreak/>
        <w:t xml:space="preserve">Figure </w:t>
      </w:r>
      <w:r>
        <w:fldChar w:fldCharType="begin"/>
      </w:r>
      <w:r>
        <w:instrText>SEQ Figure \* ARABIC</w:instrText>
      </w:r>
      <w:r>
        <w:fldChar w:fldCharType="separate"/>
      </w:r>
      <w:r w:rsidR="004F1B9E">
        <w:rPr>
          <w:noProof/>
        </w:rPr>
        <w:t>4</w:t>
      </w:r>
      <w:r>
        <w:fldChar w:fldCharType="end"/>
      </w:r>
      <w:bookmarkEnd w:id="92"/>
      <w:r>
        <w:t xml:space="preserve">: </w:t>
      </w:r>
      <w:r w:rsidR="003269A5">
        <w:t xml:space="preserve">RELATIVITY-047 </w:t>
      </w:r>
      <w:r w:rsidRPr="00607959">
        <w:t xml:space="preserve">Forest plots representing exploratory subgroup analyses of </w:t>
      </w:r>
      <w:r w:rsidR="005107FB">
        <w:t>progression</w:t>
      </w:r>
      <w:r w:rsidR="00C808E2">
        <w:noBreakHyphen/>
      </w:r>
      <w:r w:rsidR="005107FB">
        <w:t xml:space="preserve">free survival </w:t>
      </w:r>
      <w:r w:rsidRPr="00607959">
        <w:t xml:space="preserve">per </w:t>
      </w:r>
      <w:r w:rsidR="005107FB">
        <w:t>blinded independent review committee</w:t>
      </w:r>
      <w:r w:rsidRPr="00607959">
        <w:t xml:space="preserve"> </w:t>
      </w:r>
      <w:r w:rsidR="00B651DF">
        <w:t>(</w:t>
      </w:r>
      <w:r w:rsidRPr="00607959">
        <w:t>all randomised patients</w:t>
      </w:r>
      <w:r w:rsidR="00B651DF">
        <w:t>)</w:t>
      </w:r>
    </w:p>
    <w:p w14:paraId="75F9406D" w14:textId="5ED55574" w:rsidR="008C4467" w:rsidRDefault="008C4467" w:rsidP="00FF6BA7">
      <w:pPr>
        <w:pStyle w:val="FigureTitle"/>
        <w:keepNext/>
      </w:pPr>
      <w:r>
        <w:rPr>
          <w:noProof/>
          <w:color w:val="2B579A"/>
          <w:shd w:val="clear" w:color="auto" w:fill="E6E6E6"/>
        </w:rPr>
        <w:drawing>
          <wp:inline distT="0" distB="0" distL="0" distR="0" wp14:anchorId="393C1ABC" wp14:editId="153E80B7">
            <wp:extent cx="5759450" cy="3594735"/>
            <wp:effectExtent l="0" t="0" r="0" b="5715"/>
            <wp:docPr id="6" name="Picture 6" descr="This is part 1 of 2 panels for this Figure. Subgroups on left hand side, then columns for number of subjects and profession-free survival for each of Opdualag and nivolumab; hazard ratio; and forest plot with mean and confidence interval. Subgroups include LAG-3 status, PD-L1 status, metastasis stage and histology sub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is part 1 of 2 panels for this Figure. Subgroups on left hand side, then columns for number of subjects and profession-free survival for each of Opdualag and nivolumab; hazard ratio; and forest plot with mean and confidence interval. Subgroups include LAG-3 status, PD-L1 status, metastasis stage and histology subtype."/>
                    <pic:cNvPicPr/>
                  </pic:nvPicPr>
                  <pic:blipFill>
                    <a:blip r:embed="rId24"/>
                    <a:stretch>
                      <a:fillRect/>
                    </a:stretch>
                  </pic:blipFill>
                  <pic:spPr>
                    <a:xfrm>
                      <a:off x="0" y="0"/>
                      <a:ext cx="5759450" cy="3594735"/>
                    </a:xfrm>
                    <a:prstGeom prst="rect">
                      <a:avLst/>
                    </a:prstGeom>
                  </pic:spPr>
                </pic:pic>
              </a:graphicData>
            </a:graphic>
          </wp:inline>
        </w:drawing>
      </w:r>
    </w:p>
    <w:p w14:paraId="5E186035" w14:textId="66DEA76F" w:rsidR="008C4467" w:rsidRDefault="008C4467" w:rsidP="00FF6BA7">
      <w:pPr>
        <w:pStyle w:val="FigureTitle"/>
        <w:keepNext/>
        <w:rPr>
          <w:lang w:eastAsia="en-AU"/>
        </w:rPr>
      </w:pPr>
      <w:r>
        <w:rPr>
          <w:noProof/>
          <w:color w:val="2B579A"/>
          <w:shd w:val="clear" w:color="auto" w:fill="E6E6E6"/>
        </w:rPr>
        <w:drawing>
          <wp:inline distT="0" distB="0" distL="0" distR="0" wp14:anchorId="06CA418B" wp14:editId="22F79BDD">
            <wp:extent cx="5759450" cy="3101975"/>
            <wp:effectExtent l="0" t="0" r="0" b="3175"/>
            <wp:docPr id="5" name="Picture 5" descr="This is part 2 of this figure. Subgroups on left hand side, and columns for number of subjects and profession-free survival for each of Opdualag and nivolumab; hazard ratio; and forest plot with mean and confidence interval. Subgroups include ECOG status, smoking status, and demographic f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is part 2 of this figure. Subgroups on left hand side, and columns for number of subjects and profession-free survival for each of Opdualag and nivolumab; hazard ratio; and forest plot with mean and confidence interval. Subgroups include ECOG status, smoking status, and demographic factors."/>
                    <pic:cNvPicPr/>
                  </pic:nvPicPr>
                  <pic:blipFill>
                    <a:blip r:embed="rId25"/>
                    <a:stretch>
                      <a:fillRect/>
                    </a:stretch>
                  </pic:blipFill>
                  <pic:spPr>
                    <a:xfrm>
                      <a:off x="0" y="0"/>
                      <a:ext cx="5759450" cy="3101975"/>
                    </a:xfrm>
                    <a:prstGeom prst="rect">
                      <a:avLst/>
                    </a:prstGeom>
                  </pic:spPr>
                </pic:pic>
              </a:graphicData>
            </a:graphic>
          </wp:inline>
        </w:drawing>
      </w:r>
    </w:p>
    <w:p w14:paraId="2D50D995" w14:textId="72BB90EC" w:rsidR="00FF6BA7" w:rsidRPr="00CE4252" w:rsidRDefault="00FF6BA7" w:rsidP="00FF6BA7">
      <w:pPr>
        <w:pStyle w:val="FigureDescription"/>
      </w:pPr>
      <w:r>
        <w:t>Abbreviations: BICR</w:t>
      </w:r>
      <w:r w:rsidR="00B83235">
        <w:t> = </w:t>
      </w:r>
      <w:r>
        <w:t>blinded independent review committee; BMS-986213</w:t>
      </w:r>
      <w:r w:rsidR="00B83235">
        <w:t> = </w:t>
      </w:r>
      <w:proofErr w:type="spellStart"/>
      <w:r>
        <w:t>Opdualag</w:t>
      </w:r>
      <w:proofErr w:type="spellEnd"/>
      <w:r>
        <w:t xml:space="preserve">; </w:t>
      </w:r>
      <w:r w:rsidRPr="00F91B47">
        <w:t>CI</w:t>
      </w:r>
      <w:r w:rsidR="00B83235">
        <w:t> = </w:t>
      </w:r>
      <w:r w:rsidRPr="00F91B47">
        <w:t xml:space="preserve">confidence interval; </w:t>
      </w:r>
      <w:r>
        <w:t>HR</w:t>
      </w:r>
      <w:r w:rsidR="00B83235">
        <w:t> = </w:t>
      </w:r>
      <w:r>
        <w:t>hazard ratio</w:t>
      </w:r>
      <w:r w:rsidRPr="00CE4252">
        <w:t xml:space="preserve">; </w:t>
      </w:r>
      <w:r w:rsidRPr="00CE4252">
        <w:rPr>
          <w:w w:val="105"/>
        </w:rPr>
        <w:t>LDH</w:t>
      </w:r>
      <w:r w:rsidR="00B83235">
        <w:rPr>
          <w:spacing w:val="-3"/>
          <w:w w:val="105"/>
        </w:rPr>
        <w:t> = </w:t>
      </w:r>
      <w:r w:rsidRPr="00CE4252">
        <w:rPr>
          <w:w w:val="105"/>
        </w:rPr>
        <w:t>lactate</w:t>
      </w:r>
      <w:r w:rsidRPr="00CE4252">
        <w:rPr>
          <w:spacing w:val="-3"/>
          <w:w w:val="105"/>
        </w:rPr>
        <w:t xml:space="preserve"> </w:t>
      </w:r>
      <w:r w:rsidRPr="00CE4252">
        <w:rPr>
          <w:w w:val="105"/>
        </w:rPr>
        <w:t>dehydrogenase;</w:t>
      </w:r>
      <w:r w:rsidRPr="00CE4252">
        <w:rPr>
          <w:spacing w:val="-2"/>
          <w:w w:val="105"/>
        </w:rPr>
        <w:t xml:space="preserve"> </w:t>
      </w:r>
      <w:proofErr w:type="spellStart"/>
      <w:r w:rsidRPr="00CE4252">
        <w:t>mPFS</w:t>
      </w:r>
      <w:proofErr w:type="spellEnd"/>
      <w:r w:rsidR="00B83235">
        <w:t> = </w:t>
      </w:r>
      <w:r w:rsidRPr="00CE4252">
        <w:t>median progression</w:t>
      </w:r>
      <w:r w:rsidR="00C808E2">
        <w:noBreakHyphen/>
      </w:r>
      <w:r w:rsidRPr="00CE4252">
        <w:t>free survival per RECIST v1.1; N</w:t>
      </w:r>
      <w:r w:rsidR="00B83235">
        <w:t> = </w:t>
      </w:r>
      <w:r w:rsidRPr="00CE4252">
        <w:t>number; N.A.</w:t>
      </w:r>
      <w:r w:rsidR="00B83235">
        <w:t> = </w:t>
      </w:r>
      <w:r w:rsidRPr="00CE4252">
        <w:t>not applicable, median or limit of CI not estimable; ULN</w:t>
      </w:r>
      <w:r w:rsidR="00B83235">
        <w:t> = </w:t>
      </w:r>
      <w:r w:rsidRPr="00CE4252">
        <w:t>upper limit of normal.</w:t>
      </w:r>
    </w:p>
    <w:p w14:paraId="4177D5C6" w14:textId="064CD8DA" w:rsidR="00FF6BA7" w:rsidRDefault="00FF6BA7" w:rsidP="00FF6BA7">
      <w:pPr>
        <w:pStyle w:val="FigureDescription"/>
      </w:pPr>
      <w:r w:rsidRPr="00CE4252">
        <w:t xml:space="preserve">Note: HR and median (displayed as </w:t>
      </w:r>
      <w:r>
        <w:t>N.R.) are not computed for subset category with less than 10 subjects per treatment group.</w:t>
      </w:r>
    </w:p>
    <w:p w14:paraId="7EF29E08" w14:textId="1E8AFF7C" w:rsidR="00A23A9D" w:rsidRPr="003D1296" w:rsidRDefault="00A23A9D" w:rsidP="003D1296">
      <w:pPr>
        <w:pStyle w:val="Heading5"/>
      </w:pPr>
      <w:r w:rsidRPr="003D1296">
        <w:lastRenderedPageBreak/>
        <w:t xml:space="preserve">Supporting study – </w:t>
      </w:r>
      <w:r w:rsidR="00B651DF">
        <w:t xml:space="preserve">Study </w:t>
      </w:r>
      <w:r w:rsidRPr="003D1296">
        <w:t>CA224020 (RELATIVITY-020</w:t>
      </w:r>
      <w:r w:rsidR="00B651DF">
        <w:t xml:space="preserve"> trial</w:t>
      </w:r>
      <w:r w:rsidRPr="003D1296">
        <w:t>)</w:t>
      </w:r>
    </w:p>
    <w:p w14:paraId="3CA5937D" w14:textId="0BA35EC8" w:rsidR="00A23A9D" w:rsidRDefault="003269A5" w:rsidP="00A23A9D">
      <w:r>
        <w:t>The RELATIVITY-020 trial</w:t>
      </w:r>
      <w:r w:rsidR="00B651DF">
        <w:t xml:space="preserve"> </w:t>
      </w:r>
      <w:r w:rsidR="00A23A9D">
        <w:t xml:space="preserve">is an international (14 countries) Phase I/II study of </w:t>
      </w:r>
      <w:proofErr w:type="spellStart"/>
      <w:r w:rsidR="00A23A9D">
        <w:t>relatlimab</w:t>
      </w:r>
      <w:proofErr w:type="spellEnd"/>
      <w:r w:rsidR="00A23A9D">
        <w:t xml:space="preserve"> administered alone (n</w:t>
      </w:r>
      <w:r w:rsidR="00B83235">
        <w:t> = </w:t>
      </w:r>
      <w:r w:rsidR="00A23A9D">
        <w:t>25) and in combination with nivolumab (n</w:t>
      </w:r>
      <w:r w:rsidR="00B83235">
        <w:t> = </w:t>
      </w:r>
      <w:r w:rsidR="00A23A9D" w:rsidRPr="00165F84">
        <w:t>1</w:t>
      </w:r>
      <w:r w:rsidR="00A23A9D">
        <w:t>,</w:t>
      </w:r>
      <w:r w:rsidR="00A23A9D" w:rsidRPr="00165F84">
        <w:t>379</w:t>
      </w:r>
      <w:r w:rsidR="00A23A9D">
        <w:t>) in advanced solid tumours (</w:t>
      </w:r>
      <w:r w:rsidR="00A23A9D" w:rsidRPr="00B43935">
        <w:t xml:space="preserve">except </w:t>
      </w:r>
      <w:r w:rsidR="00A23A9D" w:rsidRPr="00134D3C">
        <w:t>primary CNS tumours), incorporating dose escalation (parts A and B of the study) and cohort</w:t>
      </w:r>
      <w:r w:rsidR="00A23A9D">
        <w:t xml:space="preserve"> expansion (parts A1, C, D1, D2 and E). An interim clinical study report dated 9 June 2021 (with a database lock of 25 February 2021) was submitted.</w:t>
      </w:r>
    </w:p>
    <w:p w14:paraId="3718028B" w14:textId="0D8255A5" w:rsidR="00A23A9D" w:rsidRDefault="00A23A9D" w:rsidP="00A23A9D">
      <w:pPr>
        <w:pStyle w:val="Heading6"/>
      </w:pPr>
      <w:r>
        <w:t>Design</w:t>
      </w:r>
    </w:p>
    <w:p w14:paraId="473256F0" w14:textId="0169417A" w:rsidR="005107FB" w:rsidRPr="00BD5DBD" w:rsidRDefault="005107FB" w:rsidP="005107FB">
      <w:pPr>
        <w:rPr>
          <w:szCs w:val="22"/>
        </w:rPr>
      </w:pPr>
      <w:r w:rsidRPr="00BD5DBD">
        <w:rPr>
          <w:szCs w:val="22"/>
        </w:rPr>
        <w:t xml:space="preserve">The following table </w:t>
      </w:r>
      <w:r>
        <w:rPr>
          <w:szCs w:val="22"/>
        </w:rPr>
        <w:t>provides a summary of the study design.</w:t>
      </w:r>
    </w:p>
    <w:p w14:paraId="7B28EBF8" w14:textId="0B900EF3" w:rsidR="00BD43CD" w:rsidRPr="00BD43CD" w:rsidRDefault="00BD43CD" w:rsidP="00BD43CD">
      <w:pPr>
        <w:pStyle w:val="TableTitle"/>
      </w:pPr>
      <w:r w:rsidRPr="00BD43CD">
        <w:t xml:space="preserve">Table </w:t>
      </w:r>
      <w:r>
        <w:fldChar w:fldCharType="begin"/>
      </w:r>
      <w:r>
        <w:instrText>SEQ Table \* ARABIC</w:instrText>
      </w:r>
      <w:r>
        <w:fldChar w:fldCharType="separate"/>
      </w:r>
      <w:r w:rsidR="004F1B9E">
        <w:rPr>
          <w:noProof/>
        </w:rPr>
        <w:t>4</w:t>
      </w:r>
      <w:r>
        <w:fldChar w:fldCharType="end"/>
      </w:r>
      <w:r w:rsidRPr="00BD43CD">
        <w:t>: RELATIVITY-020</w:t>
      </w:r>
      <w:r w:rsidR="003269A5">
        <w:t xml:space="preserve"> </w:t>
      </w:r>
      <w:r w:rsidRPr="00BD43CD">
        <w:t>Summary of study design for parts A through E</w:t>
      </w:r>
    </w:p>
    <w:tbl>
      <w:tblPr>
        <w:tblStyle w:val="TableTGAblue"/>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24"/>
        <w:gridCol w:w="1464"/>
        <w:gridCol w:w="1294"/>
        <w:gridCol w:w="1295"/>
        <w:gridCol w:w="1295"/>
        <w:gridCol w:w="1456"/>
        <w:gridCol w:w="1134"/>
      </w:tblGrid>
      <w:tr w:rsidR="00DD7C84" w:rsidRPr="009B311C" w14:paraId="692A55A7" w14:textId="77777777" w:rsidTr="00095D26">
        <w:trPr>
          <w:cnfStyle w:val="100000000000" w:firstRow="1" w:lastRow="0" w:firstColumn="0" w:lastColumn="0" w:oddVBand="0" w:evenVBand="0" w:oddHBand="0" w:evenHBand="0" w:firstRowFirstColumn="0" w:firstRowLastColumn="0" w:lastRowFirstColumn="0" w:lastRowLastColumn="0"/>
          <w:trHeight w:hRule="exact" w:val="1024"/>
        </w:trPr>
        <w:tc>
          <w:tcPr>
            <w:tcW w:w="1124" w:type="dxa"/>
            <w:shd w:val="clear" w:color="auto" w:fill="DEEAF6" w:themeFill="accent5" w:themeFillTint="33"/>
          </w:tcPr>
          <w:p w14:paraId="3EBD25FD" w14:textId="77777777" w:rsidR="00A23A9D" w:rsidRPr="000748B9" w:rsidRDefault="00A23A9D" w:rsidP="00C13504">
            <w:pPr>
              <w:pStyle w:val="TableText"/>
              <w:ind w:hanging="65"/>
            </w:pPr>
            <w:r w:rsidRPr="000748B9">
              <w:t>Part</w:t>
            </w:r>
          </w:p>
        </w:tc>
        <w:tc>
          <w:tcPr>
            <w:tcW w:w="1464" w:type="dxa"/>
            <w:shd w:val="clear" w:color="auto" w:fill="DEEAF6" w:themeFill="accent5" w:themeFillTint="33"/>
          </w:tcPr>
          <w:p w14:paraId="79673C2A" w14:textId="77777777" w:rsidR="00A23A9D" w:rsidRPr="000748B9" w:rsidRDefault="00A23A9D" w:rsidP="005107FB">
            <w:pPr>
              <w:pStyle w:val="TableText"/>
            </w:pPr>
            <w:r w:rsidRPr="000748B9">
              <w:t>Population</w:t>
            </w:r>
            <w:r>
              <w:t xml:space="preserve"> inclusion criteria</w:t>
            </w:r>
          </w:p>
        </w:tc>
        <w:tc>
          <w:tcPr>
            <w:tcW w:w="1294" w:type="dxa"/>
            <w:shd w:val="clear" w:color="auto" w:fill="DEEAF6" w:themeFill="accent5" w:themeFillTint="33"/>
          </w:tcPr>
          <w:p w14:paraId="087C0E9F" w14:textId="77777777" w:rsidR="00A23A9D" w:rsidRPr="000748B9" w:rsidRDefault="00A23A9D" w:rsidP="00C13504">
            <w:pPr>
              <w:pStyle w:val="TableText"/>
              <w:ind w:hanging="170"/>
            </w:pPr>
            <w:r>
              <w:t>Nivolumab dose (IV)</w:t>
            </w:r>
          </w:p>
        </w:tc>
        <w:tc>
          <w:tcPr>
            <w:tcW w:w="1295" w:type="dxa"/>
            <w:shd w:val="clear" w:color="auto" w:fill="DEEAF6" w:themeFill="accent5" w:themeFillTint="33"/>
          </w:tcPr>
          <w:p w14:paraId="1A49AAE1" w14:textId="77777777" w:rsidR="00A23A9D" w:rsidRDefault="00A23A9D" w:rsidP="00C13504">
            <w:pPr>
              <w:pStyle w:val="TableText"/>
              <w:ind w:hanging="170"/>
            </w:pPr>
            <w:proofErr w:type="spellStart"/>
            <w:r>
              <w:t>Relatlimab</w:t>
            </w:r>
            <w:proofErr w:type="spellEnd"/>
            <w:r>
              <w:t xml:space="preserve"> dose (IV)</w:t>
            </w:r>
          </w:p>
        </w:tc>
        <w:tc>
          <w:tcPr>
            <w:tcW w:w="1295" w:type="dxa"/>
            <w:shd w:val="clear" w:color="auto" w:fill="DEEAF6" w:themeFill="accent5" w:themeFillTint="33"/>
          </w:tcPr>
          <w:p w14:paraId="172D274C" w14:textId="77777777" w:rsidR="00A23A9D" w:rsidRDefault="00A23A9D" w:rsidP="005107FB">
            <w:pPr>
              <w:pStyle w:val="TableText"/>
            </w:pPr>
            <w:r>
              <w:t>Given</w:t>
            </w:r>
          </w:p>
        </w:tc>
        <w:tc>
          <w:tcPr>
            <w:tcW w:w="1456" w:type="dxa"/>
            <w:shd w:val="clear" w:color="auto" w:fill="DEEAF6" w:themeFill="accent5" w:themeFillTint="33"/>
          </w:tcPr>
          <w:p w14:paraId="3A4952DF" w14:textId="77777777" w:rsidR="00A23A9D" w:rsidRDefault="00A23A9D" w:rsidP="005107FB">
            <w:pPr>
              <w:pStyle w:val="TableText"/>
            </w:pPr>
            <w:r>
              <w:t>Dose frequency</w:t>
            </w:r>
          </w:p>
        </w:tc>
        <w:tc>
          <w:tcPr>
            <w:tcW w:w="1134" w:type="dxa"/>
            <w:shd w:val="clear" w:color="auto" w:fill="DEEAF6" w:themeFill="accent5" w:themeFillTint="33"/>
          </w:tcPr>
          <w:p w14:paraId="29FCFAB2" w14:textId="77777777" w:rsidR="00A23A9D" w:rsidRPr="009B311C" w:rsidRDefault="00A23A9D" w:rsidP="005107FB">
            <w:pPr>
              <w:pStyle w:val="TableText"/>
            </w:pPr>
            <w:r w:rsidRPr="009B311C">
              <w:t>N</w:t>
            </w:r>
          </w:p>
        </w:tc>
      </w:tr>
      <w:tr w:rsidR="00A23A9D" w:rsidRPr="000A203E" w14:paraId="03FDC334" w14:textId="77777777" w:rsidTr="00095D26">
        <w:trPr>
          <w:trHeight w:hRule="exact" w:val="819"/>
        </w:trPr>
        <w:tc>
          <w:tcPr>
            <w:tcW w:w="1124" w:type="dxa"/>
            <w:hideMark/>
          </w:tcPr>
          <w:p w14:paraId="1824E374" w14:textId="77777777" w:rsidR="00A23A9D" w:rsidRPr="00B8387A" w:rsidRDefault="00A23A9D" w:rsidP="005107FB">
            <w:pPr>
              <w:pStyle w:val="TableText"/>
            </w:pPr>
            <w:r w:rsidRPr="00B8387A">
              <w:t>A</w:t>
            </w:r>
          </w:p>
        </w:tc>
        <w:tc>
          <w:tcPr>
            <w:tcW w:w="1464" w:type="dxa"/>
            <w:hideMark/>
          </w:tcPr>
          <w:p w14:paraId="5A368F50" w14:textId="023319E4" w:rsidR="00A23A9D" w:rsidRPr="00B8387A" w:rsidRDefault="00A23A9D" w:rsidP="00C13504">
            <w:pPr>
              <w:pStyle w:val="TableText"/>
              <w:ind w:left="119" w:right="113"/>
            </w:pPr>
            <w:r w:rsidRPr="00B8387A">
              <w:t>Solid</w:t>
            </w:r>
            <w:r w:rsidRPr="000A203E">
              <w:t xml:space="preserve"> </w:t>
            </w:r>
            <w:r w:rsidRPr="00B8387A">
              <w:t>tumo</w:t>
            </w:r>
            <w:r>
              <w:t>u</w:t>
            </w:r>
            <w:r w:rsidRPr="00B8387A">
              <w:t>rs,</w:t>
            </w:r>
            <w:r w:rsidRPr="000A203E">
              <w:t xml:space="preserve"> </w:t>
            </w:r>
            <w:r w:rsidR="00C13504">
              <w:t xml:space="preserve">immunotherapy </w:t>
            </w:r>
            <w:r w:rsidRPr="000A203E">
              <w:t>naive</w:t>
            </w:r>
          </w:p>
        </w:tc>
        <w:tc>
          <w:tcPr>
            <w:tcW w:w="1294" w:type="dxa"/>
            <w:hideMark/>
          </w:tcPr>
          <w:p w14:paraId="7A24D669" w14:textId="77777777" w:rsidR="00A23A9D" w:rsidRPr="00B8387A" w:rsidRDefault="00A23A9D" w:rsidP="005107FB">
            <w:pPr>
              <w:pStyle w:val="TableText"/>
            </w:pPr>
            <w:r>
              <w:t>-</w:t>
            </w:r>
          </w:p>
        </w:tc>
        <w:tc>
          <w:tcPr>
            <w:tcW w:w="1295" w:type="dxa"/>
          </w:tcPr>
          <w:p w14:paraId="72427EFD" w14:textId="77777777" w:rsidR="00A23A9D" w:rsidRPr="000A203E" w:rsidRDefault="00A23A9D" w:rsidP="005107FB">
            <w:pPr>
              <w:pStyle w:val="TableText"/>
            </w:pPr>
            <w:r w:rsidRPr="00B8387A">
              <w:t>20</w:t>
            </w:r>
            <w:r w:rsidRPr="000A203E">
              <w:t xml:space="preserve"> </w:t>
            </w:r>
            <w:r w:rsidRPr="00B8387A">
              <w:t>to</w:t>
            </w:r>
            <w:r w:rsidRPr="000A203E">
              <w:t xml:space="preserve"> </w:t>
            </w:r>
            <w:r w:rsidRPr="00B8387A">
              <w:t>800</w:t>
            </w:r>
            <w:r w:rsidRPr="000A203E">
              <w:t xml:space="preserve"> </w:t>
            </w:r>
            <w:r w:rsidRPr="00B8387A">
              <w:t>mg</w:t>
            </w:r>
            <w:r w:rsidRPr="000A203E">
              <w:rPr>
                <w:vertAlign w:val="superscript"/>
              </w:rPr>
              <w:t xml:space="preserve"> a</w:t>
            </w:r>
          </w:p>
        </w:tc>
        <w:tc>
          <w:tcPr>
            <w:tcW w:w="1295" w:type="dxa"/>
          </w:tcPr>
          <w:p w14:paraId="7C0EB20F" w14:textId="77777777" w:rsidR="00A23A9D" w:rsidRPr="000A203E" w:rsidRDefault="00A23A9D" w:rsidP="005107FB">
            <w:pPr>
              <w:pStyle w:val="TableText"/>
            </w:pPr>
            <w:r>
              <w:t>As monotherapy</w:t>
            </w:r>
          </w:p>
        </w:tc>
        <w:tc>
          <w:tcPr>
            <w:tcW w:w="1456" w:type="dxa"/>
          </w:tcPr>
          <w:p w14:paraId="5AD1D6EB" w14:textId="77777777" w:rsidR="00A23A9D" w:rsidRPr="000A203E" w:rsidRDefault="00A23A9D" w:rsidP="005107FB">
            <w:pPr>
              <w:pStyle w:val="TableText"/>
            </w:pPr>
            <w:r w:rsidRPr="000A203E">
              <w:t>Q2W</w:t>
            </w:r>
          </w:p>
        </w:tc>
        <w:tc>
          <w:tcPr>
            <w:tcW w:w="1134" w:type="dxa"/>
            <w:hideMark/>
          </w:tcPr>
          <w:p w14:paraId="3F2EDDBF" w14:textId="77777777" w:rsidR="00A23A9D" w:rsidRPr="00B8387A" w:rsidRDefault="00A23A9D" w:rsidP="005107FB">
            <w:pPr>
              <w:pStyle w:val="TableText"/>
            </w:pPr>
            <w:r w:rsidRPr="000A203E">
              <w:t>17</w:t>
            </w:r>
          </w:p>
        </w:tc>
      </w:tr>
      <w:tr w:rsidR="00A23A9D" w:rsidRPr="000A203E" w14:paraId="5C055DA4" w14:textId="77777777" w:rsidTr="00656F08">
        <w:trPr>
          <w:trHeight w:hRule="exact" w:val="1044"/>
        </w:trPr>
        <w:tc>
          <w:tcPr>
            <w:tcW w:w="1124" w:type="dxa"/>
            <w:hideMark/>
          </w:tcPr>
          <w:p w14:paraId="39365B10" w14:textId="77777777" w:rsidR="00A23A9D" w:rsidRPr="00B8387A" w:rsidRDefault="00A23A9D" w:rsidP="005107FB">
            <w:pPr>
              <w:pStyle w:val="TableText"/>
            </w:pPr>
            <w:r w:rsidRPr="00B8387A">
              <w:t>A1</w:t>
            </w:r>
          </w:p>
        </w:tc>
        <w:tc>
          <w:tcPr>
            <w:tcW w:w="1464" w:type="dxa"/>
            <w:hideMark/>
          </w:tcPr>
          <w:p w14:paraId="75503EFD" w14:textId="77777777" w:rsidR="00A23A9D" w:rsidRPr="00B8387A" w:rsidRDefault="00A23A9D" w:rsidP="005107FB">
            <w:pPr>
              <w:pStyle w:val="TableText"/>
            </w:pPr>
            <w:r w:rsidRPr="000A203E">
              <w:t>NSCLC/RCC, prior anti-PD-(L)1 allowed</w:t>
            </w:r>
          </w:p>
        </w:tc>
        <w:tc>
          <w:tcPr>
            <w:tcW w:w="1294" w:type="dxa"/>
            <w:hideMark/>
          </w:tcPr>
          <w:p w14:paraId="228D695F" w14:textId="77777777" w:rsidR="00A23A9D" w:rsidRPr="00B8387A" w:rsidRDefault="00A23A9D" w:rsidP="005107FB">
            <w:pPr>
              <w:pStyle w:val="TableText"/>
            </w:pPr>
            <w:r>
              <w:t>-</w:t>
            </w:r>
          </w:p>
        </w:tc>
        <w:tc>
          <w:tcPr>
            <w:tcW w:w="1295" w:type="dxa"/>
          </w:tcPr>
          <w:p w14:paraId="261025EC" w14:textId="77777777" w:rsidR="00A23A9D" w:rsidRPr="000A203E" w:rsidRDefault="00A23A9D" w:rsidP="005107FB">
            <w:pPr>
              <w:pStyle w:val="TableText"/>
            </w:pPr>
            <w:r w:rsidRPr="00B8387A">
              <w:t>800</w:t>
            </w:r>
            <w:r w:rsidRPr="000A203E">
              <w:t xml:space="preserve"> </w:t>
            </w:r>
            <w:r w:rsidRPr="00B8387A">
              <w:t>mg</w:t>
            </w:r>
          </w:p>
        </w:tc>
        <w:tc>
          <w:tcPr>
            <w:tcW w:w="1295" w:type="dxa"/>
          </w:tcPr>
          <w:p w14:paraId="548BA25A" w14:textId="77777777" w:rsidR="00A23A9D" w:rsidRPr="000A203E" w:rsidRDefault="00A23A9D" w:rsidP="005107FB">
            <w:pPr>
              <w:pStyle w:val="TableText"/>
            </w:pPr>
            <w:r>
              <w:t>As monotherapy</w:t>
            </w:r>
          </w:p>
        </w:tc>
        <w:tc>
          <w:tcPr>
            <w:tcW w:w="1456" w:type="dxa"/>
          </w:tcPr>
          <w:p w14:paraId="0BE04BD0" w14:textId="77777777" w:rsidR="00A23A9D" w:rsidRPr="000A203E" w:rsidRDefault="00A23A9D" w:rsidP="005107FB">
            <w:pPr>
              <w:pStyle w:val="TableText"/>
            </w:pPr>
            <w:r w:rsidRPr="000A203E">
              <w:t>Q2W</w:t>
            </w:r>
          </w:p>
        </w:tc>
        <w:tc>
          <w:tcPr>
            <w:tcW w:w="1134" w:type="dxa"/>
            <w:hideMark/>
          </w:tcPr>
          <w:p w14:paraId="36C91A5E" w14:textId="77777777" w:rsidR="00A23A9D" w:rsidRPr="00B8387A" w:rsidRDefault="00A23A9D" w:rsidP="005107FB">
            <w:pPr>
              <w:pStyle w:val="TableText"/>
            </w:pPr>
            <w:r w:rsidRPr="000A203E">
              <w:t>8</w:t>
            </w:r>
          </w:p>
        </w:tc>
      </w:tr>
      <w:tr w:rsidR="00A23A9D" w:rsidRPr="000A203E" w14:paraId="26067B88" w14:textId="77777777" w:rsidTr="00095D26">
        <w:trPr>
          <w:trHeight w:val="641"/>
        </w:trPr>
        <w:tc>
          <w:tcPr>
            <w:tcW w:w="1124" w:type="dxa"/>
            <w:hideMark/>
          </w:tcPr>
          <w:p w14:paraId="54E64015" w14:textId="77777777" w:rsidR="00A23A9D" w:rsidRPr="00B8387A" w:rsidRDefault="00A23A9D" w:rsidP="005107FB">
            <w:pPr>
              <w:pStyle w:val="TableText"/>
            </w:pPr>
            <w:r w:rsidRPr="00B8387A">
              <w:t>B</w:t>
            </w:r>
          </w:p>
        </w:tc>
        <w:tc>
          <w:tcPr>
            <w:tcW w:w="1464" w:type="dxa"/>
            <w:hideMark/>
          </w:tcPr>
          <w:p w14:paraId="203547DD" w14:textId="77777777" w:rsidR="00A23A9D" w:rsidRPr="00B8387A" w:rsidRDefault="00A23A9D" w:rsidP="005107FB">
            <w:pPr>
              <w:pStyle w:val="TableText"/>
            </w:pPr>
            <w:r w:rsidRPr="00B8387A">
              <w:t>Solid</w:t>
            </w:r>
            <w:r w:rsidRPr="000A203E">
              <w:t xml:space="preserve"> tumours</w:t>
            </w:r>
          </w:p>
        </w:tc>
        <w:tc>
          <w:tcPr>
            <w:tcW w:w="1294" w:type="dxa"/>
            <w:hideMark/>
          </w:tcPr>
          <w:p w14:paraId="3712A1C8" w14:textId="77777777" w:rsidR="00A23A9D" w:rsidRPr="00B8387A" w:rsidRDefault="00A23A9D" w:rsidP="005107FB">
            <w:pPr>
              <w:pStyle w:val="TableText"/>
            </w:pPr>
            <w:r>
              <w:t xml:space="preserve">80 to 480 mg </w:t>
            </w:r>
            <w:r w:rsidRPr="000A203E">
              <w:rPr>
                <w:vertAlign w:val="superscript"/>
              </w:rPr>
              <w:t>b</w:t>
            </w:r>
          </w:p>
        </w:tc>
        <w:tc>
          <w:tcPr>
            <w:tcW w:w="1295" w:type="dxa"/>
          </w:tcPr>
          <w:p w14:paraId="72184FA7" w14:textId="1586870B" w:rsidR="00A23A9D" w:rsidRPr="000A203E" w:rsidRDefault="00A23A9D" w:rsidP="005107FB">
            <w:pPr>
              <w:pStyle w:val="TableText"/>
              <w:rPr>
                <w:rFonts w:eastAsia="Calibri" w:cs="Calibri"/>
                <w:lang w:val="en-US"/>
              </w:rPr>
            </w:pPr>
            <w:r w:rsidRPr="000A203E">
              <w:rPr>
                <w:rFonts w:eastAsia="Calibri" w:cs="Calibri"/>
                <w:lang w:val="en-US"/>
              </w:rPr>
              <w:t>20 to 1440 mg</w:t>
            </w:r>
            <w:r w:rsidRPr="000A203E">
              <w:rPr>
                <w:rFonts w:eastAsia="Calibri" w:cs="Calibri"/>
                <w:vertAlign w:val="superscript"/>
                <w:lang w:val="en-US"/>
              </w:rPr>
              <w:t xml:space="preserve"> b</w:t>
            </w:r>
          </w:p>
        </w:tc>
        <w:tc>
          <w:tcPr>
            <w:tcW w:w="1295" w:type="dxa"/>
          </w:tcPr>
          <w:p w14:paraId="29B4A0FF" w14:textId="77777777" w:rsidR="00A23A9D" w:rsidRPr="000A203E" w:rsidRDefault="00A23A9D" w:rsidP="005107FB">
            <w:pPr>
              <w:pStyle w:val="TableText"/>
              <w:rPr>
                <w:rFonts w:eastAsia="Calibri" w:cs="Calibri"/>
                <w:lang w:val="en-US"/>
              </w:rPr>
            </w:pPr>
            <w:r>
              <w:rPr>
                <w:rFonts w:eastAsia="Calibri" w:cs="Calibri"/>
                <w:lang w:val="en-US"/>
              </w:rPr>
              <w:t>Sequentially</w:t>
            </w:r>
          </w:p>
        </w:tc>
        <w:tc>
          <w:tcPr>
            <w:tcW w:w="1456" w:type="dxa"/>
          </w:tcPr>
          <w:p w14:paraId="11911CB3" w14:textId="77777777" w:rsidR="00A23A9D" w:rsidRPr="000A203E" w:rsidRDefault="00A23A9D" w:rsidP="005107FB">
            <w:pPr>
              <w:pStyle w:val="TableText"/>
              <w:rPr>
                <w:rFonts w:eastAsia="Calibri" w:cs="Calibri"/>
                <w:lang w:val="en-US"/>
              </w:rPr>
            </w:pPr>
            <w:r w:rsidRPr="000A203E">
              <w:rPr>
                <w:rFonts w:eastAsia="Calibri" w:cs="Calibri"/>
                <w:lang w:val="en-US"/>
              </w:rPr>
              <w:t>Q2W</w:t>
            </w:r>
            <w:r>
              <w:rPr>
                <w:rFonts w:eastAsia="Calibri" w:cs="Calibri"/>
                <w:lang w:val="en-US"/>
              </w:rPr>
              <w:t xml:space="preserve"> or </w:t>
            </w:r>
            <w:r w:rsidRPr="000A203E">
              <w:rPr>
                <w:rFonts w:eastAsia="Calibri" w:cs="Calibri"/>
                <w:lang w:val="en-US"/>
              </w:rPr>
              <w:t>Q4W</w:t>
            </w:r>
            <w:r>
              <w:rPr>
                <w:rFonts w:eastAsia="Calibri" w:cs="Calibri"/>
                <w:lang w:val="en-US"/>
              </w:rPr>
              <w:t xml:space="preserve"> </w:t>
            </w:r>
            <w:r w:rsidRPr="000A203E">
              <w:rPr>
                <w:rFonts w:eastAsia="Calibri" w:cs="Calibri"/>
                <w:vertAlign w:val="superscript"/>
                <w:lang w:val="en-US"/>
              </w:rPr>
              <w:t>b</w:t>
            </w:r>
          </w:p>
        </w:tc>
        <w:tc>
          <w:tcPr>
            <w:tcW w:w="1134" w:type="dxa"/>
            <w:hideMark/>
          </w:tcPr>
          <w:p w14:paraId="0706AC23" w14:textId="77777777" w:rsidR="00A23A9D" w:rsidRPr="000A203E" w:rsidRDefault="00A23A9D" w:rsidP="005107FB">
            <w:pPr>
              <w:pStyle w:val="TableText"/>
              <w:rPr>
                <w:rFonts w:eastAsia="Calibri" w:cs="Calibri"/>
                <w:lang w:val="en-US"/>
              </w:rPr>
            </w:pPr>
            <w:r w:rsidRPr="000A203E">
              <w:rPr>
                <w:rFonts w:eastAsia="Calibri" w:cs="Calibri"/>
                <w:lang w:val="en-US"/>
              </w:rPr>
              <w:t>107</w:t>
            </w:r>
          </w:p>
        </w:tc>
      </w:tr>
      <w:tr w:rsidR="00A23A9D" w:rsidRPr="000A203E" w14:paraId="73B31132" w14:textId="77777777" w:rsidTr="00095D26">
        <w:trPr>
          <w:trHeight w:val="325"/>
        </w:trPr>
        <w:tc>
          <w:tcPr>
            <w:tcW w:w="1124" w:type="dxa"/>
            <w:vMerge w:val="restart"/>
          </w:tcPr>
          <w:p w14:paraId="61BDC873" w14:textId="77777777" w:rsidR="00A23A9D" w:rsidRPr="00B8387A" w:rsidRDefault="00A23A9D" w:rsidP="005107FB">
            <w:pPr>
              <w:pStyle w:val="TableText"/>
            </w:pPr>
            <w:r>
              <w:t>C</w:t>
            </w:r>
          </w:p>
        </w:tc>
        <w:tc>
          <w:tcPr>
            <w:tcW w:w="1464" w:type="dxa"/>
          </w:tcPr>
          <w:p w14:paraId="48BFDEE2" w14:textId="77777777" w:rsidR="00A23A9D" w:rsidRPr="000A203E" w:rsidRDefault="00A23A9D" w:rsidP="005107FB">
            <w:pPr>
              <w:pStyle w:val="TableText"/>
            </w:pPr>
            <w:r w:rsidRPr="000A203E">
              <w:t>MEL, prior anti-PD-1</w:t>
            </w:r>
          </w:p>
        </w:tc>
        <w:tc>
          <w:tcPr>
            <w:tcW w:w="1294" w:type="dxa"/>
            <w:vMerge w:val="restart"/>
          </w:tcPr>
          <w:p w14:paraId="03D66EA7" w14:textId="77777777" w:rsidR="00A23A9D" w:rsidRPr="00B8387A" w:rsidRDefault="00A23A9D" w:rsidP="005107FB">
            <w:pPr>
              <w:pStyle w:val="TableText"/>
            </w:pPr>
            <w:r>
              <w:t>240 mg</w:t>
            </w:r>
          </w:p>
        </w:tc>
        <w:tc>
          <w:tcPr>
            <w:tcW w:w="1295" w:type="dxa"/>
            <w:vMerge w:val="restart"/>
          </w:tcPr>
          <w:p w14:paraId="545FBB62" w14:textId="77777777" w:rsidR="00A23A9D" w:rsidRPr="000A203E" w:rsidRDefault="00A23A9D" w:rsidP="005107FB">
            <w:pPr>
              <w:pStyle w:val="TableText"/>
            </w:pPr>
            <w:r>
              <w:t>80 mg</w:t>
            </w:r>
          </w:p>
        </w:tc>
        <w:tc>
          <w:tcPr>
            <w:tcW w:w="1295" w:type="dxa"/>
            <w:vMerge w:val="restart"/>
          </w:tcPr>
          <w:p w14:paraId="77A479B6" w14:textId="77777777" w:rsidR="00A23A9D" w:rsidRPr="000A203E" w:rsidRDefault="00A23A9D" w:rsidP="005107FB">
            <w:pPr>
              <w:pStyle w:val="TableText"/>
            </w:pPr>
            <w:r>
              <w:t>Sequentially</w:t>
            </w:r>
          </w:p>
        </w:tc>
        <w:tc>
          <w:tcPr>
            <w:tcW w:w="1456" w:type="dxa"/>
            <w:vMerge w:val="restart"/>
          </w:tcPr>
          <w:p w14:paraId="7BDE3685" w14:textId="77777777" w:rsidR="00A23A9D" w:rsidRPr="000A203E" w:rsidRDefault="00A23A9D" w:rsidP="005107FB">
            <w:pPr>
              <w:pStyle w:val="TableText"/>
            </w:pPr>
            <w:r>
              <w:t>Q2W</w:t>
            </w:r>
          </w:p>
        </w:tc>
        <w:tc>
          <w:tcPr>
            <w:tcW w:w="1134" w:type="dxa"/>
          </w:tcPr>
          <w:p w14:paraId="16DE92D1" w14:textId="77777777" w:rsidR="00A23A9D" w:rsidRPr="0044463A" w:rsidRDefault="00A23A9D" w:rsidP="005107FB">
            <w:pPr>
              <w:pStyle w:val="TableText"/>
            </w:pPr>
            <w:r w:rsidRPr="000A203E">
              <w:t>151</w:t>
            </w:r>
          </w:p>
        </w:tc>
      </w:tr>
      <w:tr w:rsidR="00A23A9D" w:rsidRPr="000A203E" w14:paraId="595467A8" w14:textId="77777777" w:rsidTr="00095D26">
        <w:trPr>
          <w:trHeight w:val="192"/>
        </w:trPr>
        <w:tc>
          <w:tcPr>
            <w:tcW w:w="1124" w:type="dxa"/>
            <w:vMerge/>
          </w:tcPr>
          <w:p w14:paraId="37A7B0FD" w14:textId="77777777" w:rsidR="00A23A9D" w:rsidRDefault="00A23A9D" w:rsidP="005107FB">
            <w:pPr>
              <w:pStyle w:val="TableText"/>
            </w:pPr>
          </w:p>
        </w:tc>
        <w:tc>
          <w:tcPr>
            <w:tcW w:w="1464" w:type="dxa"/>
          </w:tcPr>
          <w:p w14:paraId="373D9D46" w14:textId="77777777" w:rsidR="00A23A9D" w:rsidRPr="000A203E" w:rsidRDefault="00A23A9D" w:rsidP="005107FB">
            <w:pPr>
              <w:pStyle w:val="TableText"/>
            </w:pPr>
            <w:r w:rsidRPr="000A203E">
              <w:t>MEL, first-line</w:t>
            </w:r>
          </w:p>
        </w:tc>
        <w:tc>
          <w:tcPr>
            <w:tcW w:w="1294" w:type="dxa"/>
            <w:vMerge/>
          </w:tcPr>
          <w:p w14:paraId="51C74538" w14:textId="77777777" w:rsidR="00A23A9D" w:rsidRPr="00B8387A" w:rsidRDefault="00A23A9D" w:rsidP="005107FB">
            <w:pPr>
              <w:pStyle w:val="TableText"/>
            </w:pPr>
          </w:p>
        </w:tc>
        <w:tc>
          <w:tcPr>
            <w:tcW w:w="1295" w:type="dxa"/>
            <w:vMerge/>
          </w:tcPr>
          <w:p w14:paraId="64B7576C" w14:textId="77777777" w:rsidR="00A23A9D" w:rsidRPr="000A203E" w:rsidRDefault="00A23A9D" w:rsidP="005107FB">
            <w:pPr>
              <w:pStyle w:val="TableText"/>
            </w:pPr>
          </w:p>
        </w:tc>
        <w:tc>
          <w:tcPr>
            <w:tcW w:w="1295" w:type="dxa"/>
            <w:vMerge/>
          </w:tcPr>
          <w:p w14:paraId="68A1C185" w14:textId="77777777" w:rsidR="00A23A9D" w:rsidRPr="000A203E" w:rsidRDefault="00A23A9D" w:rsidP="005107FB">
            <w:pPr>
              <w:pStyle w:val="TableText"/>
            </w:pPr>
          </w:p>
        </w:tc>
        <w:tc>
          <w:tcPr>
            <w:tcW w:w="1456" w:type="dxa"/>
            <w:vMerge/>
          </w:tcPr>
          <w:p w14:paraId="2089EBC0" w14:textId="77777777" w:rsidR="00A23A9D" w:rsidRPr="000A203E" w:rsidRDefault="00A23A9D" w:rsidP="005107FB">
            <w:pPr>
              <w:pStyle w:val="TableText"/>
            </w:pPr>
          </w:p>
        </w:tc>
        <w:tc>
          <w:tcPr>
            <w:tcW w:w="1134" w:type="dxa"/>
          </w:tcPr>
          <w:p w14:paraId="6625F5D2" w14:textId="77777777" w:rsidR="00A23A9D" w:rsidRPr="000748B9" w:rsidRDefault="00A23A9D" w:rsidP="005107FB">
            <w:pPr>
              <w:pStyle w:val="TableText"/>
            </w:pPr>
            <w:r w:rsidRPr="000A203E">
              <w:t>66</w:t>
            </w:r>
          </w:p>
        </w:tc>
      </w:tr>
      <w:tr w:rsidR="00A23A9D" w:rsidRPr="000A203E" w14:paraId="485F8785" w14:textId="77777777" w:rsidTr="00095D26">
        <w:trPr>
          <w:trHeight w:val="192"/>
        </w:trPr>
        <w:tc>
          <w:tcPr>
            <w:tcW w:w="1124" w:type="dxa"/>
            <w:vMerge/>
          </w:tcPr>
          <w:p w14:paraId="1619873A" w14:textId="77777777" w:rsidR="00A23A9D" w:rsidRDefault="00A23A9D" w:rsidP="005107FB">
            <w:pPr>
              <w:pStyle w:val="TableText"/>
            </w:pPr>
          </w:p>
        </w:tc>
        <w:tc>
          <w:tcPr>
            <w:tcW w:w="1464" w:type="dxa"/>
          </w:tcPr>
          <w:p w14:paraId="6C6584D3" w14:textId="77777777" w:rsidR="00A23A9D" w:rsidRPr="000748B9" w:rsidRDefault="00A23A9D" w:rsidP="005107FB">
            <w:pPr>
              <w:pStyle w:val="TableText"/>
            </w:pPr>
            <w:r w:rsidRPr="000A203E">
              <w:t>Solid tumo</w:t>
            </w:r>
            <w:r>
              <w:t>u</w:t>
            </w:r>
            <w:r w:rsidRPr="000A203E">
              <w:t>rs</w:t>
            </w:r>
          </w:p>
        </w:tc>
        <w:tc>
          <w:tcPr>
            <w:tcW w:w="1294" w:type="dxa"/>
            <w:vMerge/>
          </w:tcPr>
          <w:p w14:paraId="0DA57ACE" w14:textId="77777777" w:rsidR="00A23A9D" w:rsidRPr="00B8387A" w:rsidRDefault="00A23A9D" w:rsidP="005107FB">
            <w:pPr>
              <w:pStyle w:val="TableText"/>
            </w:pPr>
          </w:p>
        </w:tc>
        <w:tc>
          <w:tcPr>
            <w:tcW w:w="1295" w:type="dxa"/>
            <w:vMerge/>
          </w:tcPr>
          <w:p w14:paraId="2064F6E5" w14:textId="77777777" w:rsidR="00A23A9D" w:rsidRPr="000A203E" w:rsidRDefault="00A23A9D" w:rsidP="005107FB">
            <w:pPr>
              <w:pStyle w:val="TableText"/>
            </w:pPr>
          </w:p>
        </w:tc>
        <w:tc>
          <w:tcPr>
            <w:tcW w:w="1295" w:type="dxa"/>
            <w:vMerge/>
          </w:tcPr>
          <w:p w14:paraId="5C6082A9" w14:textId="77777777" w:rsidR="00A23A9D" w:rsidRPr="000A203E" w:rsidRDefault="00A23A9D" w:rsidP="005107FB">
            <w:pPr>
              <w:pStyle w:val="TableText"/>
            </w:pPr>
          </w:p>
        </w:tc>
        <w:tc>
          <w:tcPr>
            <w:tcW w:w="1456" w:type="dxa"/>
            <w:vMerge/>
          </w:tcPr>
          <w:p w14:paraId="7D817491" w14:textId="77777777" w:rsidR="00A23A9D" w:rsidRPr="000A203E" w:rsidRDefault="00A23A9D" w:rsidP="005107FB">
            <w:pPr>
              <w:pStyle w:val="TableText"/>
            </w:pPr>
          </w:p>
        </w:tc>
        <w:tc>
          <w:tcPr>
            <w:tcW w:w="1134" w:type="dxa"/>
          </w:tcPr>
          <w:p w14:paraId="6A61E372" w14:textId="77777777" w:rsidR="00A23A9D" w:rsidRPr="000748B9" w:rsidRDefault="00A23A9D" w:rsidP="005107FB">
            <w:pPr>
              <w:pStyle w:val="TableText"/>
            </w:pPr>
            <w:r w:rsidRPr="000A203E">
              <w:t>329</w:t>
            </w:r>
          </w:p>
        </w:tc>
      </w:tr>
      <w:tr w:rsidR="00A23A9D" w:rsidRPr="000A203E" w14:paraId="1D0B596A" w14:textId="77777777" w:rsidTr="00095D26">
        <w:trPr>
          <w:trHeight w:val="192"/>
        </w:trPr>
        <w:tc>
          <w:tcPr>
            <w:tcW w:w="1124" w:type="dxa"/>
            <w:vMerge/>
          </w:tcPr>
          <w:p w14:paraId="13DEE3DE" w14:textId="77777777" w:rsidR="00A23A9D" w:rsidRDefault="00A23A9D" w:rsidP="005107FB">
            <w:pPr>
              <w:pStyle w:val="TableText"/>
            </w:pPr>
          </w:p>
        </w:tc>
        <w:tc>
          <w:tcPr>
            <w:tcW w:w="1464" w:type="dxa"/>
          </w:tcPr>
          <w:p w14:paraId="68D87A5C" w14:textId="6721DAD2" w:rsidR="00A23A9D" w:rsidRPr="000748B9" w:rsidRDefault="00A23A9D" w:rsidP="00C13504">
            <w:pPr>
              <w:pStyle w:val="TableText"/>
              <w:ind w:right="-29"/>
            </w:pPr>
            <w:r w:rsidRPr="000A203E">
              <w:t>Bladder</w:t>
            </w:r>
            <w:r>
              <w:t xml:space="preserve"> cancer</w:t>
            </w:r>
            <w:r w:rsidRPr="000A203E">
              <w:t xml:space="preserve">, </w:t>
            </w:r>
            <w:r w:rsidR="00C13504">
              <w:t xml:space="preserve">immunotherapy </w:t>
            </w:r>
            <w:r w:rsidRPr="000A203E">
              <w:t>naive</w:t>
            </w:r>
          </w:p>
        </w:tc>
        <w:tc>
          <w:tcPr>
            <w:tcW w:w="1294" w:type="dxa"/>
          </w:tcPr>
          <w:p w14:paraId="53DB1CE6" w14:textId="77777777" w:rsidR="00A23A9D" w:rsidRPr="00B8387A" w:rsidRDefault="00A23A9D" w:rsidP="005107FB">
            <w:pPr>
              <w:pStyle w:val="TableText"/>
            </w:pPr>
            <w:r>
              <w:t>480 mg</w:t>
            </w:r>
          </w:p>
        </w:tc>
        <w:tc>
          <w:tcPr>
            <w:tcW w:w="1295" w:type="dxa"/>
          </w:tcPr>
          <w:p w14:paraId="17F0789A" w14:textId="77777777" w:rsidR="00A23A9D" w:rsidRPr="000A203E" w:rsidRDefault="00A23A9D" w:rsidP="005107FB">
            <w:pPr>
              <w:pStyle w:val="TableText"/>
            </w:pPr>
            <w:r>
              <w:t>160 mg</w:t>
            </w:r>
          </w:p>
        </w:tc>
        <w:tc>
          <w:tcPr>
            <w:tcW w:w="1295" w:type="dxa"/>
          </w:tcPr>
          <w:p w14:paraId="7F4F65A3" w14:textId="77777777" w:rsidR="00A23A9D" w:rsidRPr="000A203E" w:rsidRDefault="00A23A9D" w:rsidP="005107FB">
            <w:pPr>
              <w:pStyle w:val="TableText"/>
            </w:pPr>
            <w:r>
              <w:t>Sequentially</w:t>
            </w:r>
          </w:p>
        </w:tc>
        <w:tc>
          <w:tcPr>
            <w:tcW w:w="1456" w:type="dxa"/>
          </w:tcPr>
          <w:p w14:paraId="23FB192D" w14:textId="77777777" w:rsidR="00A23A9D" w:rsidRPr="000A203E" w:rsidRDefault="00A23A9D" w:rsidP="005107FB">
            <w:pPr>
              <w:pStyle w:val="TableText"/>
            </w:pPr>
            <w:r>
              <w:t>Q4W</w:t>
            </w:r>
          </w:p>
        </w:tc>
        <w:tc>
          <w:tcPr>
            <w:tcW w:w="1134" w:type="dxa"/>
          </w:tcPr>
          <w:p w14:paraId="730189AB" w14:textId="77777777" w:rsidR="00A23A9D" w:rsidRPr="000748B9" w:rsidRDefault="00A23A9D" w:rsidP="005107FB">
            <w:pPr>
              <w:pStyle w:val="TableText"/>
            </w:pPr>
            <w:r w:rsidRPr="000A203E">
              <w:t>37</w:t>
            </w:r>
          </w:p>
        </w:tc>
      </w:tr>
      <w:tr w:rsidR="00A23A9D" w:rsidRPr="00B8387A" w14:paraId="3CE15AFA" w14:textId="77777777" w:rsidTr="00095D26">
        <w:trPr>
          <w:trHeight w:val="516"/>
        </w:trPr>
        <w:tc>
          <w:tcPr>
            <w:tcW w:w="1124" w:type="dxa"/>
            <w:vMerge w:val="restart"/>
            <w:hideMark/>
          </w:tcPr>
          <w:p w14:paraId="5771E763" w14:textId="77777777" w:rsidR="00A23A9D" w:rsidRPr="00B8387A" w:rsidRDefault="00A23A9D" w:rsidP="005107FB">
            <w:pPr>
              <w:pStyle w:val="TableText"/>
            </w:pPr>
            <w:r w:rsidRPr="000A203E">
              <w:t>D1</w:t>
            </w:r>
          </w:p>
        </w:tc>
        <w:tc>
          <w:tcPr>
            <w:tcW w:w="1464" w:type="dxa"/>
            <w:vMerge w:val="restart"/>
            <w:hideMark/>
          </w:tcPr>
          <w:p w14:paraId="47C69D6D" w14:textId="39E0F8C6" w:rsidR="00A23A9D" w:rsidRDefault="00A23A9D" w:rsidP="005107FB">
            <w:pPr>
              <w:pStyle w:val="TableText"/>
            </w:pPr>
            <w:r w:rsidRPr="000A203E">
              <w:t xml:space="preserve">MEL, prior anti-PD-1; </w:t>
            </w:r>
            <w:r>
              <w:t>focused</w:t>
            </w:r>
            <w:r w:rsidRPr="000A203E">
              <w:t xml:space="preserve"> </w:t>
            </w:r>
            <w:proofErr w:type="spellStart"/>
            <w:r w:rsidRPr="000A203E">
              <w:t>eligibility</w:t>
            </w:r>
            <w:r w:rsidRPr="00722BA4">
              <w:rPr>
                <w:vertAlign w:val="superscript"/>
              </w:rPr>
              <w:t>d</w:t>
            </w:r>
            <w:proofErr w:type="spellEnd"/>
          </w:p>
          <w:p w14:paraId="29923DFC" w14:textId="77777777" w:rsidR="00A23A9D" w:rsidRDefault="00A23A9D" w:rsidP="005107FB">
            <w:pPr>
              <w:pStyle w:val="TableText"/>
            </w:pPr>
          </w:p>
          <w:p w14:paraId="6A60A8C9" w14:textId="56720A24" w:rsidR="00A23A9D" w:rsidRPr="00B8387A" w:rsidRDefault="00A23A9D" w:rsidP="005107FB">
            <w:pPr>
              <w:pStyle w:val="TableText"/>
            </w:pPr>
            <w:r>
              <w:t>Randomised to one of three doses</w:t>
            </w:r>
          </w:p>
        </w:tc>
        <w:tc>
          <w:tcPr>
            <w:tcW w:w="1294" w:type="dxa"/>
          </w:tcPr>
          <w:p w14:paraId="193828B9" w14:textId="77777777" w:rsidR="00A23A9D" w:rsidRPr="000A203E" w:rsidRDefault="00A23A9D" w:rsidP="005107FB">
            <w:pPr>
              <w:pStyle w:val="TableText"/>
            </w:pPr>
            <w:r w:rsidRPr="000A203E">
              <w:t>240 mg</w:t>
            </w:r>
          </w:p>
        </w:tc>
        <w:tc>
          <w:tcPr>
            <w:tcW w:w="1295" w:type="dxa"/>
          </w:tcPr>
          <w:p w14:paraId="1A7F04CC" w14:textId="77777777" w:rsidR="00A23A9D" w:rsidRPr="00B8387A" w:rsidRDefault="00A23A9D" w:rsidP="005107FB">
            <w:pPr>
              <w:pStyle w:val="TableText"/>
            </w:pPr>
            <w:r>
              <w:t>80 mg</w:t>
            </w:r>
          </w:p>
        </w:tc>
        <w:tc>
          <w:tcPr>
            <w:tcW w:w="1295" w:type="dxa"/>
          </w:tcPr>
          <w:p w14:paraId="15E7B372" w14:textId="77777777" w:rsidR="00A23A9D" w:rsidRPr="00B8387A" w:rsidRDefault="00A23A9D" w:rsidP="005107FB">
            <w:pPr>
              <w:pStyle w:val="TableText"/>
            </w:pPr>
            <w:r>
              <w:t>Co-administered from separate vials</w:t>
            </w:r>
          </w:p>
        </w:tc>
        <w:tc>
          <w:tcPr>
            <w:tcW w:w="1456" w:type="dxa"/>
          </w:tcPr>
          <w:p w14:paraId="74DBCBC4" w14:textId="77777777" w:rsidR="00A23A9D" w:rsidRPr="00B8387A" w:rsidRDefault="00A23A9D" w:rsidP="005107FB">
            <w:pPr>
              <w:pStyle w:val="TableText"/>
            </w:pPr>
            <w:r>
              <w:t>Q2W</w:t>
            </w:r>
          </w:p>
        </w:tc>
        <w:tc>
          <w:tcPr>
            <w:tcW w:w="1134" w:type="dxa"/>
            <w:hideMark/>
          </w:tcPr>
          <w:p w14:paraId="2F25169D" w14:textId="77777777" w:rsidR="00A23A9D" w:rsidRPr="00B8387A" w:rsidRDefault="00A23A9D" w:rsidP="005107FB">
            <w:pPr>
              <w:pStyle w:val="TableText"/>
            </w:pPr>
            <w:r w:rsidRPr="000A203E">
              <w:t>189</w:t>
            </w:r>
            <w:r>
              <w:t xml:space="preserve"> </w:t>
            </w:r>
            <w:r w:rsidRPr="00722BA4">
              <w:rPr>
                <w:vertAlign w:val="superscript"/>
              </w:rPr>
              <w:t>c</w:t>
            </w:r>
          </w:p>
        </w:tc>
      </w:tr>
      <w:tr w:rsidR="00A23A9D" w:rsidRPr="00B8387A" w14:paraId="65629597" w14:textId="77777777" w:rsidTr="00095D26">
        <w:trPr>
          <w:trHeight w:val="473"/>
        </w:trPr>
        <w:tc>
          <w:tcPr>
            <w:tcW w:w="1124" w:type="dxa"/>
            <w:vMerge/>
            <w:hideMark/>
          </w:tcPr>
          <w:p w14:paraId="2C6C0FC6" w14:textId="77777777" w:rsidR="00A23A9D" w:rsidRPr="000A203E" w:rsidRDefault="00A23A9D" w:rsidP="005107FB">
            <w:pPr>
              <w:pStyle w:val="TableText"/>
            </w:pPr>
          </w:p>
        </w:tc>
        <w:tc>
          <w:tcPr>
            <w:tcW w:w="1464" w:type="dxa"/>
            <w:vMerge/>
            <w:hideMark/>
          </w:tcPr>
          <w:p w14:paraId="48A5E86F" w14:textId="77777777" w:rsidR="00A23A9D" w:rsidRPr="000A203E" w:rsidRDefault="00A23A9D" w:rsidP="005107FB">
            <w:pPr>
              <w:pStyle w:val="TableText"/>
            </w:pPr>
          </w:p>
        </w:tc>
        <w:tc>
          <w:tcPr>
            <w:tcW w:w="1294" w:type="dxa"/>
          </w:tcPr>
          <w:p w14:paraId="1FD2CB6F" w14:textId="77777777" w:rsidR="00A23A9D" w:rsidRPr="000A203E" w:rsidRDefault="00A23A9D" w:rsidP="005107FB">
            <w:pPr>
              <w:pStyle w:val="TableText"/>
            </w:pPr>
            <w:r>
              <w:t>480 mg</w:t>
            </w:r>
          </w:p>
        </w:tc>
        <w:tc>
          <w:tcPr>
            <w:tcW w:w="1295" w:type="dxa"/>
          </w:tcPr>
          <w:p w14:paraId="74D32462" w14:textId="77777777" w:rsidR="00A23A9D" w:rsidRPr="00B8387A" w:rsidRDefault="00A23A9D" w:rsidP="005107FB">
            <w:pPr>
              <w:pStyle w:val="TableText"/>
            </w:pPr>
            <w:r>
              <w:t>160 mg</w:t>
            </w:r>
          </w:p>
        </w:tc>
        <w:tc>
          <w:tcPr>
            <w:tcW w:w="1295" w:type="dxa"/>
          </w:tcPr>
          <w:p w14:paraId="6327B33E" w14:textId="77777777" w:rsidR="00A23A9D" w:rsidRPr="00B8387A" w:rsidRDefault="00A23A9D" w:rsidP="005107FB">
            <w:pPr>
              <w:pStyle w:val="TableText"/>
            </w:pPr>
            <w:r>
              <w:t>Co-administered from separate vials</w:t>
            </w:r>
          </w:p>
        </w:tc>
        <w:tc>
          <w:tcPr>
            <w:tcW w:w="1456" w:type="dxa"/>
          </w:tcPr>
          <w:p w14:paraId="0514443E" w14:textId="77777777" w:rsidR="00A23A9D" w:rsidRPr="00B8387A" w:rsidRDefault="00A23A9D" w:rsidP="005107FB">
            <w:pPr>
              <w:pStyle w:val="TableText"/>
            </w:pPr>
            <w:r w:rsidRPr="00446930">
              <w:t>Q4W</w:t>
            </w:r>
          </w:p>
        </w:tc>
        <w:tc>
          <w:tcPr>
            <w:tcW w:w="1134" w:type="dxa"/>
            <w:hideMark/>
          </w:tcPr>
          <w:p w14:paraId="758AB585" w14:textId="77777777" w:rsidR="00A23A9D" w:rsidRPr="00B8387A" w:rsidRDefault="00A23A9D" w:rsidP="005107FB">
            <w:pPr>
              <w:pStyle w:val="TableText"/>
            </w:pPr>
            <w:r w:rsidRPr="000A203E">
              <w:t>83</w:t>
            </w:r>
          </w:p>
        </w:tc>
      </w:tr>
      <w:tr w:rsidR="00A23A9D" w:rsidRPr="00B8387A" w14:paraId="72F175F1" w14:textId="77777777" w:rsidTr="00095D26">
        <w:trPr>
          <w:trHeight w:val="235"/>
        </w:trPr>
        <w:tc>
          <w:tcPr>
            <w:tcW w:w="1124" w:type="dxa"/>
            <w:vMerge/>
            <w:hideMark/>
          </w:tcPr>
          <w:p w14:paraId="1211BFD0" w14:textId="77777777" w:rsidR="00A23A9D" w:rsidRPr="000A203E" w:rsidRDefault="00A23A9D" w:rsidP="005107FB">
            <w:pPr>
              <w:pStyle w:val="TableText"/>
            </w:pPr>
          </w:p>
        </w:tc>
        <w:tc>
          <w:tcPr>
            <w:tcW w:w="1464" w:type="dxa"/>
            <w:vMerge/>
            <w:hideMark/>
          </w:tcPr>
          <w:p w14:paraId="4DF84F00" w14:textId="77777777" w:rsidR="00A23A9D" w:rsidRPr="000A203E" w:rsidRDefault="00A23A9D" w:rsidP="005107FB">
            <w:pPr>
              <w:pStyle w:val="TableText"/>
            </w:pPr>
          </w:p>
        </w:tc>
        <w:tc>
          <w:tcPr>
            <w:tcW w:w="1294" w:type="dxa"/>
          </w:tcPr>
          <w:p w14:paraId="49FB94EE" w14:textId="77777777" w:rsidR="00A23A9D" w:rsidRPr="000A203E" w:rsidRDefault="00A23A9D" w:rsidP="005107FB">
            <w:pPr>
              <w:pStyle w:val="TableText"/>
            </w:pPr>
            <w:r>
              <w:t>480 mg</w:t>
            </w:r>
          </w:p>
        </w:tc>
        <w:tc>
          <w:tcPr>
            <w:tcW w:w="1295" w:type="dxa"/>
          </w:tcPr>
          <w:p w14:paraId="538D57CF" w14:textId="77777777" w:rsidR="00A23A9D" w:rsidRPr="000A203E" w:rsidRDefault="00A23A9D" w:rsidP="005107FB">
            <w:pPr>
              <w:pStyle w:val="TableText"/>
            </w:pPr>
            <w:r>
              <w:t>160 mg</w:t>
            </w:r>
          </w:p>
        </w:tc>
        <w:tc>
          <w:tcPr>
            <w:tcW w:w="1295" w:type="dxa"/>
          </w:tcPr>
          <w:p w14:paraId="706E88DF" w14:textId="0F8A74CA" w:rsidR="00A23A9D" w:rsidRPr="00C13504" w:rsidRDefault="00A23A9D" w:rsidP="005107FB">
            <w:pPr>
              <w:pStyle w:val="TableText"/>
              <w:rPr>
                <w:b/>
              </w:rPr>
            </w:pPr>
            <w:r w:rsidRPr="00C13504">
              <w:rPr>
                <w:b/>
              </w:rPr>
              <w:t>As the fixed</w:t>
            </w:r>
            <w:r w:rsidR="008F79EB">
              <w:rPr>
                <w:b/>
              </w:rPr>
              <w:t>-</w:t>
            </w:r>
            <w:r w:rsidRPr="00C13504">
              <w:rPr>
                <w:b/>
              </w:rPr>
              <w:t>dose combination</w:t>
            </w:r>
          </w:p>
        </w:tc>
        <w:tc>
          <w:tcPr>
            <w:tcW w:w="1456" w:type="dxa"/>
          </w:tcPr>
          <w:p w14:paraId="5B85C9B2" w14:textId="77777777" w:rsidR="00A23A9D" w:rsidRPr="000A203E" w:rsidRDefault="00A23A9D" w:rsidP="005107FB">
            <w:pPr>
              <w:pStyle w:val="TableText"/>
            </w:pPr>
            <w:r w:rsidRPr="00446930">
              <w:t>Q4W</w:t>
            </w:r>
          </w:p>
        </w:tc>
        <w:tc>
          <w:tcPr>
            <w:tcW w:w="1134" w:type="dxa"/>
            <w:hideMark/>
          </w:tcPr>
          <w:p w14:paraId="3697A714" w14:textId="77777777" w:rsidR="00A23A9D" w:rsidRPr="00B8387A" w:rsidRDefault="00A23A9D" w:rsidP="005107FB">
            <w:pPr>
              <w:pStyle w:val="TableText"/>
            </w:pPr>
            <w:r w:rsidRPr="000A203E">
              <w:t>82</w:t>
            </w:r>
          </w:p>
        </w:tc>
      </w:tr>
      <w:tr w:rsidR="00A23A9D" w:rsidRPr="00B8387A" w14:paraId="51524C3E" w14:textId="77777777" w:rsidTr="00095D26">
        <w:trPr>
          <w:trHeight w:val="516"/>
        </w:trPr>
        <w:tc>
          <w:tcPr>
            <w:tcW w:w="1124" w:type="dxa"/>
            <w:hideMark/>
          </w:tcPr>
          <w:p w14:paraId="344689ED" w14:textId="77777777" w:rsidR="00A23A9D" w:rsidRPr="00B8387A" w:rsidRDefault="00A23A9D" w:rsidP="005107FB">
            <w:pPr>
              <w:pStyle w:val="TableText"/>
            </w:pPr>
            <w:r w:rsidRPr="000A203E">
              <w:t>D2</w:t>
            </w:r>
          </w:p>
        </w:tc>
        <w:tc>
          <w:tcPr>
            <w:tcW w:w="1464" w:type="dxa"/>
            <w:hideMark/>
          </w:tcPr>
          <w:p w14:paraId="112607D1" w14:textId="77777777" w:rsidR="00A23A9D" w:rsidRPr="000A203E" w:rsidRDefault="00A23A9D" w:rsidP="005107FB">
            <w:pPr>
              <w:pStyle w:val="TableText"/>
            </w:pPr>
            <w:r w:rsidRPr="000A203E">
              <w:t>MEL, prior anti-PD-</w:t>
            </w:r>
            <w:proofErr w:type="gramStart"/>
            <w:r w:rsidRPr="000A203E">
              <w:t>1;</w:t>
            </w:r>
            <w:proofErr w:type="gramEnd"/>
          </w:p>
          <w:p w14:paraId="7B0691AC" w14:textId="77777777" w:rsidR="00A23A9D" w:rsidRPr="00B8387A" w:rsidRDefault="00A23A9D" w:rsidP="005107FB">
            <w:pPr>
              <w:pStyle w:val="TableText"/>
            </w:pPr>
            <w:r w:rsidRPr="000A203E">
              <w:t>expanded eligibility</w:t>
            </w:r>
          </w:p>
        </w:tc>
        <w:tc>
          <w:tcPr>
            <w:tcW w:w="1294" w:type="dxa"/>
          </w:tcPr>
          <w:p w14:paraId="460F6EE4" w14:textId="77777777" w:rsidR="00A23A9D" w:rsidRPr="000A203E" w:rsidRDefault="00A23A9D" w:rsidP="005107FB">
            <w:pPr>
              <w:pStyle w:val="TableText"/>
            </w:pPr>
            <w:r>
              <w:t>480 mg</w:t>
            </w:r>
          </w:p>
        </w:tc>
        <w:tc>
          <w:tcPr>
            <w:tcW w:w="1295" w:type="dxa"/>
          </w:tcPr>
          <w:p w14:paraId="591E00F6" w14:textId="77777777" w:rsidR="00A23A9D" w:rsidRPr="00B8387A" w:rsidRDefault="00A23A9D" w:rsidP="005107FB">
            <w:pPr>
              <w:pStyle w:val="TableText"/>
            </w:pPr>
            <w:r>
              <w:t>160 mg</w:t>
            </w:r>
          </w:p>
        </w:tc>
        <w:tc>
          <w:tcPr>
            <w:tcW w:w="1295" w:type="dxa"/>
          </w:tcPr>
          <w:p w14:paraId="6F17B8ED" w14:textId="77777777" w:rsidR="00A23A9D" w:rsidRPr="00B8387A" w:rsidRDefault="00A23A9D" w:rsidP="005107FB">
            <w:pPr>
              <w:pStyle w:val="TableText"/>
            </w:pPr>
            <w:r>
              <w:t>Co-administered from separate vials</w:t>
            </w:r>
          </w:p>
        </w:tc>
        <w:tc>
          <w:tcPr>
            <w:tcW w:w="1456" w:type="dxa"/>
          </w:tcPr>
          <w:p w14:paraId="7C1E5AF3" w14:textId="77777777" w:rsidR="00A23A9D" w:rsidRPr="00B8387A" w:rsidRDefault="00A23A9D" w:rsidP="005107FB">
            <w:pPr>
              <w:pStyle w:val="TableText"/>
            </w:pPr>
            <w:r w:rsidRPr="00446930">
              <w:t>Q4W</w:t>
            </w:r>
          </w:p>
        </w:tc>
        <w:tc>
          <w:tcPr>
            <w:tcW w:w="1134" w:type="dxa"/>
            <w:hideMark/>
          </w:tcPr>
          <w:p w14:paraId="33940A0C" w14:textId="77777777" w:rsidR="00A23A9D" w:rsidRPr="00B8387A" w:rsidRDefault="00A23A9D" w:rsidP="005107FB">
            <w:pPr>
              <w:pStyle w:val="TableText"/>
            </w:pPr>
            <w:r w:rsidRPr="000A203E">
              <w:t>164</w:t>
            </w:r>
          </w:p>
        </w:tc>
      </w:tr>
      <w:tr w:rsidR="00A23A9D" w:rsidRPr="00B8387A" w14:paraId="69F7FF40" w14:textId="77777777" w:rsidTr="00095D26">
        <w:trPr>
          <w:trHeight w:val="506"/>
        </w:trPr>
        <w:tc>
          <w:tcPr>
            <w:tcW w:w="1124" w:type="dxa"/>
            <w:vMerge w:val="restart"/>
            <w:hideMark/>
          </w:tcPr>
          <w:p w14:paraId="5D43D737" w14:textId="77777777" w:rsidR="00A23A9D" w:rsidRPr="00B8387A" w:rsidRDefault="00A23A9D" w:rsidP="005107FB">
            <w:pPr>
              <w:pStyle w:val="TableText"/>
            </w:pPr>
            <w:r w:rsidRPr="000A203E">
              <w:lastRenderedPageBreak/>
              <w:t>E</w:t>
            </w:r>
          </w:p>
        </w:tc>
        <w:tc>
          <w:tcPr>
            <w:tcW w:w="1464" w:type="dxa"/>
            <w:hideMark/>
          </w:tcPr>
          <w:p w14:paraId="0EA43A04" w14:textId="77777777" w:rsidR="00A23A9D" w:rsidRPr="000A203E" w:rsidRDefault="00A23A9D" w:rsidP="005107FB">
            <w:pPr>
              <w:pStyle w:val="TableText"/>
            </w:pPr>
            <w:r w:rsidRPr="000A203E">
              <w:t>MEL, prior anti-PD-1</w:t>
            </w:r>
          </w:p>
        </w:tc>
        <w:tc>
          <w:tcPr>
            <w:tcW w:w="1294" w:type="dxa"/>
          </w:tcPr>
          <w:p w14:paraId="4D52678C" w14:textId="77777777" w:rsidR="00A23A9D" w:rsidRPr="000A203E" w:rsidRDefault="00A23A9D" w:rsidP="005107FB">
            <w:pPr>
              <w:pStyle w:val="TableText"/>
            </w:pPr>
            <w:r w:rsidRPr="000A203E">
              <w:t>480 mg</w:t>
            </w:r>
          </w:p>
          <w:p w14:paraId="6D5B3342" w14:textId="77777777" w:rsidR="00A23A9D" w:rsidRPr="000A203E" w:rsidRDefault="00A23A9D" w:rsidP="005107FB">
            <w:pPr>
              <w:pStyle w:val="TableText"/>
            </w:pPr>
          </w:p>
        </w:tc>
        <w:tc>
          <w:tcPr>
            <w:tcW w:w="1295" w:type="dxa"/>
          </w:tcPr>
          <w:p w14:paraId="5ECA5D2A" w14:textId="77777777" w:rsidR="00A23A9D" w:rsidRPr="00B8387A" w:rsidRDefault="00A23A9D" w:rsidP="005107FB">
            <w:pPr>
              <w:pStyle w:val="TableText"/>
            </w:pPr>
            <w:r>
              <w:t>480 mg</w:t>
            </w:r>
          </w:p>
        </w:tc>
        <w:tc>
          <w:tcPr>
            <w:tcW w:w="1295" w:type="dxa"/>
          </w:tcPr>
          <w:p w14:paraId="14650D92" w14:textId="77777777" w:rsidR="00A23A9D" w:rsidRPr="00B8387A" w:rsidRDefault="00A23A9D" w:rsidP="005107FB">
            <w:pPr>
              <w:pStyle w:val="TableText"/>
            </w:pPr>
            <w:r>
              <w:t>Co-administered from separate vials</w:t>
            </w:r>
          </w:p>
        </w:tc>
        <w:tc>
          <w:tcPr>
            <w:tcW w:w="1456" w:type="dxa"/>
          </w:tcPr>
          <w:p w14:paraId="03C65071" w14:textId="77777777" w:rsidR="00A23A9D" w:rsidRPr="00B8387A" w:rsidRDefault="00A23A9D" w:rsidP="005107FB">
            <w:pPr>
              <w:pStyle w:val="TableText"/>
            </w:pPr>
            <w:r>
              <w:t>Q4W</w:t>
            </w:r>
          </w:p>
        </w:tc>
        <w:tc>
          <w:tcPr>
            <w:tcW w:w="1134" w:type="dxa"/>
            <w:hideMark/>
          </w:tcPr>
          <w:p w14:paraId="6A08AD94" w14:textId="77777777" w:rsidR="00A23A9D" w:rsidRPr="00B8387A" w:rsidRDefault="00A23A9D" w:rsidP="005107FB">
            <w:pPr>
              <w:pStyle w:val="TableText"/>
            </w:pPr>
            <w:r w:rsidRPr="000A203E">
              <w:t>95</w:t>
            </w:r>
          </w:p>
        </w:tc>
      </w:tr>
      <w:tr w:rsidR="00A23A9D" w:rsidRPr="00B8387A" w14:paraId="03B62564" w14:textId="77777777" w:rsidTr="00095D26">
        <w:trPr>
          <w:trHeight w:val="506"/>
        </w:trPr>
        <w:tc>
          <w:tcPr>
            <w:tcW w:w="1124" w:type="dxa"/>
            <w:vMerge/>
            <w:hideMark/>
          </w:tcPr>
          <w:p w14:paraId="6A081715" w14:textId="77777777" w:rsidR="00A23A9D" w:rsidRPr="000A203E" w:rsidRDefault="00A23A9D" w:rsidP="005107FB">
            <w:pPr>
              <w:pStyle w:val="TableText"/>
            </w:pPr>
          </w:p>
        </w:tc>
        <w:tc>
          <w:tcPr>
            <w:tcW w:w="1464" w:type="dxa"/>
            <w:vMerge w:val="restart"/>
          </w:tcPr>
          <w:p w14:paraId="382AD98F" w14:textId="25E6DF96" w:rsidR="00A23A9D" w:rsidRDefault="00A23A9D" w:rsidP="00901FA0">
            <w:pPr>
              <w:pStyle w:val="TableText"/>
            </w:pPr>
            <w:r w:rsidRPr="000A203E">
              <w:t>MEL, first-line MEL</w:t>
            </w:r>
          </w:p>
          <w:p w14:paraId="5EE92029" w14:textId="2BBFB6C1" w:rsidR="00A23A9D" w:rsidRPr="00B8387A" w:rsidRDefault="00A23A9D" w:rsidP="005107FB">
            <w:pPr>
              <w:pStyle w:val="TableText"/>
            </w:pPr>
            <w:r>
              <w:t>Randomised to one of two doses</w:t>
            </w:r>
          </w:p>
        </w:tc>
        <w:tc>
          <w:tcPr>
            <w:tcW w:w="1294" w:type="dxa"/>
          </w:tcPr>
          <w:p w14:paraId="30839D3C" w14:textId="77777777" w:rsidR="00A23A9D" w:rsidRPr="000A203E" w:rsidRDefault="00A23A9D" w:rsidP="005107FB">
            <w:pPr>
              <w:pStyle w:val="TableText"/>
            </w:pPr>
            <w:r w:rsidRPr="000A203E">
              <w:t>480 mg</w:t>
            </w:r>
          </w:p>
          <w:p w14:paraId="4433E68E" w14:textId="77777777" w:rsidR="00A23A9D" w:rsidRPr="000A203E" w:rsidRDefault="00A23A9D" w:rsidP="005107FB">
            <w:pPr>
              <w:pStyle w:val="TableText"/>
            </w:pPr>
          </w:p>
        </w:tc>
        <w:tc>
          <w:tcPr>
            <w:tcW w:w="1295" w:type="dxa"/>
          </w:tcPr>
          <w:p w14:paraId="1620B4AC" w14:textId="77777777" w:rsidR="00A23A9D" w:rsidRPr="000A203E" w:rsidRDefault="00A23A9D" w:rsidP="005107FB">
            <w:pPr>
              <w:pStyle w:val="TableText"/>
            </w:pPr>
            <w:r>
              <w:t>160 mg</w:t>
            </w:r>
          </w:p>
        </w:tc>
        <w:tc>
          <w:tcPr>
            <w:tcW w:w="1295" w:type="dxa"/>
          </w:tcPr>
          <w:p w14:paraId="7FBFF137" w14:textId="77777777" w:rsidR="00A23A9D" w:rsidRPr="000A203E" w:rsidRDefault="00A23A9D" w:rsidP="005107FB">
            <w:pPr>
              <w:pStyle w:val="TableText"/>
            </w:pPr>
            <w:r>
              <w:t>Co-administered from separate vials</w:t>
            </w:r>
          </w:p>
        </w:tc>
        <w:tc>
          <w:tcPr>
            <w:tcW w:w="1456" w:type="dxa"/>
          </w:tcPr>
          <w:p w14:paraId="0195B6CE" w14:textId="77777777" w:rsidR="00A23A9D" w:rsidRPr="000A203E" w:rsidRDefault="00A23A9D" w:rsidP="005107FB">
            <w:pPr>
              <w:pStyle w:val="TableText"/>
            </w:pPr>
            <w:r>
              <w:t>Q4W</w:t>
            </w:r>
          </w:p>
        </w:tc>
        <w:tc>
          <w:tcPr>
            <w:tcW w:w="1134" w:type="dxa"/>
            <w:hideMark/>
          </w:tcPr>
          <w:p w14:paraId="6792BEFF" w14:textId="77777777" w:rsidR="00A23A9D" w:rsidRPr="00B8387A" w:rsidRDefault="00A23A9D" w:rsidP="005107FB">
            <w:pPr>
              <w:pStyle w:val="TableText"/>
            </w:pPr>
            <w:r w:rsidRPr="000A203E">
              <w:t>38</w:t>
            </w:r>
            <w:r>
              <w:t xml:space="preserve"> </w:t>
            </w:r>
            <w:r>
              <w:rPr>
                <w:vertAlign w:val="superscript"/>
              </w:rPr>
              <w:t>e</w:t>
            </w:r>
          </w:p>
        </w:tc>
      </w:tr>
      <w:tr w:rsidR="00A23A9D" w:rsidRPr="00B8387A" w14:paraId="5F209BDB" w14:textId="77777777" w:rsidTr="00095D26">
        <w:trPr>
          <w:trHeight w:val="486"/>
        </w:trPr>
        <w:tc>
          <w:tcPr>
            <w:tcW w:w="1124" w:type="dxa"/>
            <w:vMerge/>
            <w:hideMark/>
          </w:tcPr>
          <w:p w14:paraId="7DC529B8" w14:textId="77777777" w:rsidR="00A23A9D" w:rsidRPr="000A203E" w:rsidRDefault="00A23A9D" w:rsidP="005107FB">
            <w:pPr>
              <w:pStyle w:val="TableText"/>
            </w:pPr>
          </w:p>
        </w:tc>
        <w:tc>
          <w:tcPr>
            <w:tcW w:w="1464" w:type="dxa"/>
            <w:vMerge/>
            <w:hideMark/>
          </w:tcPr>
          <w:p w14:paraId="0FDE611F" w14:textId="77777777" w:rsidR="00A23A9D" w:rsidRPr="000A203E" w:rsidRDefault="00A23A9D" w:rsidP="005107FB">
            <w:pPr>
              <w:pStyle w:val="TableText"/>
            </w:pPr>
          </w:p>
        </w:tc>
        <w:tc>
          <w:tcPr>
            <w:tcW w:w="1294" w:type="dxa"/>
          </w:tcPr>
          <w:p w14:paraId="61409DAE" w14:textId="77777777" w:rsidR="00A23A9D" w:rsidRPr="000A203E" w:rsidRDefault="00A23A9D" w:rsidP="005107FB">
            <w:pPr>
              <w:pStyle w:val="TableText"/>
            </w:pPr>
            <w:r w:rsidRPr="000A203E">
              <w:t>480 mg</w:t>
            </w:r>
          </w:p>
          <w:p w14:paraId="06EDF7A1" w14:textId="77777777" w:rsidR="00A23A9D" w:rsidRPr="000A203E" w:rsidRDefault="00A23A9D" w:rsidP="005107FB">
            <w:pPr>
              <w:pStyle w:val="TableText"/>
            </w:pPr>
          </w:p>
        </w:tc>
        <w:tc>
          <w:tcPr>
            <w:tcW w:w="1295" w:type="dxa"/>
          </w:tcPr>
          <w:p w14:paraId="72417FAD" w14:textId="77777777" w:rsidR="00A23A9D" w:rsidRPr="000A203E" w:rsidRDefault="00A23A9D" w:rsidP="005107FB">
            <w:pPr>
              <w:pStyle w:val="TableText"/>
            </w:pPr>
            <w:r>
              <w:t>480 mg</w:t>
            </w:r>
          </w:p>
        </w:tc>
        <w:tc>
          <w:tcPr>
            <w:tcW w:w="1295" w:type="dxa"/>
          </w:tcPr>
          <w:p w14:paraId="55CC05C9" w14:textId="77777777" w:rsidR="00A23A9D" w:rsidRPr="000A203E" w:rsidRDefault="00A23A9D" w:rsidP="005107FB">
            <w:pPr>
              <w:pStyle w:val="TableText"/>
            </w:pPr>
            <w:r>
              <w:t>Co-administered from separate vials</w:t>
            </w:r>
          </w:p>
        </w:tc>
        <w:tc>
          <w:tcPr>
            <w:tcW w:w="1456" w:type="dxa"/>
          </w:tcPr>
          <w:p w14:paraId="0F06C644" w14:textId="77777777" w:rsidR="00A23A9D" w:rsidRPr="000A203E" w:rsidRDefault="00A23A9D" w:rsidP="005107FB">
            <w:pPr>
              <w:pStyle w:val="TableText"/>
            </w:pPr>
            <w:r>
              <w:t>Q4W</w:t>
            </w:r>
          </w:p>
        </w:tc>
        <w:tc>
          <w:tcPr>
            <w:tcW w:w="1134" w:type="dxa"/>
            <w:hideMark/>
          </w:tcPr>
          <w:p w14:paraId="11F0D4CE" w14:textId="77777777" w:rsidR="00A23A9D" w:rsidRPr="000A203E" w:rsidRDefault="00A23A9D" w:rsidP="005107FB">
            <w:pPr>
              <w:pStyle w:val="TableText"/>
            </w:pPr>
            <w:r w:rsidRPr="000A203E">
              <w:t>38</w:t>
            </w:r>
            <w:r>
              <w:t xml:space="preserve"> </w:t>
            </w:r>
            <w:r>
              <w:rPr>
                <w:vertAlign w:val="superscript"/>
              </w:rPr>
              <w:t>e</w:t>
            </w:r>
          </w:p>
        </w:tc>
      </w:tr>
    </w:tbl>
    <w:p w14:paraId="7E9A8360" w14:textId="76D66AA7" w:rsidR="001E4DEB" w:rsidRDefault="001E4DEB" w:rsidP="001E4DEB">
      <w:pPr>
        <w:pStyle w:val="TableDescription"/>
      </w:pPr>
      <w:r>
        <w:t>Abbreviations: IV</w:t>
      </w:r>
      <w:r w:rsidR="00B83235">
        <w:t> = </w:t>
      </w:r>
      <w:r>
        <w:t>intravenously; MEL</w:t>
      </w:r>
      <w:r w:rsidR="00B83235">
        <w:t> = </w:t>
      </w:r>
      <w:r>
        <w:t xml:space="preserve">melanoma; </w:t>
      </w:r>
      <w:r w:rsidRPr="00165F84">
        <w:t>N</w:t>
      </w:r>
      <w:r w:rsidR="00B83235">
        <w:t> = </w:t>
      </w:r>
      <w:r>
        <w:t>number of</w:t>
      </w:r>
      <w:r w:rsidRPr="00494D7F">
        <w:t xml:space="preserve"> patients randomised or treated</w:t>
      </w:r>
      <w:r>
        <w:t xml:space="preserve">; </w:t>
      </w:r>
      <w:r w:rsidR="007559B8">
        <w:t>DP-1</w:t>
      </w:r>
      <w:r w:rsidR="00B83235">
        <w:t> = </w:t>
      </w:r>
      <w:r w:rsidR="007559B8">
        <w:t>programmed death receptor</w:t>
      </w:r>
      <w:r w:rsidR="00B651DF">
        <w:t>-</w:t>
      </w:r>
      <w:r w:rsidR="007559B8">
        <w:t xml:space="preserve">1; </w:t>
      </w:r>
      <w:r>
        <w:t>NSCLC</w:t>
      </w:r>
      <w:r w:rsidR="00B83235">
        <w:t> = </w:t>
      </w:r>
      <w:r>
        <w:t>non-small cell lung cancer; RCC</w:t>
      </w:r>
      <w:r w:rsidR="00B83235">
        <w:t> = </w:t>
      </w:r>
      <w:r>
        <w:t>renal cell carcinoma; Q2W</w:t>
      </w:r>
      <w:r w:rsidR="00B83235">
        <w:t> = </w:t>
      </w:r>
      <w:r>
        <w:t>every 2 weeks; Q4W</w:t>
      </w:r>
      <w:r w:rsidR="00B83235">
        <w:t> = </w:t>
      </w:r>
      <w:r>
        <w:t>every 4 weeks.</w:t>
      </w:r>
    </w:p>
    <w:p w14:paraId="08AEF117" w14:textId="7097E0FE" w:rsidR="001E4DEB" w:rsidRDefault="00C808E2" w:rsidP="001E4DEB">
      <w:pPr>
        <w:pStyle w:val="TableDescription"/>
      </w:pPr>
      <w:r w:rsidRPr="0044463A">
        <w:t>A</w:t>
      </w:r>
      <w:r w:rsidR="001E4DEB" w:rsidRPr="0044463A">
        <w:t xml:space="preserve"> </w:t>
      </w:r>
      <w:proofErr w:type="spellStart"/>
      <w:r w:rsidR="001E4DEB">
        <w:t>Relatlimab</w:t>
      </w:r>
      <w:proofErr w:type="spellEnd"/>
      <w:r w:rsidR="001E4DEB" w:rsidRPr="0044463A">
        <w:t xml:space="preserve"> monotherapy dose escalation</w:t>
      </w:r>
      <w:r w:rsidR="001E4DEB">
        <w:t xml:space="preserve"> levels</w:t>
      </w:r>
      <w:r w:rsidR="001E4DEB" w:rsidRPr="0044463A">
        <w:t>: 20</w:t>
      </w:r>
      <w:r w:rsidR="001E4DEB">
        <w:t> </w:t>
      </w:r>
      <w:r w:rsidR="001E4DEB" w:rsidRPr="0044463A">
        <w:t>mg, 80</w:t>
      </w:r>
      <w:r w:rsidR="001E4DEB">
        <w:t> </w:t>
      </w:r>
      <w:r w:rsidR="001E4DEB" w:rsidRPr="0044463A">
        <w:t>mg, 240</w:t>
      </w:r>
      <w:r w:rsidR="001E4DEB">
        <w:t> </w:t>
      </w:r>
      <w:r w:rsidR="001E4DEB" w:rsidRPr="0044463A">
        <w:t>mg, and 800</w:t>
      </w:r>
      <w:r w:rsidR="001E4DEB">
        <w:t> </w:t>
      </w:r>
      <w:r w:rsidR="001E4DEB" w:rsidRPr="0044463A">
        <w:t xml:space="preserve">mg </w:t>
      </w:r>
      <w:r w:rsidR="001E4DEB">
        <w:t>every 2 weeks</w:t>
      </w:r>
      <w:r w:rsidR="00B83235">
        <w:t>.</w:t>
      </w:r>
    </w:p>
    <w:p w14:paraId="3A63B288" w14:textId="35BC8BE6" w:rsidR="001E4DEB" w:rsidRDefault="00C808E2" w:rsidP="001E4DEB">
      <w:pPr>
        <w:pStyle w:val="TableDescription"/>
      </w:pPr>
      <w:r w:rsidRPr="0044463A">
        <w:t>B</w:t>
      </w:r>
      <w:r w:rsidR="001E4DEB">
        <w:t xml:space="preserve"> </w:t>
      </w:r>
      <w:r w:rsidR="001E4DEB" w:rsidRPr="0044463A">
        <w:t>Nivo</w:t>
      </w:r>
      <w:r w:rsidR="001E4DEB">
        <w:t xml:space="preserve">lumab with </w:t>
      </w:r>
      <w:proofErr w:type="spellStart"/>
      <w:r w:rsidR="001E4DEB" w:rsidRPr="0044463A">
        <w:t>rel</w:t>
      </w:r>
      <w:r w:rsidR="001E4DEB">
        <w:t>atlimab</w:t>
      </w:r>
      <w:proofErr w:type="spellEnd"/>
      <w:r w:rsidR="001E4DEB" w:rsidRPr="0044463A">
        <w:t xml:space="preserve"> dose escalation</w:t>
      </w:r>
      <w:r w:rsidR="001E4DEB">
        <w:t xml:space="preserve"> levels</w:t>
      </w:r>
      <w:r w:rsidR="001E4DEB" w:rsidRPr="0044463A">
        <w:t xml:space="preserve">: 80/20, 240/20, 240/80, 240/160, and 240/240 mg </w:t>
      </w:r>
      <w:r w:rsidR="001E4DEB">
        <w:t>every 2</w:t>
      </w:r>
      <w:r w:rsidR="007559B8">
        <w:t> </w:t>
      </w:r>
      <w:r w:rsidR="001E4DEB">
        <w:t>weeks</w:t>
      </w:r>
      <w:r w:rsidR="001E4DEB" w:rsidRPr="0044463A">
        <w:t xml:space="preserve">; 480/160, 480/240, 480/320, 480/480, 480/960, and 480/1440 mg </w:t>
      </w:r>
      <w:r w:rsidR="001E4DEB">
        <w:t>every 4 weeks</w:t>
      </w:r>
      <w:r w:rsidR="001E4DEB" w:rsidRPr="0044463A">
        <w:t xml:space="preserve">. </w:t>
      </w:r>
      <w:r w:rsidR="001E4DEB">
        <w:t xml:space="preserve">Note: </w:t>
      </w:r>
      <w:r w:rsidR="001E4DEB" w:rsidRPr="0044463A">
        <w:t xml:space="preserve">per protocol doses could go up to 480/1600 mg </w:t>
      </w:r>
      <w:r w:rsidR="001E4DEB">
        <w:t>every 4 weeks</w:t>
      </w:r>
      <w:r w:rsidR="001E4DEB" w:rsidRPr="0044463A">
        <w:t xml:space="preserve">; however, the highest dose studied was 480/1440 mg </w:t>
      </w:r>
      <w:r w:rsidR="001E4DEB">
        <w:t>every 4 weeks</w:t>
      </w:r>
      <w:r w:rsidR="001E4DEB" w:rsidRPr="0044463A">
        <w:t>.</w:t>
      </w:r>
    </w:p>
    <w:p w14:paraId="1DC4E792" w14:textId="1676CCD8" w:rsidR="001E4DEB" w:rsidRPr="00B8387A" w:rsidRDefault="00C808E2" w:rsidP="001E4DEB">
      <w:pPr>
        <w:pStyle w:val="TableDescription"/>
      </w:pPr>
      <w:r w:rsidRPr="00B8387A">
        <w:t>C</w:t>
      </w:r>
      <w:r w:rsidR="001E4DEB">
        <w:t xml:space="preserve"> One</w:t>
      </w:r>
      <w:r w:rsidR="001E4DEB" w:rsidRPr="00B8387A">
        <w:t xml:space="preserve"> adolescent subject was treated</w:t>
      </w:r>
      <w:r w:rsidR="00B83235">
        <w:t>.</w:t>
      </w:r>
    </w:p>
    <w:p w14:paraId="25F48F8D" w14:textId="3A7C261C" w:rsidR="001E4DEB" w:rsidRDefault="00C808E2" w:rsidP="001E4DEB">
      <w:pPr>
        <w:pStyle w:val="TableDescription"/>
      </w:pPr>
      <w:r w:rsidRPr="00B8387A">
        <w:t>D</w:t>
      </w:r>
      <w:r w:rsidR="001E4DEB">
        <w:t xml:space="preserve"> Included: </w:t>
      </w:r>
      <w:r w:rsidR="001E4DEB" w:rsidRPr="00722BA4">
        <w:t>refractory or relapsed disease within 3</w:t>
      </w:r>
      <w:r w:rsidR="001E4DEB">
        <w:t> </w:t>
      </w:r>
      <w:r w:rsidR="001E4DEB" w:rsidRPr="00722BA4">
        <w:t xml:space="preserve">months of last dose of anti-PD-1 therapy, documented progression on the prior regimen that contained anti-PD-1 treatment, and, for those with </w:t>
      </w:r>
      <w:r w:rsidR="001E4DEB" w:rsidRPr="001E4DEB">
        <w:rPr>
          <w:i/>
          <w:iCs/>
        </w:rPr>
        <w:t>BRAF</w:t>
      </w:r>
      <w:r w:rsidR="001E4DEB" w:rsidRPr="00722BA4">
        <w:t xml:space="preserve"> mutations, progression on a single line of a </w:t>
      </w:r>
      <w:r w:rsidR="001E4DEB" w:rsidRPr="001E4DEB">
        <w:rPr>
          <w:i/>
          <w:iCs/>
        </w:rPr>
        <w:t>BRAF</w:t>
      </w:r>
      <w:r w:rsidR="001E4DEB" w:rsidRPr="00722BA4">
        <w:t xml:space="preserve"> inhibitor.</w:t>
      </w:r>
    </w:p>
    <w:p w14:paraId="3233E0F3" w14:textId="325CDD79" w:rsidR="001E4DEB" w:rsidRDefault="001E4DEB" w:rsidP="001E4DEB">
      <w:pPr>
        <w:pStyle w:val="TableDescription"/>
      </w:pPr>
      <w:r>
        <w:t>E First-line</w:t>
      </w:r>
      <w:r w:rsidRPr="00B8387A">
        <w:t xml:space="preserve"> </w:t>
      </w:r>
      <w:r>
        <w:t xml:space="preserve">melanoma </w:t>
      </w:r>
      <w:r w:rsidRPr="00B8387A">
        <w:t>cohorts in Part E are currently enrolling</w:t>
      </w:r>
      <w:r w:rsidR="00C13504">
        <w:t xml:space="preserve"> (as </w:t>
      </w:r>
      <w:proofErr w:type="gramStart"/>
      <w:r w:rsidR="00C13504">
        <w:t>at</w:t>
      </w:r>
      <w:proofErr w:type="gramEnd"/>
      <w:r w:rsidR="00C13504">
        <w:t xml:space="preserve"> </w:t>
      </w:r>
      <w:r w:rsidR="007559B8">
        <w:t>June 2021)</w:t>
      </w:r>
      <w:r w:rsidRPr="00B8387A">
        <w:t>.</w:t>
      </w:r>
      <w:r>
        <w:t xml:space="preserve"> This part aims to assess exposure</w:t>
      </w:r>
      <w:r w:rsidR="00B651DF">
        <w:noBreakHyphen/>
      </w:r>
      <w:r>
        <w:t>response.</w:t>
      </w:r>
    </w:p>
    <w:p w14:paraId="3FF9D767" w14:textId="77777777" w:rsidR="001E4DEB" w:rsidRDefault="001E4DEB" w:rsidP="001E4DEB">
      <w:pPr>
        <w:pStyle w:val="Heading6"/>
      </w:pPr>
      <w:r>
        <w:t>Efficacy outcomes</w:t>
      </w:r>
    </w:p>
    <w:p w14:paraId="6EC96886" w14:textId="4121E7F5" w:rsidR="001E4DEB" w:rsidRDefault="001E4DEB" w:rsidP="001E4DEB">
      <w:r>
        <w:t xml:space="preserve">Selected efficacy outcomes from </w:t>
      </w:r>
      <w:r w:rsidR="003269A5">
        <w:t>the RELATIVITY-020 trial</w:t>
      </w:r>
      <w:r>
        <w:t xml:space="preserve"> are presented</w:t>
      </w:r>
      <w:r w:rsidR="007559B8">
        <w:t xml:space="preserve"> in </w:t>
      </w:r>
      <w:r w:rsidR="00B651DF">
        <w:rPr>
          <w:color w:val="2B579A"/>
          <w:shd w:val="clear" w:color="auto" w:fill="E6E6E6"/>
        </w:rPr>
        <w:fldChar w:fldCharType="begin"/>
      </w:r>
      <w:r w:rsidR="00B651DF">
        <w:instrText xml:space="preserve"> REF _Ref106718869 \h </w:instrText>
      </w:r>
      <w:r w:rsidR="00B651DF">
        <w:rPr>
          <w:color w:val="2B579A"/>
          <w:shd w:val="clear" w:color="auto" w:fill="E6E6E6"/>
        </w:rPr>
      </w:r>
      <w:r w:rsidR="00B651DF">
        <w:rPr>
          <w:color w:val="2B579A"/>
          <w:shd w:val="clear" w:color="auto" w:fill="E6E6E6"/>
        </w:rPr>
        <w:fldChar w:fldCharType="separate"/>
      </w:r>
      <w:r w:rsidR="004F1B9E">
        <w:t xml:space="preserve">Table </w:t>
      </w:r>
      <w:r w:rsidR="004F1B9E">
        <w:rPr>
          <w:noProof/>
        </w:rPr>
        <w:t>5</w:t>
      </w:r>
      <w:r w:rsidR="00B651DF">
        <w:rPr>
          <w:color w:val="2B579A"/>
          <w:shd w:val="clear" w:color="auto" w:fill="E6E6E6"/>
        </w:rPr>
        <w:fldChar w:fldCharType="end"/>
      </w:r>
      <w:r w:rsidR="00B651DF">
        <w:t xml:space="preserve"> below</w:t>
      </w:r>
      <w:r>
        <w:t xml:space="preserve">, for patients with advanced melanoma that had previously been treated with an immunotherapy agent, who received combination treatment with </w:t>
      </w:r>
      <w:r w:rsidR="007E6CFF">
        <w:t xml:space="preserve">nivolumab and </w:t>
      </w:r>
      <w:proofErr w:type="spellStart"/>
      <w:r>
        <w:t>relatlimab</w:t>
      </w:r>
      <w:proofErr w:type="spellEnd"/>
      <w:r>
        <w:t xml:space="preserve"> in Part D1 or Part</w:t>
      </w:r>
      <w:r w:rsidR="005032D0">
        <w:t> </w:t>
      </w:r>
      <w:r>
        <w:t>D2</w:t>
      </w:r>
      <w:r w:rsidR="005032D0">
        <w:t>.</w:t>
      </w:r>
    </w:p>
    <w:p w14:paraId="0D2612DE" w14:textId="7265B62A" w:rsidR="007E6CFF" w:rsidRDefault="007E6CFF" w:rsidP="007E6CFF">
      <w:pPr>
        <w:pStyle w:val="TableTitle"/>
      </w:pPr>
      <w:bookmarkStart w:id="93" w:name="_Ref106718869"/>
      <w:bookmarkStart w:id="94" w:name="_Ref106719058"/>
      <w:r>
        <w:t xml:space="preserve">Table </w:t>
      </w:r>
      <w:r>
        <w:fldChar w:fldCharType="begin"/>
      </w:r>
      <w:r>
        <w:instrText>SEQ Table \* ARABIC</w:instrText>
      </w:r>
      <w:r>
        <w:fldChar w:fldCharType="separate"/>
      </w:r>
      <w:r w:rsidR="004F1B9E">
        <w:rPr>
          <w:noProof/>
        </w:rPr>
        <w:t>5</w:t>
      </w:r>
      <w:r>
        <w:fldChar w:fldCharType="end"/>
      </w:r>
      <w:bookmarkEnd w:id="93"/>
      <w:r>
        <w:rPr>
          <w:noProof/>
        </w:rPr>
        <w:t>:</w:t>
      </w:r>
      <w:r>
        <w:t xml:space="preserve"> RELATIVITY-020</w:t>
      </w:r>
      <w:r w:rsidR="003269A5">
        <w:t xml:space="preserve"> </w:t>
      </w:r>
      <w:r>
        <w:t xml:space="preserve">Response rates and durations with nivolumab plus </w:t>
      </w:r>
      <w:proofErr w:type="spellStart"/>
      <w:r>
        <w:t>relatlimab</w:t>
      </w:r>
      <w:proofErr w:type="spellEnd"/>
      <w:r>
        <w:t xml:space="preserve"> treatment </w:t>
      </w:r>
      <w:r w:rsidR="00B651DF">
        <w:t>(</w:t>
      </w:r>
      <w:r>
        <w:t>patients who had previously received an immunotherapy for advanced melanoma</w:t>
      </w:r>
      <w:bookmarkEnd w:id="94"/>
      <w:r w:rsidR="00B651DF">
        <w:t>)</w:t>
      </w:r>
    </w:p>
    <w:tbl>
      <w:tblPr>
        <w:tblStyle w:val="TableTGAblue"/>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01"/>
        <w:gridCol w:w="1501"/>
        <w:gridCol w:w="1501"/>
        <w:gridCol w:w="1501"/>
        <w:gridCol w:w="1501"/>
        <w:gridCol w:w="1501"/>
      </w:tblGrid>
      <w:tr w:rsidR="004E0419" w:rsidRPr="005032D0" w14:paraId="3CD6FABF" w14:textId="77777777" w:rsidTr="00B651DF">
        <w:trPr>
          <w:cnfStyle w:val="100000000000" w:firstRow="1" w:lastRow="0" w:firstColumn="0" w:lastColumn="0" w:oddVBand="0" w:evenVBand="0" w:oddHBand="0" w:evenHBand="0" w:firstRowFirstColumn="0" w:firstRowLastColumn="0" w:lastRowFirstColumn="0" w:lastRowLastColumn="0"/>
          <w:trHeight w:val="516"/>
        </w:trPr>
        <w:tc>
          <w:tcPr>
            <w:tcW w:w="0" w:type="dxa"/>
            <w:shd w:val="clear" w:color="auto" w:fill="DEEAF6" w:themeFill="accent5" w:themeFillTint="33"/>
          </w:tcPr>
          <w:p w14:paraId="08AE80DB" w14:textId="77777777" w:rsidR="007E6CFF" w:rsidRPr="005032D0" w:rsidRDefault="007E6CFF" w:rsidP="005032D0">
            <w:pPr>
              <w:pStyle w:val="TableText"/>
            </w:pPr>
            <w:r w:rsidRPr="005032D0">
              <w:t>Part</w:t>
            </w:r>
          </w:p>
        </w:tc>
        <w:tc>
          <w:tcPr>
            <w:tcW w:w="0" w:type="dxa"/>
            <w:shd w:val="clear" w:color="auto" w:fill="DEEAF6" w:themeFill="accent5" w:themeFillTint="33"/>
          </w:tcPr>
          <w:p w14:paraId="2991F97F" w14:textId="77777777" w:rsidR="007E6CFF" w:rsidRPr="005032D0" w:rsidRDefault="007E6CFF" w:rsidP="005032D0">
            <w:pPr>
              <w:pStyle w:val="TableText"/>
            </w:pPr>
            <w:r w:rsidRPr="005032D0">
              <w:t>Dose</w:t>
            </w:r>
          </w:p>
        </w:tc>
        <w:tc>
          <w:tcPr>
            <w:tcW w:w="0" w:type="dxa"/>
            <w:shd w:val="clear" w:color="auto" w:fill="DEEAF6" w:themeFill="accent5" w:themeFillTint="33"/>
          </w:tcPr>
          <w:p w14:paraId="601D4FDB" w14:textId="77777777" w:rsidR="007E6CFF" w:rsidRPr="005032D0" w:rsidRDefault="007E6CFF" w:rsidP="005032D0">
            <w:pPr>
              <w:pStyle w:val="TableText"/>
            </w:pPr>
            <w:r w:rsidRPr="005032D0">
              <w:t>Given</w:t>
            </w:r>
          </w:p>
        </w:tc>
        <w:tc>
          <w:tcPr>
            <w:tcW w:w="0" w:type="dxa"/>
            <w:shd w:val="clear" w:color="auto" w:fill="DEEAF6" w:themeFill="accent5" w:themeFillTint="33"/>
          </w:tcPr>
          <w:p w14:paraId="4C05A8BE" w14:textId="6950F010" w:rsidR="005032D0" w:rsidRDefault="007E6CFF" w:rsidP="005032D0">
            <w:pPr>
              <w:pStyle w:val="TableText"/>
              <w:rPr>
                <w:b w:val="0"/>
              </w:rPr>
            </w:pPr>
            <w:r w:rsidRPr="005032D0">
              <w:t>ORR</w:t>
            </w:r>
          </w:p>
          <w:p w14:paraId="10F7D13B" w14:textId="611685C1" w:rsidR="00C40CC6" w:rsidRDefault="007E6CFF" w:rsidP="00901FA0">
            <w:pPr>
              <w:pStyle w:val="TableText"/>
              <w:rPr>
                <w:b w:val="0"/>
              </w:rPr>
            </w:pPr>
            <w:r w:rsidRPr="005032D0">
              <w:t>(95% CI)</w:t>
            </w:r>
          </w:p>
          <w:p w14:paraId="5F8D72C7" w14:textId="7FA4FC48" w:rsidR="00C40CC6" w:rsidRPr="005032D0" w:rsidRDefault="00C40CC6" w:rsidP="005032D0">
            <w:pPr>
              <w:pStyle w:val="TableText"/>
            </w:pPr>
            <w:r>
              <w:t>responses</w:t>
            </w:r>
          </w:p>
        </w:tc>
        <w:tc>
          <w:tcPr>
            <w:tcW w:w="0" w:type="dxa"/>
            <w:shd w:val="clear" w:color="auto" w:fill="DEEAF6" w:themeFill="accent5" w:themeFillTint="33"/>
          </w:tcPr>
          <w:p w14:paraId="50791D8D" w14:textId="77777777" w:rsidR="007E6CFF" w:rsidRPr="005032D0" w:rsidRDefault="007E6CFF" w:rsidP="005032D0">
            <w:pPr>
              <w:pStyle w:val="TableText"/>
            </w:pPr>
            <w:proofErr w:type="spellStart"/>
            <w:r w:rsidRPr="005032D0">
              <w:t>mDOR</w:t>
            </w:r>
            <w:proofErr w:type="spellEnd"/>
          </w:p>
        </w:tc>
        <w:tc>
          <w:tcPr>
            <w:tcW w:w="0" w:type="dxa"/>
            <w:shd w:val="clear" w:color="auto" w:fill="DEEAF6" w:themeFill="accent5" w:themeFillTint="33"/>
          </w:tcPr>
          <w:p w14:paraId="516F7B38" w14:textId="77777777" w:rsidR="007E6CFF" w:rsidRPr="005032D0" w:rsidRDefault="007E6CFF" w:rsidP="005032D0">
            <w:pPr>
              <w:pStyle w:val="TableText"/>
            </w:pPr>
            <w:proofErr w:type="spellStart"/>
            <w:r w:rsidRPr="005032D0">
              <w:t>mTTR</w:t>
            </w:r>
            <w:proofErr w:type="spellEnd"/>
            <w:r w:rsidRPr="005032D0">
              <w:t xml:space="preserve"> (min, max)</w:t>
            </w:r>
          </w:p>
        </w:tc>
      </w:tr>
      <w:tr w:rsidR="007E6CFF" w:rsidRPr="005032D0" w14:paraId="666A881D" w14:textId="77777777" w:rsidTr="00095D26">
        <w:trPr>
          <w:trHeight w:val="473"/>
        </w:trPr>
        <w:tc>
          <w:tcPr>
            <w:tcW w:w="0" w:type="dxa"/>
          </w:tcPr>
          <w:p w14:paraId="44664BF3" w14:textId="77777777" w:rsidR="007E6CFF" w:rsidRPr="005032D0" w:rsidRDefault="007E6CFF" w:rsidP="005032D0">
            <w:pPr>
              <w:pStyle w:val="TableText"/>
            </w:pPr>
            <w:r w:rsidRPr="005032D0">
              <w:t>D1</w:t>
            </w:r>
          </w:p>
          <w:p w14:paraId="1E5E3E57" w14:textId="621E6DC7" w:rsidR="007E6CFF" w:rsidRPr="005032D0" w:rsidRDefault="007E6CFF" w:rsidP="005032D0">
            <w:pPr>
              <w:pStyle w:val="TableText"/>
            </w:pPr>
            <w:r w:rsidRPr="005032D0">
              <w:t>(</w:t>
            </w:r>
            <w:proofErr w:type="gramStart"/>
            <w:r w:rsidRPr="005032D0">
              <w:t>arm</w:t>
            </w:r>
            <w:proofErr w:type="gramEnd"/>
            <w:r w:rsidRPr="005032D0">
              <w:t xml:space="preserve"> 1)</w:t>
            </w:r>
          </w:p>
        </w:tc>
        <w:tc>
          <w:tcPr>
            <w:tcW w:w="0" w:type="dxa"/>
          </w:tcPr>
          <w:p w14:paraId="208A57FD" w14:textId="76F50D9E" w:rsidR="007E6CFF" w:rsidRPr="005032D0" w:rsidRDefault="007E6CFF" w:rsidP="005032D0">
            <w:pPr>
              <w:pStyle w:val="TableText"/>
            </w:pPr>
            <w:r w:rsidRPr="005032D0">
              <w:t>240</w:t>
            </w:r>
            <w:r w:rsidR="005032D0">
              <w:t> </w:t>
            </w:r>
            <w:r w:rsidRPr="005032D0">
              <w:t>mg nivo</w:t>
            </w:r>
            <w:r w:rsidR="005032D0">
              <w:t>lumab</w:t>
            </w:r>
            <w:r w:rsidRPr="005032D0">
              <w:t xml:space="preserve"> </w:t>
            </w:r>
            <w:r w:rsidR="000F4B6F">
              <w:t>plus</w:t>
            </w:r>
            <w:r w:rsidRPr="005032D0">
              <w:t xml:space="preserve"> 80</w:t>
            </w:r>
            <w:r w:rsidR="005032D0">
              <w:t> </w:t>
            </w:r>
            <w:r w:rsidRPr="005032D0">
              <w:t xml:space="preserve">mg </w:t>
            </w:r>
            <w:proofErr w:type="spellStart"/>
            <w:r w:rsidRPr="005032D0">
              <w:t>rela</w:t>
            </w:r>
            <w:r w:rsidR="005032D0">
              <w:t>tlimab</w:t>
            </w:r>
            <w:proofErr w:type="spellEnd"/>
            <w:r w:rsidRPr="005032D0">
              <w:t xml:space="preserve"> Q2W (n</w:t>
            </w:r>
            <w:r w:rsidR="00B83235">
              <w:t> = </w:t>
            </w:r>
            <w:r w:rsidRPr="005032D0">
              <w:t>189)</w:t>
            </w:r>
          </w:p>
        </w:tc>
        <w:tc>
          <w:tcPr>
            <w:tcW w:w="0" w:type="dxa"/>
          </w:tcPr>
          <w:p w14:paraId="765E4A37" w14:textId="77777777" w:rsidR="007E6CFF" w:rsidRPr="005032D0" w:rsidRDefault="007E6CFF" w:rsidP="005032D0">
            <w:pPr>
              <w:pStyle w:val="TableText"/>
            </w:pPr>
            <w:r w:rsidRPr="005032D0">
              <w:t>Co-administered from separate vials</w:t>
            </w:r>
          </w:p>
        </w:tc>
        <w:tc>
          <w:tcPr>
            <w:tcW w:w="0" w:type="dxa"/>
          </w:tcPr>
          <w:p w14:paraId="0403682D" w14:textId="449D87BE" w:rsidR="00C40CC6" w:rsidRPr="005032D0" w:rsidRDefault="007E6CFF" w:rsidP="00901FA0">
            <w:pPr>
              <w:pStyle w:val="TableText"/>
            </w:pPr>
            <w:r w:rsidRPr="005032D0">
              <w:t>12% (8, 17)</w:t>
            </w:r>
          </w:p>
          <w:p w14:paraId="7CF94E99" w14:textId="77777777" w:rsidR="00C40CC6" w:rsidRDefault="007E6CFF" w:rsidP="005032D0">
            <w:pPr>
              <w:pStyle w:val="TableText"/>
            </w:pPr>
            <w:r w:rsidRPr="005032D0">
              <w:t>4% CR</w:t>
            </w:r>
          </w:p>
          <w:p w14:paraId="5BC35B95" w14:textId="7829F718" w:rsidR="007E6CFF" w:rsidRPr="005032D0" w:rsidRDefault="007E6CFF" w:rsidP="005032D0">
            <w:pPr>
              <w:pStyle w:val="TableText"/>
            </w:pPr>
            <w:r w:rsidRPr="005032D0">
              <w:t>8% PR</w:t>
            </w:r>
          </w:p>
        </w:tc>
        <w:tc>
          <w:tcPr>
            <w:tcW w:w="0" w:type="dxa"/>
          </w:tcPr>
          <w:p w14:paraId="709D3DCA" w14:textId="77777777" w:rsidR="007E6CFF" w:rsidRPr="005032D0" w:rsidRDefault="007E6CFF" w:rsidP="005032D0">
            <w:pPr>
              <w:pStyle w:val="TableText"/>
            </w:pPr>
            <w:r w:rsidRPr="005032D0">
              <w:t>NR*</w:t>
            </w:r>
          </w:p>
          <w:p w14:paraId="5B586657" w14:textId="77777777" w:rsidR="007E6CFF" w:rsidRPr="005032D0" w:rsidRDefault="007E6CFF" w:rsidP="005032D0">
            <w:pPr>
              <w:pStyle w:val="TableText"/>
            </w:pPr>
          </w:p>
        </w:tc>
        <w:tc>
          <w:tcPr>
            <w:tcW w:w="0" w:type="dxa"/>
          </w:tcPr>
          <w:p w14:paraId="695B1076" w14:textId="6A6D4DAD" w:rsidR="007E6CFF" w:rsidRPr="005032D0" w:rsidRDefault="007E6CFF" w:rsidP="005032D0">
            <w:pPr>
              <w:pStyle w:val="TableText"/>
            </w:pPr>
            <w:r w:rsidRPr="005032D0">
              <w:t>15 weeks</w:t>
            </w:r>
          </w:p>
          <w:p w14:paraId="65937E8B" w14:textId="77777777" w:rsidR="007E6CFF" w:rsidRPr="005032D0" w:rsidRDefault="007E6CFF" w:rsidP="005032D0">
            <w:pPr>
              <w:pStyle w:val="TableText"/>
            </w:pPr>
            <w:r w:rsidRPr="005032D0">
              <w:t>(6, 39)</w:t>
            </w:r>
          </w:p>
        </w:tc>
      </w:tr>
      <w:tr w:rsidR="007E6CFF" w:rsidRPr="005032D0" w14:paraId="680ABDEF" w14:textId="77777777" w:rsidTr="00095D26">
        <w:trPr>
          <w:trHeight w:val="473"/>
        </w:trPr>
        <w:tc>
          <w:tcPr>
            <w:tcW w:w="0" w:type="dxa"/>
          </w:tcPr>
          <w:p w14:paraId="1FF4B6C6" w14:textId="77777777" w:rsidR="007E6CFF" w:rsidRPr="005032D0" w:rsidRDefault="007E6CFF" w:rsidP="005032D0">
            <w:pPr>
              <w:pStyle w:val="TableText"/>
            </w:pPr>
            <w:r w:rsidRPr="005032D0">
              <w:lastRenderedPageBreak/>
              <w:t>D1</w:t>
            </w:r>
          </w:p>
          <w:p w14:paraId="0A149589" w14:textId="77777777" w:rsidR="007E6CFF" w:rsidRPr="005032D0" w:rsidRDefault="007E6CFF" w:rsidP="005032D0">
            <w:pPr>
              <w:pStyle w:val="TableText"/>
            </w:pPr>
            <w:r w:rsidRPr="005032D0">
              <w:t>(</w:t>
            </w:r>
            <w:proofErr w:type="gramStart"/>
            <w:r w:rsidRPr="005032D0">
              <w:t>arm</w:t>
            </w:r>
            <w:proofErr w:type="gramEnd"/>
            <w:r w:rsidRPr="005032D0">
              <w:t xml:space="preserve"> 2)</w:t>
            </w:r>
          </w:p>
        </w:tc>
        <w:tc>
          <w:tcPr>
            <w:tcW w:w="0" w:type="dxa"/>
          </w:tcPr>
          <w:p w14:paraId="52B966CF" w14:textId="6EFF7707" w:rsidR="007E6CFF" w:rsidRPr="005032D0" w:rsidRDefault="007E6CFF" w:rsidP="005032D0">
            <w:pPr>
              <w:pStyle w:val="TableText"/>
            </w:pPr>
            <w:r w:rsidRPr="005032D0">
              <w:t>480</w:t>
            </w:r>
            <w:r w:rsidR="005032D0">
              <w:t> </w:t>
            </w:r>
            <w:r w:rsidRPr="005032D0">
              <w:t>mg nivo</w:t>
            </w:r>
            <w:r w:rsidR="005032D0">
              <w:t>lumab</w:t>
            </w:r>
            <w:r w:rsidRPr="005032D0">
              <w:t xml:space="preserve"> </w:t>
            </w:r>
            <w:r w:rsidR="000F4B6F">
              <w:t>plus</w:t>
            </w:r>
            <w:r w:rsidRPr="005032D0">
              <w:t xml:space="preserve"> 160</w:t>
            </w:r>
            <w:r w:rsidR="005032D0">
              <w:t> </w:t>
            </w:r>
            <w:r w:rsidRPr="005032D0">
              <w:t xml:space="preserve">mg </w:t>
            </w:r>
            <w:proofErr w:type="spellStart"/>
            <w:r w:rsidRPr="005032D0">
              <w:t>rela</w:t>
            </w:r>
            <w:r w:rsidR="005032D0">
              <w:t>tlimab</w:t>
            </w:r>
            <w:proofErr w:type="spellEnd"/>
            <w:r w:rsidRPr="005032D0">
              <w:t xml:space="preserve"> Q4W (n</w:t>
            </w:r>
            <w:r w:rsidR="00B83235">
              <w:t> = </w:t>
            </w:r>
            <w:r w:rsidRPr="005032D0">
              <w:t>83)</w:t>
            </w:r>
          </w:p>
        </w:tc>
        <w:tc>
          <w:tcPr>
            <w:tcW w:w="0" w:type="dxa"/>
          </w:tcPr>
          <w:p w14:paraId="2DA9FC53" w14:textId="77777777" w:rsidR="007E6CFF" w:rsidRPr="005032D0" w:rsidRDefault="007E6CFF" w:rsidP="005032D0">
            <w:pPr>
              <w:pStyle w:val="TableText"/>
            </w:pPr>
            <w:r w:rsidRPr="005032D0">
              <w:t>Co-administered from separate vials</w:t>
            </w:r>
          </w:p>
        </w:tc>
        <w:tc>
          <w:tcPr>
            <w:tcW w:w="0" w:type="dxa"/>
          </w:tcPr>
          <w:p w14:paraId="2C194F03" w14:textId="71791002" w:rsidR="00C40CC6" w:rsidRPr="005032D0" w:rsidRDefault="007E6CFF" w:rsidP="00901FA0">
            <w:pPr>
              <w:pStyle w:val="TableText"/>
            </w:pPr>
            <w:r w:rsidRPr="005032D0">
              <w:t>6% (2, 14)</w:t>
            </w:r>
          </w:p>
          <w:p w14:paraId="40488321" w14:textId="77777777" w:rsidR="00C40CC6" w:rsidRDefault="007E6CFF" w:rsidP="005032D0">
            <w:pPr>
              <w:pStyle w:val="TableText"/>
            </w:pPr>
            <w:r w:rsidRPr="005032D0">
              <w:t>4% CR</w:t>
            </w:r>
          </w:p>
          <w:p w14:paraId="10D26D6D" w14:textId="129A30A2" w:rsidR="007E6CFF" w:rsidRPr="005032D0" w:rsidRDefault="007E6CFF" w:rsidP="005032D0">
            <w:pPr>
              <w:pStyle w:val="TableText"/>
            </w:pPr>
            <w:r w:rsidRPr="005032D0">
              <w:t>2% PR</w:t>
            </w:r>
          </w:p>
        </w:tc>
        <w:tc>
          <w:tcPr>
            <w:tcW w:w="0" w:type="dxa"/>
          </w:tcPr>
          <w:p w14:paraId="73BC963B" w14:textId="77777777" w:rsidR="007E6CFF" w:rsidRPr="005032D0" w:rsidRDefault="007E6CFF" w:rsidP="005032D0">
            <w:pPr>
              <w:pStyle w:val="TableText"/>
            </w:pPr>
            <w:r w:rsidRPr="005032D0">
              <w:t>NR</w:t>
            </w:r>
          </w:p>
        </w:tc>
        <w:tc>
          <w:tcPr>
            <w:tcW w:w="0" w:type="dxa"/>
          </w:tcPr>
          <w:p w14:paraId="24DC5902" w14:textId="4C680D32" w:rsidR="007E6CFF" w:rsidRPr="005032D0" w:rsidRDefault="007E6CFF" w:rsidP="005032D0">
            <w:pPr>
              <w:pStyle w:val="TableText"/>
            </w:pPr>
            <w:r w:rsidRPr="005032D0">
              <w:t>15 weeks</w:t>
            </w:r>
          </w:p>
          <w:p w14:paraId="344F7A11" w14:textId="77777777" w:rsidR="007E6CFF" w:rsidRPr="005032D0" w:rsidRDefault="007E6CFF" w:rsidP="005032D0">
            <w:pPr>
              <w:pStyle w:val="TableText"/>
            </w:pPr>
            <w:r w:rsidRPr="005032D0">
              <w:t>(8, 71)</w:t>
            </w:r>
          </w:p>
        </w:tc>
      </w:tr>
      <w:tr w:rsidR="007E6CFF" w:rsidRPr="005032D0" w14:paraId="6CED136D" w14:textId="77777777" w:rsidTr="00095D26">
        <w:trPr>
          <w:trHeight w:val="235"/>
        </w:trPr>
        <w:tc>
          <w:tcPr>
            <w:tcW w:w="0" w:type="dxa"/>
          </w:tcPr>
          <w:p w14:paraId="7F2558E8" w14:textId="4ECF035E" w:rsidR="007E6CFF" w:rsidRPr="005032D0" w:rsidRDefault="007E6CFF" w:rsidP="005032D0">
            <w:pPr>
              <w:pStyle w:val="TableText"/>
            </w:pPr>
            <w:r w:rsidRPr="005032D0">
              <w:t>D1</w:t>
            </w:r>
          </w:p>
          <w:p w14:paraId="56D0A960" w14:textId="77777777" w:rsidR="007E6CFF" w:rsidRPr="005032D0" w:rsidRDefault="007E6CFF" w:rsidP="005032D0">
            <w:pPr>
              <w:pStyle w:val="TableText"/>
            </w:pPr>
            <w:r w:rsidRPr="005032D0">
              <w:t>(</w:t>
            </w:r>
            <w:proofErr w:type="gramStart"/>
            <w:r w:rsidRPr="005032D0">
              <w:t>arm</w:t>
            </w:r>
            <w:proofErr w:type="gramEnd"/>
            <w:r w:rsidRPr="005032D0">
              <w:t xml:space="preserve"> 3)</w:t>
            </w:r>
          </w:p>
        </w:tc>
        <w:tc>
          <w:tcPr>
            <w:tcW w:w="0" w:type="dxa"/>
          </w:tcPr>
          <w:p w14:paraId="1DFEB3B3" w14:textId="0CCC069D" w:rsidR="007E6CFF" w:rsidRPr="005032D0" w:rsidRDefault="007E6CFF" w:rsidP="005032D0">
            <w:pPr>
              <w:pStyle w:val="TableText"/>
            </w:pPr>
            <w:r w:rsidRPr="005032D0">
              <w:t>480</w:t>
            </w:r>
            <w:r w:rsidR="005032D0">
              <w:t> </w:t>
            </w:r>
            <w:r w:rsidRPr="005032D0">
              <w:t>mg nivo</w:t>
            </w:r>
            <w:r w:rsidR="005032D0">
              <w:t>lumab</w:t>
            </w:r>
            <w:r w:rsidRPr="005032D0">
              <w:t xml:space="preserve"> </w:t>
            </w:r>
            <w:r w:rsidR="000F4B6F">
              <w:t>plus</w:t>
            </w:r>
            <w:r w:rsidRPr="005032D0">
              <w:t xml:space="preserve"> 160</w:t>
            </w:r>
            <w:r w:rsidR="005032D0">
              <w:t> </w:t>
            </w:r>
            <w:r w:rsidRPr="005032D0">
              <w:t xml:space="preserve">mg </w:t>
            </w:r>
            <w:proofErr w:type="spellStart"/>
            <w:r w:rsidRPr="005032D0">
              <w:t>rela</w:t>
            </w:r>
            <w:r w:rsidR="005032D0">
              <w:t>tlimab</w:t>
            </w:r>
            <w:proofErr w:type="spellEnd"/>
            <w:r w:rsidRPr="005032D0">
              <w:t xml:space="preserve"> Q4W (n</w:t>
            </w:r>
            <w:r w:rsidR="00B83235">
              <w:t> = </w:t>
            </w:r>
            <w:r w:rsidRPr="005032D0">
              <w:t>82)</w:t>
            </w:r>
          </w:p>
        </w:tc>
        <w:tc>
          <w:tcPr>
            <w:tcW w:w="0" w:type="dxa"/>
          </w:tcPr>
          <w:p w14:paraId="4F409C1D" w14:textId="61B25D02" w:rsidR="007E6CFF" w:rsidRPr="005032D0" w:rsidRDefault="007E6CFF" w:rsidP="005032D0">
            <w:pPr>
              <w:pStyle w:val="TableText"/>
              <w:rPr>
                <w:b/>
                <w:bCs/>
              </w:rPr>
            </w:pPr>
            <w:r w:rsidRPr="005032D0">
              <w:rPr>
                <w:b/>
                <w:bCs/>
              </w:rPr>
              <w:t>As the fixed</w:t>
            </w:r>
            <w:r w:rsidR="008F79EB">
              <w:rPr>
                <w:b/>
                <w:bCs/>
              </w:rPr>
              <w:t>-</w:t>
            </w:r>
            <w:r w:rsidRPr="005032D0">
              <w:rPr>
                <w:b/>
                <w:bCs/>
              </w:rPr>
              <w:t>dose combination</w:t>
            </w:r>
          </w:p>
        </w:tc>
        <w:tc>
          <w:tcPr>
            <w:tcW w:w="0" w:type="dxa"/>
          </w:tcPr>
          <w:p w14:paraId="52E6F6A3" w14:textId="64A65B8E" w:rsidR="00C40CC6" w:rsidRPr="005032D0" w:rsidRDefault="007E6CFF" w:rsidP="00901FA0">
            <w:pPr>
              <w:pStyle w:val="TableText"/>
            </w:pPr>
            <w:r w:rsidRPr="005032D0">
              <w:t>18% (11, 28)</w:t>
            </w:r>
          </w:p>
          <w:p w14:paraId="24B1606A" w14:textId="77777777" w:rsidR="00C40CC6" w:rsidRDefault="007E6CFF" w:rsidP="005032D0">
            <w:pPr>
              <w:pStyle w:val="TableText"/>
            </w:pPr>
            <w:r w:rsidRPr="005032D0">
              <w:t>5% CR</w:t>
            </w:r>
          </w:p>
          <w:p w14:paraId="4FDD8CD6" w14:textId="1AC22914" w:rsidR="007E6CFF" w:rsidRPr="005032D0" w:rsidRDefault="007E6CFF" w:rsidP="005032D0">
            <w:pPr>
              <w:pStyle w:val="TableText"/>
            </w:pPr>
            <w:r w:rsidRPr="005032D0">
              <w:t>13% PR</w:t>
            </w:r>
          </w:p>
        </w:tc>
        <w:tc>
          <w:tcPr>
            <w:tcW w:w="0" w:type="dxa"/>
          </w:tcPr>
          <w:p w14:paraId="0170DEAA" w14:textId="77777777" w:rsidR="007E6CFF" w:rsidRPr="005032D0" w:rsidRDefault="007E6CFF" w:rsidP="005032D0">
            <w:pPr>
              <w:pStyle w:val="TableText"/>
            </w:pPr>
            <w:r w:rsidRPr="005032D0">
              <w:t>18 months</w:t>
            </w:r>
          </w:p>
        </w:tc>
        <w:tc>
          <w:tcPr>
            <w:tcW w:w="0" w:type="dxa"/>
          </w:tcPr>
          <w:p w14:paraId="621AC8F7" w14:textId="5D1353CA" w:rsidR="007E6CFF" w:rsidRPr="005032D0" w:rsidRDefault="007E6CFF" w:rsidP="005032D0">
            <w:pPr>
              <w:pStyle w:val="TableText"/>
            </w:pPr>
            <w:r w:rsidRPr="005032D0">
              <w:t>16 weeks</w:t>
            </w:r>
          </w:p>
          <w:p w14:paraId="389CA830" w14:textId="77777777" w:rsidR="007E6CFF" w:rsidRPr="005032D0" w:rsidRDefault="007E6CFF" w:rsidP="005032D0">
            <w:pPr>
              <w:pStyle w:val="TableText"/>
            </w:pPr>
            <w:r w:rsidRPr="005032D0">
              <w:t>(7, 55)</w:t>
            </w:r>
          </w:p>
        </w:tc>
      </w:tr>
      <w:tr w:rsidR="007E6CFF" w:rsidRPr="005032D0" w14:paraId="09B5E2B2" w14:textId="77777777" w:rsidTr="00095D26">
        <w:trPr>
          <w:trHeight w:val="235"/>
        </w:trPr>
        <w:tc>
          <w:tcPr>
            <w:tcW w:w="0" w:type="dxa"/>
          </w:tcPr>
          <w:p w14:paraId="5E0F1C34" w14:textId="77777777" w:rsidR="007E6CFF" w:rsidRPr="005032D0" w:rsidRDefault="007E6CFF" w:rsidP="005032D0">
            <w:pPr>
              <w:pStyle w:val="TableText"/>
            </w:pPr>
            <w:r w:rsidRPr="005032D0">
              <w:t>D2</w:t>
            </w:r>
          </w:p>
        </w:tc>
        <w:tc>
          <w:tcPr>
            <w:tcW w:w="0" w:type="dxa"/>
          </w:tcPr>
          <w:p w14:paraId="04B9EE68" w14:textId="7E701C2A" w:rsidR="007E6CFF" w:rsidRPr="005032D0" w:rsidRDefault="007E6CFF" w:rsidP="005032D0">
            <w:pPr>
              <w:pStyle w:val="TableText"/>
            </w:pPr>
            <w:r w:rsidRPr="005032D0">
              <w:t>480</w:t>
            </w:r>
            <w:r w:rsidR="005032D0">
              <w:t> </w:t>
            </w:r>
            <w:r w:rsidRPr="005032D0">
              <w:t>mg nivo</w:t>
            </w:r>
            <w:r w:rsidR="005032D0">
              <w:t>lumab</w:t>
            </w:r>
            <w:r w:rsidRPr="005032D0">
              <w:t xml:space="preserve"> </w:t>
            </w:r>
            <w:r w:rsidR="000F4B6F">
              <w:t>plus</w:t>
            </w:r>
            <w:r w:rsidRPr="005032D0">
              <w:t xml:space="preserve"> 160</w:t>
            </w:r>
            <w:r w:rsidR="005032D0">
              <w:t> </w:t>
            </w:r>
            <w:r w:rsidRPr="005032D0">
              <w:t xml:space="preserve">mg </w:t>
            </w:r>
            <w:proofErr w:type="spellStart"/>
            <w:r w:rsidRPr="005032D0">
              <w:t>rela</w:t>
            </w:r>
            <w:r w:rsidR="005032D0">
              <w:t>tlimab</w:t>
            </w:r>
            <w:proofErr w:type="spellEnd"/>
            <w:r w:rsidRPr="005032D0">
              <w:t xml:space="preserve"> Q4W (n</w:t>
            </w:r>
            <w:r w:rsidR="00B83235">
              <w:t> = </w:t>
            </w:r>
            <w:r w:rsidRPr="005032D0">
              <w:t>83)</w:t>
            </w:r>
          </w:p>
        </w:tc>
        <w:tc>
          <w:tcPr>
            <w:tcW w:w="0" w:type="dxa"/>
          </w:tcPr>
          <w:p w14:paraId="6BFBB464" w14:textId="77777777" w:rsidR="007E6CFF" w:rsidRPr="005032D0" w:rsidRDefault="007E6CFF" w:rsidP="005032D0">
            <w:pPr>
              <w:pStyle w:val="TableText"/>
            </w:pPr>
            <w:r w:rsidRPr="005032D0">
              <w:t>Co-administered from separate vials</w:t>
            </w:r>
          </w:p>
        </w:tc>
        <w:tc>
          <w:tcPr>
            <w:tcW w:w="0" w:type="dxa"/>
          </w:tcPr>
          <w:p w14:paraId="37D4B09E" w14:textId="28CC47DA" w:rsidR="00C40CC6" w:rsidRPr="005032D0" w:rsidRDefault="007E6CFF" w:rsidP="00901FA0">
            <w:pPr>
              <w:pStyle w:val="TableText"/>
            </w:pPr>
            <w:r w:rsidRPr="005032D0">
              <w:t>9% (5, 15)</w:t>
            </w:r>
          </w:p>
          <w:p w14:paraId="71B17185" w14:textId="77777777" w:rsidR="00C40CC6" w:rsidRDefault="007E6CFF" w:rsidP="005032D0">
            <w:pPr>
              <w:pStyle w:val="TableText"/>
            </w:pPr>
            <w:r w:rsidRPr="005032D0">
              <w:t>2% CR</w:t>
            </w:r>
          </w:p>
          <w:p w14:paraId="010D77A1" w14:textId="0214C40A" w:rsidR="007E6CFF" w:rsidRPr="005032D0" w:rsidRDefault="007E6CFF" w:rsidP="005032D0">
            <w:pPr>
              <w:pStyle w:val="TableText"/>
            </w:pPr>
            <w:r w:rsidRPr="005032D0">
              <w:t>7% PR</w:t>
            </w:r>
          </w:p>
        </w:tc>
        <w:tc>
          <w:tcPr>
            <w:tcW w:w="0" w:type="dxa"/>
          </w:tcPr>
          <w:p w14:paraId="7CB2FA5B" w14:textId="77777777" w:rsidR="007E6CFF" w:rsidRPr="005032D0" w:rsidRDefault="007E6CFF" w:rsidP="005032D0">
            <w:pPr>
              <w:pStyle w:val="TableText"/>
            </w:pPr>
            <w:r w:rsidRPr="005032D0">
              <w:t>13 months</w:t>
            </w:r>
          </w:p>
        </w:tc>
        <w:tc>
          <w:tcPr>
            <w:tcW w:w="0" w:type="dxa"/>
          </w:tcPr>
          <w:p w14:paraId="793B6EF7" w14:textId="3FED356F" w:rsidR="007E6CFF" w:rsidRPr="005032D0" w:rsidRDefault="007E6CFF" w:rsidP="005032D0">
            <w:pPr>
              <w:pStyle w:val="TableText"/>
            </w:pPr>
            <w:r w:rsidRPr="005032D0">
              <w:t>16 weeks</w:t>
            </w:r>
          </w:p>
          <w:p w14:paraId="781CF37C" w14:textId="77777777" w:rsidR="007E6CFF" w:rsidRPr="005032D0" w:rsidRDefault="007E6CFF" w:rsidP="005032D0">
            <w:pPr>
              <w:pStyle w:val="TableText"/>
            </w:pPr>
            <w:r w:rsidRPr="005032D0">
              <w:t>(7, 40)</w:t>
            </w:r>
          </w:p>
        </w:tc>
      </w:tr>
    </w:tbl>
    <w:p w14:paraId="21C689E0" w14:textId="3C1D268F" w:rsidR="007E6CFF" w:rsidRPr="005032D0" w:rsidRDefault="007E6CFF" w:rsidP="005032D0">
      <w:pPr>
        <w:pStyle w:val="TableDescription"/>
      </w:pPr>
      <w:r w:rsidRPr="005032D0">
        <w:t>Abbreviations: CI</w:t>
      </w:r>
      <w:r w:rsidR="00B83235">
        <w:t> = </w:t>
      </w:r>
      <w:r w:rsidRPr="005032D0">
        <w:t>confidence interval; CR</w:t>
      </w:r>
      <w:r w:rsidR="00B83235">
        <w:t> = </w:t>
      </w:r>
      <w:r w:rsidR="00EB33EE" w:rsidRPr="005032D0">
        <w:t>complete response</w:t>
      </w:r>
      <w:r w:rsidRPr="005032D0">
        <w:t>; max</w:t>
      </w:r>
      <w:r w:rsidR="00B83235">
        <w:t> = </w:t>
      </w:r>
      <w:r w:rsidRPr="005032D0">
        <w:t xml:space="preserve">maximum; </w:t>
      </w:r>
      <w:proofErr w:type="spellStart"/>
      <w:r w:rsidRPr="005032D0">
        <w:t>mDOR</w:t>
      </w:r>
      <w:proofErr w:type="spellEnd"/>
      <w:r w:rsidR="00B83235">
        <w:t> = </w:t>
      </w:r>
      <w:r w:rsidRPr="005032D0">
        <w:t>median duration of responses; min</w:t>
      </w:r>
      <w:r w:rsidR="00B83235">
        <w:t> = </w:t>
      </w:r>
      <w:r w:rsidRPr="005032D0">
        <w:t xml:space="preserve">minimum; </w:t>
      </w:r>
      <w:proofErr w:type="spellStart"/>
      <w:r w:rsidRPr="005032D0">
        <w:t>mTTR</w:t>
      </w:r>
      <w:proofErr w:type="spellEnd"/>
      <w:r w:rsidR="00B83235">
        <w:t> = </w:t>
      </w:r>
      <w:r w:rsidRPr="005032D0">
        <w:t xml:space="preserve">median time to response; </w:t>
      </w:r>
      <w:r w:rsidR="00C40CC6">
        <w:t>NR</w:t>
      </w:r>
      <w:r w:rsidR="00B83235">
        <w:t> = </w:t>
      </w:r>
      <w:r w:rsidR="00C40CC6">
        <w:t xml:space="preserve">not reached; </w:t>
      </w:r>
      <w:r w:rsidRPr="005032D0">
        <w:t>ORR</w:t>
      </w:r>
      <w:r w:rsidR="00B83235">
        <w:t> = </w:t>
      </w:r>
      <w:r w:rsidRPr="005032D0">
        <w:t>objective response rate confirmed per blinded independent central review; PR</w:t>
      </w:r>
      <w:r w:rsidR="00B83235">
        <w:t> = </w:t>
      </w:r>
      <w:r w:rsidR="00EB33EE" w:rsidRPr="005032D0">
        <w:t>partial response</w:t>
      </w:r>
      <w:r w:rsidRPr="005032D0">
        <w:t>; Q4W</w:t>
      </w:r>
      <w:r w:rsidR="00B83235">
        <w:t> = </w:t>
      </w:r>
      <w:r w:rsidRPr="005032D0">
        <w:t>every four weeks</w:t>
      </w:r>
      <w:r w:rsidR="00C40CC6">
        <w:t>.</w:t>
      </w:r>
    </w:p>
    <w:p w14:paraId="58A42D97" w14:textId="6504F077" w:rsidR="007E6CFF" w:rsidRPr="005032D0" w:rsidRDefault="007E6CFF" w:rsidP="005032D0">
      <w:pPr>
        <w:pStyle w:val="TableDescription"/>
      </w:pPr>
      <w:r w:rsidRPr="005032D0">
        <w:t xml:space="preserve">* </w:t>
      </w:r>
      <w:r w:rsidR="001459F0">
        <w:t xml:space="preserve">There were </w:t>
      </w:r>
      <w:r w:rsidRPr="005032D0">
        <w:t xml:space="preserve">55% </w:t>
      </w:r>
      <w:r w:rsidR="001459F0">
        <w:t xml:space="preserve">of patients </w:t>
      </w:r>
      <w:r w:rsidRPr="005032D0">
        <w:t>ongoing at 28 months minimum follow-up</w:t>
      </w:r>
      <w:r w:rsidR="001459F0">
        <w:t>.</w:t>
      </w:r>
    </w:p>
    <w:p w14:paraId="19816240" w14:textId="77777777" w:rsidR="00EB33EE" w:rsidRPr="00A9392B" w:rsidRDefault="00EB33EE" w:rsidP="00EB33EE">
      <w:pPr>
        <w:pStyle w:val="Heading4"/>
      </w:pPr>
      <w:bookmarkStart w:id="95" w:name="_Toc154134527"/>
      <w:r w:rsidRPr="00505CB1">
        <w:t>Safety</w:t>
      </w:r>
      <w:bookmarkEnd w:id="95"/>
    </w:p>
    <w:p w14:paraId="13A2FD9B" w14:textId="77777777" w:rsidR="00EB33EE" w:rsidRPr="003D1296" w:rsidRDefault="00EB33EE" w:rsidP="003D1296">
      <w:pPr>
        <w:pStyle w:val="Heading5"/>
      </w:pPr>
      <w:bookmarkStart w:id="96" w:name="_Hlk153980286"/>
      <w:r w:rsidRPr="003D1296">
        <w:t>Safety analysis methodology</w:t>
      </w:r>
    </w:p>
    <w:p w14:paraId="6EE7DA4E" w14:textId="16464FE0" w:rsidR="00EB33EE" w:rsidRDefault="00EB33EE" w:rsidP="00EB33EE">
      <w:r>
        <w:t>The safety analysis population consists of all patients who received at least one dose of the fixed</w:t>
      </w:r>
      <w:r w:rsidR="008F79EB">
        <w:t>=</w:t>
      </w:r>
      <w:r>
        <w:t xml:space="preserve">dose combination of nivolumab with </w:t>
      </w:r>
      <w:proofErr w:type="spellStart"/>
      <w:r>
        <w:t>relatlimab</w:t>
      </w:r>
      <w:proofErr w:type="spellEnd"/>
      <w:r>
        <w:t xml:space="preserve"> in </w:t>
      </w:r>
      <w:r w:rsidR="003269A5">
        <w:t>the RELATIVITY-047 trial</w:t>
      </w:r>
      <w:r>
        <w:t>. The main safety analysis was performed on data from the same database lock date as the primary efficacy analysis (9 March 2021). A 120-day safety update (with an additional 4 months of follow</w:t>
      </w:r>
      <w:r w:rsidR="00A5464B">
        <w:noBreakHyphen/>
      </w:r>
      <w:r>
        <w:t>up) and safety data at time of final OS analysis were also reviewed.</w:t>
      </w:r>
    </w:p>
    <w:p w14:paraId="4FAEC89D" w14:textId="5D7C512E" w:rsidR="00EB33EE" w:rsidRDefault="00EB33EE" w:rsidP="00EB33EE">
      <w:r w:rsidRPr="00922A20">
        <w:t xml:space="preserve">The protocol </w:t>
      </w:r>
      <w:r>
        <w:t xml:space="preserve">for </w:t>
      </w:r>
      <w:r w:rsidR="003269A5">
        <w:t>the RELATIVITY-047 trial</w:t>
      </w:r>
      <w:r>
        <w:t xml:space="preserve"> contained detailed criteria for d</w:t>
      </w:r>
      <w:r w:rsidRPr="00922A20">
        <w:t xml:space="preserve">elay, </w:t>
      </w:r>
      <w:r>
        <w:t>r</w:t>
      </w:r>
      <w:r w:rsidRPr="00922A20">
        <w:t>esum</w:t>
      </w:r>
      <w:r>
        <w:t>ption</w:t>
      </w:r>
      <w:r w:rsidRPr="00922A20">
        <w:t xml:space="preserve">, and </w:t>
      </w:r>
      <w:r>
        <w:t>discontinuation of study treatment for</w:t>
      </w:r>
      <w:r w:rsidRPr="00922A20">
        <w:t xml:space="preserve"> specific adverse events</w:t>
      </w:r>
      <w:r>
        <w:t>.</w:t>
      </w:r>
    </w:p>
    <w:p w14:paraId="7F53069F" w14:textId="12DE6F23" w:rsidR="00EB33EE" w:rsidRPr="005824A4" w:rsidRDefault="00EB33EE" w:rsidP="00EB33EE">
      <w:r w:rsidRPr="005824A4">
        <w:t xml:space="preserve">Adverse events (AE) were reported in the study using </w:t>
      </w:r>
      <w:r w:rsidR="00B651DF" w:rsidRPr="00B651DF">
        <w:t>Medical Dictionary for Regulatory Activities (</w:t>
      </w:r>
      <w:r w:rsidRPr="005824A4">
        <w:t>MedDRA</w:t>
      </w:r>
      <w:r w:rsidR="00B651DF">
        <w:t>)</w:t>
      </w:r>
      <w:r w:rsidR="00992807" w:rsidRPr="005824A4">
        <w:rPr>
          <w:rStyle w:val="FootnoteReference"/>
        </w:rPr>
        <w:footnoteReference w:id="91"/>
      </w:r>
      <w:r w:rsidRPr="005824A4">
        <w:t xml:space="preserve"> and are described in the </w:t>
      </w:r>
      <w:r w:rsidR="00992807" w:rsidRPr="005824A4">
        <w:t>submission</w:t>
      </w:r>
      <w:r w:rsidRPr="005824A4">
        <w:t xml:space="preserve"> using </w:t>
      </w:r>
      <w:r w:rsidR="00B651DF">
        <w:t>P</w:t>
      </w:r>
      <w:r w:rsidRPr="005824A4">
        <w:t xml:space="preserve">referred </w:t>
      </w:r>
      <w:r w:rsidR="00B651DF">
        <w:t>T</w:t>
      </w:r>
      <w:r w:rsidRPr="005824A4">
        <w:t>erms (PT)</w:t>
      </w:r>
      <w:r w:rsidR="00512514" w:rsidRPr="005824A4">
        <w:rPr>
          <w:rStyle w:val="FootnoteReference"/>
        </w:rPr>
        <w:footnoteReference w:id="92"/>
      </w:r>
      <w:r w:rsidRPr="005824A4">
        <w:t>. For the purposes of meaningful clinical inference, the regulatory review of safety data has used clinically meaningful groups of PTs (grouped terms</w:t>
      </w:r>
      <w:r w:rsidR="0074147D" w:rsidRPr="005824A4">
        <w:t>).</w:t>
      </w:r>
    </w:p>
    <w:p w14:paraId="2F320EEE" w14:textId="2273124D" w:rsidR="00EB33EE" w:rsidRPr="005824A4" w:rsidRDefault="00EB33EE" w:rsidP="00EB33EE">
      <w:r w:rsidRPr="005824A4">
        <w:t xml:space="preserve">Based on the mechanism of action for </w:t>
      </w:r>
      <w:proofErr w:type="spellStart"/>
      <w:r w:rsidRPr="005824A4">
        <w:t>O</w:t>
      </w:r>
      <w:r w:rsidR="0074147D" w:rsidRPr="005824A4">
        <w:t>pdualag</w:t>
      </w:r>
      <w:proofErr w:type="spellEnd"/>
      <w:r w:rsidRPr="005824A4">
        <w:t>, immune</w:t>
      </w:r>
      <w:r w:rsidR="00630E7F">
        <w:t>-</w:t>
      </w:r>
      <w:r w:rsidRPr="005824A4">
        <w:t xml:space="preserve">mediated adverse events </w:t>
      </w:r>
      <w:r w:rsidR="0074147D" w:rsidRPr="005824A4">
        <w:t xml:space="preserve">(IMAE) </w:t>
      </w:r>
      <w:r w:rsidRPr="005824A4">
        <w:t>and other events of special interest (OESI) were a particular focus of the safety review.</w:t>
      </w:r>
    </w:p>
    <w:p w14:paraId="2E737C08" w14:textId="0980C876" w:rsidR="00EB33EE" w:rsidRPr="00922A20" w:rsidRDefault="00EB33EE" w:rsidP="00EB33EE">
      <w:r w:rsidRPr="005824A4">
        <w:t xml:space="preserve">Exploratory subgroup analyses were conducted by </w:t>
      </w:r>
      <w:r w:rsidR="00512514" w:rsidRPr="005824A4">
        <w:t xml:space="preserve">the </w:t>
      </w:r>
      <w:r w:rsidRPr="005824A4">
        <w:t xml:space="preserve">FDA and did not indicate a different safety profile based on age, sex, </w:t>
      </w:r>
      <w:r w:rsidR="0074147D" w:rsidRPr="005824A4">
        <w:t xml:space="preserve">or </w:t>
      </w:r>
      <w:r w:rsidRPr="005824A4">
        <w:t>region</w:t>
      </w:r>
      <w:r w:rsidR="0074147D" w:rsidRPr="005824A4">
        <w:t>.</w:t>
      </w:r>
      <w:r w:rsidR="000F087C" w:rsidRPr="005824A4">
        <w:rPr>
          <w:rStyle w:val="FootnoteReference"/>
        </w:rPr>
        <w:footnoteReference w:id="93"/>
      </w:r>
    </w:p>
    <w:bookmarkEnd w:id="96"/>
    <w:p w14:paraId="1F6A01E5" w14:textId="77777777" w:rsidR="00EB33EE" w:rsidRPr="003D1296" w:rsidRDefault="00EB33EE" w:rsidP="003D1296">
      <w:pPr>
        <w:pStyle w:val="Heading5"/>
      </w:pPr>
      <w:r w:rsidRPr="003D1296">
        <w:lastRenderedPageBreak/>
        <w:t>Treatment duration and exposure</w:t>
      </w:r>
    </w:p>
    <w:p w14:paraId="40D77081" w14:textId="0C3E75A1" w:rsidR="00EB33EE" w:rsidRPr="003A7347" w:rsidRDefault="00EB33EE" w:rsidP="00EB33EE">
      <w:r w:rsidRPr="006F224F">
        <w:t xml:space="preserve">Exposure to study treatment for the safety analysis population at the </w:t>
      </w:r>
      <w:r w:rsidR="000F087C">
        <w:t xml:space="preserve">database lock date of 9 March 2021 </w:t>
      </w:r>
      <w:r w:rsidRPr="006F224F">
        <w:t xml:space="preserve">for the </w:t>
      </w:r>
      <w:r>
        <w:t>primary analysis</w:t>
      </w:r>
      <w:r w:rsidRPr="006F224F">
        <w:t xml:space="preserve"> is summarised in</w:t>
      </w:r>
      <w:r w:rsidR="000F087C">
        <w:t xml:space="preserve"> </w:t>
      </w:r>
      <w:r w:rsidR="005824A4">
        <w:t>the following table.</w:t>
      </w:r>
      <w:r w:rsidRPr="00630163">
        <w:t xml:space="preserve"> </w:t>
      </w:r>
      <w:r w:rsidRPr="003A7347">
        <w:t>Exposure was similar between treatment arms</w:t>
      </w:r>
      <w:r>
        <w:t>.</w:t>
      </w:r>
    </w:p>
    <w:p w14:paraId="2403D530" w14:textId="279A8AF8" w:rsidR="00EB33EE" w:rsidRDefault="00EB33EE" w:rsidP="00EB33EE">
      <w:r w:rsidRPr="006F224F">
        <w:t xml:space="preserve">The </w:t>
      </w:r>
      <w:r>
        <w:t xml:space="preserve">recruitment </w:t>
      </w:r>
      <w:proofErr w:type="gramStart"/>
      <w:r>
        <w:t>pause</w:t>
      </w:r>
      <w:proofErr w:type="gramEnd"/>
      <w:r>
        <w:t xml:space="preserve"> for interim PFS analysis and a COVID-19</w:t>
      </w:r>
      <w:r w:rsidR="003269A5">
        <w:t xml:space="preserve"> </w:t>
      </w:r>
      <w:r>
        <w:t>related enrolment slowdown</w:t>
      </w:r>
      <w:r w:rsidR="005824A4">
        <w:t>,</w:t>
      </w:r>
      <w:r>
        <w:t xml:space="preserve"> explain the notable proportion (around one</w:t>
      </w:r>
      <w:r w:rsidR="000F087C">
        <w:t>-</w:t>
      </w:r>
      <w:r>
        <w:t xml:space="preserve">third) </w:t>
      </w:r>
      <w:r w:rsidRPr="003A7347">
        <w:t xml:space="preserve">of patients in </w:t>
      </w:r>
      <w:r w:rsidR="003269A5">
        <w:t>the RELATIVITY-047 trial</w:t>
      </w:r>
      <w:r w:rsidRPr="003A7347">
        <w:t xml:space="preserve"> who had 3</w:t>
      </w:r>
      <w:r w:rsidR="000F087C">
        <w:t> </w:t>
      </w:r>
      <w:r w:rsidRPr="003A7347">
        <w:t xml:space="preserve">months or less duration of treatment at </w:t>
      </w:r>
      <w:r w:rsidR="005824A4">
        <w:t xml:space="preserve">the </w:t>
      </w:r>
      <w:r w:rsidRPr="003A7347">
        <w:t>time of primary PFS analysis.</w:t>
      </w:r>
    </w:p>
    <w:p w14:paraId="16BC9CC2" w14:textId="6637902A" w:rsidR="000F087C" w:rsidRPr="003A7347" w:rsidRDefault="000F087C" w:rsidP="000F087C">
      <w:pPr>
        <w:pStyle w:val="TableTitle"/>
      </w:pPr>
      <w:bookmarkStart w:id="97" w:name="_Ref77939934"/>
      <w:bookmarkStart w:id="98" w:name="_Ref106623961"/>
      <w:r w:rsidRPr="003A7347">
        <w:t xml:space="preserve">Table </w:t>
      </w:r>
      <w:r>
        <w:fldChar w:fldCharType="begin"/>
      </w:r>
      <w:r>
        <w:instrText>SEQ Table \* ARABIC</w:instrText>
      </w:r>
      <w:r>
        <w:fldChar w:fldCharType="separate"/>
      </w:r>
      <w:r w:rsidR="004F1B9E">
        <w:rPr>
          <w:noProof/>
        </w:rPr>
        <w:t>6</w:t>
      </w:r>
      <w:r>
        <w:fldChar w:fldCharType="end"/>
      </w:r>
      <w:bookmarkEnd w:id="97"/>
      <w:r>
        <w:rPr>
          <w:noProof/>
        </w:rPr>
        <w:t>:</w:t>
      </w:r>
      <w:bookmarkStart w:id="99" w:name="_Hlk101448970"/>
      <w:r w:rsidR="003269A5">
        <w:rPr>
          <w:noProof/>
        </w:rPr>
        <w:t xml:space="preserve"> RELATIVITY-047 </w:t>
      </w:r>
      <w:r>
        <w:t>Treatment duration and e</w:t>
      </w:r>
      <w:r w:rsidRPr="003A7347">
        <w:t xml:space="preserve">xposure </w:t>
      </w:r>
      <w:r w:rsidR="00D70FED">
        <w:t>(</w:t>
      </w:r>
      <w:r w:rsidRPr="003A7347">
        <w:t>safety analysis population</w:t>
      </w:r>
      <w:bookmarkEnd w:id="98"/>
      <w:bookmarkEnd w:id="99"/>
      <w:r w:rsidR="00D70FED">
        <w:t>)</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339"/>
        <w:gridCol w:w="2339"/>
        <w:gridCol w:w="2126"/>
        <w:gridCol w:w="2127"/>
      </w:tblGrid>
      <w:tr w:rsidR="00DD7C84" w:rsidRPr="005824A4" w14:paraId="04DCDD54" w14:textId="77777777" w:rsidTr="005824A4">
        <w:trPr>
          <w:trHeight w:val="454"/>
          <w:tblHeader/>
        </w:trPr>
        <w:tc>
          <w:tcPr>
            <w:tcW w:w="4678" w:type="dxa"/>
            <w:gridSpan w:val="2"/>
            <w:tcBorders>
              <w:right w:val="single" w:sz="4" w:space="0" w:color="auto"/>
            </w:tcBorders>
            <w:shd w:val="clear" w:color="auto" w:fill="DEEAF6" w:themeFill="accent5" w:themeFillTint="33"/>
            <w:vAlign w:val="bottom"/>
          </w:tcPr>
          <w:p w14:paraId="5CD6873B" w14:textId="77777777" w:rsidR="000F087C" w:rsidRPr="005824A4" w:rsidRDefault="000F087C" w:rsidP="005824A4">
            <w:pPr>
              <w:pStyle w:val="TableText"/>
              <w:rPr>
                <w:b/>
                <w:bCs/>
              </w:rPr>
            </w:pPr>
            <w:bookmarkStart w:id="100" w:name="_Hlk96096522"/>
            <w:bookmarkStart w:id="101" w:name="_Hlk95923868"/>
          </w:p>
        </w:tc>
        <w:tc>
          <w:tcPr>
            <w:tcW w:w="2126" w:type="dxa"/>
            <w:tcBorders>
              <w:right w:val="single" w:sz="4" w:space="0" w:color="auto"/>
            </w:tcBorders>
            <w:shd w:val="clear" w:color="auto" w:fill="DEEAF6" w:themeFill="accent5" w:themeFillTint="33"/>
            <w:vAlign w:val="center"/>
          </w:tcPr>
          <w:p w14:paraId="2B7EA267" w14:textId="5D0E690E" w:rsidR="000F087C" w:rsidRPr="005824A4" w:rsidRDefault="000F087C" w:rsidP="005824A4">
            <w:pPr>
              <w:pStyle w:val="TableText"/>
              <w:rPr>
                <w:b/>
                <w:bCs/>
              </w:rPr>
            </w:pPr>
            <w:r w:rsidRPr="005824A4">
              <w:rPr>
                <w:b/>
                <w:bCs/>
              </w:rPr>
              <w:t xml:space="preserve">Nivolumab with </w:t>
            </w:r>
            <w:proofErr w:type="spellStart"/>
            <w:r w:rsidRPr="005824A4">
              <w:rPr>
                <w:b/>
                <w:bCs/>
              </w:rPr>
              <w:t>relatlimab</w:t>
            </w:r>
            <w:proofErr w:type="spellEnd"/>
            <w:r w:rsidRPr="005824A4">
              <w:rPr>
                <w:b/>
                <w:bCs/>
              </w:rPr>
              <w:t xml:space="preserve"> (n</w:t>
            </w:r>
            <w:r w:rsidR="00B83235">
              <w:rPr>
                <w:b/>
                <w:bCs/>
              </w:rPr>
              <w:t> = </w:t>
            </w:r>
            <w:r w:rsidRPr="005824A4">
              <w:rPr>
                <w:b/>
                <w:bCs/>
              </w:rPr>
              <w:t>355)</w:t>
            </w:r>
          </w:p>
        </w:tc>
        <w:tc>
          <w:tcPr>
            <w:tcW w:w="2127" w:type="dxa"/>
            <w:tcBorders>
              <w:right w:val="single" w:sz="4" w:space="0" w:color="auto"/>
            </w:tcBorders>
            <w:shd w:val="clear" w:color="auto" w:fill="DEEAF6" w:themeFill="accent5" w:themeFillTint="33"/>
            <w:vAlign w:val="center"/>
          </w:tcPr>
          <w:p w14:paraId="34290EF4" w14:textId="2A34FFC0" w:rsidR="000F087C" w:rsidRPr="005824A4" w:rsidRDefault="000F087C" w:rsidP="005824A4">
            <w:pPr>
              <w:pStyle w:val="TableText"/>
              <w:rPr>
                <w:b/>
                <w:bCs/>
              </w:rPr>
            </w:pPr>
            <w:r w:rsidRPr="005824A4">
              <w:rPr>
                <w:b/>
                <w:bCs/>
              </w:rPr>
              <w:t>Nivolumab</w:t>
            </w:r>
          </w:p>
          <w:p w14:paraId="262F6FB3" w14:textId="0CE124BE" w:rsidR="000F087C" w:rsidRPr="005824A4" w:rsidRDefault="000F087C" w:rsidP="005824A4">
            <w:pPr>
              <w:pStyle w:val="TableText"/>
              <w:rPr>
                <w:b/>
                <w:bCs/>
              </w:rPr>
            </w:pPr>
            <w:r w:rsidRPr="005824A4">
              <w:rPr>
                <w:b/>
                <w:bCs/>
              </w:rPr>
              <w:t>(n</w:t>
            </w:r>
            <w:r w:rsidR="00B83235">
              <w:rPr>
                <w:b/>
                <w:bCs/>
              </w:rPr>
              <w:t> = </w:t>
            </w:r>
            <w:r w:rsidRPr="005824A4">
              <w:rPr>
                <w:b/>
                <w:bCs/>
              </w:rPr>
              <w:t>359)</w:t>
            </w:r>
          </w:p>
        </w:tc>
      </w:tr>
      <w:bookmarkEnd w:id="100"/>
      <w:tr w:rsidR="000F087C" w:rsidRPr="005824A4" w14:paraId="7815A894" w14:textId="77777777" w:rsidTr="005824A4">
        <w:trPr>
          <w:trHeight w:val="20"/>
        </w:trPr>
        <w:tc>
          <w:tcPr>
            <w:tcW w:w="8931" w:type="dxa"/>
            <w:gridSpan w:val="4"/>
            <w:tcBorders>
              <w:right w:val="single" w:sz="4" w:space="0" w:color="auto"/>
            </w:tcBorders>
            <w:shd w:val="clear" w:color="auto" w:fill="DEEAF6" w:themeFill="accent5" w:themeFillTint="33"/>
            <w:vAlign w:val="center"/>
          </w:tcPr>
          <w:p w14:paraId="282394F1" w14:textId="77777777" w:rsidR="000F087C" w:rsidRPr="005824A4" w:rsidRDefault="000F087C" w:rsidP="005824A4">
            <w:pPr>
              <w:pStyle w:val="TableText"/>
            </w:pPr>
            <w:r w:rsidRPr="005824A4">
              <w:t>Treatment duration and exposure</w:t>
            </w:r>
          </w:p>
        </w:tc>
      </w:tr>
      <w:bookmarkEnd w:id="101"/>
      <w:tr w:rsidR="000F087C" w:rsidRPr="005824A4" w14:paraId="558DA77B" w14:textId="77777777" w:rsidTr="00A067B6">
        <w:trPr>
          <w:trHeight w:val="20"/>
        </w:trPr>
        <w:tc>
          <w:tcPr>
            <w:tcW w:w="4678" w:type="dxa"/>
            <w:gridSpan w:val="2"/>
            <w:tcBorders>
              <w:right w:val="single" w:sz="4" w:space="0" w:color="auto"/>
            </w:tcBorders>
            <w:vAlign w:val="center"/>
          </w:tcPr>
          <w:p w14:paraId="71F13D75" w14:textId="77777777" w:rsidR="000F087C" w:rsidRPr="005824A4" w:rsidRDefault="000F087C" w:rsidP="005824A4">
            <w:pPr>
              <w:pStyle w:val="TableText"/>
            </w:pPr>
            <w:r w:rsidRPr="005824A4">
              <w:t>Median treatment duration, months (range)</w:t>
            </w:r>
          </w:p>
        </w:tc>
        <w:tc>
          <w:tcPr>
            <w:tcW w:w="2126" w:type="dxa"/>
            <w:tcBorders>
              <w:right w:val="single" w:sz="4" w:space="0" w:color="auto"/>
            </w:tcBorders>
            <w:vAlign w:val="center"/>
          </w:tcPr>
          <w:p w14:paraId="4ECFAFE8" w14:textId="77777777" w:rsidR="000F087C" w:rsidRPr="005824A4" w:rsidRDefault="000F087C" w:rsidP="005824A4">
            <w:pPr>
              <w:pStyle w:val="TableText"/>
            </w:pPr>
            <w:r w:rsidRPr="005824A4">
              <w:t>6 (0, 31)</w:t>
            </w:r>
          </w:p>
        </w:tc>
        <w:tc>
          <w:tcPr>
            <w:tcW w:w="2127" w:type="dxa"/>
            <w:tcBorders>
              <w:right w:val="single" w:sz="4" w:space="0" w:color="auto"/>
            </w:tcBorders>
            <w:vAlign w:val="center"/>
          </w:tcPr>
          <w:p w14:paraId="109C419C" w14:textId="77777777" w:rsidR="000F087C" w:rsidRPr="005824A4" w:rsidRDefault="000F087C" w:rsidP="005824A4">
            <w:pPr>
              <w:pStyle w:val="TableText"/>
            </w:pPr>
            <w:r w:rsidRPr="005824A4">
              <w:t>5 (0, 32)</w:t>
            </w:r>
          </w:p>
        </w:tc>
      </w:tr>
      <w:tr w:rsidR="000F087C" w:rsidRPr="005824A4" w14:paraId="6BFBB232" w14:textId="77777777" w:rsidTr="00A067B6">
        <w:trPr>
          <w:trHeight w:val="20"/>
        </w:trPr>
        <w:tc>
          <w:tcPr>
            <w:tcW w:w="4678" w:type="dxa"/>
            <w:gridSpan w:val="2"/>
            <w:tcBorders>
              <w:right w:val="single" w:sz="4" w:space="0" w:color="auto"/>
            </w:tcBorders>
            <w:vAlign w:val="center"/>
          </w:tcPr>
          <w:p w14:paraId="365F0129" w14:textId="77777777" w:rsidR="000F087C" w:rsidRPr="005824A4" w:rsidRDefault="000F087C" w:rsidP="005824A4">
            <w:pPr>
              <w:pStyle w:val="TableText"/>
            </w:pPr>
            <w:r w:rsidRPr="005824A4">
              <w:t>Mean treatment duration, months (standard deviation)</w:t>
            </w:r>
          </w:p>
        </w:tc>
        <w:tc>
          <w:tcPr>
            <w:tcW w:w="2126" w:type="dxa"/>
            <w:tcBorders>
              <w:right w:val="single" w:sz="4" w:space="0" w:color="auto"/>
            </w:tcBorders>
            <w:vAlign w:val="center"/>
          </w:tcPr>
          <w:p w14:paraId="75BC55D0" w14:textId="77777777" w:rsidR="000F087C" w:rsidRPr="005824A4" w:rsidRDefault="000F087C" w:rsidP="005824A4">
            <w:pPr>
              <w:pStyle w:val="TableText"/>
            </w:pPr>
            <w:r w:rsidRPr="005824A4">
              <w:t>9 (8)</w:t>
            </w:r>
          </w:p>
        </w:tc>
        <w:tc>
          <w:tcPr>
            <w:tcW w:w="2127" w:type="dxa"/>
            <w:tcBorders>
              <w:right w:val="single" w:sz="4" w:space="0" w:color="auto"/>
            </w:tcBorders>
            <w:vAlign w:val="center"/>
          </w:tcPr>
          <w:p w14:paraId="5534F72F" w14:textId="77777777" w:rsidR="000F087C" w:rsidRPr="005824A4" w:rsidRDefault="000F087C" w:rsidP="005824A4">
            <w:pPr>
              <w:pStyle w:val="TableText"/>
            </w:pPr>
            <w:r w:rsidRPr="005824A4">
              <w:t>9 (9)</w:t>
            </w:r>
          </w:p>
        </w:tc>
      </w:tr>
      <w:tr w:rsidR="000F087C" w:rsidRPr="005824A4" w14:paraId="41DB3E4A" w14:textId="77777777" w:rsidTr="00A067B6">
        <w:trPr>
          <w:trHeight w:val="20"/>
        </w:trPr>
        <w:tc>
          <w:tcPr>
            <w:tcW w:w="2339" w:type="dxa"/>
            <w:vMerge w:val="restart"/>
            <w:tcBorders>
              <w:right w:val="single" w:sz="4" w:space="0" w:color="auto"/>
            </w:tcBorders>
            <w:vAlign w:val="center"/>
          </w:tcPr>
          <w:p w14:paraId="31F00620" w14:textId="77777777" w:rsidR="000F087C" w:rsidRPr="005824A4" w:rsidRDefault="000F087C" w:rsidP="005824A4">
            <w:pPr>
              <w:pStyle w:val="TableText"/>
            </w:pPr>
            <w:r w:rsidRPr="005824A4">
              <w:t>Percentage of patients with a minimum duration of therapy</w:t>
            </w:r>
          </w:p>
        </w:tc>
        <w:tc>
          <w:tcPr>
            <w:tcW w:w="2339" w:type="dxa"/>
            <w:tcBorders>
              <w:right w:val="single" w:sz="4" w:space="0" w:color="auto"/>
            </w:tcBorders>
            <w:vAlign w:val="center"/>
          </w:tcPr>
          <w:p w14:paraId="6027CB12" w14:textId="77777777" w:rsidR="000F087C" w:rsidRPr="005824A4" w:rsidRDefault="000F087C" w:rsidP="005824A4">
            <w:pPr>
              <w:pStyle w:val="TableText"/>
            </w:pPr>
            <w:r w:rsidRPr="005824A4">
              <w:t>3 months</w:t>
            </w:r>
          </w:p>
        </w:tc>
        <w:tc>
          <w:tcPr>
            <w:tcW w:w="2126" w:type="dxa"/>
            <w:tcBorders>
              <w:right w:val="single" w:sz="4" w:space="0" w:color="auto"/>
            </w:tcBorders>
            <w:vAlign w:val="center"/>
          </w:tcPr>
          <w:p w14:paraId="71A65C62" w14:textId="77777777" w:rsidR="000F087C" w:rsidRPr="005824A4" w:rsidRDefault="000F087C" w:rsidP="005824A4">
            <w:pPr>
              <w:pStyle w:val="TableText"/>
            </w:pPr>
            <w:r w:rsidRPr="005824A4">
              <w:t>67</w:t>
            </w:r>
          </w:p>
        </w:tc>
        <w:tc>
          <w:tcPr>
            <w:tcW w:w="2127" w:type="dxa"/>
            <w:tcBorders>
              <w:right w:val="single" w:sz="4" w:space="0" w:color="auto"/>
            </w:tcBorders>
            <w:vAlign w:val="center"/>
          </w:tcPr>
          <w:p w14:paraId="16331C8E" w14:textId="77777777" w:rsidR="000F087C" w:rsidRPr="005824A4" w:rsidRDefault="000F087C" w:rsidP="005824A4">
            <w:pPr>
              <w:pStyle w:val="TableText"/>
            </w:pPr>
            <w:r w:rsidRPr="005824A4">
              <w:t>67</w:t>
            </w:r>
          </w:p>
        </w:tc>
      </w:tr>
      <w:tr w:rsidR="000F087C" w:rsidRPr="005824A4" w14:paraId="0EA3E3D1" w14:textId="77777777" w:rsidTr="00A067B6">
        <w:trPr>
          <w:trHeight w:val="20"/>
        </w:trPr>
        <w:tc>
          <w:tcPr>
            <w:tcW w:w="2339" w:type="dxa"/>
            <w:vMerge/>
            <w:tcBorders>
              <w:right w:val="single" w:sz="4" w:space="0" w:color="auto"/>
            </w:tcBorders>
            <w:vAlign w:val="center"/>
          </w:tcPr>
          <w:p w14:paraId="12F17A65" w14:textId="77777777" w:rsidR="000F087C" w:rsidRPr="005824A4" w:rsidRDefault="000F087C" w:rsidP="005824A4">
            <w:pPr>
              <w:pStyle w:val="TableText"/>
            </w:pPr>
          </w:p>
        </w:tc>
        <w:tc>
          <w:tcPr>
            <w:tcW w:w="2339" w:type="dxa"/>
            <w:tcBorders>
              <w:right w:val="single" w:sz="4" w:space="0" w:color="auto"/>
            </w:tcBorders>
            <w:vAlign w:val="center"/>
          </w:tcPr>
          <w:p w14:paraId="54F1428A" w14:textId="77777777" w:rsidR="000F087C" w:rsidRPr="005824A4" w:rsidRDefault="000F087C" w:rsidP="005824A4">
            <w:pPr>
              <w:pStyle w:val="TableText"/>
            </w:pPr>
            <w:r w:rsidRPr="005824A4">
              <w:t>6 months</w:t>
            </w:r>
          </w:p>
        </w:tc>
        <w:tc>
          <w:tcPr>
            <w:tcW w:w="2126" w:type="dxa"/>
            <w:tcBorders>
              <w:right w:val="single" w:sz="4" w:space="0" w:color="auto"/>
            </w:tcBorders>
            <w:vAlign w:val="center"/>
          </w:tcPr>
          <w:p w14:paraId="46929DC5" w14:textId="77777777" w:rsidR="000F087C" w:rsidRPr="005824A4" w:rsidRDefault="000F087C" w:rsidP="005824A4">
            <w:pPr>
              <w:pStyle w:val="TableText"/>
            </w:pPr>
            <w:r w:rsidRPr="005824A4">
              <w:t>49</w:t>
            </w:r>
          </w:p>
        </w:tc>
        <w:tc>
          <w:tcPr>
            <w:tcW w:w="2127" w:type="dxa"/>
            <w:tcBorders>
              <w:right w:val="single" w:sz="4" w:space="0" w:color="auto"/>
            </w:tcBorders>
            <w:vAlign w:val="center"/>
          </w:tcPr>
          <w:p w14:paraId="01BB6F27" w14:textId="77777777" w:rsidR="000F087C" w:rsidRPr="005824A4" w:rsidRDefault="000F087C" w:rsidP="005824A4">
            <w:pPr>
              <w:pStyle w:val="TableText"/>
            </w:pPr>
            <w:r w:rsidRPr="005824A4">
              <w:t>44</w:t>
            </w:r>
          </w:p>
        </w:tc>
      </w:tr>
      <w:tr w:rsidR="000F087C" w:rsidRPr="005824A4" w14:paraId="73CC768D" w14:textId="77777777" w:rsidTr="00A067B6">
        <w:trPr>
          <w:trHeight w:val="20"/>
        </w:trPr>
        <w:tc>
          <w:tcPr>
            <w:tcW w:w="2339" w:type="dxa"/>
            <w:vMerge/>
            <w:tcBorders>
              <w:right w:val="single" w:sz="4" w:space="0" w:color="auto"/>
            </w:tcBorders>
            <w:vAlign w:val="center"/>
          </w:tcPr>
          <w:p w14:paraId="406788B1" w14:textId="77777777" w:rsidR="000F087C" w:rsidRPr="005824A4" w:rsidRDefault="000F087C" w:rsidP="005824A4">
            <w:pPr>
              <w:pStyle w:val="TableText"/>
            </w:pPr>
          </w:p>
        </w:tc>
        <w:tc>
          <w:tcPr>
            <w:tcW w:w="2339" w:type="dxa"/>
            <w:tcBorders>
              <w:right w:val="single" w:sz="4" w:space="0" w:color="auto"/>
            </w:tcBorders>
            <w:vAlign w:val="center"/>
          </w:tcPr>
          <w:p w14:paraId="5EF3CEE2" w14:textId="77777777" w:rsidR="000F087C" w:rsidRPr="005824A4" w:rsidRDefault="000F087C" w:rsidP="005824A4">
            <w:pPr>
              <w:pStyle w:val="TableText"/>
            </w:pPr>
            <w:r w:rsidRPr="005824A4">
              <w:t>9 months</w:t>
            </w:r>
          </w:p>
        </w:tc>
        <w:tc>
          <w:tcPr>
            <w:tcW w:w="2126" w:type="dxa"/>
            <w:tcBorders>
              <w:right w:val="single" w:sz="4" w:space="0" w:color="auto"/>
            </w:tcBorders>
            <w:vAlign w:val="center"/>
          </w:tcPr>
          <w:p w14:paraId="4A54931C" w14:textId="77777777" w:rsidR="000F087C" w:rsidRPr="005824A4" w:rsidRDefault="000F087C" w:rsidP="005824A4">
            <w:pPr>
              <w:pStyle w:val="TableText"/>
            </w:pPr>
            <w:r w:rsidRPr="005824A4">
              <w:t>40</w:t>
            </w:r>
          </w:p>
        </w:tc>
        <w:tc>
          <w:tcPr>
            <w:tcW w:w="2127" w:type="dxa"/>
            <w:tcBorders>
              <w:right w:val="single" w:sz="4" w:space="0" w:color="auto"/>
            </w:tcBorders>
            <w:vAlign w:val="center"/>
          </w:tcPr>
          <w:p w14:paraId="299C7F4D" w14:textId="77777777" w:rsidR="000F087C" w:rsidRPr="005824A4" w:rsidRDefault="000F087C" w:rsidP="005824A4">
            <w:pPr>
              <w:pStyle w:val="TableText"/>
            </w:pPr>
            <w:r w:rsidRPr="005824A4">
              <w:t>36</w:t>
            </w:r>
          </w:p>
        </w:tc>
      </w:tr>
      <w:tr w:rsidR="000F087C" w:rsidRPr="005824A4" w14:paraId="5AB31D25" w14:textId="77777777" w:rsidTr="00A067B6">
        <w:trPr>
          <w:trHeight w:val="20"/>
        </w:trPr>
        <w:tc>
          <w:tcPr>
            <w:tcW w:w="2339" w:type="dxa"/>
            <w:vMerge/>
            <w:tcBorders>
              <w:right w:val="single" w:sz="4" w:space="0" w:color="auto"/>
            </w:tcBorders>
            <w:vAlign w:val="center"/>
          </w:tcPr>
          <w:p w14:paraId="05ECE74D" w14:textId="77777777" w:rsidR="000F087C" w:rsidRPr="005824A4" w:rsidRDefault="000F087C" w:rsidP="005824A4">
            <w:pPr>
              <w:pStyle w:val="TableText"/>
            </w:pPr>
          </w:p>
        </w:tc>
        <w:tc>
          <w:tcPr>
            <w:tcW w:w="2339" w:type="dxa"/>
            <w:tcBorders>
              <w:right w:val="single" w:sz="4" w:space="0" w:color="auto"/>
            </w:tcBorders>
            <w:vAlign w:val="center"/>
          </w:tcPr>
          <w:p w14:paraId="6C7233FC" w14:textId="77777777" w:rsidR="000F087C" w:rsidRPr="005824A4" w:rsidRDefault="000F087C" w:rsidP="005824A4">
            <w:pPr>
              <w:pStyle w:val="TableText"/>
            </w:pPr>
            <w:r w:rsidRPr="005824A4">
              <w:t>12 months</w:t>
            </w:r>
          </w:p>
        </w:tc>
        <w:tc>
          <w:tcPr>
            <w:tcW w:w="2126" w:type="dxa"/>
            <w:tcBorders>
              <w:right w:val="single" w:sz="4" w:space="0" w:color="auto"/>
            </w:tcBorders>
            <w:vAlign w:val="center"/>
          </w:tcPr>
          <w:p w14:paraId="74414188" w14:textId="77777777" w:rsidR="000F087C" w:rsidRPr="005824A4" w:rsidRDefault="000F087C" w:rsidP="005824A4">
            <w:pPr>
              <w:pStyle w:val="TableText"/>
            </w:pPr>
            <w:r w:rsidRPr="005824A4">
              <w:t>29</w:t>
            </w:r>
          </w:p>
        </w:tc>
        <w:tc>
          <w:tcPr>
            <w:tcW w:w="2127" w:type="dxa"/>
            <w:tcBorders>
              <w:right w:val="single" w:sz="4" w:space="0" w:color="auto"/>
            </w:tcBorders>
            <w:vAlign w:val="center"/>
          </w:tcPr>
          <w:p w14:paraId="067BE955" w14:textId="77777777" w:rsidR="000F087C" w:rsidRPr="005824A4" w:rsidRDefault="000F087C" w:rsidP="005824A4">
            <w:pPr>
              <w:pStyle w:val="TableText"/>
            </w:pPr>
            <w:r w:rsidRPr="005824A4">
              <w:t>28</w:t>
            </w:r>
          </w:p>
        </w:tc>
      </w:tr>
      <w:tr w:rsidR="000F087C" w:rsidRPr="005824A4" w14:paraId="613ABC85" w14:textId="77777777" w:rsidTr="00A067B6">
        <w:trPr>
          <w:trHeight w:val="20"/>
        </w:trPr>
        <w:tc>
          <w:tcPr>
            <w:tcW w:w="2339" w:type="dxa"/>
            <w:vMerge/>
            <w:tcBorders>
              <w:right w:val="single" w:sz="4" w:space="0" w:color="auto"/>
            </w:tcBorders>
            <w:vAlign w:val="center"/>
          </w:tcPr>
          <w:p w14:paraId="24720848" w14:textId="77777777" w:rsidR="000F087C" w:rsidRPr="005824A4" w:rsidRDefault="000F087C" w:rsidP="005824A4">
            <w:pPr>
              <w:pStyle w:val="TableText"/>
            </w:pPr>
          </w:p>
        </w:tc>
        <w:tc>
          <w:tcPr>
            <w:tcW w:w="2339" w:type="dxa"/>
            <w:tcBorders>
              <w:right w:val="single" w:sz="4" w:space="0" w:color="auto"/>
            </w:tcBorders>
            <w:vAlign w:val="center"/>
          </w:tcPr>
          <w:p w14:paraId="45B484F4" w14:textId="77777777" w:rsidR="000F087C" w:rsidRPr="005824A4" w:rsidRDefault="000F087C" w:rsidP="005824A4">
            <w:pPr>
              <w:pStyle w:val="TableText"/>
            </w:pPr>
            <w:r w:rsidRPr="005824A4">
              <w:t>15 months</w:t>
            </w:r>
          </w:p>
        </w:tc>
        <w:tc>
          <w:tcPr>
            <w:tcW w:w="2126" w:type="dxa"/>
            <w:tcBorders>
              <w:right w:val="single" w:sz="4" w:space="0" w:color="auto"/>
            </w:tcBorders>
            <w:vAlign w:val="center"/>
          </w:tcPr>
          <w:p w14:paraId="395D5377" w14:textId="77777777" w:rsidR="000F087C" w:rsidRPr="005824A4" w:rsidRDefault="000F087C" w:rsidP="005824A4">
            <w:pPr>
              <w:pStyle w:val="TableText"/>
            </w:pPr>
            <w:r w:rsidRPr="005824A4">
              <w:t>20</w:t>
            </w:r>
          </w:p>
        </w:tc>
        <w:tc>
          <w:tcPr>
            <w:tcW w:w="2127" w:type="dxa"/>
            <w:tcBorders>
              <w:right w:val="single" w:sz="4" w:space="0" w:color="auto"/>
            </w:tcBorders>
            <w:vAlign w:val="center"/>
          </w:tcPr>
          <w:p w14:paraId="4C57D95E" w14:textId="77777777" w:rsidR="000F087C" w:rsidRPr="005824A4" w:rsidRDefault="000F087C" w:rsidP="005824A4">
            <w:pPr>
              <w:pStyle w:val="TableText"/>
            </w:pPr>
            <w:r w:rsidRPr="005824A4">
              <w:t>21</w:t>
            </w:r>
          </w:p>
        </w:tc>
      </w:tr>
      <w:tr w:rsidR="000F087C" w:rsidRPr="005824A4" w14:paraId="0FB1DB8E" w14:textId="77777777" w:rsidTr="00A067B6">
        <w:trPr>
          <w:trHeight w:val="20"/>
        </w:trPr>
        <w:tc>
          <w:tcPr>
            <w:tcW w:w="4678" w:type="dxa"/>
            <w:gridSpan w:val="2"/>
            <w:tcBorders>
              <w:right w:val="single" w:sz="4" w:space="0" w:color="auto"/>
            </w:tcBorders>
            <w:shd w:val="clear" w:color="auto" w:fill="auto"/>
            <w:vAlign w:val="center"/>
          </w:tcPr>
          <w:p w14:paraId="255F1E33" w14:textId="77777777" w:rsidR="000F087C" w:rsidRPr="005824A4" w:rsidRDefault="000F087C" w:rsidP="005824A4">
            <w:pPr>
              <w:pStyle w:val="TableText"/>
            </w:pPr>
            <w:r w:rsidRPr="005824A4">
              <w:t>Mean relative dose intensity (standard deviation)</w:t>
            </w:r>
          </w:p>
        </w:tc>
        <w:tc>
          <w:tcPr>
            <w:tcW w:w="2126" w:type="dxa"/>
            <w:tcBorders>
              <w:right w:val="single" w:sz="4" w:space="0" w:color="auto"/>
            </w:tcBorders>
            <w:shd w:val="clear" w:color="auto" w:fill="auto"/>
            <w:vAlign w:val="center"/>
          </w:tcPr>
          <w:p w14:paraId="4D1642DF" w14:textId="77777777" w:rsidR="000F087C" w:rsidRPr="005824A4" w:rsidRDefault="000F087C" w:rsidP="005824A4">
            <w:pPr>
              <w:pStyle w:val="TableText"/>
            </w:pPr>
            <w:r w:rsidRPr="005824A4">
              <w:t>96 (7)</w:t>
            </w:r>
          </w:p>
        </w:tc>
        <w:tc>
          <w:tcPr>
            <w:tcW w:w="2127" w:type="dxa"/>
            <w:tcBorders>
              <w:right w:val="single" w:sz="4" w:space="0" w:color="auto"/>
            </w:tcBorders>
            <w:shd w:val="clear" w:color="auto" w:fill="auto"/>
            <w:vAlign w:val="center"/>
          </w:tcPr>
          <w:p w14:paraId="6A1055A0" w14:textId="77777777" w:rsidR="000F087C" w:rsidRPr="005824A4" w:rsidRDefault="000F087C" w:rsidP="005824A4">
            <w:pPr>
              <w:pStyle w:val="TableText"/>
            </w:pPr>
            <w:r w:rsidRPr="005824A4">
              <w:t>96 (8)</w:t>
            </w:r>
          </w:p>
        </w:tc>
      </w:tr>
    </w:tbl>
    <w:p w14:paraId="1DFB764A" w14:textId="23148C98" w:rsidR="007E6CFF" w:rsidRDefault="000F087C" w:rsidP="007E6CFF">
      <w:pPr>
        <w:pStyle w:val="TableDescription"/>
      </w:pPr>
      <w:r>
        <w:t>D</w:t>
      </w:r>
      <w:r w:rsidRPr="006F224F">
        <w:t>ata</w:t>
      </w:r>
      <w:r>
        <w:t>base lock date</w:t>
      </w:r>
      <w:r w:rsidR="00B651DF">
        <w:t xml:space="preserve">: </w:t>
      </w:r>
      <w:r>
        <w:t>9 March 2021</w:t>
      </w:r>
    </w:p>
    <w:p w14:paraId="516712A7" w14:textId="77777777" w:rsidR="000F087C" w:rsidRPr="003D1296" w:rsidRDefault="000F087C" w:rsidP="003D1296">
      <w:pPr>
        <w:pStyle w:val="Heading5"/>
      </w:pPr>
      <w:r w:rsidRPr="003D1296">
        <w:t>Deaths</w:t>
      </w:r>
    </w:p>
    <w:p w14:paraId="7A43785E" w14:textId="3A8007BE" w:rsidR="000F087C" w:rsidRDefault="000F087C" w:rsidP="000F087C">
      <w:r>
        <w:t>An analysis of deaths</w:t>
      </w:r>
      <w:r w:rsidRPr="00AA18A0">
        <w:t xml:space="preserve"> in </w:t>
      </w:r>
      <w:r w:rsidR="003269A5">
        <w:t>the RELATIVITY-047 trial</w:t>
      </w:r>
      <w:r>
        <w:t xml:space="preserve"> is detailed</w:t>
      </w:r>
      <w:r w:rsidR="005824A4">
        <w:t xml:space="preserve"> by</w:t>
      </w:r>
      <w:r w:rsidR="00F17119">
        <w:t xml:space="preserve"> the FDA.</w:t>
      </w:r>
      <w:r w:rsidR="00F17119">
        <w:rPr>
          <w:rStyle w:val="FootnoteReference"/>
        </w:rPr>
        <w:footnoteReference w:id="94"/>
      </w:r>
      <w:r w:rsidRPr="00AA18A0">
        <w:t xml:space="preserve"> </w:t>
      </w:r>
      <w:r w:rsidR="00F17119">
        <w:t>An o</w:t>
      </w:r>
      <w:r>
        <w:t xml:space="preserve">verview of deaths in the study is summarised in </w:t>
      </w:r>
      <w:r w:rsidR="00B651DF">
        <w:rPr>
          <w:color w:val="2B579A"/>
          <w:shd w:val="clear" w:color="auto" w:fill="E6E6E6"/>
        </w:rPr>
        <w:fldChar w:fldCharType="begin"/>
      </w:r>
      <w:r w:rsidR="00B651DF">
        <w:instrText xml:space="preserve"> REF _Ref96438365 \h </w:instrText>
      </w:r>
      <w:r w:rsidR="00B651DF">
        <w:rPr>
          <w:color w:val="2B579A"/>
          <w:shd w:val="clear" w:color="auto" w:fill="E6E6E6"/>
        </w:rPr>
      </w:r>
      <w:r w:rsidR="00B651DF">
        <w:rPr>
          <w:color w:val="2B579A"/>
          <w:shd w:val="clear" w:color="auto" w:fill="E6E6E6"/>
        </w:rPr>
        <w:fldChar w:fldCharType="separate"/>
      </w:r>
      <w:r w:rsidR="004F1B9E" w:rsidRPr="00AA18A0">
        <w:t xml:space="preserve">Table </w:t>
      </w:r>
      <w:r w:rsidR="004F1B9E">
        <w:rPr>
          <w:noProof/>
        </w:rPr>
        <w:t>7</w:t>
      </w:r>
      <w:r w:rsidR="00B651DF">
        <w:rPr>
          <w:color w:val="2B579A"/>
          <w:shd w:val="clear" w:color="auto" w:fill="E6E6E6"/>
        </w:rPr>
        <w:fldChar w:fldCharType="end"/>
      </w:r>
      <w:r w:rsidRPr="00AA18A0">
        <w:t>.</w:t>
      </w:r>
    </w:p>
    <w:p w14:paraId="096D96FA" w14:textId="35B6681A" w:rsidR="000F087C" w:rsidRDefault="000F087C" w:rsidP="000F087C">
      <w:pPr>
        <w:rPr>
          <w:spacing w:val="-2"/>
        </w:rPr>
      </w:pPr>
      <w:r w:rsidRPr="00D556FB">
        <w:t>Three deaths (0.8%) in the nivo</w:t>
      </w:r>
      <w:r w:rsidR="005824A4" w:rsidRPr="00D556FB">
        <w:t xml:space="preserve">lumab with </w:t>
      </w:r>
      <w:proofErr w:type="spellStart"/>
      <w:r w:rsidR="005824A4" w:rsidRPr="00D556FB">
        <w:t>relatlimab</w:t>
      </w:r>
      <w:proofErr w:type="spellEnd"/>
      <w:r w:rsidRPr="00D556FB">
        <w:t xml:space="preserve"> arm were reported as treatment</w:t>
      </w:r>
      <w:r w:rsidR="003269A5">
        <w:t xml:space="preserve"> </w:t>
      </w:r>
      <w:r w:rsidRPr="00D556FB">
        <w:t>related</w:t>
      </w:r>
      <w:r>
        <w:t xml:space="preserve"> </w:t>
      </w:r>
      <w:r w:rsidRPr="00D556FB">
        <w:t xml:space="preserve">by the reporting investigator: one case each of </w:t>
      </w:r>
      <w:proofErr w:type="spellStart"/>
      <w:r w:rsidRPr="00D556FB">
        <w:t>haemophagocytic</w:t>
      </w:r>
      <w:proofErr w:type="spellEnd"/>
      <w:r w:rsidRPr="00D556FB">
        <w:t xml:space="preserve"> </w:t>
      </w:r>
      <w:proofErr w:type="spellStart"/>
      <w:r w:rsidRPr="00D556FB">
        <w:t>lymphohistiocytosis</w:t>
      </w:r>
      <w:proofErr w:type="spellEnd"/>
      <w:r w:rsidRPr="00D556FB">
        <w:t xml:space="preserve"> (HLH),</w:t>
      </w:r>
      <w:r>
        <w:t xml:space="preserve"> pulmonary oedema, and </w:t>
      </w:r>
      <w:r>
        <w:rPr>
          <w:spacing w:val="-2"/>
        </w:rPr>
        <w:t>pneumonitis. HLH and pneumonitis are known risks with nivolumab.</w:t>
      </w:r>
    </w:p>
    <w:p w14:paraId="4C45ACCB" w14:textId="4FDFFC98" w:rsidR="000F087C" w:rsidRDefault="000F087C" w:rsidP="000F087C">
      <w:pPr>
        <w:rPr>
          <w:spacing w:val="-2"/>
        </w:rPr>
      </w:pPr>
      <w:r>
        <w:rPr>
          <w:spacing w:val="-2"/>
        </w:rPr>
        <w:t xml:space="preserve">The case of pulmonary oedema occurred in a 75-year-old male, and the </w:t>
      </w:r>
      <w:r>
        <w:rPr>
          <w:lang w:eastAsia="zh-TW"/>
        </w:rPr>
        <w:t>narrative does</w:t>
      </w:r>
      <w:r w:rsidR="00F17119">
        <w:rPr>
          <w:lang w:eastAsia="zh-TW"/>
        </w:rPr>
        <w:t xml:space="preserve"> not</w:t>
      </w:r>
      <w:r>
        <w:rPr>
          <w:lang w:eastAsia="zh-TW"/>
        </w:rPr>
        <w:t xml:space="preserve"> allow for meaningful clinical inference</w:t>
      </w:r>
      <w:r>
        <w:rPr>
          <w:spacing w:val="-2"/>
        </w:rPr>
        <w:t>:</w:t>
      </w:r>
    </w:p>
    <w:p w14:paraId="2802B586" w14:textId="77777777" w:rsidR="000F087C" w:rsidRDefault="000F087C" w:rsidP="000F087C">
      <w:pPr>
        <w:pStyle w:val="Quotation"/>
      </w:pPr>
      <w:r w:rsidRPr="004A0914">
        <w:t xml:space="preserve">On Day 41 the patient experienced </w:t>
      </w:r>
      <w:proofErr w:type="spellStart"/>
      <w:r w:rsidRPr="004A0914">
        <w:t>dyspnea</w:t>
      </w:r>
      <w:proofErr w:type="spellEnd"/>
      <w:r w:rsidRPr="004A0914">
        <w:t xml:space="preserve"> and signs of lobar pneumopathy; 20 days after the 2</w:t>
      </w:r>
      <w:r w:rsidRPr="00DB3E35">
        <w:rPr>
          <w:vertAlign w:val="superscript"/>
        </w:rPr>
        <w:t>nd</w:t>
      </w:r>
      <w:r w:rsidRPr="004A0914">
        <w:t xml:space="preserve"> infusion day, the patient died of pulmonary </w:t>
      </w:r>
      <w:proofErr w:type="spellStart"/>
      <w:r w:rsidRPr="004A0914">
        <w:t>edema</w:t>
      </w:r>
      <w:proofErr w:type="spellEnd"/>
      <w:r w:rsidRPr="004A0914">
        <w:t xml:space="preserve"> (related). An autopsy was not performed. The study therapy was discontinued with the last dose received on Day 29.</w:t>
      </w:r>
    </w:p>
    <w:p w14:paraId="0AFA9DFD" w14:textId="57ACC575" w:rsidR="000F087C" w:rsidRPr="00AA18A0" w:rsidRDefault="000F087C" w:rsidP="000F087C">
      <w:r>
        <w:t>Case narratives were individually reviewed for all deaths not recorded as due to disease progression and did not reveal additional attributable deaths.</w:t>
      </w:r>
    </w:p>
    <w:p w14:paraId="4B8BB140" w14:textId="6B984D62" w:rsidR="000F087C" w:rsidRPr="00AA18A0" w:rsidRDefault="000F087C" w:rsidP="00F17119">
      <w:pPr>
        <w:pStyle w:val="TableTitle"/>
      </w:pPr>
      <w:bookmarkStart w:id="102" w:name="_Ref96438365"/>
      <w:bookmarkStart w:id="103" w:name="_Ref106135836"/>
      <w:r w:rsidRPr="00AA18A0">
        <w:t xml:space="preserve">Table </w:t>
      </w:r>
      <w:r>
        <w:fldChar w:fldCharType="begin"/>
      </w:r>
      <w:r>
        <w:instrText>SEQ Table \* ARABIC</w:instrText>
      </w:r>
      <w:r>
        <w:fldChar w:fldCharType="separate"/>
      </w:r>
      <w:r w:rsidR="004F1B9E">
        <w:rPr>
          <w:noProof/>
        </w:rPr>
        <w:t>7</w:t>
      </w:r>
      <w:r>
        <w:fldChar w:fldCharType="end"/>
      </w:r>
      <w:bookmarkEnd w:id="102"/>
      <w:r w:rsidR="00F17119">
        <w:rPr>
          <w:noProof/>
        </w:rPr>
        <w:t xml:space="preserve">: </w:t>
      </w:r>
      <w:r w:rsidR="003269A5">
        <w:rPr>
          <w:noProof/>
        </w:rPr>
        <w:t>RELATIVITY-047</w:t>
      </w:r>
      <w:r w:rsidRPr="00AA18A0">
        <w:t xml:space="preserve"> Deaths </w:t>
      </w:r>
      <w:r w:rsidR="00B651DF">
        <w:t>(</w:t>
      </w:r>
      <w:bookmarkEnd w:id="103"/>
      <w:r w:rsidRPr="003A7347">
        <w:t>safety analysis population</w:t>
      </w:r>
      <w:r w:rsidR="00B651DF">
        <w:t>)</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402"/>
        <w:gridCol w:w="1382"/>
        <w:gridCol w:w="1382"/>
        <w:gridCol w:w="1382"/>
        <w:gridCol w:w="1383"/>
      </w:tblGrid>
      <w:tr w:rsidR="00DD7C84" w:rsidRPr="00FD7794" w14:paraId="744EAF5A" w14:textId="77777777" w:rsidTr="00FD7794">
        <w:trPr>
          <w:trHeight w:val="454"/>
          <w:tblHeader/>
        </w:trPr>
        <w:tc>
          <w:tcPr>
            <w:tcW w:w="3402" w:type="dxa"/>
            <w:tcBorders>
              <w:right w:val="single" w:sz="4" w:space="0" w:color="auto"/>
            </w:tcBorders>
            <w:shd w:val="clear" w:color="auto" w:fill="DEEAF6" w:themeFill="accent5" w:themeFillTint="33"/>
            <w:vAlign w:val="bottom"/>
          </w:tcPr>
          <w:p w14:paraId="0046214E" w14:textId="77777777" w:rsidR="00F17119" w:rsidRPr="00FD7794" w:rsidRDefault="00F17119" w:rsidP="00FD7794">
            <w:pPr>
              <w:pStyle w:val="Tabletext0"/>
            </w:pPr>
          </w:p>
        </w:tc>
        <w:tc>
          <w:tcPr>
            <w:tcW w:w="2764" w:type="dxa"/>
            <w:gridSpan w:val="2"/>
            <w:tcBorders>
              <w:right w:val="single" w:sz="4" w:space="0" w:color="auto"/>
            </w:tcBorders>
            <w:shd w:val="clear" w:color="auto" w:fill="DEEAF6" w:themeFill="accent5" w:themeFillTint="33"/>
            <w:vAlign w:val="center"/>
          </w:tcPr>
          <w:p w14:paraId="1D784B76" w14:textId="54CB099F" w:rsidR="00F17119" w:rsidRPr="00FD7794" w:rsidRDefault="00F17119" w:rsidP="00FD7794">
            <w:pPr>
              <w:pStyle w:val="Tabletext0"/>
            </w:pPr>
            <w:r w:rsidRPr="00FD7794">
              <w:t xml:space="preserve">Nivolumab with </w:t>
            </w:r>
            <w:proofErr w:type="spellStart"/>
            <w:r w:rsidRPr="00FD7794">
              <w:t>Relatlimab</w:t>
            </w:r>
            <w:proofErr w:type="spellEnd"/>
          </w:p>
          <w:p w14:paraId="2AF3A218" w14:textId="5EFF4016" w:rsidR="00F17119" w:rsidRPr="00FD7794" w:rsidRDefault="00F17119" w:rsidP="00FD7794">
            <w:pPr>
              <w:pStyle w:val="Tabletext0"/>
            </w:pPr>
            <w:r w:rsidRPr="00FD7794">
              <w:t>(n</w:t>
            </w:r>
            <w:r w:rsidR="00B83235">
              <w:t> = </w:t>
            </w:r>
            <w:r w:rsidRPr="00FD7794">
              <w:t>355)</w:t>
            </w:r>
          </w:p>
        </w:tc>
        <w:tc>
          <w:tcPr>
            <w:tcW w:w="2765" w:type="dxa"/>
            <w:gridSpan w:val="2"/>
            <w:tcBorders>
              <w:right w:val="single" w:sz="4" w:space="0" w:color="auto"/>
            </w:tcBorders>
            <w:shd w:val="clear" w:color="auto" w:fill="DEEAF6" w:themeFill="accent5" w:themeFillTint="33"/>
            <w:vAlign w:val="center"/>
          </w:tcPr>
          <w:p w14:paraId="5F9E4BBB" w14:textId="1773C3E9" w:rsidR="00F17119" w:rsidRPr="00FD7794" w:rsidRDefault="00F17119" w:rsidP="00FD7794">
            <w:pPr>
              <w:pStyle w:val="Tabletext0"/>
            </w:pPr>
            <w:r w:rsidRPr="00FD7794">
              <w:t>Nivolumab</w:t>
            </w:r>
          </w:p>
          <w:p w14:paraId="56CC3D0B" w14:textId="014A6456" w:rsidR="00F17119" w:rsidRPr="00FD7794" w:rsidRDefault="00F17119" w:rsidP="00FD7794">
            <w:pPr>
              <w:pStyle w:val="Tabletext0"/>
            </w:pPr>
            <w:r w:rsidRPr="00FD7794">
              <w:t>(n</w:t>
            </w:r>
            <w:r w:rsidR="00B83235">
              <w:t> = </w:t>
            </w:r>
            <w:r w:rsidRPr="00FD7794">
              <w:t>359)</w:t>
            </w:r>
          </w:p>
        </w:tc>
      </w:tr>
      <w:tr w:rsidR="00DD7C84" w:rsidRPr="00FD7794" w14:paraId="0A8B8A1B" w14:textId="77777777" w:rsidTr="00FD7794">
        <w:trPr>
          <w:trHeight w:val="20"/>
        </w:trPr>
        <w:tc>
          <w:tcPr>
            <w:tcW w:w="3402" w:type="dxa"/>
            <w:tcBorders>
              <w:right w:val="single" w:sz="4" w:space="0" w:color="auto"/>
            </w:tcBorders>
            <w:shd w:val="clear" w:color="auto" w:fill="DEEAF6" w:themeFill="accent5" w:themeFillTint="33"/>
          </w:tcPr>
          <w:p w14:paraId="09AA002B" w14:textId="77777777" w:rsidR="00F17119" w:rsidRPr="00FD7794" w:rsidRDefault="00F17119" w:rsidP="00FD7794">
            <w:pPr>
              <w:pStyle w:val="Tabletext0"/>
            </w:pPr>
            <w:r w:rsidRPr="00FD7794">
              <w:t>Deaths</w:t>
            </w:r>
          </w:p>
        </w:tc>
        <w:tc>
          <w:tcPr>
            <w:tcW w:w="1382" w:type="dxa"/>
            <w:tcBorders>
              <w:right w:val="single" w:sz="4" w:space="0" w:color="auto"/>
            </w:tcBorders>
            <w:shd w:val="clear" w:color="auto" w:fill="DEEAF6" w:themeFill="accent5" w:themeFillTint="33"/>
          </w:tcPr>
          <w:p w14:paraId="59D51775" w14:textId="77777777" w:rsidR="00F17119" w:rsidRPr="00FD7794" w:rsidRDefault="00F17119" w:rsidP="00FD7794">
            <w:pPr>
              <w:pStyle w:val="Tabletext0"/>
            </w:pPr>
            <w:r w:rsidRPr="00FD7794">
              <w:t>N</w:t>
            </w:r>
          </w:p>
        </w:tc>
        <w:tc>
          <w:tcPr>
            <w:tcW w:w="1382" w:type="dxa"/>
            <w:tcBorders>
              <w:right w:val="single" w:sz="4" w:space="0" w:color="auto"/>
            </w:tcBorders>
            <w:shd w:val="clear" w:color="auto" w:fill="DEEAF6" w:themeFill="accent5" w:themeFillTint="33"/>
          </w:tcPr>
          <w:p w14:paraId="5EF1D94A" w14:textId="77777777" w:rsidR="00F17119" w:rsidRPr="00FD7794" w:rsidRDefault="00F17119" w:rsidP="00FD7794">
            <w:pPr>
              <w:pStyle w:val="Tabletext0"/>
            </w:pPr>
            <w:r w:rsidRPr="00FD7794">
              <w:t>%</w:t>
            </w:r>
          </w:p>
        </w:tc>
        <w:tc>
          <w:tcPr>
            <w:tcW w:w="1382" w:type="dxa"/>
            <w:tcBorders>
              <w:right w:val="single" w:sz="4" w:space="0" w:color="auto"/>
            </w:tcBorders>
            <w:shd w:val="clear" w:color="auto" w:fill="DEEAF6" w:themeFill="accent5" w:themeFillTint="33"/>
          </w:tcPr>
          <w:p w14:paraId="7F29DA66" w14:textId="77777777" w:rsidR="00F17119" w:rsidRPr="00FD7794" w:rsidRDefault="00F17119" w:rsidP="00FD7794">
            <w:pPr>
              <w:pStyle w:val="Tabletext0"/>
            </w:pPr>
            <w:r w:rsidRPr="00FD7794">
              <w:t>N</w:t>
            </w:r>
          </w:p>
        </w:tc>
        <w:tc>
          <w:tcPr>
            <w:tcW w:w="1383" w:type="dxa"/>
            <w:tcBorders>
              <w:right w:val="single" w:sz="4" w:space="0" w:color="auto"/>
            </w:tcBorders>
            <w:shd w:val="clear" w:color="auto" w:fill="DEEAF6" w:themeFill="accent5" w:themeFillTint="33"/>
          </w:tcPr>
          <w:p w14:paraId="03AC7830" w14:textId="77777777" w:rsidR="00F17119" w:rsidRPr="00FD7794" w:rsidRDefault="00F17119" w:rsidP="00FD7794">
            <w:pPr>
              <w:pStyle w:val="Tabletext0"/>
            </w:pPr>
            <w:r w:rsidRPr="00FD7794">
              <w:t>%</w:t>
            </w:r>
          </w:p>
        </w:tc>
      </w:tr>
      <w:tr w:rsidR="00F17119" w:rsidRPr="00FD7794" w14:paraId="04C6766F" w14:textId="77777777" w:rsidTr="00A067B6">
        <w:trPr>
          <w:trHeight w:val="20"/>
        </w:trPr>
        <w:tc>
          <w:tcPr>
            <w:tcW w:w="3402" w:type="dxa"/>
            <w:tcBorders>
              <w:right w:val="single" w:sz="4" w:space="0" w:color="auto"/>
            </w:tcBorders>
          </w:tcPr>
          <w:p w14:paraId="263DD7EC" w14:textId="71DFA679" w:rsidR="00F17119" w:rsidRPr="00FD7794" w:rsidRDefault="00F17119" w:rsidP="00FD7794">
            <w:pPr>
              <w:pStyle w:val="Tabletext0"/>
              <w:rPr>
                <w:b/>
                <w:bCs/>
              </w:rPr>
            </w:pPr>
            <w:r w:rsidRPr="00FD7794">
              <w:rPr>
                <w:b/>
                <w:bCs/>
              </w:rPr>
              <w:t>Total</w:t>
            </w:r>
          </w:p>
        </w:tc>
        <w:tc>
          <w:tcPr>
            <w:tcW w:w="1382" w:type="dxa"/>
            <w:tcBorders>
              <w:right w:val="single" w:sz="4" w:space="0" w:color="auto"/>
            </w:tcBorders>
          </w:tcPr>
          <w:p w14:paraId="2D912F5C" w14:textId="77777777" w:rsidR="00F17119" w:rsidRPr="00FD7794" w:rsidRDefault="00F17119" w:rsidP="00FD7794">
            <w:pPr>
              <w:pStyle w:val="Tabletext0"/>
              <w:rPr>
                <w:b/>
                <w:bCs/>
              </w:rPr>
            </w:pPr>
            <w:r w:rsidRPr="00FD7794">
              <w:rPr>
                <w:b/>
                <w:bCs/>
              </w:rPr>
              <w:t>108</w:t>
            </w:r>
          </w:p>
        </w:tc>
        <w:tc>
          <w:tcPr>
            <w:tcW w:w="1382" w:type="dxa"/>
            <w:tcBorders>
              <w:right w:val="single" w:sz="4" w:space="0" w:color="auto"/>
            </w:tcBorders>
          </w:tcPr>
          <w:p w14:paraId="35D29FDC" w14:textId="77777777" w:rsidR="00F17119" w:rsidRPr="00FD7794" w:rsidRDefault="00F17119" w:rsidP="00FD7794">
            <w:pPr>
              <w:pStyle w:val="Tabletext0"/>
              <w:rPr>
                <w:b/>
                <w:bCs/>
              </w:rPr>
            </w:pPr>
            <w:r w:rsidRPr="00FD7794">
              <w:rPr>
                <w:b/>
                <w:bCs/>
              </w:rPr>
              <w:t>30</w:t>
            </w:r>
          </w:p>
        </w:tc>
        <w:tc>
          <w:tcPr>
            <w:tcW w:w="1382" w:type="dxa"/>
            <w:tcBorders>
              <w:right w:val="single" w:sz="4" w:space="0" w:color="auto"/>
            </w:tcBorders>
          </w:tcPr>
          <w:p w14:paraId="6C4B80AE" w14:textId="77777777" w:rsidR="00F17119" w:rsidRPr="00FD7794" w:rsidRDefault="00F17119" w:rsidP="00FD7794">
            <w:pPr>
              <w:pStyle w:val="Tabletext0"/>
              <w:rPr>
                <w:b/>
                <w:bCs/>
              </w:rPr>
            </w:pPr>
            <w:r w:rsidRPr="00FD7794">
              <w:rPr>
                <w:b/>
                <w:bCs/>
              </w:rPr>
              <w:t>119</w:t>
            </w:r>
          </w:p>
        </w:tc>
        <w:tc>
          <w:tcPr>
            <w:tcW w:w="1383" w:type="dxa"/>
            <w:tcBorders>
              <w:right w:val="single" w:sz="4" w:space="0" w:color="auto"/>
            </w:tcBorders>
          </w:tcPr>
          <w:p w14:paraId="2794712C" w14:textId="77777777" w:rsidR="00F17119" w:rsidRPr="00FD7794" w:rsidRDefault="00F17119" w:rsidP="00FD7794">
            <w:pPr>
              <w:pStyle w:val="Tabletext0"/>
              <w:rPr>
                <w:b/>
                <w:bCs/>
              </w:rPr>
            </w:pPr>
            <w:r w:rsidRPr="00FD7794">
              <w:rPr>
                <w:b/>
                <w:bCs/>
              </w:rPr>
              <w:t>33</w:t>
            </w:r>
          </w:p>
        </w:tc>
      </w:tr>
      <w:tr w:rsidR="00F17119" w:rsidRPr="00FD7794" w14:paraId="18CEA96D" w14:textId="77777777" w:rsidTr="00A067B6">
        <w:trPr>
          <w:trHeight w:val="20"/>
        </w:trPr>
        <w:tc>
          <w:tcPr>
            <w:tcW w:w="3402" w:type="dxa"/>
            <w:tcBorders>
              <w:right w:val="single" w:sz="4" w:space="0" w:color="auto"/>
            </w:tcBorders>
          </w:tcPr>
          <w:p w14:paraId="4CBA44CF" w14:textId="77777777" w:rsidR="00F17119" w:rsidRPr="00FD7794" w:rsidRDefault="00F17119" w:rsidP="00D70FED">
            <w:pPr>
              <w:pStyle w:val="Tabletext0"/>
            </w:pPr>
            <w:bookmarkStart w:id="104" w:name="_Hlk106134646"/>
            <w:r w:rsidRPr="00FD7794">
              <w:t>Disease progression</w:t>
            </w:r>
          </w:p>
        </w:tc>
        <w:tc>
          <w:tcPr>
            <w:tcW w:w="1382" w:type="dxa"/>
            <w:tcBorders>
              <w:right w:val="single" w:sz="4" w:space="0" w:color="auto"/>
            </w:tcBorders>
          </w:tcPr>
          <w:p w14:paraId="20EE93CA" w14:textId="77777777" w:rsidR="00F17119" w:rsidRPr="00FD7794" w:rsidRDefault="00F17119" w:rsidP="00FD7794">
            <w:pPr>
              <w:pStyle w:val="Tabletext0"/>
            </w:pPr>
            <w:r w:rsidRPr="00FD7794">
              <w:t>90</w:t>
            </w:r>
          </w:p>
        </w:tc>
        <w:tc>
          <w:tcPr>
            <w:tcW w:w="1382" w:type="dxa"/>
            <w:tcBorders>
              <w:right w:val="single" w:sz="4" w:space="0" w:color="auto"/>
            </w:tcBorders>
          </w:tcPr>
          <w:p w14:paraId="7BA87702" w14:textId="77777777" w:rsidR="00F17119" w:rsidRPr="00FD7794" w:rsidRDefault="00F17119" w:rsidP="00FD7794">
            <w:pPr>
              <w:pStyle w:val="Tabletext0"/>
            </w:pPr>
            <w:r w:rsidRPr="00FD7794">
              <w:t>25</w:t>
            </w:r>
          </w:p>
        </w:tc>
        <w:tc>
          <w:tcPr>
            <w:tcW w:w="1382" w:type="dxa"/>
            <w:tcBorders>
              <w:right w:val="single" w:sz="4" w:space="0" w:color="auto"/>
            </w:tcBorders>
          </w:tcPr>
          <w:p w14:paraId="08EA84A3" w14:textId="77777777" w:rsidR="00F17119" w:rsidRPr="00FD7794" w:rsidRDefault="00F17119" w:rsidP="00FD7794">
            <w:pPr>
              <w:pStyle w:val="Tabletext0"/>
            </w:pPr>
            <w:r w:rsidRPr="00FD7794">
              <w:t>99</w:t>
            </w:r>
          </w:p>
        </w:tc>
        <w:tc>
          <w:tcPr>
            <w:tcW w:w="1383" w:type="dxa"/>
            <w:tcBorders>
              <w:right w:val="single" w:sz="4" w:space="0" w:color="auto"/>
            </w:tcBorders>
          </w:tcPr>
          <w:p w14:paraId="27EF0CE6" w14:textId="77777777" w:rsidR="00F17119" w:rsidRPr="00FD7794" w:rsidRDefault="00F17119" w:rsidP="00FD7794">
            <w:pPr>
              <w:pStyle w:val="Tabletext0"/>
            </w:pPr>
            <w:r w:rsidRPr="00FD7794">
              <w:t>28</w:t>
            </w:r>
          </w:p>
        </w:tc>
      </w:tr>
      <w:tr w:rsidR="00F17119" w:rsidRPr="00FD7794" w14:paraId="1B113EED" w14:textId="77777777" w:rsidTr="00A067B6">
        <w:trPr>
          <w:trHeight w:val="20"/>
        </w:trPr>
        <w:tc>
          <w:tcPr>
            <w:tcW w:w="3402" w:type="dxa"/>
            <w:tcBorders>
              <w:right w:val="single" w:sz="4" w:space="0" w:color="auto"/>
            </w:tcBorders>
          </w:tcPr>
          <w:p w14:paraId="4B467438" w14:textId="77777777" w:rsidR="00F17119" w:rsidRPr="00FD7794" w:rsidRDefault="00F17119" w:rsidP="00D70FED">
            <w:pPr>
              <w:pStyle w:val="Tabletext0"/>
            </w:pPr>
            <w:r w:rsidRPr="00FD7794">
              <w:t>Study drug toxicity</w:t>
            </w:r>
          </w:p>
        </w:tc>
        <w:tc>
          <w:tcPr>
            <w:tcW w:w="1382" w:type="dxa"/>
            <w:tcBorders>
              <w:right w:val="single" w:sz="4" w:space="0" w:color="auto"/>
            </w:tcBorders>
          </w:tcPr>
          <w:p w14:paraId="68E555F8" w14:textId="77777777" w:rsidR="00F17119" w:rsidRPr="00FD7794" w:rsidRDefault="00F17119" w:rsidP="00FD7794">
            <w:pPr>
              <w:pStyle w:val="Tabletext0"/>
            </w:pPr>
            <w:r w:rsidRPr="00FD7794">
              <w:t>3</w:t>
            </w:r>
          </w:p>
        </w:tc>
        <w:tc>
          <w:tcPr>
            <w:tcW w:w="1382" w:type="dxa"/>
            <w:tcBorders>
              <w:right w:val="single" w:sz="4" w:space="0" w:color="auto"/>
            </w:tcBorders>
          </w:tcPr>
          <w:p w14:paraId="411FEBD4" w14:textId="77777777" w:rsidR="00F17119" w:rsidRPr="00FD7794" w:rsidRDefault="00F17119" w:rsidP="00FD7794">
            <w:pPr>
              <w:pStyle w:val="Tabletext0"/>
            </w:pPr>
            <w:r w:rsidRPr="00FD7794">
              <w:t>0.8</w:t>
            </w:r>
          </w:p>
        </w:tc>
        <w:tc>
          <w:tcPr>
            <w:tcW w:w="1382" w:type="dxa"/>
            <w:tcBorders>
              <w:right w:val="single" w:sz="4" w:space="0" w:color="auto"/>
            </w:tcBorders>
          </w:tcPr>
          <w:p w14:paraId="00A6EA9A" w14:textId="77777777" w:rsidR="00F17119" w:rsidRPr="00FD7794" w:rsidRDefault="00F17119" w:rsidP="00FD7794">
            <w:pPr>
              <w:pStyle w:val="Tabletext0"/>
            </w:pPr>
            <w:r w:rsidRPr="00FD7794">
              <w:t>2</w:t>
            </w:r>
          </w:p>
        </w:tc>
        <w:tc>
          <w:tcPr>
            <w:tcW w:w="1383" w:type="dxa"/>
            <w:tcBorders>
              <w:right w:val="single" w:sz="4" w:space="0" w:color="auto"/>
            </w:tcBorders>
          </w:tcPr>
          <w:p w14:paraId="1E82CD78" w14:textId="77777777" w:rsidR="00F17119" w:rsidRPr="00FD7794" w:rsidRDefault="00F17119" w:rsidP="00FD7794">
            <w:pPr>
              <w:pStyle w:val="Tabletext0"/>
            </w:pPr>
            <w:r w:rsidRPr="00FD7794">
              <w:t>0.6</w:t>
            </w:r>
          </w:p>
        </w:tc>
      </w:tr>
      <w:tr w:rsidR="00F17119" w:rsidRPr="00FD7794" w14:paraId="3918C76E" w14:textId="77777777" w:rsidTr="00A067B6">
        <w:trPr>
          <w:trHeight w:val="20"/>
        </w:trPr>
        <w:tc>
          <w:tcPr>
            <w:tcW w:w="3402" w:type="dxa"/>
            <w:tcBorders>
              <w:right w:val="single" w:sz="4" w:space="0" w:color="auto"/>
            </w:tcBorders>
          </w:tcPr>
          <w:p w14:paraId="7FA7D044" w14:textId="77777777" w:rsidR="00F17119" w:rsidRPr="00FD7794" w:rsidRDefault="00F17119" w:rsidP="00D70FED">
            <w:pPr>
              <w:pStyle w:val="Tabletext0"/>
            </w:pPr>
            <w:r w:rsidRPr="00FD7794">
              <w:t xml:space="preserve">Unknown </w:t>
            </w:r>
          </w:p>
        </w:tc>
        <w:tc>
          <w:tcPr>
            <w:tcW w:w="1382" w:type="dxa"/>
            <w:tcBorders>
              <w:right w:val="single" w:sz="4" w:space="0" w:color="auto"/>
            </w:tcBorders>
          </w:tcPr>
          <w:p w14:paraId="63EDB1CE" w14:textId="77777777" w:rsidR="00F17119" w:rsidRPr="00FD7794" w:rsidRDefault="00F17119" w:rsidP="00FD7794">
            <w:pPr>
              <w:pStyle w:val="Tabletext0"/>
            </w:pPr>
            <w:r w:rsidRPr="00FD7794">
              <w:t>1</w:t>
            </w:r>
          </w:p>
        </w:tc>
        <w:tc>
          <w:tcPr>
            <w:tcW w:w="1382" w:type="dxa"/>
            <w:tcBorders>
              <w:right w:val="single" w:sz="4" w:space="0" w:color="auto"/>
            </w:tcBorders>
          </w:tcPr>
          <w:p w14:paraId="30CB200D" w14:textId="77777777" w:rsidR="00F17119" w:rsidRPr="00FD7794" w:rsidRDefault="00F17119" w:rsidP="00FD7794">
            <w:pPr>
              <w:pStyle w:val="Tabletext0"/>
            </w:pPr>
            <w:r w:rsidRPr="00FD7794">
              <w:t>0.3</w:t>
            </w:r>
          </w:p>
        </w:tc>
        <w:tc>
          <w:tcPr>
            <w:tcW w:w="1382" w:type="dxa"/>
            <w:tcBorders>
              <w:right w:val="single" w:sz="4" w:space="0" w:color="auto"/>
            </w:tcBorders>
          </w:tcPr>
          <w:p w14:paraId="7B9961FE" w14:textId="77777777" w:rsidR="00F17119" w:rsidRPr="00FD7794" w:rsidRDefault="00F17119" w:rsidP="00FD7794">
            <w:pPr>
              <w:pStyle w:val="Tabletext0"/>
            </w:pPr>
            <w:r w:rsidRPr="00FD7794">
              <w:t>2</w:t>
            </w:r>
          </w:p>
        </w:tc>
        <w:tc>
          <w:tcPr>
            <w:tcW w:w="1383" w:type="dxa"/>
            <w:tcBorders>
              <w:right w:val="single" w:sz="4" w:space="0" w:color="auto"/>
            </w:tcBorders>
          </w:tcPr>
          <w:p w14:paraId="46515438" w14:textId="77777777" w:rsidR="00F17119" w:rsidRPr="00FD7794" w:rsidRDefault="00F17119" w:rsidP="00FD7794">
            <w:pPr>
              <w:pStyle w:val="Tabletext0"/>
            </w:pPr>
            <w:r w:rsidRPr="00FD7794">
              <w:t>0.6</w:t>
            </w:r>
          </w:p>
        </w:tc>
      </w:tr>
      <w:tr w:rsidR="00F17119" w:rsidRPr="00FD7794" w14:paraId="5B1E9984" w14:textId="77777777" w:rsidTr="00A067B6">
        <w:trPr>
          <w:trHeight w:val="20"/>
        </w:trPr>
        <w:tc>
          <w:tcPr>
            <w:tcW w:w="3402" w:type="dxa"/>
            <w:tcBorders>
              <w:right w:val="single" w:sz="4" w:space="0" w:color="auto"/>
            </w:tcBorders>
          </w:tcPr>
          <w:p w14:paraId="06A78DB2" w14:textId="77777777" w:rsidR="00F17119" w:rsidRPr="00FD7794" w:rsidRDefault="00F17119" w:rsidP="00D70FED">
            <w:pPr>
              <w:pStyle w:val="Tabletext0"/>
            </w:pPr>
            <w:r w:rsidRPr="00FD7794">
              <w:t xml:space="preserve">Other </w:t>
            </w:r>
          </w:p>
        </w:tc>
        <w:tc>
          <w:tcPr>
            <w:tcW w:w="1382" w:type="dxa"/>
            <w:tcBorders>
              <w:right w:val="single" w:sz="4" w:space="0" w:color="auto"/>
            </w:tcBorders>
          </w:tcPr>
          <w:p w14:paraId="64F3AB1F" w14:textId="77777777" w:rsidR="00F17119" w:rsidRPr="00FD7794" w:rsidRDefault="00F17119" w:rsidP="00FD7794">
            <w:pPr>
              <w:pStyle w:val="Tabletext0"/>
            </w:pPr>
            <w:r w:rsidRPr="00FD7794">
              <w:t>14</w:t>
            </w:r>
          </w:p>
        </w:tc>
        <w:tc>
          <w:tcPr>
            <w:tcW w:w="1382" w:type="dxa"/>
            <w:tcBorders>
              <w:right w:val="single" w:sz="4" w:space="0" w:color="auto"/>
            </w:tcBorders>
          </w:tcPr>
          <w:p w14:paraId="72F8ACB5" w14:textId="77777777" w:rsidR="00F17119" w:rsidRPr="00FD7794" w:rsidRDefault="00F17119" w:rsidP="00FD7794">
            <w:pPr>
              <w:pStyle w:val="Tabletext0"/>
            </w:pPr>
            <w:r w:rsidRPr="00FD7794">
              <w:t>3.9</w:t>
            </w:r>
          </w:p>
        </w:tc>
        <w:tc>
          <w:tcPr>
            <w:tcW w:w="1382" w:type="dxa"/>
            <w:tcBorders>
              <w:right w:val="single" w:sz="4" w:space="0" w:color="auto"/>
            </w:tcBorders>
          </w:tcPr>
          <w:p w14:paraId="4906A3E6" w14:textId="77777777" w:rsidR="00F17119" w:rsidRPr="00FD7794" w:rsidRDefault="00F17119" w:rsidP="00FD7794">
            <w:pPr>
              <w:pStyle w:val="Tabletext0"/>
            </w:pPr>
            <w:r w:rsidRPr="00FD7794">
              <w:t>16</w:t>
            </w:r>
          </w:p>
        </w:tc>
        <w:tc>
          <w:tcPr>
            <w:tcW w:w="1383" w:type="dxa"/>
            <w:tcBorders>
              <w:right w:val="single" w:sz="4" w:space="0" w:color="auto"/>
            </w:tcBorders>
          </w:tcPr>
          <w:p w14:paraId="1ECA8A0B" w14:textId="77777777" w:rsidR="00F17119" w:rsidRPr="00FD7794" w:rsidRDefault="00F17119" w:rsidP="00FD7794">
            <w:pPr>
              <w:pStyle w:val="Tabletext0"/>
            </w:pPr>
            <w:r w:rsidRPr="00FD7794">
              <w:t>4.5</w:t>
            </w:r>
          </w:p>
        </w:tc>
      </w:tr>
    </w:tbl>
    <w:bookmarkEnd w:id="104"/>
    <w:p w14:paraId="3D04D76F" w14:textId="1F72D40C" w:rsidR="00F17119" w:rsidRPr="00AA18A0" w:rsidRDefault="00F17119" w:rsidP="00F17119">
      <w:pPr>
        <w:pStyle w:val="TableDescription"/>
      </w:pPr>
      <w:r>
        <w:t>Abbreviations: N</w:t>
      </w:r>
      <w:r w:rsidR="00B83235">
        <w:t> = </w:t>
      </w:r>
      <w:r>
        <w:t>number of cases, n</w:t>
      </w:r>
      <w:r w:rsidR="00B83235">
        <w:t> = </w:t>
      </w:r>
      <w:r>
        <w:t>total number of patients</w:t>
      </w:r>
    </w:p>
    <w:p w14:paraId="3FF44EC5" w14:textId="6E35EF48" w:rsidR="00F17119" w:rsidRPr="00AA18A0" w:rsidRDefault="00F17119" w:rsidP="00F17119">
      <w:pPr>
        <w:pStyle w:val="TableDescription"/>
      </w:pPr>
      <w:r>
        <w:lastRenderedPageBreak/>
        <w:t xml:space="preserve">Database lock </w:t>
      </w:r>
      <w:r w:rsidRPr="00AA18A0">
        <w:t>date</w:t>
      </w:r>
      <w:r w:rsidR="00B651DF">
        <w:t>:</w:t>
      </w:r>
      <w:r>
        <w:t xml:space="preserve"> 9 March 2021.</w:t>
      </w:r>
    </w:p>
    <w:p w14:paraId="10BB9E3F" w14:textId="77777777" w:rsidR="00F17119" w:rsidRPr="003D1296" w:rsidRDefault="00F17119" w:rsidP="003D1296">
      <w:pPr>
        <w:pStyle w:val="Heading5"/>
      </w:pPr>
      <w:r w:rsidRPr="003D1296">
        <w:t>Dose interruptions and permanent discontinuations</w:t>
      </w:r>
    </w:p>
    <w:p w14:paraId="08B2857F" w14:textId="634C08A9" w:rsidR="00F17119" w:rsidRDefault="00F17119" w:rsidP="00F17119">
      <w:r>
        <w:t xml:space="preserve">The sponsor’s analysis of </w:t>
      </w:r>
      <w:r w:rsidRPr="00A5374C">
        <w:t>dose delay, dose infusion interruption, and infusion rate reduction</w:t>
      </w:r>
      <w:r>
        <w:t xml:space="preserve"> in </w:t>
      </w:r>
      <w:r w:rsidR="003269A5">
        <w:t>the RELATIVITY-047 trial</w:t>
      </w:r>
      <w:r>
        <w:t xml:space="preserve"> is </w:t>
      </w:r>
      <w:r w:rsidR="00FD7794">
        <w:t xml:space="preserve">available </w:t>
      </w:r>
      <w:r>
        <w:t>with a</w:t>
      </w:r>
      <w:r w:rsidRPr="004C636C">
        <w:t xml:space="preserve"> list of </w:t>
      </w:r>
      <w:r>
        <w:t>A</w:t>
      </w:r>
      <w:r w:rsidR="00DB3E35">
        <w:t>E</w:t>
      </w:r>
      <w:r>
        <w:t xml:space="preserve">s </w:t>
      </w:r>
      <w:r w:rsidRPr="004C636C">
        <w:t>that led to treatment discontinuation</w:t>
      </w:r>
      <w:r>
        <w:t>.</w:t>
      </w:r>
      <w:r>
        <w:rPr>
          <w:rStyle w:val="FootnoteReference"/>
        </w:rPr>
        <w:footnoteReference w:id="95"/>
      </w:r>
      <w:r>
        <w:t xml:space="preserve"> </w:t>
      </w:r>
      <w:proofErr w:type="gramStart"/>
      <w:r>
        <w:t>A brief summary</w:t>
      </w:r>
      <w:proofErr w:type="gramEnd"/>
      <w:r>
        <w:t xml:space="preserve"> of these metrics is included in </w:t>
      </w:r>
      <w:r w:rsidR="00D70FED">
        <w:t>the following table.</w:t>
      </w:r>
      <w:r w:rsidR="00B651DF">
        <w:t xml:space="preserve"> </w:t>
      </w:r>
      <w:r w:rsidR="00C808E2">
        <w:t>B</w:t>
      </w:r>
      <w:r w:rsidR="00B651DF">
        <w:t>elow</w:t>
      </w:r>
      <w:r w:rsidR="00FD7794">
        <w:t>.</w:t>
      </w:r>
    </w:p>
    <w:p w14:paraId="61A4BD8A" w14:textId="251F764D" w:rsidR="00F17119" w:rsidRPr="00C806C4" w:rsidRDefault="00F17119" w:rsidP="00F17119">
      <w:pPr>
        <w:pStyle w:val="TableTitle"/>
      </w:pPr>
      <w:bookmarkStart w:id="105" w:name="_Ref96438341"/>
      <w:bookmarkStart w:id="106" w:name="_Ref106197692"/>
      <w:bookmarkStart w:id="107" w:name="_Hlk109052077"/>
      <w:r w:rsidRPr="00C806C4">
        <w:t xml:space="preserve">Table </w:t>
      </w:r>
      <w:r>
        <w:fldChar w:fldCharType="begin"/>
      </w:r>
      <w:r>
        <w:instrText>SEQ Table \* ARABIC</w:instrText>
      </w:r>
      <w:r>
        <w:fldChar w:fldCharType="separate"/>
      </w:r>
      <w:r w:rsidR="004F1B9E">
        <w:rPr>
          <w:noProof/>
        </w:rPr>
        <w:t>8</w:t>
      </w:r>
      <w:r>
        <w:fldChar w:fldCharType="end"/>
      </w:r>
      <w:bookmarkEnd w:id="105"/>
      <w:r w:rsidR="00D54274">
        <w:rPr>
          <w:noProof/>
        </w:rPr>
        <w:t>:</w:t>
      </w:r>
      <w:r w:rsidRPr="00C806C4">
        <w:t xml:space="preserve"> </w:t>
      </w:r>
      <w:r w:rsidR="003269A5">
        <w:t xml:space="preserve">RELATIVITY-047 </w:t>
      </w:r>
      <w:r w:rsidRPr="00C806C4">
        <w:t xml:space="preserve">Dose modifications and permanent discontinuations </w:t>
      </w:r>
      <w:r w:rsidR="00B651DF">
        <w:t>(</w:t>
      </w:r>
      <w:r w:rsidRPr="00C806C4">
        <w:t>safety analysis population</w:t>
      </w:r>
      <w:bookmarkEnd w:id="106"/>
      <w:r w:rsidR="00B651DF">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339"/>
        <w:gridCol w:w="2339"/>
        <w:gridCol w:w="1418"/>
        <w:gridCol w:w="850"/>
        <w:gridCol w:w="851"/>
        <w:gridCol w:w="1275"/>
      </w:tblGrid>
      <w:tr w:rsidR="00DD7C84" w:rsidRPr="00FD7794" w14:paraId="1C1ECEF3" w14:textId="77777777" w:rsidTr="00FD7794">
        <w:trPr>
          <w:trHeight w:val="454"/>
          <w:tblHeader/>
        </w:trPr>
        <w:tc>
          <w:tcPr>
            <w:tcW w:w="4678" w:type="dxa"/>
            <w:gridSpan w:val="2"/>
            <w:tcBorders>
              <w:right w:val="single" w:sz="4" w:space="0" w:color="auto"/>
            </w:tcBorders>
            <w:shd w:val="clear" w:color="auto" w:fill="DEEAF6" w:themeFill="accent5" w:themeFillTint="33"/>
            <w:vAlign w:val="bottom"/>
          </w:tcPr>
          <w:p w14:paraId="0808522B" w14:textId="77777777" w:rsidR="00F17119" w:rsidRPr="00FD7794" w:rsidRDefault="00F17119" w:rsidP="00FD7794">
            <w:pPr>
              <w:pStyle w:val="TableText"/>
              <w:rPr>
                <w:b/>
                <w:bCs/>
              </w:rPr>
            </w:pPr>
          </w:p>
        </w:tc>
        <w:tc>
          <w:tcPr>
            <w:tcW w:w="2268" w:type="dxa"/>
            <w:gridSpan w:val="2"/>
            <w:tcBorders>
              <w:right w:val="single" w:sz="4" w:space="0" w:color="auto"/>
            </w:tcBorders>
            <w:shd w:val="clear" w:color="auto" w:fill="DEEAF6" w:themeFill="accent5" w:themeFillTint="33"/>
            <w:vAlign w:val="center"/>
          </w:tcPr>
          <w:p w14:paraId="16399BF4" w14:textId="3BAB2E2D" w:rsidR="00D54274" w:rsidRPr="00FD7794" w:rsidRDefault="00F17119" w:rsidP="00FD7794">
            <w:pPr>
              <w:pStyle w:val="TableText"/>
              <w:rPr>
                <w:b/>
                <w:bCs/>
              </w:rPr>
            </w:pPr>
            <w:r w:rsidRPr="00FD7794">
              <w:rPr>
                <w:b/>
                <w:bCs/>
              </w:rPr>
              <w:t>Nivo</w:t>
            </w:r>
            <w:r w:rsidR="00D54274" w:rsidRPr="00FD7794">
              <w:rPr>
                <w:b/>
                <w:bCs/>
              </w:rPr>
              <w:t xml:space="preserve">lumab with </w:t>
            </w:r>
            <w:proofErr w:type="spellStart"/>
            <w:r w:rsidR="00D54274" w:rsidRPr="00FD7794">
              <w:rPr>
                <w:b/>
                <w:bCs/>
              </w:rPr>
              <w:t>Relatlimab</w:t>
            </w:r>
            <w:proofErr w:type="spellEnd"/>
          </w:p>
          <w:p w14:paraId="6B0B12F0" w14:textId="18C682A4" w:rsidR="00F17119" w:rsidRPr="00FD7794" w:rsidRDefault="00F17119" w:rsidP="00FD7794">
            <w:pPr>
              <w:pStyle w:val="TableText"/>
              <w:rPr>
                <w:b/>
                <w:bCs/>
              </w:rPr>
            </w:pPr>
            <w:r w:rsidRPr="00FD7794">
              <w:rPr>
                <w:b/>
                <w:bCs/>
              </w:rPr>
              <w:t>(n</w:t>
            </w:r>
            <w:r w:rsidR="00B83235">
              <w:rPr>
                <w:b/>
                <w:bCs/>
              </w:rPr>
              <w:t> = </w:t>
            </w:r>
            <w:r w:rsidRPr="00FD7794">
              <w:rPr>
                <w:b/>
                <w:bCs/>
              </w:rPr>
              <w:t>355)</w:t>
            </w:r>
          </w:p>
        </w:tc>
        <w:tc>
          <w:tcPr>
            <w:tcW w:w="2126" w:type="dxa"/>
            <w:gridSpan w:val="2"/>
            <w:tcBorders>
              <w:right w:val="single" w:sz="4" w:space="0" w:color="auto"/>
            </w:tcBorders>
            <w:shd w:val="clear" w:color="auto" w:fill="DEEAF6" w:themeFill="accent5" w:themeFillTint="33"/>
            <w:vAlign w:val="center"/>
          </w:tcPr>
          <w:p w14:paraId="22E2824B" w14:textId="086B76F4" w:rsidR="00F17119" w:rsidRPr="00FD7794" w:rsidRDefault="00F17119" w:rsidP="00FD7794">
            <w:pPr>
              <w:pStyle w:val="TableText"/>
              <w:rPr>
                <w:b/>
                <w:bCs/>
              </w:rPr>
            </w:pPr>
            <w:r w:rsidRPr="00FD7794">
              <w:rPr>
                <w:b/>
                <w:bCs/>
              </w:rPr>
              <w:t>Nivo</w:t>
            </w:r>
            <w:r w:rsidR="00D54274" w:rsidRPr="00FD7794">
              <w:rPr>
                <w:b/>
                <w:bCs/>
              </w:rPr>
              <w:t>lumab</w:t>
            </w:r>
          </w:p>
          <w:p w14:paraId="66AD2985" w14:textId="128E8780" w:rsidR="00F17119" w:rsidRPr="00FD7794" w:rsidRDefault="00F17119" w:rsidP="00FD7794">
            <w:pPr>
              <w:pStyle w:val="TableText"/>
              <w:rPr>
                <w:b/>
                <w:bCs/>
              </w:rPr>
            </w:pPr>
            <w:r w:rsidRPr="00FD7794">
              <w:rPr>
                <w:b/>
                <w:bCs/>
              </w:rPr>
              <w:t>(n</w:t>
            </w:r>
            <w:r w:rsidR="00B83235">
              <w:rPr>
                <w:b/>
                <w:bCs/>
              </w:rPr>
              <w:t> = </w:t>
            </w:r>
            <w:r w:rsidRPr="00FD7794">
              <w:rPr>
                <w:b/>
                <w:bCs/>
              </w:rPr>
              <w:t>359)</w:t>
            </w:r>
          </w:p>
        </w:tc>
      </w:tr>
      <w:tr w:rsidR="00DD7C84" w:rsidRPr="00FD7794" w14:paraId="02D8F6D1" w14:textId="77777777" w:rsidTr="00FD7794">
        <w:trPr>
          <w:trHeight w:val="20"/>
        </w:trPr>
        <w:tc>
          <w:tcPr>
            <w:tcW w:w="4678" w:type="dxa"/>
            <w:gridSpan w:val="2"/>
            <w:tcBorders>
              <w:right w:val="single" w:sz="4" w:space="0" w:color="auto"/>
            </w:tcBorders>
            <w:shd w:val="clear" w:color="auto" w:fill="DEEAF6" w:themeFill="accent5" w:themeFillTint="33"/>
          </w:tcPr>
          <w:p w14:paraId="64F60EE0" w14:textId="77777777" w:rsidR="00F17119" w:rsidRPr="00FD7794" w:rsidRDefault="00F17119" w:rsidP="00FD7794">
            <w:pPr>
              <w:pStyle w:val="TableText"/>
              <w:rPr>
                <w:b/>
                <w:bCs/>
              </w:rPr>
            </w:pPr>
          </w:p>
        </w:tc>
        <w:tc>
          <w:tcPr>
            <w:tcW w:w="1418" w:type="dxa"/>
            <w:tcBorders>
              <w:right w:val="single" w:sz="4" w:space="0" w:color="auto"/>
            </w:tcBorders>
            <w:shd w:val="clear" w:color="auto" w:fill="DEEAF6" w:themeFill="accent5" w:themeFillTint="33"/>
          </w:tcPr>
          <w:p w14:paraId="4EA595F8" w14:textId="77777777" w:rsidR="00F17119" w:rsidRPr="00FD7794" w:rsidRDefault="00F17119" w:rsidP="00FD7794">
            <w:pPr>
              <w:pStyle w:val="TableText"/>
              <w:rPr>
                <w:b/>
                <w:bCs/>
              </w:rPr>
            </w:pPr>
            <w:r w:rsidRPr="00FD7794">
              <w:rPr>
                <w:b/>
                <w:bCs/>
              </w:rPr>
              <w:t>N</w:t>
            </w:r>
          </w:p>
        </w:tc>
        <w:tc>
          <w:tcPr>
            <w:tcW w:w="850" w:type="dxa"/>
            <w:tcBorders>
              <w:right w:val="single" w:sz="4" w:space="0" w:color="auto"/>
            </w:tcBorders>
            <w:shd w:val="clear" w:color="auto" w:fill="DEEAF6" w:themeFill="accent5" w:themeFillTint="33"/>
          </w:tcPr>
          <w:p w14:paraId="417728D4" w14:textId="77777777" w:rsidR="00F17119" w:rsidRPr="00FD7794" w:rsidRDefault="00F17119" w:rsidP="00FD7794">
            <w:pPr>
              <w:pStyle w:val="TableText"/>
              <w:rPr>
                <w:b/>
                <w:bCs/>
              </w:rPr>
            </w:pPr>
            <w:r w:rsidRPr="00FD7794">
              <w:rPr>
                <w:b/>
                <w:bCs/>
              </w:rPr>
              <w:t>%</w:t>
            </w:r>
          </w:p>
        </w:tc>
        <w:tc>
          <w:tcPr>
            <w:tcW w:w="851" w:type="dxa"/>
            <w:tcBorders>
              <w:right w:val="single" w:sz="4" w:space="0" w:color="auto"/>
            </w:tcBorders>
            <w:shd w:val="clear" w:color="auto" w:fill="DEEAF6" w:themeFill="accent5" w:themeFillTint="33"/>
          </w:tcPr>
          <w:p w14:paraId="13662FC6" w14:textId="77777777" w:rsidR="00F17119" w:rsidRPr="00FD7794" w:rsidRDefault="00F17119" w:rsidP="00FD7794">
            <w:pPr>
              <w:pStyle w:val="TableText"/>
              <w:rPr>
                <w:b/>
                <w:bCs/>
              </w:rPr>
            </w:pPr>
            <w:r w:rsidRPr="00FD7794">
              <w:rPr>
                <w:b/>
                <w:bCs/>
              </w:rPr>
              <w:t>N</w:t>
            </w:r>
          </w:p>
        </w:tc>
        <w:tc>
          <w:tcPr>
            <w:tcW w:w="1275" w:type="dxa"/>
            <w:tcBorders>
              <w:right w:val="single" w:sz="4" w:space="0" w:color="auto"/>
            </w:tcBorders>
            <w:shd w:val="clear" w:color="auto" w:fill="DEEAF6" w:themeFill="accent5" w:themeFillTint="33"/>
          </w:tcPr>
          <w:p w14:paraId="524381D7" w14:textId="77777777" w:rsidR="00F17119" w:rsidRPr="00FD7794" w:rsidRDefault="00F17119" w:rsidP="00FD7794">
            <w:pPr>
              <w:pStyle w:val="TableText"/>
              <w:rPr>
                <w:b/>
                <w:bCs/>
              </w:rPr>
            </w:pPr>
            <w:r w:rsidRPr="00FD7794">
              <w:rPr>
                <w:b/>
                <w:bCs/>
              </w:rPr>
              <w:t>%</w:t>
            </w:r>
          </w:p>
        </w:tc>
      </w:tr>
      <w:tr w:rsidR="00F17119" w:rsidRPr="00FD7794" w14:paraId="76004167" w14:textId="77777777" w:rsidTr="00A067B6">
        <w:trPr>
          <w:trHeight w:val="20"/>
        </w:trPr>
        <w:tc>
          <w:tcPr>
            <w:tcW w:w="9072" w:type="dxa"/>
            <w:gridSpan w:val="6"/>
            <w:tcBorders>
              <w:right w:val="single" w:sz="4" w:space="0" w:color="auto"/>
            </w:tcBorders>
            <w:shd w:val="clear" w:color="auto" w:fill="EBF0F9" w:themeFill="accent1" w:themeFillTint="1A"/>
          </w:tcPr>
          <w:p w14:paraId="58815E01" w14:textId="77777777" w:rsidR="00F17119" w:rsidRPr="00FD7794" w:rsidRDefault="00F17119" w:rsidP="00FD7794">
            <w:pPr>
              <w:pStyle w:val="TableText"/>
            </w:pPr>
            <w:r w:rsidRPr="00FD7794">
              <w:t>Dose delays and infusion interruptions</w:t>
            </w:r>
          </w:p>
        </w:tc>
      </w:tr>
      <w:tr w:rsidR="00F17119" w:rsidRPr="00FD7794" w14:paraId="1FAB1DFF" w14:textId="77777777" w:rsidTr="00A067B6">
        <w:trPr>
          <w:trHeight w:val="20"/>
        </w:trPr>
        <w:tc>
          <w:tcPr>
            <w:tcW w:w="4678" w:type="dxa"/>
            <w:gridSpan w:val="2"/>
            <w:tcBorders>
              <w:right w:val="single" w:sz="4" w:space="0" w:color="auto"/>
            </w:tcBorders>
          </w:tcPr>
          <w:p w14:paraId="02D9F2A0" w14:textId="77777777" w:rsidR="00F17119" w:rsidRPr="00FD7794" w:rsidRDefault="00F17119" w:rsidP="00FD7794">
            <w:pPr>
              <w:pStyle w:val="TableText"/>
              <w:rPr>
                <w:highlight w:val="yellow"/>
              </w:rPr>
            </w:pPr>
            <w:r w:rsidRPr="00FD7794">
              <w:t xml:space="preserve">Patients with at least one dose delayed* due to AE </w:t>
            </w:r>
          </w:p>
        </w:tc>
        <w:tc>
          <w:tcPr>
            <w:tcW w:w="1418" w:type="dxa"/>
            <w:tcBorders>
              <w:right w:val="single" w:sz="4" w:space="0" w:color="auto"/>
            </w:tcBorders>
          </w:tcPr>
          <w:p w14:paraId="7E3D8E4E" w14:textId="77777777" w:rsidR="00F17119" w:rsidRPr="00FD7794" w:rsidRDefault="00F17119" w:rsidP="00FD7794">
            <w:pPr>
              <w:pStyle w:val="TableText"/>
            </w:pPr>
            <w:r w:rsidRPr="00FD7794">
              <w:t>140</w:t>
            </w:r>
          </w:p>
        </w:tc>
        <w:tc>
          <w:tcPr>
            <w:tcW w:w="850" w:type="dxa"/>
            <w:tcBorders>
              <w:right w:val="single" w:sz="4" w:space="0" w:color="auto"/>
            </w:tcBorders>
          </w:tcPr>
          <w:p w14:paraId="1A8950A9" w14:textId="77777777" w:rsidR="00F17119" w:rsidRPr="00FD7794" w:rsidRDefault="00F17119" w:rsidP="00FD7794">
            <w:pPr>
              <w:pStyle w:val="TableText"/>
            </w:pPr>
            <w:r w:rsidRPr="00FD7794">
              <w:t>39</w:t>
            </w:r>
          </w:p>
        </w:tc>
        <w:tc>
          <w:tcPr>
            <w:tcW w:w="851" w:type="dxa"/>
            <w:tcBorders>
              <w:right w:val="single" w:sz="4" w:space="0" w:color="auto"/>
            </w:tcBorders>
          </w:tcPr>
          <w:p w14:paraId="20E8136D" w14:textId="77777777" w:rsidR="00F17119" w:rsidRPr="00FD7794" w:rsidRDefault="00F17119" w:rsidP="00FD7794">
            <w:pPr>
              <w:pStyle w:val="TableText"/>
            </w:pPr>
            <w:r w:rsidRPr="00FD7794">
              <w:t>130</w:t>
            </w:r>
          </w:p>
        </w:tc>
        <w:tc>
          <w:tcPr>
            <w:tcW w:w="1275" w:type="dxa"/>
            <w:tcBorders>
              <w:right w:val="single" w:sz="4" w:space="0" w:color="auto"/>
            </w:tcBorders>
          </w:tcPr>
          <w:p w14:paraId="023E00A3" w14:textId="77777777" w:rsidR="00F17119" w:rsidRPr="00FD7794" w:rsidRDefault="00F17119" w:rsidP="00FD7794">
            <w:pPr>
              <w:pStyle w:val="TableText"/>
            </w:pPr>
            <w:r w:rsidRPr="00FD7794">
              <w:t>36</w:t>
            </w:r>
          </w:p>
        </w:tc>
      </w:tr>
      <w:tr w:rsidR="00F17119" w:rsidRPr="00FD7794" w14:paraId="3879268F" w14:textId="77777777" w:rsidTr="00A067B6">
        <w:trPr>
          <w:trHeight w:val="20"/>
        </w:trPr>
        <w:tc>
          <w:tcPr>
            <w:tcW w:w="4678" w:type="dxa"/>
            <w:gridSpan w:val="2"/>
            <w:tcBorders>
              <w:right w:val="single" w:sz="4" w:space="0" w:color="auto"/>
            </w:tcBorders>
          </w:tcPr>
          <w:p w14:paraId="02AA7CA2" w14:textId="77777777" w:rsidR="00F17119" w:rsidRPr="00FD7794" w:rsidRDefault="00F17119" w:rsidP="00FD7794">
            <w:pPr>
              <w:pStyle w:val="TableText"/>
              <w:rPr>
                <w:highlight w:val="yellow"/>
              </w:rPr>
            </w:pPr>
            <w:r w:rsidRPr="00FD7794">
              <w:t>Patients with at least one AE that led to dose delay or infusion interruption**</w:t>
            </w:r>
          </w:p>
        </w:tc>
        <w:tc>
          <w:tcPr>
            <w:tcW w:w="1418" w:type="dxa"/>
            <w:tcBorders>
              <w:right w:val="single" w:sz="4" w:space="0" w:color="auto"/>
            </w:tcBorders>
          </w:tcPr>
          <w:p w14:paraId="617C17C9" w14:textId="77777777" w:rsidR="00F17119" w:rsidRPr="00FD7794" w:rsidRDefault="00F17119" w:rsidP="00FD7794">
            <w:pPr>
              <w:pStyle w:val="TableText"/>
            </w:pPr>
            <w:r w:rsidRPr="00FD7794">
              <w:t>160</w:t>
            </w:r>
          </w:p>
        </w:tc>
        <w:tc>
          <w:tcPr>
            <w:tcW w:w="850" w:type="dxa"/>
            <w:tcBorders>
              <w:right w:val="single" w:sz="4" w:space="0" w:color="auto"/>
            </w:tcBorders>
          </w:tcPr>
          <w:p w14:paraId="70A9580E" w14:textId="77777777" w:rsidR="00F17119" w:rsidRPr="00FD7794" w:rsidRDefault="00F17119" w:rsidP="00FD7794">
            <w:pPr>
              <w:pStyle w:val="TableText"/>
            </w:pPr>
            <w:r w:rsidRPr="00FD7794">
              <w:t>45</w:t>
            </w:r>
          </w:p>
        </w:tc>
        <w:tc>
          <w:tcPr>
            <w:tcW w:w="851" w:type="dxa"/>
            <w:tcBorders>
              <w:right w:val="single" w:sz="4" w:space="0" w:color="auto"/>
            </w:tcBorders>
          </w:tcPr>
          <w:p w14:paraId="2BA4005B" w14:textId="77777777" w:rsidR="00F17119" w:rsidRPr="00FD7794" w:rsidRDefault="00F17119" w:rsidP="00FD7794">
            <w:pPr>
              <w:pStyle w:val="TableText"/>
            </w:pPr>
            <w:r w:rsidRPr="00FD7794">
              <w:t>136</w:t>
            </w:r>
          </w:p>
        </w:tc>
        <w:tc>
          <w:tcPr>
            <w:tcW w:w="1275" w:type="dxa"/>
            <w:tcBorders>
              <w:right w:val="single" w:sz="4" w:space="0" w:color="auto"/>
            </w:tcBorders>
          </w:tcPr>
          <w:p w14:paraId="4DAE72DB" w14:textId="77777777" w:rsidR="00F17119" w:rsidRPr="00FD7794" w:rsidRDefault="00F17119" w:rsidP="00FD7794">
            <w:pPr>
              <w:pStyle w:val="TableText"/>
            </w:pPr>
            <w:r w:rsidRPr="00FD7794">
              <w:t>38</w:t>
            </w:r>
          </w:p>
        </w:tc>
      </w:tr>
      <w:tr w:rsidR="00F17119" w:rsidRPr="00FD7794" w14:paraId="2BC960EC" w14:textId="77777777" w:rsidTr="00A067B6">
        <w:trPr>
          <w:trHeight w:val="20"/>
        </w:trPr>
        <w:tc>
          <w:tcPr>
            <w:tcW w:w="9072" w:type="dxa"/>
            <w:gridSpan w:val="6"/>
            <w:tcBorders>
              <w:right w:val="single" w:sz="4" w:space="0" w:color="auto"/>
            </w:tcBorders>
            <w:shd w:val="clear" w:color="auto" w:fill="EBF0F9" w:themeFill="accent1" w:themeFillTint="1A"/>
          </w:tcPr>
          <w:p w14:paraId="1AC8FE1D" w14:textId="77777777" w:rsidR="00F17119" w:rsidRPr="00FD7794" w:rsidRDefault="00F17119" w:rsidP="00FD7794">
            <w:pPr>
              <w:pStyle w:val="TableText"/>
            </w:pPr>
            <w:r w:rsidRPr="00FD7794">
              <w:t>Infusion rate reduction</w:t>
            </w:r>
          </w:p>
        </w:tc>
      </w:tr>
      <w:tr w:rsidR="00F17119" w:rsidRPr="00FD7794" w14:paraId="31CED947" w14:textId="77777777" w:rsidTr="00A067B6">
        <w:trPr>
          <w:trHeight w:val="20"/>
        </w:trPr>
        <w:tc>
          <w:tcPr>
            <w:tcW w:w="4678" w:type="dxa"/>
            <w:gridSpan w:val="2"/>
            <w:tcBorders>
              <w:right w:val="single" w:sz="4" w:space="0" w:color="auto"/>
            </w:tcBorders>
          </w:tcPr>
          <w:p w14:paraId="67981506" w14:textId="77777777" w:rsidR="00F17119" w:rsidRPr="00FD7794" w:rsidRDefault="00F17119" w:rsidP="00FD7794">
            <w:pPr>
              <w:pStyle w:val="TableText"/>
            </w:pPr>
            <w:r w:rsidRPr="00FD7794">
              <w:t>Patients with at least one infusion during which the rate was reduced</w:t>
            </w:r>
          </w:p>
        </w:tc>
        <w:tc>
          <w:tcPr>
            <w:tcW w:w="1418" w:type="dxa"/>
            <w:tcBorders>
              <w:right w:val="single" w:sz="4" w:space="0" w:color="auto"/>
            </w:tcBorders>
          </w:tcPr>
          <w:p w14:paraId="506B7878" w14:textId="77777777" w:rsidR="00F17119" w:rsidRPr="00FD7794" w:rsidRDefault="00F17119" w:rsidP="00FD7794">
            <w:pPr>
              <w:pStyle w:val="TableText"/>
            </w:pPr>
            <w:r w:rsidRPr="00FD7794">
              <w:t>15</w:t>
            </w:r>
          </w:p>
        </w:tc>
        <w:tc>
          <w:tcPr>
            <w:tcW w:w="850" w:type="dxa"/>
            <w:tcBorders>
              <w:right w:val="single" w:sz="4" w:space="0" w:color="auto"/>
            </w:tcBorders>
          </w:tcPr>
          <w:p w14:paraId="45F98602" w14:textId="77777777" w:rsidR="00F17119" w:rsidRPr="00FD7794" w:rsidRDefault="00F17119" w:rsidP="00FD7794">
            <w:pPr>
              <w:pStyle w:val="TableText"/>
            </w:pPr>
            <w:r w:rsidRPr="00FD7794">
              <w:t>4</w:t>
            </w:r>
          </w:p>
        </w:tc>
        <w:tc>
          <w:tcPr>
            <w:tcW w:w="851" w:type="dxa"/>
            <w:tcBorders>
              <w:right w:val="single" w:sz="4" w:space="0" w:color="auto"/>
            </w:tcBorders>
          </w:tcPr>
          <w:p w14:paraId="1096E295" w14:textId="77777777" w:rsidR="00F17119" w:rsidRPr="00FD7794" w:rsidRDefault="00F17119" w:rsidP="00FD7794">
            <w:pPr>
              <w:pStyle w:val="TableText"/>
            </w:pPr>
            <w:r w:rsidRPr="00FD7794">
              <w:t>8</w:t>
            </w:r>
          </w:p>
        </w:tc>
        <w:tc>
          <w:tcPr>
            <w:tcW w:w="1275" w:type="dxa"/>
            <w:tcBorders>
              <w:right w:val="single" w:sz="4" w:space="0" w:color="auto"/>
            </w:tcBorders>
          </w:tcPr>
          <w:p w14:paraId="077F182B" w14:textId="77777777" w:rsidR="00F17119" w:rsidRPr="00FD7794" w:rsidRDefault="00F17119" w:rsidP="00FD7794">
            <w:pPr>
              <w:pStyle w:val="TableText"/>
            </w:pPr>
            <w:r w:rsidRPr="00FD7794">
              <w:t>2</w:t>
            </w:r>
          </w:p>
        </w:tc>
      </w:tr>
      <w:tr w:rsidR="00F17119" w:rsidRPr="00FD7794" w14:paraId="251B8215" w14:textId="77777777" w:rsidTr="00A067B6">
        <w:trPr>
          <w:trHeight w:val="20"/>
        </w:trPr>
        <w:tc>
          <w:tcPr>
            <w:tcW w:w="9072" w:type="dxa"/>
            <w:gridSpan w:val="6"/>
            <w:tcBorders>
              <w:right w:val="single" w:sz="4" w:space="0" w:color="auto"/>
            </w:tcBorders>
            <w:shd w:val="clear" w:color="auto" w:fill="EBF0F9" w:themeFill="accent1" w:themeFillTint="1A"/>
          </w:tcPr>
          <w:p w14:paraId="67724059" w14:textId="674CB7E3" w:rsidR="00F17119" w:rsidRPr="00FD7794" w:rsidRDefault="00F17119" w:rsidP="00FD7794">
            <w:pPr>
              <w:pStyle w:val="TableText"/>
            </w:pPr>
            <w:r w:rsidRPr="00FD7794">
              <w:t>A</w:t>
            </w:r>
            <w:r w:rsidR="00E2485B">
              <w:t>E</w:t>
            </w:r>
            <w:r w:rsidRPr="00FD7794">
              <w:t>s leading to permanent discontinuation</w:t>
            </w:r>
          </w:p>
        </w:tc>
      </w:tr>
      <w:tr w:rsidR="00F17119" w:rsidRPr="00FD7794" w14:paraId="55E02175" w14:textId="77777777" w:rsidTr="00A067B6">
        <w:trPr>
          <w:trHeight w:val="20"/>
        </w:trPr>
        <w:tc>
          <w:tcPr>
            <w:tcW w:w="4678" w:type="dxa"/>
            <w:gridSpan w:val="2"/>
            <w:tcBorders>
              <w:right w:val="single" w:sz="4" w:space="0" w:color="auto"/>
            </w:tcBorders>
          </w:tcPr>
          <w:p w14:paraId="2B5A1AC0" w14:textId="77777777" w:rsidR="00F17119" w:rsidRPr="00FD7794" w:rsidRDefault="00F17119" w:rsidP="00FD7794">
            <w:pPr>
              <w:pStyle w:val="TableText"/>
            </w:pPr>
            <w:r w:rsidRPr="00FD7794">
              <w:t>Patients with at least one AE leading to discontinuation</w:t>
            </w:r>
          </w:p>
        </w:tc>
        <w:tc>
          <w:tcPr>
            <w:tcW w:w="1418" w:type="dxa"/>
            <w:tcBorders>
              <w:right w:val="single" w:sz="4" w:space="0" w:color="auto"/>
            </w:tcBorders>
          </w:tcPr>
          <w:p w14:paraId="3AC0F74A" w14:textId="77777777" w:rsidR="00F17119" w:rsidRPr="00FD7794" w:rsidRDefault="00F17119" w:rsidP="00FD7794">
            <w:pPr>
              <w:pStyle w:val="TableText"/>
            </w:pPr>
            <w:r w:rsidRPr="00FD7794">
              <w:t>69</w:t>
            </w:r>
          </w:p>
        </w:tc>
        <w:tc>
          <w:tcPr>
            <w:tcW w:w="850" w:type="dxa"/>
            <w:tcBorders>
              <w:right w:val="single" w:sz="4" w:space="0" w:color="auto"/>
            </w:tcBorders>
          </w:tcPr>
          <w:p w14:paraId="17DBACEC" w14:textId="77777777" w:rsidR="00F17119" w:rsidRPr="00FD7794" w:rsidRDefault="00F17119" w:rsidP="00FD7794">
            <w:pPr>
              <w:pStyle w:val="TableText"/>
            </w:pPr>
            <w:r w:rsidRPr="00FD7794">
              <w:t>19</w:t>
            </w:r>
          </w:p>
        </w:tc>
        <w:tc>
          <w:tcPr>
            <w:tcW w:w="851" w:type="dxa"/>
            <w:tcBorders>
              <w:right w:val="single" w:sz="4" w:space="0" w:color="auto"/>
            </w:tcBorders>
          </w:tcPr>
          <w:p w14:paraId="6185A7CF" w14:textId="77777777" w:rsidR="00F17119" w:rsidRPr="00FD7794" w:rsidRDefault="00F17119" w:rsidP="00FD7794">
            <w:pPr>
              <w:pStyle w:val="TableText"/>
            </w:pPr>
            <w:r w:rsidRPr="00FD7794">
              <w:t>41</w:t>
            </w:r>
          </w:p>
        </w:tc>
        <w:tc>
          <w:tcPr>
            <w:tcW w:w="1275" w:type="dxa"/>
            <w:tcBorders>
              <w:right w:val="single" w:sz="4" w:space="0" w:color="auto"/>
            </w:tcBorders>
          </w:tcPr>
          <w:p w14:paraId="5F839460" w14:textId="77777777" w:rsidR="00F17119" w:rsidRPr="00FD7794" w:rsidRDefault="00F17119" w:rsidP="00FD7794">
            <w:pPr>
              <w:pStyle w:val="TableText"/>
            </w:pPr>
            <w:r w:rsidRPr="00FD7794">
              <w:t>11</w:t>
            </w:r>
          </w:p>
        </w:tc>
      </w:tr>
      <w:tr w:rsidR="00F17119" w:rsidRPr="00FD7794" w14:paraId="55173504" w14:textId="77777777" w:rsidTr="00A067B6">
        <w:trPr>
          <w:trHeight w:val="20"/>
        </w:trPr>
        <w:tc>
          <w:tcPr>
            <w:tcW w:w="2339" w:type="dxa"/>
            <w:vMerge w:val="restart"/>
            <w:tcBorders>
              <w:right w:val="single" w:sz="4" w:space="0" w:color="auto"/>
            </w:tcBorders>
          </w:tcPr>
          <w:p w14:paraId="127065A4" w14:textId="05377328" w:rsidR="00F17119" w:rsidRPr="00FD7794" w:rsidRDefault="00F17119" w:rsidP="00FD7794">
            <w:pPr>
              <w:pStyle w:val="TableText"/>
            </w:pPr>
            <w:r w:rsidRPr="00FD7794">
              <w:t>A</w:t>
            </w:r>
            <w:r w:rsidR="00E2485B">
              <w:t>E</w:t>
            </w:r>
            <w:r w:rsidRPr="00FD7794">
              <w:t xml:space="preserve">s leading to discontinuation with </w:t>
            </w:r>
            <w:proofErr w:type="gramStart"/>
            <w:r w:rsidRPr="00FD7794">
              <w:t>a</w:t>
            </w:r>
            <w:proofErr w:type="gramEnd"/>
            <w:r w:rsidRPr="00FD7794">
              <w:t xml:space="preserve"> incidence at least 1% different between arms</w:t>
            </w:r>
          </w:p>
        </w:tc>
        <w:tc>
          <w:tcPr>
            <w:tcW w:w="2339" w:type="dxa"/>
            <w:tcBorders>
              <w:right w:val="single" w:sz="4" w:space="0" w:color="auto"/>
            </w:tcBorders>
          </w:tcPr>
          <w:p w14:paraId="7CF7F9C6" w14:textId="77777777" w:rsidR="00F17119" w:rsidRPr="00FD7794" w:rsidRDefault="00F17119" w:rsidP="00FD7794">
            <w:pPr>
              <w:pStyle w:val="TableText"/>
            </w:pPr>
            <w:r w:rsidRPr="00FD7794">
              <w:t>diarrhoea</w:t>
            </w:r>
          </w:p>
        </w:tc>
        <w:tc>
          <w:tcPr>
            <w:tcW w:w="1418" w:type="dxa"/>
            <w:tcBorders>
              <w:right w:val="single" w:sz="4" w:space="0" w:color="auto"/>
            </w:tcBorders>
          </w:tcPr>
          <w:p w14:paraId="50361FC8" w14:textId="77777777" w:rsidR="00F17119" w:rsidRPr="00FD7794" w:rsidRDefault="00F17119" w:rsidP="00FD7794">
            <w:pPr>
              <w:pStyle w:val="TableText"/>
            </w:pPr>
            <w:r w:rsidRPr="00FD7794">
              <w:t>7</w:t>
            </w:r>
          </w:p>
        </w:tc>
        <w:tc>
          <w:tcPr>
            <w:tcW w:w="850" w:type="dxa"/>
            <w:tcBorders>
              <w:right w:val="single" w:sz="4" w:space="0" w:color="auto"/>
            </w:tcBorders>
          </w:tcPr>
          <w:p w14:paraId="476E296D" w14:textId="77777777" w:rsidR="00F17119" w:rsidRPr="00FD7794" w:rsidRDefault="00F17119" w:rsidP="00FD7794">
            <w:pPr>
              <w:pStyle w:val="TableText"/>
            </w:pPr>
            <w:r w:rsidRPr="00FD7794">
              <w:t>2</w:t>
            </w:r>
          </w:p>
        </w:tc>
        <w:tc>
          <w:tcPr>
            <w:tcW w:w="851" w:type="dxa"/>
            <w:tcBorders>
              <w:right w:val="single" w:sz="4" w:space="0" w:color="auto"/>
            </w:tcBorders>
          </w:tcPr>
          <w:p w14:paraId="68381868" w14:textId="77777777" w:rsidR="00F17119" w:rsidRPr="00FD7794" w:rsidRDefault="00F17119" w:rsidP="00FD7794">
            <w:pPr>
              <w:pStyle w:val="TableText"/>
            </w:pPr>
            <w:r w:rsidRPr="00FD7794">
              <w:t>1</w:t>
            </w:r>
          </w:p>
        </w:tc>
        <w:tc>
          <w:tcPr>
            <w:tcW w:w="1275" w:type="dxa"/>
            <w:tcBorders>
              <w:right w:val="single" w:sz="4" w:space="0" w:color="auto"/>
            </w:tcBorders>
          </w:tcPr>
          <w:p w14:paraId="4B0D3781" w14:textId="77777777" w:rsidR="00F17119" w:rsidRPr="00FD7794" w:rsidRDefault="00F17119" w:rsidP="00FD7794">
            <w:pPr>
              <w:pStyle w:val="TableText"/>
            </w:pPr>
            <w:r w:rsidRPr="00FD7794">
              <w:t>0.3</w:t>
            </w:r>
          </w:p>
        </w:tc>
      </w:tr>
      <w:tr w:rsidR="00F17119" w:rsidRPr="00D54274" w14:paraId="724074C3" w14:textId="77777777" w:rsidTr="00A067B6">
        <w:trPr>
          <w:trHeight w:val="20"/>
        </w:trPr>
        <w:tc>
          <w:tcPr>
            <w:tcW w:w="2339" w:type="dxa"/>
            <w:vMerge/>
            <w:tcBorders>
              <w:right w:val="single" w:sz="4" w:space="0" w:color="auto"/>
            </w:tcBorders>
          </w:tcPr>
          <w:p w14:paraId="7659BC88" w14:textId="77777777" w:rsidR="00F17119" w:rsidRPr="00D54274" w:rsidRDefault="00F17119" w:rsidP="00D54274">
            <w:pPr>
              <w:pStyle w:val="Tabletext0"/>
            </w:pPr>
          </w:p>
        </w:tc>
        <w:tc>
          <w:tcPr>
            <w:tcW w:w="2339" w:type="dxa"/>
            <w:tcBorders>
              <w:right w:val="single" w:sz="4" w:space="0" w:color="auto"/>
            </w:tcBorders>
          </w:tcPr>
          <w:p w14:paraId="6BA2A4B1" w14:textId="77777777" w:rsidR="00F17119" w:rsidRPr="00D54274" w:rsidRDefault="00F17119" w:rsidP="00D54274">
            <w:pPr>
              <w:pStyle w:val="Tabletext0"/>
            </w:pPr>
            <w:r w:rsidRPr="00D54274">
              <w:t>pneumonitis</w:t>
            </w:r>
          </w:p>
        </w:tc>
        <w:tc>
          <w:tcPr>
            <w:tcW w:w="1418" w:type="dxa"/>
            <w:tcBorders>
              <w:right w:val="single" w:sz="4" w:space="0" w:color="auto"/>
            </w:tcBorders>
          </w:tcPr>
          <w:p w14:paraId="5994FABB" w14:textId="77777777" w:rsidR="00F17119" w:rsidRPr="00D54274" w:rsidRDefault="00F17119" w:rsidP="00D54274">
            <w:pPr>
              <w:pStyle w:val="Tabletext0"/>
            </w:pPr>
            <w:r w:rsidRPr="00D54274">
              <w:t>6</w:t>
            </w:r>
          </w:p>
        </w:tc>
        <w:tc>
          <w:tcPr>
            <w:tcW w:w="850" w:type="dxa"/>
            <w:tcBorders>
              <w:right w:val="single" w:sz="4" w:space="0" w:color="auto"/>
            </w:tcBorders>
          </w:tcPr>
          <w:p w14:paraId="4363CF72" w14:textId="77777777" w:rsidR="00F17119" w:rsidRPr="00D54274" w:rsidRDefault="00F17119" w:rsidP="00D54274">
            <w:pPr>
              <w:pStyle w:val="Tabletext0"/>
            </w:pPr>
            <w:r w:rsidRPr="00D54274">
              <w:t>1.7</w:t>
            </w:r>
          </w:p>
        </w:tc>
        <w:tc>
          <w:tcPr>
            <w:tcW w:w="851" w:type="dxa"/>
            <w:tcBorders>
              <w:right w:val="single" w:sz="4" w:space="0" w:color="auto"/>
            </w:tcBorders>
          </w:tcPr>
          <w:p w14:paraId="671A1763" w14:textId="77777777" w:rsidR="00F17119" w:rsidRPr="00D54274" w:rsidRDefault="00F17119" w:rsidP="00D54274">
            <w:pPr>
              <w:pStyle w:val="Tabletext0"/>
            </w:pPr>
            <w:r w:rsidRPr="00D54274">
              <w:t>1</w:t>
            </w:r>
          </w:p>
        </w:tc>
        <w:tc>
          <w:tcPr>
            <w:tcW w:w="1275" w:type="dxa"/>
            <w:tcBorders>
              <w:right w:val="single" w:sz="4" w:space="0" w:color="auto"/>
            </w:tcBorders>
          </w:tcPr>
          <w:p w14:paraId="6F001C09" w14:textId="77777777" w:rsidR="00F17119" w:rsidRPr="00D54274" w:rsidRDefault="00F17119" w:rsidP="00D54274">
            <w:pPr>
              <w:pStyle w:val="Tabletext0"/>
            </w:pPr>
            <w:r w:rsidRPr="00D54274">
              <w:t>0.3</w:t>
            </w:r>
          </w:p>
        </w:tc>
      </w:tr>
      <w:tr w:rsidR="00F17119" w:rsidRPr="00D54274" w14:paraId="25AA1863" w14:textId="77777777" w:rsidTr="00A067B6">
        <w:trPr>
          <w:trHeight w:val="20"/>
        </w:trPr>
        <w:tc>
          <w:tcPr>
            <w:tcW w:w="2339" w:type="dxa"/>
            <w:vMerge/>
            <w:tcBorders>
              <w:right w:val="single" w:sz="4" w:space="0" w:color="auto"/>
            </w:tcBorders>
          </w:tcPr>
          <w:p w14:paraId="2DCC4178" w14:textId="77777777" w:rsidR="00F17119" w:rsidRPr="00D54274" w:rsidRDefault="00F17119" w:rsidP="00D54274">
            <w:pPr>
              <w:pStyle w:val="Tabletext0"/>
            </w:pPr>
          </w:p>
        </w:tc>
        <w:tc>
          <w:tcPr>
            <w:tcW w:w="2339" w:type="dxa"/>
            <w:tcBorders>
              <w:right w:val="single" w:sz="4" w:space="0" w:color="auto"/>
            </w:tcBorders>
          </w:tcPr>
          <w:p w14:paraId="0FF87057" w14:textId="77777777" w:rsidR="00F17119" w:rsidRPr="00D54274" w:rsidRDefault="00F17119" w:rsidP="00D54274">
            <w:pPr>
              <w:pStyle w:val="Tabletext0"/>
            </w:pPr>
            <w:r w:rsidRPr="00D54274">
              <w:t>myocarditis</w:t>
            </w:r>
          </w:p>
        </w:tc>
        <w:tc>
          <w:tcPr>
            <w:tcW w:w="1418" w:type="dxa"/>
            <w:tcBorders>
              <w:right w:val="single" w:sz="4" w:space="0" w:color="auto"/>
            </w:tcBorders>
          </w:tcPr>
          <w:p w14:paraId="48FA619E" w14:textId="77777777" w:rsidR="00F17119" w:rsidRPr="00D54274" w:rsidRDefault="00F17119" w:rsidP="00D54274">
            <w:pPr>
              <w:pStyle w:val="Tabletext0"/>
            </w:pPr>
            <w:r w:rsidRPr="00D54274">
              <w:t>6</w:t>
            </w:r>
          </w:p>
        </w:tc>
        <w:tc>
          <w:tcPr>
            <w:tcW w:w="850" w:type="dxa"/>
            <w:tcBorders>
              <w:right w:val="single" w:sz="4" w:space="0" w:color="auto"/>
            </w:tcBorders>
          </w:tcPr>
          <w:p w14:paraId="487FC416" w14:textId="77777777" w:rsidR="00F17119" w:rsidRPr="00D54274" w:rsidRDefault="00F17119" w:rsidP="00D54274">
            <w:pPr>
              <w:pStyle w:val="Tabletext0"/>
            </w:pPr>
            <w:r w:rsidRPr="00D54274">
              <w:t>1.7</w:t>
            </w:r>
          </w:p>
        </w:tc>
        <w:tc>
          <w:tcPr>
            <w:tcW w:w="851" w:type="dxa"/>
            <w:tcBorders>
              <w:right w:val="single" w:sz="4" w:space="0" w:color="auto"/>
            </w:tcBorders>
          </w:tcPr>
          <w:p w14:paraId="68926A17" w14:textId="77777777" w:rsidR="00F17119" w:rsidRPr="00D54274" w:rsidRDefault="00F17119" w:rsidP="00D54274">
            <w:pPr>
              <w:pStyle w:val="Tabletext0"/>
            </w:pPr>
            <w:r w:rsidRPr="00D54274">
              <w:t>0</w:t>
            </w:r>
          </w:p>
        </w:tc>
        <w:tc>
          <w:tcPr>
            <w:tcW w:w="1275" w:type="dxa"/>
            <w:tcBorders>
              <w:right w:val="single" w:sz="4" w:space="0" w:color="auto"/>
            </w:tcBorders>
          </w:tcPr>
          <w:p w14:paraId="53FCD5FC" w14:textId="77777777" w:rsidR="00F17119" w:rsidRPr="00D54274" w:rsidRDefault="00F17119" w:rsidP="00D54274">
            <w:pPr>
              <w:pStyle w:val="Tabletext0"/>
            </w:pPr>
            <w:r w:rsidRPr="00D54274">
              <w:t>0</w:t>
            </w:r>
          </w:p>
        </w:tc>
      </w:tr>
    </w:tbl>
    <w:p w14:paraId="5D069F41" w14:textId="10D1730E" w:rsidR="00D54274" w:rsidRDefault="00D54274" w:rsidP="00D54274">
      <w:pPr>
        <w:pStyle w:val="TableDescription"/>
      </w:pPr>
      <w:bookmarkStart w:id="108" w:name="_Hlk106221656"/>
      <w:r w:rsidRPr="00D54274">
        <w:t xml:space="preserve">Abbreviations: </w:t>
      </w:r>
      <w:r>
        <w:t>AE</w:t>
      </w:r>
      <w:r w:rsidR="00B83235">
        <w:t> = </w:t>
      </w:r>
      <w:r>
        <w:t xml:space="preserve">adverse event; </w:t>
      </w:r>
      <w:r w:rsidR="00F17119" w:rsidRPr="00D54274">
        <w:t>N</w:t>
      </w:r>
      <w:r w:rsidR="00B83235">
        <w:t> = </w:t>
      </w:r>
      <w:r w:rsidR="00F17119" w:rsidRPr="00D54274">
        <w:t>number of cases, n</w:t>
      </w:r>
      <w:r w:rsidR="00B83235">
        <w:t> = </w:t>
      </w:r>
      <w:r w:rsidR="00F17119" w:rsidRPr="00D54274">
        <w:t>total number of patients</w:t>
      </w:r>
      <w:bookmarkEnd w:id="108"/>
    </w:p>
    <w:p w14:paraId="097660C4" w14:textId="7D1D02F0" w:rsidR="00F17119" w:rsidRPr="00D54274" w:rsidRDefault="00F17119" w:rsidP="00D54274">
      <w:pPr>
        <w:pStyle w:val="TableDescription"/>
      </w:pPr>
      <w:r w:rsidRPr="00D54274">
        <w:t>* Delay of at least 3 days longer than the expected 28 days between doses, based on exposure data.</w:t>
      </w:r>
    </w:p>
    <w:p w14:paraId="1D6AE7AB" w14:textId="6E9AE39A" w:rsidR="00F17119" w:rsidRPr="00D54274" w:rsidRDefault="00F17119" w:rsidP="00D54274">
      <w:pPr>
        <w:pStyle w:val="TableDescription"/>
      </w:pPr>
      <w:r w:rsidRPr="00D54274">
        <w:t xml:space="preserve">** Based on </w:t>
      </w:r>
      <w:r w:rsidR="00D54274">
        <w:t>‘</w:t>
      </w:r>
      <w:r w:rsidRPr="00D54274">
        <w:t>action taken with drug</w:t>
      </w:r>
      <w:r w:rsidR="00D54274">
        <w:t>’</w:t>
      </w:r>
      <w:r w:rsidRPr="00D54274">
        <w:t xml:space="preserve"> data from </w:t>
      </w:r>
      <w:r w:rsidR="00D54274">
        <w:t>adverse event</w:t>
      </w:r>
      <w:r w:rsidRPr="00D54274">
        <w:t xml:space="preserve"> reports; includes delays of any duration.</w:t>
      </w:r>
    </w:p>
    <w:bookmarkEnd w:id="107"/>
    <w:p w14:paraId="1134779A" w14:textId="541BE53E" w:rsidR="00FD7794" w:rsidRDefault="00D54274" w:rsidP="00D54274">
      <w:pPr>
        <w:pStyle w:val="TableDescription"/>
      </w:pPr>
      <w:r>
        <w:t>D</w:t>
      </w:r>
      <w:r w:rsidRPr="00D54274">
        <w:t>atabase lock date</w:t>
      </w:r>
      <w:r w:rsidR="00B651DF">
        <w:t>:</w:t>
      </w:r>
      <w:r w:rsidRPr="00D54274">
        <w:t xml:space="preserve"> </w:t>
      </w:r>
      <w:r>
        <w:t>9 March 2021</w:t>
      </w:r>
    </w:p>
    <w:p w14:paraId="67041757" w14:textId="00AAAAAF" w:rsidR="00FD7794" w:rsidRDefault="00FD7794" w:rsidP="00FD7794">
      <w:r>
        <w:t xml:space="preserve">Dose delays occurred in a similar proportion of each arm but were generally longer in the nivolumab with </w:t>
      </w:r>
      <w:proofErr w:type="spellStart"/>
      <w:r>
        <w:t>relatlimab</w:t>
      </w:r>
      <w:proofErr w:type="spellEnd"/>
      <w:r>
        <w:t xml:space="preserve"> arm: the proportion of delays lasting 15 to 42 days was 10% higher, and the proportion of delays lasting 4 to 7 days was 12% lower, than for nivolumab monotherapy. A higher proportion of delays in the nivolumab with </w:t>
      </w:r>
      <w:proofErr w:type="spellStart"/>
      <w:r>
        <w:t>relatlimab</w:t>
      </w:r>
      <w:proofErr w:type="spellEnd"/>
      <w:r>
        <w:t xml:space="preserve"> arm were attributed to adverse events.</w:t>
      </w:r>
    </w:p>
    <w:p w14:paraId="5260CF78" w14:textId="2AC638AB" w:rsidR="00FD7794" w:rsidRDefault="00FD7794" w:rsidP="00AD609D">
      <w:r>
        <w:t xml:space="preserve">The AEs that most frequently led to dose delay in the nivolumab with </w:t>
      </w:r>
      <w:proofErr w:type="spellStart"/>
      <w:r>
        <w:t>relatlimab</w:t>
      </w:r>
      <w:proofErr w:type="spellEnd"/>
      <w:r>
        <w:t xml:space="preserve"> arm </w:t>
      </w:r>
      <w:proofErr w:type="gramStart"/>
      <w:r>
        <w:t>were:</w:t>
      </w:r>
      <w:proofErr w:type="gramEnd"/>
      <w:r>
        <w:t xml:space="preserve"> </w:t>
      </w:r>
      <w:r w:rsidRPr="0023737D">
        <w:t xml:space="preserve">troponin increased (3.9%), diarrhoea (3.9%), </w:t>
      </w:r>
      <w:r w:rsidR="00AD609D">
        <w:t>aspartate aminotransferase (</w:t>
      </w:r>
      <w:r w:rsidRPr="0023737D">
        <w:t>AST</w:t>
      </w:r>
      <w:r w:rsidR="00AD609D">
        <w:t>)</w:t>
      </w:r>
      <w:r w:rsidRPr="0023737D">
        <w:t xml:space="preserve"> increased (2.8%), troponin T increased (2.8%), </w:t>
      </w:r>
      <w:r w:rsidR="00AD609D">
        <w:t>alanine aminotransferase (</w:t>
      </w:r>
      <w:r w:rsidRPr="0023737D">
        <w:t>ALT</w:t>
      </w:r>
      <w:r w:rsidR="00AD609D">
        <w:t>)</w:t>
      </w:r>
      <w:r w:rsidRPr="0023737D">
        <w:t xml:space="preserve"> increased (2.3%), arthralgia (2.3%), and hypothyroidism (2.3%).</w:t>
      </w:r>
    </w:p>
    <w:p w14:paraId="7A14FD7C" w14:textId="1B4ACAB1" w:rsidR="00D54274" w:rsidRPr="003D1296" w:rsidRDefault="00D54274" w:rsidP="003D1296">
      <w:pPr>
        <w:pStyle w:val="Heading5"/>
      </w:pPr>
      <w:r w:rsidRPr="003D1296">
        <w:t>Common and high-grade adverse events</w:t>
      </w:r>
    </w:p>
    <w:p w14:paraId="124D866B" w14:textId="4D3657D6" w:rsidR="00D54274" w:rsidRPr="00953587" w:rsidRDefault="00D54274" w:rsidP="00D54274">
      <w:r w:rsidRPr="00953587">
        <w:t xml:space="preserve">The approved FDA label contains the following description of common adverse events and laboratory abnormalities with </w:t>
      </w:r>
      <w:r>
        <w:t xml:space="preserve">nivolumab with </w:t>
      </w:r>
      <w:proofErr w:type="spellStart"/>
      <w:r>
        <w:t>relatlimab</w:t>
      </w:r>
      <w:proofErr w:type="spellEnd"/>
      <w:r w:rsidRPr="00953587">
        <w:t xml:space="preserve"> in </w:t>
      </w:r>
      <w:r w:rsidR="003269A5">
        <w:t>the RELATIVITY-047 trial</w:t>
      </w:r>
      <w:r w:rsidRPr="00953587">
        <w:t>:</w:t>
      </w:r>
    </w:p>
    <w:p w14:paraId="432A80D3" w14:textId="77777777" w:rsidR="00D54274" w:rsidRPr="00E65D8F" w:rsidRDefault="00D54274" w:rsidP="00E65D8F">
      <w:pPr>
        <w:pStyle w:val="Quotation"/>
      </w:pPr>
      <w:r w:rsidRPr="00E65D8F">
        <w:t>The most common (≥20%) adverse reactions that occurred in patients treated with OPDUALAG were musculoskeletal pain (45%), fatigue (39%), rash (28%), pruritus (25%), and diarrhea (24%).</w:t>
      </w:r>
    </w:p>
    <w:p w14:paraId="509D0335" w14:textId="0184FD29" w:rsidR="00D54274" w:rsidRPr="00E65D8F" w:rsidRDefault="00D54274" w:rsidP="00E65D8F">
      <w:pPr>
        <w:pStyle w:val="Quotation"/>
      </w:pPr>
      <w:r w:rsidRPr="00E65D8F">
        <w:lastRenderedPageBreak/>
        <w:t xml:space="preserve">The most common (≥20%) laboratory abnormalities that occurred in patients treated with OPDUALAG were decreased </w:t>
      </w:r>
      <w:proofErr w:type="spellStart"/>
      <w:r w:rsidRPr="00E65D8F">
        <w:t>hemoglobin</w:t>
      </w:r>
      <w:proofErr w:type="spellEnd"/>
      <w:r w:rsidRPr="00E65D8F">
        <w:t xml:space="preserve"> (37%), decreased lymphocytes (32%), increased AST (30%), increased ALT (26%), and decreased sodium (24%).</w:t>
      </w:r>
      <w:r w:rsidR="0017772E" w:rsidRPr="0017772E">
        <w:rPr>
          <w:color w:val="2B579A"/>
          <w:shd w:val="clear" w:color="auto" w:fill="E6E6E6"/>
          <w:vertAlign w:val="superscript"/>
        </w:rPr>
        <w:fldChar w:fldCharType="begin"/>
      </w:r>
      <w:r w:rsidR="0017772E" w:rsidRPr="0017772E">
        <w:rPr>
          <w:vertAlign w:val="superscript"/>
        </w:rPr>
        <w:instrText xml:space="preserve"> NOTEREF _Ref140505903 \h </w:instrText>
      </w:r>
      <w:r w:rsidR="0017772E">
        <w:rPr>
          <w:vertAlign w:val="superscript"/>
        </w:rPr>
        <w:instrText xml:space="preserve"> \* MERGEFORMAT </w:instrText>
      </w:r>
      <w:r w:rsidR="0017772E" w:rsidRPr="0017772E">
        <w:rPr>
          <w:color w:val="2B579A"/>
          <w:shd w:val="clear" w:color="auto" w:fill="E6E6E6"/>
          <w:vertAlign w:val="superscript"/>
        </w:rPr>
      </w:r>
      <w:r w:rsidR="0017772E" w:rsidRPr="0017772E">
        <w:rPr>
          <w:color w:val="2B579A"/>
          <w:shd w:val="clear" w:color="auto" w:fill="E6E6E6"/>
          <w:vertAlign w:val="superscript"/>
        </w:rPr>
        <w:fldChar w:fldCharType="separate"/>
      </w:r>
      <w:r w:rsidR="004F1B9E">
        <w:rPr>
          <w:vertAlign w:val="superscript"/>
        </w:rPr>
        <w:t>76</w:t>
      </w:r>
      <w:r w:rsidR="0017772E" w:rsidRPr="0017772E">
        <w:rPr>
          <w:color w:val="2B579A"/>
          <w:shd w:val="clear" w:color="auto" w:fill="E6E6E6"/>
          <w:vertAlign w:val="superscript"/>
        </w:rPr>
        <w:fldChar w:fldCharType="end"/>
      </w:r>
    </w:p>
    <w:p w14:paraId="3A4A1883" w14:textId="22FD990A" w:rsidR="00316960" w:rsidRPr="002A1609" w:rsidRDefault="00E65D8F" w:rsidP="00D54274">
      <w:r>
        <w:t>Using</w:t>
      </w:r>
      <w:r w:rsidR="00D54274" w:rsidRPr="002A1609">
        <w:t xml:space="preserve"> clinically rational grouped AE terms</w:t>
      </w:r>
      <w:r>
        <w:t>, t</w:t>
      </w:r>
      <w:r w:rsidR="00D54274" w:rsidRPr="002A1609">
        <w:t xml:space="preserve">he most common </w:t>
      </w:r>
      <w:r>
        <w:t>G</w:t>
      </w:r>
      <w:r w:rsidR="00D54274" w:rsidRPr="002A1609">
        <w:t>rade 3</w:t>
      </w:r>
      <w:r>
        <w:t xml:space="preserve"> and </w:t>
      </w:r>
      <w:r w:rsidR="00D54274" w:rsidRPr="002A1609">
        <w:t>4 AE in the nivo</w:t>
      </w:r>
      <w:r>
        <w:t xml:space="preserve">lumab with </w:t>
      </w:r>
      <w:proofErr w:type="spellStart"/>
      <w:r>
        <w:t>relatlimab</w:t>
      </w:r>
      <w:proofErr w:type="spellEnd"/>
      <w:r w:rsidR="00D54274" w:rsidRPr="002A1609">
        <w:t xml:space="preserve"> arm was musculoskeletal pain (4.2%), whil</w:t>
      </w:r>
      <w:r>
        <w:t>e</w:t>
      </w:r>
      <w:r w:rsidR="00D54274" w:rsidRPr="002A1609">
        <w:t xml:space="preserve"> fatigue, </w:t>
      </w:r>
      <w:proofErr w:type="gramStart"/>
      <w:r w:rsidR="00D54274" w:rsidRPr="002A1609">
        <w:t>diarrhoea</w:t>
      </w:r>
      <w:proofErr w:type="gramEnd"/>
      <w:r w:rsidR="00D54274" w:rsidRPr="002A1609">
        <w:t xml:space="preserve"> and anaemia each occurred in 2% of patients.</w:t>
      </w:r>
      <w:r>
        <w:rPr>
          <w:rStyle w:val="FootnoteReference"/>
        </w:rPr>
        <w:footnoteReference w:id="96"/>
      </w:r>
      <w:r w:rsidR="00884F00">
        <w:t xml:space="preserve"> </w:t>
      </w:r>
      <w:r w:rsidR="00D54274">
        <w:t>Grade 3 and</w:t>
      </w:r>
      <w:r w:rsidR="00B651DF">
        <w:t xml:space="preserve"> </w:t>
      </w:r>
      <w:r w:rsidR="00D54274">
        <w:t xml:space="preserve">4 adverse events occurred in 39% of the </w:t>
      </w:r>
      <w:proofErr w:type="spellStart"/>
      <w:r w:rsidR="00D54274">
        <w:t>Opdualag</w:t>
      </w:r>
      <w:proofErr w:type="spellEnd"/>
      <w:r w:rsidR="00D54274">
        <w:t xml:space="preserve"> arm and 32% of the nivolumab monotherapy arm.</w:t>
      </w:r>
      <w:r w:rsidR="00884F00">
        <w:t xml:space="preserve"> </w:t>
      </w:r>
      <w:r w:rsidR="00316960">
        <w:t xml:space="preserve">Toxicity grades </w:t>
      </w:r>
      <w:r w:rsidR="00884F00">
        <w:t>were assessed</w:t>
      </w:r>
      <w:r w:rsidR="00316960">
        <w:t xml:space="preserve"> in accordance with the </w:t>
      </w:r>
      <w:r w:rsidR="00B651DF" w:rsidRPr="00B651DF">
        <w:t xml:space="preserve">CTCAE </w:t>
      </w:r>
      <w:r w:rsidR="00316960">
        <w:t>Version 5.0.</w:t>
      </w:r>
      <w:r w:rsidR="00316960" w:rsidRPr="00316960">
        <w:rPr>
          <w:color w:val="2B579A"/>
          <w:shd w:val="clear" w:color="auto" w:fill="E6E6E6"/>
          <w:vertAlign w:val="superscript"/>
        </w:rPr>
        <w:fldChar w:fldCharType="begin"/>
      </w:r>
      <w:r w:rsidR="00316960" w:rsidRPr="00316960">
        <w:rPr>
          <w:vertAlign w:val="superscript"/>
        </w:rPr>
        <w:instrText xml:space="preserve"> NOTEREF _Ref143852129 \h </w:instrText>
      </w:r>
      <w:r w:rsidR="00316960">
        <w:rPr>
          <w:vertAlign w:val="superscript"/>
        </w:rPr>
        <w:instrText xml:space="preserve"> \* MERGEFORMAT </w:instrText>
      </w:r>
      <w:r w:rsidR="00316960" w:rsidRPr="00316960">
        <w:rPr>
          <w:color w:val="2B579A"/>
          <w:shd w:val="clear" w:color="auto" w:fill="E6E6E6"/>
          <w:vertAlign w:val="superscript"/>
        </w:rPr>
      </w:r>
      <w:r w:rsidR="00316960" w:rsidRPr="00316960">
        <w:rPr>
          <w:color w:val="2B579A"/>
          <w:shd w:val="clear" w:color="auto" w:fill="E6E6E6"/>
          <w:vertAlign w:val="superscript"/>
        </w:rPr>
        <w:fldChar w:fldCharType="separate"/>
      </w:r>
      <w:r w:rsidR="004F1B9E">
        <w:rPr>
          <w:vertAlign w:val="superscript"/>
        </w:rPr>
        <w:t>73</w:t>
      </w:r>
      <w:r w:rsidR="00316960" w:rsidRPr="00316960">
        <w:rPr>
          <w:color w:val="2B579A"/>
          <w:shd w:val="clear" w:color="auto" w:fill="E6E6E6"/>
          <w:vertAlign w:val="superscript"/>
        </w:rPr>
        <w:fldChar w:fldCharType="end"/>
      </w:r>
    </w:p>
    <w:p w14:paraId="1ADB530F" w14:textId="07149641" w:rsidR="00D54274" w:rsidRPr="003D1296" w:rsidRDefault="00D54274" w:rsidP="003D1296">
      <w:pPr>
        <w:pStyle w:val="Heading5"/>
      </w:pPr>
      <w:r w:rsidRPr="003D1296">
        <w:t>Serious adverse events</w:t>
      </w:r>
    </w:p>
    <w:p w14:paraId="6B0E2D67" w14:textId="3BD4E6C6" w:rsidR="00D54274" w:rsidRDefault="00D54274" w:rsidP="00D54274">
      <w:r>
        <w:t xml:space="preserve">According to the </w:t>
      </w:r>
      <w:r w:rsidR="00E65D8F">
        <w:t>s</w:t>
      </w:r>
      <w:r>
        <w:t>ponsor’s analysis, serious adverse events (SAE)</w:t>
      </w:r>
      <w:r w:rsidRPr="00AA18A0">
        <w:t xml:space="preserve"> in </w:t>
      </w:r>
      <w:r w:rsidR="003269A5">
        <w:t>the RELATIVITY-047 trial</w:t>
      </w:r>
      <w:r>
        <w:t xml:space="preserve"> occurred in 34% of the nivo</w:t>
      </w:r>
      <w:r w:rsidR="00E65D8F">
        <w:t xml:space="preserve">lumab with </w:t>
      </w:r>
      <w:proofErr w:type="spellStart"/>
      <w:r w:rsidR="00E65D8F">
        <w:t>relatlimab</w:t>
      </w:r>
      <w:proofErr w:type="spellEnd"/>
      <w:r>
        <w:t xml:space="preserve"> arm and 29% of the nivo</w:t>
      </w:r>
      <w:r w:rsidR="00E65D8F">
        <w:t>lumab</w:t>
      </w:r>
      <w:r>
        <w:t xml:space="preserve"> arm.</w:t>
      </w:r>
    </w:p>
    <w:p w14:paraId="19F0C926" w14:textId="71A60561" w:rsidR="00D54274" w:rsidRDefault="00D54274" w:rsidP="00D54274">
      <w:r w:rsidRPr="00D556FB">
        <w:t>The overall rate of SAE in the nivo</w:t>
      </w:r>
      <w:r w:rsidR="00E65D8F" w:rsidRPr="00D556FB">
        <w:t xml:space="preserve">lumab with </w:t>
      </w:r>
      <w:proofErr w:type="spellStart"/>
      <w:r w:rsidR="00E65D8F" w:rsidRPr="00D556FB">
        <w:t>relatlimab</w:t>
      </w:r>
      <w:proofErr w:type="spellEnd"/>
      <w:r w:rsidRPr="00D556FB">
        <w:t xml:space="preserve"> arm cited in the approved FDA label is 36%. Their analysis of SAE excluded disease progression</w:t>
      </w:r>
      <w:r w:rsidR="003269A5">
        <w:t xml:space="preserve"> </w:t>
      </w:r>
      <w:r w:rsidRPr="00D556FB">
        <w:t xml:space="preserve">related terms (such as </w:t>
      </w:r>
      <w:r w:rsidR="00E65D8F" w:rsidRPr="00D556FB">
        <w:t>‘</w:t>
      </w:r>
      <w:r w:rsidRPr="00D556FB">
        <w:t>malignant</w:t>
      </w:r>
      <w:r>
        <w:t xml:space="preserve"> neoplasm progression</w:t>
      </w:r>
      <w:r w:rsidR="00E65D8F">
        <w:t>’</w:t>
      </w:r>
      <w:r>
        <w:t>) and did not exclude events that occurred 30 to 100</w:t>
      </w:r>
      <w:r w:rsidR="00E65D8F">
        <w:t> </w:t>
      </w:r>
      <w:r>
        <w:t xml:space="preserve">days after last dose of study treatment, in keeping with the known possibility for </w:t>
      </w:r>
      <w:r w:rsidR="00D835B7">
        <w:t>IMAE</w:t>
      </w:r>
      <w:r>
        <w:t xml:space="preserve"> to occur in such a time frame.</w:t>
      </w:r>
    </w:p>
    <w:p w14:paraId="45616CAE" w14:textId="1A1FF48B" w:rsidR="00D54274" w:rsidRPr="00F87C0E" w:rsidRDefault="00D54274" w:rsidP="00D54274">
      <w:pPr>
        <w:rPr>
          <w:highlight w:val="yellow"/>
        </w:rPr>
      </w:pPr>
      <w:r>
        <w:t>As expected, based on the rate of higher</w:t>
      </w:r>
      <w:r w:rsidR="007611A5">
        <w:t>-</w:t>
      </w:r>
      <w:r>
        <w:t xml:space="preserve">grade events, there were more </w:t>
      </w:r>
      <w:r w:rsidR="008F79EB">
        <w:t>immune-mediated</w:t>
      </w:r>
      <w:r>
        <w:t xml:space="preserve"> SAEs in the nivo</w:t>
      </w:r>
      <w:r w:rsidR="00E65D8F">
        <w:t xml:space="preserve">lumab with </w:t>
      </w:r>
      <w:proofErr w:type="spellStart"/>
      <w:r w:rsidR="00E65D8F">
        <w:t>relatlimab</w:t>
      </w:r>
      <w:proofErr w:type="spellEnd"/>
      <w:r>
        <w:t xml:space="preserve"> arm, including colitis</w:t>
      </w:r>
      <w:r w:rsidR="00C808E2">
        <w:t xml:space="preserve"> </w:t>
      </w:r>
      <w:r w:rsidR="00DB3E35">
        <w:t>or</w:t>
      </w:r>
      <w:r w:rsidR="00C808E2">
        <w:t xml:space="preserve"> </w:t>
      </w:r>
      <w:r>
        <w:t xml:space="preserve">diarrhoea, myocarditis, </w:t>
      </w:r>
      <w:r w:rsidRPr="00524858">
        <w:t>and adrenal insufficiency.</w:t>
      </w:r>
      <w:r>
        <w:t xml:space="preserve"> Of note were </w:t>
      </w:r>
      <w:r w:rsidRPr="00F87C0E">
        <w:t>SAEs of Grade 3 haemolytic anaemia, Grade 2 Guillain-Barré syndrome, Grade 3 Vogt-</w:t>
      </w:r>
      <w:proofErr w:type="spellStart"/>
      <w:r w:rsidRPr="00F87C0E">
        <w:t>Koyanagi</w:t>
      </w:r>
      <w:proofErr w:type="spellEnd"/>
      <w:r w:rsidRPr="00F87C0E">
        <w:t>-Harada disease, and Grade 4 HLH in the nivo</w:t>
      </w:r>
      <w:r w:rsidR="00E65D8F">
        <w:t xml:space="preserve">lumab with </w:t>
      </w:r>
      <w:proofErr w:type="spellStart"/>
      <w:r w:rsidR="00E65D8F">
        <w:t>relatlimab</w:t>
      </w:r>
      <w:proofErr w:type="spellEnd"/>
      <w:r w:rsidRPr="00F87C0E">
        <w:t xml:space="preserve"> arm. These are described in the approved Australian PI for nivolumab</w:t>
      </w:r>
      <w:bookmarkStart w:id="109" w:name="_Ref140162468"/>
      <w:r w:rsidR="00E65D8F">
        <w:rPr>
          <w:rStyle w:val="FootnoteReference"/>
        </w:rPr>
        <w:footnoteReference w:id="97"/>
      </w:r>
      <w:bookmarkEnd w:id="109"/>
      <w:r w:rsidRPr="00F87C0E">
        <w:t xml:space="preserve"> </w:t>
      </w:r>
      <w:r>
        <w:t>(</w:t>
      </w:r>
      <w:r w:rsidRPr="00F87C0E">
        <w:t xml:space="preserve">and are </w:t>
      </w:r>
      <w:r>
        <w:t>therefore</w:t>
      </w:r>
      <w:r w:rsidRPr="00F87C0E">
        <w:t xml:space="preserve"> expected adverse reactions for </w:t>
      </w:r>
      <w:proofErr w:type="spellStart"/>
      <w:r>
        <w:t>O</w:t>
      </w:r>
      <w:r w:rsidR="00E65D8F">
        <w:t>pdualag</w:t>
      </w:r>
      <w:proofErr w:type="spellEnd"/>
      <w:r>
        <w:t xml:space="preserve">) and should be included in </w:t>
      </w:r>
      <w:r w:rsidR="00B651DF">
        <w:t>S</w:t>
      </w:r>
      <w:r>
        <w:t>ection 4.8 of the Australian PI</w:t>
      </w:r>
      <w:r w:rsidR="00D835B7">
        <w:t xml:space="preserve"> for </w:t>
      </w:r>
      <w:proofErr w:type="spellStart"/>
      <w:r w:rsidR="00D835B7">
        <w:t>Opdualag</w:t>
      </w:r>
      <w:proofErr w:type="spellEnd"/>
      <w:r w:rsidRPr="00F87C0E">
        <w:t xml:space="preserve">. </w:t>
      </w:r>
      <w:r>
        <w:t xml:space="preserve">Each of these events were seen in a single patient in the study, and based on the infrequency, separate text in </w:t>
      </w:r>
      <w:r w:rsidR="00B651DF">
        <w:t>S</w:t>
      </w:r>
      <w:r>
        <w:t xml:space="preserve">ection 4.4 Special warnings and precautions for use (in addition to </w:t>
      </w:r>
      <w:r w:rsidR="00B651DF">
        <w:t>S</w:t>
      </w:r>
      <w:r>
        <w:t>ection 4.8) is not required at this time.</w:t>
      </w:r>
    </w:p>
    <w:p w14:paraId="459319B1" w14:textId="77F6C302" w:rsidR="00D54274" w:rsidRPr="003D1296" w:rsidRDefault="008F79EB" w:rsidP="003D1296">
      <w:pPr>
        <w:pStyle w:val="Heading5"/>
      </w:pPr>
      <w:bookmarkStart w:id="110" w:name="_Ref106199285"/>
      <w:bookmarkStart w:id="111" w:name="_Ref106304586"/>
      <w:r>
        <w:t>Immune-mediated</w:t>
      </w:r>
      <w:r w:rsidR="00D54274" w:rsidRPr="003D1296">
        <w:t xml:space="preserve"> adverse events</w:t>
      </w:r>
      <w:bookmarkEnd w:id="110"/>
      <w:r w:rsidR="00D54274" w:rsidRPr="003D1296">
        <w:t xml:space="preserve"> and </w:t>
      </w:r>
      <w:bookmarkStart w:id="112" w:name="_Ref106199286"/>
      <w:r w:rsidR="00D54274" w:rsidRPr="003D1296">
        <w:t>other events of special interest</w:t>
      </w:r>
      <w:bookmarkEnd w:id="111"/>
      <w:bookmarkEnd w:id="112"/>
    </w:p>
    <w:p w14:paraId="374D63E8" w14:textId="39AC483C" w:rsidR="00D54274" w:rsidRDefault="008F79EB" w:rsidP="00D54274">
      <w:r>
        <w:t>Immune-mediated</w:t>
      </w:r>
      <w:r w:rsidR="00D54274" w:rsidRPr="002A1609">
        <w:t xml:space="preserve"> adverse events </w:t>
      </w:r>
      <w:r w:rsidR="00D54274">
        <w:t>(</w:t>
      </w:r>
      <w:r w:rsidR="00D54274" w:rsidRPr="002A1609">
        <w:t>IMAEs</w:t>
      </w:r>
      <w:r w:rsidR="00D54274">
        <w:t>)</w:t>
      </w:r>
      <w:r w:rsidR="00D54274" w:rsidRPr="002A1609">
        <w:t xml:space="preserve"> </w:t>
      </w:r>
      <w:r w:rsidR="00D54274">
        <w:t xml:space="preserve">are known to occur with nivolumab and other </w:t>
      </w:r>
      <w:r w:rsidR="00D54274" w:rsidRPr="00D835B7">
        <w:t>immuno-oncology drugs. They can occur in just about any organ system, and (uncommonly)</w:t>
      </w:r>
      <w:r w:rsidR="00D54274">
        <w:t xml:space="preserve"> have late onset</w:t>
      </w:r>
      <w:r w:rsidR="00FE3893">
        <w:t xml:space="preserve">, </w:t>
      </w:r>
      <w:r w:rsidR="00D54274">
        <w:t>even weeks to months after drug cessation. For this reason, the 30-day post-</w:t>
      </w:r>
      <w:r w:rsidR="00D54274" w:rsidRPr="0023737D">
        <w:t>cessation window traditionally used as a cut-off for the assessment of adverse events in a trial</w:t>
      </w:r>
      <w:r w:rsidR="00D54274">
        <w:t xml:space="preserve"> may not be ideal for the assessment of IMAEs.</w:t>
      </w:r>
    </w:p>
    <w:p w14:paraId="2EFE957F" w14:textId="106DA36F" w:rsidR="00D54274" w:rsidRDefault="008F79EB" w:rsidP="00D54274">
      <w:r>
        <w:t>Immune-mediated</w:t>
      </w:r>
      <w:r w:rsidR="00FE3893" w:rsidRPr="002A1609">
        <w:t xml:space="preserve"> adverse events </w:t>
      </w:r>
      <w:r w:rsidR="00D54274" w:rsidRPr="009D2EE5">
        <w:t xml:space="preserve">were defined </w:t>
      </w:r>
      <w:r w:rsidR="00D54274">
        <w:t xml:space="preserve">in the </w:t>
      </w:r>
      <w:r w:rsidR="003269A5">
        <w:t>RELATIVITY-047 trial</w:t>
      </w:r>
      <w:r w:rsidR="00D54274" w:rsidRPr="009D2EE5">
        <w:t xml:space="preserve"> protocol </w:t>
      </w:r>
      <w:r w:rsidR="00D54274">
        <w:t>as treatment</w:t>
      </w:r>
      <w:r w:rsidR="00816EA6">
        <w:noBreakHyphen/>
      </w:r>
      <w:r w:rsidR="00D54274">
        <w:t xml:space="preserve">emergent </w:t>
      </w:r>
      <w:r w:rsidR="00B651DF">
        <w:t xml:space="preserve">adverse </w:t>
      </w:r>
      <w:r w:rsidR="00D54274">
        <w:t xml:space="preserve">events that occurred </w:t>
      </w:r>
      <w:r w:rsidR="00D54274" w:rsidRPr="009D2EE5">
        <w:t>within 100</w:t>
      </w:r>
      <w:r w:rsidR="00FE3893">
        <w:t> </w:t>
      </w:r>
      <w:r w:rsidR="00D54274" w:rsidRPr="009D2EE5">
        <w:t>days of the last dose</w:t>
      </w:r>
      <w:r w:rsidR="00D54274">
        <w:t xml:space="preserve">; that were assessed by the investigator to be consistent with an </w:t>
      </w:r>
      <w:r>
        <w:t>immune-mediated</w:t>
      </w:r>
      <w:r w:rsidR="00D54274">
        <w:t xml:space="preserve"> mechanism or </w:t>
      </w:r>
      <w:r>
        <w:t>immune-mediated</w:t>
      </w:r>
      <w:r w:rsidR="00D54274">
        <w:t xml:space="preserve"> component, for which non-inflammatory aetiologies (</w:t>
      </w:r>
      <w:r w:rsidR="00FE3893">
        <w:t xml:space="preserve">for example, </w:t>
      </w:r>
      <w:r w:rsidR="00D54274">
        <w:t>infection or tumour progression) had been ruled out; and that were t</w:t>
      </w:r>
      <w:r w:rsidR="00D54274" w:rsidRPr="009D2EE5">
        <w:t>reated with immune-modulating medication</w:t>
      </w:r>
      <w:r w:rsidR="00D54274">
        <w:t>. E</w:t>
      </w:r>
      <w:r w:rsidR="00D54274" w:rsidRPr="009D2EE5">
        <w:t>ndocrine AEs such as adrenal insufficiency, hypothyroidism,</w:t>
      </w:r>
      <w:r w:rsidR="00D54274">
        <w:t xml:space="preserve"> </w:t>
      </w:r>
      <w:r w:rsidR="00D54274" w:rsidRPr="009D2EE5">
        <w:t xml:space="preserve">thyroiditis, hyperthyroidism, diabetes mellitus, and </w:t>
      </w:r>
      <w:proofErr w:type="spellStart"/>
      <w:r w:rsidR="00D54274" w:rsidRPr="009D2EE5">
        <w:t>hypophysitis</w:t>
      </w:r>
      <w:proofErr w:type="spellEnd"/>
      <w:r w:rsidR="00D54274" w:rsidRPr="009D2EE5">
        <w:t xml:space="preserve"> </w:t>
      </w:r>
      <w:r w:rsidR="00D54274">
        <w:t>were included regardless of use of immune-modulating medication, because they are often managed without it.</w:t>
      </w:r>
    </w:p>
    <w:p w14:paraId="77B9F749" w14:textId="3D24B8A5" w:rsidR="00D54274" w:rsidRDefault="008F79EB" w:rsidP="00D54274">
      <w:r>
        <w:t>Immune-mediated</w:t>
      </w:r>
      <w:r w:rsidR="00FE3893" w:rsidRPr="002A1609">
        <w:t xml:space="preserve"> adverse events </w:t>
      </w:r>
      <w:r w:rsidR="00D54274">
        <w:t xml:space="preserve">considered in the safety analysis of </w:t>
      </w:r>
      <w:r w:rsidR="003269A5">
        <w:t>the RELATIVITY-047 trial</w:t>
      </w:r>
      <w:r w:rsidR="00D54274">
        <w:t xml:space="preserve"> </w:t>
      </w:r>
      <w:r w:rsidR="00D54274" w:rsidRPr="009D2EE5">
        <w:t>included endocrinopathies, diarrhoea</w:t>
      </w:r>
      <w:r w:rsidR="00C808E2">
        <w:t xml:space="preserve"> </w:t>
      </w:r>
      <w:r w:rsidR="00DB3E35">
        <w:t>or</w:t>
      </w:r>
      <w:r w:rsidR="00C808E2">
        <w:t xml:space="preserve"> </w:t>
      </w:r>
      <w:r w:rsidR="00D54274" w:rsidRPr="009D2EE5">
        <w:t>colitis, hepatitis, pneumonitis, interstitial nephritis, and rash</w:t>
      </w:r>
      <w:r w:rsidR="00D54274">
        <w:t>.</w:t>
      </w:r>
      <w:r w:rsidR="00D54274" w:rsidRPr="009D2EE5">
        <w:t xml:space="preserve"> </w:t>
      </w:r>
      <w:r w:rsidR="00D54274">
        <w:t xml:space="preserve">MedDRA </w:t>
      </w:r>
      <w:r w:rsidR="00B651DF">
        <w:t>P</w:t>
      </w:r>
      <w:r w:rsidR="00D54274" w:rsidRPr="009D2EE5">
        <w:t xml:space="preserve">referred </w:t>
      </w:r>
      <w:r w:rsidR="00B651DF">
        <w:t>T</w:t>
      </w:r>
      <w:r w:rsidR="00D54274" w:rsidRPr="009D2EE5">
        <w:t xml:space="preserve">erms describing each of these IMAEs were grouped into </w:t>
      </w:r>
      <w:r w:rsidR="00D54274">
        <w:t xml:space="preserve">system </w:t>
      </w:r>
      <w:r w:rsidR="00D54274" w:rsidRPr="009D2EE5">
        <w:lastRenderedPageBreak/>
        <w:t xml:space="preserve">categories </w:t>
      </w:r>
      <w:r w:rsidR="00D54274">
        <w:t xml:space="preserve">for analysis </w:t>
      </w:r>
      <w:r w:rsidR="00D54274" w:rsidRPr="009D2EE5">
        <w:t>(endocrine, gastrointestinal, hepatic, pulmonary, renal, skin, and hypersensitivity</w:t>
      </w:r>
      <w:r w:rsidR="00C808E2">
        <w:t xml:space="preserve"> or </w:t>
      </w:r>
      <w:r w:rsidR="00D54274" w:rsidRPr="009D2EE5">
        <w:t>infusion reaction).</w:t>
      </w:r>
    </w:p>
    <w:p w14:paraId="345096AB" w14:textId="37483F8D" w:rsidR="00D54274" w:rsidRDefault="00D54274" w:rsidP="00D54274">
      <w:r w:rsidRPr="009D2EE5">
        <w:t>Other events of special interest</w:t>
      </w:r>
      <w:r w:rsidR="00B651DF">
        <w:t xml:space="preserve"> </w:t>
      </w:r>
      <w:r w:rsidRPr="009D2EE5">
        <w:t xml:space="preserve">(OESIs) were defined as events that do not fulfil all criteria to qualify as select AEs or IMAEs but are still considered clinically significant. </w:t>
      </w:r>
      <w:r w:rsidR="00CB4CB0" w:rsidRPr="009D2EE5">
        <w:t xml:space="preserve">Other events of special interest </w:t>
      </w:r>
      <w:r w:rsidRPr="009D2EE5">
        <w:t xml:space="preserve">included the </w:t>
      </w:r>
      <w:r w:rsidRPr="000649E8">
        <w:t>following categories: myositis</w:t>
      </w:r>
      <w:r w:rsidR="00C808E2">
        <w:t xml:space="preserve"> </w:t>
      </w:r>
      <w:r w:rsidR="00DB3E35">
        <w:t>or</w:t>
      </w:r>
      <w:r w:rsidR="00C808E2">
        <w:t xml:space="preserve"> </w:t>
      </w:r>
      <w:r w:rsidRPr="000649E8">
        <w:t>rhabdomyolysis, myocarditis, demyelination, Guillain-Barré syndrome, pancreatitis, uveitis, encephalitis, myasthenic syndrome, graft</w:t>
      </w:r>
      <w:r w:rsidR="00230E4A">
        <w:t>-</w:t>
      </w:r>
      <w:r w:rsidRPr="000649E8">
        <w:t>versus</w:t>
      </w:r>
      <w:r w:rsidR="00230E4A">
        <w:t>-</w:t>
      </w:r>
      <w:r w:rsidRPr="000649E8">
        <w:t>host disease, troponin elevation, and meningitis.</w:t>
      </w:r>
    </w:p>
    <w:p w14:paraId="12B0EE5F" w14:textId="020EEDD5" w:rsidR="00D54274" w:rsidRDefault="00D54274" w:rsidP="00D54274">
      <w:r w:rsidRPr="000649E8">
        <w:t xml:space="preserve">Based on the </w:t>
      </w:r>
      <w:r w:rsidR="00CB4CB0">
        <w:t>s</w:t>
      </w:r>
      <w:r w:rsidRPr="000649E8">
        <w:t>ponsor’s summary of IMAEs and OESI (see</w:t>
      </w:r>
      <w:r w:rsidR="00CB4CB0">
        <w:t xml:space="preserve"> </w:t>
      </w:r>
      <w:r w:rsidR="00CB4CB0">
        <w:rPr>
          <w:color w:val="2B579A"/>
          <w:shd w:val="clear" w:color="auto" w:fill="E6E6E6"/>
        </w:rPr>
        <w:fldChar w:fldCharType="begin"/>
      </w:r>
      <w:r w:rsidR="00CB4CB0">
        <w:instrText xml:space="preserve"> REF _Ref106280759 \h </w:instrText>
      </w:r>
      <w:r w:rsidR="00CB4CB0">
        <w:rPr>
          <w:color w:val="2B579A"/>
          <w:shd w:val="clear" w:color="auto" w:fill="E6E6E6"/>
        </w:rPr>
      </w:r>
      <w:r w:rsidR="00CB4CB0">
        <w:rPr>
          <w:color w:val="2B579A"/>
          <w:shd w:val="clear" w:color="auto" w:fill="E6E6E6"/>
        </w:rPr>
        <w:fldChar w:fldCharType="separate"/>
      </w:r>
      <w:r w:rsidR="004F1B9E" w:rsidRPr="00462F18">
        <w:t xml:space="preserve">Table </w:t>
      </w:r>
      <w:r w:rsidR="004F1B9E">
        <w:rPr>
          <w:noProof/>
        </w:rPr>
        <w:t>9</w:t>
      </w:r>
      <w:r w:rsidR="00CB4CB0">
        <w:rPr>
          <w:color w:val="2B579A"/>
          <w:shd w:val="clear" w:color="auto" w:fill="E6E6E6"/>
        </w:rPr>
        <w:fldChar w:fldCharType="end"/>
      </w:r>
      <w:r w:rsidRPr="000649E8">
        <w:t>), high</w:t>
      </w:r>
      <w:r w:rsidR="00B651DF">
        <w:t xml:space="preserve"> </w:t>
      </w:r>
      <w:r w:rsidRPr="000649E8">
        <w:t xml:space="preserve">grade events of </w:t>
      </w:r>
      <w:r w:rsidR="008F79EB">
        <w:t>immune-mediated</w:t>
      </w:r>
      <w:r w:rsidRPr="000649E8">
        <w:t xml:space="preserve"> hepatitis and adrenal insufficiency appeared notably more common with the </w:t>
      </w:r>
      <w:r>
        <w:t>nivo</w:t>
      </w:r>
      <w:r w:rsidR="00CB4CB0">
        <w:t>lumab</w:t>
      </w:r>
      <w:r w:rsidR="00230E4A">
        <w:t>-</w:t>
      </w:r>
      <w:r w:rsidR="00CB4CB0">
        <w:t>with</w:t>
      </w:r>
      <w:r w:rsidR="00230E4A">
        <w:t>-</w:t>
      </w:r>
      <w:proofErr w:type="spellStart"/>
      <w:r>
        <w:t>rela</w:t>
      </w:r>
      <w:r w:rsidR="00CB4CB0">
        <w:t>tlimab</w:t>
      </w:r>
      <w:proofErr w:type="spellEnd"/>
      <w:r>
        <w:t xml:space="preserve"> </w:t>
      </w:r>
      <w:r w:rsidRPr="000649E8">
        <w:t xml:space="preserve">combination than nivolumab monotherapy. Rates of IMAEs overall were more common with </w:t>
      </w:r>
      <w:proofErr w:type="spellStart"/>
      <w:r>
        <w:t>O</w:t>
      </w:r>
      <w:r w:rsidR="00CB4CB0">
        <w:t>pdualag</w:t>
      </w:r>
      <w:proofErr w:type="spellEnd"/>
      <w:r>
        <w:t xml:space="preserve"> than nivolumab</w:t>
      </w:r>
      <w:r w:rsidRPr="000649E8">
        <w:t xml:space="preserve">, </w:t>
      </w:r>
      <w:proofErr w:type="gramStart"/>
      <w:r w:rsidRPr="000649E8">
        <w:t>with the exception of</w:t>
      </w:r>
      <w:proofErr w:type="gramEnd"/>
      <w:r w:rsidRPr="000649E8">
        <w:t xml:space="preserve"> hyperthyroidism and diabetes mellitus. </w:t>
      </w:r>
      <w:r>
        <w:t>The use of immune-modulating medications reflected this, with 50% of the nivo</w:t>
      </w:r>
      <w:r w:rsidR="00CB4CB0">
        <w:t xml:space="preserve">lumab with </w:t>
      </w:r>
      <w:proofErr w:type="spellStart"/>
      <w:r w:rsidR="00CB4CB0">
        <w:t>relatlimab</w:t>
      </w:r>
      <w:proofErr w:type="spellEnd"/>
      <w:r>
        <w:t xml:space="preserve"> arm and 35% of the nivo</w:t>
      </w:r>
      <w:r w:rsidR="00CB4CB0">
        <w:t>lumab</w:t>
      </w:r>
      <w:r>
        <w:t xml:space="preserve"> arm requiring corticosteroid or immunosuppressant treatment for AEs.</w:t>
      </w:r>
    </w:p>
    <w:p w14:paraId="28B57A98" w14:textId="6DD2B206" w:rsidR="00D54274" w:rsidRPr="00A166DF" w:rsidRDefault="00D54274" w:rsidP="00D54274">
      <w:r w:rsidRPr="00A166DF">
        <w:t xml:space="preserve">A higher percentage of patients in the </w:t>
      </w:r>
      <w:proofErr w:type="spellStart"/>
      <w:r w:rsidR="00A42C66">
        <w:t>Opdualag</w:t>
      </w:r>
      <w:proofErr w:type="spellEnd"/>
      <w:r w:rsidRPr="00A166DF">
        <w:t xml:space="preserve"> arm were treated with corticosteroids</w:t>
      </w:r>
      <w:r w:rsidR="00B651DF">
        <w:t xml:space="preserve"> or </w:t>
      </w:r>
      <w:r w:rsidRPr="00A166DF">
        <w:t>immunosuppressants for AEs (50.4% v</w:t>
      </w:r>
      <w:r w:rsidR="00AC07A4">
        <w:t>ersu</w:t>
      </w:r>
      <w:r w:rsidRPr="00A166DF">
        <w:t>s 35.4% in the nivolumab arm), but the duration of treatment required was not appreciably different. The categories of all-grade events most frequently requiring immune-modulating treatment were similar:</w:t>
      </w:r>
    </w:p>
    <w:p w14:paraId="552CE904" w14:textId="0C1D6445" w:rsidR="00D54274" w:rsidRPr="00A166DF" w:rsidRDefault="00A42C66" w:rsidP="00AC07A4">
      <w:pPr>
        <w:pStyle w:val="ListBullet"/>
      </w:pPr>
      <w:r>
        <w:t>n</w:t>
      </w:r>
      <w:r w:rsidR="00D54274" w:rsidRPr="00A166DF">
        <w:t>ivo</w:t>
      </w:r>
      <w:r w:rsidR="00AC07A4">
        <w:t xml:space="preserve">lumab with </w:t>
      </w:r>
      <w:proofErr w:type="spellStart"/>
      <w:r w:rsidR="00AC07A4">
        <w:t>relatlimab</w:t>
      </w:r>
      <w:proofErr w:type="spellEnd"/>
      <w:r w:rsidR="00D54274" w:rsidRPr="00A166DF">
        <w:t>: rash (6.2%), arthralgia (5.1%), pruritus (4.8%), and diarrhoea (4.2%)</w:t>
      </w:r>
    </w:p>
    <w:p w14:paraId="36F42974" w14:textId="2ED2B875" w:rsidR="00D54274" w:rsidRDefault="00A42C66" w:rsidP="00AC07A4">
      <w:pPr>
        <w:pStyle w:val="ListBullet"/>
      </w:pPr>
      <w:r>
        <w:t>n</w:t>
      </w:r>
      <w:r w:rsidR="00D54274" w:rsidRPr="00A166DF">
        <w:t>ivo</w:t>
      </w:r>
      <w:r w:rsidR="00AC07A4">
        <w:t>lumab</w:t>
      </w:r>
      <w:r w:rsidR="00D54274" w:rsidRPr="00A166DF">
        <w:t>:</w:t>
      </w:r>
      <w:r w:rsidR="00D54274">
        <w:t xml:space="preserve"> </w:t>
      </w:r>
      <w:r w:rsidR="00D54274" w:rsidRPr="00A166DF">
        <w:t>rash (3.6%), pruritus (3.3%), diarrhea (2.2%), and arthralgia (2.2%).</w:t>
      </w:r>
    </w:p>
    <w:p w14:paraId="4FE7094D" w14:textId="04214CD6" w:rsidR="00D54274" w:rsidRPr="000649E8" w:rsidRDefault="00D54274" w:rsidP="00D54274">
      <w:r w:rsidRPr="00A42C66">
        <w:t>The FDA describes individual immune</w:t>
      </w:r>
      <w:r w:rsidR="003269A5">
        <w:t xml:space="preserve"> </w:t>
      </w:r>
      <w:r w:rsidRPr="00A42C66">
        <w:t>related adverse event category review findings,</w:t>
      </w:r>
      <w:r w:rsidR="00AC07A4" w:rsidRPr="00A42C66">
        <w:rPr>
          <w:rStyle w:val="FootnoteReference"/>
        </w:rPr>
        <w:footnoteReference w:id="98"/>
      </w:r>
      <w:r w:rsidRPr="00A42C66">
        <w:t xml:space="preserve"> and accordingly the approved FDA label includes detailed warning</w:t>
      </w:r>
      <w:r w:rsidR="00A42C66" w:rsidRPr="00A42C66">
        <w:t>s</w:t>
      </w:r>
      <w:r w:rsidRPr="00A42C66">
        <w:t xml:space="preserve"> and precaution</w:t>
      </w:r>
      <w:r w:rsidR="00A42C66" w:rsidRPr="00A42C66">
        <w:t>s</w:t>
      </w:r>
      <w:r w:rsidRPr="00A42C66">
        <w:t xml:space="preserve"> for immune</w:t>
      </w:r>
      <w:r w:rsidR="003269A5">
        <w:t xml:space="preserve"> </w:t>
      </w:r>
      <w:r w:rsidRPr="00A42C66">
        <w:t xml:space="preserve">related pneumonitis, colitis, hepatitis, endocrinopathies, nephritis (with renal dysfunction), dermatological reactions, myocarditis, and a list of rarer </w:t>
      </w:r>
      <w:r w:rsidR="008F79EB">
        <w:t>immune-mediated</w:t>
      </w:r>
      <w:r w:rsidRPr="00A42C66">
        <w:t xml:space="preserve"> adverse reactions.</w:t>
      </w:r>
      <w:r w:rsidR="00A42C66" w:rsidRPr="00A42C66">
        <w:rPr>
          <w:color w:val="2B579A"/>
          <w:shd w:val="clear" w:color="auto" w:fill="E6E6E6"/>
          <w:vertAlign w:val="superscript"/>
        </w:rPr>
        <w:fldChar w:fldCharType="begin"/>
      </w:r>
      <w:r w:rsidR="00A42C66" w:rsidRPr="00A42C66">
        <w:rPr>
          <w:vertAlign w:val="superscript"/>
        </w:rPr>
        <w:instrText xml:space="preserve"> NOTEREF _Ref140505903 \h  \* MERGEFORMAT </w:instrText>
      </w:r>
      <w:r w:rsidR="00A42C66" w:rsidRPr="00A42C66">
        <w:rPr>
          <w:color w:val="2B579A"/>
          <w:shd w:val="clear" w:color="auto" w:fill="E6E6E6"/>
          <w:vertAlign w:val="superscript"/>
        </w:rPr>
      </w:r>
      <w:r w:rsidR="00A42C66" w:rsidRPr="00A42C66">
        <w:rPr>
          <w:color w:val="2B579A"/>
          <w:shd w:val="clear" w:color="auto" w:fill="E6E6E6"/>
          <w:vertAlign w:val="superscript"/>
        </w:rPr>
        <w:fldChar w:fldCharType="separate"/>
      </w:r>
      <w:r w:rsidR="004F1B9E">
        <w:rPr>
          <w:vertAlign w:val="superscript"/>
        </w:rPr>
        <w:t>76</w:t>
      </w:r>
      <w:r w:rsidR="00A42C66" w:rsidRPr="00A42C66">
        <w:rPr>
          <w:color w:val="2B579A"/>
          <w:shd w:val="clear" w:color="auto" w:fill="E6E6E6"/>
          <w:vertAlign w:val="superscript"/>
        </w:rPr>
        <w:fldChar w:fldCharType="end"/>
      </w:r>
    </w:p>
    <w:p w14:paraId="6D5CB7B8" w14:textId="3A80F0AD" w:rsidR="00D54274" w:rsidRDefault="00D54274" w:rsidP="00CB4CB0">
      <w:pPr>
        <w:pStyle w:val="TableTitle"/>
      </w:pPr>
      <w:bookmarkStart w:id="113" w:name="_Ref106280759"/>
      <w:r w:rsidRPr="00462F18">
        <w:t xml:space="preserve">Table </w:t>
      </w:r>
      <w:r>
        <w:fldChar w:fldCharType="begin"/>
      </w:r>
      <w:r>
        <w:instrText>SEQ Table \* ARABIC</w:instrText>
      </w:r>
      <w:r>
        <w:fldChar w:fldCharType="separate"/>
      </w:r>
      <w:r w:rsidR="004F1B9E">
        <w:rPr>
          <w:noProof/>
        </w:rPr>
        <w:t>9</w:t>
      </w:r>
      <w:r>
        <w:fldChar w:fldCharType="end"/>
      </w:r>
      <w:bookmarkEnd w:id="113"/>
      <w:r w:rsidR="00CB4CB0">
        <w:rPr>
          <w:noProof/>
        </w:rPr>
        <w:t>:</w:t>
      </w:r>
      <w:r w:rsidRPr="00462F18">
        <w:t xml:space="preserve"> </w:t>
      </w:r>
      <w:r w:rsidR="003269A5">
        <w:t>RELATIVITY-047</w:t>
      </w:r>
      <w:r w:rsidR="00884F00">
        <w:t xml:space="preserve"> </w:t>
      </w:r>
      <w:r w:rsidRPr="00462F18">
        <w:t xml:space="preserve">Summary of </w:t>
      </w:r>
      <w:r w:rsidR="00CB4CB0">
        <w:t>treatment</w:t>
      </w:r>
      <w:r w:rsidR="00816EA6">
        <w:noBreakHyphen/>
      </w:r>
      <w:r w:rsidR="00CB4CB0">
        <w:t xml:space="preserve">emergent </w:t>
      </w:r>
      <w:r w:rsidR="008F79EB">
        <w:t>immune-mediated</w:t>
      </w:r>
      <w:r w:rsidR="00CB4CB0" w:rsidRPr="00CB4CB0">
        <w:t xml:space="preserve"> adverse events and other events of special interest </w:t>
      </w:r>
      <w:r w:rsidR="00B651DF">
        <w:t>(</w:t>
      </w:r>
      <w:r w:rsidRPr="00462F18">
        <w:t>safety analysis population</w:t>
      </w:r>
      <w:r w:rsidR="00B651DF">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402"/>
        <w:gridCol w:w="673"/>
        <w:gridCol w:w="673"/>
        <w:gridCol w:w="674"/>
        <w:gridCol w:w="673"/>
        <w:gridCol w:w="673"/>
        <w:gridCol w:w="674"/>
        <w:gridCol w:w="673"/>
        <w:gridCol w:w="674"/>
      </w:tblGrid>
      <w:tr w:rsidR="00BC36D1" w:rsidRPr="00DE166C" w14:paraId="4ADABAAA" w14:textId="77777777" w:rsidTr="00884F00">
        <w:trPr>
          <w:trHeight w:val="454"/>
          <w:tblHeader/>
        </w:trPr>
        <w:tc>
          <w:tcPr>
            <w:tcW w:w="3402" w:type="dxa"/>
            <w:shd w:val="clear" w:color="auto" w:fill="DEEAF6" w:themeFill="accent5" w:themeFillTint="33"/>
            <w:vAlign w:val="bottom"/>
          </w:tcPr>
          <w:p w14:paraId="19010B80" w14:textId="77777777" w:rsidR="00D54274" w:rsidRPr="00DE166C" w:rsidRDefault="00D54274" w:rsidP="00A42C66">
            <w:pPr>
              <w:pStyle w:val="TableText"/>
              <w:rPr>
                <w:b/>
                <w:bCs/>
              </w:rPr>
            </w:pPr>
            <w:bookmarkStart w:id="114" w:name="_Hlk106265969"/>
          </w:p>
        </w:tc>
        <w:tc>
          <w:tcPr>
            <w:tcW w:w="2693" w:type="dxa"/>
            <w:gridSpan w:val="4"/>
            <w:shd w:val="clear" w:color="auto" w:fill="DEEAF6" w:themeFill="accent5" w:themeFillTint="33"/>
          </w:tcPr>
          <w:p w14:paraId="5822F881" w14:textId="76157114" w:rsidR="00D54274" w:rsidRPr="00DE166C" w:rsidRDefault="00D54274" w:rsidP="00A42C66">
            <w:pPr>
              <w:pStyle w:val="TableText"/>
              <w:rPr>
                <w:b/>
                <w:bCs/>
              </w:rPr>
            </w:pPr>
            <w:r w:rsidRPr="00DE166C">
              <w:rPr>
                <w:b/>
                <w:bCs/>
              </w:rPr>
              <w:t>Nivo</w:t>
            </w:r>
            <w:r w:rsidR="00DE166C">
              <w:rPr>
                <w:b/>
                <w:bCs/>
              </w:rPr>
              <w:t xml:space="preserve">lumab with </w:t>
            </w:r>
            <w:proofErr w:type="spellStart"/>
            <w:r w:rsidR="00DE166C">
              <w:rPr>
                <w:b/>
                <w:bCs/>
              </w:rPr>
              <w:t>relatlimab</w:t>
            </w:r>
            <w:proofErr w:type="spellEnd"/>
          </w:p>
          <w:p w14:paraId="50A43FE2" w14:textId="61A88555" w:rsidR="00D54274" w:rsidRPr="00DE166C" w:rsidRDefault="00D54274" w:rsidP="00A42C66">
            <w:pPr>
              <w:pStyle w:val="TableText"/>
              <w:rPr>
                <w:b/>
                <w:bCs/>
              </w:rPr>
            </w:pPr>
            <w:r w:rsidRPr="00DE166C">
              <w:rPr>
                <w:b/>
                <w:bCs/>
              </w:rPr>
              <w:t>(n</w:t>
            </w:r>
            <w:r w:rsidR="00B83235">
              <w:rPr>
                <w:b/>
                <w:bCs/>
              </w:rPr>
              <w:t> = </w:t>
            </w:r>
            <w:r w:rsidRPr="00DE166C">
              <w:rPr>
                <w:b/>
                <w:bCs/>
              </w:rPr>
              <w:t>355)</w:t>
            </w:r>
          </w:p>
        </w:tc>
        <w:tc>
          <w:tcPr>
            <w:tcW w:w="2694" w:type="dxa"/>
            <w:gridSpan w:val="4"/>
            <w:shd w:val="clear" w:color="auto" w:fill="DEEAF6" w:themeFill="accent5" w:themeFillTint="33"/>
          </w:tcPr>
          <w:p w14:paraId="4833A4D5" w14:textId="4CDC9E7C" w:rsidR="00D54274" w:rsidRPr="00DE166C" w:rsidRDefault="00D54274" w:rsidP="00A42C66">
            <w:pPr>
              <w:pStyle w:val="TableText"/>
              <w:rPr>
                <w:b/>
                <w:bCs/>
              </w:rPr>
            </w:pPr>
            <w:r w:rsidRPr="00DE166C">
              <w:rPr>
                <w:b/>
                <w:bCs/>
              </w:rPr>
              <w:t>Nivo</w:t>
            </w:r>
            <w:r w:rsidR="00DE166C">
              <w:rPr>
                <w:b/>
                <w:bCs/>
              </w:rPr>
              <w:t>lumab</w:t>
            </w:r>
          </w:p>
          <w:p w14:paraId="00475028" w14:textId="190FF821" w:rsidR="00D54274" w:rsidRPr="00DE166C" w:rsidRDefault="00D54274" w:rsidP="00A42C66">
            <w:pPr>
              <w:pStyle w:val="TableText"/>
              <w:rPr>
                <w:b/>
                <w:bCs/>
              </w:rPr>
            </w:pPr>
            <w:r w:rsidRPr="00DE166C">
              <w:rPr>
                <w:b/>
                <w:bCs/>
              </w:rPr>
              <w:t>(n</w:t>
            </w:r>
            <w:r w:rsidR="00B83235">
              <w:rPr>
                <w:b/>
                <w:bCs/>
              </w:rPr>
              <w:t> = </w:t>
            </w:r>
            <w:r w:rsidRPr="00DE166C">
              <w:rPr>
                <w:b/>
                <w:bCs/>
              </w:rPr>
              <w:t>359)</w:t>
            </w:r>
          </w:p>
        </w:tc>
      </w:tr>
      <w:tr w:rsidR="00ED1825" w:rsidRPr="00DE166C" w14:paraId="768E7205" w14:textId="77777777" w:rsidTr="00884F00">
        <w:trPr>
          <w:trHeight w:val="20"/>
        </w:trPr>
        <w:tc>
          <w:tcPr>
            <w:tcW w:w="3402" w:type="dxa"/>
            <w:shd w:val="clear" w:color="auto" w:fill="DEEAF6" w:themeFill="accent5" w:themeFillTint="33"/>
            <w:vAlign w:val="bottom"/>
          </w:tcPr>
          <w:p w14:paraId="4437E513" w14:textId="77777777" w:rsidR="00D54274" w:rsidRPr="00DE166C" w:rsidRDefault="00D54274" w:rsidP="00A42C66">
            <w:pPr>
              <w:pStyle w:val="TableText"/>
              <w:rPr>
                <w:b/>
                <w:bCs/>
              </w:rPr>
            </w:pPr>
          </w:p>
        </w:tc>
        <w:tc>
          <w:tcPr>
            <w:tcW w:w="1346" w:type="dxa"/>
            <w:gridSpan w:val="2"/>
            <w:shd w:val="clear" w:color="auto" w:fill="DEEAF6" w:themeFill="accent5" w:themeFillTint="33"/>
          </w:tcPr>
          <w:p w14:paraId="2F5BDF8C" w14:textId="77777777" w:rsidR="00D54274" w:rsidRPr="00DE166C" w:rsidRDefault="00D54274" w:rsidP="00A42C66">
            <w:pPr>
              <w:pStyle w:val="TableText"/>
              <w:rPr>
                <w:b/>
                <w:bCs/>
              </w:rPr>
            </w:pPr>
            <w:r w:rsidRPr="00DE166C">
              <w:rPr>
                <w:b/>
                <w:bCs/>
              </w:rPr>
              <w:t>Any grade</w:t>
            </w:r>
          </w:p>
        </w:tc>
        <w:tc>
          <w:tcPr>
            <w:tcW w:w="1347" w:type="dxa"/>
            <w:gridSpan w:val="2"/>
            <w:shd w:val="clear" w:color="auto" w:fill="DEEAF6" w:themeFill="accent5" w:themeFillTint="33"/>
          </w:tcPr>
          <w:p w14:paraId="729BC8EF" w14:textId="77777777" w:rsidR="00D54274" w:rsidRPr="00DE166C" w:rsidRDefault="00D54274" w:rsidP="00A42C66">
            <w:pPr>
              <w:pStyle w:val="TableText"/>
              <w:rPr>
                <w:b/>
                <w:bCs/>
              </w:rPr>
            </w:pPr>
            <w:r w:rsidRPr="00DE166C">
              <w:rPr>
                <w:b/>
                <w:bCs/>
              </w:rPr>
              <w:t>Grade 3-4</w:t>
            </w:r>
          </w:p>
        </w:tc>
        <w:tc>
          <w:tcPr>
            <w:tcW w:w="1347" w:type="dxa"/>
            <w:gridSpan w:val="2"/>
            <w:shd w:val="clear" w:color="auto" w:fill="DEEAF6" w:themeFill="accent5" w:themeFillTint="33"/>
          </w:tcPr>
          <w:p w14:paraId="5D78792D" w14:textId="77777777" w:rsidR="00D54274" w:rsidRPr="00DE166C" w:rsidRDefault="00D54274" w:rsidP="00A42C66">
            <w:pPr>
              <w:pStyle w:val="TableText"/>
              <w:rPr>
                <w:b/>
                <w:bCs/>
              </w:rPr>
            </w:pPr>
            <w:r w:rsidRPr="00DE166C">
              <w:rPr>
                <w:b/>
                <w:bCs/>
              </w:rPr>
              <w:t>Any grade</w:t>
            </w:r>
          </w:p>
        </w:tc>
        <w:tc>
          <w:tcPr>
            <w:tcW w:w="1347" w:type="dxa"/>
            <w:gridSpan w:val="2"/>
            <w:shd w:val="clear" w:color="auto" w:fill="DEEAF6" w:themeFill="accent5" w:themeFillTint="33"/>
          </w:tcPr>
          <w:p w14:paraId="71CD9307" w14:textId="77777777" w:rsidR="00D54274" w:rsidRPr="00DE166C" w:rsidRDefault="00D54274" w:rsidP="00A42C66">
            <w:pPr>
              <w:pStyle w:val="TableText"/>
              <w:rPr>
                <w:b/>
                <w:bCs/>
              </w:rPr>
            </w:pPr>
            <w:r w:rsidRPr="00DE166C">
              <w:rPr>
                <w:b/>
                <w:bCs/>
              </w:rPr>
              <w:t>Grade 3-4</w:t>
            </w:r>
          </w:p>
        </w:tc>
      </w:tr>
      <w:tr w:rsidR="00BC36D1" w:rsidRPr="00DE166C" w14:paraId="5282FA7B" w14:textId="77777777" w:rsidTr="00884F00">
        <w:trPr>
          <w:trHeight w:val="20"/>
        </w:trPr>
        <w:tc>
          <w:tcPr>
            <w:tcW w:w="3402" w:type="dxa"/>
            <w:shd w:val="clear" w:color="auto" w:fill="DEEAF6" w:themeFill="accent5" w:themeFillTint="33"/>
            <w:vAlign w:val="bottom"/>
          </w:tcPr>
          <w:p w14:paraId="51B91B08" w14:textId="77777777" w:rsidR="00D54274" w:rsidRPr="00DE166C" w:rsidRDefault="00D54274" w:rsidP="00A42C66">
            <w:pPr>
              <w:pStyle w:val="TableText"/>
              <w:rPr>
                <w:b/>
                <w:bCs/>
              </w:rPr>
            </w:pPr>
            <w:r w:rsidRPr="00DE166C">
              <w:rPr>
                <w:b/>
                <w:bCs/>
              </w:rPr>
              <w:t>Safety parameters</w:t>
            </w:r>
          </w:p>
        </w:tc>
        <w:tc>
          <w:tcPr>
            <w:tcW w:w="673" w:type="dxa"/>
            <w:shd w:val="clear" w:color="auto" w:fill="DEEAF6" w:themeFill="accent5" w:themeFillTint="33"/>
          </w:tcPr>
          <w:p w14:paraId="454EED6E" w14:textId="77777777" w:rsidR="00D54274" w:rsidRPr="00DE166C" w:rsidRDefault="00D54274" w:rsidP="00A42C66">
            <w:pPr>
              <w:pStyle w:val="TableText"/>
              <w:rPr>
                <w:b/>
                <w:bCs/>
              </w:rPr>
            </w:pPr>
            <w:r w:rsidRPr="00DE166C">
              <w:rPr>
                <w:b/>
                <w:bCs/>
              </w:rPr>
              <w:t>N</w:t>
            </w:r>
          </w:p>
        </w:tc>
        <w:tc>
          <w:tcPr>
            <w:tcW w:w="673" w:type="dxa"/>
            <w:shd w:val="clear" w:color="auto" w:fill="DEEAF6" w:themeFill="accent5" w:themeFillTint="33"/>
          </w:tcPr>
          <w:p w14:paraId="7FF76189" w14:textId="77777777" w:rsidR="00D54274" w:rsidRPr="00DE166C" w:rsidRDefault="00D54274" w:rsidP="00A42C66">
            <w:pPr>
              <w:pStyle w:val="TableText"/>
              <w:rPr>
                <w:b/>
                <w:bCs/>
              </w:rPr>
            </w:pPr>
            <w:r w:rsidRPr="00DE166C">
              <w:rPr>
                <w:b/>
                <w:bCs/>
              </w:rPr>
              <w:t>%</w:t>
            </w:r>
          </w:p>
        </w:tc>
        <w:tc>
          <w:tcPr>
            <w:tcW w:w="674" w:type="dxa"/>
            <w:shd w:val="clear" w:color="auto" w:fill="DEEAF6" w:themeFill="accent5" w:themeFillTint="33"/>
          </w:tcPr>
          <w:p w14:paraId="5065B709" w14:textId="77777777" w:rsidR="00D54274" w:rsidRPr="00DE166C" w:rsidRDefault="00D54274" w:rsidP="00A42C66">
            <w:pPr>
              <w:pStyle w:val="TableText"/>
              <w:rPr>
                <w:b/>
                <w:bCs/>
              </w:rPr>
            </w:pPr>
            <w:r w:rsidRPr="00DE166C">
              <w:rPr>
                <w:b/>
                <w:bCs/>
              </w:rPr>
              <w:t>N</w:t>
            </w:r>
          </w:p>
        </w:tc>
        <w:tc>
          <w:tcPr>
            <w:tcW w:w="673" w:type="dxa"/>
            <w:shd w:val="clear" w:color="auto" w:fill="DEEAF6" w:themeFill="accent5" w:themeFillTint="33"/>
          </w:tcPr>
          <w:p w14:paraId="692BAE42" w14:textId="77777777" w:rsidR="00D54274" w:rsidRPr="00DE166C" w:rsidRDefault="00D54274" w:rsidP="00A42C66">
            <w:pPr>
              <w:pStyle w:val="TableText"/>
              <w:rPr>
                <w:b/>
                <w:bCs/>
              </w:rPr>
            </w:pPr>
            <w:r w:rsidRPr="00DE166C">
              <w:rPr>
                <w:b/>
                <w:bCs/>
              </w:rPr>
              <w:t>%</w:t>
            </w:r>
          </w:p>
        </w:tc>
        <w:tc>
          <w:tcPr>
            <w:tcW w:w="673" w:type="dxa"/>
            <w:shd w:val="clear" w:color="auto" w:fill="DEEAF6" w:themeFill="accent5" w:themeFillTint="33"/>
          </w:tcPr>
          <w:p w14:paraId="4BC8F996" w14:textId="77777777" w:rsidR="00D54274" w:rsidRPr="00DE166C" w:rsidRDefault="00D54274" w:rsidP="00A42C66">
            <w:pPr>
              <w:pStyle w:val="TableText"/>
              <w:rPr>
                <w:b/>
                <w:bCs/>
              </w:rPr>
            </w:pPr>
            <w:r w:rsidRPr="00DE166C">
              <w:rPr>
                <w:b/>
                <w:bCs/>
              </w:rPr>
              <w:t>N</w:t>
            </w:r>
          </w:p>
        </w:tc>
        <w:tc>
          <w:tcPr>
            <w:tcW w:w="674" w:type="dxa"/>
            <w:shd w:val="clear" w:color="auto" w:fill="DEEAF6" w:themeFill="accent5" w:themeFillTint="33"/>
          </w:tcPr>
          <w:p w14:paraId="781BC0A3" w14:textId="77777777" w:rsidR="00D54274" w:rsidRPr="00DE166C" w:rsidRDefault="00D54274" w:rsidP="00A42C66">
            <w:pPr>
              <w:pStyle w:val="TableText"/>
              <w:rPr>
                <w:b/>
                <w:bCs/>
              </w:rPr>
            </w:pPr>
            <w:r w:rsidRPr="00DE166C">
              <w:rPr>
                <w:b/>
                <w:bCs/>
              </w:rPr>
              <w:t>%</w:t>
            </w:r>
          </w:p>
        </w:tc>
        <w:tc>
          <w:tcPr>
            <w:tcW w:w="673" w:type="dxa"/>
            <w:shd w:val="clear" w:color="auto" w:fill="DEEAF6" w:themeFill="accent5" w:themeFillTint="33"/>
          </w:tcPr>
          <w:p w14:paraId="5BBA228D" w14:textId="77777777" w:rsidR="00D54274" w:rsidRPr="00DE166C" w:rsidRDefault="00D54274" w:rsidP="00A42C66">
            <w:pPr>
              <w:pStyle w:val="TableText"/>
              <w:rPr>
                <w:b/>
                <w:bCs/>
              </w:rPr>
            </w:pPr>
            <w:r w:rsidRPr="00DE166C">
              <w:rPr>
                <w:b/>
                <w:bCs/>
              </w:rPr>
              <w:t>N</w:t>
            </w:r>
          </w:p>
        </w:tc>
        <w:tc>
          <w:tcPr>
            <w:tcW w:w="674" w:type="dxa"/>
            <w:shd w:val="clear" w:color="auto" w:fill="DEEAF6" w:themeFill="accent5" w:themeFillTint="33"/>
          </w:tcPr>
          <w:p w14:paraId="0ECC6673" w14:textId="77777777" w:rsidR="00D54274" w:rsidRPr="00DE166C" w:rsidRDefault="00D54274" w:rsidP="00A42C66">
            <w:pPr>
              <w:pStyle w:val="TableText"/>
              <w:rPr>
                <w:b/>
                <w:bCs/>
              </w:rPr>
            </w:pPr>
            <w:r w:rsidRPr="00DE166C">
              <w:rPr>
                <w:b/>
                <w:bCs/>
              </w:rPr>
              <w:t>%</w:t>
            </w:r>
          </w:p>
        </w:tc>
      </w:tr>
      <w:tr w:rsidR="00D54274" w:rsidRPr="00CB4CB0" w14:paraId="1BF813F5" w14:textId="77777777" w:rsidTr="00884F00">
        <w:trPr>
          <w:trHeight w:val="313"/>
        </w:trPr>
        <w:tc>
          <w:tcPr>
            <w:tcW w:w="8789" w:type="dxa"/>
            <w:gridSpan w:val="9"/>
            <w:shd w:val="clear" w:color="auto" w:fill="auto"/>
            <w:vAlign w:val="bottom"/>
          </w:tcPr>
          <w:p w14:paraId="05D01D13" w14:textId="206A8EB3" w:rsidR="00D54274" w:rsidRPr="00CB4CB0" w:rsidRDefault="00D54274" w:rsidP="00A42C66">
            <w:pPr>
              <w:pStyle w:val="TableText"/>
            </w:pPr>
            <w:bookmarkStart w:id="115" w:name="_Hlk106266502"/>
            <w:r w:rsidRPr="00CB4CB0">
              <w:t>IMAEs within 100 days of last dose that were treated with immune</w:t>
            </w:r>
            <w:r w:rsidR="00230E4A">
              <w:t>-</w:t>
            </w:r>
            <w:r w:rsidRPr="00CB4CB0">
              <w:t>modulating medication</w:t>
            </w:r>
          </w:p>
        </w:tc>
      </w:tr>
      <w:tr w:rsidR="00D54274" w:rsidRPr="00CB4CB0" w14:paraId="71778781" w14:textId="77777777" w:rsidTr="00884F00">
        <w:trPr>
          <w:trHeight w:val="20"/>
        </w:trPr>
        <w:tc>
          <w:tcPr>
            <w:tcW w:w="3402" w:type="dxa"/>
            <w:shd w:val="clear" w:color="auto" w:fill="auto"/>
          </w:tcPr>
          <w:p w14:paraId="17225E5F" w14:textId="77777777" w:rsidR="00D54274" w:rsidRPr="00CB4CB0" w:rsidRDefault="00D54274" w:rsidP="00A42C66">
            <w:pPr>
              <w:pStyle w:val="TableText"/>
            </w:pPr>
            <w:r w:rsidRPr="00CB4CB0">
              <w:t>Diarrhoea/colitis</w:t>
            </w:r>
          </w:p>
        </w:tc>
        <w:tc>
          <w:tcPr>
            <w:tcW w:w="673" w:type="dxa"/>
            <w:shd w:val="clear" w:color="auto" w:fill="auto"/>
          </w:tcPr>
          <w:p w14:paraId="1C8B171D" w14:textId="77777777" w:rsidR="00D54274" w:rsidRPr="00CB4CB0" w:rsidRDefault="00D54274" w:rsidP="00A42C66">
            <w:pPr>
              <w:pStyle w:val="TableText"/>
            </w:pPr>
            <w:r w:rsidRPr="00CB4CB0">
              <w:t>24</w:t>
            </w:r>
          </w:p>
        </w:tc>
        <w:tc>
          <w:tcPr>
            <w:tcW w:w="673" w:type="dxa"/>
            <w:shd w:val="clear" w:color="auto" w:fill="auto"/>
          </w:tcPr>
          <w:p w14:paraId="1F027AA5" w14:textId="77777777" w:rsidR="00D54274" w:rsidRPr="00CB4CB0" w:rsidRDefault="00D54274" w:rsidP="00A42C66">
            <w:pPr>
              <w:pStyle w:val="TableText"/>
            </w:pPr>
            <w:r w:rsidRPr="00CB4CB0">
              <w:t>6.8</w:t>
            </w:r>
          </w:p>
        </w:tc>
        <w:tc>
          <w:tcPr>
            <w:tcW w:w="674" w:type="dxa"/>
            <w:shd w:val="clear" w:color="auto" w:fill="auto"/>
          </w:tcPr>
          <w:p w14:paraId="3D27CDE1" w14:textId="77777777" w:rsidR="00D54274" w:rsidRPr="00CB4CB0" w:rsidRDefault="00D54274" w:rsidP="00A42C66">
            <w:pPr>
              <w:pStyle w:val="TableText"/>
            </w:pPr>
            <w:r w:rsidRPr="00CB4CB0">
              <w:t>4</w:t>
            </w:r>
          </w:p>
        </w:tc>
        <w:tc>
          <w:tcPr>
            <w:tcW w:w="673" w:type="dxa"/>
            <w:shd w:val="clear" w:color="auto" w:fill="auto"/>
          </w:tcPr>
          <w:p w14:paraId="3B120495" w14:textId="77777777" w:rsidR="00D54274" w:rsidRPr="00CB4CB0" w:rsidRDefault="00D54274" w:rsidP="00A42C66">
            <w:pPr>
              <w:pStyle w:val="TableText"/>
            </w:pPr>
            <w:r w:rsidRPr="00CB4CB0">
              <w:t>1.1</w:t>
            </w:r>
          </w:p>
        </w:tc>
        <w:tc>
          <w:tcPr>
            <w:tcW w:w="673" w:type="dxa"/>
            <w:shd w:val="clear" w:color="auto" w:fill="auto"/>
          </w:tcPr>
          <w:p w14:paraId="3D46ABC9" w14:textId="77777777" w:rsidR="00D54274" w:rsidRPr="00CB4CB0" w:rsidRDefault="00D54274" w:rsidP="00A42C66">
            <w:pPr>
              <w:pStyle w:val="TableText"/>
            </w:pPr>
            <w:r w:rsidRPr="00CB4CB0">
              <w:t>11</w:t>
            </w:r>
          </w:p>
        </w:tc>
        <w:tc>
          <w:tcPr>
            <w:tcW w:w="674" w:type="dxa"/>
            <w:shd w:val="clear" w:color="auto" w:fill="auto"/>
          </w:tcPr>
          <w:p w14:paraId="5B3907D3" w14:textId="77777777" w:rsidR="00D54274" w:rsidRPr="00CB4CB0" w:rsidRDefault="00D54274" w:rsidP="00A42C66">
            <w:pPr>
              <w:pStyle w:val="TableText"/>
            </w:pPr>
            <w:r w:rsidRPr="00CB4CB0">
              <w:t>3.1</w:t>
            </w:r>
          </w:p>
        </w:tc>
        <w:tc>
          <w:tcPr>
            <w:tcW w:w="673" w:type="dxa"/>
            <w:shd w:val="clear" w:color="auto" w:fill="auto"/>
          </w:tcPr>
          <w:p w14:paraId="35EE0045" w14:textId="77777777" w:rsidR="00D54274" w:rsidRPr="00CB4CB0" w:rsidRDefault="00D54274" w:rsidP="00A42C66">
            <w:pPr>
              <w:pStyle w:val="TableText"/>
            </w:pPr>
            <w:r w:rsidRPr="00CB4CB0">
              <w:t>5</w:t>
            </w:r>
          </w:p>
        </w:tc>
        <w:tc>
          <w:tcPr>
            <w:tcW w:w="674" w:type="dxa"/>
            <w:shd w:val="clear" w:color="auto" w:fill="auto"/>
          </w:tcPr>
          <w:p w14:paraId="068D3003" w14:textId="77777777" w:rsidR="00D54274" w:rsidRPr="00CB4CB0" w:rsidRDefault="00D54274" w:rsidP="00A42C66">
            <w:pPr>
              <w:pStyle w:val="TableText"/>
            </w:pPr>
            <w:r w:rsidRPr="00CB4CB0">
              <w:t>1.4</w:t>
            </w:r>
          </w:p>
        </w:tc>
      </w:tr>
      <w:tr w:rsidR="00D54274" w:rsidRPr="00CB4CB0" w14:paraId="48C292D1" w14:textId="77777777" w:rsidTr="00884F00">
        <w:trPr>
          <w:trHeight w:val="20"/>
        </w:trPr>
        <w:tc>
          <w:tcPr>
            <w:tcW w:w="3402" w:type="dxa"/>
            <w:shd w:val="clear" w:color="auto" w:fill="auto"/>
          </w:tcPr>
          <w:p w14:paraId="11964458" w14:textId="77777777" w:rsidR="00D54274" w:rsidRPr="00CB4CB0" w:rsidRDefault="00D54274" w:rsidP="00A42C66">
            <w:pPr>
              <w:pStyle w:val="TableText"/>
            </w:pPr>
            <w:r w:rsidRPr="00CB4CB0">
              <w:t>Hepatitis</w:t>
            </w:r>
          </w:p>
        </w:tc>
        <w:tc>
          <w:tcPr>
            <w:tcW w:w="673" w:type="dxa"/>
            <w:shd w:val="clear" w:color="auto" w:fill="auto"/>
          </w:tcPr>
          <w:p w14:paraId="4CC8ADC6" w14:textId="77777777" w:rsidR="00D54274" w:rsidRPr="00CB4CB0" w:rsidRDefault="00D54274" w:rsidP="00A42C66">
            <w:pPr>
              <w:pStyle w:val="TableText"/>
            </w:pPr>
            <w:r w:rsidRPr="00CB4CB0">
              <w:t>20</w:t>
            </w:r>
          </w:p>
        </w:tc>
        <w:tc>
          <w:tcPr>
            <w:tcW w:w="673" w:type="dxa"/>
            <w:shd w:val="clear" w:color="auto" w:fill="auto"/>
          </w:tcPr>
          <w:p w14:paraId="49BF5B8C" w14:textId="77777777" w:rsidR="00D54274" w:rsidRPr="00CB4CB0" w:rsidRDefault="00D54274" w:rsidP="00A42C66">
            <w:pPr>
              <w:pStyle w:val="TableText"/>
            </w:pPr>
            <w:r w:rsidRPr="00CB4CB0">
              <w:t>5.6</w:t>
            </w:r>
          </w:p>
        </w:tc>
        <w:tc>
          <w:tcPr>
            <w:tcW w:w="674" w:type="dxa"/>
            <w:shd w:val="clear" w:color="auto" w:fill="auto"/>
          </w:tcPr>
          <w:p w14:paraId="4D27E2CC" w14:textId="77777777" w:rsidR="00D54274" w:rsidRPr="00CB4CB0" w:rsidRDefault="00D54274" w:rsidP="00A42C66">
            <w:pPr>
              <w:pStyle w:val="TableText"/>
            </w:pPr>
            <w:r w:rsidRPr="00CB4CB0">
              <w:t>14</w:t>
            </w:r>
          </w:p>
        </w:tc>
        <w:tc>
          <w:tcPr>
            <w:tcW w:w="673" w:type="dxa"/>
            <w:shd w:val="clear" w:color="auto" w:fill="auto"/>
          </w:tcPr>
          <w:p w14:paraId="0E349D41" w14:textId="77777777" w:rsidR="00D54274" w:rsidRPr="00CB4CB0" w:rsidRDefault="00D54274" w:rsidP="00A42C66">
            <w:pPr>
              <w:pStyle w:val="TableText"/>
            </w:pPr>
            <w:r w:rsidRPr="00CB4CB0">
              <w:t>3.9</w:t>
            </w:r>
          </w:p>
        </w:tc>
        <w:tc>
          <w:tcPr>
            <w:tcW w:w="673" w:type="dxa"/>
            <w:shd w:val="clear" w:color="auto" w:fill="auto"/>
          </w:tcPr>
          <w:p w14:paraId="138184BB" w14:textId="77777777" w:rsidR="00D54274" w:rsidRPr="00CB4CB0" w:rsidRDefault="00D54274" w:rsidP="00A42C66">
            <w:pPr>
              <w:pStyle w:val="TableText"/>
            </w:pPr>
            <w:r w:rsidRPr="00CB4CB0">
              <w:t>9</w:t>
            </w:r>
          </w:p>
        </w:tc>
        <w:tc>
          <w:tcPr>
            <w:tcW w:w="674" w:type="dxa"/>
            <w:shd w:val="clear" w:color="auto" w:fill="auto"/>
          </w:tcPr>
          <w:p w14:paraId="6ACDC3A9" w14:textId="77777777" w:rsidR="00D54274" w:rsidRPr="00CB4CB0" w:rsidRDefault="00D54274" w:rsidP="00A42C66">
            <w:pPr>
              <w:pStyle w:val="TableText"/>
            </w:pPr>
            <w:r w:rsidRPr="00CB4CB0">
              <w:t>2.5</w:t>
            </w:r>
          </w:p>
        </w:tc>
        <w:tc>
          <w:tcPr>
            <w:tcW w:w="673" w:type="dxa"/>
            <w:shd w:val="clear" w:color="auto" w:fill="auto"/>
          </w:tcPr>
          <w:p w14:paraId="72D82067" w14:textId="77777777" w:rsidR="00D54274" w:rsidRPr="00CB4CB0" w:rsidRDefault="00D54274" w:rsidP="00A42C66">
            <w:pPr>
              <w:pStyle w:val="TableText"/>
            </w:pPr>
            <w:r w:rsidRPr="00CB4CB0">
              <w:t>4</w:t>
            </w:r>
          </w:p>
        </w:tc>
        <w:tc>
          <w:tcPr>
            <w:tcW w:w="674" w:type="dxa"/>
            <w:shd w:val="clear" w:color="auto" w:fill="auto"/>
          </w:tcPr>
          <w:p w14:paraId="686012EA" w14:textId="77777777" w:rsidR="00D54274" w:rsidRPr="00CB4CB0" w:rsidRDefault="00D54274" w:rsidP="00A42C66">
            <w:pPr>
              <w:pStyle w:val="TableText"/>
            </w:pPr>
            <w:r w:rsidRPr="00CB4CB0">
              <w:t>1.1</w:t>
            </w:r>
          </w:p>
        </w:tc>
      </w:tr>
      <w:tr w:rsidR="00D54274" w:rsidRPr="00CB4CB0" w14:paraId="5B12C996" w14:textId="77777777" w:rsidTr="00884F00">
        <w:trPr>
          <w:trHeight w:val="20"/>
        </w:trPr>
        <w:tc>
          <w:tcPr>
            <w:tcW w:w="3402" w:type="dxa"/>
            <w:shd w:val="clear" w:color="auto" w:fill="auto"/>
          </w:tcPr>
          <w:p w14:paraId="6B8746C5" w14:textId="77777777" w:rsidR="00D54274" w:rsidRPr="00CB4CB0" w:rsidRDefault="00D54274" w:rsidP="00A42C66">
            <w:pPr>
              <w:pStyle w:val="TableText"/>
            </w:pPr>
            <w:r w:rsidRPr="00CB4CB0">
              <w:t xml:space="preserve">Pneumonitis </w:t>
            </w:r>
          </w:p>
        </w:tc>
        <w:tc>
          <w:tcPr>
            <w:tcW w:w="673" w:type="dxa"/>
            <w:shd w:val="clear" w:color="auto" w:fill="auto"/>
          </w:tcPr>
          <w:p w14:paraId="3FB2F485" w14:textId="77777777" w:rsidR="00D54274" w:rsidRPr="00CB4CB0" w:rsidRDefault="00D54274" w:rsidP="00A42C66">
            <w:pPr>
              <w:pStyle w:val="TableText"/>
            </w:pPr>
            <w:r w:rsidRPr="00CB4CB0">
              <w:t>13</w:t>
            </w:r>
          </w:p>
        </w:tc>
        <w:tc>
          <w:tcPr>
            <w:tcW w:w="673" w:type="dxa"/>
            <w:shd w:val="clear" w:color="auto" w:fill="auto"/>
          </w:tcPr>
          <w:p w14:paraId="4F5B5D05" w14:textId="77777777" w:rsidR="00D54274" w:rsidRPr="00CB4CB0" w:rsidRDefault="00D54274" w:rsidP="00A42C66">
            <w:pPr>
              <w:pStyle w:val="TableText"/>
            </w:pPr>
            <w:r w:rsidRPr="00CB4CB0">
              <w:t>3.7</w:t>
            </w:r>
          </w:p>
        </w:tc>
        <w:tc>
          <w:tcPr>
            <w:tcW w:w="674" w:type="dxa"/>
            <w:shd w:val="clear" w:color="auto" w:fill="auto"/>
          </w:tcPr>
          <w:p w14:paraId="7F0C6653" w14:textId="77777777" w:rsidR="00D54274" w:rsidRPr="00CB4CB0" w:rsidRDefault="00D54274" w:rsidP="00A42C66">
            <w:pPr>
              <w:pStyle w:val="TableText"/>
            </w:pPr>
            <w:r w:rsidRPr="00CB4CB0">
              <w:t>2</w:t>
            </w:r>
          </w:p>
        </w:tc>
        <w:tc>
          <w:tcPr>
            <w:tcW w:w="673" w:type="dxa"/>
            <w:shd w:val="clear" w:color="auto" w:fill="auto"/>
          </w:tcPr>
          <w:p w14:paraId="19BE725E" w14:textId="77777777" w:rsidR="00D54274" w:rsidRPr="00CB4CB0" w:rsidRDefault="00D54274" w:rsidP="00A42C66">
            <w:pPr>
              <w:pStyle w:val="TableText"/>
            </w:pPr>
            <w:r w:rsidRPr="00CB4CB0">
              <w:t>0.6</w:t>
            </w:r>
          </w:p>
        </w:tc>
        <w:tc>
          <w:tcPr>
            <w:tcW w:w="673" w:type="dxa"/>
            <w:shd w:val="clear" w:color="auto" w:fill="auto"/>
          </w:tcPr>
          <w:p w14:paraId="3A364F80" w14:textId="77777777" w:rsidR="00D54274" w:rsidRPr="00CB4CB0" w:rsidRDefault="00D54274" w:rsidP="00A42C66">
            <w:pPr>
              <w:pStyle w:val="TableText"/>
            </w:pPr>
            <w:r w:rsidRPr="00CB4CB0">
              <w:t>6</w:t>
            </w:r>
          </w:p>
        </w:tc>
        <w:tc>
          <w:tcPr>
            <w:tcW w:w="674" w:type="dxa"/>
            <w:shd w:val="clear" w:color="auto" w:fill="auto"/>
          </w:tcPr>
          <w:p w14:paraId="5094A2B0" w14:textId="77777777" w:rsidR="00D54274" w:rsidRPr="00CB4CB0" w:rsidRDefault="00D54274" w:rsidP="00A42C66">
            <w:pPr>
              <w:pStyle w:val="TableText"/>
            </w:pPr>
            <w:r w:rsidRPr="00CB4CB0">
              <w:t>1.7</w:t>
            </w:r>
          </w:p>
        </w:tc>
        <w:tc>
          <w:tcPr>
            <w:tcW w:w="673" w:type="dxa"/>
            <w:shd w:val="clear" w:color="auto" w:fill="auto"/>
          </w:tcPr>
          <w:p w14:paraId="713214D3" w14:textId="77777777" w:rsidR="00D54274" w:rsidRPr="00CB4CB0" w:rsidRDefault="00D54274" w:rsidP="00A42C66">
            <w:pPr>
              <w:pStyle w:val="TableText"/>
            </w:pPr>
            <w:r w:rsidRPr="00CB4CB0">
              <w:t>2</w:t>
            </w:r>
          </w:p>
        </w:tc>
        <w:tc>
          <w:tcPr>
            <w:tcW w:w="674" w:type="dxa"/>
            <w:shd w:val="clear" w:color="auto" w:fill="auto"/>
          </w:tcPr>
          <w:p w14:paraId="2955C928" w14:textId="77777777" w:rsidR="00D54274" w:rsidRPr="00CB4CB0" w:rsidRDefault="00D54274" w:rsidP="00A42C66">
            <w:pPr>
              <w:pStyle w:val="TableText"/>
            </w:pPr>
            <w:r w:rsidRPr="00CB4CB0">
              <w:t>0.6</w:t>
            </w:r>
          </w:p>
        </w:tc>
      </w:tr>
      <w:tr w:rsidR="00D54274" w:rsidRPr="00CB4CB0" w14:paraId="5DA5FE78" w14:textId="77777777" w:rsidTr="00884F00">
        <w:trPr>
          <w:trHeight w:val="20"/>
        </w:trPr>
        <w:tc>
          <w:tcPr>
            <w:tcW w:w="3402" w:type="dxa"/>
            <w:shd w:val="clear" w:color="auto" w:fill="auto"/>
          </w:tcPr>
          <w:p w14:paraId="7ACC7953" w14:textId="77777777" w:rsidR="00D54274" w:rsidRPr="00CB4CB0" w:rsidRDefault="00D54274" w:rsidP="00A42C66">
            <w:pPr>
              <w:pStyle w:val="TableText"/>
            </w:pPr>
            <w:r w:rsidRPr="00CB4CB0">
              <w:t xml:space="preserve">Nephritis/renal dysfunction </w:t>
            </w:r>
          </w:p>
        </w:tc>
        <w:tc>
          <w:tcPr>
            <w:tcW w:w="673" w:type="dxa"/>
            <w:shd w:val="clear" w:color="auto" w:fill="auto"/>
          </w:tcPr>
          <w:p w14:paraId="11574C55" w14:textId="77777777" w:rsidR="00D54274" w:rsidRPr="00CB4CB0" w:rsidRDefault="00D54274" w:rsidP="00A42C66">
            <w:pPr>
              <w:pStyle w:val="TableText"/>
            </w:pPr>
            <w:r w:rsidRPr="00CB4CB0">
              <w:t>7</w:t>
            </w:r>
          </w:p>
        </w:tc>
        <w:tc>
          <w:tcPr>
            <w:tcW w:w="673" w:type="dxa"/>
            <w:shd w:val="clear" w:color="auto" w:fill="auto"/>
          </w:tcPr>
          <w:p w14:paraId="5D181100" w14:textId="77777777" w:rsidR="00D54274" w:rsidRPr="00CB4CB0" w:rsidRDefault="00D54274" w:rsidP="00A42C66">
            <w:pPr>
              <w:pStyle w:val="TableText"/>
            </w:pPr>
            <w:r w:rsidRPr="00CB4CB0">
              <w:t>2.0</w:t>
            </w:r>
          </w:p>
        </w:tc>
        <w:tc>
          <w:tcPr>
            <w:tcW w:w="674" w:type="dxa"/>
            <w:shd w:val="clear" w:color="auto" w:fill="auto"/>
          </w:tcPr>
          <w:p w14:paraId="7F5108B5" w14:textId="77777777" w:rsidR="00D54274" w:rsidRPr="00CB4CB0" w:rsidRDefault="00D54274" w:rsidP="00A42C66">
            <w:pPr>
              <w:pStyle w:val="TableText"/>
            </w:pPr>
            <w:r w:rsidRPr="00CB4CB0">
              <w:t>4</w:t>
            </w:r>
          </w:p>
        </w:tc>
        <w:tc>
          <w:tcPr>
            <w:tcW w:w="673" w:type="dxa"/>
            <w:shd w:val="clear" w:color="auto" w:fill="auto"/>
          </w:tcPr>
          <w:p w14:paraId="62C8148B" w14:textId="77777777" w:rsidR="00D54274" w:rsidRPr="00CB4CB0" w:rsidRDefault="00D54274" w:rsidP="00A42C66">
            <w:pPr>
              <w:pStyle w:val="TableText"/>
            </w:pPr>
            <w:r w:rsidRPr="00CB4CB0">
              <w:t>1.1</w:t>
            </w:r>
          </w:p>
        </w:tc>
        <w:tc>
          <w:tcPr>
            <w:tcW w:w="673" w:type="dxa"/>
            <w:shd w:val="clear" w:color="auto" w:fill="auto"/>
          </w:tcPr>
          <w:p w14:paraId="30C8FE06" w14:textId="77777777" w:rsidR="00D54274" w:rsidRPr="00CB4CB0" w:rsidRDefault="00D54274" w:rsidP="00A42C66">
            <w:pPr>
              <w:pStyle w:val="TableText"/>
            </w:pPr>
            <w:r w:rsidRPr="00CB4CB0">
              <w:t>5</w:t>
            </w:r>
          </w:p>
        </w:tc>
        <w:tc>
          <w:tcPr>
            <w:tcW w:w="674" w:type="dxa"/>
            <w:shd w:val="clear" w:color="auto" w:fill="auto"/>
          </w:tcPr>
          <w:p w14:paraId="29C60ABE" w14:textId="77777777" w:rsidR="00D54274" w:rsidRPr="00CB4CB0" w:rsidRDefault="00D54274" w:rsidP="00A42C66">
            <w:pPr>
              <w:pStyle w:val="TableText"/>
            </w:pPr>
            <w:r w:rsidRPr="00CB4CB0">
              <w:t>1.4</w:t>
            </w:r>
          </w:p>
        </w:tc>
        <w:tc>
          <w:tcPr>
            <w:tcW w:w="673" w:type="dxa"/>
            <w:shd w:val="clear" w:color="auto" w:fill="auto"/>
          </w:tcPr>
          <w:p w14:paraId="2D96D758" w14:textId="77777777" w:rsidR="00D54274" w:rsidRPr="00CB4CB0" w:rsidRDefault="00D54274" w:rsidP="00A42C66">
            <w:pPr>
              <w:pStyle w:val="TableText"/>
            </w:pPr>
            <w:r w:rsidRPr="00CB4CB0">
              <w:t>4</w:t>
            </w:r>
          </w:p>
        </w:tc>
        <w:tc>
          <w:tcPr>
            <w:tcW w:w="674" w:type="dxa"/>
            <w:shd w:val="clear" w:color="auto" w:fill="auto"/>
          </w:tcPr>
          <w:p w14:paraId="0ED006EA" w14:textId="77777777" w:rsidR="00D54274" w:rsidRPr="00CB4CB0" w:rsidRDefault="00D54274" w:rsidP="00A42C66">
            <w:pPr>
              <w:pStyle w:val="TableText"/>
            </w:pPr>
            <w:r w:rsidRPr="00CB4CB0">
              <w:t>1.1</w:t>
            </w:r>
          </w:p>
        </w:tc>
      </w:tr>
      <w:tr w:rsidR="00D54274" w:rsidRPr="00CB4CB0" w14:paraId="6BE364E1" w14:textId="77777777" w:rsidTr="00884F00">
        <w:trPr>
          <w:trHeight w:val="20"/>
        </w:trPr>
        <w:tc>
          <w:tcPr>
            <w:tcW w:w="3402" w:type="dxa"/>
            <w:shd w:val="clear" w:color="auto" w:fill="auto"/>
          </w:tcPr>
          <w:p w14:paraId="44203C07" w14:textId="77777777" w:rsidR="00D54274" w:rsidRPr="00CB4CB0" w:rsidRDefault="00D54274" w:rsidP="00A42C66">
            <w:pPr>
              <w:pStyle w:val="TableText"/>
            </w:pPr>
            <w:r w:rsidRPr="00CB4CB0">
              <w:t>Rash</w:t>
            </w:r>
          </w:p>
        </w:tc>
        <w:tc>
          <w:tcPr>
            <w:tcW w:w="673" w:type="dxa"/>
            <w:shd w:val="clear" w:color="auto" w:fill="auto"/>
          </w:tcPr>
          <w:p w14:paraId="23ABAABE" w14:textId="77777777" w:rsidR="00D54274" w:rsidRPr="00CB4CB0" w:rsidRDefault="00D54274" w:rsidP="00A42C66">
            <w:pPr>
              <w:pStyle w:val="TableText"/>
            </w:pPr>
            <w:r w:rsidRPr="00CB4CB0">
              <w:t>33</w:t>
            </w:r>
          </w:p>
        </w:tc>
        <w:tc>
          <w:tcPr>
            <w:tcW w:w="673" w:type="dxa"/>
            <w:shd w:val="clear" w:color="auto" w:fill="auto"/>
          </w:tcPr>
          <w:p w14:paraId="0BC1F878" w14:textId="77777777" w:rsidR="00D54274" w:rsidRPr="00CB4CB0" w:rsidRDefault="00D54274" w:rsidP="00A42C66">
            <w:pPr>
              <w:pStyle w:val="TableText"/>
            </w:pPr>
            <w:r w:rsidRPr="00CB4CB0">
              <w:t>9.3</w:t>
            </w:r>
          </w:p>
        </w:tc>
        <w:tc>
          <w:tcPr>
            <w:tcW w:w="674" w:type="dxa"/>
            <w:shd w:val="clear" w:color="auto" w:fill="auto"/>
          </w:tcPr>
          <w:p w14:paraId="2B65C4F9" w14:textId="77777777" w:rsidR="00D54274" w:rsidRPr="00CB4CB0" w:rsidRDefault="00D54274" w:rsidP="00A42C66">
            <w:pPr>
              <w:pStyle w:val="TableText"/>
            </w:pPr>
            <w:r w:rsidRPr="00CB4CB0">
              <w:t>2</w:t>
            </w:r>
          </w:p>
        </w:tc>
        <w:tc>
          <w:tcPr>
            <w:tcW w:w="673" w:type="dxa"/>
            <w:shd w:val="clear" w:color="auto" w:fill="auto"/>
          </w:tcPr>
          <w:p w14:paraId="7A4252D4" w14:textId="77777777" w:rsidR="00D54274" w:rsidRPr="00CB4CB0" w:rsidRDefault="00D54274" w:rsidP="00A42C66">
            <w:pPr>
              <w:pStyle w:val="TableText"/>
            </w:pPr>
            <w:r w:rsidRPr="00CB4CB0">
              <w:t>0.6</w:t>
            </w:r>
          </w:p>
        </w:tc>
        <w:tc>
          <w:tcPr>
            <w:tcW w:w="673" w:type="dxa"/>
            <w:shd w:val="clear" w:color="auto" w:fill="auto"/>
          </w:tcPr>
          <w:p w14:paraId="5D708F11" w14:textId="77777777" w:rsidR="00D54274" w:rsidRPr="00CB4CB0" w:rsidRDefault="00D54274" w:rsidP="00A42C66">
            <w:pPr>
              <w:pStyle w:val="TableText"/>
            </w:pPr>
            <w:r w:rsidRPr="00CB4CB0">
              <w:t>24</w:t>
            </w:r>
          </w:p>
        </w:tc>
        <w:tc>
          <w:tcPr>
            <w:tcW w:w="674" w:type="dxa"/>
            <w:shd w:val="clear" w:color="auto" w:fill="auto"/>
          </w:tcPr>
          <w:p w14:paraId="422D6959" w14:textId="77777777" w:rsidR="00D54274" w:rsidRPr="00CB4CB0" w:rsidRDefault="00D54274" w:rsidP="00A42C66">
            <w:pPr>
              <w:pStyle w:val="TableText"/>
            </w:pPr>
            <w:r w:rsidRPr="00CB4CB0">
              <w:t>6.7</w:t>
            </w:r>
          </w:p>
        </w:tc>
        <w:tc>
          <w:tcPr>
            <w:tcW w:w="673" w:type="dxa"/>
            <w:shd w:val="clear" w:color="auto" w:fill="auto"/>
          </w:tcPr>
          <w:p w14:paraId="632F63EE" w14:textId="77777777" w:rsidR="00D54274" w:rsidRPr="00CB4CB0" w:rsidRDefault="00D54274" w:rsidP="00A42C66">
            <w:pPr>
              <w:pStyle w:val="TableText"/>
            </w:pPr>
            <w:r w:rsidRPr="00CB4CB0">
              <w:t>5</w:t>
            </w:r>
          </w:p>
        </w:tc>
        <w:tc>
          <w:tcPr>
            <w:tcW w:w="674" w:type="dxa"/>
            <w:shd w:val="clear" w:color="auto" w:fill="auto"/>
          </w:tcPr>
          <w:p w14:paraId="2C19912E" w14:textId="77777777" w:rsidR="00D54274" w:rsidRPr="00CB4CB0" w:rsidRDefault="00D54274" w:rsidP="00A42C66">
            <w:pPr>
              <w:pStyle w:val="TableText"/>
            </w:pPr>
            <w:r w:rsidRPr="00CB4CB0">
              <w:t>1.4</w:t>
            </w:r>
          </w:p>
        </w:tc>
      </w:tr>
      <w:tr w:rsidR="00D54274" w:rsidRPr="00CB4CB0" w14:paraId="709AC5F3" w14:textId="77777777" w:rsidTr="00884F00">
        <w:trPr>
          <w:trHeight w:val="20"/>
        </w:trPr>
        <w:tc>
          <w:tcPr>
            <w:tcW w:w="3402" w:type="dxa"/>
            <w:shd w:val="clear" w:color="auto" w:fill="auto"/>
          </w:tcPr>
          <w:p w14:paraId="0DA1FD68" w14:textId="77777777" w:rsidR="00D54274" w:rsidRPr="00CB4CB0" w:rsidRDefault="00D54274" w:rsidP="00A42C66">
            <w:pPr>
              <w:pStyle w:val="TableText"/>
            </w:pPr>
            <w:r w:rsidRPr="00CB4CB0">
              <w:t>Hypersensitivity/infusion reactions</w:t>
            </w:r>
          </w:p>
        </w:tc>
        <w:tc>
          <w:tcPr>
            <w:tcW w:w="673" w:type="dxa"/>
            <w:shd w:val="clear" w:color="auto" w:fill="auto"/>
          </w:tcPr>
          <w:p w14:paraId="1A834764" w14:textId="77777777" w:rsidR="00D54274" w:rsidRPr="00CB4CB0" w:rsidRDefault="00D54274" w:rsidP="00A42C66">
            <w:pPr>
              <w:pStyle w:val="TableText"/>
            </w:pPr>
            <w:r w:rsidRPr="00CB4CB0">
              <w:t>4</w:t>
            </w:r>
          </w:p>
        </w:tc>
        <w:tc>
          <w:tcPr>
            <w:tcW w:w="673" w:type="dxa"/>
            <w:shd w:val="clear" w:color="auto" w:fill="auto"/>
          </w:tcPr>
          <w:p w14:paraId="39567B2E" w14:textId="77777777" w:rsidR="00D54274" w:rsidRPr="00CB4CB0" w:rsidRDefault="00D54274" w:rsidP="00A42C66">
            <w:pPr>
              <w:pStyle w:val="TableText"/>
            </w:pPr>
            <w:r w:rsidRPr="00CB4CB0">
              <w:t>1.1</w:t>
            </w:r>
          </w:p>
        </w:tc>
        <w:tc>
          <w:tcPr>
            <w:tcW w:w="674" w:type="dxa"/>
            <w:shd w:val="clear" w:color="auto" w:fill="auto"/>
          </w:tcPr>
          <w:p w14:paraId="45C061DC" w14:textId="77777777" w:rsidR="00D54274" w:rsidRPr="00CB4CB0" w:rsidRDefault="00D54274" w:rsidP="00A42C66">
            <w:pPr>
              <w:pStyle w:val="TableText"/>
            </w:pPr>
            <w:r w:rsidRPr="00CB4CB0">
              <w:t>0</w:t>
            </w:r>
          </w:p>
        </w:tc>
        <w:tc>
          <w:tcPr>
            <w:tcW w:w="673" w:type="dxa"/>
            <w:shd w:val="clear" w:color="auto" w:fill="auto"/>
          </w:tcPr>
          <w:p w14:paraId="00772013" w14:textId="77777777" w:rsidR="00D54274" w:rsidRPr="00CB4CB0" w:rsidRDefault="00D54274" w:rsidP="00A42C66">
            <w:pPr>
              <w:pStyle w:val="TableText"/>
            </w:pPr>
            <w:r w:rsidRPr="00CB4CB0">
              <w:t>0</w:t>
            </w:r>
          </w:p>
        </w:tc>
        <w:tc>
          <w:tcPr>
            <w:tcW w:w="673" w:type="dxa"/>
            <w:shd w:val="clear" w:color="auto" w:fill="auto"/>
          </w:tcPr>
          <w:p w14:paraId="751622A2" w14:textId="77777777" w:rsidR="00D54274" w:rsidRPr="00CB4CB0" w:rsidRDefault="00D54274" w:rsidP="00A42C66">
            <w:pPr>
              <w:pStyle w:val="TableText"/>
            </w:pPr>
            <w:r w:rsidRPr="00CB4CB0">
              <w:t>4</w:t>
            </w:r>
          </w:p>
        </w:tc>
        <w:tc>
          <w:tcPr>
            <w:tcW w:w="674" w:type="dxa"/>
            <w:shd w:val="clear" w:color="auto" w:fill="auto"/>
          </w:tcPr>
          <w:p w14:paraId="6D3BA7B9" w14:textId="77777777" w:rsidR="00D54274" w:rsidRPr="00CB4CB0" w:rsidRDefault="00D54274" w:rsidP="00A42C66">
            <w:pPr>
              <w:pStyle w:val="TableText"/>
            </w:pPr>
            <w:r w:rsidRPr="00CB4CB0">
              <w:t>1.1</w:t>
            </w:r>
          </w:p>
        </w:tc>
        <w:tc>
          <w:tcPr>
            <w:tcW w:w="673" w:type="dxa"/>
            <w:shd w:val="clear" w:color="auto" w:fill="auto"/>
          </w:tcPr>
          <w:p w14:paraId="249E47CA" w14:textId="77777777" w:rsidR="00D54274" w:rsidRPr="00CB4CB0" w:rsidRDefault="00D54274" w:rsidP="00A42C66">
            <w:pPr>
              <w:pStyle w:val="TableText"/>
            </w:pPr>
            <w:r w:rsidRPr="00CB4CB0">
              <w:t>0</w:t>
            </w:r>
          </w:p>
        </w:tc>
        <w:tc>
          <w:tcPr>
            <w:tcW w:w="674" w:type="dxa"/>
            <w:shd w:val="clear" w:color="auto" w:fill="auto"/>
          </w:tcPr>
          <w:p w14:paraId="6734D34B" w14:textId="77777777" w:rsidR="00D54274" w:rsidRPr="00CB4CB0" w:rsidRDefault="00D54274" w:rsidP="00A42C66">
            <w:pPr>
              <w:pStyle w:val="TableText"/>
            </w:pPr>
            <w:r w:rsidRPr="00CB4CB0">
              <w:t>0</w:t>
            </w:r>
          </w:p>
        </w:tc>
      </w:tr>
      <w:bookmarkEnd w:id="114"/>
      <w:bookmarkEnd w:id="115"/>
      <w:tr w:rsidR="00D54274" w:rsidRPr="00CB4CB0" w14:paraId="78F578BD" w14:textId="77777777" w:rsidTr="00884F00">
        <w:trPr>
          <w:trHeight w:val="313"/>
        </w:trPr>
        <w:tc>
          <w:tcPr>
            <w:tcW w:w="8789" w:type="dxa"/>
            <w:gridSpan w:val="9"/>
            <w:shd w:val="clear" w:color="auto" w:fill="auto"/>
            <w:vAlign w:val="bottom"/>
          </w:tcPr>
          <w:p w14:paraId="7CA8F615" w14:textId="77777777" w:rsidR="00D54274" w:rsidRPr="00CB4CB0" w:rsidRDefault="00D54274" w:rsidP="00A42C66">
            <w:pPr>
              <w:pStyle w:val="TableText"/>
            </w:pPr>
            <w:r w:rsidRPr="00CB4CB0">
              <w:t>Endocrine IMAEs within 100 days of last dose</w:t>
            </w:r>
          </w:p>
        </w:tc>
      </w:tr>
      <w:tr w:rsidR="00D54274" w:rsidRPr="00CB4CB0" w14:paraId="6C90363A" w14:textId="77777777" w:rsidTr="00884F00">
        <w:trPr>
          <w:trHeight w:val="20"/>
        </w:trPr>
        <w:tc>
          <w:tcPr>
            <w:tcW w:w="3402" w:type="dxa"/>
            <w:shd w:val="clear" w:color="auto" w:fill="auto"/>
          </w:tcPr>
          <w:p w14:paraId="7C25E743" w14:textId="77777777" w:rsidR="00D54274" w:rsidRPr="00CB4CB0" w:rsidRDefault="00D54274" w:rsidP="00A42C66">
            <w:pPr>
              <w:pStyle w:val="TableText"/>
            </w:pPr>
            <w:r w:rsidRPr="00CB4CB0">
              <w:t>Adrenal insufficiency</w:t>
            </w:r>
          </w:p>
        </w:tc>
        <w:tc>
          <w:tcPr>
            <w:tcW w:w="673" w:type="dxa"/>
            <w:shd w:val="clear" w:color="auto" w:fill="auto"/>
          </w:tcPr>
          <w:p w14:paraId="5525F83D" w14:textId="77777777" w:rsidR="00D54274" w:rsidRPr="00CB4CB0" w:rsidRDefault="00D54274" w:rsidP="00A42C66">
            <w:pPr>
              <w:pStyle w:val="TableText"/>
            </w:pPr>
            <w:r w:rsidRPr="00CB4CB0">
              <w:t>15</w:t>
            </w:r>
          </w:p>
        </w:tc>
        <w:tc>
          <w:tcPr>
            <w:tcW w:w="673" w:type="dxa"/>
            <w:shd w:val="clear" w:color="auto" w:fill="auto"/>
          </w:tcPr>
          <w:p w14:paraId="2CB12297" w14:textId="77777777" w:rsidR="00D54274" w:rsidRPr="00CB4CB0" w:rsidRDefault="00D54274" w:rsidP="00A42C66">
            <w:pPr>
              <w:pStyle w:val="TableText"/>
            </w:pPr>
            <w:r w:rsidRPr="00CB4CB0">
              <w:t>4.2</w:t>
            </w:r>
          </w:p>
        </w:tc>
        <w:tc>
          <w:tcPr>
            <w:tcW w:w="674" w:type="dxa"/>
            <w:shd w:val="clear" w:color="auto" w:fill="auto"/>
          </w:tcPr>
          <w:p w14:paraId="2288B9F2" w14:textId="77777777" w:rsidR="00D54274" w:rsidRPr="00CB4CB0" w:rsidRDefault="00D54274" w:rsidP="00A42C66">
            <w:pPr>
              <w:pStyle w:val="TableText"/>
            </w:pPr>
            <w:r w:rsidRPr="00CB4CB0">
              <w:t>5</w:t>
            </w:r>
          </w:p>
        </w:tc>
        <w:tc>
          <w:tcPr>
            <w:tcW w:w="673" w:type="dxa"/>
            <w:shd w:val="clear" w:color="auto" w:fill="auto"/>
          </w:tcPr>
          <w:p w14:paraId="72525081" w14:textId="77777777" w:rsidR="00D54274" w:rsidRPr="00CB4CB0" w:rsidRDefault="00D54274" w:rsidP="00A42C66">
            <w:pPr>
              <w:pStyle w:val="TableText"/>
            </w:pPr>
            <w:r w:rsidRPr="00CB4CB0">
              <w:t>1.4</w:t>
            </w:r>
          </w:p>
        </w:tc>
        <w:tc>
          <w:tcPr>
            <w:tcW w:w="673" w:type="dxa"/>
            <w:shd w:val="clear" w:color="auto" w:fill="auto"/>
          </w:tcPr>
          <w:p w14:paraId="5AE74BAA" w14:textId="77777777" w:rsidR="00D54274" w:rsidRPr="00CB4CB0" w:rsidRDefault="00D54274" w:rsidP="00A42C66">
            <w:pPr>
              <w:pStyle w:val="TableText"/>
            </w:pPr>
            <w:r w:rsidRPr="00CB4CB0">
              <w:t>3</w:t>
            </w:r>
          </w:p>
        </w:tc>
        <w:tc>
          <w:tcPr>
            <w:tcW w:w="674" w:type="dxa"/>
            <w:shd w:val="clear" w:color="auto" w:fill="auto"/>
          </w:tcPr>
          <w:p w14:paraId="764E9AB0" w14:textId="77777777" w:rsidR="00D54274" w:rsidRPr="00CB4CB0" w:rsidRDefault="00D54274" w:rsidP="00A42C66">
            <w:pPr>
              <w:pStyle w:val="TableText"/>
            </w:pPr>
            <w:r w:rsidRPr="00CB4CB0">
              <w:t>0.8</w:t>
            </w:r>
          </w:p>
        </w:tc>
        <w:tc>
          <w:tcPr>
            <w:tcW w:w="673" w:type="dxa"/>
            <w:shd w:val="clear" w:color="auto" w:fill="auto"/>
          </w:tcPr>
          <w:p w14:paraId="40913B49" w14:textId="77777777" w:rsidR="00D54274" w:rsidRPr="00CB4CB0" w:rsidRDefault="00D54274" w:rsidP="00A42C66">
            <w:pPr>
              <w:pStyle w:val="TableText"/>
            </w:pPr>
            <w:r w:rsidRPr="00CB4CB0">
              <w:t>0</w:t>
            </w:r>
          </w:p>
        </w:tc>
        <w:tc>
          <w:tcPr>
            <w:tcW w:w="674" w:type="dxa"/>
            <w:shd w:val="clear" w:color="auto" w:fill="auto"/>
          </w:tcPr>
          <w:p w14:paraId="1E9C4859" w14:textId="77777777" w:rsidR="00D54274" w:rsidRPr="00CB4CB0" w:rsidRDefault="00D54274" w:rsidP="00A42C66">
            <w:pPr>
              <w:pStyle w:val="TableText"/>
            </w:pPr>
            <w:r w:rsidRPr="00CB4CB0">
              <w:t>0</w:t>
            </w:r>
          </w:p>
        </w:tc>
      </w:tr>
      <w:tr w:rsidR="00D54274" w:rsidRPr="00CB4CB0" w14:paraId="3B394BD3" w14:textId="77777777" w:rsidTr="00884F00">
        <w:trPr>
          <w:trHeight w:val="20"/>
        </w:trPr>
        <w:tc>
          <w:tcPr>
            <w:tcW w:w="3402" w:type="dxa"/>
            <w:shd w:val="clear" w:color="auto" w:fill="auto"/>
          </w:tcPr>
          <w:p w14:paraId="737D3C3D" w14:textId="77777777" w:rsidR="00D54274" w:rsidRPr="00CB4CB0" w:rsidRDefault="00D54274" w:rsidP="00A42C66">
            <w:pPr>
              <w:pStyle w:val="TableText"/>
            </w:pPr>
            <w:proofErr w:type="spellStart"/>
            <w:r w:rsidRPr="00CB4CB0">
              <w:t>Hypophysitis</w:t>
            </w:r>
            <w:proofErr w:type="spellEnd"/>
          </w:p>
        </w:tc>
        <w:tc>
          <w:tcPr>
            <w:tcW w:w="673" w:type="dxa"/>
            <w:shd w:val="clear" w:color="auto" w:fill="auto"/>
          </w:tcPr>
          <w:p w14:paraId="267CE307" w14:textId="77777777" w:rsidR="00D54274" w:rsidRPr="00CB4CB0" w:rsidRDefault="00D54274" w:rsidP="00A42C66">
            <w:pPr>
              <w:pStyle w:val="TableText"/>
            </w:pPr>
            <w:r w:rsidRPr="00CB4CB0">
              <w:t>9</w:t>
            </w:r>
          </w:p>
        </w:tc>
        <w:tc>
          <w:tcPr>
            <w:tcW w:w="673" w:type="dxa"/>
            <w:shd w:val="clear" w:color="auto" w:fill="auto"/>
          </w:tcPr>
          <w:p w14:paraId="201E488E" w14:textId="77777777" w:rsidR="00D54274" w:rsidRPr="00CB4CB0" w:rsidRDefault="00D54274" w:rsidP="00A42C66">
            <w:pPr>
              <w:pStyle w:val="TableText"/>
            </w:pPr>
            <w:r w:rsidRPr="00CB4CB0">
              <w:t>2.5</w:t>
            </w:r>
          </w:p>
        </w:tc>
        <w:tc>
          <w:tcPr>
            <w:tcW w:w="674" w:type="dxa"/>
            <w:shd w:val="clear" w:color="auto" w:fill="auto"/>
          </w:tcPr>
          <w:p w14:paraId="44D22E3A" w14:textId="77777777" w:rsidR="00D54274" w:rsidRPr="00CB4CB0" w:rsidRDefault="00D54274" w:rsidP="00A42C66">
            <w:pPr>
              <w:pStyle w:val="TableText"/>
            </w:pPr>
            <w:r w:rsidRPr="00CB4CB0">
              <w:t>1</w:t>
            </w:r>
          </w:p>
        </w:tc>
        <w:tc>
          <w:tcPr>
            <w:tcW w:w="673" w:type="dxa"/>
            <w:shd w:val="clear" w:color="auto" w:fill="auto"/>
          </w:tcPr>
          <w:p w14:paraId="4E443B37" w14:textId="77777777" w:rsidR="00D54274" w:rsidRPr="00CB4CB0" w:rsidRDefault="00D54274" w:rsidP="00A42C66">
            <w:pPr>
              <w:pStyle w:val="TableText"/>
            </w:pPr>
            <w:r w:rsidRPr="00CB4CB0">
              <w:t>0.3</w:t>
            </w:r>
          </w:p>
        </w:tc>
        <w:tc>
          <w:tcPr>
            <w:tcW w:w="673" w:type="dxa"/>
            <w:shd w:val="clear" w:color="auto" w:fill="auto"/>
          </w:tcPr>
          <w:p w14:paraId="2AA08626" w14:textId="77777777" w:rsidR="00D54274" w:rsidRPr="00CB4CB0" w:rsidRDefault="00D54274" w:rsidP="00A42C66">
            <w:pPr>
              <w:pStyle w:val="TableText"/>
            </w:pPr>
            <w:r w:rsidRPr="00CB4CB0">
              <w:t>3</w:t>
            </w:r>
          </w:p>
        </w:tc>
        <w:tc>
          <w:tcPr>
            <w:tcW w:w="674" w:type="dxa"/>
            <w:shd w:val="clear" w:color="auto" w:fill="auto"/>
          </w:tcPr>
          <w:p w14:paraId="6B47191F" w14:textId="77777777" w:rsidR="00D54274" w:rsidRPr="00CB4CB0" w:rsidRDefault="00D54274" w:rsidP="00A42C66">
            <w:pPr>
              <w:pStyle w:val="TableText"/>
            </w:pPr>
            <w:r w:rsidRPr="00CB4CB0">
              <w:t>0.8</w:t>
            </w:r>
          </w:p>
        </w:tc>
        <w:tc>
          <w:tcPr>
            <w:tcW w:w="673" w:type="dxa"/>
            <w:shd w:val="clear" w:color="auto" w:fill="auto"/>
          </w:tcPr>
          <w:p w14:paraId="219BB8BE" w14:textId="77777777" w:rsidR="00D54274" w:rsidRPr="00CB4CB0" w:rsidRDefault="00D54274" w:rsidP="00A42C66">
            <w:pPr>
              <w:pStyle w:val="TableText"/>
            </w:pPr>
            <w:r w:rsidRPr="00CB4CB0">
              <w:t>1</w:t>
            </w:r>
          </w:p>
        </w:tc>
        <w:tc>
          <w:tcPr>
            <w:tcW w:w="674" w:type="dxa"/>
            <w:shd w:val="clear" w:color="auto" w:fill="auto"/>
          </w:tcPr>
          <w:p w14:paraId="6E0B1BE0" w14:textId="77777777" w:rsidR="00D54274" w:rsidRPr="00CB4CB0" w:rsidRDefault="00D54274" w:rsidP="00A42C66">
            <w:pPr>
              <w:pStyle w:val="TableText"/>
            </w:pPr>
            <w:r w:rsidRPr="00CB4CB0">
              <w:t>0.3</w:t>
            </w:r>
          </w:p>
        </w:tc>
      </w:tr>
      <w:tr w:rsidR="00D54274" w:rsidRPr="00CB4CB0" w14:paraId="1EE0ADCB" w14:textId="77777777" w:rsidTr="00884F00">
        <w:trPr>
          <w:trHeight w:val="20"/>
        </w:trPr>
        <w:tc>
          <w:tcPr>
            <w:tcW w:w="3402" w:type="dxa"/>
            <w:shd w:val="clear" w:color="auto" w:fill="auto"/>
          </w:tcPr>
          <w:p w14:paraId="201EA36A" w14:textId="77777777" w:rsidR="00D54274" w:rsidRPr="00CB4CB0" w:rsidRDefault="00D54274" w:rsidP="00A42C66">
            <w:pPr>
              <w:pStyle w:val="TableText"/>
            </w:pPr>
            <w:r w:rsidRPr="00CB4CB0">
              <w:t>Hypothyroidism</w:t>
            </w:r>
          </w:p>
        </w:tc>
        <w:tc>
          <w:tcPr>
            <w:tcW w:w="673" w:type="dxa"/>
            <w:shd w:val="clear" w:color="auto" w:fill="auto"/>
          </w:tcPr>
          <w:p w14:paraId="526FD11B" w14:textId="77777777" w:rsidR="00D54274" w:rsidRPr="00CB4CB0" w:rsidRDefault="00D54274" w:rsidP="00A42C66">
            <w:pPr>
              <w:pStyle w:val="TableText"/>
            </w:pPr>
            <w:r w:rsidRPr="00CB4CB0">
              <w:t xml:space="preserve">59 </w:t>
            </w:r>
          </w:p>
        </w:tc>
        <w:tc>
          <w:tcPr>
            <w:tcW w:w="673" w:type="dxa"/>
            <w:shd w:val="clear" w:color="auto" w:fill="auto"/>
          </w:tcPr>
          <w:p w14:paraId="26B5CA1C" w14:textId="77777777" w:rsidR="00D54274" w:rsidRPr="00CB4CB0" w:rsidRDefault="00D54274" w:rsidP="00A42C66">
            <w:pPr>
              <w:pStyle w:val="TableText"/>
            </w:pPr>
            <w:r w:rsidRPr="00CB4CB0">
              <w:t>16.6</w:t>
            </w:r>
          </w:p>
        </w:tc>
        <w:tc>
          <w:tcPr>
            <w:tcW w:w="674" w:type="dxa"/>
            <w:shd w:val="clear" w:color="auto" w:fill="auto"/>
          </w:tcPr>
          <w:p w14:paraId="27174AB9" w14:textId="77777777" w:rsidR="00D54274" w:rsidRPr="00CB4CB0" w:rsidRDefault="00D54274" w:rsidP="00A42C66">
            <w:pPr>
              <w:pStyle w:val="TableText"/>
            </w:pPr>
            <w:r w:rsidRPr="00CB4CB0">
              <w:t>0</w:t>
            </w:r>
          </w:p>
        </w:tc>
        <w:tc>
          <w:tcPr>
            <w:tcW w:w="673" w:type="dxa"/>
            <w:shd w:val="clear" w:color="auto" w:fill="auto"/>
          </w:tcPr>
          <w:p w14:paraId="439A57AD" w14:textId="77777777" w:rsidR="00D54274" w:rsidRPr="00CB4CB0" w:rsidRDefault="00D54274" w:rsidP="00A42C66">
            <w:pPr>
              <w:pStyle w:val="TableText"/>
            </w:pPr>
            <w:r w:rsidRPr="00CB4CB0">
              <w:t>0</w:t>
            </w:r>
          </w:p>
        </w:tc>
        <w:tc>
          <w:tcPr>
            <w:tcW w:w="673" w:type="dxa"/>
            <w:shd w:val="clear" w:color="auto" w:fill="auto"/>
          </w:tcPr>
          <w:p w14:paraId="132251BB" w14:textId="77777777" w:rsidR="00D54274" w:rsidRPr="00CB4CB0" w:rsidRDefault="00D54274" w:rsidP="00A42C66">
            <w:pPr>
              <w:pStyle w:val="TableText"/>
            </w:pPr>
            <w:r w:rsidRPr="00CB4CB0">
              <w:t>47</w:t>
            </w:r>
          </w:p>
        </w:tc>
        <w:tc>
          <w:tcPr>
            <w:tcW w:w="674" w:type="dxa"/>
            <w:shd w:val="clear" w:color="auto" w:fill="auto"/>
          </w:tcPr>
          <w:p w14:paraId="26A62A28" w14:textId="77777777" w:rsidR="00D54274" w:rsidRPr="00CB4CB0" w:rsidRDefault="00D54274" w:rsidP="00A42C66">
            <w:pPr>
              <w:pStyle w:val="TableText"/>
            </w:pPr>
            <w:r w:rsidRPr="00CB4CB0">
              <w:t>13.1</w:t>
            </w:r>
          </w:p>
        </w:tc>
        <w:tc>
          <w:tcPr>
            <w:tcW w:w="673" w:type="dxa"/>
            <w:shd w:val="clear" w:color="auto" w:fill="auto"/>
          </w:tcPr>
          <w:p w14:paraId="4FAC1559" w14:textId="77777777" w:rsidR="00D54274" w:rsidRPr="00CB4CB0" w:rsidRDefault="00D54274" w:rsidP="00A42C66">
            <w:pPr>
              <w:pStyle w:val="TableText"/>
            </w:pPr>
            <w:r w:rsidRPr="00CB4CB0">
              <w:t>0</w:t>
            </w:r>
          </w:p>
        </w:tc>
        <w:tc>
          <w:tcPr>
            <w:tcW w:w="674" w:type="dxa"/>
            <w:shd w:val="clear" w:color="auto" w:fill="auto"/>
          </w:tcPr>
          <w:p w14:paraId="17BBE8DA" w14:textId="77777777" w:rsidR="00D54274" w:rsidRPr="00CB4CB0" w:rsidRDefault="00D54274" w:rsidP="00A42C66">
            <w:pPr>
              <w:pStyle w:val="TableText"/>
            </w:pPr>
            <w:r w:rsidRPr="00CB4CB0">
              <w:t>0</w:t>
            </w:r>
          </w:p>
        </w:tc>
      </w:tr>
      <w:tr w:rsidR="00D54274" w:rsidRPr="00CB4CB0" w14:paraId="41CEAA35" w14:textId="77777777" w:rsidTr="00884F00">
        <w:trPr>
          <w:trHeight w:val="20"/>
        </w:trPr>
        <w:tc>
          <w:tcPr>
            <w:tcW w:w="3402" w:type="dxa"/>
            <w:shd w:val="clear" w:color="auto" w:fill="auto"/>
          </w:tcPr>
          <w:p w14:paraId="2C77F9DF" w14:textId="77777777" w:rsidR="00D54274" w:rsidRPr="00CB4CB0" w:rsidRDefault="00D54274" w:rsidP="00A42C66">
            <w:pPr>
              <w:pStyle w:val="TableText"/>
            </w:pPr>
            <w:r w:rsidRPr="00CB4CB0">
              <w:t>Thyroiditis</w:t>
            </w:r>
          </w:p>
        </w:tc>
        <w:tc>
          <w:tcPr>
            <w:tcW w:w="673" w:type="dxa"/>
            <w:shd w:val="clear" w:color="auto" w:fill="auto"/>
          </w:tcPr>
          <w:p w14:paraId="11B9B189" w14:textId="77777777" w:rsidR="00D54274" w:rsidRPr="00CB4CB0" w:rsidRDefault="00D54274" w:rsidP="00A42C66">
            <w:pPr>
              <w:pStyle w:val="TableText"/>
            </w:pPr>
            <w:r w:rsidRPr="00CB4CB0">
              <w:t xml:space="preserve">10 </w:t>
            </w:r>
          </w:p>
        </w:tc>
        <w:tc>
          <w:tcPr>
            <w:tcW w:w="673" w:type="dxa"/>
            <w:shd w:val="clear" w:color="auto" w:fill="auto"/>
          </w:tcPr>
          <w:p w14:paraId="1BDCA03A" w14:textId="77777777" w:rsidR="00D54274" w:rsidRPr="00CB4CB0" w:rsidRDefault="00D54274" w:rsidP="00A42C66">
            <w:pPr>
              <w:pStyle w:val="TableText"/>
            </w:pPr>
            <w:r w:rsidRPr="00CB4CB0">
              <w:t>2.8</w:t>
            </w:r>
          </w:p>
        </w:tc>
        <w:tc>
          <w:tcPr>
            <w:tcW w:w="674" w:type="dxa"/>
            <w:shd w:val="clear" w:color="auto" w:fill="auto"/>
          </w:tcPr>
          <w:p w14:paraId="79FB812C" w14:textId="77777777" w:rsidR="00D54274" w:rsidRPr="00CB4CB0" w:rsidRDefault="00D54274" w:rsidP="00A42C66">
            <w:pPr>
              <w:pStyle w:val="TableText"/>
            </w:pPr>
            <w:r w:rsidRPr="00CB4CB0">
              <w:t>0</w:t>
            </w:r>
          </w:p>
        </w:tc>
        <w:tc>
          <w:tcPr>
            <w:tcW w:w="673" w:type="dxa"/>
            <w:shd w:val="clear" w:color="auto" w:fill="auto"/>
          </w:tcPr>
          <w:p w14:paraId="4097665A" w14:textId="77777777" w:rsidR="00D54274" w:rsidRPr="00CB4CB0" w:rsidRDefault="00D54274" w:rsidP="00A42C66">
            <w:pPr>
              <w:pStyle w:val="TableText"/>
            </w:pPr>
            <w:r w:rsidRPr="00CB4CB0">
              <w:t>0</w:t>
            </w:r>
          </w:p>
        </w:tc>
        <w:tc>
          <w:tcPr>
            <w:tcW w:w="673" w:type="dxa"/>
            <w:shd w:val="clear" w:color="auto" w:fill="auto"/>
          </w:tcPr>
          <w:p w14:paraId="0B3E5DCB" w14:textId="77777777" w:rsidR="00D54274" w:rsidRPr="00CB4CB0" w:rsidRDefault="00D54274" w:rsidP="00A42C66">
            <w:pPr>
              <w:pStyle w:val="TableText"/>
            </w:pPr>
            <w:r w:rsidRPr="00CB4CB0">
              <w:t>5</w:t>
            </w:r>
          </w:p>
        </w:tc>
        <w:tc>
          <w:tcPr>
            <w:tcW w:w="674" w:type="dxa"/>
            <w:shd w:val="clear" w:color="auto" w:fill="auto"/>
          </w:tcPr>
          <w:p w14:paraId="72A0F914" w14:textId="77777777" w:rsidR="00D54274" w:rsidRPr="00CB4CB0" w:rsidRDefault="00D54274" w:rsidP="00A42C66">
            <w:pPr>
              <w:pStyle w:val="TableText"/>
            </w:pPr>
            <w:r w:rsidRPr="00CB4CB0">
              <w:t>1.4</w:t>
            </w:r>
          </w:p>
        </w:tc>
        <w:tc>
          <w:tcPr>
            <w:tcW w:w="673" w:type="dxa"/>
            <w:shd w:val="clear" w:color="auto" w:fill="auto"/>
          </w:tcPr>
          <w:p w14:paraId="24806748" w14:textId="77777777" w:rsidR="00D54274" w:rsidRPr="00CB4CB0" w:rsidRDefault="00D54274" w:rsidP="00A42C66">
            <w:pPr>
              <w:pStyle w:val="TableText"/>
            </w:pPr>
            <w:r w:rsidRPr="00CB4CB0">
              <w:t>0</w:t>
            </w:r>
          </w:p>
        </w:tc>
        <w:tc>
          <w:tcPr>
            <w:tcW w:w="674" w:type="dxa"/>
            <w:shd w:val="clear" w:color="auto" w:fill="auto"/>
          </w:tcPr>
          <w:p w14:paraId="6D070819" w14:textId="77777777" w:rsidR="00D54274" w:rsidRPr="00CB4CB0" w:rsidRDefault="00D54274" w:rsidP="00A42C66">
            <w:pPr>
              <w:pStyle w:val="TableText"/>
            </w:pPr>
            <w:r w:rsidRPr="00CB4CB0">
              <w:t>0</w:t>
            </w:r>
          </w:p>
        </w:tc>
      </w:tr>
      <w:tr w:rsidR="00D54274" w:rsidRPr="00CB4CB0" w14:paraId="4CB33256" w14:textId="77777777" w:rsidTr="00884F00">
        <w:trPr>
          <w:trHeight w:val="20"/>
        </w:trPr>
        <w:tc>
          <w:tcPr>
            <w:tcW w:w="3402" w:type="dxa"/>
            <w:shd w:val="clear" w:color="auto" w:fill="auto"/>
          </w:tcPr>
          <w:p w14:paraId="3064884C" w14:textId="77777777" w:rsidR="00D54274" w:rsidRPr="00CB4CB0" w:rsidRDefault="00D54274" w:rsidP="00A42C66">
            <w:pPr>
              <w:pStyle w:val="TableText"/>
            </w:pPr>
            <w:r w:rsidRPr="00CB4CB0">
              <w:t>Hyperthyroidism</w:t>
            </w:r>
          </w:p>
        </w:tc>
        <w:tc>
          <w:tcPr>
            <w:tcW w:w="673" w:type="dxa"/>
            <w:shd w:val="clear" w:color="auto" w:fill="auto"/>
          </w:tcPr>
          <w:p w14:paraId="1BCDABAC" w14:textId="77777777" w:rsidR="00D54274" w:rsidRPr="00CB4CB0" w:rsidRDefault="00D54274" w:rsidP="00A42C66">
            <w:pPr>
              <w:pStyle w:val="TableText"/>
            </w:pPr>
            <w:r w:rsidRPr="00CB4CB0">
              <w:t xml:space="preserve">22 </w:t>
            </w:r>
          </w:p>
        </w:tc>
        <w:tc>
          <w:tcPr>
            <w:tcW w:w="673" w:type="dxa"/>
            <w:shd w:val="clear" w:color="auto" w:fill="auto"/>
          </w:tcPr>
          <w:p w14:paraId="3C3F93B7" w14:textId="77777777" w:rsidR="00D54274" w:rsidRPr="00CB4CB0" w:rsidRDefault="00D54274" w:rsidP="00A42C66">
            <w:pPr>
              <w:pStyle w:val="TableText"/>
            </w:pPr>
            <w:r w:rsidRPr="00CB4CB0">
              <w:t>6.2</w:t>
            </w:r>
          </w:p>
        </w:tc>
        <w:tc>
          <w:tcPr>
            <w:tcW w:w="674" w:type="dxa"/>
            <w:shd w:val="clear" w:color="auto" w:fill="auto"/>
          </w:tcPr>
          <w:p w14:paraId="6E12B017" w14:textId="77777777" w:rsidR="00D54274" w:rsidRPr="00CB4CB0" w:rsidRDefault="00D54274" w:rsidP="00A42C66">
            <w:pPr>
              <w:pStyle w:val="TableText"/>
            </w:pPr>
            <w:r w:rsidRPr="00CB4CB0">
              <w:t>0</w:t>
            </w:r>
          </w:p>
        </w:tc>
        <w:tc>
          <w:tcPr>
            <w:tcW w:w="673" w:type="dxa"/>
            <w:shd w:val="clear" w:color="auto" w:fill="auto"/>
          </w:tcPr>
          <w:p w14:paraId="5DFA4FAD" w14:textId="77777777" w:rsidR="00D54274" w:rsidRPr="00CB4CB0" w:rsidRDefault="00D54274" w:rsidP="00A42C66">
            <w:pPr>
              <w:pStyle w:val="TableText"/>
            </w:pPr>
            <w:r w:rsidRPr="00CB4CB0">
              <w:t>0</w:t>
            </w:r>
          </w:p>
        </w:tc>
        <w:tc>
          <w:tcPr>
            <w:tcW w:w="673" w:type="dxa"/>
            <w:shd w:val="clear" w:color="auto" w:fill="auto"/>
          </w:tcPr>
          <w:p w14:paraId="66CF7A49" w14:textId="77777777" w:rsidR="00D54274" w:rsidRPr="00CB4CB0" w:rsidRDefault="00D54274" w:rsidP="00A42C66">
            <w:pPr>
              <w:pStyle w:val="TableText"/>
            </w:pPr>
            <w:r w:rsidRPr="00CB4CB0">
              <w:t>24</w:t>
            </w:r>
          </w:p>
        </w:tc>
        <w:tc>
          <w:tcPr>
            <w:tcW w:w="674" w:type="dxa"/>
            <w:shd w:val="clear" w:color="auto" w:fill="auto"/>
          </w:tcPr>
          <w:p w14:paraId="40932593" w14:textId="77777777" w:rsidR="00D54274" w:rsidRPr="00CB4CB0" w:rsidRDefault="00D54274" w:rsidP="00A42C66">
            <w:pPr>
              <w:pStyle w:val="TableText"/>
            </w:pPr>
            <w:r w:rsidRPr="00CB4CB0">
              <w:t>6.7</w:t>
            </w:r>
          </w:p>
        </w:tc>
        <w:tc>
          <w:tcPr>
            <w:tcW w:w="673" w:type="dxa"/>
            <w:shd w:val="clear" w:color="auto" w:fill="auto"/>
          </w:tcPr>
          <w:p w14:paraId="6815572F" w14:textId="77777777" w:rsidR="00D54274" w:rsidRPr="00CB4CB0" w:rsidRDefault="00D54274" w:rsidP="00A42C66">
            <w:pPr>
              <w:pStyle w:val="TableText"/>
            </w:pPr>
            <w:r w:rsidRPr="00CB4CB0">
              <w:t>0</w:t>
            </w:r>
          </w:p>
        </w:tc>
        <w:tc>
          <w:tcPr>
            <w:tcW w:w="674" w:type="dxa"/>
            <w:shd w:val="clear" w:color="auto" w:fill="auto"/>
          </w:tcPr>
          <w:p w14:paraId="15BE9DAA" w14:textId="77777777" w:rsidR="00D54274" w:rsidRPr="00CB4CB0" w:rsidRDefault="00D54274" w:rsidP="00A42C66">
            <w:pPr>
              <w:pStyle w:val="TableText"/>
            </w:pPr>
            <w:r w:rsidRPr="00CB4CB0">
              <w:t>0</w:t>
            </w:r>
          </w:p>
        </w:tc>
      </w:tr>
      <w:tr w:rsidR="00D54274" w:rsidRPr="00CB4CB0" w14:paraId="0FD44900" w14:textId="77777777" w:rsidTr="00884F00">
        <w:trPr>
          <w:trHeight w:val="20"/>
        </w:trPr>
        <w:tc>
          <w:tcPr>
            <w:tcW w:w="3402" w:type="dxa"/>
            <w:shd w:val="clear" w:color="auto" w:fill="auto"/>
          </w:tcPr>
          <w:p w14:paraId="119EF432" w14:textId="77777777" w:rsidR="00D54274" w:rsidRPr="00CB4CB0" w:rsidRDefault="00D54274" w:rsidP="00A42C66">
            <w:pPr>
              <w:pStyle w:val="TableText"/>
            </w:pPr>
            <w:r w:rsidRPr="00CB4CB0">
              <w:t>Diabetes mellitus</w:t>
            </w:r>
          </w:p>
        </w:tc>
        <w:tc>
          <w:tcPr>
            <w:tcW w:w="673" w:type="dxa"/>
            <w:shd w:val="clear" w:color="auto" w:fill="auto"/>
          </w:tcPr>
          <w:p w14:paraId="1A0AEBAC" w14:textId="77777777" w:rsidR="00D54274" w:rsidRPr="00CB4CB0" w:rsidRDefault="00D54274" w:rsidP="00A42C66">
            <w:pPr>
              <w:pStyle w:val="TableText"/>
            </w:pPr>
            <w:r w:rsidRPr="00CB4CB0">
              <w:t>1</w:t>
            </w:r>
          </w:p>
        </w:tc>
        <w:tc>
          <w:tcPr>
            <w:tcW w:w="673" w:type="dxa"/>
            <w:shd w:val="clear" w:color="auto" w:fill="auto"/>
          </w:tcPr>
          <w:p w14:paraId="2FFFE03B" w14:textId="77777777" w:rsidR="00D54274" w:rsidRPr="00CB4CB0" w:rsidRDefault="00D54274" w:rsidP="00A42C66">
            <w:pPr>
              <w:pStyle w:val="TableText"/>
            </w:pPr>
            <w:r w:rsidRPr="00CB4CB0">
              <w:t>0.3</w:t>
            </w:r>
          </w:p>
        </w:tc>
        <w:tc>
          <w:tcPr>
            <w:tcW w:w="674" w:type="dxa"/>
            <w:shd w:val="clear" w:color="auto" w:fill="auto"/>
          </w:tcPr>
          <w:p w14:paraId="0649FA80" w14:textId="77777777" w:rsidR="00D54274" w:rsidRPr="00CB4CB0" w:rsidRDefault="00D54274" w:rsidP="00A42C66">
            <w:pPr>
              <w:pStyle w:val="TableText"/>
            </w:pPr>
            <w:r w:rsidRPr="00CB4CB0">
              <w:t>1</w:t>
            </w:r>
          </w:p>
        </w:tc>
        <w:tc>
          <w:tcPr>
            <w:tcW w:w="673" w:type="dxa"/>
            <w:shd w:val="clear" w:color="auto" w:fill="auto"/>
          </w:tcPr>
          <w:p w14:paraId="5F1BA36A" w14:textId="77777777" w:rsidR="00D54274" w:rsidRPr="00CB4CB0" w:rsidRDefault="00D54274" w:rsidP="00A42C66">
            <w:pPr>
              <w:pStyle w:val="TableText"/>
            </w:pPr>
            <w:r w:rsidRPr="00CB4CB0">
              <w:t>0.3</w:t>
            </w:r>
          </w:p>
        </w:tc>
        <w:tc>
          <w:tcPr>
            <w:tcW w:w="673" w:type="dxa"/>
            <w:shd w:val="clear" w:color="auto" w:fill="auto"/>
          </w:tcPr>
          <w:p w14:paraId="42590C13" w14:textId="77777777" w:rsidR="00D54274" w:rsidRPr="00CB4CB0" w:rsidRDefault="00D54274" w:rsidP="00A42C66">
            <w:pPr>
              <w:pStyle w:val="TableText"/>
            </w:pPr>
            <w:r w:rsidRPr="00CB4CB0">
              <w:t>2</w:t>
            </w:r>
          </w:p>
        </w:tc>
        <w:tc>
          <w:tcPr>
            <w:tcW w:w="674" w:type="dxa"/>
            <w:shd w:val="clear" w:color="auto" w:fill="auto"/>
          </w:tcPr>
          <w:p w14:paraId="6D310453" w14:textId="77777777" w:rsidR="00D54274" w:rsidRPr="00CB4CB0" w:rsidRDefault="00D54274" w:rsidP="00A42C66">
            <w:pPr>
              <w:pStyle w:val="TableText"/>
            </w:pPr>
            <w:r w:rsidRPr="00CB4CB0">
              <w:t>0.6</w:t>
            </w:r>
          </w:p>
        </w:tc>
        <w:tc>
          <w:tcPr>
            <w:tcW w:w="673" w:type="dxa"/>
            <w:shd w:val="clear" w:color="auto" w:fill="auto"/>
          </w:tcPr>
          <w:p w14:paraId="0C7FD2AD" w14:textId="77777777" w:rsidR="00D54274" w:rsidRPr="00CB4CB0" w:rsidRDefault="00D54274" w:rsidP="00A42C66">
            <w:pPr>
              <w:pStyle w:val="TableText"/>
            </w:pPr>
            <w:r w:rsidRPr="00CB4CB0">
              <w:t>1</w:t>
            </w:r>
          </w:p>
        </w:tc>
        <w:tc>
          <w:tcPr>
            <w:tcW w:w="674" w:type="dxa"/>
            <w:shd w:val="clear" w:color="auto" w:fill="auto"/>
          </w:tcPr>
          <w:p w14:paraId="1EC1E754" w14:textId="77777777" w:rsidR="00D54274" w:rsidRPr="00CB4CB0" w:rsidRDefault="00D54274" w:rsidP="00A42C66">
            <w:pPr>
              <w:pStyle w:val="TableText"/>
            </w:pPr>
            <w:r w:rsidRPr="00CB4CB0">
              <w:t>0.3</w:t>
            </w:r>
          </w:p>
        </w:tc>
      </w:tr>
      <w:tr w:rsidR="00D54274" w:rsidRPr="00CB4CB0" w14:paraId="71841F1C" w14:textId="77777777" w:rsidTr="00884F00">
        <w:trPr>
          <w:trHeight w:val="313"/>
        </w:trPr>
        <w:tc>
          <w:tcPr>
            <w:tcW w:w="8789" w:type="dxa"/>
            <w:gridSpan w:val="9"/>
            <w:shd w:val="clear" w:color="auto" w:fill="auto"/>
            <w:vAlign w:val="bottom"/>
          </w:tcPr>
          <w:p w14:paraId="5E01436A" w14:textId="77777777" w:rsidR="00D54274" w:rsidRPr="00CB4CB0" w:rsidRDefault="00D54274" w:rsidP="00A42C66">
            <w:pPr>
              <w:pStyle w:val="TableText"/>
            </w:pPr>
            <w:r w:rsidRPr="00CB4CB0">
              <w:t>OESIs within 100 days of last dose*</w:t>
            </w:r>
          </w:p>
        </w:tc>
      </w:tr>
      <w:tr w:rsidR="00D54274" w:rsidRPr="00CB4CB0" w14:paraId="53EEDE1A" w14:textId="77777777" w:rsidTr="00884F00">
        <w:trPr>
          <w:trHeight w:val="20"/>
        </w:trPr>
        <w:tc>
          <w:tcPr>
            <w:tcW w:w="3402" w:type="dxa"/>
            <w:shd w:val="clear" w:color="auto" w:fill="auto"/>
          </w:tcPr>
          <w:p w14:paraId="74AA5AB2" w14:textId="77777777" w:rsidR="00D54274" w:rsidRPr="00CB4CB0" w:rsidRDefault="00D54274" w:rsidP="00A42C66">
            <w:pPr>
              <w:pStyle w:val="TableText"/>
            </w:pPr>
            <w:r w:rsidRPr="00CB4CB0">
              <w:lastRenderedPageBreak/>
              <w:t>Troponin event</w:t>
            </w:r>
          </w:p>
        </w:tc>
        <w:tc>
          <w:tcPr>
            <w:tcW w:w="673" w:type="dxa"/>
            <w:shd w:val="clear" w:color="auto" w:fill="auto"/>
          </w:tcPr>
          <w:p w14:paraId="466663A9" w14:textId="77777777" w:rsidR="00D54274" w:rsidRPr="00CB4CB0" w:rsidRDefault="00D54274" w:rsidP="00A42C66">
            <w:pPr>
              <w:pStyle w:val="TableText"/>
            </w:pPr>
            <w:r w:rsidRPr="00CB4CB0">
              <w:t>41</w:t>
            </w:r>
          </w:p>
        </w:tc>
        <w:tc>
          <w:tcPr>
            <w:tcW w:w="673" w:type="dxa"/>
            <w:shd w:val="clear" w:color="auto" w:fill="auto"/>
          </w:tcPr>
          <w:p w14:paraId="610A341E" w14:textId="77777777" w:rsidR="00D54274" w:rsidRPr="00CB4CB0" w:rsidRDefault="00D54274" w:rsidP="00A42C66">
            <w:pPr>
              <w:pStyle w:val="TableText"/>
            </w:pPr>
            <w:r w:rsidRPr="00CB4CB0">
              <w:t>11.5</w:t>
            </w:r>
          </w:p>
        </w:tc>
        <w:tc>
          <w:tcPr>
            <w:tcW w:w="674" w:type="dxa"/>
            <w:shd w:val="clear" w:color="auto" w:fill="auto"/>
          </w:tcPr>
          <w:p w14:paraId="5F7E480D" w14:textId="77777777" w:rsidR="00D54274" w:rsidRPr="00CB4CB0" w:rsidRDefault="00D54274" w:rsidP="00A42C66">
            <w:pPr>
              <w:pStyle w:val="TableText"/>
            </w:pPr>
            <w:r w:rsidRPr="00CB4CB0">
              <w:t>1</w:t>
            </w:r>
          </w:p>
        </w:tc>
        <w:tc>
          <w:tcPr>
            <w:tcW w:w="673" w:type="dxa"/>
            <w:shd w:val="clear" w:color="auto" w:fill="auto"/>
          </w:tcPr>
          <w:p w14:paraId="0A9EFCCF" w14:textId="77777777" w:rsidR="00D54274" w:rsidRPr="00CB4CB0" w:rsidRDefault="00D54274" w:rsidP="00A42C66">
            <w:pPr>
              <w:pStyle w:val="TableText"/>
            </w:pPr>
            <w:r w:rsidRPr="00CB4CB0">
              <w:t>0.3</w:t>
            </w:r>
          </w:p>
        </w:tc>
        <w:tc>
          <w:tcPr>
            <w:tcW w:w="673" w:type="dxa"/>
            <w:shd w:val="clear" w:color="auto" w:fill="auto"/>
          </w:tcPr>
          <w:p w14:paraId="10553BC3" w14:textId="77777777" w:rsidR="00D54274" w:rsidRPr="00CB4CB0" w:rsidRDefault="00D54274" w:rsidP="00A42C66">
            <w:pPr>
              <w:pStyle w:val="TableText"/>
            </w:pPr>
            <w:r w:rsidRPr="00CB4CB0">
              <w:t>36</w:t>
            </w:r>
          </w:p>
        </w:tc>
        <w:tc>
          <w:tcPr>
            <w:tcW w:w="674" w:type="dxa"/>
            <w:shd w:val="clear" w:color="auto" w:fill="auto"/>
          </w:tcPr>
          <w:p w14:paraId="30E261E9" w14:textId="77777777" w:rsidR="00D54274" w:rsidRPr="00CB4CB0" w:rsidRDefault="00D54274" w:rsidP="00A42C66">
            <w:pPr>
              <w:pStyle w:val="TableText"/>
            </w:pPr>
            <w:r w:rsidRPr="00CB4CB0">
              <w:t>10.0</w:t>
            </w:r>
          </w:p>
        </w:tc>
        <w:tc>
          <w:tcPr>
            <w:tcW w:w="673" w:type="dxa"/>
            <w:shd w:val="clear" w:color="auto" w:fill="auto"/>
          </w:tcPr>
          <w:p w14:paraId="77D2F8B7" w14:textId="77777777" w:rsidR="00D54274" w:rsidRPr="00CB4CB0" w:rsidRDefault="00D54274" w:rsidP="00A42C66">
            <w:pPr>
              <w:pStyle w:val="TableText"/>
            </w:pPr>
            <w:r w:rsidRPr="00CB4CB0">
              <w:t>2</w:t>
            </w:r>
          </w:p>
        </w:tc>
        <w:tc>
          <w:tcPr>
            <w:tcW w:w="674" w:type="dxa"/>
            <w:shd w:val="clear" w:color="auto" w:fill="auto"/>
          </w:tcPr>
          <w:p w14:paraId="739C72D9" w14:textId="77777777" w:rsidR="00D54274" w:rsidRPr="00CB4CB0" w:rsidRDefault="00D54274" w:rsidP="00A42C66">
            <w:pPr>
              <w:pStyle w:val="TableText"/>
            </w:pPr>
            <w:r w:rsidRPr="00CB4CB0">
              <w:t>0.6</w:t>
            </w:r>
          </w:p>
        </w:tc>
      </w:tr>
      <w:tr w:rsidR="00D54274" w:rsidRPr="00CB4CB0" w14:paraId="69AE8381" w14:textId="77777777" w:rsidTr="00884F00">
        <w:trPr>
          <w:trHeight w:val="20"/>
        </w:trPr>
        <w:tc>
          <w:tcPr>
            <w:tcW w:w="3402" w:type="dxa"/>
            <w:shd w:val="clear" w:color="auto" w:fill="auto"/>
          </w:tcPr>
          <w:p w14:paraId="0DCB5B3F" w14:textId="77777777" w:rsidR="00D54274" w:rsidRPr="00CB4CB0" w:rsidRDefault="00D54274" w:rsidP="00A42C66">
            <w:pPr>
              <w:pStyle w:val="TableText"/>
            </w:pPr>
            <w:r w:rsidRPr="00CB4CB0">
              <w:t>Uveitis</w:t>
            </w:r>
          </w:p>
        </w:tc>
        <w:tc>
          <w:tcPr>
            <w:tcW w:w="673" w:type="dxa"/>
            <w:shd w:val="clear" w:color="auto" w:fill="auto"/>
          </w:tcPr>
          <w:p w14:paraId="4D784485" w14:textId="77777777" w:rsidR="00D54274" w:rsidRPr="00CB4CB0" w:rsidRDefault="00D54274" w:rsidP="00A42C66">
            <w:pPr>
              <w:pStyle w:val="TableText"/>
            </w:pPr>
            <w:r w:rsidRPr="00CB4CB0">
              <w:t>6</w:t>
            </w:r>
          </w:p>
        </w:tc>
        <w:tc>
          <w:tcPr>
            <w:tcW w:w="673" w:type="dxa"/>
            <w:shd w:val="clear" w:color="auto" w:fill="auto"/>
          </w:tcPr>
          <w:p w14:paraId="19E98AD8" w14:textId="77777777" w:rsidR="00D54274" w:rsidRPr="00CB4CB0" w:rsidRDefault="00D54274" w:rsidP="00A42C66">
            <w:pPr>
              <w:pStyle w:val="TableText"/>
            </w:pPr>
            <w:r w:rsidRPr="00CB4CB0">
              <w:t>1.7</w:t>
            </w:r>
          </w:p>
        </w:tc>
        <w:tc>
          <w:tcPr>
            <w:tcW w:w="674" w:type="dxa"/>
            <w:shd w:val="clear" w:color="auto" w:fill="auto"/>
          </w:tcPr>
          <w:p w14:paraId="2F8042DB" w14:textId="77777777" w:rsidR="00D54274" w:rsidRPr="00CB4CB0" w:rsidRDefault="00D54274" w:rsidP="00A42C66">
            <w:pPr>
              <w:pStyle w:val="TableText"/>
            </w:pPr>
            <w:r w:rsidRPr="00CB4CB0">
              <w:t>1</w:t>
            </w:r>
          </w:p>
        </w:tc>
        <w:tc>
          <w:tcPr>
            <w:tcW w:w="673" w:type="dxa"/>
            <w:shd w:val="clear" w:color="auto" w:fill="auto"/>
          </w:tcPr>
          <w:p w14:paraId="6691A2D9" w14:textId="77777777" w:rsidR="00D54274" w:rsidRPr="00CB4CB0" w:rsidRDefault="00D54274" w:rsidP="00A42C66">
            <w:pPr>
              <w:pStyle w:val="TableText"/>
            </w:pPr>
            <w:r w:rsidRPr="00CB4CB0">
              <w:t>0.3</w:t>
            </w:r>
          </w:p>
        </w:tc>
        <w:tc>
          <w:tcPr>
            <w:tcW w:w="673" w:type="dxa"/>
            <w:shd w:val="clear" w:color="auto" w:fill="auto"/>
          </w:tcPr>
          <w:p w14:paraId="7C21501F" w14:textId="77777777" w:rsidR="00D54274" w:rsidRPr="00CB4CB0" w:rsidRDefault="00D54274" w:rsidP="00A42C66">
            <w:pPr>
              <w:pStyle w:val="TableText"/>
            </w:pPr>
            <w:r w:rsidRPr="00CB4CB0">
              <w:t>5</w:t>
            </w:r>
          </w:p>
        </w:tc>
        <w:tc>
          <w:tcPr>
            <w:tcW w:w="674" w:type="dxa"/>
            <w:shd w:val="clear" w:color="auto" w:fill="auto"/>
          </w:tcPr>
          <w:p w14:paraId="250BA7AE" w14:textId="77777777" w:rsidR="00D54274" w:rsidRPr="00CB4CB0" w:rsidRDefault="00D54274" w:rsidP="00A42C66">
            <w:pPr>
              <w:pStyle w:val="TableText"/>
            </w:pPr>
            <w:r w:rsidRPr="00CB4CB0">
              <w:t>1.4</w:t>
            </w:r>
          </w:p>
        </w:tc>
        <w:tc>
          <w:tcPr>
            <w:tcW w:w="673" w:type="dxa"/>
            <w:shd w:val="clear" w:color="auto" w:fill="auto"/>
          </w:tcPr>
          <w:p w14:paraId="4B2C7FC6" w14:textId="77777777" w:rsidR="00D54274" w:rsidRPr="00CB4CB0" w:rsidRDefault="00D54274" w:rsidP="00A42C66">
            <w:pPr>
              <w:pStyle w:val="TableText"/>
            </w:pPr>
            <w:r w:rsidRPr="00CB4CB0">
              <w:t>2</w:t>
            </w:r>
          </w:p>
        </w:tc>
        <w:tc>
          <w:tcPr>
            <w:tcW w:w="674" w:type="dxa"/>
            <w:shd w:val="clear" w:color="auto" w:fill="auto"/>
          </w:tcPr>
          <w:p w14:paraId="052EA64D" w14:textId="77777777" w:rsidR="00D54274" w:rsidRPr="00CB4CB0" w:rsidRDefault="00D54274" w:rsidP="00A42C66">
            <w:pPr>
              <w:pStyle w:val="TableText"/>
            </w:pPr>
            <w:r w:rsidRPr="00CB4CB0">
              <w:t>0.6</w:t>
            </w:r>
          </w:p>
        </w:tc>
      </w:tr>
      <w:tr w:rsidR="00D54274" w:rsidRPr="00CB4CB0" w14:paraId="062D7F16" w14:textId="77777777" w:rsidTr="00884F00">
        <w:trPr>
          <w:trHeight w:val="20"/>
        </w:trPr>
        <w:tc>
          <w:tcPr>
            <w:tcW w:w="3402" w:type="dxa"/>
            <w:shd w:val="clear" w:color="auto" w:fill="auto"/>
          </w:tcPr>
          <w:p w14:paraId="66F7DA28" w14:textId="77777777" w:rsidR="00D54274" w:rsidRPr="00CB4CB0" w:rsidRDefault="00D54274" w:rsidP="00A42C66">
            <w:pPr>
              <w:pStyle w:val="TableText"/>
            </w:pPr>
            <w:r w:rsidRPr="00CB4CB0">
              <w:t>Myocarditis</w:t>
            </w:r>
          </w:p>
        </w:tc>
        <w:tc>
          <w:tcPr>
            <w:tcW w:w="673" w:type="dxa"/>
            <w:shd w:val="clear" w:color="auto" w:fill="auto"/>
          </w:tcPr>
          <w:p w14:paraId="4D7918C2" w14:textId="77777777" w:rsidR="00D54274" w:rsidRPr="00CB4CB0" w:rsidRDefault="00D54274" w:rsidP="00A42C66">
            <w:pPr>
              <w:pStyle w:val="TableText"/>
            </w:pPr>
            <w:r w:rsidRPr="00CB4CB0">
              <w:t>6</w:t>
            </w:r>
          </w:p>
        </w:tc>
        <w:tc>
          <w:tcPr>
            <w:tcW w:w="673" w:type="dxa"/>
            <w:shd w:val="clear" w:color="auto" w:fill="auto"/>
          </w:tcPr>
          <w:p w14:paraId="39B7975B" w14:textId="77777777" w:rsidR="00D54274" w:rsidRPr="00CB4CB0" w:rsidRDefault="00D54274" w:rsidP="00A42C66">
            <w:pPr>
              <w:pStyle w:val="TableText"/>
            </w:pPr>
            <w:r w:rsidRPr="00CB4CB0">
              <w:t>1.7</w:t>
            </w:r>
          </w:p>
        </w:tc>
        <w:tc>
          <w:tcPr>
            <w:tcW w:w="674" w:type="dxa"/>
            <w:shd w:val="clear" w:color="auto" w:fill="auto"/>
          </w:tcPr>
          <w:p w14:paraId="53363F78" w14:textId="77777777" w:rsidR="00D54274" w:rsidRPr="00CB4CB0" w:rsidRDefault="00D54274" w:rsidP="00A42C66">
            <w:pPr>
              <w:pStyle w:val="TableText"/>
            </w:pPr>
            <w:r w:rsidRPr="00CB4CB0">
              <w:t>2</w:t>
            </w:r>
          </w:p>
        </w:tc>
        <w:tc>
          <w:tcPr>
            <w:tcW w:w="673" w:type="dxa"/>
            <w:shd w:val="clear" w:color="auto" w:fill="auto"/>
          </w:tcPr>
          <w:p w14:paraId="632DCE63" w14:textId="77777777" w:rsidR="00D54274" w:rsidRPr="00CB4CB0" w:rsidRDefault="00D54274" w:rsidP="00A42C66">
            <w:pPr>
              <w:pStyle w:val="TableText"/>
            </w:pPr>
            <w:r w:rsidRPr="00CB4CB0">
              <w:t>0.6</w:t>
            </w:r>
          </w:p>
        </w:tc>
        <w:tc>
          <w:tcPr>
            <w:tcW w:w="673" w:type="dxa"/>
            <w:shd w:val="clear" w:color="auto" w:fill="auto"/>
          </w:tcPr>
          <w:p w14:paraId="6F53861A" w14:textId="77777777" w:rsidR="00D54274" w:rsidRPr="00CB4CB0" w:rsidRDefault="00D54274" w:rsidP="00A42C66">
            <w:pPr>
              <w:pStyle w:val="TableText"/>
            </w:pPr>
            <w:r w:rsidRPr="00CB4CB0">
              <w:t>2</w:t>
            </w:r>
          </w:p>
        </w:tc>
        <w:tc>
          <w:tcPr>
            <w:tcW w:w="674" w:type="dxa"/>
            <w:shd w:val="clear" w:color="auto" w:fill="auto"/>
          </w:tcPr>
          <w:p w14:paraId="724C80FD" w14:textId="77777777" w:rsidR="00D54274" w:rsidRPr="00CB4CB0" w:rsidRDefault="00D54274" w:rsidP="00A42C66">
            <w:pPr>
              <w:pStyle w:val="TableText"/>
            </w:pPr>
            <w:r w:rsidRPr="00CB4CB0">
              <w:t>0.6</w:t>
            </w:r>
          </w:p>
        </w:tc>
        <w:tc>
          <w:tcPr>
            <w:tcW w:w="673" w:type="dxa"/>
            <w:shd w:val="clear" w:color="auto" w:fill="auto"/>
          </w:tcPr>
          <w:p w14:paraId="7BFD5953" w14:textId="77777777" w:rsidR="00D54274" w:rsidRPr="00CB4CB0" w:rsidRDefault="00D54274" w:rsidP="00A42C66">
            <w:pPr>
              <w:pStyle w:val="TableText"/>
            </w:pPr>
            <w:r w:rsidRPr="00CB4CB0">
              <w:t>0</w:t>
            </w:r>
          </w:p>
        </w:tc>
        <w:tc>
          <w:tcPr>
            <w:tcW w:w="674" w:type="dxa"/>
            <w:shd w:val="clear" w:color="auto" w:fill="auto"/>
          </w:tcPr>
          <w:p w14:paraId="4158C940" w14:textId="77777777" w:rsidR="00D54274" w:rsidRPr="00CB4CB0" w:rsidRDefault="00D54274" w:rsidP="00A42C66">
            <w:pPr>
              <w:pStyle w:val="TableText"/>
            </w:pPr>
            <w:r w:rsidRPr="00CB4CB0">
              <w:t>0</w:t>
            </w:r>
          </w:p>
        </w:tc>
      </w:tr>
      <w:tr w:rsidR="00D54274" w:rsidRPr="00CB4CB0" w14:paraId="01F18780" w14:textId="77777777" w:rsidTr="00884F00">
        <w:trPr>
          <w:trHeight w:val="20"/>
        </w:trPr>
        <w:tc>
          <w:tcPr>
            <w:tcW w:w="3402" w:type="dxa"/>
            <w:shd w:val="clear" w:color="auto" w:fill="auto"/>
          </w:tcPr>
          <w:p w14:paraId="1A711283" w14:textId="77777777" w:rsidR="00D54274" w:rsidRPr="00CB4CB0" w:rsidRDefault="00D54274" w:rsidP="00A42C66">
            <w:pPr>
              <w:pStyle w:val="TableText"/>
            </w:pPr>
            <w:r w:rsidRPr="00CB4CB0">
              <w:t>Pancreatitis</w:t>
            </w:r>
          </w:p>
        </w:tc>
        <w:tc>
          <w:tcPr>
            <w:tcW w:w="673" w:type="dxa"/>
            <w:shd w:val="clear" w:color="auto" w:fill="auto"/>
          </w:tcPr>
          <w:p w14:paraId="7EDFE2CF" w14:textId="77777777" w:rsidR="00D54274" w:rsidRPr="00CB4CB0" w:rsidRDefault="00D54274" w:rsidP="00A42C66">
            <w:pPr>
              <w:pStyle w:val="TableText"/>
            </w:pPr>
            <w:r w:rsidRPr="00CB4CB0">
              <w:t>4</w:t>
            </w:r>
          </w:p>
        </w:tc>
        <w:tc>
          <w:tcPr>
            <w:tcW w:w="673" w:type="dxa"/>
            <w:shd w:val="clear" w:color="auto" w:fill="auto"/>
          </w:tcPr>
          <w:p w14:paraId="6E0D1A61" w14:textId="77777777" w:rsidR="00D54274" w:rsidRPr="00CB4CB0" w:rsidRDefault="00D54274" w:rsidP="00A42C66">
            <w:pPr>
              <w:pStyle w:val="TableText"/>
            </w:pPr>
            <w:r w:rsidRPr="00CB4CB0">
              <w:t>1.1</w:t>
            </w:r>
          </w:p>
        </w:tc>
        <w:tc>
          <w:tcPr>
            <w:tcW w:w="674" w:type="dxa"/>
            <w:shd w:val="clear" w:color="auto" w:fill="auto"/>
          </w:tcPr>
          <w:p w14:paraId="07B9ECC2" w14:textId="77777777" w:rsidR="00D54274" w:rsidRPr="00CB4CB0" w:rsidRDefault="00D54274" w:rsidP="00A42C66">
            <w:pPr>
              <w:pStyle w:val="TableText"/>
            </w:pPr>
            <w:r w:rsidRPr="00CB4CB0">
              <w:t>0</w:t>
            </w:r>
          </w:p>
        </w:tc>
        <w:tc>
          <w:tcPr>
            <w:tcW w:w="673" w:type="dxa"/>
            <w:shd w:val="clear" w:color="auto" w:fill="auto"/>
          </w:tcPr>
          <w:p w14:paraId="02BC8926" w14:textId="77777777" w:rsidR="00D54274" w:rsidRPr="00CB4CB0" w:rsidRDefault="00D54274" w:rsidP="00A42C66">
            <w:pPr>
              <w:pStyle w:val="TableText"/>
            </w:pPr>
            <w:r w:rsidRPr="00CB4CB0">
              <w:t>0</w:t>
            </w:r>
          </w:p>
        </w:tc>
        <w:tc>
          <w:tcPr>
            <w:tcW w:w="673" w:type="dxa"/>
            <w:shd w:val="clear" w:color="auto" w:fill="auto"/>
          </w:tcPr>
          <w:p w14:paraId="15E632E6" w14:textId="77777777" w:rsidR="00D54274" w:rsidRPr="00CB4CB0" w:rsidRDefault="00D54274" w:rsidP="00A42C66">
            <w:pPr>
              <w:pStyle w:val="TableText"/>
            </w:pPr>
            <w:r w:rsidRPr="00CB4CB0">
              <w:t>4</w:t>
            </w:r>
          </w:p>
        </w:tc>
        <w:tc>
          <w:tcPr>
            <w:tcW w:w="674" w:type="dxa"/>
            <w:shd w:val="clear" w:color="auto" w:fill="auto"/>
          </w:tcPr>
          <w:p w14:paraId="3B3B6EF5" w14:textId="77777777" w:rsidR="00D54274" w:rsidRPr="00CB4CB0" w:rsidRDefault="00D54274" w:rsidP="00A42C66">
            <w:pPr>
              <w:pStyle w:val="TableText"/>
            </w:pPr>
            <w:r w:rsidRPr="00CB4CB0">
              <w:t>1.1</w:t>
            </w:r>
          </w:p>
        </w:tc>
        <w:tc>
          <w:tcPr>
            <w:tcW w:w="673" w:type="dxa"/>
            <w:shd w:val="clear" w:color="auto" w:fill="auto"/>
          </w:tcPr>
          <w:p w14:paraId="721C8FD5" w14:textId="77777777" w:rsidR="00D54274" w:rsidRPr="00CB4CB0" w:rsidRDefault="00D54274" w:rsidP="00A42C66">
            <w:pPr>
              <w:pStyle w:val="TableText"/>
            </w:pPr>
            <w:r w:rsidRPr="00CB4CB0">
              <w:t>1</w:t>
            </w:r>
          </w:p>
        </w:tc>
        <w:tc>
          <w:tcPr>
            <w:tcW w:w="674" w:type="dxa"/>
            <w:shd w:val="clear" w:color="auto" w:fill="auto"/>
          </w:tcPr>
          <w:p w14:paraId="4CC6CE9F" w14:textId="77777777" w:rsidR="00D54274" w:rsidRPr="00CB4CB0" w:rsidRDefault="00D54274" w:rsidP="00A42C66">
            <w:pPr>
              <w:pStyle w:val="TableText"/>
            </w:pPr>
            <w:r w:rsidRPr="00CB4CB0">
              <w:t>0.3</w:t>
            </w:r>
          </w:p>
        </w:tc>
      </w:tr>
      <w:tr w:rsidR="00D54274" w:rsidRPr="00CB4CB0" w14:paraId="22E8BE15" w14:textId="77777777" w:rsidTr="00884F00">
        <w:trPr>
          <w:trHeight w:val="20"/>
        </w:trPr>
        <w:tc>
          <w:tcPr>
            <w:tcW w:w="3402" w:type="dxa"/>
            <w:shd w:val="clear" w:color="auto" w:fill="auto"/>
          </w:tcPr>
          <w:p w14:paraId="29E7F5E5" w14:textId="77777777" w:rsidR="00D54274" w:rsidRPr="00CB4CB0" w:rsidRDefault="00D54274" w:rsidP="00A42C66">
            <w:pPr>
              <w:pStyle w:val="TableText"/>
            </w:pPr>
            <w:r w:rsidRPr="00CB4CB0">
              <w:t>Encephalitis</w:t>
            </w:r>
          </w:p>
        </w:tc>
        <w:tc>
          <w:tcPr>
            <w:tcW w:w="673" w:type="dxa"/>
            <w:shd w:val="clear" w:color="auto" w:fill="auto"/>
          </w:tcPr>
          <w:p w14:paraId="42D1151B" w14:textId="77777777" w:rsidR="00D54274" w:rsidRPr="00CB4CB0" w:rsidRDefault="00D54274" w:rsidP="00A42C66">
            <w:pPr>
              <w:pStyle w:val="TableText"/>
            </w:pPr>
            <w:r w:rsidRPr="00CB4CB0">
              <w:t>2</w:t>
            </w:r>
          </w:p>
        </w:tc>
        <w:tc>
          <w:tcPr>
            <w:tcW w:w="673" w:type="dxa"/>
            <w:shd w:val="clear" w:color="auto" w:fill="auto"/>
          </w:tcPr>
          <w:p w14:paraId="6A237F27" w14:textId="77777777" w:rsidR="00D54274" w:rsidRPr="00CB4CB0" w:rsidRDefault="00D54274" w:rsidP="00A42C66">
            <w:pPr>
              <w:pStyle w:val="TableText"/>
            </w:pPr>
            <w:r w:rsidRPr="00CB4CB0">
              <w:t>0.6</w:t>
            </w:r>
          </w:p>
        </w:tc>
        <w:tc>
          <w:tcPr>
            <w:tcW w:w="674" w:type="dxa"/>
            <w:shd w:val="clear" w:color="auto" w:fill="auto"/>
          </w:tcPr>
          <w:p w14:paraId="6ED1ECE8" w14:textId="77777777" w:rsidR="00D54274" w:rsidRPr="00CB4CB0" w:rsidRDefault="00D54274" w:rsidP="00A42C66">
            <w:pPr>
              <w:pStyle w:val="TableText"/>
            </w:pPr>
            <w:r w:rsidRPr="00CB4CB0">
              <w:t>2</w:t>
            </w:r>
          </w:p>
        </w:tc>
        <w:tc>
          <w:tcPr>
            <w:tcW w:w="673" w:type="dxa"/>
            <w:shd w:val="clear" w:color="auto" w:fill="auto"/>
          </w:tcPr>
          <w:p w14:paraId="067A7626" w14:textId="77777777" w:rsidR="00D54274" w:rsidRPr="00CB4CB0" w:rsidRDefault="00D54274" w:rsidP="00A42C66">
            <w:pPr>
              <w:pStyle w:val="TableText"/>
            </w:pPr>
            <w:r w:rsidRPr="00CB4CB0">
              <w:t>0.6</w:t>
            </w:r>
          </w:p>
        </w:tc>
        <w:tc>
          <w:tcPr>
            <w:tcW w:w="673" w:type="dxa"/>
            <w:shd w:val="clear" w:color="auto" w:fill="auto"/>
          </w:tcPr>
          <w:p w14:paraId="231338A5" w14:textId="77777777" w:rsidR="00D54274" w:rsidRPr="00CB4CB0" w:rsidRDefault="00D54274" w:rsidP="00A42C66">
            <w:pPr>
              <w:pStyle w:val="TableText"/>
            </w:pPr>
            <w:r w:rsidRPr="00CB4CB0">
              <w:t>2</w:t>
            </w:r>
          </w:p>
        </w:tc>
        <w:tc>
          <w:tcPr>
            <w:tcW w:w="674" w:type="dxa"/>
            <w:shd w:val="clear" w:color="auto" w:fill="auto"/>
          </w:tcPr>
          <w:p w14:paraId="3370C532" w14:textId="77777777" w:rsidR="00D54274" w:rsidRPr="00CB4CB0" w:rsidRDefault="00D54274" w:rsidP="00A42C66">
            <w:pPr>
              <w:pStyle w:val="TableText"/>
            </w:pPr>
            <w:r w:rsidRPr="00CB4CB0">
              <w:t>0.6</w:t>
            </w:r>
          </w:p>
        </w:tc>
        <w:tc>
          <w:tcPr>
            <w:tcW w:w="673" w:type="dxa"/>
            <w:shd w:val="clear" w:color="auto" w:fill="auto"/>
          </w:tcPr>
          <w:p w14:paraId="0849CBEF" w14:textId="77777777" w:rsidR="00D54274" w:rsidRPr="00CB4CB0" w:rsidRDefault="00D54274" w:rsidP="00A42C66">
            <w:pPr>
              <w:pStyle w:val="TableText"/>
            </w:pPr>
            <w:r w:rsidRPr="00CB4CB0">
              <w:t>2</w:t>
            </w:r>
          </w:p>
        </w:tc>
        <w:tc>
          <w:tcPr>
            <w:tcW w:w="674" w:type="dxa"/>
            <w:shd w:val="clear" w:color="auto" w:fill="auto"/>
          </w:tcPr>
          <w:p w14:paraId="12214F37" w14:textId="77777777" w:rsidR="00D54274" w:rsidRPr="00CB4CB0" w:rsidRDefault="00D54274" w:rsidP="00A42C66">
            <w:pPr>
              <w:pStyle w:val="TableText"/>
            </w:pPr>
            <w:r w:rsidRPr="00CB4CB0">
              <w:t>0.6</w:t>
            </w:r>
          </w:p>
        </w:tc>
      </w:tr>
      <w:tr w:rsidR="00D54274" w:rsidRPr="00CB4CB0" w14:paraId="293AB5ED" w14:textId="77777777" w:rsidTr="00884F00">
        <w:trPr>
          <w:trHeight w:val="20"/>
        </w:trPr>
        <w:tc>
          <w:tcPr>
            <w:tcW w:w="3402" w:type="dxa"/>
            <w:shd w:val="clear" w:color="auto" w:fill="auto"/>
          </w:tcPr>
          <w:p w14:paraId="55D101F2" w14:textId="77777777" w:rsidR="00D54274" w:rsidRPr="00CB4CB0" w:rsidRDefault="00D54274" w:rsidP="00A42C66">
            <w:pPr>
              <w:pStyle w:val="TableText"/>
            </w:pPr>
            <w:r w:rsidRPr="00CB4CB0">
              <w:t>Myositis/rhabdomyolysis</w:t>
            </w:r>
          </w:p>
        </w:tc>
        <w:tc>
          <w:tcPr>
            <w:tcW w:w="673" w:type="dxa"/>
            <w:shd w:val="clear" w:color="auto" w:fill="auto"/>
          </w:tcPr>
          <w:p w14:paraId="4E448458" w14:textId="77777777" w:rsidR="00D54274" w:rsidRPr="00CB4CB0" w:rsidRDefault="00D54274" w:rsidP="00A42C66">
            <w:pPr>
              <w:pStyle w:val="TableText"/>
            </w:pPr>
            <w:r w:rsidRPr="00CB4CB0">
              <w:t>2</w:t>
            </w:r>
          </w:p>
        </w:tc>
        <w:tc>
          <w:tcPr>
            <w:tcW w:w="673" w:type="dxa"/>
            <w:shd w:val="clear" w:color="auto" w:fill="auto"/>
          </w:tcPr>
          <w:p w14:paraId="3595FF3B" w14:textId="77777777" w:rsidR="00D54274" w:rsidRPr="00CB4CB0" w:rsidRDefault="00D54274" w:rsidP="00A42C66">
            <w:pPr>
              <w:pStyle w:val="TableText"/>
            </w:pPr>
            <w:r w:rsidRPr="00CB4CB0">
              <w:t>0.6</w:t>
            </w:r>
          </w:p>
        </w:tc>
        <w:tc>
          <w:tcPr>
            <w:tcW w:w="674" w:type="dxa"/>
            <w:shd w:val="clear" w:color="auto" w:fill="auto"/>
          </w:tcPr>
          <w:p w14:paraId="566D5D6A" w14:textId="77777777" w:rsidR="00D54274" w:rsidRPr="00CB4CB0" w:rsidRDefault="00D54274" w:rsidP="00A42C66">
            <w:pPr>
              <w:pStyle w:val="TableText"/>
            </w:pPr>
            <w:r w:rsidRPr="00CB4CB0">
              <w:t>1</w:t>
            </w:r>
          </w:p>
        </w:tc>
        <w:tc>
          <w:tcPr>
            <w:tcW w:w="673" w:type="dxa"/>
            <w:shd w:val="clear" w:color="auto" w:fill="auto"/>
          </w:tcPr>
          <w:p w14:paraId="3CA58353" w14:textId="77777777" w:rsidR="00D54274" w:rsidRPr="00CB4CB0" w:rsidRDefault="00D54274" w:rsidP="00A42C66">
            <w:pPr>
              <w:pStyle w:val="TableText"/>
            </w:pPr>
            <w:r w:rsidRPr="00CB4CB0">
              <w:t>0.3</w:t>
            </w:r>
          </w:p>
        </w:tc>
        <w:tc>
          <w:tcPr>
            <w:tcW w:w="673" w:type="dxa"/>
            <w:shd w:val="clear" w:color="auto" w:fill="auto"/>
          </w:tcPr>
          <w:p w14:paraId="34ABDC7F" w14:textId="77777777" w:rsidR="00D54274" w:rsidRPr="00CB4CB0" w:rsidRDefault="00D54274" w:rsidP="00A42C66">
            <w:pPr>
              <w:pStyle w:val="TableText"/>
            </w:pPr>
            <w:r w:rsidRPr="00CB4CB0">
              <w:t>0</w:t>
            </w:r>
          </w:p>
        </w:tc>
        <w:tc>
          <w:tcPr>
            <w:tcW w:w="674" w:type="dxa"/>
            <w:shd w:val="clear" w:color="auto" w:fill="auto"/>
          </w:tcPr>
          <w:p w14:paraId="4036C9B5" w14:textId="77777777" w:rsidR="00D54274" w:rsidRPr="00CB4CB0" w:rsidRDefault="00D54274" w:rsidP="00A42C66">
            <w:pPr>
              <w:pStyle w:val="TableText"/>
            </w:pPr>
            <w:r w:rsidRPr="00CB4CB0">
              <w:t>0</w:t>
            </w:r>
          </w:p>
        </w:tc>
        <w:tc>
          <w:tcPr>
            <w:tcW w:w="673" w:type="dxa"/>
            <w:shd w:val="clear" w:color="auto" w:fill="auto"/>
          </w:tcPr>
          <w:p w14:paraId="10E4E8DE" w14:textId="77777777" w:rsidR="00D54274" w:rsidRPr="00CB4CB0" w:rsidRDefault="00D54274" w:rsidP="00A42C66">
            <w:pPr>
              <w:pStyle w:val="TableText"/>
            </w:pPr>
            <w:r w:rsidRPr="00CB4CB0">
              <w:t>0</w:t>
            </w:r>
          </w:p>
        </w:tc>
        <w:tc>
          <w:tcPr>
            <w:tcW w:w="674" w:type="dxa"/>
            <w:shd w:val="clear" w:color="auto" w:fill="auto"/>
          </w:tcPr>
          <w:p w14:paraId="38C64465" w14:textId="77777777" w:rsidR="00D54274" w:rsidRPr="00CB4CB0" w:rsidRDefault="00D54274" w:rsidP="00A42C66">
            <w:pPr>
              <w:pStyle w:val="TableText"/>
            </w:pPr>
            <w:r w:rsidRPr="00CB4CB0">
              <w:t>0</w:t>
            </w:r>
          </w:p>
        </w:tc>
      </w:tr>
      <w:tr w:rsidR="00D54274" w:rsidRPr="00CB4CB0" w14:paraId="0A77DE91" w14:textId="77777777" w:rsidTr="00884F00">
        <w:trPr>
          <w:trHeight w:val="20"/>
        </w:trPr>
        <w:tc>
          <w:tcPr>
            <w:tcW w:w="3402" w:type="dxa"/>
            <w:shd w:val="clear" w:color="auto" w:fill="auto"/>
          </w:tcPr>
          <w:p w14:paraId="4C6219C4" w14:textId="77777777" w:rsidR="00D54274" w:rsidRPr="00CB4CB0" w:rsidRDefault="00D54274" w:rsidP="00A42C66">
            <w:pPr>
              <w:pStyle w:val="TableText"/>
            </w:pPr>
            <w:r w:rsidRPr="00CB4CB0">
              <w:t>Guillain-Barré syndrome</w:t>
            </w:r>
          </w:p>
        </w:tc>
        <w:tc>
          <w:tcPr>
            <w:tcW w:w="673" w:type="dxa"/>
            <w:shd w:val="clear" w:color="auto" w:fill="auto"/>
          </w:tcPr>
          <w:p w14:paraId="6A8357C8" w14:textId="77777777" w:rsidR="00D54274" w:rsidRPr="00CB4CB0" w:rsidRDefault="00D54274" w:rsidP="00A42C66">
            <w:pPr>
              <w:pStyle w:val="TableText"/>
            </w:pPr>
            <w:r w:rsidRPr="00CB4CB0">
              <w:t>1</w:t>
            </w:r>
          </w:p>
        </w:tc>
        <w:tc>
          <w:tcPr>
            <w:tcW w:w="673" w:type="dxa"/>
            <w:shd w:val="clear" w:color="auto" w:fill="auto"/>
          </w:tcPr>
          <w:p w14:paraId="4BCB7CDB" w14:textId="77777777" w:rsidR="00D54274" w:rsidRPr="00CB4CB0" w:rsidRDefault="00D54274" w:rsidP="00A42C66">
            <w:pPr>
              <w:pStyle w:val="TableText"/>
            </w:pPr>
            <w:r w:rsidRPr="00CB4CB0">
              <w:t>0.3</w:t>
            </w:r>
          </w:p>
        </w:tc>
        <w:tc>
          <w:tcPr>
            <w:tcW w:w="674" w:type="dxa"/>
            <w:shd w:val="clear" w:color="auto" w:fill="auto"/>
          </w:tcPr>
          <w:p w14:paraId="5881B84C" w14:textId="77777777" w:rsidR="00D54274" w:rsidRPr="00CB4CB0" w:rsidRDefault="00D54274" w:rsidP="00A42C66">
            <w:pPr>
              <w:pStyle w:val="TableText"/>
            </w:pPr>
            <w:r w:rsidRPr="00CB4CB0">
              <w:t>0</w:t>
            </w:r>
          </w:p>
        </w:tc>
        <w:tc>
          <w:tcPr>
            <w:tcW w:w="673" w:type="dxa"/>
            <w:shd w:val="clear" w:color="auto" w:fill="auto"/>
          </w:tcPr>
          <w:p w14:paraId="0388142E" w14:textId="77777777" w:rsidR="00D54274" w:rsidRPr="00CB4CB0" w:rsidRDefault="00D54274" w:rsidP="00A42C66">
            <w:pPr>
              <w:pStyle w:val="TableText"/>
            </w:pPr>
            <w:r w:rsidRPr="00CB4CB0">
              <w:t>0</w:t>
            </w:r>
          </w:p>
        </w:tc>
        <w:tc>
          <w:tcPr>
            <w:tcW w:w="673" w:type="dxa"/>
            <w:shd w:val="clear" w:color="auto" w:fill="auto"/>
          </w:tcPr>
          <w:p w14:paraId="167AD0A7" w14:textId="77777777" w:rsidR="00D54274" w:rsidRPr="00CB4CB0" w:rsidRDefault="00D54274" w:rsidP="00A42C66">
            <w:pPr>
              <w:pStyle w:val="TableText"/>
            </w:pPr>
            <w:r w:rsidRPr="00CB4CB0">
              <w:t>0</w:t>
            </w:r>
          </w:p>
        </w:tc>
        <w:tc>
          <w:tcPr>
            <w:tcW w:w="674" w:type="dxa"/>
            <w:shd w:val="clear" w:color="auto" w:fill="auto"/>
          </w:tcPr>
          <w:p w14:paraId="00A34308" w14:textId="77777777" w:rsidR="00D54274" w:rsidRPr="00CB4CB0" w:rsidRDefault="00D54274" w:rsidP="00A42C66">
            <w:pPr>
              <w:pStyle w:val="TableText"/>
            </w:pPr>
            <w:r w:rsidRPr="00CB4CB0">
              <w:t>0</w:t>
            </w:r>
          </w:p>
        </w:tc>
        <w:tc>
          <w:tcPr>
            <w:tcW w:w="673" w:type="dxa"/>
            <w:shd w:val="clear" w:color="auto" w:fill="auto"/>
          </w:tcPr>
          <w:p w14:paraId="124F2B67" w14:textId="77777777" w:rsidR="00D54274" w:rsidRPr="00CB4CB0" w:rsidRDefault="00D54274" w:rsidP="00A42C66">
            <w:pPr>
              <w:pStyle w:val="TableText"/>
            </w:pPr>
            <w:r w:rsidRPr="00CB4CB0">
              <w:t>0</w:t>
            </w:r>
          </w:p>
        </w:tc>
        <w:tc>
          <w:tcPr>
            <w:tcW w:w="674" w:type="dxa"/>
            <w:shd w:val="clear" w:color="auto" w:fill="auto"/>
          </w:tcPr>
          <w:p w14:paraId="0240C951" w14:textId="77777777" w:rsidR="00D54274" w:rsidRPr="00CB4CB0" w:rsidRDefault="00D54274" w:rsidP="00A42C66">
            <w:pPr>
              <w:pStyle w:val="TableText"/>
            </w:pPr>
            <w:r w:rsidRPr="00CB4CB0">
              <w:t>0</w:t>
            </w:r>
          </w:p>
        </w:tc>
      </w:tr>
    </w:tbl>
    <w:p w14:paraId="39173570" w14:textId="4080F034" w:rsidR="00CB4CB0" w:rsidRDefault="00A42C66" w:rsidP="00CB4CB0">
      <w:pPr>
        <w:pStyle w:val="TableDescription"/>
      </w:pPr>
      <w:r>
        <w:t>Abbreviations: IMAE</w:t>
      </w:r>
      <w:r w:rsidR="00B83235">
        <w:t> = </w:t>
      </w:r>
      <w:r w:rsidR="008F79EB">
        <w:t>immune-mediated</w:t>
      </w:r>
      <w:r>
        <w:t xml:space="preserve"> adverse events; </w:t>
      </w:r>
      <w:r w:rsidR="00D54274" w:rsidRPr="005074BC">
        <w:t>N</w:t>
      </w:r>
      <w:r w:rsidR="00B83235">
        <w:t> = </w:t>
      </w:r>
      <w:r w:rsidR="00D54274" w:rsidRPr="005074BC">
        <w:t>number of cases, n</w:t>
      </w:r>
      <w:r w:rsidR="00B83235">
        <w:t> = </w:t>
      </w:r>
      <w:r w:rsidR="00D54274" w:rsidRPr="005074BC">
        <w:t>total number of patients</w:t>
      </w:r>
      <w:r>
        <w:t>; OESI</w:t>
      </w:r>
      <w:r w:rsidR="00B83235">
        <w:t> = </w:t>
      </w:r>
      <w:r>
        <w:t>other events of special interest</w:t>
      </w:r>
      <w:r w:rsidR="00B83235">
        <w:t>.</w:t>
      </w:r>
    </w:p>
    <w:p w14:paraId="33A20A01" w14:textId="28D972D6" w:rsidR="00D54274" w:rsidRDefault="00D54274" w:rsidP="00CB4CB0">
      <w:pPr>
        <w:pStyle w:val="TableDescription"/>
      </w:pPr>
      <w:r w:rsidRPr="00F0453A">
        <w:t>*No events of myasthenic syndrome, demyelination, graft versus host disease, or meningitis were reported.</w:t>
      </w:r>
    </w:p>
    <w:p w14:paraId="174135EA" w14:textId="350EDB99" w:rsidR="00CB4CB0" w:rsidRPr="00462F18" w:rsidRDefault="00CB4CB0" w:rsidP="00CB4CB0">
      <w:pPr>
        <w:pStyle w:val="TableDescription"/>
      </w:pPr>
      <w:bookmarkStart w:id="116" w:name="_Hlk144462793"/>
      <w:r>
        <w:t>D</w:t>
      </w:r>
      <w:r w:rsidRPr="005074BC">
        <w:t>atabase lock date</w:t>
      </w:r>
      <w:r w:rsidR="00B651DF">
        <w:t>:</w:t>
      </w:r>
      <w:r>
        <w:t xml:space="preserve"> 9 March 2021</w:t>
      </w:r>
      <w:r w:rsidR="00A42C66">
        <w:t xml:space="preserve">. </w:t>
      </w:r>
      <w:bookmarkEnd w:id="116"/>
      <w:r w:rsidR="00A42C66">
        <w:t>Analysis by sponsor.</w:t>
      </w:r>
    </w:p>
    <w:p w14:paraId="6A66865B" w14:textId="4E0004FC" w:rsidR="00D54274" w:rsidRPr="003D1296" w:rsidRDefault="00D54274" w:rsidP="003D1296">
      <w:pPr>
        <w:pStyle w:val="Heading5"/>
      </w:pPr>
      <w:r w:rsidRPr="003D1296">
        <w:t>Hypersensitivity</w:t>
      </w:r>
      <w:r w:rsidR="00884F00">
        <w:t xml:space="preserve"> or </w:t>
      </w:r>
      <w:r w:rsidRPr="003D1296">
        <w:t>infusion reactions</w:t>
      </w:r>
    </w:p>
    <w:p w14:paraId="7A3D3AA1" w14:textId="36009C12" w:rsidR="00D54274" w:rsidRDefault="00D54274" w:rsidP="00D54274">
      <w:r w:rsidRPr="00650EC7">
        <w:t>The incidence and severity of hypersensitivity</w:t>
      </w:r>
      <w:r w:rsidR="00B651DF">
        <w:t xml:space="preserve"> or </w:t>
      </w:r>
      <w:r w:rsidRPr="00650EC7">
        <w:t xml:space="preserve">infusion reactions was not notably higher with the </w:t>
      </w:r>
      <w:r w:rsidR="00AC07A4">
        <w:t xml:space="preserve">nivolumab with </w:t>
      </w:r>
      <w:proofErr w:type="spellStart"/>
      <w:r w:rsidR="00AC07A4">
        <w:t>relatlimab</w:t>
      </w:r>
      <w:proofErr w:type="spellEnd"/>
      <w:r w:rsidRPr="00650EC7">
        <w:t xml:space="preserve"> combination</w:t>
      </w:r>
      <w:r>
        <w:t xml:space="preserve"> (7.0%)</w:t>
      </w:r>
      <w:r w:rsidRPr="00650EC7">
        <w:t xml:space="preserve"> than with nivolumab monotherapy</w:t>
      </w:r>
      <w:r>
        <w:t xml:space="preserve"> (4.2%), or with higher doses of </w:t>
      </w:r>
      <w:proofErr w:type="spellStart"/>
      <w:r>
        <w:t>relatlimab</w:t>
      </w:r>
      <w:proofErr w:type="spellEnd"/>
      <w:r>
        <w:t xml:space="preserve"> when given with nivolumab in </w:t>
      </w:r>
      <w:r w:rsidR="003269A5">
        <w:t>the RELATIVITY-020 trial</w:t>
      </w:r>
      <w:r>
        <w:t>.</w:t>
      </w:r>
      <w:r w:rsidR="0067224B">
        <w:rPr>
          <w:rStyle w:val="FootnoteReference"/>
        </w:rPr>
        <w:footnoteReference w:id="99"/>
      </w:r>
      <w:r>
        <w:t xml:space="preserve"> This is a known risk of nivolumab and has been included by the </w:t>
      </w:r>
      <w:r w:rsidR="0067224B">
        <w:t>s</w:t>
      </w:r>
      <w:r>
        <w:t xml:space="preserve">ponsor in the proposed Australian PI for </w:t>
      </w:r>
      <w:proofErr w:type="spellStart"/>
      <w:r w:rsidRPr="00DE166C">
        <w:t>O</w:t>
      </w:r>
      <w:r w:rsidR="0067224B" w:rsidRPr="00DE166C">
        <w:t>pdualag</w:t>
      </w:r>
      <w:proofErr w:type="spellEnd"/>
      <w:r w:rsidRPr="00DE166C">
        <w:t xml:space="preserve"> as a warning</w:t>
      </w:r>
      <w:r w:rsidR="00B651DF">
        <w:t xml:space="preserve"> or </w:t>
      </w:r>
      <w:r w:rsidRPr="00DE166C">
        <w:t>precaution.</w:t>
      </w:r>
    </w:p>
    <w:p w14:paraId="19FF3012" w14:textId="53F7D56C" w:rsidR="00D54274" w:rsidRPr="003D1296" w:rsidRDefault="00D54274" w:rsidP="003D1296">
      <w:pPr>
        <w:pStyle w:val="Heading5"/>
      </w:pPr>
      <w:r w:rsidRPr="003D1296">
        <w:t>Cardiac safety</w:t>
      </w:r>
    </w:p>
    <w:p w14:paraId="6DE3E67F" w14:textId="5B3DC55B" w:rsidR="00D54274" w:rsidRPr="00D93E49" w:rsidRDefault="00D54274" w:rsidP="00D54274">
      <w:r w:rsidRPr="00B539C3">
        <w:t xml:space="preserve">No clinically relevant effect on the QTc interval duration was seen with nivolumab plus </w:t>
      </w:r>
      <w:proofErr w:type="spellStart"/>
      <w:r w:rsidRPr="00B539C3">
        <w:t>relatlimab</w:t>
      </w:r>
      <w:proofErr w:type="spellEnd"/>
      <w:r w:rsidRPr="00B539C3">
        <w:t xml:space="preserve"> treatment,</w:t>
      </w:r>
      <w:r w:rsidR="00315221" w:rsidRPr="00315221">
        <w:rPr>
          <w:rStyle w:val="FootnoteReference"/>
        </w:rPr>
        <w:t xml:space="preserve"> </w:t>
      </w:r>
      <w:r w:rsidR="00315221">
        <w:rPr>
          <w:rStyle w:val="FootnoteReference"/>
        </w:rPr>
        <w:footnoteReference w:id="100"/>
      </w:r>
      <w:r w:rsidRPr="00B539C3">
        <w:t xml:space="preserve"> and there was no apparent relationship between serum </w:t>
      </w:r>
      <w:proofErr w:type="spellStart"/>
      <w:r w:rsidRPr="00B539C3">
        <w:t>relatlimab</w:t>
      </w:r>
      <w:proofErr w:type="spellEnd"/>
      <w:r w:rsidRPr="00B539C3">
        <w:t xml:space="preserve"> concentrati</w:t>
      </w:r>
      <w:r w:rsidRPr="00D93E49">
        <w:t xml:space="preserve">on and change in </w:t>
      </w:r>
      <w:r w:rsidR="0067224B">
        <w:t xml:space="preserve">QT interval </w:t>
      </w:r>
      <w:r w:rsidR="00DE166C">
        <w:t>duration (</w:t>
      </w:r>
      <w:r w:rsidR="0067224B">
        <w:t>corrected for heart rate accordin</w:t>
      </w:r>
      <w:r w:rsidR="0067224B" w:rsidRPr="00AC31BD">
        <w:t>g to Fridericia’s</w:t>
      </w:r>
      <w:r w:rsidR="0067224B">
        <w:t xml:space="preserve"> formula</w:t>
      </w:r>
      <w:r w:rsidR="00DE166C">
        <w:t>)</w:t>
      </w:r>
      <w:r w:rsidR="0067224B" w:rsidRPr="00D93E49">
        <w:t xml:space="preserve"> </w:t>
      </w:r>
      <w:r w:rsidRPr="00D93E49">
        <w:t>in patients with solid tumours.</w:t>
      </w:r>
    </w:p>
    <w:p w14:paraId="5B0E8CAC" w14:textId="210D9B35" w:rsidR="00D54274" w:rsidRDefault="00D54274" w:rsidP="00D54274">
      <w:r w:rsidRPr="00D93E49">
        <w:t>Myocarditis is a known risk of checkpoint inhibition.</w:t>
      </w:r>
      <w:r w:rsidR="00DE166C" w:rsidRPr="00DE166C">
        <w:rPr>
          <w:color w:val="2B579A"/>
          <w:shd w:val="clear" w:color="auto" w:fill="E6E6E6"/>
          <w:vertAlign w:val="superscript"/>
        </w:rPr>
        <w:fldChar w:fldCharType="begin"/>
      </w:r>
      <w:r w:rsidR="00DE166C" w:rsidRPr="00DE166C">
        <w:rPr>
          <w:vertAlign w:val="superscript"/>
        </w:rPr>
        <w:instrText xml:space="preserve"> NOTEREF _Ref140162468 \h </w:instrText>
      </w:r>
      <w:r w:rsidR="00DE166C">
        <w:rPr>
          <w:vertAlign w:val="superscript"/>
        </w:rPr>
        <w:instrText xml:space="preserve"> \* MERGEFORMAT </w:instrText>
      </w:r>
      <w:r w:rsidR="00DE166C" w:rsidRPr="00DE166C">
        <w:rPr>
          <w:color w:val="2B579A"/>
          <w:shd w:val="clear" w:color="auto" w:fill="E6E6E6"/>
          <w:vertAlign w:val="superscript"/>
        </w:rPr>
      </w:r>
      <w:r w:rsidR="00DE166C" w:rsidRPr="00DE166C">
        <w:rPr>
          <w:color w:val="2B579A"/>
          <w:shd w:val="clear" w:color="auto" w:fill="E6E6E6"/>
          <w:vertAlign w:val="superscript"/>
        </w:rPr>
        <w:fldChar w:fldCharType="separate"/>
      </w:r>
      <w:r w:rsidR="004F1B9E">
        <w:rPr>
          <w:vertAlign w:val="superscript"/>
        </w:rPr>
        <w:t>96</w:t>
      </w:r>
      <w:r w:rsidR="00DE166C" w:rsidRPr="00DE166C">
        <w:rPr>
          <w:color w:val="2B579A"/>
          <w:shd w:val="clear" w:color="auto" w:fill="E6E6E6"/>
          <w:vertAlign w:val="superscript"/>
        </w:rPr>
        <w:fldChar w:fldCharType="end"/>
      </w:r>
      <w:r w:rsidRPr="00884F00">
        <w:t xml:space="preserve"> </w:t>
      </w:r>
      <w:r w:rsidRPr="00DA1838">
        <w:t xml:space="preserve">Myocarditis was included as an OESI </w:t>
      </w:r>
      <w:r>
        <w:t xml:space="preserve">in </w:t>
      </w:r>
      <w:r w:rsidR="003269A5">
        <w:t>the RELATIVITY-047 trial</w:t>
      </w:r>
      <w:r>
        <w:t xml:space="preserve"> </w:t>
      </w:r>
      <w:r w:rsidRPr="00DA1838">
        <w:t xml:space="preserve">due to the observation of early, lethal myocarditis in LAG-3/PD-1 double knockout mouse models, </w:t>
      </w:r>
      <w:r>
        <w:t xml:space="preserve">and </w:t>
      </w:r>
      <w:r w:rsidRPr="00DA1838">
        <w:t>in context of post-market evidence of rare</w:t>
      </w:r>
      <w:r>
        <w:t xml:space="preserve"> (0.1% incidence or less)</w:t>
      </w:r>
      <w:r w:rsidRPr="00DA1838">
        <w:t xml:space="preserve"> severe checkpoint inhibitor-associated myocarditis. </w:t>
      </w:r>
      <w:r w:rsidRPr="00D93E49">
        <w:t xml:space="preserve">The incidences of myocarditis and troponin increase in </w:t>
      </w:r>
      <w:r w:rsidR="003269A5">
        <w:t>the RELATIVITY-047 trial</w:t>
      </w:r>
      <w:r w:rsidRPr="00D93E49">
        <w:t xml:space="preserve"> with </w:t>
      </w:r>
      <w:proofErr w:type="spellStart"/>
      <w:r w:rsidRPr="00D93E49">
        <w:t>O</w:t>
      </w:r>
      <w:r w:rsidR="00AC31BD">
        <w:t>pdualag</w:t>
      </w:r>
      <w:proofErr w:type="spellEnd"/>
      <w:r w:rsidRPr="00D93E49">
        <w:t xml:space="preserve"> were 1.7% and 12%</w:t>
      </w:r>
      <w:r>
        <w:t xml:space="preserve">, and </w:t>
      </w:r>
      <w:r w:rsidRPr="00D93E49">
        <w:t xml:space="preserve">with </w:t>
      </w:r>
      <w:r>
        <w:t>nivolumab monotherapy were</w:t>
      </w:r>
      <w:r w:rsidRPr="00D93E49">
        <w:t xml:space="preserve"> 0.3% and 10%</w:t>
      </w:r>
      <w:r>
        <w:t>,</w:t>
      </w:r>
      <w:r w:rsidRPr="00D93E49">
        <w:t xml:space="preserve"> </w:t>
      </w:r>
      <w:r>
        <w:t xml:space="preserve">respectively. The </w:t>
      </w:r>
      <w:r w:rsidR="00AC31BD">
        <w:t>s</w:t>
      </w:r>
      <w:r>
        <w:t>ponsor has proposed a stand</w:t>
      </w:r>
      <w:r w:rsidR="00B651DF">
        <w:noBreakHyphen/>
      </w:r>
      <w:r>
        <w:t>alone warning</w:t>
      </w:r>
      <w:r w:rsidR="00B651DF">
        <w:t xml:space="preserve"> or </w:t>
      </w:r>
      <w:r>
        <w:t xml:space="preserve">precaution paragraph in the </w:t>
      </w:r>
      <w:proofErr w:type="spellStart"/>
      <w:r>
        <w:t>O</w:t>
      </w:r>
      <w:r w:rsidR="00AC31BD">
        <w:t>pdualag</w:t>
      </w:r>
      <w:proofErr w:type="spellEnd"/>
      <w:r>
        <w:t xml:space="preserve"> PI for myocarditis, in line with that included in the approved FDA label. Whilst the magnitude of difference between arms may not appear very large, the excess of 5</w:t>
      </w:r>
      <w:r w:rsidR="00AC31BD">
        <w:t> </w:t>
      </w:r>
      <w:r>
        <w:t xml:space="preserve">cases of myocarditis in the </w:t>
      </w:r>
      <w:proofErr w:type="spellStart"/>
      <w:r>
        <w:t>O</w:t>
      </w:r>
      <w:r w:rsidR="00AC31BD">
        <w:t>pdualag</w:t>
      </w:r>
      <w:proofErr w:type="spellEnd"/>
      <w:r>
        <w:t xml:space="preserve"> arm represents a meaningful difference, given that this event has been reported only rarely with nivolumab monotherapy. </w:t>
      </w:r>
      <w:proofErr w:type="gramStart"/>
      <w:r>
        <w:t>In light of</w:t>
      </w:r>
      <w:proofErr w:type="gramEnd"/>
      <w:r>
        <w:t xml:space="preserve"> the rate of observed myocarditis in the trial, and the nonclinical data suggesting additive or synergistic effects of nivolumab and </w:t>
      </w:r>
      <w:proofErr w:type="spellStart"/>
      <w:r>
        <w:t>relatlimab</w:t>
      </w:r>
      <w:proofErr w:type="spellEnd"/>
      <w:r>
        <w:t xml:space="preserve"> on this risk, the </w:t>
      </w:r>
      <w:r w:rsidR="00AC31BD">
        <w:t>s</w:t>
      </w:r>
      <w:r>
        <w:t>ponsor’s proposal for a dedicated warning paragraph is appropriate.</w:t>
      </w:r>
    </w:p>
    <w:p w14:paraId="58378A1C" w14:textId="69B2FBD4" w:rsidR="00D54274" w:rsidRDefault="00D54274" w:rsidP="00D54274">
      <w:r w:rsidRPr="00DA1838">
        <w:t xml:space="preserve">Troponin monitoring was included in </w:t>
      </w:r>
      <w:r w:rsidR="003269A5">
        <w:t>the RELATIVITY-047 trial</w:t>
      </w:r>
      <w:r w:rsidRPr="00DA1838">
        <w:t xml:space="preserve"> as a pilot to determine if increased surveillance could support identification of asymptomatic myocarditis. A testing timeframe of 2</w:t>
      </w:r>
      <w:r w:rsidR="00AC31BD">
        <w:t> </w:t>
      </w:r>
      <w:r w:rsidRPr="00DA1838">
        <w:t xml:space="preserve">months </w:t>
      </w:r>
      <w:r>
        <w:t xml:space="preserve">from start of therapy </w:t>
      </w:r>
      <w:r w:rsidRPr="00DA1838">
        <w:t>was selected</w:t>
      </w:r>
      <w:r>
        <w:t xml:space="preserve">, </w:t>
      </w:r>
      <w:r w:rsidRPr="00DA1838">
        <w:t xml:space="preserve">based on the median time-to-onset </w:t>
      </w:r>
      <w:r>
        <w:t>for previously observed cases</w:t>
      </w:r>
      <w:r w:rsidRPr="00DA1838">
        <w:t xml:space="preserve">. </w:t>
      </w:r>
      <w:r>
        <w:t xml:space="preserve">The outcomes of the trial do not suggest troponin monitoring for </w:t>
      </w:r>
      <w:r>
        <w:lastRenderedPageBreak/>
        <w:t>asymptomatic myocarditis would be advisable. The rate of troponin elevation was 12% in the nivo</w:t>
      </w:r>
      <w:r w:rsidR="00AC31BD">
        <w:t xml:space="preserve">lumab with </w:t>
      </w:r>
      <w:proofErr w:type="spellStart"/>
      <w:r>
        <w:t>rela</w:t>
      </w:r>
      <w:r w:rsidR="00AC31BD">
        <w:t>tlimab</w:t>
      </w:r>
      <w:proofErr w:type="spellEnd"/>
      <w:r>
        <w:t xml:space="preserve"> arm and 10% in the nivo</w:t>
      </w:r>
      <w:r w:rsidR="00AC31BD">
        <w:t>lumab</w:t>
      </w:r>
      <w:r>
        <w:t xml:space="preserve"> arm.</w:t>
      </w:r>
    </w:p>
    <w:p w14:paraId="65BA3607" w14:textId="1273F293" w:rsidR="00D54274" w:rsidRPr="003D1296" w:rsidRDefault="00B651DF" w:rsidP="003D1296">
      <w:pPr>
        <w:pStyle w:val="Heading5"/>
      </w:pPr>
      <w:bookmarkStart w:id="117" w:name="_Ref96523479"/>
      <w:r w:rsidRPr="00B651DF">
        <w:t>Central nervous system</w:t>
      </w:r>
      <w:r w:rsidR="00D54274" w:rsidRPr="003D1296">
        <w:t xml:space="preserve"> effects</w:t>
      </w:r>
    </w:p>
    <w:p w14:paraId="33B78CED" w14:textId="7C13780E" w:rsidR="00D54274" w:rsidRPr="000649E8" w:rsidRDefault="00D54274" w:rsidP="00D54274">
      <w:r w:rsidRPr="00DA1838">
        <w:t>Neurological adverse event terms were included in the OESI list</w:t>
      </w:r>
      <w:r>
        <w:t xml:space="preserve"> for </w:t>
      </w:r>
      <w:r w:rsidR="003269A5">
        <w:t>the RELATIVITY-047 trial</w:t>
      </w:r>
      <w:r w:rsidRPr="00DA1838">
        <w:t xml:space="preserve"> based on </w:t>
      </w:r>
      <w:r w:rsidR="00AC31BD">
        <w:t>non</w:t>
      </w:r>
      <w:r w:rsidRPr="00DA1838">
        <w:t>clinical data (</w:t>
      </w:r>
      <w:r w:rsidR="00DE166C">
        <w:t>CNS</w:t>
      </w:r>
      <w:r w:rsidRPr="00DA1838">
        <w:t xml:space="preserve"> vasculitis in cynomolgus monkeys) and the known risk of </w:t>
      </w:r>
      <w:r w:rsidR="008F79EB">
        <w:t>immune-mediated</w:t>
      </w:r>
      <w:r w:rsidRPr="00DA1838">
        <w:t xml:space="preserve"> CNS events with checkpoint inhibitor treatment.</w:t>
      </w:r>
    </w:p>
    <w:p w14:paraId="23A62688" w14:textId="61552F95" w:rsidR="00D54274" w:rsidRDefault="00D54274" w:rsidP="00D54274">
      <w:r w:rsidRPr="009E708A">
        <w:t xml:space="preserve">Overall, the incidence of CNS adverse events was higher </w:t>
      </w:r>
      <w:r>
        <w:t>with nivo</w:t>
      </w:r>
      <w:r w:rsidR="00AC31BD">
        <w:t>lumab</w:t>
      </w:r>
      <w:r w:rsidR="00DE166C">
        <w:t xml:space="preserve"> with </w:t>
      </w:r>
      <w:proofErr w:type="spellStart"/>
      <w:r>
        <w:t>rela</w:t>
      </w:r>
      <w:r w:rsidR="00AC31BD">
        <w:t>tlimab</w:t>
      </w:r>
      <w:proofErr w:type="spellEnd"/>
      <w:r>
        <w:t xml:space="preserve"> (31%) than nivo</w:t>
      </w:r>
      <w:r w:rsidR="00AC31BD">
        <w:t>lumab</w:t>
      </w:r>
      <w:r w:rsidRPr="009E708A">
        <w:t xml:space="preserve"> (23%), </w:t>
      </w:r>
      <w:r>
        <w:t>however there were low rates of</w:t>
      </w:r>
      <w:r w:rsidRPr="009E708A">
        <w:t xml:space="preserve"> higher</w:t>
      </w:r>
      <w:r w:rsidR="00B651DF">
        <w:t>-</w:t>
      </w:r>
      <w:r w:rsidRPr="009E708A">
        <w:t>grade</w:t>
      </w:r>
      <w:r>
        <w:t xml:space="preserve"> events (6 </w:t>
      </w:r>
      <w:r w:rsidR="00B651DF">
        <w:t>(</w:t>
      </w:r>
      <w:r>
        <w:t>1.7%</w:t>
      </w:r>
      <w:r w:rsidR="00B651DF">
        <w:t>)</w:t>
      </w:r>
      <w:r>
        <w:t xml:space="preserve"> with nivo</w:t>
      </w:r>
      <w:r w:rsidR="00AC31BD">
        <w:t xml:space="preserve">lumab with </w:t>
      </w:r>
      <w:proofErr w:type="spellStart"/>
      <w:r>
        <w:t>rela</w:t>
      </w:r>
      <w:r w:rsidR="00AC31BD">
        <w:t>tlimab</w:t>
      </w:r>
      <w:proofErr w:type="spellEnd"/>
      <w:r>
        <w:t xml:space="preserve"> and 1 </w:t>
      </w:r>
      <w:r w:rsidR="00B651DF">
        <w:t>(</w:t>
      </w:r>
      <w:r>
        <w:t>1.1%</w:t>
      </w:r>
      <w:r w:rsidR="00B651DF">
        <w:t>)</w:t>
      </w:r>
      <w:r>
        <w:t xml:space="preserve"> with nivo</w:t>
      </w:r>
      <w:r w:rsidR="00AC31BD">
        <w:t>lumab</w:t>
      </w:r>
      <w:r>
        <w:t>)</w:t>
      </w:r>
      <w:r w:rsidRPr="009E708A">
        <w:t xml:space="preserve">. </w:t>
      </w:r>
      <w:r>
        <w:t>The FDA concluded</w:t>
      </w:r>
      <w:r w:rsidR="00B651DF">
        <w:t>:</w:t>
      </w:r>
    </w:p>
    <w:p w14:paraId="3820FF5B" w14:textId="3E560096" w:rsidR="00D54274" w:rsidRPr="00AC31BD" w:rsidRDefault="00D54274" w:rsidP="00AC31BD">
      <w:pPr>
        <w:pStyle w:val="Quotation"/>
      </w:pPr>
      <w:r w:rsidRPr="00AC31BD">
        <w:t>CNS adverse events were manageable and not unexpected in patients treated with immunotherapy. CNS toxicity does not meet evidentiary standards for inclusion in the label under Warnings and Precautions.</w:t>
      </w:r>
      <w:r w:rsidR="00DE166C">
        <w:rPr>
          <w:rStyle w:val="FootnoteReference"/>
        </w:rPr>
        <w:footnoteReference w:id="101"/>
      </w:r>
    </w:p>
    <w:p w14:paraId="64F118A1" w14:textId="045FEB69" w:rsidR="00D54274" w:rsidRPr="008B2E31" w:rsidRDefault="00D54274" w:rsidP="00D54274">
      <w:r w:rsidRPr="008B2E31">
        <w:t>This approach is also appropriate for the Australian PI.</w:t>
      </w:r>
    </w:p>
    <w:p w14:paraId="104AB8C6" w14:textId="77777777" w:rsidR="00D54274" w:rsidRPr="003D1296" w:rsidRDefault="00D54274" w:rsidP="003D1296">
      <w:pPr>
        <w:pStyle w:val="Heading5"/>
      </w:pPr>
      <w:bookmarkStart w:id="118" w:name="_Ref106638975"/>
      <w:r w:rsidRPr="003D1296">
        <w:t>Immunogenicity</w:t>
      </w:r>
      <w:bookmarkEnd w:id="117"/>
      <w:bookmarkEnd w:id="118"/>
    </w:p>
    <w:p w14:paraId="1D9F4711" w14:textId="25583A16" w:rsidR="00D54274" w:rsidRPr="00E83E07" w:rsidRDefault="00D54274" w:rsidP="00D54274">
      <w:r>
        <w:t xml:space="preserve">The immunogenicity profile of </w:t>
      </w:r>
      <w:proofErr w:type="spellStart"/>
      <w:r>
        <w:t>O</w:t>
      </w:r>
      <w:r w:rsidR="00AC31BD">
        <w:t>pdualag</w:t>
      </w:r>
      <w:proofErr w:type="spellEnd"/>
      <w:r>
        <w:t xml:space="preserve"> and nivolumab seen in </w:t>
      </w:r>
      <w:r w:rsidR="003269A5">
        <w:t>the RELATIVITY-047 trial</w:t>
      </w:r>
      <w:r>
        <w:t xml:space="preserve"> is </w:t>
      </w:r>
      <w:r w:rsidRPr="00E83E07">
        <w:t>summarised in the approved FDA label as follows:</w:t>
      </w:r>
    </w:p>
    <w:p w14:paraId="0276276E" w14:textId="44B92E2A" w:rsidR="00D54274" w:rsidRDefault="00D54274" w:rsidP="00D54274">
      <w:pPr>
        <w:pStyle w:val="Quotation"/>
      </w:pPr>
      <w:r w:rsidRPr="00E83E07">
        <w:t xml:space="preserve">During the initial 24-month treatment period in </w:t>
      </w:r>
      <w:r w:rsidR="00B651DF">
        <w:t>[</w:t>
      </w:r>
      <w:r w:rsidR="003269A5">
        <w:t>the RELATIVITY-047 trial</w:t>
      </w:r>
      <w:r w:rsidR="00B651DF">
        <w:t>]</w:t>
      </w:r>
      <w:r w:rsidRPr="00E83E07">
        <w:t>, the incidence of:</w:t>
      </w:r>
    </w:p>
    <w:p w14:paraId="09D348AF" w14:textId="14AED332" w:rsidR="00D54274" w:rsidRDefault="00D54274" w:rsidP="00D54274">
      <w:pPr>
        <w:pStyle w:val="Quotation"/>
        <w:numPr>
          <w:ilvl w:val="1"/>
          <w:numId w:val="14"/>
        </w:numPr>
      </w:pPr>
      <w:r w:rsidRPr="00E83E07">
        <w:t>anti-nivolumab antibodies and neutrali</w:t>
      </w:r>
      <w:r w:rsidR="001459F0">
        <w:t>s</w:t>
      </w:r>
      <w:r w:rsidRPr="00E83E07">
        <w:t xml:space="preserve">ing antibodies in the OPDUALAG group was 3.8% (11/288) and 0.3% (1/288), respectively, which was </w:t>
      </w:r>
      <w:proofErr w:type="gramStart"/>
      <w:r w:rsidRPr="00E83E07">
        <w:t>similar to</w:t>
      </w:r>
      <w:proofErr w:type="gramEnd"/>
      <w:r w:rsidRPr="00E83E07">
        <w:t xml:space="preserve"> that observed in the nivolumab group: 5.9% (16/272) and 0.4% (1/272), respectively.</w:t>
      </w:r>
    </w:p>
    <w:p w14:paraId="09980B04" w14:textId="11E8EA67" w:rsidR="00D54274" w:rsidRDefault="00D54274" w:rsidP="00D54274">
      <w:pPr>
        <w:pStyle w:val="Quotation"/>
        <w:numPr>
          <w:ilvl w:val="1"/>
          <w:numId w:val="14"/>
        </w:numPr>
      </w:pPr>
      <w:r w:rsidRPr="00E83E07">
        <w:t>anti-</w:t>
      </w:r>
      <w:proofErr w:type="spellStart"/>
      <w:r w:rsidRPr="00E83E07">
        <w:t>relatlimab</w:t>
      </w:r>
      <w:proofErr w:type="spellEnd"/>
      <w:r w:rsidRPr="00E83E07">
        <w:t xml:space="preserve"> antibodies and neutrali</w:t>
      </w:r>
      <w:r w:rsidR="001459F0">
        <w:t>s</w:t>
      </w:r>
      <w:r w:rsidRPr="00E83E07">
        <w:t>ing antibodies in the OPDUALAG group was 5.6% (16/286) and 0.3% (1/286), respectively.</w:t>
      </w:r>
    </w:p>
    <w:p w14:paraId="28EB4DB8" w14:textId="48F867E8" w:rsidR="00D54274" w:rsidRPr="008B2E31" w:rsidRDefault="00D54274" w:rsidP="00D54274">
      <w:pPr>
        <w:pStyle w:val="Quotation"/>
      </w:pPr>
      <w:r w:rsidRPr="00E83E07">
        <w:t>Because of the low incidence of anti-drug antibodies, the effect of these antibodies on the pharmacokinetics, pharmacodynamics, safety, or effectiveness of OPDUALAG is unknown.</w:t>
      </w:r>
      <w:r w:rsidR="00B80B59" w:rsidRPr="00B80B59">
        <w:rPr>
          <w:color w:val="2B579A"/>
          <w:shd w:val="clear" w:color="auto" w:fill="E6E6E6"/>
          <w:vertAlign w:val="superscript"/>
        </w:rPr>
        <w:fldChar w:fldCharType="begin"/>
      </w:r>
      <w:r w:rsidR="00B80B59" w:rsidRPr="00B80B59">
        <w:rPr>
          <w:vertAlign w:val="superscript"/>
        </w:rPr>
        <w:instrText xml:space="preserve"> NOTEREF _Ref140505903 \h </w:instrText>
      </w:r>
      <w:r w:rsidR="00B80B59">
        <w:rPr>
          <w:vertAlign w:val="superscript"/>
        </w:rPr>
        <w:instrText xml:space="preserve"> \* MERGEFORMAT </w:instrText>
      </w:r>
      <w:r w:rsidR="00B80B59" w:rsidRPr="00B80B59">
        <w:rPr>
          <w:color w:val="2B579A"/>
          <w:shd w:val="clear" w:color="auto" w:fill="E6E6E6"/>
          <w:vertAlign w:val="superscript"/>
        </w:rPr>
      </w:r>
      <w:r w:rsidR="00B80B59" w:rsidRPr="00B80B59">
        <w:rPr>
          <w:color w:val="2B579A"/>
          <w:shd w:val="clear" w:color="auto" w:fill="E6E6E6"/>
          <w:vertAlign w:val="superscript"/>
        </w:rPr>
        <w:fldChar w:fldCharType="separate"/>
      </w:r>
      <w:r w:rsidR="004F1B9E">
        <w:rPr>
          <w:vertAlign w:val="superscript"/>
        </w:rPr>
        <w:t>76</w:t>
      </w:r>
      <w:r w:rsidR="00B80B59" w:rsidRPr="00B80B59">
        <w:rPr>
          <w:color w:val="2B579A"/>
          <w:shd w:val="clear" w:color="auto" w:fill="E6E6E6"/>
          <w:vertAlign w:val="superscript"/>
        </w:rPr>
        <w:fldChar w:fldCharType="end"/>
      </w:r>
    </w:p>
    <w:p w14:paraId="66115C0B" w14:textId="59016CAD" w:rsidR="00D54274" w:rsidRDefault="00361B3C" w:rsidP="00D54274">
      <w:pPr>
        <w:pStyle w:val="Heading4"/>
      </w:pPr>
      <w:bookmarkStart w:id="119" w:name="_Ref96081018"/>
      <w:bookmarkStart w:id="120" w:name="_Toc154134528"/>
      <w:r>
        <w:t xml:space="preserve">Diagnostic testing </w:t>
      </w:r>
      <w:r w:rsidR="00D54274" w:rsidRPr="00A9392B">
        <w:t>considerations</w:t>
      </w:r>
      <w:bookmarkEnd w:id="119"/>
      <w:bookmarkEnd w:id="120"/>
    </w:p>
    <w:p w14:paraId="430500E4" w14:textId="658FD32D" w:rsidR="00D54274" w:rsidRPr="00E83E07" w:rsidRDefault="00D54274" w:rsidP="00D54274">
      <w:r>
        <w:t xml:space="preserve">The proposed indication does not require identification of a biomarker for selection of a subgroup of patients with melanoma for treatment with </w:t>
      </w:r>
      <w:proofErr w:type="spellStart"/>
      <w:r>
        <w:t>O</w:t>
      </w:r>
      <w:r w:rsidR="00E54637">
        <w:t>pdualag</w:t>
      </w:r>
      <w:proofErr w:type="spellEnd"/>
      <w:r>
        <w:t>.</w:t>
      </w:r>
    </w:p>
    <w:p w14:paraId="2858B006" w14:textId="054EE488" w:rsidR="00C22214" w:rsidRDefault="00C22214" w:rsidP="00C22214">
      <w:pPr>
        <w:pStyle w:val="Heading3"/>
        <w:rPr>
          <w:lang w:eastAsia="en-AU"/>
        </w:rPr>
      </w:pPr>
      <w:bookmarkStart w:id="121" w:name="_Toc154134529"/>
      <w:r w:rsidRPr="3BDAA877">
        <w:rPr>
          <w:lang w:eastAsia="en-AU"/>
        </w:rPr>
        <w:t>Risk management plan</w:t>
      </w:r>
      <w:bookmarkEnd w:id="90"/>
      <w:bookmarkEnd w:id="91"/>
      <w:bookmarkEnd w:id="121"/>
    </w:p>
    <w:p w14:paraId="4C326706" w14:textId="32DF6B5D" w:rsidR="004E7F82" w:rsidRDefault="004E7F82" w:rsidP="004E7F82">
      <w:bookmarkStart w:id="122" w:name="_Hlk144463083"/>
      <w:bookmarkStart w:id="123" w:name="_Toc247691531"/>
      <w:bookmarkStart w:id="124" w:name="_Toc314842515"/>
      <w:r w:rsidRPr="00163697">
        <w:t xml:space="preserve">The </w:t>
      </w:r>
      <w:r>
        <w:t>European</w:t>
      </w:r>
      <w:r w:rsidR="00B16B70">
        <w:t xml:space="preserve"> </w:t>
      </w:r>
      <w:r w:rsidR="00B651DF">
        <w:t>r</w:t>
      </w:r>
      <w:r>
        <w:t xml:space="preserve">isk </w:t>
      </w:r>
      <w:r w:rsidR="00B651DF">
        <w:t>m</w:t>
      </w:r>
      <w:r>
        <w:t xml:space="preserve">anagement </w:t>
      </w:r>
      <w:r w:rsidR="00B651DF">
        <w:t>p</w:t>
      </w:r>
      <w:r>
        <w:t xml:space="preserve">lan </w:t>
      </w:r>
      <w:r w:rsidR="00B16B70">
        <w:t xml:space="preserve">(RMP) </w:t>
      </w:r>
      <w:r w:rsidRPr="00163697">
        <w:t>version 1.0 (dated 18</w:t>
      </w:r>
      <w:r>
        <w:t> </w:t>
      </w:r>
      <w:r w:rsidRPr="00163697">
        <w:t>Aug</w:t>
      </w:r>
      <w:r>
        <w:t>ust </w:t>
      </w:r>
      <w:r w:rsidRPr="00163697">
        <w:t xml:space="preserve">2021; </w:t>
      </w:r>
      <w:r>
        <w:t>data lock point</w:t>
      </w:r>
      <w:r w:rsidRPr="00163697">
        <w:t xml:space="preserve"> 9</w:t>
      </w:r>
      <w:r>
        <w:t> </w:t>
      </w:r>
      <w:r w:rsidRPr="00163697">
        <w:t>Mar</w:t>
      </w:r>
      <w:r>
        <w:t>ch </w:t>
      </w:r>
      <w:r w:rsidRPr="00163697">
        <w:t xml:space="preserve">2021) and </w:t>
      </w:r>
      <w:r>
        <w:t>Australia</w:t>
      </w:r>
      <w:r w:rsidR="00152C70">
        <w:noBreakHyphen/>
      </w:r>
      <w:r w:rsidR="00B651DF">
        <w:t>s</w:t>
      </w:r>
      <w:r>
        <w:t xml:space="preserve">pecific </w:t>
      </w:r>
      <w:r w:rsidR="00B651DF">
        <w:t>a</w:t>
      </w:r>
      <w:r>
        <w:t>nnex (</w:t>
      </w:r>
      <w:r w:rsidRPr="00163697">
        <w:t>ASA</w:t>
      </w:r>
      <w:r>
        <w:t>)</w:t>
      </w:r>
      <w:r w:rsidRPr="00163697">
        <w:t xml:space="preserve"> version </w:t>
      </w:r>
      <w:r>
        <w:t>2</w:t>
      </w:r>
      <w:r w:rsidRPr="00163697">
        <w:t xml:space="preserve">.0 (dated </w:t>
      </w:r>
      <w:r>
        <w:t>8 July </w:t>
      </w:r>
      <w:r w:rsidRPr="00163697">
        <w:t>202</w:t>
      </w:r>
      <w:r>
        <w:t>2</w:t>
      </w:r>
      <w:r w:rsidRPr="00163697">
        <w:t xml:space="preserve">) were </w:t>
      </w:r>
      <w:r>
        <w:t>submitted</w:t>
      </w:r>
      <w:r w:rsidRPr="00163697">
        <w:t>.</w:t>
      </w:r>
    </w:p>
    <w:p w14:paraId="39F3CD1D" w14:textId="0C95A21C" w:rsidR="0072003B" w:rsidRPr="00BD5DBD" w:rsidRDefault="00C22214" w:rsidP="00C22214">
      <w:pPr>
        <w:rPr>
          <w:szCs w:val="22"/>
        </w:rPr>
      </w:pPr>
      <w:bookmarkStart w:id="125" w:name="_Hlk154067924"/>
      <w:bookmarkEnd w:id="122"/>
      <w:r w:rsidRPr="00BD5DBD">
        <w:rPr>
          <w:szCs w:val="22"/>
        </w:rPr>
        <w:t xml:space="preserve">The summary of safety concerns and their associated risk monitoring and mitigation strategies </w:t>
      </w:r>
      <w:r w:rsidR="00B16B70">
        <w:rPr>
          <w:szCs w:val="22"/>
        </w:rPr>
        <w:t xml:space="preserve">from the RMP </w:t>
      </w:r>
      <w:r w:rsidRPr="00BD5DBD">
        <w:rPr>
          <w:szCs w:val="22"/>
        </w:rPr>
        <w:t xml:space="preserve">are </w:t>
      </w:r>
      <w:r w:rsidR="00B16B70">
        <w:rPr>
          <w:szCs w:val="22"/>
        </w:rPr>
        <w:t>presented</w:t>
      </w:r>
      <w:r w:rsidR="00B16B70" w:rsidRPr="00BD5DBD">
        <w:rPr>
          <w:szCs w:val="22"/>
        </w:rPr>
        <w:t xml:space="preserve"> </w:t>
      </w:r>
      <w:r w:rsidRPr="00BD5DBD">
        <w:rPr>
          <w:szCs w:val="22"/>
        </w:rPr>
        <w:t>in</w:t>
      </w:r>
      <w:bookmarkEnd w:id="125"/>
      <w:r w:rsidR="003B149C">
        <w:rPr>
          <w:szCs w:val="22"/>
        </w:rPr>
        <w:t xml:space="preserve"> </w:t>
      </w:r>
      <w:r w:rsidR="003B149C" w:rsidRPr="003B149C">
        <w:rPr>
          <w:color w:val="2B579A"/>
          <w:szCs w:val="22"/>
          <w:shd w:val="clear" w:color="auto" w:fill="E6E6E6"/>
        </w:rPr>
        <w:fldChar w:fldCharType="begin"/>
      </w:r>
      <w:r w:rsidR="003B149C" w:rsidRPr="003B149C">
        <w:rPr>
          <w:szCs w:val="22"/>
        </w:rPr>
        <w:instrText xml:space="preserve"> REF _Ref97629131 \h </w:instrText>
      </w:r>
      <w:r w:rsidR="003B149C">
        <w:rPr>
          <w:szCs w:val="22"/>
        </w:rPr>
        <w:instrText xml:space="preserve"> \* MERGEFORMAT </w:instrText>
      </w:r>
      <w:r w:rsidR="003B149C" w:rsidRPr="003B149C">
        <w:rPr>
          <w:color w:val="2B579A"/>
          <w:szCs w:val="22"/>
          <w:shd w:val="clear" w:color="auto" w:fill="E6E6E6"/>
        </w:rPr>
      </w:r>
      <w:r w:rsidR="003B149C" w:rsidRPr="003B149C">
        <w:rPr>
          <w:color w:val="2B579A"/>
          <w:szCs w:val="22"/>
          <w:shd w:val="clear" w:color="auto" w:fill="E6E6E6"/>
        </w:rPr>
        <w:fldChar w:fldCharType="separate"/>
      </w:r>
      <w:r w:rsidR="004F1B9E" w:rsidRPr="004F1B9E">
        <w:rPr>
          <w:szCs w:val="22"/>
        </w:rPr>
        <w:t xml:space="preserve">Table </w:t>
      </w:r>
      <w:r w:rsidR="004F1B9E" w:rsidRPr="004F1B9E">
        <w:rPr>
          <w:noProof/>
          <w:szCs w:val="22"/>
        </w:rPr>
        <w:t>10</w:t>
      </w:r>
      <w:r w:rsidR="003B149C" w:rsidRPr="003B149C">
        <w:rPr>
          <w:color w:val="2B579A"/>
          <w:szCs w:val="22"/>
          <w:shd w:val="clear" w:color="auto" w:fill="E6E6E6"/>
        </w:rPr>
        <w:fldChar w:fldCharType="end"/>
      </w:r>
      <w:r w:rsidR="008C49C6" w:rsidRPr="003B149C">
        <w:rPr>
          <w:szCs w:val="22"/>
        </w:rPr>
        <w:t>.</w:t>
      </w:r>
      <w:r w:rsidR="0072003B" w:rsidRPr="00BD5DBD">
        <w:rPr>
          <w:szCs w:val="22"/>
        </w:rPr>
        <w:t xml:space="preserve"> The TGA</w:t>
      </w:r>
      <w:r w:rsidR="00C07551" w:rsidRPr="00BD5DBD">
        <w:rPr>
          <w:szCs w:val="22"/>
        </w:rPr>
        <w:t xml:space="preserve"> may</w:t>
      </w:r>
      <w:r w:rsidR="0072003B" w:rsidRPr="00BD5DBD">
        <w:rPr>
          <w:szCs w:val="22"/>
        </w:rPr>
        <w:t xml:space="preserve"> request an updated RMP at any stage of a product's life</w:t>
      </w:r>
      <w:r w:rsidR="00B16B70">
        <w:rPr>
          <w:szCs w:val="22"/>
        </w:rPr>
        <w:t xml:space="preserve"> </w:t>
      </w:r>
      <w:r w:rsidR="0072003B" w:rsidRPr="00BD5DBD">
        <w:rPr>
          <w:szCs w:val="22"/>
        </w:rPr>
        <w:t>cycle, during both the pre-approval and post-approval phases.</w:t>
      </w:r>
    </w:p>
    <w:p w14:paraId="56B51A93" w14:textId="01755802" w:rsidR="006A277A" w:rsidRDefault="00C22214" w:rsidP="00C22214">
      <w:pPr>
        <w:pStyle w:val="TableTitle"/>
      </w:pPr>
      <w:bookmarkStart w:id="126" w:name="_Ref97629131"/>
      <w:r>
        <w:lastRenderedPageBreak/>
        <w:t xml:space="preserve">Table </w:t>
      </w:r>
      <w:r>
        <w:fldChar w:fldCharType="begin"/>
      </w:r>
      <w:r>
        <w:instrText>SEQ Table \* ARABIC</w:instrText>
      </w:r>
      <w:r>
        <w:fldChar w:fldCharType="separate"/>
      </w:r>
      <w:r w:rsidR="004F1B9E">
        <w:rPr>
          <w:noProof/>
        </w:rPr>
        <w:t>10</w:t>
      </w:r>
      <w:r>
        <w:fldChar w:fldCharType="end"/>
      </w:r>
      <w:bookmarkEnd w:id="126"/>
      <w:r>
        <w:t>: Summary of safety concerns</w:t>
      </w:r>
    </w:p>
    <w:tbl>
      <w:tblPr>
        <w:tblStyle w:val="TableTGAblue2023"/>
        <w:tblW w:w="0" w:type="auto"/>
        <w:tblLook w:val="04A0" w:firstRow="1" w:lastRow="0" w:firstColumn="1" w:lastColumn="0" w:noHBand="0" w:noVBand="1"/>
      </w:tblPr>
      <w:tblGrid>
        <w:gridCol w:w="1500"/>
        <w:gridCol w:w="2842"/>
        <w:gridCol w:w="1058"/>
        <w:gridCol w:w="1301"/>
        <w:gridCol w:w="1058"/>
        <w:gridCol w:w="1301"/>
      </w:tblGrid>
      <w:tr w:rsidR="00047802" w:rsidRPr="00D01DDB" w14:paraId="78A9B34A" w14:textId="4C3D6325" w:rsidTr="0070770A">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gridSpan w:val="2"/>
            <w:vMerge w:val="restart"/>
          </w:tcPr>
          <w:p w14:paraId="221AC94F" w14:textId="46144BB7" w:rsidR="004E7F82" w:rsidRPr="00D01DDB" w:rsidRDefault="004E7F82" w:rsidP="00047802">
            <w:pPr>
              <w:pStyle w:val="TableText"/>
            </w:pPr>
            <w:r>
              <w:t>Safety concern</w:t>
            </w:r>
          </w:p>
        </w:tc>
        <w:tc>
          <w:tcPr>
            <w:tcW w:w="0" w:type="auto"/>
            <w:gridSpan w:val="2"/>
          </w:tcPr>
          <w:p w14:paraId="1DCDD601" w14:textId="08CDC1E3" w:rsidR="004E7F82" w:rsidRPr="00D01DDB" w:rsidRDefault="004E7F82" w:rsidP="00047802">
            <w:pPr>
              <w:pStyle w:val="TableText"/>
              <w:cnfStyle w:val="100000000000" w:firstRow="1" w:lastRow="0" w:firstColumn="0" w:lastColumn="0" w:oddVBand="0" w:evenVBand="0" w:oddHBand="0" w:evenHBand="0" w:firstRowFirstColumn="0" w:firstRowLastColumn="0" w:lastRowFirstColumn="0" w:lastRowLastColumn="0"/>
            </w:pPr>
            <w:r>
              <w:t>Pharmacovigilance</w:t>
            </w:r>
          </w:p>
        </w:tc>
        <w:tc>
          <w:tcPr>
            <w:tcW w:w="0" w:type="auto"/>
            <w:gridSpan w:val="2"/>
          </w:tcPr>
          <w:p w14:paraId="6A114E0B" w14:textId="31190349" w:rsidR="004E7F82" w:rsidRPr="00D01DDB" w:rsidRDefault="004E7F82" w:rsidP="00047802">
            <w:pPr>
              <w:pStyle w:val="TableText"/>
              <w:cnfStyle w:val="100000000000" w:firstRow="1" w:lastRow="0" w:firstColumn="0" w:lastColumn="0" w:oddVBand="0" w:evenVBand="0" w:oddHBand="0" w:evenHBand="0" w:firstRowFirstColumn="0" w:firstRowLastColumn="0" w:lastRowFirstColumn="0" w:lastRowLastColumn="0"/>
            </w:pPr>
            <w:r>
              <w:t xml:space="preserve">Risk </w:t>
            </w:r>
            <w:r w:rsidR="00B651DF">
              <w:t>m</w:t>
            </w:r>
            <w:r>
              <w:t>inimisation</w:t>
            </w:r>
          </w:p>
        </w:tc>
      </w:tr>
      <w:tr w:rsidR="00047802" w:rsidRPr="00D01DDB" w14:paraId="3B920D84" w14:textId="34EBE067" w:rsidTr="0070770A">
        <w:trPr>
          <w:trHeight w:val="386"/>
        </w:trPr>
        <w:tc>
          <w:tcPr>
            <w:cnfStyle w:val="001000000000" w:firstRow="0" w:lastRow="0" w:firstColumn="1" w:lastColumn="0" w:oddVBand="0" w:evenVBand="0" w:oddHBand="0" w:evenHBand="0" w:firstRowFirstColumn="0" w:firstRowLastColumn="0" w:lastRowFirstColumn="0" w:lastRowLastColumn="0"/>
            <w:tcW w:w="0" w:type="auto"/>
            <w:gridSpan w:val="2"/>
            <w:vMerge/>
          </w:tcPr>
          <w:p w14:paraId="194307E1" w14:textId="77777777" w:rsidR="004E7F82" w:rsidRPr="00D01DDB" w:rsidRDefault="004E7F82" w:rsidP="00047802">
            <w:pPr>
              <w:pStyle w:val="TableText"/>
            </w:pPr>
          </w:p>
        </w:tc>
        <w:tc>
          <w:tcPr>
            <w:tcW w:w="0" w:type="auto"/>
            <w:shd w:val="clear" w:color="auto" w:fill="DEEAF6"/>
          </w:tcPr>
          <w:p w14:paraId="16B0DECB" w14:textId="1E776BEF" w:rsidR="004E7F82" w:rsidRPr="0070770A" w:rsidRDefault="004E7F82" w:rsidP="0070770A">
            <w:pPr>
              <w:pStyle w:val="TableText"/>
              <w:keepNext/>
              <w:cnfStyle w:val="000000000000" w:firstRow="0" w:lastRow="0" w:firstColumn="0" w:lastColumn="0" w:oddVBand="0" w:evenVBand="0" w:oddHBand="0" w:evenHBand="0" w:firstRowFirstColumn="0" w:firstRowLastColumn="0" w:lastRowFirstColumn="0" w:lastRowLastColumn="0"/>
              <w:rPr>
                <w:b/>
              </w:rPr>
            </w:pPr>
            <w:r w:rsidRPr="0070770A">
              <w:rPr>
                <w:b/>
              </w:rPr>
              <w:t>Routine</w:t>
            </w:r>
          </w:p>
        </w:tc>
        <w:tc>
          <w:tcPr>
            <w:tcW w:w="0" w:type="auto"/>
            <w:shd w:val="clear" w:color="auto" w:fill="DEEAF6"/>
          </w:tcPr>
          <w:p w14:paraId="6074D015" w14:textId="5F38E1C5" w:rsidR="004E7F82" w:rsidRPr="0070770A" w:rsidRDefault="004E7F82" w:rsidP="0070770A">
            <w:pPr>
              <w:pStyle w:val="TableText"/>
              <w:keepNext/>
              <w:cnfStyle w:val="000000000000" w:firstRow="0" w:lastRow="0" w:firstColumn="0" w:lastColumn="0" w:oddVBand="0" w:evenVBand="0" w:oddHBand="0" w:evenHBand="0" w:firstRowFirstColumn="0" w:firstRowLastColumn="0" w:lastRowFirstColumn="0" w:lastRowLastColumn="0"/>
              <w:rPr>
                <w:b/>
              </w:rPr>
            </w:pPr>
            <w:r w:rsidRPr="0070770A">
              <w:rPr>
                <w:b/>
              </w:rPr>
              <w:t>Additional</w:t>
            </w:r>
          </w:p>
        </w:tc>
        <w:tc>
          <w:tcPr>
            <w:tcW w:w="0" w:type="auto"/>
            <w:shd w:val="clear" w:color="auto" w:fill="DEEAF6"/>
          </w:tcPr>
          <w:p w14:paraId="68C3FD26" w14:textId="2309E9E6" w:rsidR="004E7F82" w:rsidRPr="0070770A" w:rsidRDefault="004E7F82" w:rsidP="0070770A">
            <w:pPr>
              <w:pStyle w:val="TableText"/>
              <w:keepNext/>
              <w:cnfStyle w:val="000000000000" w:firstRow="0" w:lastRow="0" w:firstColumn="0" w:lastColumn="0" w:oddVBand="0" w:evenVBand="0" w:oddHBand="0" w:evenHBand="0" w:firstRowFirstColumn="0" w:firstRowLastColumn="0" w:lastRowFirstColumn="0" w:lastRowLastColumn="0"/>
              <w:rPr>
                <w:b/>
              </w:rPr>
            </w:pPr>
            <w:r w:rsidRPr="0070770A">
              <w:rPr>
                <w:b/>
              </w:rPr>
              <w:t>Routine</w:t>
            </w:r>
          </w:p>
        </w:tc>
        <w:tc>
          <w:tcPr>
            <w:tcW w:w="0" w:type="auto"/>
            <w:shd w:val="clear" w:color="auto" w:fill="DEEAF6"/>
          </w:tcPr>
          <w:p w14:paraId="580C922E" w14:textId="5336A0D6" w:rsidR="004E7F82" w:rsidRPr="0070770A" w:rsidRDefault="004E7F82" w:rsidP="0070770A">
            <w:pPr>
              <w:pStyle w:val="TableText"/>
              <w:keepNext/>
              <w:cnfStyle w:val="000000000000" w:firstRow="0" w:lastRow="0" w:firstColumn="0" w:lastColumn="0" w:oddVBand="0" w:evenVBand="0" w:oddHBand="0" w:evenHBand="0" w:firstRowFirstColumn="0" w:firstRowLastColumn="0" w:lastRowFirstColumn="0" w:lastRowLastColumn="0"/>
              <w:rPr>
                <w:b/>
              </w:rPr>
            </w:pPr>
            <w:r w:rsidRPr="0070770A">
              <w:rPr>
                <w:b/>
              </w:rPr>
              <w:t>Additional</w:t>
            </w:r>
          </w:p>
        </w:tc>
      </w:tr>
      <w:tr w:rsidR="00047802" w:rsidRPr="00D01DDB" w14:paraId="0D6C71BD" w14:textId="7550C27A" w:rsidTr="0070770A">
        <w:trPr>
          <w:trHeight w:val="386"/>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D1D656E" w14:textId="3FC1769A" w:rsidR="00047802" w:rsidRPr="00D01DDB" w:rsidRDefault="00047802" w:rsidP="00047802">
            <w:pPr>
              <w:pStyle w:val="TableText"/>
            </w:pPr>
            <w:r w:rsidRPr="00163697">
              <w:rPr>
                <w:color w:val="auto"/>
              </w:rPr>
              <w:t>Important identified risks</w:t>
            </w:r>
          </w:p>
        </w:tc>
        <w:tc>
          <w:tcPr>
            <w:tcW w:w="0" w:type="auto"/>
          </w:tcPr>
          <w:p w14:paraId="1BC91D0E" w14:textId="6DBDC6B2" w:rsidR="00047802" w:rsidRPr="00D01DDB" w:rsidRDefault="00047802" w:rsidP="00047802">
            <w:pPr>
              <w:pStyle w:val="TableText"/>
              <w:cnfStyle w:val="000000000000" w:firstRow="0" w:lastRow="0" w:firstColumn="0" w:lastColumn="0" w:oddVBand="0" w:evenVBand="0" w:oddHBand="0" w:evenHBand="0" w:firstRowFirstColumn="0" w:firstRowLastColumn="0" w:lastRowFirstColumn="0" w:lastRowLastColumn="0"/>
            </w:pPr>
            <w:r w:rsidRPr="00142BC1">
              <w:t>Immune</w:t>
            </w:r>
            <w:r w:rsidR="00B16B70">
              <w:t>-</w:t>
            </w:r>
            <w:r w:rsidRPr="00142BC1">
              <w:t>related pneumonitis</w:t>
            </w:r>
          </w:p>
        </w:tc>
        <w:tc>
          <w:tcPr>
            <w:tcW w:w="0" w:type="auto"/>
            <w:vAlign w:val="center"/>
          </w:tcPr>
          <w:p w14:paraId="6734EC58" w14:textId="3A007710"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7DB00AFB" w14:textId="5D3A5986"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6CF73885" w14:textId="235D5749"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3641C55F" w14:textId="7182C4E8"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r>
              <w:t>†</w:t>
            </w:r>
          </w:p>
        </w:tc>
      </w:tr>
      <w:tr w:rsidR="00047802" w:rsidRPr="00D01DDB" w14:paraId="59E933A7" w14:textId="143D9B84" w:rsidTr="0070770A">
        <w:trPr>
          <w:trHeight w:val="386"/>
        </w:trPr>
        <w:tc>
          <w:tcPr>
            <w:cnfStyle w:val="001000000000" w:firstRow="0" w:lastRow="0" w:firstColumn="1" w:lastColumn="0" w:oddVBand="0" w:evenVBand="0" w:oddHBand="0" w:evenHBand="0" w:firstRowFirstColumn="0" w:firstRowLastColumn="0" w:lastRowFirstColumn="0" w:lastRowLastColumn="0"/>
            <w:tcW w:w="0" w:type="auto"/>
            <w:vMerge/>
          </w:tcPr>
          <w:p w14:paraId="1454165C" w14:textId="7722A8E7" w:rsidR="00047802" w:rsidRPr="00D01DDB" w:rsidRDefault="00047802" w:rsidP="00047802">
            <w:pPr>
              <w:pStyle w:val="TableText"/>
            </w:pPr>
          </w:p>
        </w:tc>
        <w:tc>
          <w:tcPr>
            <w:tcW w:w="0" w:type="auto"/>
          </w:tcPr>
          <w:p w14:paraId="78EA91D3" w14:textId="247C88F6" w:rsidR="00047802" w:rsidRPr="00D01DDB" w:rsidRDefault="00047802" w:rsidP="00047802">
            <w:pPr>
              <w:pStyle w:val="TableText"/>
              <w:cnfStyle w:val="000000000000" w:firstRow="0" w:lastRow="0" w:firstColumn="0" w:lastColumn="0" w:oddVBand="0" w:evenVBand="0" w:oddHBand="0" w:evenHBand="0" w:firstRowFirstColumn="0" w:firstRowLastColumn="0" w:lastRowFirstColumn="0" w:lastRowLastColumn="0"/>
            </w:pPr>
            <w:r w:rsidRPr="00142BC1">
              <w:t>Immune</w:t>
            </w:r>
            <w:r w:rsidR="00B16B70">
              <w:t>-</w:t>
            </w:r>
            <w:r w:rsidRPr="00142BC1">
              <w:t>related colitis</w:t>
            </w:r>
          </w:p>
        </w:tc>
        <w:tc>
          <w:tcPr>
            <w:tcW w:w="0" w:type="auto"/>
            <w:vAlign w:val="center"/>
          </w:tcPr>
          <w:p w14:paraId="007E1F57" w14:textId="3EE47AA7"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1ADF9C4D" w14:textId="06439EC0"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2F6BE147" w14:textId="4EEA4956"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1A83CDCE" w14:textId="5C58F94C"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r>
              <w:t>†</w:t>
            </w:r>
          </w:p>
        </w:tc>
      </w:tr>
      <w:tr w:rsidR="00047802" w:rsidRPr="00D01DDB" w14:paraId="7B369D61" w14:textId="4D7B09D0" w:rsidTr="0070770A">
        <w:trPr>
          <w:trHeight w:val="386"/>
        </w:trPr>
        <w:tc>
          <w:tcPr>
            <w:cnfStyle w:val="001000000000" w:firstRow="0" w:lastRow="0" w:firstColumn="1" w:lastColumn="0" w:oddVBand="0" w:evenVBand="0" w:oddHBand="0" w:evenHBand="0" w:firstRowFirstColumn="0" w:firstRowLastColumn="0" w:lastRowFirstColumn="0" w:lastRowLastColumn="0"/>
            <w:tcW w:w="0" w:type="auto"/>
            <w:vMerge/>
          </w:tcPr>
          <w:p w14:paraId="626F6C00" w14:textId="014CD043" w:rsidR="00047802" w:rsidRPr="00D01DDB" w:rsidRDefault="00047802" w:rsidP="00047802">
            <w:pPr>
              <w:pStyle w:val="TableText"/>
            </w:pPr>
          </w:p>
        </w:tc>
        <w:tc>
          <w:tcPr>
            <w:tcW w:w="0" w:type="auto"/>
          </w:tcPr>
          <w:p w14:paraId="678F3023" w14:textId="589F073A" w:rsidR="00047802" w:rsidRPr="00D01DDB" w:rsidRDefault="00047802" w:rsidP="00047802">
            <w:pPr>
              <w:pStyle w:val="TableText"/>
              <w:cnfStyle w:val="000000000000" w:firstRow="0" w:lastRow="0" w:firstColumn="0" w:lastColumn="0" w:oddVBand="0" w:evenVBand="0" w:oddHBand="0" w:evenHBand="0" w:firstRowFirstColumn="0" w:firstRowLastColumn="0" w:lastRowFirstColumn="0" w:lastRowLastColumn="0"/>
            </w:pPr>
            <w:r w:rsidRPr="00142BC1">
              <w:t>Immune</w:t>
            </w:r>
            <w:r w:rsidR="00B16B70">
              <w:t>-</w:t>
            </w:r>
            <w:r w:rsidRPr="00142BC1">
              <w:t>related hepatitis</w:t>
            </w:r>
          </w:p>
        </w:tc>
        <w:tc>
          <w:tcPr>
            <w:tcW w:w="0" w:type="auto"/>
            <w:vAlign w:val="center"/>
          </w:tcPr>
          <w:p w14:paraId="65CB7E06" w14:textId="5E422A57"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24329EDA" w14:textId="5C57A908"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2D5FDDCB" w14:textId="0D0C3C77"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04345053" w14:textId="5C60C16F"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r>
              <w:t>†</w:t>
            </w:r>
          </w:p>
        </w:tc>
      </w:tr>
      <w:tr w:rsidR="00047802" w:rsidRPr="00D01DDB" w14:paraId="22D5EED2" w14:textId="65FA38DF" w:rsidTr="0070770A">
        <w:trPr>
          <w:trHeight w:val="386"/>
        </w:trPr>
        <w:tc>
          <w:tcPr>
            <w:cnfStyle w:val="001000000000" w:firstRow="0" w:lastRow="0" w:firstColumn="1" w:lastColumn="0" w:oddVBand="0" w:evenVBand="0" w:oddHBand="0" w:evenHBand="0" w:firstRowFirstColumn="0" w:firstRowLastColumn="0" w:lastRowFirstColumn="0" w:lastRowLastColumn="0"/>
            <w:tcW w:w="0" w:type="auto"/>
            <w:vMerge/>
          </w:tcPr>
          <w:p w14:paraId="79409D4D" w14:textId="3D36BE48" w:rsidR="00047802" w:rsidRPr="00D01DDB" w:rsidRDefault="00047802" w:rsidP="00047802">
            <w:pPr>
              <w:pStyle w:val="TableText"/>
            </w:pPr>
          </w:p>
        </w:tc>
        <w:tc>
          <w:tcPr>
            <w:tcW w:w="0" w:type="auto"/>
          </w:tcPr>
          <w:p w14:paraId="3EDF97F9" w14:textId="67E52F4F" w:rsidR="00047802" w:rsidRPr="00D01DDB" w:rsidRDefault="00047802" w:rsidP="00047802">
            <w:pPr>
              <w:pStyle w:val="TableText"/>
              <w:cnfStyle w:val="000000000000" w:firstRow="0" w:lastRow="0" w:firstColumn="0" w:lastColumn="0" w:oddVBand="0" w:evenVBand="0" w:oddHBand="0" w:evenHBand="0" w:firstRowFirstColumn="0" w:firstRowLastColumn="0" w:lastRowFirstColumn="0" w:lastRowLastColumn="0"/>
            </w:pPr>
            <w:r w:rsidRPr="00142BC1">
              <w:t>Immune</w:t>
            </w:r>
            <w:r w:rsidR="00B16B70">
              <w:t>-</w:t>
            </w:r>
            <w:r w:rsidRPr="00142BC1">
              <w:t>related endocrinopathies</w:t>
            </w:r>
          </w:p>
        </w:tc>
        <w:tc>
          <w:tcPr>
            <w:tcW w:w="0" w:type="auto"/>
            <w:vAlign w:val="center"/>
          </w:tcPr>
          <w:p w14:paraId="295E7EA7" w14:textId="2B5F24FF"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63B4A3C0" w14:textId="557374BF"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2F7E428E" w14:textId="29785B00"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4B64B01B" w14:textId="06E99D96"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r>
              <w:t>†</w:t>
            </w:r>
          </w:p>
        </w:tc>
      </w:tr>
      <w:tr w:rsidR="00047802" w:rsidRPr="00D01DDB" w14:paraId="48B4B941" w14:textId="70C4E7A1" w:rsidTr="0070770A">
        <w:trPr>
          <w:trHeight w:val="386"/>
        </w:trPr>
        <w:tc>
          <w:tcPr>
            <w:cnfStyle w:val="001000000000" w:firstRow="0" w:lastRow="0" w:firstColumn="1" w:lastColumn="0" w:oddVBand="0" w:evenVBand="0" w:oddHBand="0" w:evenHBand="0" w:firstRowFirstColumn="0" w:firstRowLastColumn="0" w:lastRowFirstColumn="0" w:lastRowLastColumn="0"/>
            <w:tcW w:w="0" w:type="auto"/>
            <w:vMerge/>
          </w:tcPr>
          <w:p w14:paraId="0437AD15" w14:textId="2F708201" w:rsidR="00047802" w:rsidRPr="00D01DDB" w:rsidRDefault="00047802" w:rsidP="00047802">
            <w:pPr>
              <w:pStyle w:val="TableText"/>
            </w:pPr>
          </w:p>
        </w:tc>
        <w:tc>
          <w:tcPr>
            <w:tcW w:w="0" w:type="auto"/>
          </w:tcPr>
          <w:p w14:paraId="66F7BA58" w14:textId="5E54D179" w:rsidR="00047802" w:rsidRPr="00D01DDB" w:rsidRDefault="00047802" w:rsidP="00047802">
            <w:pPr>
              <w:pStyle w:val="TableText"/>
              <w:cnfStyle w:val="000000000000" w:firstRow="0" w:lastRow="0" w:firstColumn="0" w:lastColumn="0" w:oddVBand="0" w:evenVBand="0" w:oddHBand="0" w:evenHBand="0" w:firstRowFirstColumn="0" w:firstRowLastColumn="0" w:lastRowFirstColumn="0" w:lastRowLastColumn="0"/>
            </w:pPr>
            <w:r w:rsidRPr="00142BC1">
              <w:t>Immune</w:t>
            </w:r>
            <w:r w:rsidR="00B16B70">
              <w:t>-</w:t>
            </w:r>
            <w:r w:rsidRPr="00142BC1">
              <w:t>related nephritis and renal dysfunction</w:t>
            </w:r>
          </w:p>
        </w:tc>
        <w:tc>
          <w:tcPr>
            <w:tcW w:w="0" w:type="auto"/>
            <w:vAlign w:val="center"/>
          </w:tcPr>
          <w:p w14:paraId="53012CF2" w14:textId="7C1B18DC"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690FD023" w14:textId="02DC3AEF"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424E43EC" w14:textId="0947EA91"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4CF6F3F0" w14:textId="4B4F4A4D"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r>
              <w:t>†</w:t>
            </w:r>
          </w:p>
        </w:tc>
      </w:tr>
      <w:tr w:rsidR="00047802" w:rsidRPr="00D01DDB" w14:paraId="0B321E55" w14:textId="38F9201F" w:rsidTr="0070770A">
        <w:trPr>
          <w:trHeight w:val="386"/>
        </w:trPr>
        <w:tc>
          <w:tcPr>
            <w:cnfStyle w:val="001000000000" w:firstRow="0" w:lastRow="0" w:firstColumn="1" w:lastColumn="0" w:oddVBand="0" w:evenVBand="0" w:oddHBand="0" w:evenHBand="0" w:firstRowFirstColumn="0" w:firstRowLastColumn="0" w:lastRowFirstColumn="0" w:lastRowLastColumn="0"/>
            <w:tcW w:w="0" w:type="auto"/>
            <w:vMerge/>
          </w:tcPr>
          <w:p w14:paraId="5833D30B" w14:textId="256664E2" w:rsidR="00047802" w:rsidRPr="00D01DDB" w:rsidRDefault="00047802" w:rsidP="00047802">
            <w:pPr>
              <w:pStyle w:val="TableText"/>
            </w:pPr>
          </w:p>
        </w:tc>
        <w:tc>
          <w:tcPr>
            <w:tcW w:w="0" w:type="auto"/>
          </w:tcPr>
          <w:p w14:paraId="5734446E" w14:textId="76F4FEBF" w:rsidR="00047802" w:rsidRPr="00D01DDB" w:rsidRDefault="00047802" w:rsidP="00047802">
            <w:pPr>
              <w:pStyle w:val="TableText"/>
              <w:cnfStyle w:val="000000000000" w:firstRow="0" w:lastRow="0" w:firstColumn="0" w:lastColumn="0" w:oddVBand="0" w:evenVBand="0" w:oddHBand="0" w:evenHBand="0" w:firstRowFirstColumn="0" w:firstRowLastColumn="0" w:lastRowFirstColumn="0" w:lastRowLastColumn="0"/>
            </w:pPr>
            <w:r w:rsidRPr="00142BC1">
              <w:t>Immune</w:t>
            </w:r>
            <w:r w:rsidR="00B16B70">
              <w:t>-</w:t>
            </w:r>
            <w:r w:rsidRPr="00142BC1">
              <w:t>related skin ARs</w:t>
            </w:r>
          </w:p>
        </w:tc>
        <w:tc>
          <w:tcPr>
            <w:tcW w:w="0" w:type="auto"/>
            <w:vAlign w:val="center"/>
          </w:tcPr>
          <w:p w14:paraId="26EFCDAC" w14:textId="3695A20A"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7E135527" w14:textId="4B2E5818"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77335526" w14:textId="26FE6ECE"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4852083F" w14:textId="3BE23866"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r>
              <w:t>†</w:t>
            </w:r>
          </w:p>
        </w:tc>
      </w:tr>
      <w:tr w:rsidR="00047802" w:rsidRPr="00D01DDB" w14:paraId="5D746C29" w14:textId="0E134191" w:rsidTr="0070770A">
        <w:trPr>
          <w:trHeight w:val="386"/>
        </w:trPr>
        <w:tc>
          <w:tcPr>
            <w:cnfStyle w:val="001000000000" w:firstRow="0" w:lastRow="0" w:firstColumn="1" w:lastColumn="0" w:oddVBand="0" w:evenVBand="0" w:oddHBand="0" w:evenHBand="0" w:firstRowFirstColumn="0" w:firstRowLastColumn="0" w:lastRowFirstColumn="0" w:lastRowLastColumn="0"/>
            <w:tcW w:w="0" w:type="auto"/>
            <w:vMerge/>
          </w:tcPr>
          <w:p w14:paraId="1CC26BB6" w14:textId="76676973" w:rsidR="00047802" w:rsidRPr="00D01DDB" w:rsidRDefault="00047802" w:rsidP="00047802">
            <w:pPr>
              <w:pStyle w:val="TableText"/>
            </w:pPr>
          </w:p>
        </w:tc>
        <w:tc>
          <w:tcPr>
            <w:tcW w:w="0" w:type="auto"/>
          </w:tcPr>
          <w:p w14:paraId="69AAEDDF" w14:textId="2FDDE5E4" w:rsidR="00047802" w:rsidRPr="00D01DDB" w:rsidRDefault="00047802" w:rsidP="00047802">
            <w:pPr>
              <w:pStyle w:val="TableText"/>
              <w:cnfStyle w:val="000000000000" w:firstRow="0" w:lastRow="0" w:firstColumn="0" w:lastColumn="0" w:oddVBand="0" w:evenVBand="0" w:oddHBand="0" w:evenHBand="0" w:firstRowFirstColumn="0" w:firstRowLastColumn="0" w:lastRowFirstColumn="0" w:lastRowLastColumn="0"/>
            </w:pPr>
            <w:r w:rsidRPr="00142BC1">
              <w:t>Immune</w:t>
            </w:r>
            <w:r w:rsidR="00B16B70">
              <w:t>-</w:t>
            </w:r>
            <w:r w:rsidRPr="00142BC1">
              <w:t>related myocarditis</w:t>
            </w:r>
          </w:p>
        </w:tc>
        <w:tc>
          <w:tcPr>
            <w:tcW w:w="0" w:type="auto"/>
            <w:vAlign w:val="center"/>
          </w:tcPr>
          <w:p w14:paraId="3EAE4E6F" w14:textId="257625B0"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6D004BAA" w14:textId="14AA89D1"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1F892318" w14:textId="09ED9C2C"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13C701A3" w14:textId="709A8562"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r>
              <w:t>†</w:t>
            </w:r>
          </w:p>
        </w:tc>
      </w:tr>
      <w:tr w:rsidR="00047802" w:rsidRPr="00D01DDB" w14:paraId="1B633797" w14:textId="54969943" w:rsidTr="0070770A">
        <w:trPr>
          <w:trHeight w:val="386"/>
        </w:trPr>
        <w:tc>
          <w:tcPr>
            <w:cnfStyle w:val="001000000000" w:firstRow="0" w:lastRow="0" w:firstColumn="1" w:lastColumn="0" w:oddVBand="0" w:evenVBand="0" w:oddHBand="0" w:evenHBand="0" w:firstRowFirstColumn="0" w:firstRowLastColumn="0" w:lastRowFirstColumn="0" w:lastRowLastColumn="0"/>
            <w:tcW w:w="0" w:type="auto"/>
            <w:vMerge/>
          </w:tcPr>
          <w:p w14:paraId="56664D2A" w14:textId="19BA4285" w:rsidR="00047802" w:rsidRPr="00D01DDB" w:rsidRDefault="00047802" w:rsidP="00047802">
            <w:pPr>
              <w:pStyle w:val="TableText"/>
            </w:pPr>
          </w:p>
        </w:tc>
        <w:tc>
          <w:tcPr>
            <w:tcW w:w="0" w:type="auto"/>
          </w:tcPr>
          <w:p w14:paraId="2DAB3028" w14:textId="6EC92315" w:rsidR="00047802" w:rsidRPr="00D01DDB" w:rsidRDefault="00047802" w:rsidP="00047802">
            <w:pPr>
              <w:pStyle w:val="TableText"/>
              <w:cnfStyle w:val="000000000000" w:firstRow="0" w:lastRow="0" w:firstColumn="0" w:lastColumn="0" w:oddVBand="0" w:evenVBand="0" w:oddHBand="0" w:evenHBand="0" w:firstRowFirstColumn="0" w:firstRowLastColumn="0" w:lastRowFirstColumn="0" w:lastRowLastColumn="0"/>
            </w:pPr>
            <w:r w:rsidRPr="00163697">
              <w:t>Immune</w:t>
            </w:r>
            <w:r w:rsidR="00B16B70">
              <w:t>-</w:t>
            </w:r>
            <w:r w:rsidRPr="00163697">
              <w:t xml:space="preserve">related neurological </w:t>
            </w:r>
            <w:r>
              <w:t>ARs</w:t>
            </w:r>
          </w:p>
        </w:tc>
        <w:tc>
          <w:tcPr>
            <w:tcW w:w="0" w:type="auto"/>
            <w:vAlign w:val="center"/>
          </w:tcPr>
          <w:p w14:paraId="6EAADB07" w14:textId="4090926D"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6DF83B7E" w14:textId="5E06D9C6"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7B947245" w14:textId="7B8CF476"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30829162" w14:textId="72FBE2C1"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r>
              <w:t>†</w:t>
            </w:r>
          </w:p>
        </w:tc>
      </w:tr>
      <w:tr w:rsidR="00047802" w:rsidRPr="00D01DDB" w14:paraId="272EB00A" w14:textId="1C10219D" w:rsidTr="0070770A">
        <w:trPr>
          <w:trHeight w:val="386"/>
        </w:trPr>
        <w:tc>
          <w:tcPr>
            <w:cnfStyle w:val="001000000000" w:firstRow="0" w:lastRow="0" w:firstColumn="1" w:lastColumn="0" w:oddVBand="0" w:evenVBand="0" w:oddHBand="0" w:evenHBand="0" w:firstRowFirstColumn="0" w:firstRowLastColumn="0" w:lastRowFirstColumn="0" w:lastRowLastColumn="0"/>
            <w:tcW w:w="0" w:type="auto"/>
            <w:vMerge/>
          </w:tcPr>
          <w:p w14:paraId="48585327" w14:textId="411495BB" w:rsidR="00047802" w:rsidRPr="00D01DDB" w:rsidRDefault="00047802" w:rsidP="00047802">
            <w:pPr>
              <w:pStyle w:val="TableText"/>
            </w:pPr>
          </w:p>
        </w:tc>
        <w:tc>
          <w:tcPr>
            <w:tcW w:w="0" w:type="auto"/>
          </w:tcPr>
          <w:p w14:paraId="7F7ADAF4" w14:textId="3553D2DE" w:rsidR="00047802" w:rsidRPr="00D01DDB" w:rsidRDefault="00047802" w:rsidP="00047802">
            <w:pPr>
              <w:pStyle w:val="TableText"/>
              <w:cnfStyle w:val="000000000000" w:firstRow="0" w:lastRow="0" w:firstColumn="0" w:lastColumn="0" w:oddVBand="0" w:evenVBand="0" w:oddHBand="0" w:evenHBand="0" w:firstRowFirstColumn="0" w:firstRowLastColumn="0" w:lastRowFirstColumn="0" w:lastRowLastColumn="0"/>
            </w:pPr>
            <w:r w:rsidRPr="00142BC1">
              <w:t>Other immune</w:t>
            </w:r>
            <w:r w:rsidR="00B16B70">
              <w:t>-</w:t>
            </w:r>
            <w:r w:rsidRPr="00142BC1">
              <w:t>related ARs</w:t>
            </w:r>
            <w:r>
              <w:t xml:space="preserve"> </w:t>
            </w:r>
            <w:r w:rsidRPr="00163697">
              <w:t>#</w:t>
            </w:r>
          </w:p>
        </w:tc>
        <w:tc>
          <w:tcPr>
            <w:tcW w:w="0" w:type="auto"/>
            <w:vAlign w:val="center"/>
          </w:tcPr>
          <w:p w14:paraId="727BF926" w14:textId="054E3000"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4D21AC80" w14:textId="7C786CA9"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16AF0BC4" w14:textId="698B40B6"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31E642AD" w14:textId="44370484"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r>
              <w:t>†</w:t>
            </w:r>
          </w:p>
        </w:tc>
      </w:tr>
      <w:tr w:rsidR="00047802" w:rsidRPr="00D01DDB" w14:paraId="1E8526ED" w14:textId="6998BAFD" w:rsidTr="0070770A">
        <w:trPr>
          <w:trHeight w:val="386"/>
        </w:trPr>
        <w:tc>
          <w:tcPr>
            <w:cnfStyle w:val="001000000000" w:firstRow="0" w:lastRow="0" w:firstColumn="1" w:lastColumn="0" w:oddVBand="0" w:evenVBand="0" w:oddHBand="0" w:evenHBand="0" w:firstRowFirstColumn="0" w:firstRowLastColumn="0" w:lastRowFirstColumn="0" w:lastRowLastColumn="0"/>
            <w:tcW w:w="0" w:type="auto"/>
          </w:tcPr>
          <w:p w14:paraId="45242A9A" w14:textId="7BEFD1C7" w:rsidR="00047802" w:rsidRPr="00D01DDB" w:rsidRDefault="00047802" w:rsidP="00047802">
            <w:pPr>
              <w:pStyle w:val="TableText"/>
            </w:pPr>
            <w:r w:rsidRPr="00163697">
              <w:rPr>
                <w:color w:val="auto"/>
              </w:rPr>
              <w:t>Important potential risks</w:t>
            </w:r>
          </w:p>
        </w:tc>
        <w:tc>
          <w:tcPr>
            <w:tcW w:w="0" w:type="auto"/>
          </w:tcPr>
          <w:p w14:paraId="17832DEA" w14:textId="5E838EE9" w:rsidR="00047802" w:rsidRPr="00D01DDB" w:rsidRDefault="00047802" w:rsidP="00047802">
            <w:pPr>
              <w:pStyle w:val="TableText"/>
              <w:cnfStyle w:val="000000000000" w:firstRow="0" w:lastRow="0" w:firstColumn="0" w:lastColumn="0" w:oddVBand="0" w:evenVBand="0" w:oddHBand="0" w:evenHBand="0" w:firstRowFirstColumn="0" w:firstRowLastColumn="0" w:lastRowFirstColumn="0" w:lastRowLastColumn="0"/>
            </w:pPr>
            <w:proofErr w:type="spellStart"/>
            <w:r w:rsidRPr="00142BC1">
              <w:t>Embryofetal</w:t>
            </w:r>
            <w:proofErr w:type="spellEnd"/>
            <w:r w:rsidRPr="00142BC1">
              <w:t xml:space="preserve"> toxicity</w:t>
            </w:r>
          </w:p>
        </w:tc>
        <w:tc>
          <w:tcPr>
            <w:tcW w:w="0" w:type="auto"/>
            <w:vAlign w:val="center"/>
          </w:tcPr>
          <w:p w14:paraId="64CED32B" w14:textId="23941FA8"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78CE52F4" w14:textId="6C6325BC"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784DEA82" w14:textId="1E3E6B0C"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234A7B71" w14:textId="5A390AB8"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t>-</w:t>
            </w:r>
          </w:p>
        </w:tc>
      </w:tr>
      <w:tr w:rsidR="00047802" w:rsidRPr="00D01DDB" w14:paraId="2A9328A6" w14:textId="7B6E575E" w:rsidTr="0070770A">
        <w:trPr>
          <w:trHeight w:val="386"/>
        </w:trPr>
        <w:tc>
          <w:tcPr>
            <w:cnfStyle w:val="001000000000" w:firstRow="0" w:lastRow="0" w:firstColumn="1" w:lastColumn="0" w:oddVBand="0" w:evenVBand="0" w:oddHBand="0" w:evenHBand="0" w:firstRowFirstColumn="0" w:firstRowLastColumn="0" w:lastRowFirstColumn="0" w:lastRowLastColumn="0"/>
            <w:tcW w:w="0" w:type="auto"/>
          </w:tcPr>
          <w:p w14:paraId="75331F6C" w14:textId="3A4FBC59" w:rsidR="00047802" w:rsidRPr="00D01DDB" w:rsidRDefault="00047802" w:rsidP="00047802">
            <w:pPr>
              <w:pStyle w:val="TableText"/>
            </w:pPr>
            <w:r w:rsidRPr="00163697">
              <w:rPr>
                <w:color w:val="auto"/>
              </w:rPr>
              <w:t>Missing information</w:t>
            </w:r>
          </w:p>
        </w:tc>
        <w:tc>
          <w:tcPr>
            <w:tcW w:w="0" w:type="auto"/>
          </w:tcPr>
          <w:p w14:paraId="45495D75" w14:textId="55086583" w:rsidR="00047802" w:rsidRPr="00D01DDB" w:rsidRDefault="00047802" w:rsidP="00047802">
            <w:pPr>
              <w:pStyle w:val="TableText"/>
              <w:cnfStyle w:val="000000000000" w:firstRow="0" w:lastRow="0" w:firstColumn="0" w:lastColumn="0" w:oddVBand="0" w:evenVBand="0" w:oddHBand="0" w:evenHBand="0" w:firstRowFirstColumn="0" w:firstRowLastColumn="0" w:lastRowFirstColumn="0" w:lastRowLastColumn="0"/>
            </w:pPr>
            <w:r w:rsidRPr="00142BC1">
              <w:t>Long term safety (including growth and development disorders) in</w:t>
            </w:r>
            <w:r>
              <w:t xml:space="preserve"> </w:t>
            </w:r>
            <w:r w:rsidRPr="00142BC1">
              <w:t>paediatric patients 12 years of age</w:t>
            </w:r>
            <w:r>
              <w:t xml:space="preserve"> and older</w:t>
            </w:r>
          </w:p>
        </w:tc>
        <w:tc>
          <w:tcPr>
            <w:tcW w:w="0" w:type="auto"/>
            <w:vAlign w:val="center"/>
          </w:tcPr>
          <w:p w14:paraId="175E5D26" w14:textId="048F3797"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2F0065B5" w14:textId="65F4D156"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r>
              <w:t>*</w:t>
            </w:r>
          </w:p>
        </w:tc>
        <w:tc>
          <w:tcPr>
            <w:tcW w:w="0" w:type="auto"/>
            <w:vAlign w:val="center"/>
          </w:tcPr>
          <w:p w14:paraId="58545FB4" w14:textId="5B9D7889"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rsidRPr="004903F9">
              <w:rPr>
                <w:rFonts w:ascii="Wingdings" w:eastAsia="Wingdings" w:hAnsi="Wingdings" w:cs="Wingdings"/>
              </w:rPr>
              <w:t>ü</w:t>
            </w:r>
          </w:p>
        </w:tc>
        <w:tc>
          <w:tcPr>
            <w:tcW w:w="0" w:type="auto"/>
            <w:vAlign w:val="center"/>
          </w:tcPr>
          <w:p w14:paraId="531AAFA0" w14:textId="63EC0B84" w:rsidR="00047802" w:rsidRPr="00D01DDB" w:rsidRDefault="00047802" w:rsidP="00047802">
            <w:pPr>
              <w:pStyle w:val="TableText"/>
              <w:jc w:val="center"/>
              <w:cnfStyle w:val="000000000000" w:firstRow="0" w:lastRow="0" w:firstColumn="0" w:lastColumn="0" w:oddVBand="0" w:evenVBand="0" w:oddHBand="0" w:evenHBand="0" w:firstRowFirstColumn="0" w:firstRowLastColumn="0" w:lastRowFirstColumn="0" w:lastRowLastColumn="0"/>
            </w:pPr>
            <w:r>
              <w:t>-</w:t>
            </w:r>
          </w:p>
        </w:tc>
      </w:tr>
    </w:tbl>
    <w:p w14:paraId="3B014290" w14:textId="3766BD84" w:rsidR="00047802" w:rsidRDefault="00047802" w:rsidP="00047802">
      <w:pPr>
        <w:pStyle w:val="TableDescription"/>
      </w:pPr>
      <w:r>
        <w:t>*Study CA224122</w:t>
      </w:r>
    </w:p>
    <w:p w14:paraId="3A63574B" w14:textId="77777777" w:rsidR="00047802" w:rsidRDefault="00047802" w:rsidP="00047802">
      <w:pPr>
        <w:pStyle w:val="TableDescription"/>
      </w:pPr>
      <w:r>
        <w:t>† Patient Card</w:t>
      </w:r>
    </w:p>
    <w:p w14:paraId="1018AEF1" w14:textId="56F54692" w:rsidR="00047802" w:rsidRDefault="00047802" w:rsidP="00047802">
      <w:pPr>
        <w:pStyle w:val="TableDescription"/>
      </w:pPr>
      <w:r>
        <w:t xml:space="preserve"># Includes risk of </w:t>
      </w:r>
      <w:r w:rsidR="00B651DF">
        <w:t xml:space="preserve">graft-versus-host disease </w:t>
      </w:r>
      <w:r>
        <w:t xml:space="preserve">after allogeneic </w:t>
      </w:r>
      <w:r w:rsidR="00B651DF">
        <w:t>haematopoietic stem cell transplantation</w:t>
      </w:r>
      <w:r>
        <w:t xml:space="preserve">. The </w:t>
      </w:r>
      <w:r w:rsidR="004F5CB8">
        <w:t>s</w:t>
      </w:r>
      <w:r>
        <w:t>ponsor has committed to providing an updated ASA including immune</w:t>
      </w:r>
      <w:r w:rsidR="00B651DF">
        <w:t xml:space="preserve"> </w:t>
      </w:r>
      <w:r>
        <w:t>related neurological adverse reactions as an important identified risk.</w:t>
      </w:r>
    </w:p>
    <w:p w14:paraId="369A8A1F" w14:textId="0A62EC44" w:rsidR="00A8519A" w:rsidRDefault="004E7F82" w:rsidP="00D13A84">
      <w:r w:rsidRPr="00163697">
        <w:t>Routine risk minimisation activities are proposed for all safety concerns</w:t>
      </w:r>
      <w:r>
        <w:t xml:space="preserve">, as well as a patient </w:t>
      </w:r>
      <w:r w:rsidRPr="00B80B59">
        <w:t>card regarding immune</w:t>
      </w:r>
      <w:r w:rsidR="00B16B70">
        <w:t>-</w:t>
      </w:r>
      <w:r w:rsidRPr="00B80B59">
        <w:t>related adverse reaction</w:t>
      </w:r>
      <w:r w:rsidR="00B16B70">
        <w:t>s</w:t>
      </w:r>
      <w:r w:rsidRPr="00B80B59">
        <w:t xml:space="preserve">. In addition, the </w:t>
      </w:r>
      <w:r w:rsidR="004F5CB8" w:rsidRPr="00B80B59">
        <w:t>s</w:t>
      </w:r>
      <w:r w:rsidRPr="00B80B59">
        <w:t xml:space="preserve">ponsor plans to conduct </w:t>
      </w:r>
      <w:r w:rsidR="00D13A84">
        <w:t>S</w:t>
      </w:r>
      <w:r w:rsidRPr="00B80B59">
        <w:t>tudy CA224122</w:t>
      </w:r>
      <w:r w:rsidR="00D13A84">
        <w:t>, on</w:t>
      </w:r>
      <w:r w:rsidRPr="00B80B59">
        <w:t xml:space="preserve"> long</w:t>
      </w:r>
      <w:r w:rsidR="00B16B70">
        <w:t>-</w:t>
      </w:r>
      <w:r w:rsidRPr="00B80B59">
        <w:t>term follow</w:t>
      </w:r>
      <w:r w:rsidR="00D13A84">
        <w:noBreakHyphen/>
      </w:r>
      <w:r w:rsidRPr="00B80B59">
        <w:t xml:space="preserve">up of paediatric patients </w:t>
      </w:r>
      <w:r w:rsidR="00E527C9">
        <w:t xml:space="preserve">exposed to </w:t>
      </w:r>
      <w:proofErr w:type="spellStart"/>
      <w:r w:rsidR="00E527C9">
        <w:t>Opdualag</w:t>
      </w:r>
      <w:proofErr w:type="spellEnd"/>
      <w:r w:rsidR="00E527C9">
        <w:t xml:space="preserve"> in the Dutch Melanoma Treatment Registry.</w:t>
      </w:r>
    </w:p>
    <w:p w14:paraId="76CF54F3" w14:textId="100EB3AA" w:rsidR="004E7F82" w:rsidRPr="00556673" w:rsidRDefault="00047802" w:rsidP="004E7F82">
      <w:r>
        <w:t xml:space="preserve">The </w:t>
      </w:r>
      <w:r w:rsidR="004E7F82">
        <w:t xml:space="preserve">TGA </w:t>
      </w:r>
      <w:r w:rsidR="004E50B7">
        <w:t>suggested</w:t>
      </w:r>
      <w:r w:rsidR="004E7F82">
        <w:t xml:space="preserve"> a</w:t>
      </w:r>
      <w:r w:rsidR="004E7F82" w:rsidRPr="00163697">
        <w:t xml:space="preserve"> similar register for Australian paediatric patients should be considered</w:t>
      </w:r>
      <w:r w:rsidR="005D2193">
        <w:t>.</w:t>
      </w:r>
      <w:r w:rsidR="004E7F82" w:rsidRPr="00163697">
        <w:t xml:space="preserve"> </w:t>
      </w:r>
      <w:r w:rsidR="000E4C44" w:rsidRPr="00556673">
        <w:t xml:space="preserve">The sponsor provided information to justify why, </w:t>
      </w:r>
      <w:proofErr w:type="gramStart"/>
      <w:r w:rsidR="000E4C44" w:rsidRPr="00556673">
        <w:t>at this point in time</w:t>
      </w:r>
      <w:proofErr w:type="gramEnd"/>
      <w:r w:rsidR="000E4C44" w:rsidRPr="00556673">
        <w:t>, long-term systematic data collection in Australian adolescent patients is not feasible</w:t>
      </w:r>
      <w:r w:rsidR="00E527C9" w:rsidRPr="00556673">
        <w:t>,</w:t>
      </w:r>
      <w:r w:rsidR="000E4C44" w:rsidRPr="00556673">
        <w:t xml:space="preserve"> which was accepted by the TGA. The sponsor committed to continue to explore other options for collecting long</w:t>
      </w:r>
      <w:r w:rsidR="00B16B70">
        <w:t>-</w:t>
      </w:r>
      <w:r w:rsidR="000E4C44" w:rsidRPr="00556673">
        <w:t>term safety</w:t>
      </w:r>
      <w:r w:rsidR="00B16B70">
        <w:t xml:space="preserve"> data</w:t>
      </w:r>
      <w:r w:rsidR="000E4C44" w:rsidRPr="00556673">
        <w:t xml:space="preserve"> in adolescent population</w:t>
      </w:r>
      <w:r w:rsidR="00B16B70">
        <w:t>s</w:t>
      </w:r>
      <w:r w:rsidR="000E4C44" w:rsidRPr="00556673">
        <w:t xml:space="preserve"> besides the </w:t>
      </w:r>
      <w:r w:rsidR="00E527C9" w:rsidRPr="00556673">
        <w:t>Dutch Melanoma Treatment Registry</w:t>
      </w:r>
      <w:r w:rsidR="000E4C44" w:rsidRPr="00556673">
        <w:t xml:space="preserve"> and will conduct its routine pharmacovigilance responsibilities. </w:t>
      </w:r>
      <w:r w:rsidR="004E7F82" w:rsidRPr="00556673">
        <w:t>This has been noted and the proposed pharmacovigilance plan is acceptable from an RMP perspective.</w:t>
      </w:r>
    </w:p>
    <w:p w14:paraId="5880E785" w14:textId="667B3470" w:rsidR="00B80B59" w:rsidRPr="00163697" w:rsidRDefault="00B80B59" w:rsidP="004E7F82">
      <w:r>
        <w:t>C</w:t>
      </w:r>
      <w:r w:rsidRPr="009501A1">
        <w:t xml:space="preserve">onditions of registration </w:t>
      </w:r>
      <w:r>
        <w:t xml:space="preserve">related to the RMP </w:t>
      </w:r>
      <w:r w:rsidRPr="009501A1">
        <w:t>are proposed.</w:t>
      </w:r>
    </w:p>
    <w:p w14:paraId="74A4F87F" w14:textId="77777777" w:rsidR="00C22214" w:rsidRDefault="00C22214" w:rsidP="00C22214">
      <w:pPr>
        <w:pStyle w:val="Heading3"/>
      </w:pPr>
      <w:bookmarkStart w:id="127" w:name="_Toc103679299"/>
      <w:bookmarkStart w:id="128" w:name="_Toc154134530"/>
      <w:r>
        <w:lastRenderedPageBreak/>
        <w:t>Risk-benefit analysis</w:t>
      </w:r>
      <w:bookmarkEnd w:id="123"/>
      <w:bookmarkEnd w:id="124"/>
      <w:bookmarkEnd w:id="127"/>
      <w:bookmarkEnd w:id="128"/>
    </w:p>
    <w:p w14:paraId="4EDDECB2" w14:textId="1632BFC6" w:rsidR="00E54637" w:rsidRDefault="00D6339F" w:rsidP="00D6339F">
      <w:pPr>
        <w:pStyle w:val="Heading4"/>
      </w:pPr>
      <w:bookmarkStart w:id="129" w:name="_Toc154134531"/>
      <w:r>
        <w:t>Delegate’s consideration</w:t>
      </w:r>
      <w:bookmarkEnd w:id="129"/>
    </w:p>
    <w:p w14:paraId="33F3BCDD" w14:textId="7220D528" w:rsidR="00277E1D" w:rsidRPr="00277E1D" w:rsidRDefault="00277E1D" w:rsidP="00277E1D">
      <w:pPr>
        <w:pStyle w:val="Heading5"/>
      </w:pPr>
      <w:bookmarkStart w:id="130" w:name="_Ref154129564"/>
      <w:r>
        <w:t>Summary of key data</w:t>
      </w:r>
      <w:bookmarkEnd w:id="130"/>
    </w:p>
    <w:p w14:paraId="77B0979E" w14:textId="1AA13339" w:rsidR="00D6339F" w:rsidRDefault="00D6339F" w:rsidP="00D6339F">
      <w:r>
        <w:t>Advanced (locally advanced and unresectable, or metastatic) melanoma is a serious and life</w:t>
      </w:r>
      <w:r w:rsidR="008A1A01">
        <w:t>-</w:t>
      </w:r>
      <w:r>
        <w:t>threatening condition. Despite remarkable progress of systemic therapies since 2010, 5</w:t>
      </w:r>
      <w:r w:rsidR="00B651DF">
        <w:noBreakHyphen/>
      </w:r>
      <w:r>
        <w:t>year survival rates remain around 50%.</w:t>
      </w:r>
    </w:p>
    <w:p w14:paraId="4CB578DE" w14:textId="77777777" w:rsidR="00D6339F" w:rsidRDefault="00D6339F" w:rsidP="00D6339F">
      <w:r>
        <w:t xml:space="preserve">Nivolumab and </w:t>
      </w:r>
      <w:proofErr w:type="spellStart"/>
      <w:r>
        <w:t>relatlimab</w:t>
      </w:r>
      <w:proofErr w:type="spellEnd"/>
      <w:r>
        <w:t xml:space="preserve"> are both inhibitors of ‘checkpoint’ molecules that downregulate activation of immune effector cells (PD-1 and LAG-3, respectively). Nivolumab as a monotherapy is already registered for the treatment of advanced melanoma and was the comparator in the pivotal study.</w:t>
      </w:r>
    </w:p>
    <w:p w14:paraId="68EAA8D9" w14:textId="490F705A" w:rsidR="00D6339F" w:rsidRDefault="00B651DF" w:rsidP="00D6339F">
      <w:r>
        <w:t>Study CA224047 (</w:t>
      </w:r>
      <w:r w:rsidR="003269A5">
        <w:t>RELATIVITY-047</w:t>
      </w:r>
      <w:r w:rsidR="00D6339F">
        <w:t>) is an ongoing, double</w:t>
      </w:r>
      <w:r w:rsidR="00B16B70">
        <w:t>-</w:t>
      </w:r>
      <w:r w:rsidR="00D6339F">
        <w:t xml:space="preserve">blind, randomised, multicentre study in 714 patients with advanced unresectable or metastatic melanoma, who had not received prior systemic therapy in the metastatic setting. Patients were randomised (1:1) to receive </w:t>
      </w:r>
      <w:proofErr w:type="spellStart"/>
      <w:r w:rsidR="00D6339F">
        <w:t>Opdualag</w:t>
      </w:r>
      <w:proofErr w:type="spellEnd"/>
      <w:r w:rsidR="00D6339F">
        <w:t xml:space="preserve"> (nivolumab 480 mg plus </w:t>
      </w:r>
      <w:proofErr w:type="spellStart"/>
      <w:r w:rsidR="00D6339F">
        <w:t>relatlimab</w:t>
      </w:r>
      <w:proofErr w:type="spellEnd"/>
      <w:r w:rsidR="00D6339F">
        <w:t xml:space="preserve"> 160 mg) intravenously once every 4 weeks (n</w:t>
      </w:r>
      <w:r w:rsidR="00B83235">
        <w:t> = </w:t>
      </w:r>
      <w:r w:rsidR="00D6339F">
        <w:t>355) or nivolumab monotherapy 480 mg intravenously once every 4 weeks (n</w:t>
      </w:r>
      <w:r w:rsidR="00B83235">
        <w:t> = </w:t>
      </w:r>
      <w:r w:rsidR="00D6339F">
        <w:t>359) until radiographic progression or unacceptable toxicity.</w:t>
      </w:r>
    </w:p>
    <w:p w14:paraId="0D5C829F" w14:textId="35A6CDBE" w:rsidR="00D6339F" w:rsidRDefault="00D6339F" w:rsidP="00D6339F">
      <w:r>
        <w:t>Paediatric patients aged at least 12 years were allowed to enrol but no paediatric patient was enrolled. Efficacy and safety in paediatric patients must therefore be extrapolated from adult data.</w:t>
      </w:r>
    </w:p>
    <w:p w14:paraId="310BD5EB" w14:textId="2F751E9A" w:rsidR="00D6339F" w:rsidRDefault="00B651DF" w:rsidP="00B651DF">
      <w:r>
        <w:t>T</w:t>
      </w:r>
      <w:r w:rsidR="003269A5">
        <w:t>he RELATIVITY-047 trial</w:t>
      </w:r>
      <w:r w:rsidR="00D6339F">
        <w:t xml:space="preserve"> demonstrated a statistically significant and clinically meaningful improvement in the primary endpoint: progression</w:t>
      </w:r>
      <w:r w:rsidR="00C808E2">
        <w:noBreakHyphen/>
      </w:r>
      <w:r w:rsidR="00D6339F">
        <w:t xml:space="preserve">free survival (PFS) in patients treated with nivolumab </w:t>
      </w:r>
      <w:r w:rsidR="00D6339F" w:rsidRPr="005A3D40">
        <w:t xml:space="preserve">with </w:t>
      </w:r>
      <w:proofErr w:type="spellStart"/>
      <w:r w:rsidR="00D6339F" w:rsidRPr="005A3D40">
        <w:t>relatlimab</w:t>
      </w:r>
      <w:proofErr w:type="spellEnd"/>
      <w:r w:rsidR="00D6339F" w:rsidRPr="005A3D40">
        <w:t xml:space="preserve"> compared to nivolumab (</w:t>
      </w:r>
      <w:r w:rsidRPr="00B651DF">
        <w:t>hazard ratio</w:t>
      </w:r>
      <w:r w:rsidR="00D6339F" w:rsidRPr="005A3D40">
        <w:t xml:space="preserve"> of 0.75 </w:t>
      </w:r>
      <w:r>
        <w:t>(</w:t>
      </w:r>
      <w:r w:rsidR="00D6339F" w:rsidRPr="005A3D40">
        <w:t>0.62, 0.92</w:t>
      </w:r>
      <w:r>
        <w:t>)</w:t>
      </w:r>
      <w:r w:rsidR="00D6339F" w:rsidRPr="005A3D40">
        <w:t>, p</w:t>
      </w:r>
      <w:r w:rsidR="00B83235">
        <w:t> = </w:t>
      </w:r>
      <w:r w:rsidR="00D6339F" w:rsidRPr="005A3D40">
        <w:t>0.0055). The difference in</w:t>
      </w:r>
      <w:r w:rsidR="00D6339F">
        <w:t xml:space="preserve"> median PFS between arms was 5.5 months.</w:t>
      </w:r>
    </w:p>
    <w:p w14:paraId="2E1A6F24" w14:textId="3B6D9407" w:rsidR="00D6339F" w:rsidRDefault="00D6339F" w:rsidP="00D6339F">
      <w:r>
        <w:t xml:space="preserve">The safety of </w:t>
      </w:r>
      <w:proofErr w:type="spellStart"/>
      <w:r>
        <w:t>Opdualag</w:t>
      </w:r>
      <w:proofErr w:type="spellEnd"/>
      <w:r>
        <w:t xml:space="preserve"> for the treatment of advanced melanoma appears acceptable for a therapy used for the treatment of a serious and life</w:t>
      </w:r>
      <w:r w:rsidR="00B16B70">
        <w:t>-</w:t>
      </w:r>
      <w:r>
        <w:t>threatening disease, with a toxicity profile</w:t>
      </w:r>
      <w:r w:rsidR="00B651DF">
        <w:t>,</w:t>
      </w:r>
      <w:r>
        <w:t xml:space="preserve"> as for that of nivolumab monotherapy</w:t>
      </w:r>
      <w:r w:rsidR="00B651DF">
        <w:t>,</w:t>
      </w:r>
      <w:r>
        <w:t xml:space="preserve"> dominated by immune</w:t>
      </w:r>
      <w:r w:rsidR="00B16B70">
        <w:t>-</w:t>
      </w:r>
      <w:r>
        <w:t xml:space="preserve">related adverse events. The rates of adverse events were generally higher with </w:t>
      </w:r>
      <w:proofErr w:type="spellStart"/>
      <w:r w:rsidR="00B16B70">
        <w:t>Opdualag</w:t>
      </w:r>
      <w:proofErr w:type="spellEnd"/>
      <w:r>
        <w:t xml:space="preserve"> than with nivolumab</w:t>
      </w:r>
      <w:r w:rsidR="00B16B70">
        <w:t xml:space="preserve"> monotherapy</w:t>
      </w:r>
      <w:r>
        <w:t xml:space="preserve">, but the difference between arms was generally less than 10%. Grade 3 and 4 adverse events were 7% more frequent, serious adverse events were 6% more frequent, and adverse events leading to permanent discontinuation were 8% more frequent in the </w:t>
      </w:r>
      <w:proofErr w:type="spellStart"/>
      <w:r w:rsidR="00B16B70">
        <w:t>Opdualag</w:t>
      </w:r>
      <w:proofErr w:type="spellEnd"/>
      <w:r>
        <w:t xml:space="preserve"> arm. Myocarditis was of </w:t>
      </w:r>
      <w:proofErr w:type="gramStart"/>
      <w:r>
        <w:t>particular note</w:t>
      </w:r>
      <w:proofErr w:type="gramEnd"/>
      <w:r>
        <w:t xml:space="preserve"> as it is rare with nivolumab monotherapy but occurred in 1.7% of patients in the </w:t>
      </w:r>
      <w:proofErr w:type="spellStart"/>
      <w:r w:rsidR="00B16B70">
        <w:t>Opdualag</w:t>
      </w:r>
      <w:proofErr w:type="spellEnd"/>
      <w:r>
        <w:t xml:space="preserve"> arm, whil</w:t>
      </w:r>
      <w:r w:rsidR="00277E1D">
        <w:t>e non</w:t>
      </w:r>
      <w:r>
        <w:t>clinical data had predicted that this event may be a particular risk</w:t>
      </w:r>
      <w:r w:rsidR="00960765">
        <w:t xml:space="preserve"> with the combination</w:t>
      </w:r>
      <w:r>
        <w:t xml:space="preserve">. The most common adverse events leading to discontinuation of </w:t>
      </w:r>
      <w:proofErr w:type="spellStart"/>
      <w:r w:rsidR="00960765">
        <w:t>Opdualag</w:t>
      </w:r>
      <w:proofErr w:type="spellEnd"/>
      <w:r>
        <w:t xml:space="preserve"> were immune</w:t>
      </w:r>
      <w:r w:rsidR="00960765">
        <w:t>-</w:t>
      </w:r>
      <w:r>
        <w:t xml:space="preserve">related diarrhoea, </w:t>
      </w:r>
      <w:proofErr w:type="gramStart"/>
      <w:r>
        <w:t>pneumonitis</w:t>
      </w:r>
      <w:proofErr w:type="gramEnd"/>
      <w:r>
        <w:t xml:space="preserve"> or myocarditis. Deaths related to study drug toxicity occurred in 0.8% of the </w:t>
      </w:r>
      <w:proofErr w:type="spellStart"/>
      <w:r w:rsidR="00960765">
        <w:t>Opdualag</w:t>
      </w:r>
      <w:proofErr w:type="spellEnd"/>
      <w:r>
        <w:t xml:space="preserve"> arm and 0.6% of the nivo</w:t>
      </w:r>
      <w:r w:rsidR="00277E1D">
        <w:t>lumab</w:t>
      </w:r>
      <w:r>
        <w:t xml:space="preserve"> arm.</w:t>
      </w:r>
    </w:p>
    <w:p w14:paraId="47267897" w14:textId="63844E97" w:rsidR="00D6339F" w:rsidRDefault="00D6339F" w:rsidP="00D6339F">
      <w:r>
        <w:t xml:space="preserve">Immunogenicity was rare (neutralising antibodies occurred in 0.3% of patients receiving </w:t>
      </w:r>
      <w:proofErr w:type="spellStart"/>
      <w:r>
        <w:t>O</w:t>
      </w:r>
      <w:r w:rsidR="00277E1D">
        <w:t>pdualag</w:t>
      </w:r>
      <w:proofErr w:type="spellEnd"/>
      <w:r>
        <w:t xml:space="preserve">), precluding conclusions regarding its effect on </w:t>
      </w:r>
      <w:r w:rsidR="00277E1D">
        <w:t>pharmacokinetics</w:t>
      </w:r>
      <w:r>
        <w:t xml:space="preserve">, </w:t>
      </w:r>
      <w:proofErr w:type="gramStart"/>
      <w:r>
        <w:t>efficacy</w:t>
      </w:r>
      <w:proofErr w:type="gramEnd"/>
      <w:r>
        <w:t xml:space="preserve"> or safety. Infusion reactions were uncommon (7%) but as for nivolumab monotherapy </w:t>
      </w:r>
      <w:r w:rsidR="00960765">
        <w:t xml:space="preserve">these </w:t>
      </w:r>
      <w:r>
        <w:t xml:space="preserve">warrant precautionary </w:t>
      </w:r>
      <w:r w:rsidR="003269A5">
        <w:t>PI</w:t>
      </w:r>
      <w:r>
        <w:t xml:space="preserve"> text.</w:t>
      </w:r>
    </w:p>
    <w:p w14:paraId="0934CE58" w14:textId="567C482B" w:rsidR="00D6339F" w:rsidRDefault="00D6339F" w:rsidP="00D6339F">
      <w:r>
        <w:t>The exploratory subgroup analyses do not allow robust conclusions comparing efficacy of the combination against tumours with higher PD-L1 compared to lower PD-L1, and limitation of the indication to PD-L1 negative (</w:t>
      </w:r>
      <w:r w:rsidR="00277E1D">
        <w:t xml:space="preserve">less than </w:t>
      </w:r>
      <w:r>
        <w:t xml:space="preserve">1%) tumours is not considered required for Australia. However, the results in these subgroups are of </w:t>
      </w:r>
      <w:proofErr w:type="gramStart"/>
      <w:r>
        <w:t>particular clinical</w:t>
      </w:r>
      <w:proofErr w:type="gramEnd"/>
      <w:r>
        <w:t xml:space="preserve"> interest, given the scientific rationale for the activity of nivolumab, and the relevance of PD-L1 in considering treatment choices amongst the existing standard</w:t>
      </w:r>
      <w:r w:rsidR="004C3E39">
        <w:noBreakHyphen/>
      </w:r>
      <w:r>
        <w:t>of</w:t>
      </w:r>
      <w:r w:rsidR="004C3E39">
        <w:noBreakHyphen/>
      </w:r>
      <w:r>
        <w:t xml:space="preserve">care treatment options. </w:t>
      </w:r>
      <w:r w:rsidR="00960765">
        <w:t xml:space="preserve">As </w:t>
      </w:r>
      <w:r>
        <w:t xml:space="preserve">PD-L1 </w:t>
      </w:r>
      <w:r w:rsidR="00960765">
        <w:t>status using</w:t>
      </w:r>
      <w:r>
        <w:t xml:space="preserve"> the </w:t>
      </w:r>
      <w:r w:rsidRPr="0017772E">
        <w:t xml:space="preserve">1% </w:t>
      </w:r>
      <w:r w:rsidRPr="0017772E">
        <w:lastRenderedPageBreak/>
        <w:t>cut-off was a stratification factor</w:t>
      </w:r>
      <w:r w:rsidR="00960765">
        <w:t xml:space="preserve">, subgroups based on this status should be balanced </w:t>
      </w:r>
      <w:proofErr w:type="gramStart"/>
      <w:r w:rsidR="00960765">
        <w:t>with regard to</w:t>
      </w:r>
      <w:proofErr w:type="gramEnd"/>
      <w:r w:rsidR="00960765">
        <w:t xml:space="preserve"> baseline factors (known and unknown) that may affect outcomes</w:t>
      </w:r>
      <w:r w:rsidRPr="0017772E">
        <w:t>.</w:t>
      </w:r>
      <w:r>
        <w:t xml:space="preserve"> </w:t>
      </w:r>
      <w:r w:rsidRPr="005A3D40">
        <w:t>Therefore, although not alpha</w:t>
      </w:r>
      <w:r w:rsidR="00960765">
        <w:t>-</w:t>
      </w:r>
      <w:r w:rsidRPr="005A3D40">
        <w:t>controlled and exploratory, the subgroup</w:t>
      </w:r>
      <w:r>
        <w:t xml:space="preserve"> </w:t>
      </w:r>
      <w:r w:rsidRPr="004E5EC1">
        <w:t xml:space="preserve">results at the 1% </w:t>
      </w:r>
      <w:r w:rsidR="00960765">
        <w:t xml:space="preserve">PD-L1 </w:t>
      </w:r>
      <w:r w:rsidRPr="004E5EC1">
        <w:t>cut</w:t>
      </w:r>
      <w:r w:rsidR="008F37C9" w:rsidRPr="004E5EC1">
        <w:t>-</w:t>
      </w:r>
      <w:r w:rsidRPr="004E5EC1">
        <w:t>off should be included with the trial results in the Australian PI</w:t>
      </w:r>
      <w:r w:rsidR="00960765" w:rsidRPr="00960765">
        <w:t xml:space="preserve"> </w:t>
      </w:r>
      <w:r w:rsidR="00960765">
        <w:t>(</w:t>
      </w:r>
      <w:r w:rsidR="00960765" w:rsidRPr="005A3D40">
        <w:t>noting their limitations</w:t>
      </w:r>
      <w:r w:rsidR="00960765">
        <w:t>)</w:t>
      </w:r>
      <w:r w:rsidRPr="004E5EC1">
        <w:t>.</w:t>
      </w:r>
    </w:p>
    <w:p w14:paraId="49DCC8A8" w14:textId="77777777" w:rsidR="00D6339F" w:rsidRDefault="00D6339F" w:rsidP="00277E1D">
      <w:pPr>
        <w:pStyle w:val="Heading5"/>
      </w:pPr>
      <w:r>
        <w:t>Choice of comparator arm in the pivotal study</w:t>
      </w:r>
    </w:p>
    <w:p w14:paraId="360AA1D5" w14:textId="1A026B5F" w:rsidR="00D6339F" w:rsidRDefault="005A3D40" w:rsidP="00D6339F">
      <w:r w:rsidRPr="002F0B61">
        <w:t>A</w:t>
      </w:r>
      <w:r w:rsidR="00D6339F" w:rsidRPr="002F0B61">
        <w:t xml:space="preserve">vailable regimens in use for first-line systemic treatment of advanced melanoma in Australia are summarised </w:t>
      </w:r>
      <w:r w:rsidRPr="002F0B61">
        <w:t>by the FDA.</w:t>
      </w:r>
      <w:r w:rsidRPr="002F0B61">
        <w:rPr>
          <w:rStyle w:val="FootnoteReference"/>
        </w:rPr>
        <w:footnoteReference w:id="102"/>
      </w:r>
      <w:r w:rsidR="00D6339F" w:rsidRPr="002F0B61">
        <w:t xml:space="preserve"> For a</w:t>
      </w:r>
      <w:r w:rsidR="005770B1" w:rsidRPr="002F0B61">
        <w:t xml:space="preserve"> randomised clinical trial</w:t>
      </w:r>
      <w:r w:rsidR="00D6339F" w:rsidRPr="002F0B61">
        <w:t xml:space="preserve"> studying nivolumab</w:t>
      </w:r>
      <w:r w:rsidRPr="002F0B61">
        <w:t xml:space="preserve"> with </w:t>
      </w:r>
      <w:proofErr w:type="spellStart"/>
      <w:r w:rsidR="00D6339F" w:rsidRPr="002F0B61">
        <w:t>relatlimab</w:t>
      </w:r>
      <w:proofErr w:type="spellEnd"/>
      <w:r w:rsidR="00D6339F" w:rsidRPr="002F0B61">
        <w:t xml:space="preserve"> in patients regardless of </w:t>
      </w:r>
      <w:r w:rsidR="00D6339F" w:rsidRPr="002F0B61">
        <w:rPr>
          <w:i/>
          <w:iCs/>
        </w:rPr>
        <w:t>BRAF</w:t>
      </w:r>
      <w:r w:rsidR="00D6339F" w:rsidRPr="002F0B61">
        <w:t xml:space="preserve"> </w:t>
      </w:r>
      <w:r w:rsidR="00960765">
        <w:t xml:space="preserve">mutation </w:t>
      </w:r>
      <w:r w:rsidR="00D6339F" w:rsidRPr="002F0B61">
        <w:t>status, an anti-BRAF agent would not have been a</w:t>
      </w:r>
      <w:r w:rsidR="00D6339F">
        <w:t xml:space="preserve"> suitable comparator. Of the </w:t>
      </w:r>
      <w:r w:rsidR="00D6339F" w:rsidRPr="000913E2">
        <w:t xml:space="preserve">remaining options, none have been directly compared head-to-head. </w:t>
      </w:r>
      <w:r w:rsidR="00D6339F" w:rsidRPr="004E5EC1">
        <w:t>In</w:t>
      </w:r>
      <w:r w:rsidR="00B651DF">
        <w:t xml:space="preserve"> the</w:t>
      </w:r>
      <w:r w:rsidR="00D6339F" w:rsidRPr="004E5EC1">
        <w:t xml:space="preserve"> </w:t>
      </w:r>
      <w:proofErr w:type="spellStart"/>
      <w:r w:rsidR="00DC5490">
        <w:t>C</w:t>
      </w:r>
      <w:r w:rsidR="001301AD">
        <w:t>heckMate</w:t>
      </w:r>
      <w:proofErr w:type="spellEnd"/>
      <w:r w:rsidR="001301AD">
        <w:t> </w:t>
      </w:r>
      <w:r w:rsidR="00D6339F" w:rsidRPr="004E5EC1">
        <w:t>067</w:t>
      </w:r>
      <w:r w:rsidR="00DC5490">
        <w:t xml:space="preserve"> trial</w:t>
      </w:r>
      <w:r w:rsidR="00D6339F" w:rsidRPr="004E5EC1">
        <w:t>,</w:t>
      </w:r>
      <w:r w:rsidR="004E5EC1" w:rsidRPr="004E5EC1">
        <w:rPr>
          <w:rStyle w:val="FootnoteReference"/>
        </w:rPr>
        <w:footnoteReference w:id="103"/>
      </w:r>
      <w:r w:rsidR="00D6339F" w:rsidRPr="004E5EC1">
        <w:t xml:space="preserve"> nivolumab monotherapy and nivolumab plus ipilimumab were each</w:t>
      </w:r>
      <w:r w:rsidR="00D6339F">
        <w:t xml:space="preserve"> compared against ipilimumab monotherapy, but the trial was not powered nor alpha controlled to compare </w:t>
      </w:r>
      <w:r w:rsidR="00277E1D">
        <w:t>nivolumab monotherapy</w:t>
      </w:r>
      <w:r w:rsidR="00D6339F">
        <w:t xml:space="preserve"> to </w:t>
      </w:r>
      <w:r w:rsidR="00277E1D">
        <w:t>nivolumab plus ipilimumab</w:t>
      </w:r>
      <w:r w:rsidR="00D6339F">
        <w:t>. Informal comparisons suggest the combination is more efficacious, but at the cost of higher toxicity than anti-PD-1 therapy alone. Nivolumab monotherapy is therefore considered a current standard</w:t>
      </w:r>
      <w:r w:rsidR="004C3E39">
        <w:noBreakHyphen/>
      </w:r>
      <w:r w:rsidR="00D6339F">
        <w:t>of</w:t>
      </w:r>
      <w:r w:rsidR="004C3E39">
        <w:noBreakHyphen/>
      </w:r>
      <w:r w:rsidR="00D6339F">
        <w:t xml:space="preserve">care option, and a reasonable choice of comparator for study against </w:t>
      </w:r>
      <w:proofErr w:type="spellStart"/>
      <w:r w:rsidR="00D6339F">
        <w:t>O</w:t>
      </w:r>
      <w:r w:rsidR="00DF7A75">
        <w:t>pdualag</w:t>
      </w:r>
      <w:proofErr w:type="spellEnd"/>
      <w:r w:rsidR="00D6339F">
        <w:t xml:space="preserve">. It also allows for inferential assessment of the contribution of effect of </w:t>
      </w:r>
      <w:proofErr w:type="spellStart"/>
      <w:r w:rsidR="00D6339F">
        <w:t>relatlimab</w:t>
      </w:r>
      <w:proofErr w:type="spellEnd"/>
      <w:r w:rsidR="00D6339F">
        <w:t xml:space="preserve"> to </w:t>
      </w:r>
      <w:proofErr w:type="spellStart"/>
      <w:r w:rsidR="00D6339F">
        <w:t>O</w:t>
      </w:r>
      <w:r w:rsidR="00DF7A75">
        <w:t>pdualag</w:t>
      </w:r>
      <w:proofErr w:type="spellEnd"/>
      <w:r w:rsidR="002F0B61">
        <w:t>.</w:t>
      </w:r>
    </w:p>
    <w:p w14:paraId="50EF4930" w14:textId="4B64C0DB" w:rsidR="00D6339F" w:rsidRDefault="00D6339F" w:rsidP="00277E1D">
      <w:pPr>
        <w:pStyle w:val="Heading5"/>
      </w:pPr>
      <w:r>
        <w:t>Relevance to patients who</w:t>
      </w:r>
      <w:r w:rsidR="00DF7A75">
        <w:t xml:space="preserve"> have</w:t>
      </w:r>
      <w:r>
        <w:t xml:space="preserve"> received prior (neo)adjuvant </w:t>
      </w:r>
      <w:proofErr w:type="gramStart"/>
      <w:r>
        <w:t>therapy</w:t>
      </w:r>
      <w:proofErr w:type="gramEnd"/>
    </w:p>
    <w:p w14:paraId="06D783FE" w14:textId="4067A5A2" w:rsidR="00D6339F" w:rsidRDefault="00D6339F" w:rsidP="00D6339F">
      <w:r w:rsidRPr="002F0B61">
        <w:t xml:space="preserve">Adjuvant therapy with either </w:t>
      </w:r>
      <w:r w:rsidRPr="00F55DFA">
        <w:t>BRAF</w:t>
      </w:r>
      <w:r w:rsidRPr="002F0B61">
        <w:t>/MEK or CTLA4/PD-1 inhibition has become standard</w:t>
      </w:r>
      <w:r w:rsidR="004C3E39">
        <w:noBreakHyphen/>
      </w:r>
      <w:r w:rsidRPr="002F0B61">
        <w:t>of</w:t>
      </w:r>
      <w:r w:rsidR="004C3E39">
        <w:noBreakHyphen/>
      </w:r>
      <w:r w:rsidRPr="002F0B61">
        <w:t xml:space="preserve">care and may affect tumour microenvironment at relapse, subsequent response, and ultimately </w:t>
      </w:r>
      <w:r w:rsidRPr="00315CE2">
        <w:t>survival.</w:t>
      </w:r>
      <w:r w:rsidR="00315CE2" w:rsidRPr="00315CE2">
        <w:rPr>
          <w:rStyle w:val="FootnoteReference"/>
        </w:rPr>
        <w:footnoteReference w:id="104"/>
      </w:r>
      <w:r w:rsidRPr="00315CE2">
        <w:rPr>
          <w:vertAlign w:val="superscript"/>
        </w:rPr>
        <w:t xml:space="preserve"> </w:t>
      </w:r>
      <w:r w:rsidRPr="00315CE2">
        <w:t>Prior systemic treatment for melanoma had been received by 9% of patients in</w:t>
      </w:r>
      <w:r>
        <w:t xml:space="preserve"> </w:t>
      </w:r>
      <w:r w:rsidR="003269A5">
        <w:t>the RELATIVITY-047 trial</w:t>
      </w:r>
      <w:r w:rsidR="00DF7A75">
        <w:t>,</w:t>
      </w:r>
      <w:r>
        <w:t xml:space="preserve"> mostly adjuvant interferon. Around 2% of patients had received prior immunotherapies or anti-</w:t>
      </w:r>
      <w:r w:rsidRPr="00F55DFA">
        <w:t>BRAF</w:t>
      </w:r>
      <w:r>
        <w:t>/MEK treatment.</w:t>
      </w:r>
    </w:p>
    <w:p w14:paraId="14EF5AAD" w14:textId="71548791" w:rsidR="00D6339F" w:rsidRDefault="00D6339F" w:rsidP="00D6339F">
      <w:r>
        <w:t xml:space="preserve">Parts D1 and D2 of </w:t>
      </w:r>
      <w:r w:rsidR="003269A5">
        <w:t>the RELATIVITY-020 trial</w:t>
      </w:r>
      <w:r>
        <w:t xml:space="preserve"> enrolled patients who had previously received treatment with at least an anti-PD-1 drug in the metastatic setting for their advanced melanoma, and </w:t>
      </w:r>
      <w:r w:rsidRPr="00315CE2">
        <w:t>response rates (between 6 and 18%</w:t>
      </w:r>
      <w:r w:rsidR="00DF7A75" w:rsidRPr="00315CE2">
        <w:t>;</w:t>
      </w:r>
      <w:r w:rsidRPr="00315CE2">
        <w:t xml:space="preserve"> see</w:t>
      </w:r>
      <w:r w:rsidR="00315CE2" w:rsidRPr="00315CE2">
        <w:t xml:space="preserve"> </w:t>
      </w:r>
      <w:r w:rsidR="00315CE2" w:rsidRPr="00315CE2">
        <w:rPr>
          <w:color w:val="2B579A"/>
          <w:shd w:val="clear" w:color="auto" w:fill="E6E6E6"/>
        </w:rPr>
        <w:fldChar w:fldCharType="begin"/>
      </w:r>
      <w:r w:rsidR="00315CE2" w:rsidRPr="00315CE2">
        <w:instrText xml:space="preserve"> REF _Ref106718869 \h </w:instrText>
      </w:r>
      <w:r w:rsidR="00315CE2">
        <w:instrText xml:space="preserve"> \* MERGEFORMAT </w:instrText>
      </w:r>
      <w:r w:rsidR="00315CE2" w:rsidRPr="00315CE2">
        <w:rPr>
          <w:color w:val="2B579A"/>
          <w:shd w:val="clear" w:color="auto" w:fill="E6E6E6"/>
        </w:rPr>
      </w:r>
      <w:r w:rsidR="00315CE2" w:rsidRPr="00315CE2">
        <w:rPr>
          <w:color w:val="2B579A"/>
          <w:shd w:val="clear" w:color="auto" w:fill="E6E6E6"/>
        </w:rPr>
        <w:fldChar w:fldCharType="separate"/>
      </w:r>
      <w:r w:rsidR="004F1B9E">
        <w:t xml:space="preserve">Table </w:t>
      </w:r>
      <w:r w:rsidR="004F1B9E">
        <w:rPr>
          <w:noProof/>
        </w:rPr>
        <w:t>5</w:t>
      </w:r>
      <w:r w:rsidR="00315CE2" w:rsidRPr="00315CE2">
        <w:rPr>
          <w:color w:val="2B579A"/>
          <w:shd w:val="clear" w:color="auto" w:fill="E6E6E6"/>
        </w:rPr>
        <w:fldChar w:fldCharType="end"/>
      </w:r>
      <w:r w:rsidRPr="00315CE2">
        <w:t>) were far lower than those seen in</w:t>
      </w:r>
      <w:r>
        <w:t xml:space="preserve"> </w:t>
      </w:r>
      <w:r w:rsidR="003269A5">
        <w:t>the RELATIVITY-047 trial</w:t>
      </w:r>
      <w:r>
        <w:t xml:space="preserve"> (43%). Responses that did occur, however, showed good durability, with medians of 13 or 18</w:t>
      </w:r>
      <w:r w:rsidR="00DF7A75">
        <w:t> </w:t>
      </w:r>
      <w:r>
        <w:t>months, or not reached (with minimum 28</w:t>
      </w:r>
      <w:r w:rsidR="00DF7A75">
        <w:t> </w:t>
      </w:r>
      <w:r>
        <w:t>months follow-up), across various cohorts.</w:t>
      </w:r>
    </w:p>
    <w:p w14:paraId="02BC23BD" w14:textId="634A21A6" w:rsidR="00D6339F" w:rsidRDefault="00D6339F" w:rsidP="00D6339F">
      <w:r>
        <w:t xml:space="preserve">The available data do not directly address whether the efficacy of </w:t>
      </w:r>
      <w:proofErr w:type="spellStart"/>
      <w:r>
        <w:t>O</w:t>
      </w:r>
      <w:r w:rsidR="00DF7A75">
        <w:t>pdualag</w:t>
      </w:r>
      <w:proofErr w:type="spellEnd"/>
      <w:r>
        <w:t xml:space="preserve"> in the first</w:t>
      </w:r>
      <w:r w:rsidR="000E296C">
        <w:noBreakHyphen/>
      </w:r>
      <w:r>
        <w:t>line metastatic setting would be affected by (neo)adjuvant therapy but do suggest that a decreased likelihood of response is possible. This is not considered a barrier to registration, because it also remains unknown at present:</w:t>
      </w:r>
    </w:p>
    <w:p w14:paraId="06B3B127" w14:textId="7D1365C0" w:rsidR="00D6339F" w:rsidRDefault="00D6339F" w:rsidP="00DF7A75">
      <w:pPr>
        <w:pStyle w:val="ListBullet"/>
      </w:pPr>
      <w:r>
        <w:t>what effect (neo)adjuvant treatment has on the efficacy of other therapies that are registered for use in the first-line metastatic setting</w:t>
      </w:r>
    </w:p>
    <w:p w14:paraId="369FCE15" w14:textId="1C763723" w:rsidR="00D6339F" w:rsidRDefault="00D6339F" w:rsidP="00DF7A75">
      <w:pPr>
        <w:pStyle w:val="ListBullet"/>
      </w:pPr>
      <w:r>
        <w:t>the ideal sequencing of treatments across neoadjuvant, adjuvant and metastatic settings.</w:t>
      </w:r>
    </w:p>
    <w:p w14:paraId="2BB1CCD8" w14:textId="77777777" w:rsidR="00D6339F" w:rsidRDefault="00D6339F" w:rsidP="00D6339F">
      <w:r>
        <w:lastRenderedPageBreak/>
        <w:t xml:space="preserve">It seems rational to predict that alternating use of </w:t>
      </w:r>
      <w:r w:rsidRPr="00F55DFA">
        <w:t>BRAF</w:t>
      </w:r>
      <w:r>
        <w:t xml:space="preserve">/MEK inhibition and immunotherapy might be preferable (for patients with </w:t>
      </w:r>
      <w:r w:rsidRPr="0068062D">
        <w:rPr>
          <w:i/>
          <w:iCs/>
        </w:rPr>
        <w:t>BRAF</w:t>
      </w:r>
      <w:r>
        <w:t xml:space="preserve"> mutations), but this is conjecture.</w:t>
      </w:r>
    </w:p>
    <w:p w14:paraId="5F0C4120" w14:textId="77777777" w:rsidR="00D6339F" w:rsidRDefault="00D6339F" w:rsidP="00277E1D">
      <w:pPr>
        <w:pStyle w:val="Heading5"/>
      </w:pPr>
      <w:bookmarkStart w:id="131" w:name="_Ref140482898"/>
      <w:r>
        <w:t>Extrapolation to paediatric patients</w:t>
      </w:r>
      <w:bookmarkEnd w:id="131"/>
    </w:p>
    <w:p w14:paraId="742B4D7A" w14:textId="357727CB" w:rsidR="00D6339F" w:rsidRDefault="00D6339F" w:rsidP="00D6339F">
      <w:r>
        <w:t>No paediatric patients enrolled in the pivotal study, in keeping with the rarity of melanoma in patients under the age of 18</w:t>
      </w:r>
      <w:r w:rsidR="00DF7A75">
        <w:t> years</w:t>
      </w:r>
      <w:r>
        <w:t>. However, as noted previously, genetic studies of conventional melanomas in paediatric patients (aged 10</w:t>
      </w:r>
      <w:r w:rsidR="00DF7A75">
        <w:t xml:space="preserve"> to </w:t>
      </w:r>
      <w:r>
        <w:t xml:space="preserve">20 years; 87% </w:t>
      </w:r>
      <w:r w:rsidR="00DF7A75">
        <w:t xml:space="preserve">over </w:t>
      </w:r>
      <w:r>
        <w:t>13</w:t>
      </w:r>
      <w:r w:rsidR="00DF7A75">
        <w:t> </w:t>
      </w:r>
      <w:r>
        <w:t>years) have demonstrated that this type of paediatric melanoma shows clinicopathological and genetic similarity to melanoma in adults.</w:t>
      </w:r>
    </w:p>
    <w:p w14:paraId="3C482DE4" w14:textId="4BAFF763" w:rsidR="00D6339F" w:rsidRDefault="00D6339F" w:rsidP="00D6339F">
      <w:r>
        <w:t xml:space="preserve">Biological and empirical evidence supports an expectation that the exposure-response relationship in adolescent patients to immunotherapy treatment should be </w:t>
      </w:r>
      <w:proofErr w:type="gramStart"/>
      <w:r>
        <w:t>similar to</w:t>
      </w:r>
      <w:proofErr w:type="gramEnd"/>
      <w:r>
        <w:t xml:space="preserve"> that seen in adults: the immune system in human adolescence is fully mature,</w:t>
      </w:r>
      <w:r w:rsidR="002D1ADC">
        <w:rPr>
          <w:rStyle w:val="FootnoteReference"/>
        </w:rPr>
        <w:footnoteReference w:id="105"/>
      </w:r>
      <w:r>
        <w:t xml:space="preserve"> therefore target receptor levels and drug</w:t>
      </w:r>
      <w:r w:rsidR="00B651DF">
        <w:t xml:space="preserve"> </w:t>
      </w:r>
      <w:r>
        <w:t>target binding for a given systemic exposure should be comparable.</w:t>
      </w:r>
    </w:p>
    <w:p w14:paraId="38156550" w14:textId="1F7B9B82" w:rsidR="00D6339F" w:rsidRDefault="00D6339F" w:rsidP="00D6339F">
      <w:r>
        <w:t xml:space="preserve">The FDA approval letter for </w:t>
      </w:r>
      <w:proofErr w:type="spellStart"/>
      <w:r>
        <w:t>O</w:t>
      </w:r>
      <w:r w:rsidR="00DF7A75">
        <w:t>pdualag</w:t>
      </w:r>
      <w:proofErr w:type="spellEnd"/>
      <w:r>
        <w:t xml:space="preserve"> states that the US requirement for mandatory paediatric studies have been waived for patients aged 0</w:t>
      </w:r>
      <w:r w:rsidR="00DF7A75">
        <w:t xml:space="preserve"> to </w:t>
      </w:r>
      <w:r>
        <w:t>11</w:t>
      </w:r>
      <w:r w:rsidR="00DF7A75">
        <w:t xml:space="preserve"> years</w:t>
      </w:r>
      <w:r>
        <w:t xml:space="preserve"> based on the rarity and different </w:t>
      </w:r>
      <w:r w:rsidRPr="00F505CE">
        <w:t>biology (impeding extrapolation of adult data) of melanoma in this age group.</w:t>
      </w:r>
      <w:r w:rsidR="00DF7A75" w:rsidRPr="00F505CE">
        <w:rPr>
          <w:rStyle w:val="FootnoteReference"/>
        </w:rPr>
        <w:footnoteReference w:id="106"/>
      </w:r>
    </w:p>
    <w:p w14:paraId="27DC6D9A" w14:textId="38AA7166" w:rsidR="00D6339F" w:rsidRDefault="00D6339F" w:rsidP="00D6339F">
      <w:r>
        <w:t xml:space="preserve">In line with the trial inclusion criteria, the </w:t>
      </w:r>
      <w:r w:rsidR="002D1ADC">
        <w:t>s</w:t>
      </w:r>
      <w:r>
        <w:t xml:space="preserve">ponsor has proposed that the Australian indication be worded to include an adolescent population based on age (12 to 18 years), in keeping with the group in whom conventional paediatric melanoma is </w:t>
      </w:r>
      <w:proofErr w:type="gramStart"/>
      <w:r>
        <w:t>most commonly seen</w:t>
      </w:r>
      <w:proofErr w:type="gramEnd"/>
      <w:r>
        <w:t>. Patients below this age would also be more likely to have a body weight too low to allow a dosing recommendation</w:t>
      </w:r>
      <w:r w:rsidR="002D1ADC">
        <w:t>.</w:t>
      </w:r>
    </w:p>
    <w:p w14:paraId="281E9CA0" w14:textId="7DCD2267" w:rsidR="00D6339F" w:rsidRDefault="00D6339F" w:rsidP="00D6339F">
      <w:r>
        <w:t>Based on the above, it appears acceptable to extrapolate the efficacy data from the pivotal trial to paediatric patients with conventional melanoma.</w:t>
      </w:r>
    </w:p>
    <w:p w14:paraId="396B63F1" w14:textId="4C0533CD" w:rsidR="00D6339F" w:rsidRDefault="00D6339F" w:rsidP="00D6339F">
      <w:r>
        <w:t>Whil</w:t>
      </w:r>
      <w:r w:rsidR="002D1ADC">
        <w:t>e</w:t>
      </w:r>
      <w:r>
        <w:t xml:space="preserve"> 12</w:t>
      </w:r>
      <w:r w:rsidR="002D1ADC">
        <w:t> </w:t>
      </w:r>
      <w:r>
        <w:t>years is an arbitrary lower age cut-off, cases of conventional melanoma (</w:t>
      </w:r>
      <w:r w:rsidR="002D1ADC">
        <w:t xml:space="preserve">that is, </w:t>
      </w:r>
      <w:r>
        <w:t xml:space="preserve">those in which disease similarity would support extrapolation of the pivotal trial data) would be expected to be exceptionally rare below this age. Another approach could have been to consider limiting the indication directly based on histology. However, the </w:t>
      </w:r>
      <w:r w:rsidR="002D1ADC">
        <w:t>s</w:t>
      </w:r>
      <w:r>
        <w:t xml:space="preserve">ponsor’s proposed approach of limiting the indication (and the trial inclusion criteria) based on age is rational, because the </w:t>
      </w:r>
      <w:r w:rsidRPr="00315CE2">
        <w:t>diagnosis of paediatric melanoma can be complicated by histologic uncertainty.</w:t>
      </w:r>
      <w:r w:rsidR="002D1ADC" w:rsidRPr="00315CE2">
        <w:rPr>
          <w:rStyle w:val="FootnoteReference"/>
        </w:rPr>
        <w:footnoteReference w:id="107"/>
      </w:r>
    </w:p>
    <w:p w14:paraId="67E5E8C5" w14:textId="77777777" w:rsidR="00D6339F" w:rsidRDefault="00D6339F" w:rsidP="00277E1D">
      <w:pPr>
        <w:pStyle w:val="Heading5"/>
      </w:pPr>
      <w:bookmarkStart w:id="133" w:name="_Ref140506421"/>
      <w:r>
        <w:t>Paediatric (adolescent) dosing</w:t>
      </w:r>
      <w:bookmarkEnd w:id="133"/>
    </w:p>
    <w:p w14:paraId="7A1FADB2" w14:textId="37753BE2" w:rsidR="00D6339F" w:rsidRDefault="00D6339F" w:rsidP="00D6339F">
      <w:r>
        <w:t xml:space="preserve">The </w:t>
      </w:r>
      <w:r w:rsidR="000019C1">
        <w:t>s</w:t>
      </w:r>
      <w:r>
        <w:t>ponsor proposes a weight</w:t>
      </w:r>
      <w:r w:rsidR="00960765">
        <w:t>-</w:t>
      </w:r>
      <w:r>
        <w:t xml:space="preserve">based dose for adolescents, derived from pharmacokinetic extrapolation (from nivolumab to </w:t>
      </w:r>
      <w:proofErr w:type="spellStart"/>
      <w:r>
        <w:t>relatlimab</w:t>
      </w:r>
      <w:proofErr w:type="spellEnd"/>
      <w:r>
        <w:t>) and modelling. They also propose that patients with body weight lower than 40</w:t>
      </w:r>
      <w:r w:rsidR="000019C1">
        <w:t> </w:t>
      </w:r>
      <w:r>
        <w:t>kg be excluded, as the model estimates for exposure in such patients are unreliable: the paediatric effect in the nivolumab pop</w:t>
      </w:r>
      <w:r w:rsidR="00594EA0">
        <w:t xml:space="preserve">ulation pharmacokinetic </w:t>
      </w:r>
      <w:r>
        <w:t>model was based on adolescents who were all 40</w:t>
      </w:r>
      <w:r w:rsidR="000019C1">
        <w:t> </w:t>
      </w:r>
      <w:r>
        <w:t>kg or heavier.</w:t>
      </w:r>
    </w:p>
    <w:p w14:paraId="2C578797" w14:textId="3536BF90" w:rsidR="00D6339F" w:rsidRDefault="00D6339F" w:rsidP="00D6339F">
      <w:r>
        <w:t xml:space="preserve">The nature of modelling is that it involves assumptions and uncertainty. In this case, the main uncertainties are a lack of direct paediatric data for </w:t>
      </w:r>
      <w:proofErr w:type="spellStart"/>
      <w:r>
        <w:t>relatlimab</w:t>
      </w:r>
      <w:proofErr w:type="spellEnd"/>
      <w:r>
        <w:t xml:space="preserve"> PK and the reliability of </w:t>
      </w:r>
      <w:r>
        <w:lastRenderedPageBreak/>
        <w:t xml:space="preserve">extrapolating the paediatric effect on nivolumab PK to </w:t>
      </w:r>
      <w:proofErr w:type="spellStart"/>
      <w:r>
        <w:t>relatlimab</w:t>
      </w:r>
      <w:proofErr w:type="spellEnd"/>
      <w:r>
        <w:t xml:space="preserve"> PK. Due to the uncertainty, there is a risk that body weight</w:t>
      </w:r>
      <w:r w:rsidR="00966DB4">
        <w:t>-</w:t>
      </w:r>
      <w:r>
        <w:t>based dosing could be subtherapeutic for adolescent patients with weights towards the lower end of the paediatric weight range for which dosing is supported by PK modelling (40</w:t>
      </w:r>
      <w:r w:rsidR="000019C1">
        <w:t> </w:t>
      </w:r>
      <w:r>
        <w:t>kg).</w:t>
      </w:r>
    </w:p>
    <w:p w14:paraId="34F9847F" w14:textId="2C5F53EC" w:rsidR="00D6339F" w:rsidRDefault="00D6339F" w:rsidP="00D6339F">
      <w:r>
        <w:t>Importantly, exploratory exposure-response analyses suggest flat relationships for both efficacy and safety.</w:t>
      </w:r>
    </w:p>
    <w:p w14:paraId="7ADA5161" w14:textId="105FD773" w:rsidR="00D6339F" w:rsidRDefault="00D6339F" w:rsidP="00D6339F">
      <w:r>
        <w:t xml:space="preserve">Based on the flat exposure-efficacy and exposure-toxicity relationships at relevant exposures for </w:t>
      </w:r>
      <w:r w:rsidRPr="00F505CE">
        <w:t xml:space="preserve">both active </w:t>
      </w:r>
      <w:r w:rsidR="00F505CE" w:rsidRPr="00F505CE">
        <w:t xml:space="preserve">ingredients in </w:t>
      </w:r>
      <w:proofErr w:type="spellStart"/>
      <w:r w:rsidR="00F505CE" w:rsidRPr="00F505CE">
        <w:t>Opdualag</w:t>
      </w:r>
      <w:proofErr w:type="spellEnd"/>
      <w:r w:rsidRPr="00F505CE">
        <w:t>, and the potential risk of subtherapeutic dosing in paediatric</w:t>
      </w:r>
      <w:r>
        <w:t xml:space="preserve"> patients (given the life</w:t>
      </w:r>
      <w:r w:rsidR="00552E8E">
        <w:noBreakHyphen/>
      </w:r>
      <w:r>
        <w:t xml:space="preserve">threatening nature of the condition), </w:t>
      </w:r>
      <w:r w:rsidR="000019C1">
        <w:t>the Delegate</w:t>
      </w:r>
      <w:r>
        <w:t xml:space="preserve"> consider</w:t>
      </w:r>
      <w:r w:rsidR="000019C1">
        <w:t>s</w:t>
      </w:r>
      <w:r>
        <w:t xml:space="preserve"> it more appropriate to use the adult flat dosing regimen for paediatric patients 12</w:t>
      </w:r>
      <w:r w:rsidR="000019C1">
        <w:t xml:space="preserve"> to </w:t>
      </w:r>
      <w:r>
        <w:t>18 years of age, rather than body weight</w:t>
      </w:r>
      <w:r w:rsidR="00966DB4">
        <w:t>-</w:t>
      </w:r>
      <w:r>
        <w:t>based dosing. This would be in keeping with the FDA decision to approve the same dose for adults as for patients aged between 12 and 18 years.</w:t>
      </w:r>
    </w:p>
    <w:p w14:paraId="2470E4D6" w14:textId="03DF5F84" w:rsidR="00D6339F" w:rsidRDefault="000019C1" w:rsidP="00D6339F">
      <w:r>
        <w:t xml:space="preserve">The Delegate’s view is </w:t>
      </w:r>
      <w:r w:rsidR="00D6339F">
        <w:t>that a dose recommendation can</w:t>
      </w:r>
      <w:r>
        <w:t>not</w:t>
      </w:r>
      <w:r w:rsidR="00D6339F">
        <w:t xml:space="preserve"> be made with confidence for patients lighter than 40</w:t>
      </w:r>
      <w:r>
        <w:t> </w:t>
      </w:r>
      <w:r w:rsidR="00D6339F">
        <w:t>kg.</w:t>
      </w:r>
    </w:p>
    <w:p w14:paraId="1A079D1E" w14:textId="2DF9C96D" w:rsidR="00D6339F" w:rsidRDefault="00D6339F" w:rsidP="00D6339F">
      <w:r>
        <w:t xml:space="preserve">Two studies of </w:t>
      </w:r>
      <w:proofErr w:type="spellStart"/>
      <w:r>
        <w:t>O</w:t>
      </w:r>
      <w:r w:rsidR="000019C1">
        <w:t>pdualag</w:t>
      </w:r>
      <w:proofErr w:type="spellEnd"/>
      <w:r>
        <w:t xml:space="preserve"> in patients with lymphoma including patients aged 12</w:t>
      </w:r>
      <w:r w:rsidR="000019C1">
        <w:t xml:space="preserve"> to </w:t>
      </w:r>
      <w:r>
        <w:t xml:space="preserve">17 years were not complete at the time the FDA were ready to approve the adult indication, and these </w:t>
      </w:r>
      <w:r w:rsidR="000019C1">
        <w:t xml:space="preserve">studies </w:t>
      </w:r>
      <w:r>
        <w:t xml:space="preserve">have been made post-market requirements of the US approval </w:t>
      </w:r>
      <w:proofErr w:type="gramStart"/>
      <w:r>
        <w:t>in order to</w:t>
      </w:r>
      <w:proofErr w:type="gramEnd"/>
      <w:r>
        <w:t xml:space="preserve"> support PK in </w:t>
      </w:r>
      <w:r w:rsidRPr="00F505CE">
        <w:t>paediatric patients. The updated nivolumab</w:t>
      </w:r>
      <w:r w:rsidR="00C808E2">
        <w:t xml:space="preserve"> with </w:t>
      </w:r>
      <w:proofErr w:type="spellStart"/>
      <w:r w:rsidRPr="00F505CE">
        <w:t>relatlimab</w:t>
      </w:r>
      <w:proofErr w:type="spellEnd"/>
      <w:r w:rsidRPr="00F505CE">
        <w:t xml:space="preserve"> modelling for PK in adolescents using</w:t>
      </w:r>
      <w:r>
        <w:t xml:space="preserve"> paediatric PK data from these studies should be submitted to TGA, when available.</w:t>
      </w:r>
    </w:p>
    <w:p w14:paraId="3123444B" w14:textId="77777777" w:rsidR="00D6339F" w:rsidRDefault="00D6339F" w:rsidP="00277E1D">
      <w:pPr>
        <w:pStyle w:val="Heading5"/>
      </w:pPr>
      <w:r>
        <w:t>Infusion duration</w:t>
      </w:r>
    </w:p>
    <w:p w14:paraId="20F5035A" w14:textId="6848EB67" w:rsidR="00D6339F" w:rsidRPr="00E54637" w:rsidRDefault="00D6339F" w:rsidP="00D6339F">
      <w:r>
        <w:t>Although a 30</w:t>
      </w:r>
      <w:r w:rsidR="00960765">
        <w:t>-</w:t>
      </w:r>
      <w:r>
        <w:t xml:space="preserve">minute infusion time has not been studied, this is the infusion time proposed for registration. The </w:t>
      </w:r>
      <w:r w:rsidR="000019C1">
        <w:t>s</w:t>
      </w:r>
      <w:r>
        <w:t>ponsor</w:t>
      </w:r>
      <w:r w:rsidR="000019C1">
        <w:t xml:space="preserve"> provided a </w:t>
      </w:r>
      <w:r>
        <w:t>justification</w:t>
      </w:r>
      <w:r w:rsidR="00F505CE">
        <w:t>, discussed earlier.</w:t>
      </w:r>
      <w:r w:rsidR="000019C1">
        <w:t xml:space="preserve"> The Delegate</w:t>
      </w:r>
      <w:r>
        <w:t xml:space="preserve"> consider</w:t>
      </w:r>
      <w:r w:rsidR="000019C1">
        <w:t>s</w:t>
      </w:r>
      <w:r>
        <w:t xml:space="preserve"> the proposed infusion time of 30</w:t>
      </w:r>
      <w:r w:rsidR="00F505CE">
        <w:t> </w:t>
      </w:r>
      <w:r>
        <w:t>minutes acceptable.</w:t>
      </w:r>
    </w:p>
    <w:p w14:paraId="3916F296" w14:textId="77777777" w:rsidR="00C22214" w:rsidRDefault="00C22214" w:rsidP="00C22214">
      <w:pPr>
        <w:pStyle w:val="Heading4"/>
      </w:pPr>
      <w:bookmarkStart w:id="134" w:name="_Toc98931933"/>
      <w:bookmarkStart w:id="135" w:name="_Toc154134532"/>
      <w:r w:rsidRPr="00D23139">
        <w:t xml:space="preserve">Proposed </w:t>
      </w:r>
      <w:proofErr w:type="gramStart"/>
      <w:r w:rsidRPr="00D23139">
        <w:t>action</w:t>
      </w:r>
      <w:bookmarkEnd w:id="134"/>
      <w:bookmarkEnd w:id="135"/>
      <w:proofErr w:type="gramEnd"/>
    </w:p>
    <w:p w14:paraId="5411EBF2" w14:textId="5727F064" w:rsidR="00880194" w:rsidRPr="00764343" w:rsidRDefault="00880194" w:rsidP="00880194">
      <w:r w:rsidRPr="00764343">
        <w:t xml:space="preserve">Overall, </w:t>
      </w:r>
      <w:proofErr w:type="spellStart"/>
      <w:r w:rsidRPr="00764343">
        <w:t>O</w:t>
      </w:r>
      <w:r w:rsidR="00E54637">
        <w:t>pdualag</w:t>
      </w:r>
      <w:proofErr w:type="spellEnd"/>
      <w:r w:rsidRPr="00764343">
        <w:t xml:space="preserve"> has demonstrated a clinically meaningful efficacy advantage over nivolumab monotherapy, and an acceptable toxicity profile for patients with advanced melanoma. The benefit-risk balance of </w:t>
      </w:r>
      <w:proofErr w:type="spellStart"/>
      <w:r w:rsidRPr="00764343">
        <w:t>O</w:t>
      </w:r>
      <w:r w:rsidR="00F505CE">
        <w:t>p</w:t>
      </w:r>
      <w:r w:rsidR="00E54637">
        <w:t>dualag</w:t>
      </w:r>
      <w:proofErr w:type="spellEnd"/>
      <w:r w:rsidRPr="00764343">
        <w:t xml:space="preserve"> for the proposed usage, </w:t>
      </w:r>
      <w:proofErr w:type="gramStart"/>
      <w:r w:rsidRPr="00764343">
        <w:t>taking into account</w:t>
      </w:r>
      <w:proofErr w:type="gramEnd"/>
      <w:r w:rsidRPr="00764343">
        <w:t xml:space="preserve"> the uncertainties, is positive. Expert input is sought to confirm that the explicit inclusion of paediatric patients aged at least 12 years in the indication is appropriate.</w:t>
      </w:r>
    </w:p>
    <w:p w14:paraId="0D171812" w14:textId="77777777" w:rsidR="00C22214" w:rsidRDefault="00C22214" w:rsidP="00C22214">
      <w:pPr>
        <w:pStyle w:val="Heading4"/>
      </w:pPr>
      <w:bookmarkStart w:id="136" w:name="_Toc154134533"/>
      <w:r>
        <w:t>Independent expert advice</w:t>
      </w:r>
      <w:bookmarkEnd w:id="136"/>
    </w:p>
    <w:p w14:paraId="4A031B64" w14:textId="41FDEEF5" w:rsidR="00C22214" w:rsidRPr="00405039" w:rsidRDefault="00C22214" w:rsidP="00C22214">
      <w:r w:rsidRPr="00BD5DBD">
        <w:rPr>
          <w:szCs w:val="22"/>
        </w:rPr>
        <w:t>The Delegate received the following independent expe</w:t>
      </w:r>
      <w:r w:rsidRPr="00405039">
        <w:t>rt advice</w:t>
      </w:r>
      <w:r w:rsidR="00405039" w:rsidRPr="00405039">
        <w:t xml:space="preserve"> </w:t>
      </w:r>
      <w:r w:rsidR="00405039">
        <w:t xml:space="preserve">from </w:t>
      </w:r>
      <w:r w:rsidR="00405039" w:rsidRPr="00405039">
        <w:t>Australian oncologist</w:t>
      </w:r>
      <w:r w:rsidR="00405039">
        <w:t>(</w:t>
      </w:r>
      <w:r w:rsidR="00405039" w:rsidRPr="00405039">
        <w:t>s</w:t>
      </w:r>
      <w:r w:rsidR="00405039">
        <w:t>)</w:t>
      </w:r>
      <w:r w:rsidR="00405039" w:rsidRPr="00405039">
        <w:t xml:space="preserve"> with melanoma and/or paediatric expertise</w:t>
      </w:r>
      <w:r w:rsidRPr="00405039">
        <w:t>.</w:t>
      </w:r>
    </w:p>
    <w:p w14:paraId="7F6852EC" w14:textId="49F4B756" w:rsidR="00A5455E" w:rsidRDefault="00A5455E" w:rsidP="00405039">
      <w:pPr>
        <w:pStyle w:val="Numberbullet0"/>
        <w:rPr>
          <w:b/>
          <w:bCs/>
          <w:i/>
          <w:iCs/>
        </w:rPr>
      </w:pPr>
      <w:r w:rsidRPr="00405039">
        <w:rPr>
          <w:b/>
          <w:bCs/>
          <w:i/>
          <w:iCs/>
        </w:rPr>
        <w:t>Do you agree with the Delegate’s preliminary opinion regarding extrapolation of the pivotal trial data? Do you have any comments on the rationale for this, as described under</w:t>
      </w:r>
      <w:r w:rsidR="005770B1">
        <w:rPr>
          <w:b/>
          <w:bCs/>
          <w:i/>
          <w:iCs/>
        </w:rPr>
        <w:t xml:space="preserve"> </w:t>
      </w:r>
      <w:r w:rsidR="005770B1" w:rsidRPr="003F211D">
        <w:rPr>
          <w:b/>
          <w:bCs/>
          <w:i/>
          <w:iCs/>
          <w:color w:val="0000FF"/>
          <w:u w:val="single"/>
          <w:shd w:val="clear" w:color="auto" w:fill="E6E6E6"/>
        </w:rPr>
        <w:fldChar w:fldCharType="begin"/>
      </w:r>
      <w:r w:rsidR="005770B1" w:rsidRPr="003F211D">
        <w:rPr>
          <w:b/>
          <w:bCs/>
          <w:i/>
          <w:iCs/>
          <w:color w:val="0000FF"/>
          <w:u w:val="single"/>
        </w:rPr>
        <w:instrText xml:space="preserve"> REF _Ref140482898 \h </w:instrText>
      </w:r>
      <w:r w:rsidR="003F211D" w:rsidRPr="003F211D">
        <w:rPr>
          <w:b/>
          <w:bCs/>
          <w:i/>
          <w:iCs/>
          <w:color w:val="0000FF"/>
          <w:u w:val="single"/>
        </w:rPr>
        <w:instrText xml:space="preserve"> \* MERGEFORMAT </w:instrText>
      </w:r>
      <w:r w:rsidR="005770B1" w:rsidRPr="003F211D">
        <w:rPr>
          <w:b/>
          <w:bCs/>
          <w:i/>
          <w:iCs/>
          <w:color w:val="0000FF"/>
          <w:u w:val="single"/>
          <w:shd w:val="clear" w:color="auto" w:fill="E6E6E6"/>
        </w:rPr>
      </w:r>
      <w:r w:rsidR="005770B1" w:rsidRPr="003F211D">
        <w:rPr>
          <w:b/>
          <w:bCs/>
          <w:i/>
          <w:iCs/>
          <w:color w:val="0000FF"/>
          <w:u w:val="single"/>
          <w:shd w:val="clear" w:color="auto" w:fill="E6E6E6"/>
        </w:rPr>
        <w:fldChar w:fldCharType="separate"/>
      </w:r>
      <w:r w:rsidR="004F1B9E" w:rsidRPr="006A288C">
        <w:rPr>
          <w:b/>
          <w:bCs/>
          <w:i/>
          <w:iCs/>
          <w:color w:val="0000FF"/>
          <w:u w:val="single"/>
        </w:rPr>
        <w:t>Extrapolation to paediatric patients</w:t>
      </w:r>
      <w:r w:rsidR="005770B1" w:rsidRPr="003F211D">
        <w:rPr>
          <w:b/>
          <w:bCs/>
          <w:i/>
          <w:iCs/>
          <w:color w:val="0000FF"/>
          <w:u w:val="single"/>
          <w:shd w:val="clear" w:color="auto" w:fill="E6E6E6"/>
        </w:rPr>
        <w:fldChar w:fldCharType="end"/>
      </w:r>
      <w:r w:rsidR="005770B1">
        <w:rPr>
          <w:b/>
          <w:bCs/>
          <w:i/>
          <w:iCs/>
        </w:rPr>
        <w:t>?</w:t>
      </w:r>
    </w:p>
    <w:p w14:paraId="6BC12805" w14:textId="6B6CAA81" w:rsidR="00405039" w:rsidRPr="00405039" w:rsidRDefault="00405039" w:rsidP="00405039">
      <w:r w:rsidRPr="00405039">
        <w:t>Obtaining data from patients 12</w:t>
      </w:r>
      <w:r>
        <w:t> </w:t>
      </w:r>
      <w:r w:rsidRPr="00405039">
        <w:t xml:space="preserve">years and older in the </w:t>
      </w:r>
      <w:proofErr w:type="gramStart"/>
      <w:r w:rsidRPr="00405039">
        <w:t>12</w:t>
      </w:r>
      <w:r>
        <w:t xml:space="preserve"> to </w:t>
      </w:r>
      <w:r w:rsidRPr="00405039">
        <w:t xml:space="preserve">18 </w:t>
      </w:r>
      <w:r>
        <w:t>year</w:t>
      </w:r>
      <w:proofErr w:type="gramEnd"/>
      <w:r>
        <w:t xml:space="preserve"> </w:t>
      </w:r>
      <w:r w:rsidRPr="00405039">
        <w:t xml:space="preserve">age group is not feasible due to the low incidence of advanced melanoma in that subgroup. It is not surprising that no </w:t>
      </w:r>
      <w:r w:rsidRPr="00F505CE">
        <w:t>patients in that age bracket were enrolled in the RELATIVITY-047</w:t>
      </w:r>
      <w:r w:rsidR="003269A5">
        <w:t xml:space="preserve"> trial</w:t>
      </w:r>
      <w:r w:rsidRPr="00F505CE">
        <w:t xml:space="preserve"> (</w:t>
      </w:r>
      <w:r w:rsidR="00B651DF">
        <w:t xml:space="preserve">Study </w:t>
      </w:r>
      <w:r w:rsidRPr="00F505CE">
        <w:t>CA224047).</w:t>
      </w:r>
      <w:r w:rsidRPr="00405039">
        <w:t xml:space="preserve"> Extrapolating the data from the adult population to the </w:t>
      </w:r>
      <w:proofErr w:type="gramStart"/>
      <w:r w:rsidRPr="00405039">
        <w:t>12</w:t>
      </w:r>
      <w:r>
        <w:t xml:space="preserve"> to </w:t>
      </w:r>
      <w:r w:rsidRPr="00405039">
        <w:t xml:space="preserve">18 </w:t>
      </w:r>
      <w:r>
        <w:t>year old</w:t>
      </w:r>
      <w:proofErr w:type="gramEnd"/>
      <w:r>
        <w:t xml:space="preserve"> </w:t>
      </w:r>
      <w:r w:rsidRPr="00405039">
        <w:t xml:space="preserve">subgroup is reasonable. </w:t>
      </w:r>
      <w:r w:rsidR="005770B1" w:rsidRPr="005770B1">
        <w:t xml:space="preserve">The expert(s) </w:t>
      </w:r>
      <w:r w:rsidRPr="005770B1">
        <w:t>agree</w:t>
      </w:r>
      <w:r w:rsidR="005770B1" w:rsidRPr="005770B1">
        <w:t>d</w:t>
      </w:r>
      <w:r w:rsidRPr="005770B1">
        <w:t xml:space="preserve"> with the assumption that the </w:t>
      </w:r>
      <w:proofErr w:type="gramStart"/>
      <w:r w:rsidRPr="005770B1">
        <w:t>12 to 18 year</w:t>
      </w:r>
      <w:proofErr w:type="gramEnd"/>
      <w:r w:rsidRPr="005770B1">
        <w:t xml:space="preserve"> age group have a fully mature</w:t>
      </w:r>
      <w:r w:rsidRPr="00405039">
        <w:t xml:space="preserve"> immune system and would be expected to respond similarly to adults to immune checkpoint inhibition. </w:t>
      </w:r>
      <w:r w:rsidR="005770B1">
        <w:t>The expert(s) agreed</w:t>
      </w:r>
      <w:r w:rsidRPr="00405039">
        <w:t xml:space="preserve"> with the expectation that target receptor levels and drug-target binding for a given systemic exposure should be comparable. </w:t>
      </w:r>
      <w:r w:rsidR="005770B1">
        <w:t>The expert(s) agreed</w:t>
      </w:r>
      <w:r w:rsidRPr="00405039">
        <w:t xml:space="preserve"> that </w:t>
      </w:r>
      <w:r w:rsidRPr="00405039">
        <w:lastRenderedPageBreak/>
        <w:t>diagnosis of paediatric melanoma can be complicated by histologic uncertainty. Conventional melanomas in the age group requested for the indication (</w:t>
      </w:r>
      <w:proofErr w:type="gramStart"/>
      <w:r w:rsidRPr="00405039">
        <w:t>12</w:t>
      </w:r>
      <w:r>
        <w:t xml:space="preserve"> to </w:t>
      </w:r>
      <w:r w:rsidRPr="00405039">
        <w:t>18 year old</w:t>
      </w:r>
      <w:r>
        <w:t>s</w:t>
      </w:r>
      <w:proofErr w:type="gramEnd"/>
      <w:r w:rsidRPr="00405039">
        <w:t xml:space="preserve">) have been demonstrated to show clinicopathological and genetic similarity to those in adults. This is not true for melanomas that arise before puberty. In paediatric melanoma before puberty, melanomas have higher rates of </w:t>
      </w:r>
      <w:proofErr w:type="spellStart"/>
      <w:r w:rsidRPr="00405039">
        <w:t>spitzoid</w:t>
      </w:r>
      <w:proofErr w:type="spellEnd"/>
      <w:r w:rsidRPr="00405039">
        <w:t xml:space="preserve"> histologic features and have different genomic features that also includes lower tumour mutation burden, one predictor of response to anti-PD1 based </w:t>
      </w:r>
      <w:r w:rsidRPr="00D556FB">
        <w:t>therapies</w:t>
      </w:r>
      <w:r w:rsidR="00C16B39" w:rsidRPr="00D556FB">
        <w:t>.</w:t>
      </w:r>
      <w:r w:rsidR="00C16B39" w:rsidRPr="00D556FB">
        <w:rPr>
          <w:color w:val="2B579A"/>
          <w:shd w:val="clear" w:color="auto" w:fill="E6E6E6"/>
          <w:vertAlign w:val="superscript"/>
        </w:rPr>
        <w:fldChar w:fldCharType="begin"/>
      </w:r>
      <w:r w:rsidR="00C16B39" w:rsidRPr="00D556FB">
        <w:rPr>
          <w:vertAlign w:val="superscript"/>
        </w:rPr>
        <w:instrText xml:space="preserve"> NOTEREF _Ref105577508 \h  \* MERGEFORMAT </w:instrText>
      </w:r>
      <w:r w:rsidR="00C16B39" w:rsidRPr="00D556FB">
        <w:rPr>
          <w:color w:val="2B579A"/>
          <w:shd w:val="clear" w:color="auto" w:fill="E6E6E6"/>
          <w:vertAlign w:val="superscript"/>
        </w:rPr>
      </w:r>
      <w:r w:rsidR="00C16B39" w:rsidRPr="00D556FB">
        <w:rPr>
          <w:color w:val="2B579A"/>
          <w:shd w:val="clear" w:color="auto" w:fill="E6E6E6"/>
          <w:vertAlign w:val="superscript"/>
        </w:rPr>
        <w:fldChar w:fldCharType="separate"/>
      </w:r>
      <w:r w:rsidR="004F1B9E">
        <w:rPr>
          <w:vertAlign w:val="superscript"/>
        </w:rPr>
        <w:t>30</w:t>
      </w:r>
      <w:r w:rsidR="00C16B39" w:rsidRPr="00D556FB">
        <w:rPr>
          <w:color w:val="2B579A"/>
          <w:shd w:val="clear" w:color="auto" w:fill="E6E6E6"/>
          <w:vertAlign w:val="superscript"/>
        </w:rPr>
        <w:fldChar w:fldCharType="end"/>
      </w:r>
    </w:p>
    <w:p w14:paraId="60421940" w14:textId="683B23F0" w:rsidR="00A5455E" w:rsidRPr="00C16B39" w:rsidRDefault="00A5455E" w:rsidP="00405039">
      <w:pPr>
        <w:pStyle w:val="Numberbullet0"/>
        <w:rPr>
          <w:b/>
          <w:bCs/>
          <w:i/>
          <w:iCs/>
        </w:rPr>
      </w:pPr>
      <w:r w:rsidRPr="00C16B39">
        <w:rPr>
          <w:b/>
          <w:bCs/>
          <w:i/>
          <w:iCs/>
        </w:rPr>
        <w:t>Do you have any comments on the rationale for approving the adult dose for paediatric patients, as described under</w:t>
      </w:r>
      <w:r w:rsidRPr="00C16B39">
        <w:rPr>
          <w:b/>
          <w:bCs/>
          <w:i/>
          <w:iCs/>
          <w:color w:val="0000FF"/>
          <w:u w:val="single"/>
        </w:rPr>
        <w:t xml:space="preserve"> </w:t>
      </w:r>
      <w:r w:rsidR="00C16B39" w:rsidRPr="00C16B39">
        <w:rPr>
          <w:b/>
          <w:bCs/>
          <w:i/>
          <w:iCs/>
          <w:color w:val="0000FF"/>
          <w:u w:val="single"/>
          <w:shd w:val="clear" w:color="auto" w:fill="E6E6E6"/>
        </w:rPr>
        <w:fldChar w:fldCharType="begin"/>
      </w:r>
      <w:r w:rsidR="00C16B39" w:rsidRPr="00C16B39">
        <w:rPr>
          <w:b/>
          <w:bCs/>
          <w:i/>
          <w:iCs/>
          <w:color w:val="0000FF"/>
          <w:u w:val="single"/>
        </w:rPr>
        <w:instrText xml:space="preserve"> REF _Ref140506421 \h  \* MERGEFORMAT </w:instrText>
      </w:r>
      <w:r w:rsidR="00C16B39" w:rsidRPr="00C16B39">
        <w:rPr>
          <w:b/>
          <w:bCs/>
          <w:i/>
          <w:iCs/>
          <w:color w:val="0000FF"/>
          <w:u w:val="single"/>
          <w:shd w:val="clear" w:color="auto" w:fill="E6E6E6"/>
        </w:rPr>
      </w:r>
      <w:r w:rsidR="00C16B39" w:rsidRPr="00C16B39">
        <w:rPr>
          <w:b/>
          <w:bCs/>
          <w:i/>
          <w:iCs/>
          <w:color w:val="0000FF"/>
          <w:u w:val="single"/>
          <w:shd w:val="clear" w:color="auto" w:fill="E6E6E6"/>
        </w:rPr>
        <w:fldChar w:fldCharType="separate"/>
      </w:r>
      <w:r w:rsidR="004F1B9E" w:rsidRPr="006A288C">
        <w:rPr>
          <w:b/>
          <w:bCs/>
          <w:i/>
          <w:iCs/>
          <w:color w:val="0000FF"/>
          <w:u w:val="single"/>
        </w:rPr>
        <w:t>Paediatric (adolescent) dosing</w:t>
      </w:r>
      <w:r w:rsidR="00C16B39" w:rsidRPr="00C16B39">
        <w:rPr>
          <w:b/>
          <w:bCs/>
          <w:i/>
          <w:iCs/>
          <w:color w:val="0000FF"/>
          <w:u w:val="single"/>
          <w:shd w:val="clear" w:color="auto" w:fill="E6E6E6"/>
        </w:rPr>
        <w:fldChar w:fldCharType="end"/>
      </w:r>
      <w:r w:rsidRPr="00C16B39">
        <w:rPr>
          <w:b/>
          <w:bCs/>
          <w:i/>
          <w:iCs/>
        </w:rPr>
        <w:t>?</w:t>
      </w:r>
    </w:p>
    <w:p w14:paraId="7D137A9E" w14:textId="32196521" w:rsidR="00405039" w:rsidRPr="00405039" w:rsidRDefault="004E5EC1" w:rsidP="00552E8E">
      <w:r w:rsidRPr="004E5EC1">
        <w:t xml:space="preserve">Nivolumab with </w:t>
      </w:r>
      <w:proofErr w:type="spellStart"/>
      <w:r w:rsidRPr="004E5EC1">
        <w:t>r</w:t>
      </w:r>
      <w:r w:rsidR="00405039" w:rsidRPr="004E5EC1">
        <w:t>elatlimab</w:t>
      </w:r>
      <w:proofErr w:type="spellEnd"/>
      <w:r w:rsidR="00405039" w:rsidRPr="004E5EC1">
        <w:t xml:space="preserve"> displays flat exposure-efficacy and exposure-toxicity relationships. There</w:t>
      </w:r>
      <w:r w:rsidR="00405039" w:rsidRPr="00405039">
        <w:t xml:space="preserve"> is more certainty in this conclusion for monotherapy with nivolumab based on a larger body of data. These exposure relationships are the key assumption in concluding that dosing per </w:t>
      </w:r>
      <w:r w:rsidR="00405039">
        <w:t>kilogram of body weight</w:t>
      </w:r>
      <w:r w:rsidR="00405039" w:rsidRPr="00405039">
        <w:t xml:space="preserve"> would not lead to inadequate exposure. The </w:t>
      </w:r>
      <w:r w:rsidR="00405039">
        <w:t>D</w:t>
      </w:r>
      <w:r w:rsidR="00405039" w:rsidRPr="00405039">
        <w:t>elegate’s recommendation (that the adult flat dosing regimen be used in patients aged 12</w:t>
      </w:r>
      <w:r w:rsidR="00405039">
        <w:t xml:space="preserve"> to </w:t>
      </w:r>
      <w:r w:rsidR="00405039" w:rsidRPr="00405039">
        <w:t>18</w:t>
      </w:r>
      <w:r w:rsidR="00405039">
        <w:t xml:space="preserve"> years</w:t>
      </w:r>
      <w:r w:rsidR="00405039" w:rsidRPr="00405039">
        <w:t xml:space="preserve">, rather than a per kg dosing approach) is in </w:t>
      </w:r>
      <w:r w:rsidR="00405039" w:rsidRPr="00C41651">
        <w:t xml:space="preserve">line with the dose approved by the FDA. </w:t>
      </w:r>
      <w:r w:rsidR="005770B1" w:rsidRPr="00C41651">
        <w:t>The expert(s) agreed</w:t>
      </w:r>
      <w:r w:rsidR="00405039" w:rsidRPr="00C41651">
        <w:t xml:space="preserve"> with the </w:t>
      </w:r>
      <w:r w:rsidR="00F82AC6" w:rsidRPr="00C41651">
        <w:t>D</w:t>
      </w:r>
      <w:r w:rsidR="00405039" w:rsidRPr="00C41651">
        <w:t xml:space="preserve">elegate that the adult flat dosing regimen may be used in the </w:t>
      </w:r>
      <w:proofErr w:type="gramStart"/>
      <w:r w:rsidR="00405039" w:rsidRPr="00C41651">
        <w:t>12</w:t>
      </w:r>
      <w:r w:rsidR="00F82AC6" w:rsidRPr="00C41651">
        <w:t xml:space="preserve"> to </w:t>
      </w:r>
      <w:r w:rsidR="00405039" w:rsidRPr="00C41651">
        <w:t>18 year old</w:t>
      </w:r>
      <w:proofErr w:type="gramEnd"/>
      <w:r w:rsidR="00405039" w:rsidRPr="00C41651">
        <w:t xml:space="preserve"> subgroup based on no evidence of different immune biology in this patient subgroup and the flat exposure-efficacy and exposure-toxicity relationships. </w:t>
      </w:r>
      <w:r w:rsidR="005770B1" w:rsidRPr="00C41651">
        <w:t xml:space="preserve">The expert(s) </w:t>
      </w:r>
      <w:r w:rsidR="00405039" w:rsidRPr="00C41651">
        <w:t>also agree</w:t>
      </w:r>
      <w:r w:rsidR="005770B1" w:rsidRPr="00C41651">
        <w:t>d</w:t>
      </w:r>
      <w:r w:rsidR="00405039" w:rsidRPr="00C41651">
        <w:t xml:space="preserve"> that the uncertainty created by the limited data is more</w:t>
      </w:r>
      <w:r w:rsidR="00405039" w:rsidRPr="00405039">
        <w:t xml:space="preserve"> acceptable in the setting of the proposed indication</w:t>
      </w:r>
      <w:r w:rsidR="00F82AC6">
        <w:t xml:space="preserve">, that is, </w:t>
      </w:r>
      <w:r w:rsidR="00405039" w:rsidRPr="00405039">
        <w:t>a life</w:t>
      </w:r>
      <w:r w:rsidR="00960765">
        <w:t>-</w:t>
      </w:r>
      <w:r w:rsidR="00405039" w:rsidRPr="00405039">
        <w:t>threatening disease.</w:t>
      </w:r>
    </w:p>
    <w:p w14:paraId="38D31533" w14:textId="43D3973F" w:rsidR="00A5455E" w:rsidRPr="004E5EC1" w:rsidRDefault="00A5455E" w:rsidP="00405039">
      <w:pPr>
        <w:pStyle w:val="Numberbullet0"/>
        <w:rPr>
          <w:b/>
          <w:bCs/>
          <w:i/>
          <w:iCs/>
        </w:rPr>
      </w:pPr>
      <w:proofErr w:type="spellStart"/>
      <w:r w:rsidRPr="004E5EC1">
        <w:rPr>
          <w:b/>
          <w:bCs/>
          <w:i/>
          <w:iCs/>
        </w:rPr>
        <w:t>Gyorki</w:t>
      </w:r>
      <w:proofErr w:type="spellEnd"/>
      <w:r w:rsidRPr="004E5EC1">
        <w:rPr>
          <w:b/>
          <w:bCs/>
          <w:i/>
          <w:iCs/>
        </w:rPr>
        <w:t xml:space="preserve"> mentions that in recent years, adjuvant therapy with either BRAF/MEK or CTLA4/PD-1 inhibition has become standard</w:t>
      </w:r>
      <w:r w:rsidR="004C3E39">
        <w:rPr>
          <w:b/>
          <w:bCs/>
          <w:i/>
          <w:iCs/>
        </w:rPr>
        <w:noBreakHyphen/>
      </w:r>
      <w:r w:rsidRPr="004E5EC1">
        <w:rPr>
          <w:b/>
          <w:bCs/>
          <w:i/>
          <w:iCs/>
        </w:rPr>
        <w:t>of</w:t>
      </w:r>
      <w:r w:rsidR="004C3E39">
        <w:rPr>
          <w:b/>
          <w:bCs/>
          <w:i/>
          <w:iCs/>
        </w:rPr>
        <w:noBreakHyphen/>
      </w:r>
      <w:r w:rsidRPr="004E5EC1">
        <w:rPr>
          <w:b/>
          <w:bCs/>
          <w:i/>
          <w:iCs/>
        </w:rPr>
        <w:t>care for melanoma patients. Is this the case in Australia?</w:t>
      </w:r>
    </w:p>
    <w:p w14:paraId="0D4F8DDB" w14:textId="171844C6" w:rsidR="00A5455E" w:rsidRPr="00BD5DBD" w:rsidRDefault="00405039" w:rsidP="00405039">
      <w:pPr>
        <w:rPr>
          <w:szCs w:val="22"/>
        </w:rPr>
      </w:pPr>
      <w:r w:rsidRPr="00405039">
        <w:t xml:space="preserve">Regarding the statement </w:t>
      </w:r>
      <w:r w:rsidR="0017772E">
        <w:t xml:space="preserve">by </w:t>
      </w:r>
      <w:proofErr w:type="spellStart"/>
      <w:r w:rsidRPr="00405039">
        <w:t>Gyorki</w:t>
      </w:r>
      <w:proofErr w:type="spellEnd"/>
      <w:r w:rsidRPr="00405039">
        <w:t xml:space="preserve"> that </w:t>
      </w:r>
      <w:r w:rsidR="00F82AC6" w:rsidRPr="00F82AC6">
        <w:rPr>
          <w:i/>
          <w:iCs/>
        </w:rPr>
        <w:t>‘</w:t>
      </w:r>
      <w:r w:rsidRPr="00F82AC6">
        <w:rPr>
          <w:i/>
          <w:iCs/>
        </w:rPr>
        <w:t>adjuvant therapy has become standard</w:t>
      </w:r>
      <w:r w:rsidR="004C3E39">
        <w:rPr>
          <w:i/>
          <w:iCs/>
        </w:rPr>
        <w:noBreakHyphen/>
      </w:r>
      <w:r w:rsidRPr="00F82AC6">
        <w:rPr>
          <w:i/>
          <w:iCs/>
        </w:rPr>
        <w:t>of</w:t>
      </w:r>
      <w:r w:rsidR="004C3E39">
        <w:rPr>
          <w:i/>
          <w:iCs/>
        </w:rPr>
        <w:noBreakHyphen/>
      </w:r>
      <w:r w:rsidRPr="00F82AC6">
        <w:rPr>
          <w:i/>
          <w:iCs/>
        </w:rPr>
        <w:t xml:space="preserve">care for many </w:t>
      </w:r>
      <w:r w:rsidRPr="00D556FB">
        <w:rPr>
          <w:i/>
          <w:iCs/>
        </w:rPr>
        <w:t>patients with stage III melanoma</w:t>
      </w:r>
      <w:r w:rsidR="00F82AC6" w:rsidRPr="00D556FB">
        <w:rPr>
          <w:i/>
          <w:iCs/>
        </w:rPr>
        <w:t>’</w:t>
      </w:r>
      <w:r w:rsidRPr="00D556FB">
        <w:t>,</w:t>
      </w:r>
      <w:r w:rsidR="00D556FB" w:rsidRPr="00D556FB">
        <w:rPr>
          <w:rStyle w:val="FootnoteReference"/>
        </w:rPr>
        <w:footnoteReference w:id="108"/>
      </w:r>
      <w:r w:rsidRPr="00D556FB">
        <w:t xml:space="preserve"> </w:t>
      </w:r>
      <w:r w:rsidR="00C41651" w:rsidRPr="00D556FB">
        <w:t xml:space="preserve">the expert(s) </w:t>
      </w:r>
      <w:r w:rsidRPr="00D556FB">
        <w:t>agree</w:t>
      </w:r>
      <w:r w:rsidR="00C41651" w:rsidRPr="00D556FB">
        <w:t>d</w:t>
      </w:r>
      <w:r w:rsidRPr="00D556FB">
        <w:t xml:space="preserve"> that currently the combination of</w:t>
      </w:r>
      <w:r w:rsidRPr="00405039">
        <w:t xml:space="preserve"> </w:t>
      </w:r>
      <w:r w:rsidRPr="00F55DFA">
        <w:t>BRAF</w:t>
      </w:r>
      <w:r w:rsidR="004C3E39">
        <w:rPr>
          <w:i/>
          <w:iCs/>
        </w:rPr>
        <w:t xml:space="preserve"> </w:t>
      </w:r>
      <w:r w:rsidR="000F4B6F">
        <w:t xml:space="preserve">plus </w:t>
      </w:r>
      <w:r w:rsidRPr="004E5EC1">
        <w:t>MEK inhibitors or monotherapy with anti-PD-1 (nivolumab or pembrolizumab) are a standard</w:t>
      </w:r>
      <w:r w:rsidR="004C3E39">
        <w:noBreakHyphen/>
      </w:r>
      <w:r w:rsidRPr="004E5EC1">
        <w:t>of</w:t>
      </w:r>
      <w:r w:rsidR="004C3E39">
        <w:noBreakHyphen/>
      </w:r>
      <w:r w:rsidRPr="004E5EC1">
        <w:t>care for resected stage 3B-D or resected stage 4 melanoma. In the RELATIVITY-047</w:t>
      </w:r>
      <w:r w:rsidR="003269A5">
        <w:t xml:space="preserve"> trial</w:t>
      </w:r>
      <w:r w:rsidRPr="004E5EC1">
        <w:t xml:space="preserve"> (</w:t>
      </w:r>
      <w:r w:rsidR="00B651DF">
        <w:t xml:space="preserve">Study </w:t>
      </w:r>
      <w:r w:rsidRPr="004E5EC1">
        <w:t xml:space="preserve">CA224047) only </w:t>
      </w:r>
      <w:r w:rsidR="00F82AC6" w:rsidRPr="004E5EC1">
        <w:t>approximately</w:t>
      </w:r>
      <w:r w:rsidRPr="004E5EC1">
        <w:t xml:space="preserve"> 2% of patients had received prior immunotherapies or</w:t>
      </w:r>
      <w:r w:rsidRPr="00405039">
        <w:t xml:space="preserve"> </w:t>
      </w:r>
      <w:r w:rsidRPr="00F55DFA">
        <w:t>BRAF</w:t>
      </w:r>
      <w:r w:rsidR="000F4B6F">
        <w:t xml:space="preserve"> </w:t>
      </w:r>
      <w:r w:rsidR="00960765">
        <w:t xml:space="preserve">inhibitor </w:t>
      </w:r>
      <w:r w:rsidR="000F4B6F">
        <w:t xml:space="preserve">plus </w:t>
      </w:r>
      <w:r w:rsidRPr="00405039">
        <w:t xml:space="preserve">MEK inhibitor treatment. As such the relative efficacy of </w:t>
      </w:r>
      <w:r w:rsidR="004E5EC1">
        <w:t xml:space="preserve">nivolumab with </w:t>
      </w:r>
      <w:proofErr w:type="spellStart"/>
      <w:r w:rsidRPr="00405039">
        <w:t>relatlimab</w:t>
      </w:r>
      <w:proofErr w:type="spellEnd"/>
      <w:r w:rsidRPr="00405039">
        <w:t xml:space="preserve"> v</w:t>
      </w:r>
      <w:r w:rsidR="00F82AC6">
        <w:t>ersus</w:t>
      </w:r>
      <w:r w:rsidRPr="00405039">
        <w:t xml:space="preserve"> nivolumab monotherapy in patients that have received prior immunotherapies or </w:t>
      </w:r>
      <w:r w:rsidRPr="00F55DFA">
        <w:t>BRAF</w:t>
      </w:r>
      <w:r w:rsidR="00960765">
        <w:t xml:space="preserve"> inhibitor</w:t>
      </w:r>
      <w:r w:rsidR="000F4B6F">
        <w:t xml:space="preserve"> plus </w:t>
      </w:r>
      <w:r w:rsidRPr="00405039">
        <w:t xml:space="preserve">MEK inhibitor treatment remains uncertain. Nonetheless </w:t>
      </w:r>
      <w:r w:rsidR="00C41651">
        <w:t>the expert(s) supported</w:t>
      </w:r>
      <w:r w:rsidRPr="00405039">
        <w:t xml:space="preserve"> the </w:t>
      </w:r>
      <w:r w:rsidR="00F82AC6">
        <w:t>D</w:t>
      </w:r>
      <w:r w:rsidRPr="00405039">
        <w:t>elegate</w:t>
      </w:r>
      <w:r w:rsidR="00F82AC6">
        <w:t>’</w:t>
      </w:r>
      <w:r w:rsidRPr="00405039">
        <w:t>s recommendations to approve the registration of the product.</w:t>
      </w:r>
    </w:p>
    <w:p w14:paraId="318CFABC" w14:textId="77777777" w:rsidR="00C22214" w:rsidRPr="00F73346" w:rsidRDefault="00C22214" w:rsidP="00C22214">
      <w:pPr>
        <w:pStyle w:val="Heading4"/>
      </w:pPr>
      <w:bookmarkStart w:id="137" w:name="_Toc98931936"/>
      <w:bookmarkStart w:id="138" w:name="_Toc154134534"/>
      <w:bookmarkStart w:id="139" w:name="_Toc247691532"/>
      <w:bookmarkStart w:id="140" w:name="_Toc314842516"/>
      <w:r w:rsidRPr="00F73346">
        <w:t>Advisory Committee considerations</w:t>
      </w:r>
      <w:bookmarkEnd w:id="137"/>
      <w:bookmarkEnd w:id="138"/>
    </w:p>
    <w:p w14:paraId="15E2951C" w14:textId="1728BE1B" w:rsidR="00C22214" w:rsidRDefault="00C22214" w:rsidP="00C22214">
      <w:pPr>
        <w:rPr>
          <w:szCs w:val="22"/>
        </w:rPr>
      </w:pPr>
      <w:r w:rsidRPr="00BD5DBD">
        <w:rPr>
          <w:szCs w:val="22"/>
        </w:rPr>
        <w:t>The Delegate did not refer this submission to the Advisory Committee on Medicines for advice.</w:t>
      </w:r>
    </w:p>
    <w:p w14:paraId="48650397" w14:textId="7656928B" w:rsidR="000019C1" w:rsidRDefault="000019C1" w:rsidP="000019C1">
      <w:pPr>
        <w:pStyle w:val="Heading4"/>
      </w:pPr>
      <w:bookmarkStart w:id="141" w:name="_Toc154134535"/>
      <w:r w:rsidRPr="00D23139">
        <w:t>Proposed action</w:t>
      </w:r>
      <w:r>
        <w:t xml:space="preserve"> following independent expert </w:t>
      </w:r>
      <w:proofErr w:type="gramStart"/>
      <w:r>
        <w:t>advice</w:t>
      </w:r>
      <w:bookmarkEnd w:id="141"/>
      <w:proofErr w:type="gramEnd"/>
    </w:p>
    <w:p w14:paraId="633CE4DE" w14:textId="77777777" w:rsidR="000019C1" w:rsidRPr="00FB761B" w:rsidRDefault="000019C1" w:rsidP="000019C1">
      <w:r>
        <w:t xml:space="preserve">The Delegate </w:t>
      </w:r>
      <w:r w:rsidRPr="00FB761B">
        <w:t>propose</w:t>
      </w:r>
      <w:r>
        <w:t>d</w:t>
      </w:r>
      <w:r w:rsidRPr="00FB761B">
        <w:t xml:space="preserve"> to approve the registration of the product</w:t>
      </w:r>
      <w:r>
        <w:t xml:space="preserve"> for the requested indication.</w:t>
      </w:r>
    </w:p>
    <w:p w14:paraId="32250A2A" w14:textId="74D1431E" w:rsidR="000019C1" w:rsidRPr="00FB761B" w:rsidRDefault="000019C1" w:rsidP="000019C1">
      <w:r w:rsidRPr="00FB761B">
        <w:t>I</w:t>
      </w:r>
      <w:r>
        <w:t xml:space="preserve">n addition to the standard conditions, and the specific conditions proposed by the RMP evaluation which include the application of the </w:t>
      </w:r>
      <w:r w:rsidR="00B651DF">
        <w:t>B</w:t>
      </w:r>
      <w:r>
        <w:t xml:space="preserve">lack </w:t>
      </w:r>
      <w:r w:rsidR="00B651DF">
        <w:t>T</w:t>
      </w:r>
      <w:r>
        <w:t xml:space="preserve">riangle </w:t>
      </w:r>
      <w:r w:rsidR="00B651DF">
        <w:t>S</w:t>
      </w:r>
      <w:r>
        <w:t>cheme, the Delegate</w:t>
      </w:r>
      <w:r w:rsidRPr="00FB761B">
        <w:t xml:space="preserve"> propose</w:t>
      </w:r>
      <w:r>
        <w:t>d</w:t>
      </w:r>
      <w:r w:rsidRPr="00FB761B">
        <w:t xml:space="preserve"> the following additional </w:t>
      </w:r>
      <w:r>
        <w:t xml:space="preserve">specific </w:t>
      </w:r>
      <w:r w:rsidRPr="00FB761B">
        <w:t>conditions of registration:</w:t>
      </w:r>
    </w:p>
    <w:p w14:paraId="5203CE37" w14:textId="48B99B21" w:rsidR="000019C1" w:rsidRDefault="000019C1" w:rsidP="000019C1">
      <w:pPr>
        <w:pStyle w:val="ListBullet"/>
      </w:pPr>
      <w:r w:rsidRPr="00E54637">
        <w:rPr>
          <w:lang w:eastAsia="en-AU"/>
        </w:rPr>
        <w:lastRenderedPageBreak/>
        <w:t>Submit results from Study 2 (</w:t>
      </w:r>
      <w:r w:rsidR="00B651DF" w:rsidRPr="00E54637">
        <w:rPr>
          <w:lang w:eastAsia="en-AU"/>
        </w:rPr>
        <w:t>modelling and simulation/extrapolation study</w:t>
      </w:r>
      <w:r w:rsidRPr="00E54637">
        <w:rPr>
          <w:lang w:eastAsia="en-AU"/>
        </w:rPr>
        <w:t xml:space="preserve">), to further characterise the pharmacokinetics and evaluate the dose regimen of nivolumab and </w:t>
      </w:r>
      <w:proofErr w:type="spellStart"/>
      <w:r w:rsidRPr="00E54637">
        <w:rPr>
          <w:lang w:eastAsia="en-AU"/>
        </w:rPr>
        <w:t>relatlimab</w:t>
      </w:r>
      <w:proofErr w:type="spellEnd"/>
      <w:r w:rsidRPr="00E54637">
        <w:rPr>
          <w:lang w:eastAsia="en-AU"/>
        </w:rPr>
        <w:t xml:space="preserve"> combination therapy in paediatric lymphoma, when </w:t>
      </w:r>
      <w:r>
        <w:t>available</w:t>
      </w:r>
      <w:r w:rsidRPr="00FB761B">
        <w:t>.</w:t>
      </w:r>
    </w:p>
    <w:p w14:paraId="1111C969" w14:textId="753703C7" w:rsidR="000019C1" w:rsidRPr="000019C1" w:rsidRDefault="000019C1">
      <w:pPr>
        <w:pStyle w:val="ListBullet"/>
        <w:rPr>
          <w:szCs w:val="22"/>
        </w:rPr>
      </w:pPr>
      <w:r>
        <w:t xml:space="preserve">Provide any new safety information emerging from the completed </w:t>
      </w:r>
      <w:r w:rsidR="00B651DF">
        <w:t>S</w:t>
      </w:r>
      <w:r>
        <w:t>tudy CA224122 (long term follow up of paediatric patients enrolled in an adolescent Dutch Melanoma Treatment Registry) in a revised RMP, when available.</w:t>
      </w:r>
    </w:p>
    <w:p w14:paraId="307F236C" w14:textId="77777777" w:rsidR="00C22214" w:rsidRPr="002E238E" w:rsidRDefault="00C22214" w:rsidP="00C22214">
      <w:pPr>
        <w:pStyle w:val="Heading2"/>
      </w:pPr>
      <w:bookmarkStart w:id="142" w:name="_Toc103679300"/>
      <w:bookmarkStart w:id="143" w:name="_Toc154134536"/>
      <w:r>
        <w:t>Outcome</w:t>
      </w:r>
      <w:bookmarkEnd w:id="139"/>
      <w:bookmarkEnd w:id="140"/>
      <w:bookmarkEnd w:id="142"/>
      <w:bookmarkEnd w:id="143"/>
    </w:p>
    <w:p w14:paraId="1C1B11FA" w14:textId="161DBEB7" w:rsidR="00F82AC6" w:rsidRDefault="00C22214" w:rsidP="00F82AC6">
      <w:r w:rsidRPr="00BD5DBD">
        <w:t xml:space="preserve">Based on a review of quality, safety, and efficacy, the TGA approved the registration of </w:t>
      </w:r>
      <w:proofErr w:type="spellStart"/>
      <w:r w:rsidR="00F82AC6">
        <w:rPr>
          <w:szCs w:val="22"/>
        </w:rPr>
        <w:t>Opdualag</w:t>
      </w:r>
      <w:proofErr w:type="spellEnd"/>
      <w:r w:rsidR="00F82AC6">
        <w:rPr>
          <w:szCs w:val="22"/>
        </w:rPr>
        <w:t xml:space="preserve"> (nivolumab 240 mg and </w:t>
      </w:r>
      <w:proofErr w:type="spellStart"/>
      <w:r w:rsidR="00F82AC6">
        <w:rPr>
          <w:szCs w:val="22"/>
        </w:rPr>
        <w:t>relatlimab</w:t>
      </w:r>
      <w:proofErr w:type="spellEnd"/>
      <w:r w:rsidR="00F82AC6">
        <w:rPr>
          <w:szCs w:val="22"/>
        </w:rPr>
        <w:t xml:space="preserve"> 80 mg)</w:t>
      </w:r>
      <w:r w:rsidR="00F82AC6" w:rsidRPr="00BD5DBD">
        <w:rPr>
          <w:szCs w:val="22"/>
        </w:rPr>
        <w:t xml:space="preserve"> </w:t>
      </w:r>
      <w:r w:rsidR="00F82AC6">
        <w:rPr>
          <w:szCs w:val="22"/>
        </w:rPr>
        <w:t>concentrate solution for intravenous infusion in a vial</w:t>
      </w:r>
      <w:r w:rsidRPr="00BD5DBD">
        <w:t>, indicated for:</w:t>
      </w:r>
    </w:p>
    <w:p w14:paraId="3B245AB5" w14:textId="6252C34B" w:rsidR="00C22214" w:rsidRPr="00BD5DBD" w:rsidRDefault="00F82AC6" w:rsidP="00F82AC6">
      <w:pPr>
        <w:ind w:left="720"/>
      </w:pPr>
      <w:proofErr w:type="spellStart"/>
      <w:r w:rsidRPr="00DD1865">
        <w:rPr>
          <w:i/>
          <w:iCs/>
        </w:rPr>
        <w:t>Opdualag</w:t>
      </w:r>
      <w:proofErr w:type="spellEnd"/>
      <w:r w:rsidRPr="00DD1865">
        <w:rPr>
          <w:i/>
          <w:iCs/>
        </w:rPr>
        <w:t xml:space="preserve"> is indicated for the treatment of patients with unresectable or metastatic melanoma who are at least 12</w:t>
      </w:r>
      <w:r>
        <w:rPr>
          <w:i/>
          <w:iCs/>
        </w:rPr>
        <w:t> </w:t>
      </w:r>
      <w:r w:rsidRPr="00DD1865">
        <w:rPr>
          <w:i/>
          <w:iCs/>
        </w:rPr>
        <w:t>years old.</w:t>
      </w:r>
    </w:p>
    <w:p w14:paraId="0D732DA4" w14:textId="77777777" w:rsidR="00854D98" w:rsidRPr="00D23139" w:rsidRDefault="00854D98" w:rsidP="00854D98">
      <w:pPr>
        <w:pStyle w:val="Heading3"/>
      </w:pPr>
      <w:bookmarkStart w:id="144" w:name="_Toc103679301"/>
      <w:bookmarkStart w:id="145" w:name="_Toc154134537"/>
      <w:r w:rsidRPr="00D23139">
        <w:t>Specific conditions of registration applying to these goods</w:t>
      </w:r>
      <w:bookmarkEnd w:id="144"/>
      <w:bookmarkEnd w:id="145"/>
    </w:p>
    <w:p w14:paraId="7BC411E2" w14:textId="0079E029" w:rsidR="00DD1865" w:rsidRPr="00DD1865" w:rsidRDefault="00DD1865" w:rsidP="00DD1865">
      <w:pPr>
        <w:pStyle w:val="ListBullet"/>
      </w:pPr>
      <w:proofErr w:type="spellStart"/>
      <w:r w:rsidRPr="00DD1865">
        <w:t>Opdualag</w:t>
      </w:r>
      <w:proofErr w:type="spellEnd"/>
      <w:r w:rsidRPr="00DD1865">
        <w:t xml:space="preserve"> (</w:t>
      </w:r>
      <w:r w:rsidR="000019C1">
        <w:t>nivolumab</w:t>
      </w:r>
      <w:r w:rsidR="00C808E2">
        <w:t xml:space="preserve"> and </w:t>
      </w:r>
      <w:proofErr w:type="spellStart"/>
      <w:r w:rsidRPr="00DD1865">
        <w:t>relatlimab</w:t>
      </w:r>
      <w:proofErr w:type="spellEnd"/>
      <w:r w:rsidRPr="00DD1865">
        <w:t xml:space="preserve">) is to be included in the Black Triangle Scheme. The PI and CMI for </w:t>
      </w:r>
      <w:proofErr w:type="spellStart"/>
      <w:r w:rsidRPr="00DD1865">
        <w:t>Opdualag</w:t>
      </w:r>
      <w:proofErr w:type="spellEnd"/>
      <w:r w:rsidRPr="00DD1865">
        <w:t xml:space="preserve"> must include the black triangle symbol and mandatory accompanying text for </w:t>
      </w:r>
      <w:r w:rsidR="008A4EC5">
        <w:t>5</w:t>
      </w:r>
      <w:r w:rsidRPr="00DD1865">
        <w:t xml:space="preserve"> years, which starts from the date that the sponsor notifies the TGA of supply of the product.</w:t>
      </w:r>
    </w:p>
    <w:p w14:paraId="2BEEFEA4" w14:textId="34A07D7C" w:rsidR="00DD1865" w:rsidRPr="00DD1865" w:rsidRDefault="00DD1865" w:rsidP="00DD1865">
      <w:pPr>
        <w:pStyle w:val="ListBullet"/>
      </w:pPr>
      <w:r w:rsidRPr="00DD1865">
        <w:t xml:space="preserve">The </w:t>
      </w:r>
      <w:proofErr w:type="spellStart"/>
      <w:r w:rsidRPr="00DD1865">
        <w:t>Opdualag</w:t>
      </w:r>
      <w:proofErr w:type="spellEnd"/>
      <w:r w:rsidRPr="00DD1865">
        <w:t xml:space="preserve"> EU-</w:t>
      </w:r>
      <w:r w:rsidR="00B651DF">
        <w:t>r</w:t>
      </w:r>
      <w:r w:rsidRPr="00DD1865">
        <w:t xml:space="preserve">isk </w:t>
      </w:r>
      <w:r w:rsidR="00B651DF">
        <w:t>m</w:t>
      </w:r>
      <w:r w:rsidRPr="00DD1865">
        <w:t xml:space="preserve">anagement </w:t>
      </w:r>
      <w:r w:rsidR="00B651DF">
        <w:t>p</w:t>
      </w:r>
      <w:r w:rsidRPr="00DD1865">
        <w:t>lan (RMP) (version 1.0, dated 18</w:t>
      </w:r>
      <w:r w:rsidR="008A4EC5">
        <w:t> </w:t>
      </w:r>
      <w:r w:rsidRPr="00DD1865">
        <w:t>August</w:t>
      </w:r>
      <w:r w:rsidR="008A4EC5">
        <w:t> </w:t>
      </w:r>
      <w:r w:rsidRPr="00DD1865">
        <w:t>2021, data lock point 9</w:t>
      </w:r>
      <w:r w:rsidR="008A4EC5">
        <w:t> </w:t>
      </w:r>
      <w:r w:rsidRPr="00DD1865">
        <w:t>March</w:t>
      </w:r>
      <w:r w:rsidR="008A4EC5">
        <w:t> </w:t>
      </w:r>
      <w:r w:rsidRPr="00DD1865">
        <w:t>2021), with Australia</w:t>
      </w:r>
      <w:r w:rsidR="00152C70">
        <w:noBreakHyphen/>
      </w:r>
      <w:r w:rsidR="00B651DF">
        <w:t>s</w:t>
      </w:r>
      <w:r w:rsidRPr="00DD1865">
        <w:t xml:space="preserve">pecific </w:t>
      </w:r>
      <w:r w:rsidR="00B651DF">
        <w:t>a</w:t>
      </w:r>
      <w:r w:rsidRPr="00DD1865">
        <w:t>nnex (ASA) (version 2.0, dated 8</w:t>
      </w:r>
      <w:r w:rsidR="008A4EC5">
        <w:t> </w:t>
      </w:r>
      <w:r w:rsidRPr="00DD1865">
        <w:t>July</w:t>
      </w:r>
      <w:r w:rsidR="008A4EC5">
        <w:t> </w:t>
      </w:r>
      <w:r w:rsidRPr="00DD1865">
        <w:t xml:space="preserve">2022), included with </w:t>
      </w:r>
      <w:r w:rsidR="008A4EC5">
        <w:t>S</w:t>
      </w:r>
      <w:r w:rsidRPr="00DD1865">
        <w:t>ubmission PM-2021-03689-1-4, and any subsequent revisions as agreed with the TGA, will be implemented in Australia.</w:t>
      </w:r>
    </w:p>
    <w:p w14:paraId="0AABB704" w14:textId="02DCE0EE" w:rsidR="00DD1865" w:rsidRPr="00DD1865" w:rsidRDefault="00DD1865" w:rsidP="00B22C73">
      <w:pPr>
        <w:pStyle w:val="ListBullet"/>
        <w:numPr>
          <w:ilvl w:val="0"/>
          <w:numId w:val="0"/>
        </w:numPr>
        <w:ind w:left="360"/>
      </w:pPr>
      <w:r w:rsidRPr="00DD1865">
        <w:t>An obligatory component of risk management plans is routine pharmacovigilance. Routine pharmacovigilance includes the submission of periodic safety update reports (</w:t>
      </w:r>
      <w:r w:rsidR="00B651DF" w:rsidRPr="00DD1865">
        <w:t>PSUR</w:t>
      </w:r>
      <w:r w:rsidRPr="00DD1865">
        <w:t>s).</w:t>
      </w:r>
    </w:p>
    <w:p w14:paraId="7898DB55" w14:textId="0F694E66" w:rsidR="00DD1865" w:rsidRPr="00DD1865" w:rsidRDefault="00DD1865" w:rsidP="00B22C73">
      <w:pPr>
        <w:pStyle w:val="ListBullet"/>
        <w:numPr>
          <w:ilvl w:val="0"/>
          <w:numId w:val="0"/>
        </w:numPr>
        <w:ind w:left="360"/>
      </w:pPr>
      <w:r w:rsidRPr="00DD1865">
        <w:t>Unless agreed separately between the supplier who is the recipient of the approval and the TGA, the first report must be submitted to TGA no later than 15 calendar months after the date of th</w:t>
      </w:r>
      <w:r w:rsidR="008A4EC5">
        <w:t>e</w:t>
      </w:r>
      <w:r w:rsidRPr="00DD1865">
        <w:t xml:space="preserve"> approval letter. The subsequent reports must be submitted no less frequently than annually from the date of the first submitted report until the period covered by such reports is not less than </w:t>
      </w:r>
      <w:r w:rsidR="008A4EC5">
        <w:t>3</w:t>
      </w:r>
      <w:r w:rsidRPr="00DD1865">
        <w:t xml:space="preserve"> years from the date of th</w:t>
      </w:r>
      <w:r w:rsidR="003D1296">
        <w:t>e</w:t>
      </w:r>
      <w:r w:rsidRPr="00DD1865">
        <w:t xml:space="preserve"> approval letter. The annual submission may be made up of two PSURs each covering </w:t>
      </w:r>
      <w:r w:rsidR="008A4EC5">
        <w:t>6</w:t>
      </w:r>
      <w:r w:rsidRPr="00DD1865">
        <w:t xml:space="preserve"> months. If the sponsor wishes, the </w:t>
      </w:r>
      <w:r w:rsidR="008A4EC5">
        <w:t>6-</w:t>
      </w:r>
      <w:r w:rsidRPr="00DD1865">
        <w:t>monthly reports may be submitted separately as they become available.</w:t>
      </w:r>
    </w:p>
    <w:p w14:paraId="1B2345A4" w14:textId="5A2C43BE" w:rsidR="00DD1865" w:rsidRPr="00DD1865" w:rsidRDefault="00DD1865" w:rsidP="00B22C73">
      <w:pPr>
        <w:pStyle w:val="ListBullet"/>
        <w:numPr>
          <w:ilvl w:val="0"/>
          <w:numId w:val="0"/>
        </w:numPr>
        <w:ind w:left="360"/>
      </w:pPr>
      <w:r w:rsidRPr="00DD1865">
        <w:t xml:space="preserve">If the product is approved in the EU during the </w:t>
      </w:r>
      <w:proofErr w:type="gramStart"/>
      <w:r w:rsidR="008A4EC5">
        <w:t>3</w:t>
      </w:r>
      <w:r w:rsidRPr="00DD1865">
        <w:t xml:space="preserve"> year</w:t>
      </w:r>
      <w:proofErr w:type="gramEnd"/>
      <w:r w:rsidRPr="00DD1865">
        <w:t xml:space="preserve"> period, reports can be provided in line with the published list of EU reference dates no less frequently than annually from the date of the first submitted report until the period covered by such reports is not less than </w:t>
      </w:r>
      <w:r w:rsidR="008A4EC5">
        <w:t>3</w:t>
      </w:r>
      <w:r w:rsidRPr="00DD1865">
        <w:t xml:space="preserve"> years from the date of th</w:t>
      </w:r>
      <w:r w:rsidR="008A4EC5">
        <w:t>e</w:t>
      </w:r>
      <w:r w:rsidRPr="00DD1865">
        <w:t xml:space="preserve"> approval letter.</w:t>
      </w:r>
    </w:p>
    <w:p w14:paraId="33335E80" w14:textId="7E63699F" w:rsidR="00DD1865" w:rsidRPr="00DD1865" w:rsidRDefault="00DD1865" w:rsidP="00B22C73">
      <w:pPr>
        <w:pStyle w:val="ListBullet"/>
        <w:numPr>
          <w:ilvl w:val="0"/>
          <w:numId w:val="0"/>
        </w:numPr>
        <w:ind w:left="360"/>
      </w:pPr>
      <w:r w:rsidRPr="00DD1865">
        <w:t xml:space="preserve">The reports are to at least meet the requirements for PSURs as described in the European Medicines Agency’s Guideline on </w:t>
      </w:r>
      <w:r w:rsidR="008A4EC5">
        <w:t>G</w:t>
      </w:r>
      <w:r w:rsidRPr="00DD1865">
        <w:t xml:space="preserve">ood </w:t>
      </w:r>
      <w:r w:rsidR="008A4EC5">
        <w:t>P</w:t>
      </w:r>
      <w:r w:rsidRPr="00DD1865">
        <w:t xml:space="preserve">harmacovigilance </w:t>
      </w:r>
      <w:r w:rsidR="008A4EC5">
        <w:t>P</w:t>
      </w:r>
      <w:r w:rsidRPr="00DD1865">
        <w:t>ractices (GVP) Module VII-periodic safety update report (Rev</w:t>
      </w:r>
      <w:r w:rsidR="008A4EC5">
        <w:t>ision</w:t>
      </w:r>
      <w:r w:rsidRPr="00DD1865">
        <w:t xml:space="preserve"> 1), Part VII.B Structures and processes. Note that submission of a PSUR does not constitute an application to vary the registration. Each report must have been prepared within </w:t>
      </w:r>
      <w:r w:rsidR="008A4EC5">
        <w:t>90</w:t>
      </w:r>
      <w:r w:rsidRPr="00DD1865">
        <w:t xml:space="preserve"> calendar days of the data lock point for that report.</w:t>
      </w:r>
    </w:p>
    <w:p w14:paraId="54BD17A3" w14:textId="1A149519" w:rsidR="00DD1865" w:rsidRPr="00DD1865" w:rsidRDefault="00DD1865" w:rsidP="00DD1865">
      <w:pPr>
        <w:pStyle w:val="ListBullet"/>
      </w:pPr>
      <w:r>
        <w:t>[The sponsor is to</w:t>
      </w:r>
      <w:r w:rsidR="00B22C73">
        <w:t xml:space="preserve">] </w:t>
      </w:r>
      <w:r w:rsidR="00B651DF">
        <w:t>s</w:t>
      </w:r>
      <w:r w:rsidRPr="00DD1865">
        <w:t>ubmit results from Study 2 (</w:t>
      </w:r>
      <w:r w:rsidR="00B651DF" w:rsidRPr="00DD1865">
        <w:t>modelling and simulation/extrapolation study</w:t>
      </w:r>
      <w:r w:rsidRPr="00DD1865">
        <w:t xml:space="preserve">), to further characterise the pharmacokinetics and evaluate the dose regimen of nivolumab and </w:t>
      </w:r>
      <w:proofErr w:type="spellStart"/>
      <w:r w:rsidRPr="00DD1865">
        <w:t>relatlimab</w:t>
      </w:r>
      <w:proofErr w:type="spellEnd"/>
      <w:r w:rsidRPr="00DD1865">
        <w:t xml:space="preserve"> combination therapy in paediatric lymphoma, when available.</w:t>
      </w:r>
    </w:p>
    <w:p w14:paraId="3D3B882B" w14:textId="39C41484" w:rsidR="00DD1865" w:rsidRPr="00DD1865" w:rsidRDefault="00B22C73" w:rsidP="00DD1865">
      <w:pPr>
        <w:pStyle w:val="ListBullet"/>
      </w:pPr>
      <w:r>
        <w:lastRenderedPageBreak/>
        <w:t>[The sponsor is to]</w:t>
      </w:r>
      <w:r w:rsidR="00DD1865" w:rsidRPr="00DD1865">
        <w:t xml:space="preserve"> </w:t>
      </w:r>
      <w:r w:rsidR="00B651DF">
        <w:t>p</w:t>
      </w:r>
      <w:r w:rsidR="00DD1865" w:rsidRPr="00DD1865">
        <w:t xml:space="preserve">rovide any new safety information emerging from the completed </w:t>
      </w:r>
      <w:r w:rsidR="00B651DF">
        <w:t>S</w:t>
      </w:r>
      <w:r w:rsidR="00DD1865" w:rsidRPr="00DD1865">
        <w:t>tudy CA224122 (long term follow up of paediatric patients enrolled in an adolescent Dutch Melanoma Treatment Registry) in a revised RMP, when available.</w:t>
      </w:r>
    </w:p>
    <w:p w14:paraId="451DC3FC" w14:textId="77777777" w:rsidR="00C22214" w:rsidRDefault="00C22214" w:rsidP="00C22214">
      <w:pPr>
        <w:pStyle w:val="Heading2"/>
      </w:pPr>
      <w:bookmarkStart w:id="146" w:name="_Toc103679303"/>
      <w:bookmarkStart w:id="147" w:name="_Toc154134538"/>
      <w:r>
        <w:t>Attachment 1. Product Information</w:t>
      </w:r>
      <w:bookmarkEnd w:id="146"/>
      <w:bookmarkEnd w:id="147"/>
    </w:p>
    <w:p w14:paraId="21F47164" w14:textId="59D4B010" w:rsidR="00C22214" w:rsidRPr="00BD5DBD" w:rsidRDefault="00C22214" w:rsidP="00C22214">
      <w:pPr>
        <w:rPr>
          <w:szCs w:val="22"/>
        </w:rPr>
      </w:pPr>
      <w:r w:rsidRPr="00BD5DBD">
        <w:rPr>
          <w:szCs w:val="22"/>
        </w:rPr>
        <w:t xml:space="preserve">The PI for </w:t>
      </w:r>
      <w:proofErr w:type="spellStart"/>
      <w:r w:rsidR="004E7F82">
        <w:rPr>
          <w:szCs w:val="22"/>
        </w:rPr>
        <w:t>Opdualag</w:t>
      </w:r>
      <w:proofErr w:type="spellEnd"/>
      <w:r w:rsidRPr="00BD5DBD">
        <w:rPr>
          <w:szCs w:val="22"/>
        </w:rPr>
        <w:t xml:space="preserve"> approved with the submission which is described in this </w:t>
      </w:r>
      <w:proofErr w:type="spellStart"/>
      <w:r w:rsidRPr="00BD5DBD">
        <w:rPr>
          <w:szCs w:val="22"/>
        </w:rPr>
        <w:t>AusPAR</w:t>
      </w:r>
      <w:proofErr w:type="spellEnd"/>
      <w:r w:rsidRPr="00BD5DBD">
        <w:rPr>
          <w:szCs w:val="22"/>
        </w:rPr>
        <w:t xml:space="preserve"> is at Attachment 1. For the most recent PI, please refer to the TGA </w:t>
      </w:r>
      <w:hyperlink r:id="rId26" w:history="1">
        <w:r w:rsidRPr="00BD5DBD">
          <w:rPr>
            <w:rStyle w:val="Hyperlink"/>
            <w:szCs w:val="22"/>
          </w:rPr>
          <w:t>PI/CMI search facility.</w:t>
        </w:r>
      </w:hyperlink>
    </w:p>
    <w:p w14:paraId="40740B65" w14:textId="77777777" w:rsidR="00C22214" w:rsidRPr="008B4DA3" w:rsidRDefault="00C22214" w:rsidP="00C22214">
      <w:pPr>
        <w:autoSpaceDE w:val="0"/>
        <w:autoSpaceDN w:val="0"/>
        <w:adjustRightInd w:val="0"/>
        <w:spacing w:after="0"/>
      </w:pPr>
      <w:r w:rsidRPr="00C80137">
        <w:rPr>
          <w:b/>
        </w:rPr>
        <w:br w:type="page"/>
      </w:r>
    </w:p>
    <w:p w14:paraId="53357BF3" w14:textId="276457B5" w:rsidR="00C22214" w:rsidRDefault="00C22214" w:rsidP="00C22214">
      <w:pPr>
        <w:rPr>
          <w:lang w:eastAsia="ja-JP"/>
        </w:rPr>
        <w:sectPr w:rsidR="00C22214" w:rsidSect="007452E8">
          <w:headerReference w:type="default" r:id="rId27"/>
          <w:footerReference w:type="default" r:id="rId28"/>
          <w:endnotePr>
            <w:numFmt w:val="decimal"/>
          </w:endnotePr>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FBA3E27" w:rsidR="00F02AEC" w:rsidRPr="00C21FFF" w:rsidRDefault="00F02AEC">
            <w:pPr>
              <w:pStyle w:val="Address"/>
              <w:jc w:val="center"/>
              <w:rPr>
                <w:sz w:val="22"/>
                <w:szCs w:val="22"/>
                <w:lang w:val="fr-FR"/>
              </w:rPr>
            </w:pPr>
            <w:proofErr w:type="gramStart"/>
            <w:r w:rsidRPr="00C21FFF">
              <w:rPr>
                <w:lang w:val="fr-FR"/>
              </w:rPr>
              <w:t>Email:</w:t>
            </w:r>
            <w:proofErr w:type="gramEnd"/>
            <w:r w:rsidRPr="00C21FFF">
              <w:rPr>
                <w:lang w:val="fr-FR"/>
              </w:rPr>
              <w:t xml:space="preserve"> </w:t>
            </w:r>
            <w:hyperlink r:id="rId29" w:history="1">
              <w:r w:rsidRPr="00C21FFF">
                <w:rPr>
                  <w:rStyle w:val="Hyperlink"/>
                  <w:lang w:val="fr-FR"/>
                </w:rPr>
                <w:t>info@tga.gov.au</w:t>
              </w:r>
            </w:hyperlink>
            <w:r w:rsidRPr="00C21FFF">
              <w:rPr>
                <w:lang w:val="fr-FR"/>
              </w:rPr>
              <w:t xml:space="preserve">  Phone: 1800 020 653  Fax: 02 6203 1605</w:t>
            </w:r>
          </w:p>
          <w:p w14:paraId="4533D80F" w14:textId="22FF4DFF" w:rsidR="00F02AEC" w:rsidRPr="00C21FFF" w:rsidRDefault="005E7FD8">
            <w:pPr>
              <w:pStyle w:val="Address"/>
              <w:jc w:val="center"/>
              <w:rPr>
                <w:rStyle w:val="Hyperlink"/>
                <w:b/>
                <w:color w:val="auto"/>
                <w:sz w:val="22"/>
                <w:lang w:val="fr-FR"/>
              </w:rPr>
            </w:pPr>
            <w:hyperlink r:id="rId30" w:history="1">
              <w:r w:rsidR="00F02AEC" w:rsidRPr="00C21FFF">
                <w:rPr>
                  <w:rStyle w:val="Hyperlink"/>
                  <w:b/>
                  <w:lang w:val="fr-FR"/>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7452E8">
      <w:headerReference w:type="first" r:id="rId31"/>
      <w:footerReference w:type="first" r:id="rId32"/>
      <w:endnotePr>
        <w:numFmt w:val="decimal"/>
      </w:endnotePr>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EDF5" w14:textId="77777777" w:rsidR="00B337E7" w:rsidRDefault="00B337E7" w:rsidP="00F02AEC">
      <w:pPr>
        <w:spacing w:after="0" w:line="240" w:lineRule="auto"/>
      </w:pPr>
      <w:r>
        <w:separator/>
      </w:r>
    </w:p>
  </w:endnote>
  <w:endnote w:type="continuationSeparator" w:id="0">
    <w:p w14:paraId="675D4359" w14:textId="77777777" w:rsidR="00B337E7" w:rsidRDefault="00B337E7" w:rsidP="00F02AEC">
      <w:pPr>
        <w:spacing w:after="0" w:line="240" w:lineRule="auto"/>
      </w:pPr>
      <w:r>
        <w:continuationSeparator/>
      </w:r>
    </w:p>
  </w:endnote>
  <w:endnote w:type="continuationNotice" w:id="1">
    <w:p w14:paraId="5A07EAE2" w14:textId="77777777" w:rsidR="00B337E7" w:rsidRDefault="00B337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altName w:val="Symbol"/>
    <w:panose1 w:val="05040102010807070707"/>
    <w:charset w:val="02"/>
    <w:family w:val="roman"/>
    <w:pitch w:val="variable"/>
    <w:sig w:usb0="00000000" w:usb1="10000000" w:usb2="00000000" w:usb3="00000000" w:csb0="80000000" w:csb1="00000000"/>
  </w:font>
  <w:font w:name="TimesNewRoman">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rPr>
              <w:color w:val="2B579A"/>
              <w:shd w:val="clear" w:color="auto" w:fill="E6E6E6"/>
            </w:rPr>
            <w:id w:val="1087729233"/>
            <w:docPartObj>
              <w:docPartGallery w:val="Page Numbers (Top of Page)"/>
              <w:docPartUnique/>
            </w:docPartObj>
          </w:sdtPr>
          <w:sdtEndPr>
            <w:rPr>
              <w:color w:val="333F4A"/>
              <w:shd w:val="clear" w:color="auto" w:fill="auto"/>
            </w:r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noProof/>
                  <w:color w:val="2B579A"/>
                  <w:shd w:val="clear" w:color="auto" w:fill="E6E6E6"/>
                </w:rPr>
                <w:fldChar w:fldCharType="end"/>
              </w:r>
              <w:r w:rsidRPr="00257138">
                <w:t xml:space="preserve"> of </w:t>
              </w:r>
              <w:r>
                <w:fldChar w:fldCharType="begin"/>
              </w:r>
              <w:r>
                <w:instrText>NUMPAGES</w:instrText>
              </w:r>
              <w:r>
                <w:fldChar w:fldCharType="separate"/>
              </w:r>
              <w:r>
                <w:rPr>
                  <w:noProof/>
                </w:rPr>
                <w:t>2</w:t>
              </w:r>
              <w: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74CC1903" w:rsidR="007452E8" w:rsidRPr="004A3084" w:rsidRDefault="007452E8" w:rsidP="007452E8">
          <w:pPr>
            <w:pStyle w:val="Footer"/>
          </w:pPr>
          <w:proofErr w:type="spellStart"/>
          <w:r w:rsidRPr="00487162">
            <w:t>AusPA</w:t>
          </w:r>
          <w:r>
            <w:t>R</w:t>
          </w:r>
          <w:proofErr w:type="spellEnd"/>
          <w:r>
            <w:t xml:space="preserve"> </w:t>
          </w:r>
          <w:r w:rsidR="002550FB">
            <w:t>-</w:t>
          </w:r>
          <w:r>
            <w:t xml:space="preserve"> </w:t>
          </w:r>
          <w:proofErr w:type="spellStart"/>
          <w:r w:rsidR="00DD1865">
            <w:t>Opdualag</w:t>
          </w:r>
          <w:proofErr w:type="spellEnd"/>
          <w:r>
            <w:t xml:space="preserve"> </w:t>
          </w:r>
          <w:r w:rsidR="002550FB">
            <w:t>-</w:t>
          </w:r>
          <w:r w:rsidRPr="00460036">
            <w:t xml:space="preserve"> </w:t>
          </w:r>
          <w:r w:rsidR="00DD1865">
            <w:t xml:space="preserve">nivolumab and </w:t>
          </w:r>
          <w:proofErr w:type="spellStart"/>
          <w:r w:rsidR="00DD1865">
            <w:t>relatlimab</w:t>
          </w:r>
          <w:proofErr w:type="spellEnd"/>
          <w:r w:rsidRPr="00460036">
            <w:t xml:space="preserve"> </w:t>
          </w:r>
          <w:r w:rsidR="002550FB">
            <w:t>-</w:t>
          </w:r>
          <w:r>
            <w:t xml:space="preserve"> </w:t>
          </w:r>
          <w:r w:rsidR="00DD1865">
            <w:t>Bristol</w:t>
          </w:r>
          <w:r w:rsidR="002550FB">
            <w:noBreakHyphen/>
          </w:r>
          <w:r w:rsidR="00DD1865">
            <w:t>Myers Squibb Australia Pty Ltd</w:t>
          </w:r>
          <w:r>
            <w:t xml:space="preserve"> </w:t>
          </w:r>
          <w:r w:rsidR="002550FB">
            <w:t>-</w:t>
          </w:r>
          <w:r>
            <w:t xml:space="preserve"> PM</w:t>
          </w:r>
          <w:r w:rsidR="00AE3317">
            <w:noBreakHyphen/>
          </w:r>
          <w:r>
            <w:t>202</w:t>
          </w:r>
          <w:r w:rsidR="00DD1865">
            <w:t>1</w:t>
          </w:r>
          <w:r w:rsidRPr="00487162">
            <w:t>-</w:t>
          </w:r>
          <w:r w:rsidR="00DD1865">
            <w:t>03689-1-4</w:t>
          </w:r>
          <w:r>
            <w:br/>
          </w:r>
          <w:r w:rsidR="00361B3C">
            <w:t>Final 22 December 2023</w:t>
          </w:r>
        </w:p>
      </w:tc>
      <w:tc>
        <w:tcPr>
          <w:tcW w:w="1734" w:type="dxa"/>
          <w:tcBorders>
            <w:top w:val="single" w:sz="4" w:space="0" w:color="auto"/>
          </w:tcBorders>
        </w:tcPr>
        <w:sdt>
          <w:sdtPr>
            <w:rPr>
              <w:color w:val="2B579A"/>
              <w:shd w:val="clear" w:color="auto" w:fill="E6E6E6"/>
            </w:rPr>
            <w:id w:val="11571659"/>
            <w:docPartObj>
              <w:docPartGallery w:val="Page Numbers (Top of Page)"/>
              <w:docPartUnique/>
            </w:docPartObj>
          </w:sdtPr>
          <w:sdtEndPr>
            <w:rPr>
              <w:color w:val="333F4A"/>
              <w:shd w:val="clear" w:color="auto" w:fill="auto"/>
            </w:rPr>
          </w:sdtEndPr>
          <w:sdtContent>
            <w:p w14:paraId="4DE4ED0C" w14:textId="29F65FFD" w:rsidR="007452E8" w:rsidRPr="004A3084" w:rsidRDefault="007452E8" w:rsidP="007452E8">
              <w:pPr>
                <w:pStyle w:val="Footer"/>
                <w:jc w:val="right"/>
              </w:pPr>
              <w:r w:rsidRPr="004A3084">
                <w:t xml:space="preserve">Page </w:t>
              </w:r>
              <w:r w:rsidRPr="005E7FD8">
                <w:rPr>
                  <w:color w:val="2B579A"/>
                </w:rPr>
                <w:fldChar w:fldCharType="begin"/>
              </w:r>
              <w:r w:rsidRPr="00764A2B">
                <w:instrText xml:space="preserve"> PAGE </w:instrText>
              </w:r>
              <w:r w:rsidRPr="005E7FD8">
                <w:rPr>
                  <w:color w:val="2B579A"/>
                </w:rPr>
                <w:fldChar w:fldCharType="separate"/>
              </w:r>
              <w:r w:rsidR="006D6B44" w:rsidRPr="00764A2B">
                <w:rPr>
                  <w:noProof/>
                </w:rPr>
                <w:t>13</w:t>
              </w:r>
              <w:r w:rsidRPr="005E7FD8">
                <w:rPr>
                  <w:noProof/>
                  <w:color w:val="2B579A"/>
                </w:rPr>
                <w:fldChar w:fldCharType="end"/>
              </w:r>
              <w:r w:rsidRPr="00764A2B">
                <w:t xml:space="preserve"> </w:t>
              </w:r>
              <w:r w:rsidRPr="004A3084">
                <w:t xml:space="preserve">of </w:t>
              </w:r>
              <w:r>
                <w:fldChar w:fldCharType="begin"/>
              </w:r>
              <w:r>
                <w:instrText>NUMPAGES</w:instrText>
              </w:r>
              <w:r>
                <w:fldChar w:fldCharType="separate"/>
              </w:r>
              <w:r w:rsidR="006D6B44">
                <w:rPr>
                  <w:noProof/>
                </w:rPr>
                <w:t>17</w:t>
              </w:r>
              <w: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88428" w14:textId="77777777" w:rsidR="00B337E7" w:rsidRDefault="00B337E7" w:rsidP="00F02AEC">
      <w:pPr>
        <w:spacing w:after="0" w:line="240" w:lineRule="auto"/>
      </w:pPr>
      <w:r>
        <w:separator/>
      </w:r>
    </w:p>
  </w:footnote>
  <w:footnote w:type="continuationSeparator" w:id="0">
    <w:p w14:paraId="29A376EA" w14:textId="77777777" w:rsidR="00B337E7" w:rsidRDefault="00B337E7" w:rsidP="00F02AEC">
      <w:pPr>
        <w:spacing w:after="0" w:line="240" w:lineRule="auto"/>
      </w:pPr>
      <w:r>
        <w:continuationSeparator/>
      </w:r>
    </w:p>
  </w:footnote>
  <w:footnote w:type="continuationNotice" w:id="1">
    <w:p w14:paraId="01AFFF8B" w14:textId="77777777" w:rsidR="00B337E7" w:rsidRDefault="00B337E7">
      <w:pPr>
        <w:spacing w:after="0" w:line="240" w:lineRule="auto"/>
      </w:pPr>
    </w:p>
  </w:footnote>
  <w:footnote w:id="2">
    <w:p w14:paraId="68402A9B" w14:textId="60286C39" w:rsidR="00A1456E" w:rsidRPr="00D66AEC" w:rsidRDefault="00A1456E">
      <w:pPr>
        <w:pStyle w:val="FootnoteText"/>
        <w:rPr>
          <w:lang w:val="en-GB"/>
        </w:rPr>
      </w:pPr>
      <w:r w:rsidRPr="00752897">
        <w:rPr>
          <w:rStyle w:val="FootnoteReference"/>
        </w:rPr>
        <w:footnoteRef/>
      </w:r>
      <w:r w:rsidRPr="00D66AEC">
        <w:t xml:space="preserve"> This is the original indication proposed by the sponsor</w:t>
      </w:r>
      <w:r w:rsidRPr="00D66AEC">
        <w:rPr>
          <w:lang w:val="en-GB"/>
        </w:rPr>
        <w:t xml:space="preserve"> when the TGA commenced the evaluation of this submission. It may differ to the final indication approved by the TGA and registered on the Australian Register of Therapeutic Goods.</w:t>
      </w:r>
    </w:p>
  </w:footnote>
  <w:footnote w:id="3">
    <w:p w14:paraId="6982366D" w14:textId="77777777" w:rsidR="005922FD" w:rsidRPr="00397B91" w:rsidRDefault="005922FD" w:rsidP="005922FD">
      <w:pPr>
        <w:pStyle w:val="FootnoteText"/>
        <w:rPr>
          <w:lang w:val="fr-FR"/>
        </w:rPr>
      </w:pPr>
      <w:r w:rsidRPr="00752897">
        <w:rPr>
          <w:rStyle w:val="FootnoteReference"/>
        </w:rPr>
        <w:footnoteRef/>
      </w:r>
      <w:r w:rsidRPr="00D66AEC">
        <w:t xml:space="preserve"> Waldman AD, Fritz JM</w:t>
      </w:r>
      <w:r>
        <w:t xml:space="preserve">, </w:t>
      </w:r>
      <w:r w:rsidRPr="00D66AEC">
        <w:t xml:space="preserve">Lenardo MJ. A guide to cancer immunotherapy: from T cell basic science to clinical practice. </w:t>
      </w:r>
      <w:r w:rsidRPr="00397B91">
        <w:rPr>
          <w:i/>
          <w:iCs/>
          <w:lang w:val="fr-FR"/>
        </w:rPr>
        <w:t>Nat Rev Immunol</w:t>
      </w:r>
      <w:r w:rsidRPr="00397B91">
        <w:rPr>
          <w:lang w:val="fr-FR"/>
        </w:rPr>
        <w:t xml:space="preserve"> 2020; 20(11): 651</w:t>
      </w:r>
      <w:r w:rsidRPr="00397B91">
        <w:rPr>
          <w:lang w:val="fr-FR"/>
        </w:rPr>
        <w:noBreakHyphen/>
        <w:t>668. doi: 10.1038/s41577</w:t>
      </w:r>
      <w:r w:rsidRPr="00397B91">
        <w:rPr>
          <w:lang w:val="fr-FR"/>
        </w:rPr>
        <w:noBreakHyphen/>
        <w:t>020</w:t>
      </w:r>
      <w:r w:rsidRPr="00397B91">
        <w:rPr>
          <w:lang w:val="fr-FR"/>
        </w:rPr>
        <w:noBreakHyphen/>
        <w:t>0306</w:t>
      </w:r>
      <w:r w:rsidRPr="00397B91">
        <w:rPr>
          <w:lang w:val="fr-FR"/>
        </w:rPr>
        <w:noBreakHyphen/>
        <w:t>5.</w:t>
      </w:r>
    </w:p>
  </w:footnote>
  <w:footnote w:id="4">
    <w:p w14:paraId="436EEB09" w14:textId="77777777" w:rsidR="005922FD" w:rsidRDefault="005922FD" w:rsidP="005922FD">
      <w:pPr>
        <w:pStyle w:val="FootnoteText"/>
      </w:pPr>
      <w:r w:rsidRPr="00752897">
        <w:rPr>
          <w:rStyle w:val="FootnoteReference"/>
        </w:rPr>
        <w:footnoteRef/>
      </w:r>
      <w:r w:rsidRPr="00397B91">
        <w:rPr>
          <w:rStyle w:val="FootnoteReference"/>
          <w:lang w:val="fr-FR"/>
        </w:rPr>
        <w:t xml:space="preserve"> </w:t>
      </w:r>
      <w:r w:rsidRPr="00397B91">
        <w:rPr>
          <w:lang w:val="fr-FR"/>
        </w:rPr>
        <w:t xml:space="preserve">Maruhashi T, Sugiura D, Okazaki IM, et al. </w:t>
      </w:r>
      <w:r w:rsidRPr="00D66AEC">
        <w:t>LAG</w:t>
      </w:r>
      <w:r>
        <w:noBreakHyphen/>
      </w:r>
      <w:r w:rsidRPr="00D66AEC">
        <w:t xml:space="preserve">3: from molecular functions to clinical applications. </w:t>
      </w:r>
      <w:r w:rsidRPr="002F38D2">
        <w:rPr>
          <w:i/>
          <w:iCs/>
        </w:rPr>
        <w:t xml:space="preserve">J Immunother Cancer </w:t>
      </w:r>
      <w:r w:rsidRPr="003B1111">
        <w:t>2020;</w:t>
      </w:r>
      <w:r>
        <w:t xml:space="preserve"> </w:t>
      </w:r>
      <w:r w:rsidRPr="003B1111">
        <w:t>8(2):</w:t>
      </w:r>
      <w:r>
        <w:t xml:space="preserve"> </w:t>
      </w:r>
      <w:r w:rsidRPr="003B1111">
        <w:t>e001014. doi:10.1136/jitc</w:t>
      </w:r>
      <w:r>
        <w:noBreakHyphen/>
      </w:r>
      <w:r w:rsidRPr="003B1111">
        <w:t>2020</w:t>
      </w:r>
      <w:r>
        <w:noBreakHyphen/>
      </w:r>
      <w:r w:rsidRPr="003B1111">
        <w:t>001014</w:t>
      </w:r>
      <w:r>
        <w:t>.</w:t>
      </w:r>
    </w:p>
  </w:footnote>
  <w:footnote w:id="5">
    <w:p w14:paraId="113B8047" w14:textId="77777777" w:rsidR="005922FD" w:rsidRPr="00397B91" w:rsidRDefault="005922FD" w:rsidP="005922FD">
      <w:pPr>
        <w:pStyle w:val="FootnoteText"/>
        <w:rPr>
          <w:lang w:val="fr-FR"/>
        </w:rPr>
      </w:pPr>
      <w:r w:rsidRPr="00752897">
        <w:rPr>
          <w:rStyle w:val="FootnoteReference"/>
        </w:rPr>
        <w:footnoteRef/>
      </w:r>
      <w:r w:rsidRPr="00D66AEC">
        <w:t xml:space="preserve"> Alsaab HO, Sau S, Alzhrani R, et al. PD</w:t>
      </w:r>
      <w:r>
        <w:noBreakHyphen/>
      </w:r>
      <w:r w:rsidRPr="00D66AEC">
        <w:t>1 and PD</w:t>
      </w:r>
      <w:r>
        <w:noBreakHyphen/>
      </w:r>
      <w:r w:rsidRPr="00D66AEC">
        <w:t xml:space="preserve">L1 Checkpoint Signaling Inhibition for Cancer Immunotherapy: Mechanism, Combinations, and Clinical Outcome. </w:t>
      </w:r>
      <w:r w:rsidRPr="00397B91">
        <w:rPr>
          <w:i/>
          <w:iCs/>
          <w:lang w:val="fr-FR"/>
        </w:rPr>
        <w:t>Front Pharmacol</w:t>
      </w:r>
      <w:r w:rsidRPr="00397B91">
        <w:rPr>
          <w:lang w:val="fr-FR"/>
        </w:rPr>
        <w:t xml:space="preserve"> 2017; 8:561. doi:10.3389/fphar.2017.00561.</w:t>
      </w:r>
    </w:p>
  </w:footnote>
  <w:footnote w:id="6">
    <w:p w14:paraId="32B4ECA0" w14:textId="77777777" w:rsidR="005922FD" w:rsidRPr="00397B91" w:rsidRDefault="005922FD" w:rsidP="005922FD">
      <w:pPr>
        <w:pStyle w:val="FootnoteText"/>
        <w:rPr>
          <w:lang w:val="fr-FR"/>
        </w:rPr>
      </w:pPr>
      <w:r w:rsidRPr="00752897">
        <w:rPr>
          <w:rStyle w:val="FootnoteReference"/>
        </w:rPr>
        <w:footnoteRef/>
      </w:r>
      <w:r w:rsidRPr="00397B91">
        <w:rPr>
          <w:rStyle w:val="FootnoteReference"/>
          <w:lang w:val="fr-FR"/>
        </w:rPr>
        <w:t xml:space="preserve"> </w:t>
      </w:r>
      <w:r w:rsidRPr="00397B91">
        <w:rPr>
          <w:lang w:val="fr-FR"/>
        </w:rPr>
        <w:t xml:space="preserve">Camisaschi C, Casati C, Rini F, et al. </w:t>
      </w:r>
      <w:r w:rsidRPr="00D66AEC">
        <w:t>LAG</w:t>
      </w:r>
      <w:r>
        <w:noBreakHyphen/>
      </w:r>
      <w:r w:rsidRPr="00D66AEC">
        <w:t xml:space="preserve">3 expression defines a subset of CD4(+)CD25(high)Foxp3(+) regulatory T cells that are expanded at tumor sites. </w:t>
      </w:r>
      <w:r w:rsidRPr="00397B91">
        <w:rPr>
          <w:i/>
          <w:iCs/>
          <w:lang w:val="fr-FR"/>
        </w:rPr>
        <w:t>J Immunol</w:t>
      </w:r>
      <w:r w:rsidRPr="00397B91">
        <w:rPr>
          <w:lang w:val="fr-FR"/>
        </w:rPr>
        <w:t xml:space="preserve"> 2010; 184(11): 6545</w:t>
      </w:r>
      <w:r w:rsidRPr="00397B91">
        <w:rPr>
          <w:lang w:val="fr-FR"/>
        </w:rPr>
        <w:noBreakHyphen/>
        <w:t>6551. doi: 10.4049/jimmunol.0903879.</w:t>
      </w:r>
    </w:p>
  </w:footnote>
  <w:footnote w:id="7">
    <w:p w14:paraId="61E67EE1" w14:textId="77777777" w:rsidR="005922FD" w:rsidRPr="00397B91" w:rsidRDefault="005922FD" w:rsidP="005922FD">
      <w:pPr>
        <w:pStyle w:val="FootnoteText"/>
        <w:rPr>
          <w:lang w:val="fr-FR"/>
        </w:rPr>
      </w:pPr>
      <w:r w:rsidRPr="00752897">
        <w:rPr>
          <w:rStyle w:val="FootnoteReference"/>
        </w:rPr>
        <w:footnoteRef/>
      </w:r>
      <w:r w:rsidRPr="00397B91">
        <w:rPr>
          <w:lang w:val="fr-FR"/>
        </w:rPr>
        <w:t xml:space="preserve"> Jones BE, Maerz MD, Bahnson HT, et al. </w:t>
      </w:r>
      <w:r w:rsidRPr="00D66AEC">
        <w:t>Fewer LAG</w:t>
      </w:r>
      <w:r>
        <w:noBreakHyphen/>
      </w:r>
      <w:r w:rsidRPr="00D66AEC">
        <w:t>3+ T Cells in Relapsing</w:t>
      </w:r>
      <w:r>
        <w:noBreakHyphen/>
      </w:r>
      <w:r w:rsidRPr="00D66AEC">
        <w:t>Remitting Multiple Sclerosis and Type 1 Diabetes.</w:t>
      </w:r>
      <w:r w:rsidRPr="002F38D2">
        <w:rPr>
          <w:i/>
          <w:iCs/>
        </w:rPr>
        <w:t xml:space="preserve"> </w:t>
      </w:r>
      <w:r w:rsidRPr="00397B91">
        <w:rPr>
          <w:i/>
          <w:iCs/>
          <w:lang w:val="fr-FR"/>
        </w:rPr>
        <w:t>J Immunol</w:t>
      </w:r>
      <w:r w:rsidRPr="00397B91">
        <w:rPr>
          <w:lang w:val="fr-FR"/>
        </w:rPr>
        <w:t xml:space="preserve"> 2022; 208(3): 594</w:t>
      </w:r>
      <w:r w:rsidRPr="00397B91">
        <w:rPr>
          <w:lang w:val="fr-FR"/>
        </w:rPr>
        <w:noBreakHyphen/>
        <w:t>602. doi: 10.4049/jimmunol.2100850.</w:t>
      </w:r>
    </w:p>
  </w:footnote>
  <w:footnote w:id="8">
    <w:p w14:paraId="629E65E3" w14:textId="77777777" w:rsidR="005922FD" w:rsidRPr="00397B91" w:rsidRDefault="005922FD" w:rsidP="005922FD">
      <w:pPr>
        <w:pStyle w:val="FootnoteText"/>
        <w:rPr>
          <w:lang w:val="fr-FR"/>
        </w:rPr>
      </w:pPr>
      <w:r w:rsidRPr="00752897">
        <w:rPr>
          <w:rStyle w:val="FootnoteReference"/>
        </w:rPr>
        <w:footnoteRef/>
      </w:r>
      <w:r w:rsidRPr="00397B91">
        <w:rPr>
          <w:lang w:val="fr-FR"/>
        </w:rPr>
        <w:t xml:space="preserve"> Maruhashi T, Sugiura D, Okazaki IM, et al. </w:t>
      </w:r>
      <w:r w:rsidRPr="00D66AEC">
        <w:t>Binding of LAG</w:t>
      </w:r>
      <w:r>
        <w:noBreakHyphen/>
      </w:r>
      <w:r w:rsidRPr="00D66AEC">
        <w:t>3 to stable peptide</w:t>
      </w:r>
      <w:r>
        <w:noBreakHyphen/>
      </w:r>
      <w:r w:rsidRPr="00D66AEC">
        <w:t>MHC class II limits T cell function and suppresses autoimmunity and anti</w:t>
      </w:r>
      <w:r>
        <w:noBreakHyphen/>
      </w:r>
      <w:r w:rsidRPr="00D66AEC">
        <w:t>cancer immunity.</w:t>
      </w:r>
      <w:r w:rsidRPr="008826E1">
        <w:rPr>
          <w:i/>
          <w:iCs/>
        </w:rPr>
        <w:t xml:space="preserve"> </w:t>
      </w:r>
      <w:r w:rsidRPr="00397B91">
        <w:rPr>
          <w:i/>
          <w:iCs/>
          <w:lang w:val="fr-FR"/>
        </w:rPr>
        <w:t>Immunity</w:t>
      </w:r>
      <w:r w:rsidRPr="00397B91">
        <w:rPr>
          <w:lang w:val="fr-FR"/>
        </w:rPr>
        <w:t xml:space="preserve"> 2022; 55(5): 912</w:t>
      </w:r>
      <w:r w:rsidRPr="00397B91">
        <w:rPr>
          <w:lang w:val="fr-FR"/>
        </w:rPr>
        <w:noBreakHyphen/>
        <w:t>924.e8. doi: 10.1016/j.immuni.2022.03.013.</w:t>
      </w:r>
    </w:p>
  </w:footnote>
  <w:footnote w:id="9">
    <w:p w14:paraId="71B7A1BC" w14:textId="77777777" w:rsidR="005922FD" w:rsidRPr="00D66AEC" w:rsidRDefault="005922FD" w:rsidP="005922FD">
      <w:pPr>
        <w:pStyle w:val="FootnoteText"/>
      </w:pPr>
      <w:r w:rsidRPr="00752897">
        <w:rPr>
          <w:rStyle w:val="FootnoteReference"/>
        </w:rPr>
        <w:footnoteRef/>
      </w:r>
      <w:r w:rsidRPr="00397B91">
        <w:rPr>
          <w:lang w:val="fr-FR"/>
        </w:rPr>
        <w:t xml:space="preserve"> Guy C, Mitrea DM, Chou PC, et al. </w:t>
      </w:r>
      <w:r w:rsidRPr="00D66AEC">
        <w:t>LAG3 associates with TCR–CD3 complexes and suppresses signaling by driving co</w:t>
      </w:r>
      <w:r>
        <w:noBreakHyphen/>
      </w:r>
      <w:r w:rsidRPr="00D66AEC">
        <w:t xml:space="preserve">receptor–Lck dissociation. </w:t>
      </w:r>
      <w:r w:rsidRPr="008826E1">
        <w:rPr>
          <w:i/>
          <w:iCs/>
        </w:rPr>
        <w:t>Nat Immunol</w:t>
      </w:r>
      <w:r w:rsidRPr="00D66AEC">
        <w:t xml:space="preserve"> </w:t>
      </w:r>
      <w:r>
        <w:t xml:space="preserve">2022; </w:t>
      </w:r>
      <w:r w:rsidRPr="00D66AEC">
        <w:t>23</w:t>
      </w:r>
      <w:r>
        <w:t>:</w:t>
      </w:r>
      <w:r w:rsidRPr="00D66AEC">
        <w:t xml:space="preserve"> 757–767. </w:t>
      </w:r>
      <w:r>
        <w:t>d</w:t>
      </w:r>
      <w:r w:rsidRPr="00D66AEC">
        <w:t>oi</w:t>
      </w:r>
      <w:r>
        <w:t xml:space="preserve">: </w:t>
      </w:r>
      <w:r w:rsidRPr="00D66AEC">
        <w:t>10.1038/s41590</w:t>
      </w:r>
      <w:r>
        <w:noBreakHyphen/>
      </w:r>
      <w:r w:rsidRPr="00D66AEC">
        <w:t>022</w:t>
      </w:r>
      <w:r>
        <w:noBreakHyphen/>
      </w:r>
      <w:r w:rsidRPr="00D66AEC">
        <w:t>01176</w:t>
      </w:r>
      <w:r>
        <w:noBreakHyphen/>
      </w:r>
      <w:r w:rsidRPr="00D66AEC">
        <w:t>4</w:t>
      </w:r>
      <w:r>
        <w:t>.</w:t>
      </w:r>
    </w:p>
  </w:footnote>
  <w:footnote w:id="10">
    <w:p w14:paraId="2CC49532" w14:textId="77777777" w:rsidR="005922FD" w:rsidRPr="00D66AEC" w:rsidRDefault="005922FD" w:rsidP="005922FD">
      <w:pPr>
        <w:pStyle w:val="FootnoteText"/>
      </w:pPr>
      <w:r w:rsidRPr="00752897">
        <w:rPr>
          <w:rStyle w:val="FootnoteReference"/>
        </w:rPr>
        <w:footnoteRef/>
      </w:r>
      <w:r w:rsidRPr="00D66AEC">
        <w:t xml:space="preserve"> Andrews LP, Cillo AR, Karapetyan L, </w:t>
      </w:r>
      <w:r>
        <w:t>et al.</w:t>
      </w:r>
      <w:r w:rsidRPr="00D66AEC">
        <w:t xml:space="preserve"> Molecular Pathways and Mechanisms of LAG</w:t>
      </w:r>
      <w:r>
        <w:noBreakHyphen/>
      </w:r>
      <w:r w:rsidRPr="00D66AEC">
        <w:t xml:space="preserve">3 in Cancer Therapy. </w:t>
      </w:r>
      <w:r w:rsidRPr="008826E1">
        <w:rPr>
          <w:i/>
          <w:iCs/>
        </w:rPr>
        <w:t>Clin Cancer Res</w:t>
      </w:r>
      <w:r w:rsidRPr="00D66AEC">
        <w:t xml:space="preserve"> 2022</w:t>
      </w:r>
      <w:r>
        <w:t>; 28(23): 5030</w:t>
      </w:r>
      <w:r>
        <w:noBreakHyphen/>
        <w:t>5039.</w:t>
      </w:r>
      <w:r w:rsidRPr="00D66AEC">
        <w:t xml:space="preserve"> doi: 10.1158/1078</w:t>
      </w:r>
      <w:r>
        <w:noBreakHyphen/>
      </w:r>
      <w:r w:rsidRPr="00D66AEC">
        <w:t>0432.CCR</w:t>
      </w:r>
      <w:r>
        <w:noBreakHyphen/>
      </w:r>
      <w:r w:rsidRPr="00D66AEC">
        <w:t>21</w:t>
      </w:r>
      <w:r>
        <w:noBreakHyphen/>
      </w:r>
      <w:r w:rsidRPr="00D66AEC">
        <w:t>2390</w:t>
      </w:r>
      <w:r>
        <w:t>.</w:t>
      </w:r>
    </w:p>
  </w:footnote>
  <w:footnote w:id="11">
    <w:p w14:paraId="0F01CFCC" w14:textId="38C6198D" w:rsidR="00A1456E" w:rsidRPr="00407CEF" w:rsidRDefault="00A1456E" w:rsidP="00A1456E">
      <w:pPr>
        <w:pStyle w:val="FootnoteText"/>
      </w:pPr>
      <w:r w:rsidRPr="00752897">
        <w:rPr>
          <w:rStyle w:val="FootnoteReference"/>
        </w:rPr>
        <w:footnoteRef/>
      </w:r>
      <w:r w:rsidRPr="00D66AEC">
        <w:t xml:space="preserve"> Chang AE, Karnell LH, Menck HR. The National Cancer Data Base report on cutaneous and noncutaneous melanoma: a summary of 84,836 cases from the past decade. The American College of Surgeons Commission on Cancer and the American Cancer Society.</w:t>
      </w:r>
      <w:r w:rsidRPr="003B7443">
        <w:rPr>
          <w:i/>
          <w:iCs/>
        </w:rPr>
        <w:t xml:space="preserve"> Cancer</w:t>
      </w:r>
      <w:r w:rsidRPr="00D66AEC">
        <w:t xml:space="preserve"> 1998; 83(8): 1664–1678.</w:t>
      </w:r>
      <w:r w:rsidR="005D77FE">
        <w:t xml:space="preserve"> </w:t>
      </w:r>
      <w:r w:rsidR="00C41651" w:rsidRPr="00407CEF">
        <w:t>doi:</w:t>
      </w:r>
      <w:r w:rsidR="005D77FE">
        <w:t> </w:t>
      </w:r>
      <w:r w:rsidR="00C41651" w:rsidRPr="00407CEF">
        <w:t>10.1002/(sici)1097</w:t>
      </w:r>
      <w:r w:rsidR="0082444D">
        <w:noBreakHyphen/>
      </w:r>
      <w:r w:rsidR="00C41651" w:rsidRPr="00407CEF">
        <w:t>0142(19981015)83:8&lt;1664::aid</w:t>
      </w:r>
      <w:r w:rsidR="0082444D">
        <w:noBreakHyphen/>
      </w:r>
      <w:r w:rsidR="00C41651" w:rsidRPr="00407CEF">
        <w:t>cncr23&gt;3.0.co;2</w:t>
      </w:r>
      <w:r w:rsidR="0082444D">
        <w:noBreakHyphen/>
      </w:r>
      <w:r w:rsidR="00C41651" w:rsidRPr="00407CEF">
        <w:t>g.</w:t>
      </w:r>
    </w:p>
  </w:footnote>
  <w:footnote w:id="12">
    <w:p w14:paraId="538D6B8C" w14:textId="67E13827" w:rsidR="00A1456E" w:rsidRPr="00D66AEC" w:rsidRDefault="00A1456E" w:rsidP="00A1456E">
      <w:pPr>
        <w:pStyle w:val="FootnoteText"/>
      </w:pPr>
      <w:r w:rsidRPr="00752897">
        <w:rPr>
          <w:rStyle w:val="FootnoteReference"/>
        </w:rPr>
        <w:footnoteRef/>
      </w:r>
      <w:r w:rsidRPr="00752897">
        <w:rPr>
          <w:rStyle w:val="FootnoteReference"/>
        </w:rPr>
        <w:t xml:space="preserve"> </w:t>
      </w:r>
      <w:r w:rsidRPr="00D66AEC">
        <w:t xml:space="preserve">van der Kooij MK, Speetjens FM, van der Burg SH, </w:t>
      </w:r>
      <w:r w:rsidR="003B7443">
        <w:t>et al</w:t>
      </w:r>
      <w:r w:rsidRPr="00D66AEC">
        <w:t xml:space="preserve">. Uveal Versus Cutaneous Melanoma; Same Origin, Very Distinct Tumor Types. </w:t>
      </w:r>
      <w:r w:rsidRPr="003B7443">
        <w:rPr>
          <w:i/>
          <w:iCs/>
        </w:rPr>
        <w:t>Cancers (Basel)</w:t>
      </w:r>
      <w:r w:rsidRPr="00D66AEC">
        <w:t xml:space="preserve"> 2019;</w:t>
      </w:r>
      <w:r w:rsidR="003B7443">
        <w:t xml:space="preserve"> </w:t>
      </w:r>
      <w:r w:rsidRPr="00D66AEC">
        <w:t>11(6):</w:t>
      </w:r>
      <w:r w:rsidR="003B7443">
        <w:t xml:space="preserve"> </w:t>
      </w:r>
      <w:r w:rsidRPr="00D66AEC">
        <w:t>845. doi:10.3390/cancers11060845</w:t>
      </w:r>
      <w:r w:rsidR="001459F0">
        <w:t>.</w:t>
      </w:r>
    </w:p>
  </w:footnote>
  <w:footnote w:id="13">
    <w:p w14:paraId="7363BAAA" w14:textId="66013539" w:rsidR="00A1456E" w:rsidRPr="00D66AEC" w:rsidRDefault="00A1456E" w:rsidP="00A1456E">
      <w:pPr>
        <w:pStyle w:val="FootnoteText"/>
      </w:pPr>
      <w:r w:rsidRPr="00752897">
        <w:rPr>
          <w:rStyle w:val="FootnoteReference"/>
        </w:rPr>
        <w:footnoteRef/>
      </w:r>
      <w:r w:rsidRPr="00D66AEC">
        <w:t xml:space="preserve"> Jager MJ, Shields CL, Cebulla CM, </w:t>
      </w:r>
      <w:r w:rsidR="003B7443">
        <w:t>et al.</w:t>
      </w:r>
      <w:r w:rsidRPr="00D66AEC">
        <w:t xml:space="preserve"> Uveal melanoma. </w:t>
      </w:r>
      <w:r w:rsidRPr="003B7443">
        <w:rPr>
          <w:i/>
          <w:iCs/>
        </w:rPr>
        <w:t>Nat Rev Dis Primers</w:t>
      </w:r>
      <w:r w:rsidRPr="00D66AEC">
        <w:t xml:space="preserve"> 2020;</w:t>
      </w:r>
      <w:r w:rsidR="003B7443">
        <w:t xml:space="preserve"> </w:t>
      </w:r>
      <w:r w:rsidRPr="00D66AEC">
        <w:t>6(1):</w:t>
      </w:r>
      <w:r w:rsidR="003B7443">
        <w:t xml:space="preserve"> </w:t>
      </w:r>
      <w:r w:rsidRPr="00D66AEC">
        <w:t>24.</w:t>
      </w:r>
      <w:r w:rsidR="00AE7ED0">
        <w:t xml:space="preserve"> </w:t>
      </w:r>
      <w:r w:rsidRPr="00D66AEC">
        <w:t>doi:</w:t>
      </w:r>
      <w:r w:rsidR="00AE7ED0">
        <w:t> </w:t>
      </w:r>
      <w:r w:rsidRPr="00D66AEC">
        <w:t>10.1038/s41572</w:t>
      </w:r>
      <w:r w:rsidR="0082444D">
        <w:noBreakHyphen/>
      </w:r>
      <w:r w:rsidRPr="00D66AEC">
        <w:t>020</w:t>
      </w:r>
      <w:r w:rsidR="0082444D">
        <w:noBreakHyphen/>
      </w:r>
      <w:r w:rsidRPr="00D66AEC">
        <w:t>0158</w:t>
      </w:r>
      <w:r w:rsidR="0082444D">
        <w:noBreakHyphen/>
      </w:r>
      <w:r w:rsidRPr="00D66AEC">
        <w:t xml:space="preserve">0. Erratum in: </w:t>
      </w:r>
      <w:r w:rsidRPr="003B7443">
        <w:rPr>
          <w:i/>
          <w:iCs/>
        </w:rPr>
        <w:t>Nat Rev Dis Primers</w:t>
      </w:r>
      <w:r w:rsidRPr="00D66AEC">
        <w:t xml:space="preserve"> 2022</w:t>
      </w:r>
      <w:r w:rsidR="003B7443">
        <w:t xml:space="preserve">; </w:t>
      </w:r>
      <w:r w:rsidRPr="00D66AEC">
        <w:t>8(1):</w:t>
      </w:r>
      <w:r w:rsidR="003B7443">
        <w:t xml:space="preserve"> </w:t>
      </w:r>
      <w:r w:rsidRPr="00D66AEC">
        <w:t>4.</w:t>
      </w:r>
    </w:p>
  </w:footnote>
  <w:footnote w:id="14">
    <w:p w14:paraId="53FCFFAC" w14:textId="24FE7D25" w:rsidR="00A1456E" w:rsidRPr="00D66AEC" w:rsidRDefault="00A1456E" w:rsidP="00A1456E">
      <w:pPr>
        <w:pStyle w:val="FootnoteText"/>
      </w:pPr>
      <w:r w:rsidRPr="00752897">
        <w:rPr>
          <w:rStyle w:val="FootnoteReference"/>
        </w:rPr>
        <w:footnoteRef/>
      </w:r>
      <w:r w:rsidRPr="00D66AEC">
        <w:t xml:space="preserve"> Leiter U., Meier F., Schittek B, </w:t>
      </w:r>
      <w:r w:rsidR="003B7443">
        <w:t>et al.</w:t>
      </w:r>
      <w:r w:rsidRPr="00D66AEC">
        <w:t xml:space="preserve"> The natural course of cutaneous melanoma. </w:t>
      </w:r>
      <w:r w:rsidRPr="003B7443">
        <w:rPr>
          <w:i/>
          <w:iCs/>
        </w:rPr>
        <w:t>J Surg Oncol</w:t>
      </w:r>
      <w:r w:rsidRPr="00D66AEC">
        <w:t xml:space="preserve"> 2004;</w:t>
      </w:r>
      <w:r w:rsidR="003B7443">
        <w:t xml:space="preserve"> </w:t>
      </w:r>
      <w:r w:rsidRPr="00D66AEC">
        <w:t>86:</w:t>
      </w:r>
      <w:r w:rsidR="003B7443">
        <w:t xml:space="preserve"> </w:t>
      </w:r>
      <w:r w:rsidRPr="00D66AEC">
        <w:t>172–178.</w:t>
      </w:r>
      <w:r w:rsidR="005D77FE">
        <w:t xml:space="preserve"> </w:t>
      </w:r>
      <w:r w:rsidRPr="00D66AEC">
        <w:t>doi:</w:t>
      </w:r>
      <w:r w:rsidR="005D77FE">
        <w:t> </w:t>
      </w:r>
      <w:r w:rsidRPr="00D66AEC">
        <w:t>10.1002/jso.20079.</w:t>
      </w:r>
    </w:p>
  </w:footnote>
  <w:footnote w:id="15">
    <w:p w14:paraId="2BE94353" w14:textId="03B33B44" w:rsidR="00A1456E" w:rsidRPr="00D66AEC" w:rsidRDefault="00A1456E" w:rsidP="00A1456E">
      <w:pPr>
        <w:pStyle w:val="FootnoteText"/>
      </w:pPr>
      <w:r w:rsidRPr="00752897">
        <w:rPr>
          <w:rStyle w:val="FootnoteReference"/>
        </w:rPr>
        <w:footnoteRef/>
      </w:r>
      <w:r w:rsidRPr="00D66AEC">
        <w:t xml:space="preserve"> Eggermont AM, Spatz A, Robert C. Cutaneous melanoma.</w:t>
      </w:r>
      <w:r w:rsidRPr="00550290">
        <w:rPr>
          <w:i/>
          <w:iCs/>
        </w:rPr>
        <w:t xml:space="preserve"> Lancet</w:t>
      </w:r>
      <w:r w:rsidRPr="00D66AEC">
        <w:t xml:space="preserve"> 2014</w:t>
      </w:r>
      <w:r w:rsidR="00550290">
        <w:t xml:space="preserve">; </w:t>
      </w:r>
      <w:r w:rsidRPr="00D66AEC">
        <w:t>383(9919):</w:t>
      </w:r>
      <w:r w:rsidR="00550290">
        <w:t xml:space="preserve"> </w:t>
      </w:r>
      <w:r w:rsidRPr="00D66AEC">
        <w:t>816</w:t>
      </w:r>
      <w:r w:rsidR="0082444D">
        <w:noBreakHyphen/>
      </w:r>
      <w:r w:rsidRPr="00D66AEC">
        <w:t>27.</w:t>
      </w:r>
      <w:r w:rsidR="005D77FE">
        <w:t xml:space="preserve"> </w:t>
      </w:r>
      <w:r w:rsidRPr="00D66AEC">
        <w:t>doi:</w:t>
      </w:r>
      <w:r w:rsidR="005D77FE">
        <w:t> </w:t>
      </w:r>
      <w:r w:rsidRPr="00D66AEC">
        <w:t>10.1016/S0140</w:t>
      </w:r>
      <w:r w:rsidR="0082444D">
        <w:noBreakHyphen/>
      </w:r>
      <w:r w:rsidRPr="00D66AEC">
        <w:t>6736(13)60802</w:t>
      </w:r>
      <w:r w:rsidR="0082444D">
        <w:noBreakHyphen/>
      </w:r>
      <w:r w:rsidRPr="00D66AEC">
        <w:t>8.</w:t>
      </w:r>
    </w:p>
  </w:footnote>
  <w:footnote w:id="16">
    <w:p w14:paraId="2EC898D3" w14:textId="38081173" w:rsidR="00A1456E" w:rsidRPr="00D66AEC" w:rsidRDefault="00A1456E" w:rsidP="00A1456E">
      <w:pPr>
        <w:pStyle w:val="FootnoteText"/>
      </w:pPr>
      <w:r w:rsidRPr="00752897">
        <w:rPr>
          <w:rStyle w:val="FootnoteReference"/>
        </w:rPr>
        <w:footnoteRef/>
      </w:r>
      <w:r w:rsidRPr="00D66AEC">
        <w:t xml:space="preserve"> Rabbie R, Ferguson P, Molina</w:t>
      </w:r>
      <w:r w:rsidR="0082444D">
        <w:noBreakHyphen/>
      </w:r>
      <w:r w:rsidRPr="00D66AEC">
        <w:t xml:space="preserve">Aguilar C, </w:t>
      </w:r>
      <w:r w:rsidR="00550290">
        <w:t>et al.</w:t>
      </w:r>
      <w:r w:rsidRPr="00D66AEC">
        <w:t xml:space="preserve"> Melanoma subtypes: genomic profiles, prognostic molecular markers and therapeutic possibilities. </w:t>
      </w:r>
      <w:r w:rsidRPr="00550290">
        <w:rPr>
          <w:i/>
          <w:iCs/>
        </w:rPr>
        <w:t>J Pathol</w:t>
      </w:r>
      <w:r w:rsidRPr="00550290">
        <w:t xml:space="preserve"> </w:t>
      </w:r>
      <w:r w:rsidRPr="00D66AEC">
        <w:t>2019;</w:t>
      </w:r>
      <w:r w:rsidR="00550290">
        <w:t xml:space="preserve"> </w:t>
      </w:r>
      <w:r w:rsidRPr="00D66AEC">
        <w:t>247(5):</w:t>
      </w:r>
      <w:r w:rsidR="00550290">
        <w:t xml:space="preserve"> </w:t>
      </w:r>
      <w:r w:rsidRPr="00D66AEC">
        <w:t>539</w:t>
      </w:r>
      <w:r w:rsidR="0082444D">
        <w:noBreakHyphen/>
      </w:r>
      <w:r w:rsidRPr="00D66AEC">
        <w:t>551. doi:10.1002/path.5213</w:t>
      </w:r>
      <w:r w:rsidR="001459F0">
        <w:t>.</w:t>
      </w:r>
    </w:p>
  </w:footnote>
  <w:footnote w:id="17">
    <w:p w14:paraId="609BB00A" w14:textId="36EAD7C2" w:rsidR="00A1456E" w:rsidRPr="00D66AEC" w:rsidRDefault="00A1456E" w:rsidP="00A1456E">
      <w:pPr>
        <w:pStyle w:val="FootnoteText"/>
      </w:pPr>
      <w:r w:rsidRPr="00752897">
        <w:rPr>
          <w:rStyle w:val="FootnoteReference"/>
        </w:rPr>
        <w:footnoteRef/>
      </w:r>
      <w:r w:rsidRPr="00D66AEC">
        <w:t xml:space="preserve"> </w:t>
      </w:r>
      <w:r w:rsidR="00A101E2">
        <w:t xml:space="preserve">Australian Institute of Health and Welfare 2021. Cancer in Australia 2021. Cancer series no. 133. Cat. no. CAN 144. Canberra: AIHW. </w:t>
      </w:r>
      <w:r w:rsidR="00A101E2" w:rsidRPr="00D66AEC">
        <w:t>doi:10.25816/ye05</w:t>
      </w:r>
      <w:r w:rsidR="0082444D">
        <w:noBreakHyphen/>
      </w:r>
      <w:r w:rsidR="00A101E2" w:rsidRPr="00D66AEC">
        <w:t>nm50</w:t>
      </w:r>
      <w:r w:rsidR="001459F0">
        <w:t>.</w:t>
      </w:r>
    </w:p>
  </w:footnote>
  <w:footnote w:id="18">
    <w:p w14:paraId="4FBD6438" w14:textId="1A611CE8" w:rsidR="00A1456E" w:rsidRPr="00D66AEC" w:rsidRDefault="00A1456E" w:rsidP="00A1456E">
      <w:pPr>
        <w:pStyle w:val="FootnoteText"/>
      </w:pPr>
      <w:r w:rsidRPr="00752897">
        <w:rPr>
          <w:rStyle w:val="FootnoteReference"/>
        </w:rPr>
        <w:footnoteRef/>
      </w:r>
      <w:r w:rsidRPr="00D66AEC">
        <w:t xml:space="preserve"> Victorian Cancer Registry. Melanoma factsheet. Published 10 May 2021. </w:t>
      </w:r>
      <w:r w:rsidR="00407CEF">
        <w:t xml:space="preserve">Available at: </w:t>
      </w:r>
      <w:hyperlink r:id="rId1" w:history="1">
        <w:r w:rsidRPr="00D66AEC">
          <w:rPr>
            <w:rStyle w:val="Hyperlink"/>
          </w:rPr>
          <w:t>https://www.cancervic.org.au/research/vcr/fact</w:t>
        </w:r>
        <w:r w:rsidR="0082444D">
          <w:rPr>
            <w:rStyle w:val="Hyperlink"/>
          </w:rPr>
          <w:noBreakHyphen/>
        </w:r>
        <w:r w:rsidRPr="00D66AEC">
          <w:rPr>
            <w:rStyle w:val="Hyperlink"/>
          </w:rPr>
          <w:t>sheets</w:t>
        </w:r>
        <w:r w:rsidR="0082444D">
          <w:rPr>
            <w:rStyle w:val="Hyperlink"/>
          </w:rPr>
          <w:noBreakHyphen/>
        </w:r>
        <w:r w:rsidRPr="00D66AEC">
          <w:rPr>
            <w:rStyle w:val="Hyperlink"/>
          </w:rPr>
          <w:t>and</w:t>
        </w:r>
        <w:r w:rsidR="0082444D">
          <w:rPr>
            <w:rStyle w:val="Hyperlink"/>
          </w:rPr>
          <w:noBreakHyphen/>
        </w:r>
        <w:r w:rsidRPr="00D66AEC">
          <w:rPr>
            <w:rStyle w:val="Hyperlink"/>
          </w:rPr>
          <w:t>annual</w:t>
        </w:r>
        <w:r w:rsidR="0082444D">
          <w:rPr>
            <w:rStyle w:val="Hyperlink"/>
          </w:rPr>
          <w:noBreakHyphen/>
        </w:r>
        <w:r w:rsidRPr="00D66AEC">
          <w:rPr>
            <w:rStyle w:val="Hyperlink"/>
          </w:rPr>
          <w:t>reports/melanoma</w:t>
        </w:r>
        <w:r w:rsidR="0082444D">
          <w:rPr>
            <w:rStyle w:val="Hyperlink"/>
          </w:rPr>
          <w:noBreakHyphen/>
        </w:r>
        <w:r w:rsidRPr="00D66AEC">
          <w:rPr>
            <w:rStyle w:val="Hyperlink"/>
          </w:rPr>
          <w:t>factsheet.html</w:t>
        </w:r>
      </w:hyperlink>
      <w:r w:rsidR="001459F0">
        <w:rPr>
          <w:rStyle w:val="Hyperlink"/>
        </w:rPr>
        <w:t>.</w:t>
      </w:r>
    </w:p>
  </w:footnote>
  <w:footnote w:id="19">
    <w:p w14:paraId="2FBAAA76" w14:textId="0BFBBCD5" w:rsidR="00A1456E" w:rsidRPr="00D66AEC" w:rsidRDefault="00A1456E" w:rsidP="00A1456E">
      <w:pPr>
        <w:pStyle w:val="FootnoteText"/>
      </w:pPr>
      <w:r w:rsidRPr="00752897">
        <w:rPr>
          <w:rStyle w:val="FootnoteReference"/>
        </w:rPr>
        <w:footnoteRef/>
      </w:r>
      <w:r w:rsidRPr="00D66AEC">
        <w:t xml:space="preserve"> Keung EZ, Gershenwald JE. The eighth edition American Joint Committee on Cancer (AJCC) melanoma staging system: implications for melanoma treatment and care. </w:t>
      </w:r>
      <w:r w:rsidRPr="00407CEF">
        <w:rPr>
          <w:i/>
          <w:iCs/>
        </w:rPr>
        <w:t>Expert Rev Anticancer Ther</w:t>
      </w:r>
      <w:r w:rsidRPr="00D66AEC">
        <w:t xml:space="preserve"> 2018;</w:t>
      </w:r>
      <w:r w:rsidR="00407CEF">
        <w:t xml:space="preserve"> </w:t>
      </w:r>
      <w:r w:rsidRPr="00D66AEC">
        <w:t>18(8):</w:t>
      </w:r>
      <w:r w:rsidR="00407CEF">
        <w:t xml:space="preserve"> </w:t>
      </w:r>
      <w:r w:rsidRPr="00D66AEC">
        <w:t>775</w:t>
      </w:r>
      <w:r w:rsidR="0082444D">
        <w:noBreakHyphen/>
      </w:r>
      <w:r w:rsidRPr="00D66AEC">
        <w:t>784. doi:10.1080/14737140.2018.1489246</w:t>
      </w:r>
      <w:r w:rsidR="001459F0">
        <w:t>.</w:t>
      </w:r>
    </w:p>
  </w:footnote>
  <w:footnote w:id="20">
    <w:p w14:paraId="272A3CD9" w14:textId="71496DFA" w:rsidR="00A1456E" w:rsidRPr="00407CEF" w:rsidRDefault="00A1456E" w:rsidP="00A1456E">
      <w:pPr>
        <w:pStyle w:val="FootnoteText"/>
      </w:pPr>
      <w:r w:rsidRPr="00752897">
        <w:rPr>
          <w:rStyle w:val="FootnoteReference"/>
        </w:rPr>
        <w:footnoteRef/>
      </w:r>
      <w:r w:rsidRPr="00D66AEC">
        <w:t xml:space="preserve"> Wasif N, Bagaria SP, Ray P, </w:t>
      </w:r>
      <w:r w:rsidR="00407CEF">
        <w:t>et al.</w:t>
      </w:r>
      <w:r w:rsidRPr="00D66AEC">
        <w:t xml:space="preserve"> Does metastasectomy improve survival in patients with Stage IV melanoma?. A cancer registry analysis of outcomes. </w:t>
      </w:r>
      <w:r w:rsidRPr="00407CEF">
        <w:rPr>
          <w:i/>
          <w:iCs/>
        </w:rPr>
        <w:t>J Surg Oncol</w:t>
      </w:r>
      <w:r w:rsidRPr="00D66AEC">
        <w:t xml:space="preserve"> 2011</w:t>
      </w:r>
      <w:r w:rsidR="00407CEF">
        <w:t xml:space="preserve">; </w:t>
      </w:r>
      <w:r w:rsidRPr="00D66AEC">
        <w:t>104(2):</w:t>
      </w:r>
      <w:r w:rsidR="00407CEF">
        <w:t xml:space="preserve"> </w:t>
      </w:r>
      <w:r w:rsidRPr="00D66AEC">
        <w:t>111</w:t>
      </w:r>
      <w:r w:rsidRPr="00407CEF">
        <w:t>–115.</w:t>
      </w:r>
      <w:r w:rsidR="00407CEF" w:rsidRPr="00407CEF">
        <w:t xml:space="preserve"> doi: 10.1002/jso.21903.</w:t>
      </w:r>
    </w:p>
  </w:footnote>
  <w:footnote w:id="21">
    <w:p w14:paraId="1A6D0B5B" w14:textId="2F5BFACD" w:rsidR="00A1456E" w:rsidRPr="00407CEF" w:rsidRDefault="00A1456E" w:rsidP="00A1456E">
      <w:pPr>
        <w:pStyle w:val="FootnoteText"/>
      </w:pPr>
      <w:r w:rsidRPr="00752897">
        <w:rPr>
          <w:rStyle w:val="FootnoteReference"/>
        </w:rPr>
        <w:footnoteRef/>
      </w:r>
      <w:r w:rsidRPr="00D66AEC">
        <w:t xml:space="preserve"> Hayward NK, Wilmott JS, Waddell N, et al Whole‐genome landscapes of major melanoma subtypes. </w:t>
      </w:r>
      <w:r w:rsidRPr="00407CEF">
        <w:rPr>
          <w:i/>
          <w:iCs/>
        </w:rPr>
        <w:t>Nature</w:t>
      </w:r>
      <w:r w:rsidRPr="00D66AEC">
        <w:t xml:space="preserve"> 2017; 545: </w:t>
      </w:r>
      <w:r w:rsidRPr="00407CEF">
        <w:t>175–180.</w:t>
      </w:r>
      <w:r w:rsidR="00407CEF" w:rsidRPr="00407CEF">
        <w:t xml:space="preserve"> doi: 10.1038/nature22071.</w:t>
      </w:r>
    </w:p>
  </w:footnote>
  <w:footnote w:id="22">
    <w:p w14:paraId="64595036" w14:textId="56D98DBA" w:rsidR="00A1456E" w:rsidRPr="00407CEF" w:rsidRDefault="00A1456E" w:rsidP="00A1456E">
      <w:pPr>
        <w:pStyle w:val="FootnoteText"/>
      </w:pPr>
      <w:r w:rsidRPr="00752897">
        <w:rPr>
          <w:rStyle w:val="FootnoteReference"/>
        </w:rPr>
        <w:footnoteRef/>
      </w:r>
      <w:r w:rsidRPr="00D66AEC">
        <w:t xml:space="preserve"> Cancer Genome Atlas Network . Genomic classification of cutaneous melanoma. </w:t>
      </w:r>
      <w:r w:rsidRPr="00407CEF">
        <w:rPr>
          <w:i/>
          <w:iCs/>
        </w:rPr>
        <w:t>Cell</w:t>
      </w:r>
      <w:r w:rsidRPr="00D66AEC">
        <w:t xml:space="preserve"> 2015; 161: 168</w:t>
      </w:r>
      <w:r w:rsidRPr="00407CEF">
        <w:t>1–1696.</w:t>
      </w:r>
      <w:r w:rsidR="00C33FF6">
        <w:t xml:space="preserve"> d</w:t>
      </w:r>
      <w:r w:rsidR="00407CEF" w:rsidRPr="00407CEF">
        <w:t>oi</w:t>
      </w:r>
      <w:r w:rsidR="00C33FF6">
        <w:t> </w:t>
      </w:r>
      <w:r w:rsidR="00407CEF" w:rsidRPr="00407CEF">
        <w:t>10.1016/j.cell.2015.05.044</w:t>
      </w:r>
      <w:r w:rsidR="001459F0">
        <w:t>.</w:t>
      </w:r>
    </w:p>
  </w:footnote>
  <w:footnote w:id="23">
    <w:p w14:paraId="5167239F" w14:textId="292ED0E5" w:rsidR="00A1456E" w:rsidRPr="00397B91" w:rsidRDefault="00A1456E" w:rsidP="00A1456E">
      <w:pPr>
        <w:pStyle w:val="FootnoteText"/>
        <w:rPr>
          <w:lang w:val="fr-FR"/>
        </w:rPr>
      </w:pPr>
      <w:r w:rsidRPr="00752897">
        <w:rPr>
          <w:rStyle w:val="FootnoteReference"/>
        </w:rPr>
        <w:footnoteRef/>
      </w:r>
      <w:r w:rsidRPr="00D66AEC">
        <w:t xml:space="preserve"> Long GV, Menzies AM, Nagrial AM, et al Prognostic and clinicopathologic associations of oncogenic BRAF in metastatic melanoma. </w:t>
      </w:r>
      <w:r w:rsidRPr="00397B91">
        <w:rPr>
          <w:i/>
          <w:iCs/>
          <w:lang w:val="fr-FR"/>
        </w:rPr>
        <w:t>J Clin Oncol</w:t>
      </w:r>
      <w:r w:rsidRPr="00397B91">
        <w:rPr>
          <w:lang w:val="fr-FR"/>
        </w:rPr>
        <w:t xml:space="preserve"> 2011; 29: 1239–1246.</w:t>
      </w:r>
      <w:r w:rsidR="00407CEF" w:rsidRPr="00397B91">
        <w:rPr>
          <w:lang w:val="fr-FR"/>
        </w:rPr>
        <w:t xml:space="preserve"> doi: 10.1200/JCO.2010.32.4327.</w:t>
      </w:r>
    </w:p>
  </w:footnote>
  <w:footnote w:id="24">
    <w:p w14:paraId="7CCE7C33" w14:textId="7E103318" w:rsidR="00A1456E" w:rsidRPr="00D66AEC" w:rsidRDefault="00A1456E" w:rsidP="00A1456E">
      <w:pPr>
        <w:pStyle w:val="FootnoteText"/>
      </w:pPr>
      <w:r w:rsidRPr="00752897">
        <w:rPr>
          <w:rStyle w:val="FootnoteReference"/>
        </w:rPr>
        <w:footnoteRef/>
      </w:r>
      <w:r w:rsidRPr="00397B91">
        <w:rPr>
          <w:lang w:val="fr-FR"/>
        </w:rPr>
        <w:t xml:space="preserve"> Nagore E, Requena C, Traves V, </w:t>
      </w:r>
      <w:r w:rsidR="00373270" w:rsidRPr="00397B91">
        <w:rPr>
          <w:lang w:val="fr-FR"/>
        </w:rPr>
        <w:t>et al.</w:t>
      </w:r>
      <w:r w:rsidRPr="00397B91">
        <w:rPr>
          <w:lang w:val="fr-FR"/>
        </w:rPr>
        <w:t xml:space="preserve"> </w:t>
      </w:r>
      <w:r w:rsidRPr="00D66AEC">
        <w:t>Prognostic value of BRAF mutations in localized cutaneous melanoma.</w:t>
      </w:r>
      <w:r w:rsidRPr="00373270">
        <w:rPr>
          <w:i/>
          <w:iCs/>
        </w:rPr>
        <w:t xml:space="preserve"> J Am Acad Dermatol</w:t>
      </w:r>
      <w:r w:rsidRPr="00D66AEC">
        <w:t xml:space="preserve"> 2014;</w:t>
      </w:r>
      <w:r w:rsidR="00373270">
        <w:t xml:space="preserve"> </w:t>
      </w:r>
      <w:r w:rsidRPr="00D66AEC">
        <w:t>70(5):</w:t>
      </w:r>
      <w:r w:rsidR="00373270">
        <w:t xml:space="preserve"> </w:t>
      </w:r>
      <w:r w:rsidRPr="00D66AEC">
        <w:t>858</w:t>
      </w:r>
      <w:r w:rsidR="0082444D">
        <w:noBreakHyphen/>
      </w:r>
      <w:r w:rsidRPr="00D66AEC">
        <w:t>62.e2.</w:t>
      </w:r>
      <w:r w:rsidR="007B27D2" w:rsidRPr="007B27D2">
        <w:t xml:space="preserve"> doi: 10.1016/j.jaad.2013.10.064</w:t>
      </w:r>
      <w:r w:rsidR="001459F0">
        <w:t>.</w:t>
      </w:r>
    </w:p>
  </w:footnote>
  <w:footnote w:id="25">
    <w:p w14:paraId="187FB0E2" w14:textId="0F134B74" w:rsidR="00A1456E" w:rsidRPr="00397B91" w:rsidRDefault="00A1456E" w:rsidP="00A1456E">
      <w:pPr>
        <w:pStyle w:val="FootnoteText"/>
        <w:rPr>
          <w:lang w:val="fr-FR"/>
        </w:rPr>
      </w:pPr>
      <w:r w:rsidRPr="00156579">
        <w:rPr>
          <w:vertAlign w:val="superscript"/>
        </w:rPr>
        <w:footnoteRef/>
      </w:r>
      <w:r w:rsidRPr="00D66AEC">
        <w:t xml:space="preserve"> Ryan AL, Burns C, Gupta AK, </w:t>
      </w:r>
      <w:r w:rsidR="00373270">
        <w:t>et al.</w:t>
      </w:r>
      <w:r w:rsidRPr="00D66AEC">
        <w:t xml:space="preserve"> Malignant Melanoma in Children and Adolescents Treated in Pediatric Oncology Centers: An Australian and New Zealand Children's Oncology Group (ANZCHOG) Study. </w:t>
      </w:r>
      <w:r w:rsidRPr="00397B91">
        <w:rPr>
          <w:i/>
          <w:iCs/>
          <w:lang w:val="fr-FR"/>
        </w:rPr>
        <w:t>Front Oncol</w:t>
      </w:r>
      <w:r w:rsidRPr="00397B91">
        <w:rPr>
          <w:lang w:val="fr-FR"/>
        </w:rPr>
        <w:t xml:space="preserve"> 2021</w:t>
      </w:r>
      <w:r w:rsidR="00373270" w:rsidRPr="00397B91">
        <w:rPr>
          <w:lang w:val="fr-FR"/>
        </w:rPr>
        <w:t xml:space="preserve">; </w:t>
      </w:r>
      <w:r w:rsidRPr="00397B91">
        <w:rPr>
          <w:lang w:val="fr-FR"/>
        </w:rPr>
        <w:t>11:</w:t>
      </w:r>
      <w:r w:rsidR="00373270" w:rsidRPr="00397B91">
        <w:rPr>
          <w:lang w:val="fr-FR"/>
        </w:rPr>
        <w:t xml:space="preserve"> </w:t>
      </w:r>
      <w:r w:rsidRPr="00397B91">
        <w:rPr>
          <w:lang w:val="fr-FR"/>
        </w:rPr>
        <w:t>660172.</w:t>
      </w:r>
      <w:r w:rsidR="00C33FF6" w:rsidRPr="00397B91">
        <w:rPr>
          <w:lang w:val="fr-FR"/>
        </w:rPr>
        <w:t xml:space="preserve"> d</w:t>
      </w:r>
      <w:r w:rsidRPr="00397B91">
        <w:rPr>
          <w:lang w:val="fr-FR"/>
        </w:rPr>
        <w:t>oi:</w:t>
      </w:r>
      <w:r w:rsidR="00C33FF6" w:rsidRPr="00397B91">
        <w:rPr>
          <w:lang w:val="fr-FR"/>
        </w:rPr>
        <w:t> </w:t>
      </w:r>
      <w:r w:rsidRPr="00397B91">
        <w:rPr>
          <w:lang w:val="fr-FR"/>
        </w:rPr>
        <w:t>10.3389/fonc.2021.660172.</w:t>
      </w:r>
    </w:p>
  </w:footnote>
  <w:footnote w:id="26">
    <w:p w14:paraId="75B1876B" w14:textId="49ED6BAD" w:rsidR="00A1456E" w:rsidRPr="00313CE5" w:rsidRDefault="00A1456E" w:rsidP="00A1456E">
      <w:pPr>
        <w:pStyle w:val="FootnoteText"/>
      </w:pPr>
      <w:r w:rsidRPr="00752897">
        <w:rPr>
          <w:rStyle w:val="FootnoteReference"/>
        </w:rPr>
        <w:footnoteRef/>
      </w:r>
      <w:r w:rsidRPr="00397B91">
        <w:rPr>
          <w:lang w:val="fr-FR"/>
        </w:rPr>
        <w:t xml:space="preserve"> Jen M, Murphy M, Grant</w:t>
      </w:r>
      <w:r w:rsidR="0082444D" w:rsidRPr="00397B91">
        <w:rPr>
          <w:lang w:val="fr-FR"/>
        </w:rPr>
        <w:noBreakHyphen/>
      </w:r>
      <w:r w:rsidRPr="00397B91">
        <w:rPr>
          <w:lang w:val="fr-FR"/>
        </w:rPr>
        <w:t xml:space="preserve">Kels JM. </w:t>
      </w:r>
      <w:r w:rsidRPr="00D66AEC">
        <w:t xml:space="preserve">Childhood melanoma. </w:t>
      </w:r>
      <w:r w:rsidRPr="00313CE5">
        <w:rPr>
          <w:i/>
          <w:iCs/>
        </w:rPr>
        <w:t>Clin Dermatol</w:t>
      </w:r>
      <w:r w:rsidRPr="00D66AEC">
        <w:t xml:space="preserve"> 2009;</w:t>
      </w:r>
      <w:r w:rsidR="00313CE5">
        <w:t xml:space="preserve"> </w:t>
      </w:r>
      <w:r w:rsidRPr="00D66AEC">
        <w:t>27:</w:t>
      </w:r>
      <w:r w:rsidR="00313CE5">
        <w:t xml:space="preserve"> </w:t>
      </w:r>
      <w:r w:rsidRPr="00D66AEC">
        <w:t>529–</w:t>
      </w:r>
      <w:r w:rsidR="00313CE5">
        <w:t>5</w:t>
      </w:r>
      <w:r w:rsidRPr="00D66AEC">
        <w:t>36.</w:t>
      </w:r>
      <w:r w:rsidR="00C33FF6">
        <w:t xml:space="preserve"> </w:t>
      </w:r>
      <w:r w:rsidR="00313CE5" w:rsidRPr="00313CE5">
        <w:t>doi:</w:t>
      </w:r>
      <w:r w:rsidR="00C33FF6">
        <w:t> </w:t>
      </w:r>
      <w:r w:rsidR="00313CE5" w:rsidRPr="00313CE5">
        <w:t>10.1016/j.clindermatol.2008.09.011.</w:t>
      </w:r>
    </w:p>
  </w:footnote>
  <w:footnote w:id="27">
    <w:p w14:paraId="36A5125A" w14:textId="32871014" w:rsidR="00A1456E" w:rsidRPr="00397B91" w:rsidRDefault="00A1456E" w:rsidP="00A1456E">
      <w:pPr>
        <w:pStyle w:val="FootnoteText"/>
        <w:rPr>
          <w:lang w:val="fr-FR"/>
        </w:rPr>
      </w:pPr>
      <w:r w:rsidRPr="00752897">
        <w:rPr>
          <w:rStyle w:val="FootnoteReference"/>
        </w:rPr>
        <w:footnoteRef/>
      </w:r>
      <w:r w:rsidRPr="00D66AEC">
        <w:t xml:space="preserve"> Ferlay J, Shin HR, Bray F, et al: Estimates of worldwide burden of cancer in 2008: GLOBOCAN 2010. </w:t>
      </w:r>
      <w:r w:rsidRPr="00397B91">
        <w:rPr>
          <w:i/>
          <w:iCs/>
          <w:lang w:val="fr-FR"/>
        </w:rPr>
        <w:t>Int J Cance</w:t>
      </w:r>
      <w:r w:rsidRPr="00397B91">
        <w:rPr>
          <w:lang w:val="fr-FR"/>
        </w:rPr>
        <w:t xml:space="preserve">r </w:t>
      </w:r>
      <w:r w:rsidR="00560C74" w:rsidRPr="00397B91">
        <w:rPr>
          <w:lang w:val="fr-FR"/>
        </w:rPr>
        <w:t xml:space="preserve">2010; </w:t>
      </w:r>
      <w:r w:rsidRPr="00397B91">
        <w:rPr>
          <w:lang w:val="fr-FR"/>
        </w:rPr>
        <w:t>127</w:t>
      </w:r>
      <w:r w:rsidR="00560C74" w:rsidRPr="00397B91">
        <w:rPr>
          <w:lang w:val="fr-FR"/>
        </w:rPr>
        <w:t>(12)</w:t>
      </w:r>
      <w:r w:rsidRPr="00397B91">
        <w:rPr>
          <w:lang w:val="fr-FR"/>
        </w:rPr>
        <w:t>:</w:t>
      </w:r>
      <w:r w:rsidR="00560C74" w:rsidRPr="00397B91">
        <w:rPr>
          <w:lang w:val="fr-FR"/>
        </w:rPr>
        <w:t xml:space="preserve"> </w:t>
      </w:r>
      <w:r w:rsidRPr="00397B91">
        <w:rPr>
          <w:lang w:val="fr-FR"/>
        </w:rPr>
        <w:t>2893–2917</w:t>
      </w:r>
      <w:r w:rsidR="00560C74" w:rsidRPr="00397B91">
        <w:rPr>
          <w:lang w:val="fr-FR"/>
        </w:rPr>
        <w:t>. doi: 10.1002/ijc.25516.</w:t>
      </w:r>
    </w:p>
  </w:footnote>
  <w:footnote w:id="28">
    <w:p w14:paraId="75BDD18C" w14:textId="5288A0F6" w:rsidR="00A1456E" w:rsidRPr="00D66AEC" w:rsidRDefault="00A1456E" w:rsidP="00A1456E">
      <w:pPr>
        <w:pStyle w:val="FootnoteText"/>
      </w:pPr>
      <w:r w:rsidRPr="00752897">
        <w:rPr>
          <w:rStyle w:val="FootnoteReference"/>
        </w:rPr>
        <w:footnoteRef/>
      </w:r>
      <w:r w:rsidRPr="00397B91">
        <w:rPr>
          <w:lang w:val="fr-FR"/>
        </w:rPr>
        <w:t xml:space="preserve"> Brecht IB, De Paoli A, Bisogno G, et al. </w:t>
      </w:r>
      <w:r w:rsidRPr="00D66AEC">
        <w:t xml:space="preserve">Pediatric patients with cutaneous melanoma: A European study. </w:t>
      </w:r>
      <w:r w:rsidRPr="00560C74">
        <w:rPr>
          <w:i/>
          <w:iCs/>
        </w:rPr>
        <w:t xml:space="preserve">Pediatr Blood Cancer </w:t>
      </w:r>
      <w:r w:rsidRPr="00D66AEC">
        <w:t>2018;</w:t>
      </w:r>
      <w:r w:rsidR="00560C74">
        <w:t xml:space="preserve"> </w:t>
      </w:r>
      <w:r w:rsidRPr="00D66AEC">
        <w:t>65</w:t>
      </w:r>
      <w:r w:rsidR="00560C74">
        <w:t xml:space="preserve">(6) </w:t>
      </w:r>
      <w:r w:rsidRPr="00D66AEC">
        <w:t>:e26974</w:t>
      </w:r>
      <w:r w:rsidR="00560C74">
        <w:t xml:space="preserve">. doi: </w:t>
      </w:r>
      <w:r w:rsidRPr="00D66AEC">
        <w:t>10.1002/pbc.26974</w:t>
      </w:r>
      <w:r w:rsidR="001459F0">
        <w:t>.</w:t>
      </w:r>
    </w:p>
  </w:footnote>
  <w:footnote w:id="29">
    <w:p w14:paraId="0E1CD34F" w14:textId="031C64EC" w:rsidR="00A1456E" w:rsidRPr="00B9005C" w:rsidRDefault="00A1456E" w:rsidP="00A1456E">
      <w:pPr>
        <w:pStyle w:val="FootnoteText"/>
      </w:pPr>
      <w:r w:rsidRPr="00752897">
        <w:rPr>
          <w:rStyle w:val="FootnoteReference"/>
        </w:rPr>
        <w:footnoteRef/>
      </w:r>
      <w:r w:rsidRPr="00D66AEC">
        <w:t xml:space="preserve"> Strouse JJ, Fears TR, Tucker MA, et al, Pediatric melanoma: risk factor and survival analysis of the surveillance, epidemiology and end results database.</w:t>
      </w:r>
      <w:r w:rsidRPr="00B9005C">
        <w:rPr>
          <w:i/>
          <w:iCs/>
        </w:rPr>
        <w:t xml:space="preserve"> J Clin Oncol </w:t>
      </w:r>
      <w:r w:rsidRPr="00D66AEC">
        <w:t>2005;</w:t>
      </w:r>
      <w:r w:rsidR="00B9005C">
        <w:t xml:space="preserve"> </w:t>
      </w:r>
      <w:r w:rsidRPr="00D66AEC">
        <w:t>23</w:t>
      </w:r>
      <w:r w:rsidR="00B9005C">
        <w:t xml:space="preserve"> (21)</w:t>
      </w:r>
      <w:r w:rsidRPr="00D66AEC">
        <w:t>:</w:t>
      </w:r>
      <w:r w:rsidR="00B9005C">
        <w:t xml:space="preserve"> </w:t>
      </w:r>
      <w:r w:rsidRPr="00D66AEC">
        <w:t>4735–</w:t>
      </w:r>
      <w:r w:rsidR="00B9005C">
        <w:t>47</w:t>
      </w:r>
      <w:r w:rsidRPr="00D66AEC">
        <w:t>41.</w:t>
      </w:r>
      <w:r w:rsidR="00B9005C">
        <w:t xml:space="preserve"> </w:t>
      </w:r>
      <w:r w:rsidR="00B9005C" w:rsidRPr="00B9005C">
        <w:t>doi: 10.1200/JCO.2005.02.899</w:t>
      </w:r>
      <w:r w:rsidR="001459F0">
        <w:t>.</w:t>
      </w:r>
    </w:p>
  </w:footnote>
  <w:footnote w:id="30">
    <w:p w14:paraId="02E34376" w14:textId="1C5EC9E6" w:rsidR="00A1456E" w:rsidRPr="00B9005C" w:rsidRDefault="00A1456E" w:rsidP="00A1456E">
      <w:pPr>
        <w:pStyle w:val="FootnoteText"/>
      </w:pPr>
      <w:r w:rsidRPr="00752897">
        <w:rPr>
          <w:rStyle w:val="FootnoteReference"/>
        </w:rPr>
        <w:footnoteRef/>
      </w:r>
      <w:r w:rsidRPr="00D66AEC">
        <w:t xml:space="preserve"> Bahram A</w:t>
      </w:r>
      <w:r w:rsidR="00B9005C">
        <w:t xml:space="preserve">, </w:t>
      </w:r>
      <w:r w:rsidRPr="00D66AEC">
        <w:t>Barnhill RL. Pathology and genomics of pedia</w:t>
      </w:r>
      <w:r w:rsidRPr="00B9005C">
        <w:t xml:space="preserve">tric melanoma: A critical reexamination and new insights. </w:t>
      </w:r>
      <w:r w:rsidRPr="00B9005C">
        <w:rPr>
          <w:i/>
          <w:iCs/>
        </w:rPr>
        <w:t>Pediatr Blood Cancer</w:t>
      </w:r>
      <w:r w:rsidRPr="00B9005C">
        <w:t xml:space="preserve"> 2018;</w:t>
      </w:r>
      <w:r w:rsidR="00B9005C" w:rsidRPr="00B9005C">
        <w:t xml:space="preserve"> 65(2):10.1002/pbc.26792. doi: 10.1002/pbc.26792</w:t>
      </w:r>
      <w:r w:rsidR="001459F0">
        <w:t>.</w:t>
      </w:r>
    </w:p>
  </w:footnote>
  <w:footnote w:id="31">
    <w:p w14:paraId="639FBD76" w14:textId="3E9B7F85" w:rsidR="00A1456E" w:rsidRPr="00B9005C" w:rsidRDefault="00A1456E" w:rsidP="00A1456E">
      <w:pPr>
        <w:pStyle w:val="FootnoteText"/>
      </w:pPr>
      <w:r w:rsidRPr="00752897">
        <w:rPr>
          <w:rStyle w:val="FootnoteReference"/>
        </w:rPr>
        <w:footnoteRef/>
      </w:r>
      <w:r w:rsidRPr="00D66AEC">
        <w:t xml:space="preserve"> Lu C, Zhang J, Nagahawatte P, et al. The genomic landscape of childhood and adolescent melanoma. </w:t>
      </w:r>
      <w:r w:rsidRPr="00B9005C">
        <w:rPr>
          <w:i/>
          <w:iCs/>
        </w:rPr>
        <w:t xml:space="preserve">J Invest Dermatol </w:t>
      </w:r>
      <w:r w:rsidRPr="00D66AEC">
        <w:t>2015</w:t>
      </w:r>
      <w:r w:rsidR="00B9005C">
        <w:t xml:space="preserve">; </w:t>
      </w:r>
      <w:r w:rsidRPr="00D66AEC">
        <w:t>1</w:t>
      </w:r>
      <w:r w:rsidRPr="00B9005C">
        <w:t>35(3):</w:t>
      </w:r>
      <w:r w:rsidR="00B9005C" w:rsidRPr="00B9005C">
        <w:t xml:space="preserve"> </w:t>
      </w:r>
      <w:r w:rsidRPr="00B9005C">
        <w:t>816–823.</w:t>
      </w:r>
      <w:r w:rsidR="00B9005C" w:rsidRPr="00B9005C">
        <w:t xml:space="preserve"> doi: 10.1038/jid.2014.425.</w:t>
      </w:r>
    </w:p>
  </w:footnote>
  <w:footnote w:id="32">
    <w:p w14:paraId="02344F89" w14:textId="4B9A7B93" w:rsidR="00A1456E" w:rsidRPr="00D66AEC" w:rsidRDefault="00A1456E" w:rsidP="00A1456E">
      <w:pPr>
        <w:pStyle w:val="FootnoteText"/>
      </w:pPr>
      <w:r w:rsidRPr="00752897">
        <w:rPr>
          <w:rStyle w:val="FootnoteReference"/>
        </w:rPr>
        <w:footnoteRef/>
      </w:r>
      <w:r w:rsidRPr="00D66AEC">
        <w:t xml:space="preserve"> Pappo AS. Pediatric melanoma: the whole (genome) story. </w:t>
      </w:r>
      <w:r w:rsidRPr="00B9005C">
        <w:rPr>
          <w:i/>
          <w:iCs/>
        </w:rPr>
        <w:t>Am Soc Clin Oncol Educ Book</w:t>
      </w:r>
      <w:r w:rsidRPr="00D66AEC">
        <w:t xml:space="preserve"> 2014</w:t>
      </w:r>
      <w:r w:rsidR="00B9005C">
        <w:t xml:space="preserve">; </w:t>
      </w:r>
      <w:r w:rsidRPr="00D66AEC">
        <w:t>:e432</w:t>
      </w:r>
      <w:r w:rsidR="0082444D">
        <w:noBreakHyphen/>
      </w:r>
      <w:r w:rsidRPr="00D66AEC">
        <w:t>5.</w:t>
      </w:r>
      <w:r w:rsidR="00E465C4">
        <w:t xml:space="preserve"> </w:t>
      </w:r>
      <w:r w:rsidRPr="00D66AEC">
        <w:t>doi:</w:t>
      </w:r>
      <w:r w:rsidR="006168F3">
        <w:t> </w:t>
      </w:r>
      <w:r w:rsidRPr="00D66AEC">
        <w:t>10.14694/EdBook_AM.2014.34.e432</w:t>
      </w:r>
      <w:r w:rsidR="006168F3">
        <w:t>.</w:t>
      </w:r>
    </w:p>
  </w:footnote>
  <w:footnote w:id="33">
    <w:p w14:paraId="3A842D20" w14:textId="1F45EF72" w:rsidR="00A1456E" w:rsidRPr="00D66AEC" w:rsidRDefault="00A1456E" w:rsidP="00A1456E">
      <w:pPr>
        <w:pStyle w:val="FootnoteText"/>
      </w:pPr>
      <w:r w:rsidRPr="00752897">
        <w:rPr>
          <w:rStyle w:val="FootnoteReference"/>
        </w:rPr>
        <w:footnoteRef/>
      </w:r>
      <w:r w:rsidRPr="00752897">
        <w:rPr>
          <w:rStyle w:val="FootnoteReference"/>
        </w:rPr>
        <w:t xml:space="preserve"> </w:t>
      </w:r>
      <w:r w:rsidRPr="00D66AEC">
        <w:t xml:space="preserve">House of Representatives Standing Committee on Health. Skin cancer in Australia: our national cancer. Report on the Inquiry into Skin Cancer in Australia. Canberra: Parliament of the Commonwealth of Australia; 2015. </w:t>
      </w:r>
      <w:r w:rsidR="00D5150A">
        <w:t>Available at</w:t>
      </w:r>
      <w:r w:rsidRPr="00D66AEC">
        <w:t xml:space="preserve">: </w:t>
      </w:r>
      <w:hyperlink r:id="rId2" w:history="1">
        <w:r w:rsidRPr="00D66AEC">
          <w:rPr>
            <w:rStyle w:val="Hyperlink"/>
          </w:rPr>
          <w:t>www.aph.gov.au/Parliamentary_Business/Committees/House/Health/Skin_Cancer/Report</w:t>
        </w:r>
      </w:hyperlink>
      <w:r w:rsidR="001459F0">
        <w:rPr>
          <w:rStyle w:val="Hyperlink"/>
        </w:rPr>
        <w:t>.</w:t>
      </w:r>
    </w:p>
  </w:footnote>
  <w:footnote w:id="34">
    <w:p w14:paraId="7BC3FACA" w14:textId="1456F239" w:rsidR="00A1456E" w:rsidRPr="00D66AEC" w:rsidRDefault="00A1456E" w:rsidP="00A1456E">
      <w:pPr>
        <w:pStyle w:val="FootnoteText"/>
      </w:pPr>
      <w:r w:rsidRPr="00752897">
        <w:rPr>
          <w:rStyle w:val="FootnoteReference"/>
        </w:rPr>
        <w:footnoteRef/>
      </w:r>
      <w:r w:rsidRPr="00D66AEC">
        <w:t xml:space="preserve"> Olsen CM, Green AC, Pandeya N, </w:t>
      </w:r>
      <w:r w:rsidR="009224BE">
        <w:t>et al.</w:t>
      </w:r>
      <w:r w:rsidRPr="00D66AEC">
        <w:t xml:space="preserve"> Trends in Melanoma Incidence Rates in Eight Susceptible Populations through 2015. </w:t>
      </w:r>
      <w:r w:rsidRPr="009224BE">
        <w:rPr>
          <w:i/>
          <w:iCs/>
        </w:rPr>
        <w:t>J Invest Dermatol</w:t>
      </w:r>
      <w:r w:rsidRPr="00D66AEC">
        <w:t xml:space="preserve"> 2019;</w:t>
      </w:r>
      <w:r w:rsidR="009224BE">
        <w:t xml:space="preserve"> </w:t>
      </w:r>
      <w:r w:rsidRPr="00D66AEC">
        <w:t>139(6):</w:t>
      </w:r>
      <w:r w:rsidR="009224BE">
        <w:t xml:space="preserve"> </w:t>
      </w:r>
      <w:r w:rsidRPr="00D66AEC">
        <w:t>1392</w:t>
      </w:r>
      <w:r w:rsidR="0082444D">
        <w:noBreakHyphen/>
      </w:r>
      <w:r w:rsidRPr="00D66AEC">
        <w:t>1395.</w:t>
      </w:r>
      <w:r w:rsidR="007B27D2" w:rsidRPr="007B27D2">
        <w:t xml:space="preserve"> doi: 10.1016/j.jid.2018.12.006.</w:t>
      </w:r>
    </w:p>
  </w:footnote>
  <w:footnote w:id="35">
    <w:p w14:paraId="2879133E" w14:textId="3817C59D" w:rsidR="00A1456E" w:rsidRPr="00D66AEC" w:rsidRDefault="00A1456E" w:rsidP="00A1456E">
      <w:pPr>
        <w:pStyle w:val="FootnoteText"/>
      </w:pPr>
      <w:r w:rsidRPr="00752897">
        <w:rPr>
          <w:rStyle w:val="FootnoteReference"/>
        </w:rPr>
        <w:footnoteRef/>
      </w:r>
      <w:r w:rsidRPr="00D66AEC">
        <w:t xml:space="preserve"> Australian Institute of Health and Welfare. AIHW Cancer Data in Australia 2021: Book 1a – Cancer incidence (age</w:t>
      </w:r>
      <w:r w:rsidR="0082444D">
        <w:noBreakHyphen/>
      </w:r>
      <w:r w:rsidRPr="00D66AEC">
        <w:t>standardised rates and 5</w:t>
      </w:r>
      <w:r w:rsidR="0082444D">
        <w:noBreakHyphen/>
      </w:r>
      <w:r w:rsidRPr="00D66AEC">
        <w:t>year age groups). Australian Government, Canberra, Australia: AIHW. A</w:t>
      </w:r>
      <w:r w:rsidR="009224BE">
        <w:t>vailable at</w:t>
      </w:r>
      <w:r w:rsidRPr="00D66AEC">
        <w:t xml:space="preserve"> </w:t>
      </w:r>
      <w:hyperlink r:id="rId3" w:history="1">
        <w:r w:rsidRPr="00D66AEC">
          <w:rPr>
            <w:rStyle w:val="Hyperlink"/>
          </w:rPr>
          <w:t>https://www.aihw.gov.au/getmedia/e8779760</w:t>
        </w:r>
        <w:r w:rsidR="0082444D">
          <w:rPr>
            <w:rStyle w:val="Hyperlink"/>
          </w:rPr>
          <w:noBreakHyphen/>
        </w:r>
        <w:r w:rsidRPr="00D66AEC">
          <w:rPr>
            <w:rStyle w:val="Hyperlink"/>
          </w:rPr>
          <w:t>1b3c</w:t>
        </w:r>
        <w:r w:rsidR="0082444D">
          <w:rPr>
            <w:rStyle w:val="Hyperlink"/>
          </w:rPr>
          <w:noBreakHyphen/>
        </w:r>
        <w:r w:rsidRPr="00D66AEC">
          <w:rPr>
            <w:rStyle w:val="Hyperlink"/>
          </w:rPr>
          <w:t>4c2e</w:t>
        </w:r>
        <w:r w:rsidR="0082444D">
          <w:rPr>
            <w:rStyle w:val="Hyperlink"/>
          </w:rPr>
          <w:noBreakHyphen/>
        </w:r>
        <w:r w:rsidRPr="00D66AEC">
          <w:rPr>
            <w:rStyle w:val="Hyperlink"/>
          </w:rPr>
          <w:t>a6c2</w:t>
        </w:r>
        <w:r w:rsidR="0082444D">
          <w:rPr>
            <w:rStyle w:val="Hyperlink"/>
          </w:rPr>
          <w:noBreakHyphen/>
        </w:r>
        <w:r w:rsidRPr="00D66AEC">
          <w:rPr>
            <w:rStyle w:val="Hyperlink"/>
          </w:rPr>
          <w:t>b0a8d764c66b/AIHW</w:t>
        </w:r>
        <w:r w:rsidR="0082444D">
          <w:rPr>
            <w:rStyle w:val="Hyperlink"/>
          </w:rPr>
          <w:noBreakHyphen/>
        </w:r>
        <w:r w:rsidRPr="00D66AEC">
          <w:rPr>
            <w:rStyle w:val="Hyperlink"/>
          </w:rPr>
          <w:t>CAN</w:t>
        </w:r>
        <w:r w:rsidR="0082444D">
          <w:rPr>
            <w:rStyle w:val="Hyperlink"/>
          </w:rPr>
          <w:noBreakHyphen/>
        </w:r>
        <w:r w:rsidRPr="00D66AEC">
          <w:rPr>
            <w:rStyle w:val="Hyperlink"/>
          </w:rPr>
          <w:t>122</w:t>
        </w:r>
        <w:r w:rsidR="0082444D">
          <w:rPr>
            <w:rStyle w:val="Hyperlink"/>
          </w:rPr>
          <w:noBreakHyphen/>
        </w:r>
        <w:r w:rsidRPr="00D66AEC">
          <w:rPr>
            <w:rStyle w:val="Hyperlink"/>
          </w:rPr>
          <w:t>CDiA</w:t>
        </w:r>
        <w:r w:rsidR="0082444D">
          <w:rPr>
            <w:rStyle w:val="Hyperlink"/>
          </w:rPr>
          <w:noBreakHyphen/>
        </w:r>
        <w:r w:rsidRPr="00D66AEC">
          <w:rPr>
            <w:rStyle w:val="Hyperlink"/>
          </w:rPr>
          <w:t>2021</w:t>
        </w:r>
        <w:r w:rsidR="0082444D">
          <w:rPr>
            <w:rStyle w:val="Hyperlink"/>
          </w:rPr>
          <w:noBreakHyphen/>
        </w:r>
        <w:r w:rsidRPr="00D66AEC">
          <w:rPr>
            <w:rStyle w:val="Hyperlink"/>
          </w:rPr>
          <w:t>Book</w:t>
        </w:r>
        <w:r w:rsidR="0082444D">
          <w:rPr>
            <w:rStyle w:val="Hyperlink"/>
          </w:rPr>
          <w:noBreakHyphen/>
        </w:r>
        <w:r w:rsidRPr="00D66AEC">
          <w:rPr>
            <w:rStyle w:val="Hyperlink"/>
          </w:rPr>
          <w:t>1a</w:t>
        </w:r>
        <w:r w:rsidR="0082444D">
          <w:rPr>
            <w:rStyle w:val="Hyperlink"/>
          </w:rPr>
          <w:noBreakHyphen/>
        </w:r>
        <w:r w:rsidRPr="00D66AEC">
          <w:rPr>
            <w:rStyle w:val="Hyperlink"/>
          </w:rPr>
          <w:t>Cancer</w:t>
        </w:r>
        <w:r w:rsidR="0082444D">
          <w:rPr>
            <w:rStyle w:val="Hyperlink"/>
          </w:rPr>
          <w:noBreakHyphen/>
        </w:r>
        <w:r w:rsidRPr="00D66AEC">
          <w:rPr>
            <w:rStyle w:val="Hyperlink"/>
          </w:rPr>
          <w:t>incidence</w:t>
        </w:r>
        <w:r w:rsidR="0082444D">
          <w:rPr>
            <w:rStyle w:val="Hyperlink"/>
          </w:rPr>
          <w:noBreakHyphen/>
        </w:r>
        <w:r w:rsidRPr="00D66AEC">
          <w:rPr>
            <w:rStyle w:val="Hyperlink"/>
          </w:rPr>
          <w:t>age</w:t>
        </w:r>
        <w:r w:rsidR="0082444D">
          <w:rPr>
            <w:rStyle w:val="Hyperlink"/>
          </w:rPr>
          <w:noBreakHyphen/>
        </w:r>
        <w:r w:rsidRPr="00D66AEC">
          <w:rPr>
            <w:rStyle w:val="Hyperlink"/>
          </w:rPr>
          <w:t>standardised</w:t>
        </w:r>
        <w:r w:rsidR="0082444D">
          <w:rPr>
            <w:rStyle w:val="Hyperlink"/>
          </w:rPr>
          <w:noBreakHyphen/>
        </w:r>
        <w:r w:rsidRPr="00D66AEC">
          <w:rPr>
            <w:rStyle w:val="Hyperlink"/>
          </w:rPr>
          <w:t>rates</w:t>
        </w:r>
        <w:r w:rsidR="0082444D">
          <w:rPr>
            <w:rStyle w:val="Hyperlink"/>
          </w:rPr>
          <w:noBreakHyphen/>
        </w:r>
        <w:r w:rsidRPr="00D66AEC">
          <w:rPr>
            <w:rStyle w:val="Hyperlink"/>
          </w:rPr>
          <w:t>5</w:t>
        </w:r>
        <w:r w:rsidR="0082444D">
          <w:rPr>
            <w:rStyle w:val="Hyperlink"/>
          </w:rPr>
          <w:noBreakHyphen/>
        </w:r>
        <w:r w:rsidRPr="00D66AEC">
          <w:rPr>
            <w:rStyle w:val="Hyperlink"/>
          </w:rPr>
          <w:t>year</w:t>
        </w:r>
        <w:r w:rsidR="0082444D">
          <w:rPr>
            <w:rStyle w:val="Hyperlink"/>
          </w:rPr>
          <w:noBreakHyphen/>
        </w:r>
        <w:r w:rsidRPr="00D66AEC">
          <w:rPr>
            <w:rStyle w:val="Hyperlink"/>
          </w:rPr>
          <w:t>age</w:t>
        </w:r>
        <w:r w:rsidR="0082444D">
          <w:rPr>
            <w:rStyle w:val="Hyperlink"/>
          </w:rPr>
          <w:noBreakHyphen/>
        </w:r>
        <w:r w:rsidRPr="00D66AEC">
          <w:rPr>
            <w:rStyle w:val="Hyperlink"/>
          </w:rPr>
          <w:t>groups.xlsx.aspx</w:t>
        </w:r>
      </w:hyperlink>
      <w:r w:rsidR="009224BE" w:rsidRPr="009224BE">
        <w:t>.</w:t>
      </w:r>
    </w:p>
  </w:footnote>
  <w:footnote w:id="36">
    <w:p w14:paraId="5C78C44C" w14:textId="6D41CCC1" w:rsidR="009224BE" w:rsidRPr="009224BE" w:rsidRDefault="00A1456E" w:rsidP="00A1456E">
      <w:pPr>
        <w:pStyle w:val="FootnoteText"/>
      </w:pPr>
      <w:r w:rsidRPr="00752897">
        <w:rPr>
          <w:rStyle w:val="FootnoteReference"/>
        </w:rPr>
        <w:footnoteRef/>
      </w:r>
      <w:r w:rsidRPr="00752897">
        <w:rPr>
          <w:rStyle w:val="FootnoteReference"/>
        </w:rPr>
        <w:t xml:space="preserve"> </w:t>
      </w:r>
      <w:r w:rsidRPr="00D66AEC">
        <w:t xml:space="preserve">Iannacone MR, Youlden DR, Baade PD, </w:t>
      </w:r>
      <w:r w:rsidR="009224BE">
        <w:t>et al.</w:t>
      </w:r>
      <w:r w:rsidRPr="00D66AEC">
        <w:t xml:space="preserve"> Melanoma incidence trends and survival in adolescents and young adults in Queensland, Australia. </w:t>
      </w:r>
      <w:r w:rsidRPr="009224BE">
        <w:rPr>
          <w:i/>
          <w:iCs/>
        </w:rPr>
        <w:t>Int J Cancer</w:t>
      </w:r>
      <w:r w:rsidRPr="009224BE">
        <w:t xml:space="preserve"> </w:t>
      </w:r>
      <w:r w:rsidR="009224BE" w:rsidRPr="009224BE">
        <w:t>2015</w:t>
      </w:r>
      <w:r w:rsidR="009224BE">
        <w:t xml:space="preserve">; </w:t>
      </w:r>
      <w:r w:rsidR="009224BE" w:rsidRPr="009224BE">
        <w:t>136(3):</w:t>
      </w:r>
      <w:r w:rsidR="009224BE">
        <w:t xml:space="preserve"> </w:t>
      </w:r>
      <w:r w:rsidR="009224BE" w:rsidRPr="009224BE">
        <w:t>603</w:t>
      </w:r>
      <w:r w:rsidR="0082444D">
        <w:noBreakHyphen/>
      </w:r>
      <w:r w:rsidR="009224BE">
        <w:t>60</w:t>
      </w:r>
      <w:r w:rsidR="009224BE" w:rsidRPr="009224BE">
        <w:t>9. doi: 10.1002/ijc.28956.</w:t>
      </w:r>
    </w:p>
  </w:footnote>
  <w:footnote w:id="37">
    <w:p w14:paraId="62961FA9" w14:textId="2941D6C3" w:rsidR="00A1456E" w:rsidRPr="00D66AEC" w:rsidRDefault="00A1456E" w:rsidP="00A1456E">
      <w:pPr>
        <w:pStyle w:val="FootnoteText"/>
      </w:pPr>
      <w:r w:rsidRPr="00752897">
        <w:rPr>
          <w:rStyle w:val="FootnoteReference"/>
        </w:rPr>
        <w:footnoteRef/>
      </w:r>
      <w:r w:rsidRPr="00D66AEC">
        <w:t xml:space="preserve"> Erdmann F, Lortet</w:t>
      </w:r>
      <w:r w:rsidR="0082444D">
        <w:noBreakHyphen/>
      </w:r>
      <w:r w:rsidRPr="00D66AEC">
        <w:t>Tieulent J, Schüz J, Zeeb H, Greinert R, Breitbart EW, Bray F. International trends in the incidence of malignant melanoma 1953</w:t>
      </w:r>
      <w:r w:rsidR="0082444D">
        <w:noBreakHyphen/>
      </w:r>
      <w:r w:rsidRPr="00D66AEC">
        <w:t>2008</w:t>
      </w:r>
      <w:r w:rsidR="0082444D">
        <w:noBreakHyphen/>
      </w:r>
      <w:r w:rsidR="0082444D">
        <w:noBreakHyphen/>
      </w:r>
      <w:r w:rsidRPr="00D66AEC">
        <w:t xml:space="preserve">are recent generations at higher or lower risk? </w:t>
      </w:r>
      <w:r w:rsidRPr="009224BE">
        <w:rPr>
          <w:i/>
          <w:iCs/>
        </w:rPr>
        <w:t xml:space="preserve">Int J Cancer </w:t>
      </w:r>
      <w:r w:rsidRPr="00D66AEC">
        <w:t>2013</w:t>
      </w:r>
      <w:r w:rsidR="009224BE">
        <w:t xml:space="preserve">; </w:t>
      </w:r>
      <w:r w:rsidRPr="00D66AEC">
        <w:t>132(2):</w:t>
      </w:r>
      <w:r w:rsidR="009224BE">
        <w:t xml:space="preserve"> </w:t>
      </w:r>
      <w:r w:rsidRPr="00D66AEC">
        <w:t>385</w:t>
      </w:r>
      <w:r w:rsidR="0082444D">
        <w:noBreakHyphen/>
      </w:r>
      <w:r w:rsidRPr="00D66AEC">
        <w:t>400.</w:t>
      </w:r>
      <w:r w:rsidR="00952329">
        <w:t xml:space="preserve"> </w:t>
      </w:r>
      <w:r w:rsidRPr="00D66AEC">
        <w:t>doi:</w:t>
      </w:r>
      <w:r w:rsidR="00952329">
        <w:t> </w:t>
      </w:r>
      <w:r w:rsidRPr="00D66AEC">
        <w:t>10.1002/ijc.27616.</w:t>
      </w:r>
    </w:p>
  </w:footnote>
  <w:footnote w:id="38">
    <w:p w14:paraId="34496EF6" w14:textId="64816F58" w:rsidR="00A1456E" w:rsidRPr="00D66AEC" w:rsidRDefault="00A1456E" w:rsidP="00A1456E">
      <w:pPr>
        <w:pStyle w:val="FootnoteText"/>
      </w:pPr>
      <w:r w:rsidRPr="00752897">
        <w:rPr>
          <w:rStyle w:val="FootnoteReference"/>
        </w:rPr>
        <w:footnoteRef/>
      </w:r>
      <w:r w:rsidRPr="00752897">
        <w:rPr>
          <w:rStyle w:val="FootnoteReference"/>
        </w:rPr>
        <w:t xml:space="preserve"> </w:t>
      </w:r>
      <w:r w:rsidR="002D493F">
        <w:t>Australian Institute of Health and Welfare 2016. Skin cancer in Australia. Cat. no. CAN 96. Canberra: AIHW.</w:t>
      </w:r>
    </w:p>
  </w:footnote>
  <w:footnote w:id="39">
    <w:p w14:paraId="0032A1AC" w14:textId="76698D71" w:rsidR="00A1456E" w:rsidRPr="00D66AEC" w:rsidRDefault="00A1456E" w:rsidP="00A1456E">
      <w:pPr>
        <w:pStyle w:val="FootnoteText"/>
      </w:pPr>
      <w:r w:rsidRPr="00752897">
        <w:rPr>
          <w:rStyle w:val="FootnoteReference"/>
        </w:rPr>
        <w:footnoteRef/>
      </w:r>
      <w:r w:rsidRPr="00D66AEC">
        <w:t xml:space="preserve"> National Comprehensive Cancer Network (NCCN). NCCN Clinical Practice Guidelines in Oncology. Melanoma: Cutaneous Version 3.2022. 11 Apr 2022; National Comprehensive Cancer Network. </w:t>
      </w:r>
      <w:r w:rsidR="00A13A51">
        <w:t>Available at NCCN website.</w:t>
      </w:r>
    </w:p>
  </w:footnote>
  <w:footnote w:id="40">
    <w:p w14:paraId="3170EFD8" w14:textId="6ACA6A64" w:rsidR="00A1456E" w:rsidRPr="00D66AEC" w:rsidRDefault="00A1456E" w:rsidP="00A1456E">
      <w:pPr>
        <w:pStyle w:val="FootnoteText"/>
      </w:pPr>
      <w:r w:rsidRPr="00752897">
        <w:rPr>
          <w:rStyle w:val="FootnoteReference"/>
        </w:rPr>
        <w:footnoteRef/>
      </w:r>
      <w:r w:rsidRPr="00D66AEC">
        <w:t xml:space="preserve"> Essner R, Lee JH, Wanek LA, </w:t>
      </w:r>
      <w:r w:rsidR="00A13A51">
        <w:t>et al.</w:t>
      </w:r>
      <w:r w:rsidRPr="00D66AEC">
        <w:t xml:space="preserve"> Contemporary surgical treatment of advanced</w:t>
      </w:r>
      <w:r w:rsidR="0082444D">
        <w:noBreakHyphen/>
      </w:r>
      <w:r w:rsidRPr="00D66AEC">
        <w:t xml:space="preserve">stage melanoma. </w:t>
      </w:r>
      <w:r w:rsidRPr="00A13A51">
        <w:rPr>
          <w:i/>
          <w:iCs/>
        </w:rPr>
        <w:t>Arch Surg</w:t>
      </w:r>
      <w:r w:rsidRPr="00D66AEC">
        <w:t xml:space="preserve"> 2004;</w:t>
      </w:r>
      <w:r w:rsidR="00A13A51">
        <w:t xml:space="preserve"> </w:t>
      </w:r>
      <w:r w:rsidRPr="00D66AEC">
        <w:t>139(9):</w:t>
      </w:r>
      <w:r w:rsidR="00A13A51">
        <w:t xml:space="preserve"> </w:t>
      </w:r>
      <w:r w:rsidRPr="00D66AEC">
        <w:t>961</w:t>
      </w:r>
      <w:r w:rsidR="0082444D">
        <w:noBreakHyphen/>
      </w:r>
      <w:r w:rsidR="00A13A51">
        <w:t>96</w:t>
      </w:r>
      <w:r w:rsidRPr="00D66AEC">
        <w:t>6; discussion 966</w:t>
      </w:r>
      <w:r w:rsidR="0082444D">
        <w:noBreakHyphen/>
      </w:r>
      <w:r w:rsidRPr="00D66AEC">
        <w:t>7. doi: 10.1001/archsurg.139.9.961</w:t>
      </w:r>
      <w:r w:rsidR="007B27D2">
        <w:t>.</w:t>
      </w:r>
    </w:p>
  </w:footnote>
  <w:footnote w:id="41">
    <w:p w14:paraId="54ADF953" w14:textId="7482E6FD" w:rsidR="00A1456E" w:rsidRPr="00D66AEC" w:rsidRDefault="00A1456E" w:rsidP="00A1456E">
      <w:pPr>
        <w:pStyle w:val="FootnoteText"/>
      </w:pPr>
      <w:r w:rsidRPr="00752897">
        <w:rPr>
          <w:rStyle w:val="FootnoteReference"/>
        </w:rPr>
        <w:footnoteRef/>
      </w:r>
      <w:r w:rsidRPr="00752897">
        <w:rPr>
          <w:rStyle w:val="FootnoteReference"/>
        </w:rPr>
        <w:t xml:space="preserve"> </w:t>
      </w:r>
      <w:bookmarkStart w:id="33" w:name="_Hlk104820712"/>
      <w:r w:rsidRPr="00D66AEC">
        <w:t xml:space="preserve">Pasquali S, Hadjinicolaou AV, Chiarion Sileni V, </w:t>
      </w:r>
      <w:r w:rsidR="00A13A51">
        <w:t>et al.</w:t>
      </w:r>
      <w:r w:rsidRPr="00D66AEC">
        <w:t xml:space="preserve"> Systemic treatments for metastatic cutaneous melanoma. Cochrane Database Syst Rev 2018;</w:t>
      </w:r>
      <w:r w:rsidR="00A13A51">
        <w:t xml:space="preserve"> </w:t>
      </w:r>
      <w:r w:rsidRPr="00D66AEC">
        <w:t>2(2):</w:t>
      </w:r>
      <w:r w:rsidR="00A13A51">
        <w:t xml:space="preserve"> </w:t>
      </w:r>
      <w:r w:rsidRPr="00D66AEC">
        <w:t>CD011123. doi:10.1002/14651858.CD011123.pub2</w:t>
      </w:r>
      <w:bookmarkEnd w:id="33"/>
      <w:r w:rsidR="007B27D2">
        <w:t>.</w:t>
      </w:r>
    </w:p>
  </w:footnote>
  <w:footnote w:id="42">
    <w:p w14:paraId="3142D4CC" w14:textId="0CBCC6EC" w:rsidR="00A1456E" w:rsidRPr="00D66AEC" w:rsidRDefault="00A1456E" w:rsidP="00A1456E">
      <w:pPr>
        <w:pStyle w:val="FootnoteText"/>
      </w:pPr>
      <w:r w:rsidRPr="00752897">
        <w:rPr>
          <w:rStyle w:val="FootnoteReference"/>
        </w:rPr>
        <w:footnoteRef/>
      </w:r>
      <w:r w:rsidRPr="00D66AEC">
        <w:t xml:space="preserve"> Australian Institute of Health and Welfare. AIHW Cancer Data in Australia 2021: Book 8 – Cancer incidence and survival by stage. Australian Government, Canberra, Australia: AIHW. A</w:t>
      </w:r>
      <w:r w:rsidR="00A13A51">
        <w:t>vailable at</w:t>
      </w:r>
      <w:r w:rsidRPr="00D66AEC">
        <w:t xml:space="preserve"> </w:t>
      </w:r>
      <w:hyperlink r:id="rId4" w:history="1">
        <w:r w:rsidRPr="00D66AEC">
          <w:rPr>
            <w:rStyle w:val="Hyperlink"/>
          </w:rPr>
          <w:t>https://www.aihw.gov.au/getmedia/9b861a57</w:t>
        </w:r>
        <w:r w:rsidR="0082444D">
          <w:rPr>
            <w:rStyle w:val="Hyperlink"/>
          </w:rPr>
          <w:noBreakHyphen/>
        </w:r>
        <w:r w:rsidRPr="00D66AEC">
          <w:rPr>
            <w:rStyle w:val="Hyperlink"/>
          </w:rPr>
          <w:t>82b2</w:t>
        </w:r>
        <w:r w:rsidR="0082444D">
          <w:rPr>
            <w:rStyle w:val="Hyperlink"/>
          </w:rPr>
          <w:noBreakHyphen/>
        </w:r>
        <w:r w:rsidRPr="00D66AEC">
          <w:rPr>
            <w:rStyle w:val="Hyperlink"/>
          </w:rPr>
          <w:t>455b</w:t>
        </w:r>
        <w:r w:rsidR="0082444D">
          <w:rPr>
            <w:rStyle w:val="Hyperlink"/>
          </w:rPr>
          <w:noBreakHyphen/>
        </w:r>
        <w:r w:rsidRPr="00D66AEC">
          <w:rPr>
            <w:rStyle w:val="Hyperlink"/>
          </w:rPr>
          <w:t>8228</w:t>
        </w:r>
        <w:r w:rsidR="0082444D">
          <w:rPr>
            <w:rStyle w:val="Hyperlink"/>
          </w:rPr>
          <w:noBreakHyphen/>
        </w:r>
        <w:r w:rsidRPr="00D66AEC">
          <w:rPr>
            <w:rStyle w:val="Hyperlink"/>
          </w:rPr>
          <w:t>7cfbcf4bd057/AIHW</w:t>
        </w:r>
        <w:r w:rsidR="0082444D">
          <w:rPr>
            <w:rStyle w:val="Hyperlink"/>
          </w:rPr>
          <w:noBreakHyphen/>
        </w:r>
        <w:r w:rsidRPr="00D66AEC">
          <w:rPr>
            <w:rStyle w:val="Hyperlink"/>
          </w:rPr>
          <w:t>CAN</w:t>
        </w:r>
        <w:r w:rsidR="0082444D">
          <w:rPr>
            <w:rStyle w:val="Hyperlink"/>
          </w:rPr>
          <w:noBreakHyphen/>
        </w:r>
        <w:r w:rsidRPr="00D66AEC">
          <w:rPr>
            <w:rStyle w:val="Hyperlink"/>
          </w:rPr>
          <w:t>122</w:t>
        </w:r>
        <w:r w:rsidR="0082444D">
          <w:rPr>
            <w:rStyle w:val="Hyperlink"/>
          </w:rPr>
          <w:noBreakHyphen/>
        </w:r>
        <w:r w:rsidRPr="00D66AEC">
          <w:rPr>
            <w:rStyle w:val="Hyperlink"/>
          </w:rPr>
          <w:t>CDiA</w:t>
        </w:r>
        <w:r w:rsidR="0082444D">
          <w:rPr>
            <w:rStyle w:val="Hyperlink"/>
          </w:rPr>
          <w:noBreakHyphen/>
        </w:r>
        <w:r w:rsidRPr="00D66AEC">
          <w:rPr>
            <w:rStyle w:val="Hyperlink"/>
          </w:rPr>
          <w:t>2021</w:t>
        </w:r>
        <w:r w:rsidR="0082444D">
          <w:rPr>
            <w:rStyle w:val="Hyperlink"/>
          </w:rPr>
          <w:noBreakHyphen/>
        </w:r>
        <w:r w:rsidRPr="00D66AEC">
          <w:rPr>
            <w:rStyle w:val="Hyperlink"/>
          </w:rPr>
          <w:t>Book</w:t>
        </w:r>
        <w:r w:rsidR="0082444D">
          <w:rPr>
            <w:rStyle w:val="Hyperlink"/>
          </w:rPr>
          <w:noBreakHyphen/>
        </w:r>
        <w:r w:rsidRPr="00D66AEC">
          <w:rPr>
            <w:rStyle w:val="Hyperlink"/>
          </w:rPr>
          <w:t>8</w:t>
        </w:r>
        <w:r w:rsidR="0082444D">
          <w:rPr>
            <w:rStyle w:val="Hyperlink"/>
          </w:rPr>
          <w:noBreakHyphen/>
        </w:r>
        <w:r w:rsidRPr="00D66AEC">
          <w:rPr>
            <w:rStyle w:val="Hyperlink"/>
          </w:rPr>
          <w:t>Cancer</w:t>
        </w:r>
        <w:r w:rsidR="0082444D">
          <w:rPr>
            <w:rStyle w:val="Hyperlink"/>
          </w:rPr>
          <w:noBreakHyphen/>
        </w:r>
        <w:r w:rsidRPr="00D66AEC">
          <w:rPr>
            <w:rStyle w:val="Hyperlink"/>
          </w:rPr>
          <w:t>incidence</w:t>
        </w:r>
        <w:r w:rsidR="0082444D">
          <w:rPr>
            <w:rStyle w:val="Hyperlink"/>
          </w:rPr>
          <w:noBreakHyphen/>
        </w:r>
        <w:r w:rsidRPr="00D66AEC">
          <w:rPr>
            <w:rStyle w:val="Hyperlink"/>
          </w:rPr>
          <w:t>and</w:t>
        </w:r>
        <w:r w:rsidR="0082444D">
          <w:rPr>
            <w:rStyle w:val="Hyperlink"/>
          </w:rPr>
          <w:noBreakHyphen/>
        </w:r>
        <w:r w:rsidRPr="00D66AEC">
          <w:rPr>
            <w:rStyle w:val="Hyperlink"/>
          </w:rPr>
          <w:t>survival</w:t>
        </w:r>
        <w:r w:rsidR="0082444D">
          <w:rPr>
            <w:rStyle w:val="Hyperlink"/>
          </w:rPr>
          <w:noBreakHyphen/>
        </w:r>
        <w:r w:rsidRPr="00D66AEC">
          <w:rPr>
            <w:rStyle w:val="Hyperlink"/>
          </w:rPr>
          <w:t>by</w:t>
        </w:r>
        <w:r w:rsidR="0082444D">
          <w:rPr>
            <w:rStyle w:val="Hyperlink"/>
          </w:rPr>
          <w:noBreakHyphen/>
        </w:r>
        <w:r w:rsidRPr="00D66AEC">
          <w:rPr>
            <w:rStyle w:val="Hyperlink"/>
          </w:rPr>
          <w:t>stage.xlsx.aspx</w:t>
        </w:r>
      </w:hyperlink>
      <w:r w:rsidR="001459F0">
        <w:rPr>
          <w:rStyle w:val="Hyperlink"/>
        </w:rPr>
        <w:t>.</w:t>
      </w:r>
    </w:p>
  </w:footnote>
  <w:footnote w:id="43">
    <w:p w14:paraId="7A82F4DC" w14:textId="619B2C87" w:rsidR="00A1456E" w:rsidRPr="00397B91" w:rsidRDefault="00A1456E" w:rsidP="00A1456E">
      <w:pPr>
        <w:pStyle w:val="FootnoteText"/>
        <w:rPr>
          <w:lang w:val="fr-FR"/>
        </w:rPr>
      </w:pPr>
      <w:r w:rsidRPr="00752897">
        <w:rPr>
          <w:rStyle w:val="FootnoteReference"/>
        </w:rPr>
        <w:footnoteRef/>
      </w:r>
      <w:r w:rsidRPr="00D66AEC">
        <w:t xml:space="preserve"> Fricker J. New era in metastatic melanoma. </w:t>
      </w:r>
      <w:r w:rsidRPr="00397B91">
        <w:rPr>
          <w:i/>
          <w:iCs/>
          <w:lang w:val="fr-FR"/>
        </w:rPr>
        <w:t>Mol Oncol</w:t>
      </w:r>
      <w:r w:rsidRPr="00397B91">
        <w:rPr>
          <w:lang w:val="fr-FR"/>
        </w:rPr>
        <w:t xml:space="preserve"> 2010;</w:t>
      </w:r>
      <w:r w:rsidR="00A13A51" w:rsidRPr="00397B91">
        <w:rPr>
          <w:lang w:val="fr-FR"/>
        </w:rPr>
        <w:t xml:space="preserve"> </w:t>
      </w:r>
      <w:r w:rsidRPr="00397B91">
        <w:rPr>
          <w:lang w:val="fr-FR"/>
        </w:rPr>
        <w:t>4(2):</w:t>
      </w:r>
      <w:r w:rsidR="00A13A51" w:rsidRPr="00397B91">
        <w:rPr>
          <w:lang w:val="fr-FR"/>
        </w:rPr>
        <w:t xml:space="preserve"> </w:t>
      </w:r>
      <w:r w:rsidRPr="00397B91">
        <w:rPr>
          <w:lang w:val="fr-FR"/>
        </w:rPr>
        <w:t>91</w:t>
      </w:r>
      <w:r w:rsidR="0082444D" w:rsidRPr="00397B91">
        <w:rPr>
          <w:lang w:val="fr-FR"/>
        </w:rPr>
        <w:noBreakHyphen/>
      </w:r>
      <w:r w:rsidRPr="00397B91">
        <w:rPr>
          <w:lang w:val="fr-FR"/>
        </w:rPr>
        <w:t>97. doi:10.1016/j.molonc.2010.02.001</w:t>
      </w:r>
      <w:r w:rsidR="007B27D2" w:rsidRPr="00397B91">
        <w:rPr>
          <w:lang w:val="fr-FR"/>
        </w:rPr>
        <w:t>.</w:t>
      </w:r>
    </w:p>
  </w:footnote>
  <w:footnote w:id="44">
    <w:p w14:paraId="0CF896BC" w14:textId="29D8644A" w:rsidR="00A1456E" w:rsidRPr="00D66AEC" w:rsidRDefault="00A1456E" w:rsidP="00A1456E">
      <w:pPr>
        <w:pStyle w:val="FootnoteText"/>
      </w:pPr>
      <w:r w:rsidRPr="00752897">
        <w:rPr>
          <w:rStyle w:val="FootnoteReference"/>
        </w:rPr>
        <w:footnoteRef/>
      </w:r>
      <w:r w:rsidRPr="00397B91">
        <w:rPr>
          <w:lang w:val="fr-FR"/>
        </w:rPr>
        <w:t xml:space="preserve"> Sandru A, Voinea S, Panaitescu E, </w:t>
      </w:r>
      <w:r w:rsidR="00A13A51" w:rsidRPr="00397B91">
        <w:rPr>
          <w:lang w:val="fr-FR"/>
        </w:rPr>
        <w:t xml:space="preserve">et al. </w:t>
      </w:r>
      <w:r w:rsidRPr="00D66AEC">
        <w:t xml:space="preserve">Survival rates of patients with metastatic malignant melanoma. </w:t>
      </w:r>
      <w:r w:rsidRPr="00A13A51">
        <w:rPr>
          <w:i/>
          <w:iCs/>
        </w:rPr>
        <w:t>J Med Life</w:t>
      </w:r>
      <w:r w:rsidRPr="00D66AEC">
        <w:t xml:space="preserve"> 2014;</w:t>
      </w:r>
      <w:r w:rsidR="00A13A51">
        <w:t xml:space="preserve"> </w:t>
      </w:r>
      <w:r w:rsidRPr="00D66AEC">
        <w:t>7(4):</w:t>
      </w:r>
      <w:r w:rsidR="00A13A51">
        <w:t xml:space="preserve"> </w:t>
      </w:r>
      <w:r w:rsidRPr="00D66AEC">
        <w:t>572</w:t>
      </w:r>
      <w:r w:rsidR="0082444D">
        <w:noBreakHyphen/>
      </w:r>
      <w:r w:rsidRPr="00D66AEC">
        <w:t>576.</w:t>
      </w:r>
    </w:p>
  </w:footnote>
  <w:footnote w:id="45">
    <w:p w14:paraId="37BB52AF" w14:textId="73B32757" w:rsidR="00A1456E" w:rsidRPr="00DE57A6" w:rsidRDefault="00A1456E" w:rsidP="00A1456E">
      <w:pPr>
        <w:pStyle w:val="FootnoteText"/>
      </w:pPr>
      <w:r w:rsidRPr="00752897">
        <w:rPr>
          <w:rStyle w:val="FootnoteReference"/>
        </w:rPr>
        <w:footnoteRef/>
      </w:r>
      <w:r w:rsidRPr="00D66AEC">
        <w:t xml:space="preserve"> Hodi FS, O’Day SJ, McDermott DF, et al. Improved survival with ipilimumab in patients with metastatic melanoma.</w:t>
      </w:r>
      <w:r w:rsidRPr="00DE57A6">
        <w:rPr>
          <w:i/>
          <w:iCs/>
        </w:rPr>
        <w:t xml:space="preserve"> N Engl J Med </w:t>
      </w:r>
      <w:r w:rsidRPr="00DE57A6">
        <w:t>2010;</w:t>
      </w:r>
      <w:r w:rsidR="00DE57A6">
        <w:t xml:space="preserve"> </w:t>
      </w:r>
      <w:r w:rsidRPr="00DE57A6">
        <w:t>363</w:t>
      </w:r>
      <w:r w:rsidR="00DE57A6">
        <w:t>(8)</w:t>
      </w:r>
      <w:r w:rsidRPr="00DE57A6">
        <w:t>:</w:t>
      </w:r>
      <w:r w:rsidR="00DE57A6">
        <w:t xml:space="preserve"> 7</w:t>
      </w:r>
      <w:r w:rsidRPr="00DE57A6">
        <w:t>11–</w:t>
      </w:r>
      <w:r w:rsidR="00DE57A6" w:rsidRPr="00DE57A6">
        <w:t>7</w:t>
      </w:r>
      <w:r w:rsidRPr="00DE57A6">
        <w:t>23.</w:t>
      </w:r>
      <w:r w:rsidR="00DE57A6" w:rsidRPr="00DE57A6">
        <w:t xml:space="preserve"> doi: 10.1056/NEJMoa1003466</w:t>
      </w:r>
      <w:r w:rsidR="007B27D2">
        <w:t>.</w:t>
      </w:r>
    </w:p>
  </w:footnote>
  <w:footnote w:id="46">
    <w:p w14:paraId="285FD9BE" w14:textId="0F834319" w:rsidR="00A1456E" w:rsidRPr="00D66AEC" w:rsidRDefault="00A1456E" w:rsidP="00A1456E">
      <w:pPr>
        <w:pStyle w:val="FootnoteText"/>
      </w:pPr>
      <w:r w:rsidRPr="00752897">
        <w:rPr>
          <w:rStyle w:val="FootnoteReference"/>
        </w:rPr>
        <w:footnoteRef/>
      </w:r>
      <w:r w:rsidRPr="00752897">
        <w:rPr>
          <w:rStyle w:val="FootnoteReference"/>
        </w:rPr>
        <w:t xml:space="preserve"> </w:t>
      </w:r>
      <w:r w:rsidRPr="00D66AEC">
        <w:t>Chapman PB, Hauschild A, Robert C,</w:t>
      </w:r>
      <w:r w:rsidR="00DE57A6">
        <w:t xml:space="preserve"> et al.</w:t>
      </w:r>
      <w:r w:rsidRPr="00D66AEC">
        <w:t xml:space="preserve"> Improved survival with vemurafenib in melanoma with BRAF V600E mutation. </w:t>
      </w:r>
      <w:r w:rsidRPr="00C81F53">
        <w:rPr>
          <w:i/>
          <w:iCs/>
        </w:rPr>
        <w:t>N Engl J Med</w:t>
      </w:r>
      <w:r w:rsidRPr="00D66AEC">
        <w:t xml:space="preserve"> 2011</w:t>
      </w:r>
      <w:r w:rsidR="00C81F53">
        <w:t xml:space="preserve">; </w:t>
      </w:r>
      <w:r w:rsidRPr="00D66AEC">
        <w:t>364(26):</w:t>
      </w:r>
      <w:r w:rsidR="00C81F53">
        <w:t xml:space="preserve"> </w:t>
      </w:r>
      <w:r w:rsidRPr="00D66AEC">
        <w:t>2507</w:t>
      </w:r>
      <w:r w:rsidR="0082444D">
        <w:noBreakHyphen/>
      </w:r>
      <w:r w:rsidR="00C81F53">
        <w:t>25</w:t>
      </w:r>
      <w:r w:rsidRPr="00D66AEC">
        <w:t>16. doi: 10.1056/NEJMoa1103782</w:t>
      </w:r>
      <w:r w:rsidR="007B27D2">
        <w:t>.</w:t>
      </w:r>
    </w:p>
  </w:footnote>
  <w:footnote w:id="47">
    <w:p w14:paraId="4E80398E" w14:textId="5674C87B" w:rsidR="009253FA" w:rsidRDefault="009253FA">
      <w:pPr>
        <w:pStyle w:val="FootnoteText"/>
      </w:pPr>
      <w:bookmarkStart w:id="35" w:name="_Hlk144455099"/>
      <w:r w:rsidRPr="006E46C7">
        <w:rPr>
          <w:rStyle w:val="FootnoteReference"/>
        </w:rPr>
        <w:footnoteRef/>
      </w:r>
      <w:r w:rsidRPr="006E46C7">
        <w:t xml:space="preserve"> Ipilimumab </w:t>
      </w:r>
      <w:r w:rsidR="006E46C7" w:rsidRPr="006E46C7">
        <w:t>was first registered in Australia on 4 July 2011</w:t>
      </w:r>
      <w:r w:rsidR="007B27D2">
        <w:t xml:space="preserve"> (</w:t>
      </w:r>
      <w:r w:rsidR="006E46C7" w:rsidRPr="006E46C7">
        <w:t>ARTG number</w:t>
      </w:r>
      <w:r w:rsidR="007B27D2">
        <w:t>:</w:t>
      </w:r>
      <w:r w:rsidR="006E46C7" w:rsidRPr="006E46C7">
        <w:t xml:space="preserve"> </w:t>
      </w:r>
      <w:r w:rsidRPr="006E46C7">
        <w:t>174319</w:t>
      </w:r>
      <w:r w:rsidR="007B27D2">
        <w:t>)</w:t>
      </w:r>
      <w:r w:rsidR="006E46C7" w:rsidRPr="006E46C7">
        <w:t>.</w:t>
      </w:r>
    </w:p>
    <w:bookmarkEnd w:id="35"/>
  </w:footnote>
  <w:footnote w:id="48">
    <w:p w14:paraId="4095B1A9" w14:textId="593BFC5C" w:rsidR="009253FA" w:rsidRDefault="009253FA">
      <w:pPr>
        <w:pStyle w:val="FootnoteText"/>
      </w:pPr>
      <w:r w:rsidRPr="006E46C7">
        <w:rPr>
          <w:rStyle w:val="FootnoteReference"/>
        </w:rPr>
        <w:footnoteRef/>
      </w:r>
      <w:r w:rsidRPr="006E46C7">
        <w:t xml:space="preserve"> </w:t>
      </w:r>
      <w:r w:rsidR="006E46C7" w:rsidRPr="006E46C7">
        <w:t>V</w:t>
      </w:r>
      <w:r w:rsidRPr="006E46C7">
        <w:t xml:space="preserve">emurafenib </w:t>
      </w:r>
      <w:r w:rsidR="006E46C7" w:rsidRPr="006E46C7">
        <w:t xml:space="preserve">was first registered in Australia on 10 May </w:t>
      </w:r>
      <w:r w:rsidRPr="006E46C7">
        <w:t>2012</w:t>
      </w:r>
      <w:r w:rsidR="007B27D2">
        <w:t xml:space="preserve"> (</w:t>
      </w:r>
      <w:r w:rsidRPr="006E46C7">
        <w:t xml:space="preserve">ARTG </w:t>
      </w:r>
      <w:r w:rsidR="007B27D2">
        <w:t>number:</w:t>
      </w:r>
      <w:r w:rsidRPr="006E46C7">
        <w:t>183674</w:t>
      </w:r>
      <w:r w:rsidR="007B27D2">
        <w:t>)</w:t>
      </w:r>
      <w:r w:rsidRPr="006E46C7">
        <w:t>.</w:t>
      </w:r>
    </w:p>
  </w:footnote>
  <w:footnote w:id="49">
    <w:p w14:paraId="00312385" w14:textId="4207B5E2" w:rsidR="00A1456E" w:rsidRPr="00C81F53" w:rsidRDefault="00A1456E" w:rsidP="00A1456E">
      <w:pPr>
        <w:pStyle w:val="FootnoteText"/>
      </w:pPr>
      <w:r w:rsidRPr="00752897">
        <w:rPr>
          <w:rStyle w:val="FootnoteReference"/>
        </w:rPr>
        <w:footnoteRef/>
      </w:r>
      <w:r w:rsidRPr="00397B91">
        <w:rPr>
          <w:rStyle w:val="FootnoteReference"/>
          <w:lang w:val="fr-FR"/>
        </w:rPr>
        <w:t xml:space="preserve"> </w:t>
      </w:r>
      <w:r w:rsidRPr="00397B91">
        <w:rPr>
          <w:lang w:val="fr-FR"/>
        </w:rPr>
        <w:t xml:space="preserve">Larkin J, Ascierto PA, Dreno B, et al. </w:t>
      </w:r>
      <w:r w:rsidRPr="00D66AEC">
        <w:t>Combined vemurafenib and cobimetinib in BRAF</w:t>
      </w:r>
      <w:r w:rsidR="0082444D">
        <w:noBreakHyphen/>
      </w:r>
      <w:r w:rsidRPr="00D66AEC">
        <w:t xml:space="preserve">mutated melanoma. </w:t>
      </w:r>
      <w:r w:rsidRPr="00C81F53">
        <w:rPr>
          <w:i/>
          <w:iCs/>
        </w:rPr>
        <w:t xml:space="preserve">N Engl J Med </w:t>
      </w:r>
      <w:r w:rsidRPr="006C5CD3">
        <w:t>2014;</w:t>
      </w:r>
      <w:r w:rsidR="00C81F53">
        <w:t xml:space="preserve"> </w:t>
      </w:r>
      <w:r w:rsidRPr="006C5CD3">
        <w:t>371</w:t>
      </w:r>
      <w:r w:rsidR="00C81F53">
        <w:t>(20)</w:t>
      </w:r>
      <w:r w:rsidRPr="006C5CD3">
        <w:t>:</w:t>
      </w:r>
      <w:r w:rsidR="00C81F53">
        <w:t xml:space="preserve"> </w:t>
      </w:r>
      <w:r w:rsidRPr="006C5CD3">
        <w:t>1867–</w:t>
      </w:r>
      <w:r w:rsidR="00C81F53">
        <w:t>1</w:t>
      </w:r>
      <w:r w:rsidR="00C81F53" w:rsidRPr="00C81F53">
        <w:t>8</w:t>
      </w:r>
      <w:r w:rsidRPr="00C81F53">
        <w:t>76.</w:t>
      </w:r>
      <w:r w:rsidR="00C81F53" w:rsidRPr="00C81F53">
        <w:t xml:space="preserve"> doi: 10.1056/NEJMoa1408868</w:t>
      </w:r>
      <w:r w:rsidR="007B27D2">
        <w:t>.</w:t>
      </w:r>
    </w:p>
  </w:footnote>
  <w:footnote w:id="50">
    <w:p w14:paraId="782C6274" w14:textId="3648CF33" w:rsidR="00A1456E" w:rsidRPr="00D66AEC" w:rsidRDefault="00A1456E" w:rsidP="00A1456E">
      <w:pPr>
        <w:pStyle w:val="FootnoteText"/>
      </w:pPr>
      <w:r w:rsidRPr="00752897">
        <w:rPr>
          <w:rStyle w:val="FootnoteReference"/>
        </w:rPr>
        <w:footnoteRef/>
      </w:r>
      <w:r w:rsidRPr="00D66AEC">
        <w:t xml:space="preserve"> Robert C, Long GV, Brady B, </w:t>
      </w:r>
      <w:r w:rsidR="00C81F53">
        <w:t>et al.</w:t>
      </w:r>
      <w:r w:rsidRPr="00D66AEC">
        <w:t xml:space="preserve"> Nivolumab in previously untreated melanoma without BRAF mutation. </w:t>
      </w:r>
      <w:r w:rsidRPr="00C81F53">
        <w:rPr>
          <w:i/>
          <w:iCs/>
        </w:rPr>
        <w:t xml:space="preserve">N Engl J Med </w:t>
      </w:r>
      <w:r w:rsidRPr="00D66AEC">
        <w:t>2015</w:t>
      </w:r>
      <w:r w:rsidR="00C81F53">
        <w:t xml:space="preserve">; </w:t>
      </w:r>
      <w:r w:rsidRPr="00D66AEC">
        <w:t>372(4):</w:t>
      </w:r>
      <w:r w:rsidR="007E2A77">
        <w:t xml:space="preserve"> </w:t>
      </w:r>
      <w:r w:rsidRPr="00D66AEC">
        <w:t>320</w:t>
      </w:r>
      <w:r w:rsidR="0082444D">
        <w:noBreakHyphen/>
      </w:r>
      <w:r w:rsidR="007E2A77">
        <w:t>3</w:t>
      </w:r>
      <w:r w:rsidRPr="00D66AEC">
        <w:t>30. doi: 10.1056/NEJMoa1412082</w:t>
      </w:r>
      <w:r w:rsidR="007B27D2">
        <w:t>.</w:t>
      </w:r>
    </w:p>
  </w:footnote>
  <w:footnote w:id="51">
    <w:p w14:paraId="59CA04BC" w14:textId="639B4D08" w:rsidR="00A1456E" w:rsidRPr="00D66AEC" w:rsidRDefault="00A1456E" w:rsidP="00A1456E">
      <w:pPr>
        <w:pStyle w:val="FootnoteText"/>
      </w:pPr>
      <w:r w:rsidRPr="00752897">
        <w:rPr>
          <w:rStyle w:val="FootnoteReference"/>
        </w:rPr>
        <w:footnoteRef/>
      </w:r>
      <w:r w:rsidRPr="00752897">
        <w:rPr>
          <w:rStyle w:val="FootnoteReference"/>
        </w:rPr>
        <w:t xml:space="preserve"> </w:t>
      </w:r>
      <w:r w:rsidRPr="00D66AEC">
        <w:t xml:space="preserve">Robert C, Schachter J, Long GV, </w:t>
      </w:r>
      <w:r w:rsidR="007E2A77">
        <w:t>et al.</w:t>
      </w:r>
      <w:r w:rsidRPr="00D66AEC">
        <w:t xml:space="preserve"> Pembrolizumab versus Ipilimumab in Advanced Melanoma. </w:t>
      </w:r>
      <w:r w:rsidRPr="007E2A77">
        <w:rPr>
          <w:i/>
          <w:iCs/>
        </w:rPr>
        <w:t>N Engl J Med</w:t>
      </w:r>
      <w:r w:rsidRPr="00D66AEC">
        <w:t xml:space="preserve"> 2015</w:t>
      </w:r>
      <w:r w:rsidR="007E2A77">
        <w:t xml:space="preserve">; </w:t>
      </w:r>
      <w:r w:rsidRPr="00D66AEC">
        <w:t>372(26):</w:t>
      </w:r>
      <w:r w:rsidR="007E2A77">
        <w:t xml:space="preserve"> </w:t>
      </w:r>
      <w:r w:rsidRPr="00D66AEC">
        <w:t>2521</w:t>
      </w:r>
      <w:r w:rsidR="0082444D">
        <w:noBreakHyphen/>
      </w:r>
      <w:r w:rsidR="007E2A77">
        <w:t>25</w:t>
      </w:r>
      <w:r w:rsidRPr="00D66AEC">
        <w:t>32. doi: 10.1056/NEJMoa1503093</w:t>
      </w:r>
      <w:r w:rsidR="007B27D2">
        <w:t>.</w:t>
      </w:r>
    </w:p>
  </w:footnote>
  <w:footnote w:id="52">
    <w:p w14:paraId="36248D9E" w14:textId="314BD957" w:rsidR="00A1456E" w:rsidRPr="00B16C12" w:rsidRDefault="00A1456E" w:rsidP="00B16C12">
      <w:pPr>
        <w:pStyle w:val="FootnoteText"/>
      </w:pPr>
      <w:r w:rsidRPr="00752897">
        <w:rPr>
          <w:rStyle w:val="FootnoteReference"/>
        </w:rPr>
        <w:footnoteRef/>
      </w:r>
      <w:r w:rsidRPr="00B16C12">
        <w:t xml:space="preserve"> Wolchock JD, Chiarion</w:t>
      </w:r>
      <w:r w:rsidR="0082444D">
        <w:noBreakHyphen/>
      </w:r>
      <w:r w:rsidRPr="00B16C12">
        <w:t>Sileni V, Gonzalez R, et al. Overall survival with combined nivolumab and ipilimumab in advanced melanoma.</w:t>
      </w:r>
      <w:r w:rsidRPr="00B16C12">
        <w:rPr>
          <w:i/>
          <w:iCs/>
        </w:rPr>
        <w:t xml:space="preserve"> N Engl J Med </w:t>
      </w:r>
      <w:r w:rsidRPr="00B16C12">
        <w:t>2017</w:t>
      </w:r>
      <w:r w:rsidR="00B16C12" w:rsidRPr="00B16C12">
        <w:t xml:space="preserve">; </w:t>
      </w:r>
      <w:r w:rsidRPr="00B16C12">
        <w:t>377</w:t>
      </w:r>
      <w:r w:rsidR="00B16C12" w:rsidRPr="00B16C12">
        <w:t>(14)</w:t>
      </w:r>
      <w:r w:rsidRPr="00B16C12">
        <w:t>:</w:t>
      </w:r>
      <w:r w:rsidR="00B16C12" w:rsidRPr="00B16C12">
        <w:t xml:space="preserve"> </w:t>
      </w:r>
      <w:r w:rsidRPr="00B16C12">
        <w:t>1345</w:t>
      </w:r>
      <w:r w:rsidR="0082444D">
        <w:noBreakHyphen/>
      </w:r>
      <w:r w:rsidR="00B16C12" w:rsidRPr="00B16C12">
        <w:t>13</w:t>
      </w:r>
      <w:r w:rsidRPr="00B16C12">
        <w:t>56.</w:t>
      </w:r>
      <w:r w:rsidR="00B16C12" w:rsidRPr="00B16C12">
        <w:t xml:space="preserve"> doi: 10.1056/NEJMoa1709684</w:t>
      </w:r>
      <w:r w:rsidR="007B27D2">
        <w:t>.</w:t>
      </w:r>
    </w:p>
  </w:footnote>
  <w:footnote w:id="53">
    <w:p w14:paraId="3359C0C3" w14:textId="2F383B51" w:rsidR="00A1456E" w:rsidRPr="00B16C12" w:rsidRDefault="00A1456E" w:rsidP="00A1456E">
      <w:pPr>
        <w:pStyle w:val="FootnoteText"/>
      </w:pPr>
      <w:r w:rsidRPr="00752897">
        <w:rPr>
          <w:rStyle w:val="FootnoteReference"/>
        </w:rPr>
        <w:footnoteRef/>
      </w:r>
      <w:r w:rsidRPr="00752897">
        <w:rPr>
          <w:rStyle w:val="FootnoteReference"/>
        </w:rPr>
        <w:t xml:space="preserve"> </w:t>
      </w:r>
      <w:r w:rsidRPr="00D66AEC">
        <w:t>Larkin J, Chiarion</w:t>
      </w:r>
      <w:r w:rsidR="0082444D">
        <w:noBreakHyphen/>
      </w:r>
      <w:r w:rsidRPr="00D66AEC">
        <w:t>Sileni V, Gonzalez R, et al. Five</w:t>
      </w:r>
      <w:r w:rsidR="0082444D">
        <w:noBreakHyphen/>
      </w:r>
      <w:r w:rsidRPr="00D66AEC">
        <w:t xml:space="preserve">year survival with combined nivolumab and ipilimumab in advanced melanoma. </w:t>
      </w:r>
      <w:r w:rsidRPr="00B16C12">
        <w:rPr>
          <w:i/>
          <w:iCs/>
        </w:rPr>
        <w:t>N Engl J Med</w:t>
      </w:r>
      <w:r w:rsidRPr="00D66AEC">
        <w:t xml:space="preserve"> 2019;</w:t>
      </w:r>
      <w:r w:rsidR="00B16C12">
        <w:t xml:space="preserve"> </w:t>
      </w:r>
      <w:r w:rsidRPr="00D66AEC">
        <w:t>381:</w:t>
      </w:r>
      <w:r w:rsidR="00B16C12">
        <w:t xml:space="preserve"> </w:t>
      </w:r>
      <w:r w:rsidRPr="00D66AEC">
        <w:t>1535</w:t>
      </w:r>
      <w:r w:rsidR="0082444D">
        <w:noBreakHyphen/>
      </w:r>
      <w:r w:rsidR="00B16C12">
        <w:t>15</w:t>
      </w:r>
      <w:r w:rsidRPr="00B16C12">
        <w:t>46.</w:t>
      </w:r>
      <w:r w:rsidR="00B16C12" w:rsidRPr="00B16C12">
        <w:t xml:space="preserve"> doi: 10.1056/NEJMoa1910836</w:t>
      </w:r>
      <w:r w:rsidR="007B27D2">
        <w:t>.</w:t>
      </w:r>
    </w:p>
  </w:footnote>
  <w:footnote w:id="54">
    <w:p w14:paraId="1544D4EE" w14:textId="2DB8A03B" w:rsidR="00A1456E" w:rsidRPr="00D66AEC" w:rsidRDefault="00A1456E" w:rsidP="00A1456E">
      <w:pPr>
        <w:pStyle w:val="FootnoteText"/>
      </w:pPr>
      <w:r w:rsidRPr="00752897">
        <w:rPr>
          <w:rStyle w:val="FootnoteReference"/>
        </w:rPr>
        <w:footnoteRef/>
      </w:r>
      <w:r w:rsidRPr="00752897">
        <w:rPr>
          <w:rStyle w:val="FootnoteReference"/>
        </w:rPr>
        <w:t xml:space="preserve"> </w:t>
      </w:r>
      <w:r w:rsidRPr="00D66AEC">
        <w:t>Robert C, Ribas A, Schachter J,</w:t>
      </w:r>
      <w:r w:rsidR="00717C13">
        <w:t xml:space="preserve"> et al.</w:t>
      </w:r>
      <w:r w:rsidRPr="00D66AEC">
        <w:t xml:space="preserve"> Pembrolizumab versus ipilimumab in advanced melanoma (KEYNOTE</w:t>
      </w:r>
      <w:r w:rsidR="0082444D">
        <w:noBreakHyphen/>
      </w:r>
      <w:r w:rsidRPr="00D66AEC">
        <w:t>006): post</w:t>
      </w:r>
      <w:r w:rsidR="0082444D">
        <w:noBreakHyphen/>
      </w:r>
      <w:r w:rsidRPr="00D66AEC">
        <w:t>hoc 5</w:t>
      </w:r>
      <w:r w:rsidR="0082444D">
        <w:noBreakHyphen/>
      </w:r>
      <w:r w:rsidRPr="00D66AEC">
        <w:t>year results from an open</w:t>
      </w:r>
      <w:r w:rsidR="0082444D">
        <w:noBreakHyphen/>
      </w:r>
      <w:r w:rsidRPr="00D66AEC">
        <w:t xml:space="preserve">label, multicentre, randomised, controlled, phase 3 study. </w:t>
      </w:r>
      <w:r w:rsidRPr="00717C13">
        <w:rPr>
          <w:i/>
          <w:iCs/>
        </w:rPr>
        <w:t>Lancet Oncol</w:t>
      </w:r>
      <w:r w:rsidRPr="00D66AEC">
        <w:t xml:space="preserve"> 2019</w:t>
      </w:r>
      <w:r w:rsidR="00717C13">
        <w:t xml:space="preserve">; </w:t>
      </w:r>
      <w:r w:rsidRPr="00D66AEC">
        <w:t>20(9):</w:t>
      </w:r>
      <w:r w:rsidR="00717C13">
        <w:t xml:space="preserve"> </w:t>
      </w:r>
      <w:r w:rsidRPr="00D66AEC">
        <w:t>1239</w:t>
      </w:r>
      <w:r w:rsidR="0082444D">
        <w:noBreakHyphen/>
      </w:r>
      <w:r w:rsidRPr="00D66AEC">
        <w:t>1251. doi: 10.1016/S1470</w:t>
      </w:r>
      <w:r w:rsidR="0082444D">
        <w:noBreakHyphen/>
      </w:r>
      <w:r w:rsidRPr="00D66AEC">
        <w:t>2045(19)30388</w:t>
      </w:r>
      <w:r w:rsidR="0082444D">
        <w:noBreakHyphen/>
      </w:r>
      <w:r w:rsidRPr="00D66AEC">
        <w:t>2</w:t>
      </w:r>
      <w:r w:rsidR="007B27D2">
        <w:t>.</w:t>
      </w:r>
    </w:p>
  </w:footnote>
  <w:footnote w:id="55">
    <w:p w14:paraId="10133C58" w14:textId="26B6C475" w:rsidR="0025205B" w:rsidRPr="00D66AEC" w:rsidRDefault="00A1456E" w:rsidP="00A1456E">
      <w:pPr>
        <w:pStyle w:val="FootnoteText"/>
      </w:pPr>
      <w:r w:rsidRPr="00752897">
        <w:rPr>
          <w:rStyle w:val="FootnoteReference"/>
        </w:rPr>
        <w:footnoteRef/>
      </w:r>
      <w:r w:rsidRPr="00D66AEC">
        <w:t xml:space="preserve"> </w:t>
      </w:r>
      <w:hyperlink r:id="rId5" w:history="1">
        <w:r w:rsidR="0025205B">
          <w:rPr>
            <w:rStyle w:val="Hyperlink"/>
          </w:rPr>
          <w:t xml:space="preserve">Bristol Myers Squibb </w:t>
        </w:r>
        <w:r w:rsidR="0082444D">
          <w:rPr>
            <w:rStyle w:val="Hyperlink"/>
          </w:rPr>
          <w:noBreakHyphen/>
        </w:r>
        <w:r w:rsidR="0025205B">
          <w:rPr>
            <w:rStyle w:val="Hyperlink"/>
          </w:rPr>
          <w:t xml:space="preserve"> Six</w:t>
        </w:r>
        <w:r w:rsidR="0082444D">
          <w:rPr>
            <w:rStyle w:val="Hyperlink"/>
          </w:rPr>
          <w:noBreakHyphen/>
        </w:r>
        <w:r w:rsidR="0025205B">
          <w:rPr>
            <w:rStyle w:val="Hyperlink"/>
          </w:rPr>
          <w:t>and</w:t>
        </w:r>
        <w:r w:rsidR="0082444D">
          <w:rPr>
            <w:rStyle w:val="Hyperlink"/>
          </w:rPr>
          <w:noBreakHyphen/>
        </w:r>
        <w:r w:rsidR="0025205B">
          <w:rPr>
            <w:rStyle w:val="Hyperlink"/>
          </w:rPr>
          <w:t>a</w:t>
        </w:r>
        <w:r w:rsidR="0082444D">
          <w:rPr>
            <w:rStyle w:val="Hyperlink"/>
          </w:rPr>
          <w:noBreakHyphen/>
        </w:r>
        <w:r w:rsidR="0025205B">
          <w:rPr>
            <w:rStyle w:val="Hyperlink"/>
          </w:rPr>
          <w:t>Half</w:t>
        </w:r>
        <w:r w:rsidR="0082444D">
          <w:rPr>
            <w:rStyle w:val="Hyperlink"/>
          </w:rPr>
          <w:noBreakHyphen/>
        </w:r>
        <w:r w:rsidR="0025205B">
          <w:rPr>
            <w:rStyle w:val="Hyperlink"/>
          </w:rPr>
          <w:t>Year Outcomes for Opdivo (nivolumab) in Combination with Yervoy (ipilimumab) Continue to Demonstrate Durable Long</w:t>
        </w:r>
        <w:r w:rsidR="0082444D">
          <w:rPr>
            <w:rStyle w:val="Hyperlink"/>
          </w:rPr>
          <w:noBreakHyphen/>
        </w:r>
        <w:r w:rsidR="0025205B">
          <w:rPr>
            <w:rStyle w:val="Hyperlink"/>
          </w:rPr>
          <w:t>Term Survival Benefits in Patients with Advanced Melanoma (bms.com)</w:t>
        </w:r>
      </w:hyperlink>
      <w:r w:rsidR="001459F0">
        <w:rPr>
          <w:rStyle w:val="Hyperlink"/>
        </w:rPr>
        <w:t>.</w:t>
      </w:r>
    </w:p>
  </w:footnote>
  <w:footnote w:id="56">
    <w:p w14:paraId="5A7AD636" w14:textId="0C1229B8" w:rsidR="00A1456E" w:rsidRPr="00D66AEC" w:rsidRDefault="00A1456E" w:rsidP="00A1456E">
      <w:pPr>
        <w:pStyle w:val="FootnoteText"/>
      </w:pPr>
      <w:r w:rsidRPr="00752897">
        <w:rPr>
          <w:rStyle w:val="FootnoteReference"/>
        </w:rPr>
        <w:footnoteRef/>
      </w:r>
      <w:r w:rsidRPr="00D66AEC">
        <w:t xml:space="preserve"> Larkin J, Lao CD, Urba WJ, </w:t>
      </w:r>
      <w:r w:rsidR="0025205B">
        <w:t>et al.</w:t>
      </w:r>
      <w:r w:rsidRPr="00D66AEC">
        <w:t xml:space="preserve"> Efficacy and Safety of Nivolumab in Patients With BRAF V600 Mutant and BRAF Wild</w:t>
      </w:r>
      <w:r w:rsidR="0082444D">
        <w:noBreakHyphen/>
      </w:r>
      <w:r w:rsidRPr="00D66AEC">
        <w:t>Type Advanced Melanoma: A Pooled Analysis of 4 Clinical Trials.</w:t>
      </w:r>
      <w:r w:rsidRPr="0025205B">
        <w:rPr>
          <w:i/>
          <w:iCs/>
        </w:rPr>
        <w:t xml:space="preserve"> JAMA Oncol</w:t>
      </w:r>
      <w:r w:rsidRPr="0025205B">
        <w:t xml:space="preserve"> </w:t>
      </w:r>
      <w:r w:rsidRPr="00D66AEC">
        <w:t>2015</w:t>
      </w:r>
      <w:r w:rsidR="0025205B">
        <w:t xml:space="preserve">; </w:t>
      </w:r>
      <w:r w:rsidRPr="00D66AEC">
        <w:t>1(4):</w:t>
      </w:r>
      <w:r w:rsidR="0025205B">
        <w:t xml:space="preserve"> </w:t>
      </w:r>
      <w:r w:rsidRPr="00D66AEC">
        <w:t>433</w:t>
      </w:r>
      <w:r w:rsidR="0082444D">
        <w:noBreakHyphen/>
      </w:r>
      <w:r w:rsidR="0025205B">
        <w:t>4</w:t>
      </w:r>
      <w:r w:rsidRPr="00D66AEC">
        <w:t>40.doi:</w:t>
      </w:r>
      <w:r w:rsidR="00AA382F">
        <w:t> </w:t>
      </w:r>
      <w:r w:rsidRPr="00D66AEC">
        <w:t>10.1001/jamaoncol.2015.1184</w:t>
      </w:r>
      <w:r w:rsidR="007B27D2">
        <w:t>.</w:t>
      </w:r>
    </w:p>
  </w:footnote>
  <w:footnote w:id="57">
    <w:p w14:paraId="3578AF15" w14:textId="44A00580" w:rsidR="00A1456E" w:rsidRPr="00D66AEC" w:rsidRDefault="00A1456E" w:rsidP="00A1456E">
      <w:pPr>
        <w:pStyle w:val="FootnoteText"/>
      </w:pPr>
      <w:r w:rsidRPr="00752897">
        <w:rPr>
          <w:rStyle w:val="FootnoteReference"/>
        </w:rPr>
        <w:footnoteRef/>
      </w:r>
      <w:r w:rsidRPr="00D66AEC">
        <w:t xml:space="preserve"> Shahabi V, Whitney G, Hamid O, </w:t>
      </w:r>
      <w:r w:rsidR="0025205B">
        <w:t>et al</w:t>
      </w:r>
      <w:r w:rsidRPr="00D66AEC">
        <w:t>. Assessment of association between BRAF</w:t>
      </w:r>
      <w:r w:rsidR="0082444D">
        <w:noBreakHyphen/>
      </w:r>
      <w:r w:rsidRPr="00D66AEC">
        <w:t xml:space="preserve">V600E mutation status in melanomas and clinical response to ipilimumab. </w:t>
      </w:r>
      <w:r w:rsidRPr="0025205B">
        <w:rPr>
          <w:i/>
          <w:iCs/>
        </w:rPr>
        <w:t>Cancer Immunol Immunother</w:t>
      </w:r>
      <w:r w:rsidRPr="00D66AEC">
        <w:t xml:space="preserve"> 2012</w:t>
      </w:r>
      <w:r w:rsidR="0025205B">
        <w:t xml:space="preserve">; </w:t>
      </w:r>
      <w:r w:rsidRPr="00D66AEC">
        <w:t>61:</w:t>
      </w:r>
      <w:r w:rsidR="0025205B">
        <w:t xml:space="preserve"> </w:t>
      </w:r>
      <w:r w:rsidRPr="00D66AEC">
        <w:t>733</w:t>
      </w:r>
      <w:r w:rsidR="0082444D">
        <w:noBreakHyphen/>
      </w:r>
      <w:r w:rsidR="0025205B">
        <w:t>73</w:t>
      </w:r>
      <w:r w:rsidRPr="00D66AEC">
        <w:t>7. doi: 10.1007/s00262</w:t>
      </w:r>
      <w:r w:rsidR="0082444D">
        <w:noBreakHyphen/>
      </w:r>
      <w:r w:rsidRPr="00D66AEC">
        <w:t>012</w:t>
      </w:r>
      <w:r w:rsidR="0082444D">
        <w:noBreakHyphen/>
      </w:r>
      <w:r w:rsidRPr="00D66AEC">
        <w:t>1227</w:t>
      </w:r>
      <w:r w:rsidR="0082444D">
        <w:noBreakHyphen/>
      </w:r>
      <w:r w:rsidRPr="00D66AEC">
        <w:t>3</w:t>
      </w:r>
      <w:r w:rsidR="007B27D2">
        <w:t>.</w:t>
      </w:r>
    </w:p>
  </w:footnote>
  <w:footnote w:id="58">
    <w:p w14:paraId="71E18DD2" w14:textId="0240D2ED" w:rsidR="00A1456E" w:rsidRDefault="00A1456E" w:rsidP="00A1456E">
      <w:pPr>
        <w:pStyle w:val="FootnoteText"/>
      </w:pPr>
      <w:r w:rsidRPr="00752897">
        <w:rPr>
          <w:rStyle w:val="FootnoteReference"/>
        </w:rPr>
        <w:footnoteRef/>
      </w:r>
      <w:r w:rsidRPr="00D66AEC">
        <w:t xml:space="preserve"> Rogala P, Czarnecka AM, Cybulska</w:t>
      </w:r>
      <w:r w:rsidR="0082444D">
        <w:noBreakHyphen/>
      </w:r>
      <w:r w:rsidRPr="00D66AEC">
        <w:t xml:space="preserve">Stopa B, </w:t>
      </w:r>
      <w:r w:rsidR="0025205B">
        <w:t>et al.</w:t>
      </w:r>
      <w:r w:rsidRPr="00D66AEC">
        <w:t xml:space="preserve"> Long</w:t>
      </w:r>
      <w:r w:rsidR="0082444D">
        <w:noBreakHyphen/>
      </w:r>
      <w:r w:rsidRPr="00D66AEC">
        <w:t>Term Outcomes of Targeted Therapy after First</w:t>
      </w:r>
      <w:r w:rsidR="0082444D">
        <w:noBreakHyphen/>
      </w:r>
      <w:r w:rsidRPr="00D66AEC">
        <w:t>Line Immunotherapy in BRAF</w:t>
      </w:r>
      <w:r w:rsidR="0082444D">
        <w:noBreakHyphen/>
      </w:r>
      <w:r w:rsidRPr="00D66AEC">
        <w:t>Mutated Advanced Cutaneous Melanoma Patients—Real</w:t>
      </w:r>
      <w:r w:rsidR="0082444D">
        <w:noBreakHyphen/>
      </w:r>
      <w:r w:rsidRPr="00D66AEC">
        <w:t xml:space="preserve">World Evidence. </w:t>
      </w:r>
      <w:r w:rsidRPr="0025205B">
        <w:rPr>
          <w:i/>
          <w:iCs/>
        </w:rPr>
        <w:t xml:space="preserve">J Clin Med </w:t>
      </w:r>
      <w:r w:rsidRPr="00D66AEC">
        <w:t>2022; 11(8):</w:t>
      </w:r>
      <w:r w:rsidR="00D06F59">
        <w:t xml:space="preserve"> </w:t>
      </w:r>
      <w:r w:rsidRPr="00D66AEC">
        <w:t>2239.</w:t>
      </w:r>
      <w:r w:rsidRPr="000500A2">
        <w:t xml:space="preserve"> </w:t>
      </w:r>
      <w:r w:rsidR="0025205B">
        <w:t xml:space="preserve">doi: </w:t>
      </w:r>
      <w:r w:rsidRPr="000500A2">
        <w:t>10.3390/jcm11082239</w:t>
      </w:r>
      <w:r w:rsidR="007B27D2">
        <w:t>.</w:t>
      </w:r>
    </w:p>
  </w:footnote>
  <w:footnote w:id="59">
    <w:p w14:paraId="750A9F48" w14:textId="20983B94" w:rsidR="00A1456E" w:rsidRPr="00D06F59" w:rsidRDefault="00A1456E" w:rsidP="00A1456E">
      <w:pPr>
        <w:pStyle w:val="FootnoteText"/>
      </w:pPr>
      <w:r w:rsidRPr="00752897">
        <w:rPr>
          <w:rStyle w:val="FootnoteReference"/>
        </w:rPr>
        <w:footnoteRef/>
      </w:r>
      <w:r w:rsidRPr="00752897">
        <w:rPr>
          <w:rStyle w:val="FootnoteReference"/>
        </w:rPr>
        <w:t xml:space="preserve"> </w:t>
      </w:r>
      <w:r w:rsidRPr="00D06F59">
        <w:t>Atkins MB</w:t>
      </w:r>
      <w:r w:rsidR="00D06F59" w:rsidRPr="00D06F59">
        <w:t>, Lee SJ, Chmielowski</w:t>
      </w:r>
      <w:r w:rsidR="00654902">
        <w:t xml:space="preserve"> </w:t>
      </w:r>
      <w:r w:rsidR="00D06F59" w:rsidRPr="00D06F59">
        <w:t xml:space="preserve">B, et al. </w:t>
      </w:r>
      <w:r w:rsidRPr="00D06F59">
        <w:t>DREAMseq (</w:t>
      </w:r>
      <w:r w:rsidR="00D06F59" w:rsidRPr="00D06F59">
        <w:t>D</w:t>
      </w:r>
      <w:r w:rsidRPr="00D06F59">
        <w:t xml:space="preserve">oublet, </w:t>
      </w:r>
      <w:r w:rsidR="00D06F59" w:rsidRPr="00D06F59">
        <w:t>R</w:t>
      </w:r>
      <w:r w:rsidRPr="00D06F59">
        <w:t xml:space="preserve">andomized </w:t>
      </w:r>
      <w:r w:rsidR="00D06F59" w:rsidRPr="00D06F59">
        <w:t>E</w:t>
      </w:r>
      <w:r w:rsidRPr="00D06F59">
        <w:t xml:space="preserve">valuation in </w:t>
      </w:r>
      <w:r w:rsidR="00D06F59" w:rsidRPr="00D06F59">
        <w:t>A</w:t>
      </w:r>
      <w:r w:rsidRPr="00D06F59">
        <w:t xml:space="preserve">dvanced </w:t>
      </w:r>
      <w:r w:rsidR="00D06F59" w:rsidRPr="00D06F59">
        <w:t>M</w:t>
      </w:r>
      <w:r w:rsidRPr="00D06F59">
        <w:t xml:space="preserve">elanoma </w:t>
      </w:r>
      <w:r w:rsidR="00D06F59" w:rsidRPr="00D06F59">
        <w:t>S</w:t>
      </w:r>
      <w:r w:rsidRPr="00D06F59">
        <w:t>equencing): a phase III trial—ECOG</w:t>
      </w:r>
      <w:r w:rsidR="0082444D">
        <w:noBreakHyphen/>
      </w:r>
      <w:r w:rsidRPr="00D06F59">
        <w:t xml:space="preserve">ACRIN EA6134. (Abstract 356154). </w:t>
      </w:r>
      <w:r w:rsidRPr="00D06F59">
        <w:rPr>
          <w:i/>
          <w:iCs/>
        </w:rPr>
        <w:t>J Clin Oncol</w:t>
      </w:r>
      <w:r w:rsidRPr="00D06F59">
        <w:t xml:space="preserve"> 2021;</w:t>
      </w:r>
      <w:r w:rsidR="00D06F59" w:rsidRPr="00D06F59">
        <w:t xml:space="preserve"> </w:t>
      </w:r>
      <w:r w:rsidRPr="00D06F59">
        <w:t>39</w:t>
      </w:r>
      <w:r w:rsidR="00D06F59" w:rsidRPr="00D06F59">
        <w:t>(36)</w:t>
      </w:r>
      <w:r w:rsidRPr="00D06F59">
        <w:t>:</w:t>
      </w:r>
      <w:r w:rsidR="00D06F59" w:rsidRPr="00D06F59">
        <w:t xml:space="preserve"> </w:t>
      </w:r>
      <w:r w:rsidRPr="00D06F59">
        <w:t>356154.</w:t>
      </w:r>
      <w:r w:rsidR="0016606D">
        <w:t xml:space="preserve"> </w:t>
      </w:r>
      <w:r w:rsidR="00D06F59" w:rsidRPr="00D06F59">
        <w:t>doi:</w:t>
      </w:r>
      <w:r w:rsidR="0016606D">
        <w:t> </w:t>
      </w:r>
      <w:r w:rsidR="00D06F59" w:rsidRPr="00D06F59">
        <w:t>10.1200/JCO.2021.39.36_suppl.356154</w:t>
      </w:r>
      <w:r w:rsidR="007B27D2">
        <w:t>.</w:t>
      </w:r>
    </w:p>
  </w:footnote>
  <w:footnote w:id="60">
    <w:p w14:paraId="566F6B72" w14:textId="1FBA902A" w:rsidR="00A1456E" w:rsidRPr="00397B91" w:rsidRDefault="00A1456E" w:rsidP="00A1456E">
      <w:pPr>
        <w:pStyle w:val="FootnoteText"/>
        <w:rPr>
          <w:lang w:val="fr-FR"/>
        </w:rPr>
      </w:pPr>
      <w:r w:rsidRPr="00752897">
        <w:rPr>
          <w:rStyle w:val="FootnoteReference"/>
        </w:rPr>
        <w:footnoteRef/>
      </w:r>
      <w:r w:rsidRPr="00D66AEC">
        <w:t xml:space="preserve"> Mick R, Chen TT. Statistical Challenges in the Design of Late</w:t>
      </w:r>
      <w:r w:rsidR="0082444D">
        <w:noBreakHyphen/>
      </w:r>
      <w:r w:rsidRPr="00D66AEC">
        <w:t xml:space="preserve">Stage Cancer Immunotherapy Studies. </w:t>
      </w:r>
      <w:r w:rsidRPr="00397B91">
        <w:rPr>
          <w:i/>
          <w:iCs/>
          <w:lang w:val="fr-FR"/>
        </w:rPr>
        <w:t>Cancer Immunol Res</w:t>
      </w:r>
      <w:r w:rsidRPr="00397B91">
        <w:rPr>
          <w:lang w:val="fr-FR"/>
        </w:rPr>
        <w:t xml:space="preserve"> 2015;</w:t>
      </w:r>
      <w:r w:rsidR="007B1BEA" w:rsidRPr="00397B91">
        <w:rPr>
          <w:lang w:val="fr-FR"/>
        </w:rPr>
        <w:t xml:space="preserve"> </w:t>
      </w:r>
      <w:r w:rsidRPr="00397B91">
        <w:rPr>
          <w:lang w:val="fr-FR"/>
        </w:rPr>
        <w:t>3(12):</w:t>
      </w:r>
      <w:r w:rsidR="007B1BEA" w:rsidRPr="00397B91">
        <w:rPr>
          <w:lang w:val="fr-FR"/>
        </w:rPr>
        <w:t xml:space="preserve"> </w:t>
      </w:r>
      <w:r w:rsidRPr="00397B91">
        <w:rPr>
          <w:lang w:val="fr-FR"/>
        </w:rPr>
        <w:t>1292</w:t>
      </w:r>
      <w:r w:rsidR="0082444D" w:rsidRPr="00397B91">
        <w:rPr>
          <w:lang w:val="fr-FR"/>
        </w:rPr>
        <w:noBreakHyphen/>
      </w:r>
      <w:r w:rsidR="007B1BEA" w:rsidRPr="00397B91">
        <w:rPr>
          <w:lang w:val="fr-FR"/>
        </w:rPr>
        <w:t>129</w:t>
      </w:r>
      <w:r w:rsidRPr="00397B91">
        <w:rPr>
          <w:lang w:val="fr-FR"/>
        </w:rPr>
        <w:t>8. doi: 10.1158/2326</w:t>
      </w:r>
      <w:r w:rsidR="0082444D" w:rsidRPr="00397B91">
        <w:rPr>
          <w:lang w:val="fr-FR"/>
        </w:rPr>
        <w:noBreakHyphen/>
      </w:r>
      <w:r w:rsidRPr="00397B91">
        <w:rPr>
          <w:lang w:val="fr-FR"/>
        </w:rPr>
        <w:t>6066.CIR</w:t>
      </w:r>
      <w:r w:rsidR="0082444D" w:rsidRPr="00397B91">
        <w:rPr>
          <w:lang w:val="fr-FR"/>
        </w:rPr>
        <w:noBreakHyphen/>
      </w:r>
      <w:r w:rsidRPr="00397B91">
        <w:rPr>
          <w:lang w:val="fr-FR"/>
        </w:rPr>
        <w:t>15</w:t>
      </w:r>
      <w:r w:rsidR="0082444D" w:rsidRPr="00397B91">
        <w:rPr>
          <w:lang w:val="fr-FR"/>
        </w:rPr>
        <w:noBreakHyphen/>
      </w:r>
      <w:r w:rsidRPr="00397B91">
        <w:rPr>
          <w:lang w:val="fr-FR"/>
        </w:rPr>
        <w:t>0260</w:t>
      </w:r>
      <w:r w:rsidR="007B27D2" w:rsidRPr="00397B91">
        <w:rPr>
          <w:lang w:val="fr-FR"/>
        </w:rPr>
        <w:t>.</w:t>
      </w:r>
    </w:p>
  </w:footnote>
  <w:footnote w:id="61">
    <w:p w14:paraId="0B79E1AA" w14:textId="4FF7A471" w:rsidR="00A1456E" w:rsidRPr="007B1BEA" w:rsidRDefault="00A1456E" w:rsidP="00A1456E">
      <w:pPr>
        <w:pStyle w:val="FootnoteText"/>
      </w:pPr>
      <w:r w:rsidRPr="00752897">
        <w:rPr>
          <w:rStyle w:val="FootnoteReference"/>
        </w:rPr>
        <w:footnoteRef/>
      </w:r>
      <w:r w:rsidRPr="00397B91">
        <w:rPr>
          <w:rStyle w:val="FootnoteReference"/>
          <w:lang w:val="fr-FR"/>
        </w:rPr>
        <w:t xml:space="preserve"> </w:t>
      </w:r>
      <w:r w:rsidRPr="00397B91">
        <w:rPr>
          <w:lang w:val="fr-FR"/>
        </w:rPr>
        <w:t xml:space="preserve">Ascierto PA, Mandala M, Ferrucci PF, et al. </w:t>
      </w:r>
      <w:r w:rsidRPr="00D66AEC">
        <w:t xml:space="preserve">SECOMBIT: the best sequential approach with combo immunotherapy [ipilimumab (I)/nivolumab (N)] and combo target therapy [encorafenib (E)/binimetinib (B)] in patients with BRAF mutated metastatic melanoma: a phase II randomized study. </w:t>
      </w:r>
      <w:r w:rsidRPr="007B1BEA">
        <w:rPr>
          <w:i/>
          <w:iCs/>
        </w:rPr>
        <w:t>Ann Oncol</w:t>
      </w:r>
      <w:r w:rsidRPr="00D66AEC">
        <w:t xml:space="preserve"> 2021;</w:t>
      </w:r>
      <w:r w:rsidR="007B1BEA">
        <w:t xml:space="preserve"> </w:t>
      </w:r>
      <w:r w:rsidRPr="00D66AEC">
        <w:t>32(Suppl 5):</w:t>
      </w:r>
      <w:r w:rsidR="007B1BEA">
        <w:t xml:space="preserve"> </w:t>
      </w:r>
      <w:r w:rsidRPr="00D66AEC">
        <w:t>S1316–</w:t>
      </w:r>
      <w:r w:rsidR="007B1BEA">
        <w:t>S131</w:t>
      </w:r>
      <w:r w:rsidRPr="00D66AEC">
        <w:t>7.</w:t>
      </w:r>
      <w:r w:rsidR="0016606D">
        <w:t xml:space="preserve"> </w:t>
      </w:r>
      <w:r w:rsidR="007B1BEA">
        <w:t>d</w:t>
      </w:r>
      <w:r w:rsidR="007B1BEA" w:rsidRPr="007B1BEA">
        <w:t>oi:</w:t>
      </w:r>
      <w:r w:rsidR="0016606D">
        <w:t> </w:t>
      </w:r>
      <w:hyperlink r:id="rId6" w:history="1">
        <w:r w:rsidR="007B1BEA" w:rsidRPr="007B1BEA">
          <w:t>10.1016/j.annonc.2021.08.2118</w:t>
        </w:r>
      </w:hyperlink>
      <w:r w:rsidR="007B27D2">
        <w:t>.</w:t>
      </w:r>
    </w:p>
  </w:footnote>
  <w:footnote w:id="62">
    <w:p w14:paraId="5DD2E3CA" w14:textId="0B765494" w:rsidR="00A1456E" w:rsidRPr="007B1BEA" w:rsidRDefault="00A1456E" w:rsidP="00A1456E">
      <w:pPr>
        <w:pStyle w:val="FootnoteText"/>
      </w:pPr>
      <w:r w:rsidRPr="00752897">
        <w:rPr>
          <w:rStyle w:val="FootnoteReference"/>
        </w:rPr>
        <w:footnoteRef/>
      </w:r>
      <w:r w:rsidRPr="00D66AEC">
        <w:t xml:space="preserve"> Gyorki DE. Spoiled for Choice: Do We Finally Have Clarity on Optimal Treatment Sequencing for Patients with Metastatic Melanoma Harboring an Actionable BRAF Mutation? </w:t>
      </w:r>
      <w:r w:rsidRPr="007B1BEA">
        <w:rPr>
          <w:i/>
          <w:iCs/>
        </w:rPr>
        <w:t>Ann Surg Oncol</w:t>
      </w:r>
      <w:r w:rsidRPr="00D66AEC">
        <w:t xml:space="preserve"> 2022</w:t>
      </w:r>
      <w:r w:rsidR="007B1BEA" w:rsidRPr="007B1BEA">
        <w:t>; 29: 4014–4015.</w:t>
      </w:r>
      <w:r w:rsidR="0016606D">
        <w:t xml:space="preserve"> </w:t>
      </w:r>
      <w:r w:rsidR="007B1BEA" w:rsidRPr="007B1BEA">
        <w:t>doi:</w:t>
      </w:r>
      <w:r w:rsidR="0016606D">
        <w:t> </w:t>
      </w:r>
      <w:r w:rsidRPr="007B1BEA">
        <w:t>10.1245/s10434</w:t>
      </w:r>
      <w:r w:rsidR="0082444D">
        <w:noBreakHyphen/>
      </w:r>
      <w:r w:rsidRPr="007B1BEA">
        <w:t>022</w:t>
      </w:r>
      <w:r w:rsidR="0082444D">
        <w:noBreakHyphen/>
      </w:r>
      <w:r w:rsidRPr="007B1BEA">
        <w:t>11611</w:t>
      </w:r>
      <w:r w:rsidR="0082444D">
        <w:noBreakHyphen/>
      </w:r>
      <w:r w:rsidRPr="007B1BEA">
        <w:t>3</w:t>
      </w:r>
      <w:r w:rsidR="007B27D2">
        <w:t>.</w:t>
      </w:r>
    </w:p>
  </w:footnote>
  <w:footnote w:id="63">
    <w:p w14:paraId="7E799C96" w14:textId="7804254A" w:rsidR="00A1456E" w:rsidRPr="00D66AEC" w:rsidRDefault="00A1456E" w:rsidP="00A1456E">
      <w:pPr>
        <w:pStyle w:val="FootnoteText"/>
      </w:pPr>
      <w:r w:rsidRPr="00752897">
        <w:rPr>
          <w:rStyle w:val="FootnoteReference"/>
        </w:rPr>
        <w:footnoteRef/>
      </w:r>
      <w:r w:rsidRPr="00D66AEC">
        <w:t xml:space="preserve"> Gutzmer R, Stroyakovskiy D, Gogas H, </w:t>
      </w:r>
      <w:r w:rsidR="007B1BEA">
        <w:t>et al</w:t>
      </w:r>
      <w:r w:rsidRPr="00D66AEC">
        <w:t>. Atezolizumab, vemurafenib, and cobimetinib as first</w:t>
      </w:r>
      <w:r w:rsidR="0082444D">
        <w:noBreakHyphen/>
      </w:r>
      <w:r w:rsidRPr="00D66AEC">
        <w:t>line treatment for unresectable advanced BRAF(V600) mutation</w:t>
      </w:r>
      <w:r w:rsidR="0082444D">
        <w:noBreakHyphen/>
      </w:r>
      <w:r w:rsidRPr="00D66AEC">
        <w:t>positive melanoma (IMspire150): primary analysis of the randomised, double</w:t>
      </w:r>
      <w:r w:rsidR="0082444D">
        <w:noBreakHyphen/>
      </w:r>
      <w:r w:rsidRPr="00D66AEC">
        <w:t>blind, placebo</w:t>
      </w:r>
      <w:r w:rsidR="0082444D">
        <w:noBreakHyphen/>
      </w:r>
      <w:r w:rsidRPr="00D66AEC">
        <w:t xml:space="preserve">controlled, phase 3 trial. </w:t>
      </w:r>
      <w:r w:rsidRPr="00A215E9">
        <w:rPr>
          <w:i/>
          <w:iCs/>
        </w:rPr>
        <w:t>Lancet</w:t>
      </w:r>
      <w:r w:rsidRPr="00A215E9">
        <w:t xml:space="preserve"> </w:t>
      </w:r>
      <w:r w:rsidRPr="00D66AEC">
        <w:t>2020;</w:t>
      </w:r>
      <w:r w:rsidR="00A215E9">
        <w:t xml:space="preserve"> </w:t>
      </w:r>
      <w:r w:rsidRPr="00D66AEC">
        <w:t>395(10240):1835–</w:t>
      </w:r>
      <w:r w:rsidR="00A215E9">
        <w:t>18</w:t>
      </w:r>
      <w:r w:rsidRPr="00A215E9">
        <w:t>44.</w:t>
      </w:r>
      <w:r w:rsidR="00A215E9" w:rsidRPr="00A215E9">
        <w:t xml:space="preserve"> doi:</w:t>
      </w:r>
      <w:r w:rsidR="001459F0">
        <w:t> </w:t>
      </w:r>
      <w:r w:rsidR="00A215E9" w:rsidRPr="00A215E9">
        <w:t>10.1016/S0140</w:t>
      </w:r>
      <w:r w:rsidR="0082444D">
        <w:noBreakHyphen/>
      </w:r>
      <w:r w:rsidR="00A215E9" w:rsidRPr="00A215E9">
        <w:t>6736(20)30934</w:t>
      </w:r>
      <w:r w:rsidR="0082444D">
        <w:noBreakHyphen/>
      </w:r>
      <w:r w:rsidR="00A215E9" w:rsidRPr="00A215E9">
        <w:t>X</w:t>
      </w:r>
      <w:r w:rsidR="007B27D2">
        <w:t>.</w:t>
      </w:r>
    </w:p>
  </w:footnote>
  <w:footnote w:id="64">
    <w:p w14:paraId="1A792F64" w14:textId="23155D10" w:rsidR="00A1456E" w:rsidRPr="00D66AEC" w:rsidRDefault="00A1456E" w:rsidP="00A1456E">
      <w:pPr>
        <w:pStyle w:val="FootnoteText"/>
      </w:pPr>
      <w:r w:rsidRPr="00752897">
        <w:rPr>
          <w:rStyle w:val="FootnoteReference"/>
        </w:rPr>
        <w:footnoteRef/>
      </w:r>
      <w:r w:rsidRPr="00D66AEC">
        <w:t xml:space="preserve"> Dixon</w:t>
      </w:r>
      <w:r w:rsidR="0082444D">
        <w:noBreakHyphen/>
      </w:r>
      <w:r w:rsidRPr="00D66AEC">
        <w:t>Douglas J, Patel R, Somasundram P</w:t>
      </w:r>
      <w:r w:rsidR="00A215E9">
        <w:t>,</w:t>
      </w:r>
      <w:r w:rsidRPr="00D66AEC">
        <w:t xml:space="preserve"> et al. Triplet Therapy in Melanoma — Combined BRAF/MEK Inhibitors and Anti</w:t>
      </w:r>
      <w:r w:rsidR="0082444D">
        <w:noBreakHyphen/>
      </w:r>
      <w:r w:rsidRPr="00D66AEC">
        <w:t>PD</w:t>
      </w:r>
      <w:r w:rsidR="0082444D">
        <w:noBreakHyphen/>
      </w:r>
      <w:r w:rsidRPr="00D66AEC">
        <w:t xml:space="preserve">(L)1 Antibodies. </w:t>
      </w:r>
      <w:r w:rsidRPr="00A215E9">
        <w:rPr>
          <w:i/>
          <w:iCs/>
        </w:rPr>
        <w:t>Curr Oncol Rep</w:t>
      </w:r>
      <w:r w:rsidRPr="00D66AEC">
        <w:t xml:space="preserve"> 2022</w:t>
      </w:r>
      <w:r w:rsidR="00A215E9">
        <w:t>; 24: 1071</w:t>
      </w:r>
      <w:r w:rsidR="0082444D">
        <w:noBreakHyphen/>
      </w:r>
      <w:r w:rsidR="00A215E9">
        <w:t>1079.</w:t>
      </w:r>
      <w:r w:rsidRPr="00D66AEC">
        <w:t xml:space="preserve"> </w:t>
      </w:r>
      <w:r w:rsidR="009A1C58">
        <w:t xml:space="preserve">doi: </w:t>
      </w:r>
      <w:r w:rsidRPr="00D66AEC">
        <w:t>10.1007/s11912</w:t>
      </w:r>
      <w:r w:rsidR="0082444D">
        <w:noBreakHyphen/>
      </w:r>
      <w:r w:rsidRPr="00D66AEC">
        <w:t>022</w:t>
      </w:r>
      <w:r w:rsidR="0082444D">
        <w:noBreakHyphen/>
      </w:r>
      <w:r w:rsidRPr="00D66AEC">
        <w:t>01243</w:t>
      </w:r>
      <w:r w:rsidR="0082444D">
        <w:noBreakHyphen/>
      </w:r>
      <w:r w:rsidRPr="00D66AEC">
        <w:t>x</w:t>
      </w:r>
      <w:r w:rsidR="007B27D2">
        <w:t>.</w:t>
      </w:r>
    </w:p>
  </w:footnote>
  <w:footnote w:id="65">
    <w:p w14:paraId="0AE8D9FE" w14:textId="496D3552" w:rsidR="001831F2" w:rsidRPr="00733073" w:rsidRDefault="001831F2" w:rsidP="001831F2">
      <w:pPr>
        <w:pStyle w:val="FootnoteText"/>
      </w:pPr>
      <w:r w:rsidRPr="00752897">
        <w:rPr>
          <w:rStyle w:val="FootnoteReference"/>
        </w:rPr>
        <w:footnoteRef/>
      </w:r>
      <w:r w:rsidRPr="00D66AEC">
        <w:t xml:space="preserve"> Kumar RS, Messina JL, Sondak VK, </w:t>
      </w:r>
      <w:r>
        <w:t>et al.</w:t>
      </w:r>
      <w:r w:rsidRPr="00D66AEC">
        <w:t xml:space="preserve"> Treating melanoma in adolescents and young adults: challenges and solutions. </w:t>
      </w:r>
      <w:r w:rsidRPr="00733073">
        <w:rPr>
          <w:i/>
          <w:iCs/>
        </w:rPr>
        <w:t>Clinical Oncology in Adolescents and Young Adults</w:t>
      </w:r>
      <w:r w:rsidRPr="00D66AEC">
        <w:t xml:space="preserve"> 2015;</w:t>
      </w:r>
      <w:r>
        <w:t xml:space="preserve"> </w:t>
      </w:r>
      <w:r w:rsidRPr="00733073">
        <w:t>5: 75</w:t>
      </w:r>
      <w:r>
        <w:noBreakHyphen/>
      </w:r>
      <w:r w:rsidRPr="00733073">
        <w:t>86. doi: 10.2147/COAYA.S90563</w:t>
      </w:r>
      <w:r w:rsidR="001459F0">
        <w:t>.</w:t>
      </w:r>
    </w:p>
  </w:footnote>
  <w:footnote w:id="66">
    <w:p w14:paraId="21FF9C0C" w14:textId="77777777" w:rsidR="001831F2" w:rsidRPr="00D66AEC" w:rsidRDefault="001831F2" w:rsidP="001831F2">
      <w:pPr>
        <w:pStyle w:val="FootnoteText"/>
      </w:pPr>
      <w:r w:rsidRPr="00752897">
        <w:rPr>
          <w:rStyle w:val="FootnoteReference"/>
        </w:rPr>
        <w:footnoteRef/>
      </w:r>
      <w:r w:rsidRPr="00D66AEC">
        <w:t xml:space="preserve"> Del Fiore P, Russo I, Ferrazzi B, </w:t>
      </w:r>
      <w:r>
        <w:t>et al.</w:t>
      </w:r>
      <w:r w:rsidRPr="00D66AEC">
        <w:t xml:space="preserve"> Melanoma in Adolescents and Young Adults: Evaluation of the Characteristics, Treatment Strategies, and Prognostic Factors in a Monocentric Retrospective Study. </w:t>
      </w:r>
      <w:r w:rsidRPr="00D5150A">
        <w:rPr>
          <w:i/>
          <w:iCs/>
        </w:rPr>
        <w:t>Front Oncol</w:t>
      </w:r>
      <w:r w:rsidRPr="00D66AEC">
        <w:t xml:space="preserve"> 2021;</w:t>
      </w:r>
      <w:r>
        <w:t xml:space="preserve"> </w:t>
      </w:r>
      <w:r w:rsidRPr="00D66AEC">
        <w:t>11:</w:t>
      </w:r>
      <w:r>
        <w:t xml:space="preserve"> </w:t>
      </w:r>
      <w:r w:rsidRPr="00D66AEC">
        <w:t>725523. doi: 10.3389/fonc.2021.725523. Erratum in: Front Oncol. 2021 Oct 27;11:793169.</w:t>
      </w:r>
    </w:p>
  </w:footnote>
  <w:footnote w:id="67">
    <w:p w14:paraId="661249BB" w14:textId="77777777" w:rsidR="001831F2" w:rsidRPr="00D5150A" w:rsidRDefault="001831F2" w:rsidP="001831F2">
      <w:pPr>
        <w:pStyle w:val="FootnoteText"/>
      </w:pPr>
      <w:r w:rsidRPr="00752897">
        <w:rPr>
          <w:rStyle w:val="FootnoteReference"/>
        </w:rPr>
        <w:footnoteRef/>
      </w:r>
      <w:r w:rsidRPr="00D66AEC">
        <w:t xml:space="preserve"> Bagnoni G, Fidanzi C, D’Erme, AM, et al. Melanoma in children, adolescents and young adults: anatomo</w:t>
      </w:r>
      <w:r>
        <w:noBreakHyphen/>
      </w:r>
      <w:r w:rsidRPr="00D66AEC">
        <w:t xml:space="preserve">clinical features and prognostic study on 426 cases. </w:t>
      </w:r>
      <w:r w:rsidRPr="00D5150A">
        <w:rPr>
          <w:i/>
          <w:iCs/>
        </w:rPr>
        <w:t>Pediatr Surg Int</w:t>
      </w:r>
      <w:r w:rsidRPr="00D66AEC">
        <w:t xml:space="preserve"> 2019;</w:t>
      </w:r>
      <w:r>
        <w:t xml:space="preserve"> </w:t>
      </w:r>
      <w:r w:rsidRPr="00D66AEC">
        <w:t>35</w:t>
      </w:r>
      <w:r w:rsidRPr="00D5150A">
        <w:t>(1): 159–165. doi: 10.1007/s00383</w:t>
      </w:r>
      <w:r>
        <w:noBreakHyphen/>
      </w:r>
      <w:r w:rsidRPr="00D5150A">
        <w:t>018</w:t>
      </w:r>
      <w:r>
        <w:noBreakHyphen/>
      </w:r>
      <w:r w:rsidRPr="00D5150A">
        <w:t>4388</w:t>
      </w:r>
      <w:r>
        <w:noBreakHyphen/>
      </w:r>
      <w:r w:rsidRPr="00D5150A">
        <w:t>0.</w:t>
      </w:r>
    </w:p>
  </w:footnote>
  <w:footnote w:id="68">
    <w:p w14:paraId="6366B078" w14:textId="37B07067" w:rsidR="000E296C" w:rsidRDefault="000E296C">
      <w:pPr>
        <w:pStyle w:val="FootnoteText"/>
      </w:pPr>
      <w:r>
        <w:rPr>
          <w:rStyle w:val="FootnoteReference"/>
        </w:rPr>
        <w:footnoteRef/>
      </w:r>
      <w:r>
        <w:t xml:space="preserve"> In this report the ‘</w:t>
      </w:r>
      <w:r w:rsidRPr="00C133A3">
        <w:t>Delegate</w:t>
      </w:r>
      <w:r>
        <w:t>’</w:t>
      </w:r>
      <w:r w:rsidRPr="00C133A3">
        <w:t xml:space="preserve"> </w:t>
      </w:r>
      <w:r>
        <w:t xml:space="preserve">is the </w:t>
      </w:r>
      <w:r w:rsidRPr="00C133A3">
        <w:t>Delegate of the Secretary of the Department of Health and Aged Care who approved the product under section 25 of the Act.</w:t>
      </w:r>
    </w:p>
  </w:footnote>
  <w:footnote w:id="69">
    <w:p w14:paraId="0206E709" w14:textId="483DA03B" w:rsidR="007A48BC" w:rsidRDefault="007A48BC">
      <w:pPr>
        <w:pStyle w:val="FootnoteText"/>
      </w:pPr>
      <w:r>
        <w:rPr>
          <w:rStyle w:val="FootnoteReference"/>
        </w:rPr>
        <w:footnoteRef/>
      </w:r>
      <w:r>
        <w:t xml:space="preserve"> Nivolumab (tradename Opdivo) was first registered in Australia on </w:t>
      </w:r>
      <w:r w:rsidR="002036A4">
        <w:t>11 January 2016</w:t>
      </w:r>
      <w:r>
        <w:t xml:space="preserve"> (ARTG number</w:t>
      </w:r>
      <w:r w:rsidR="001459F0">
        <w:t>:</w:t>
      </w:r>
      <w:r>
        <w:t xml:space="preserve"> </w:t>
      </w:r>
      <w:r w:rsidR="002036A4">
        <w:t>318057</w:t>
      </w:r>
      <w:r>
        <w:t>)</w:t>
      </w:r>
      <w:r w:rsidR="001459F0">
        <w:t>.</w:t>
      </w:r>
    </w:p>
  </w:footnote>
  <w:footnote w:id="70">
    <w:p w14:paraId="4957C9E3" w14:textId="29E51017" w:rsidR="008336A1" w:rsidRDefault="008336A1">
      <w:pPr>
        <w:pStyle w:val="FootnoteText"/>
      </w:pPr>
      <w:r>
        <w:rPr>
          <w:rStyle w:val="FootnoteReference"/>
        </w:rPr>
        <w:footnoteRef/>
      </w:r>
      <w:r>
        <w:t xml:space="preserve"> AusPAR for nivolumab as a new medicine is available at </w:t>
      </w:r>
      <w:hyperlink r:id="rId7" w:history="1">
        <w:r>
          <w:rPr>
            <w:rStyle w:val="Hyperlink"/>
          </w:rPr>
          <w:t>Australian Public Assessment Report for Nivolumab (tga.gov.au)</w:t>
        </w:r>
      </w:hyperlink>
      <w:r w:rsidR="001459F0">
        <w:rPr>
          <w:rStyle w:val="Hyperlink"/>
        </w:rPr>
        <w:t>.</w:t>
      </w:r>
    </w:p>
  </w:footnote>
  <w:footnote w:id="71">
    <w:p w14:paraId="6C8E2421" w14:textId="6D9E37F0" w:rsidR="00C32FDF" w:rsidRDefault="00C32FDF" w:rsidP="007B27D2">
      <w:pPr>
        <w:pStyle w:val="FootnoteText"/>
      </w:pPr>
      <w:r>
        <w:rPr>
          <w:rStyle w:val="FootnoteReference"/>
        </w:rPr>
        <w:footnoteRef/>
      </w:r>
      <w:r>
        <w:t xml:space="preserve"> </w:t>
      </w:r>
      <w:r w:rsidR="007B27D2">
        <w:t xml:space="preserve">European Medicines Agency (EMA), </w:t>
      </w:r>
      <w:r w:rsidR="007B27D2" w:rsidRPr="007B27D2">
        <w:t xml:space="preserve">Committee for Medicinal Products for Human Use </w:t>
      </w:r>
      <w:r w:rsidR="007B27D2">
        <w:t xml:space="preserve">(CHMP), ICH guideline S9 on nonclinical evaluation for anticancer pharmaceuticals, </w:t>
      </w:r>
      <w:r w:rsidR="007B27D2" w:rsidRPr="007B27D2">
        <w:t>EMA/CHMP/ICH/646107/2008</w:t>
      </w:r>
      <w:r w:rsidR="007B27D2">
        <w:t>,</w:t>
      </w:r>
      <w:r w:rsidR="007B27D2" w:rsidRPr="007B27D2">
        <w:t xml:space="preserve"> May 2010</w:t>
      </w:r>
      <w:r w:rsidR="007B27D2">
        <w:t>.</w:t>
      </w:r>
    </w:p>
  </w:footnote>
  <w:footnote w:id="72">
    <w:p w14:paraId="17BD2AAC" w14:textId="6F653C1A" w:rsidR="00C06313" w:rsidRDefault="00C06313">
      <w:pPr>
        <w:pStyle w:val="FootnoteText"/>
      </w:pPr>
      <w:r>
        <w:rPr>
          <w:rStyle w:val="FootnoteReference"/>
        </w:rPr>
        <w:footnoteRef/>
      </w:r>
      <w:r>
        <w:t xml:space="preserve"> </w:t>
      </w:r>
      <w:r w:rsidRPr="00C06313">
        <w:rPr>
          <w:b/>
          <w:bCs/>
        </w:rPr>
        <w:t>Pregnancy Category D:</w:t>
      </w:r>
      <w:r>
        <w:t xml:space="preserve"> </w:t>
      </w:r>
      <w:r>
        <w:rPr>
          <w:shd w:val="clear" w:color="auto" w:fill="FFFFFF"/>
        </w:rPr>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footnote>
  <w:footnote w:id="73">
    <w:p w14:paraId="1092DE87" w14:textId="1506DC47" w:rsidR="000E6D0D" w:rsidRPr="00DD4358" w:rsidRDefault="000E6D0D" w:rsidP="00DD4358">
      <w:pPr>
        <w:pStyle w:val="FootnoteText"/>
      </w:pPr>
      <w:r w:rsidRPr="00752897">
        <w:rPr>
          <w:rStyle w:val="FootnoteReference"/>
        </w:rPr>
        <w:footnoteRef/>
      </w:r>
      <w:r w:rsidRPr="00DD4358">
        <w:t xml:space="preserve"> Dai HI, Vugmeyster Y, Mangal N. Characterizing Exposure</w:t>
      </w:r>
      <w:r w:rsidR="0082444D">
        <w:noBreakHyphen/>
      </w:r>
      <w:r w:rsidRPr="00DD4358">
        <w:t>Response Relationship for Therapeutic Monoclonal Antibodies in Immuno</w:t>
      </w:r>
      <w:r w:rsidR="0082444D">
        <w:noBreakHyphen/>
      </w:r>
      <w:r w:rsidRPr="00DD4358">
        <w:t xml:space="preserve">Oncology and Beyond: Challenges, Perspectives, and Prospects. </w:t>
      </w:r>
      <w:r w:rsidRPr="00DD4358">
        <w:rPr>
          <w:i/>
          <w:iCs/>
        </w:rPr>
        <w:t>Clin Pharmacol Ther</w:t>
      </w:r>
      <w:r w:rsidRPr="00DD4358">
        <w:t xml:space="preserve"> 2020; 108</w:t>
      </w:r>
      <w:r w:rsidR="00DD4358">
        <w:t>(6)</w:t>
      </w:r>
      <w:r w:rsidRPr="00DD4358">
        <w:t>: 1156</w:t>
      </w:r>
      <w:r w:rsidR="0082444D">
        <w:noBreakHyphen/>
      </w:r>
      <w:r w:rsidRPr="00DD4358">
        <w:t>1170. doi:10.1002/cpt.1953</w:t>
      </w:r>
      <w:r w:rsidR="007B27D2">
        <w:t>.</w:t>
      </w:r>
    </w:p>
  </w:footnote>
  <w:footnote w:id="74">
    <w:p w14:paraId="7607A099" w14:textId="47BE4659" w:rsidR="00DD4358" w:rsidRPr="00DD4358" w:rsidRDefault="00E72CAE" w:rsidP="00DD4358">
      <w:pPr>
        <w:pStyle w:val="FootnoteText"/>
      </w:pPr>
      <w:r w:rsidRPr="00752897">
        <w:rPr>
          <w:rStyle w:val="FootnoteReference"/>
        </w:rPr>
        <w:footnoteRef/>
      </w:r>
      <w:r w:rsidR="0011043E">
        <w:t xml:space="preserve"> The </w:t>
      </w:r>
      <w:r w:rsidR="0011043E" w:rsidRPr="00E77225">
        <w:rPr>
          <w:b/>
          <w:bCs/>
        </w:rPr>
        <w:t>Common Terminology Criteria (CTC)</w:t>
      </w:r>
      <w:r w:rsidR="0011043E">
        <w:t xml:space="preserve"> is a standardised classification of side effects used in assessing drugs for cancer therapy, in particular. Specific conditions and symptoms may have values or descriptive comment for each level, but the general guideline is</w:t>
      </w:r>
      <w:r w:rsidR="009A487F">
        <w:t>:</w:t>
      </w:r>
      <w:r w:rsidR="0011043E">
        <w:t xml:space="preserve"> Grade 1</w:t>
      </w:r>
      <w:r w:rsidR="00B83235">
        <w:t> = </w:t>
      </w:r>
      <w:r w:rsidR="0011043E">
        <w:t>Mild</w:t>
      </w:r>
      <w:r w:rsidR="009A487F">
        <w:t>;</w:t>
      </w:r>
      <w:r w:rsidR="0011043E">
        <w:t xml:space="preserve"> </w:t>
      </w:r>
      <w:r w:rsidR="009A487F">
        <w:t xml:space="preserve">Grade </w:t>
      </w:r>
      <w:r w:rsidR="0011043E">
        <w:t>2</w:t>
      </w:r>
      <w:r w:rsidR="00B83235">
        <w:t> = </w:t>
      </w:r>
      <w:r w:rsidR="0011043E">
        <w:t>Moderate</w:t>
      </w:r>
      <w:r w:rsidR="009A487F">
        <w:t>;</w:t>
      </w:r>
      <w:r w:rsidR="0011043E">
        <w:t xml:space="preserve"> </w:t>
      </w:r>
      <w:r w:rsidR="009A487F">
        <w:t xml:space="preserve">Grade </w:t>
      </w:r>
      <w:r w:rsidR="0011043E">
        <w:t>3</w:t>
      </w:r>
      <w:r w:rsidR="00B83235">
        <w:t> = </w:t>
      </w:r>
      <w:r w:rsidR="0011043E">
        <w:t>Severe</w:t>
      </w:r>
      <w:r w:rsidR="009A487F">
        <w:t>;</w:t>
      </w:r>
      <w:r w:rsidR="0011043E">
        <w:t xml:space="preserve"> </w:t>
      </w:r>
      <w:r w:rsidR="009A487F">
        <w:t xml:space="preserve">Grade </w:t>
      </w:r>
      <w:r w:rsidR="0011043E">
        <w:t>4</w:t>
      </w:r>
      <w:r w:rsidR="00B83235">
        <w:t> = </w:t>
      </w:r>
      <w:r w:rsidR="0011043E">
        <w:t>Life threatening</w:t>
      </w:r>
      <w:r w:rsidR="009A487F">
        <w:t>;</w:t>
      </w:r>
      <w:r w:rsidR="0011043E">
        <w:t xml:space="preserve"> </w:t>
      </w:r>
      <w:r w:rsidR="009A487F">
        <w:t>Grade </w:t>
      </w:r>
      <w:r w:rsidR="0011043E">
        <w:t>5</w:t>
      </w:r>
      <w:r w:rsidR="00B83235">
        <w:t> = </w:t>
      </w:r>
      <w:r w:rsidR="0011043E">
        <w:t xml:space="preserve">Death. </w:t>
      </w:r>
      <w:r w:rsidR="0000788E">
        <w:t>The CTCAE is published by the</w:t>
      </w:r>
      <w:r w:rsidR="0011043E">
        <w:t xml:space="preserve"> National Cancer Institute (U</w:t>
      </w:r>
      <w:r w:rsidR="0000788E">
        <w:t>nited States</w:t>
      </w:r>
      <w:r w:rsidR="0011043E">
        <w:t>).</w:t>
      </w:r>
    </w:p>
  </w:footnote>
  <w:footnote w:id="75">
    <w:p w14:paraId="0BCACB89" w14:textId="01D26DBE" w:rsidR="00DB5656" w:rsidRDefault="00DB5656" w:rsidP="00DD4358">
      <w:pPr>
        <w:pStyle w:val="FootnoteText"/>
      </w:pPr>
      <w:r w:rsidRPr="00752897">
        <w:rPr>
          <w:rStyle w:val="FootnoteReference"/>
        </w:rPr>
        <w:footnoteRef/>
      </w:r>
      <w:r w:rsidRPr="00752897">
        <w:rPr>
          <w:rStyle w:val="FootnoteReference"/>
        </w:rPr>
        <w:t xml:space="preserve"> </w:t>
      </w:r>
      <w:r w:rsidRPr="00DD4358">
        <w:t>See pages 107</w:t>
      </w:r>
      <w:r w:rsidR="0082444D">
        <w:noBreakHyphen/>
      </w:r>
      <w:r w:rsidRPr="00DD4358">
        <w:t>108 of the FDA multidisciplinary review (MDR) document for Opdualag. A</w:t>
      </w:r>
      <w:r w:rsidR="00DD4358">
        <w:t>vailable at</w:t>
      </w:r>
      <w:r w:rsidRPr="00DD4358">
        <w:t>:</w:t>
      </w:r>
      <w:r>
        <w:t xml:space="preserve"> </w:t>
      </w:r>
      <w:hyperlink r:id="rId8" w:history="1">
        <w:r w:rsidRPr="00AF22B7">
          <w:rPr>
            <w:rStyle w:val="Hyperlink"/>
          </w:rPr>
          <w:t>https://www.accessdata.fda.gov/drugsatfda_docs/nda/2022/761234Orig1s000MultidisciplineR.pdf</w:t>
        </w:r>
      </w:hyperlink>
      <w:r w:rsidR="001459F0">
        <w:rPr>
          <w:rStyle w:val="Hyperlink"/>
        </w:rPr>
        <w:t>.</w:t>
      </w:r>
    </w:p>
  </w:footnote>
  <w:footnote w:id="76">
    <w:p w14:paraId="087C12B1" w14:textId="7231EAEE" w:rsidR="00F76A31" w:rsidRPr="00DD4358" w:rsidRDefault="00F76A31" w:rsidP="00DD4358">
      <w:pPr>
        <w:pStyle w:val="FootnoteText"/>
      </w:pPr>
      <w:r w:rsidRPr="00752897">
        <w:rPr>
          <w:rStyle w:val="FootnoteReference"/>
        </w:rPr>
        <w:footnoteRef/>
      </w:r>
      <w:r w:rsidRPr="00DD4358">
        <w:t xml:space="preserve"> RELATIVITY</w:t>
      </w:r>
      <w:r w:rsidR="0082444D">
        <w:noBreakHyphen/>
      </w:r>
      <w:r w:rsidRPr="00DD4358">
        <w:t>047 listing at clinicaltrials.gov, accessed 31</w:t>
      </w:r>
      <w:r w:rsidR="00DC15BA">
        <w:t> </w:t>
      </w:r>
      <w:r w:rsidRPr="00DD4358">
        <w:t xml:space="preserve">May 2022 at: </w:t>
      </w:r>
      <w:hyperlink r:id="rId9" w:history="1">
        <w:r w:rsidR="007B27D2" w:rsidRPr="00DC15BA">
          <w:rPr>
            <w:rStyle w:val="Hyperlink"/>
          </w:rPr>
          <w:t>https://clinicaltrials.gov/ct2/show/NCT03470922</w:t>
        </w:r>
      </w:hyperlink>
      <w:r w:rsidR="007B27D2">
        <w:rPr>
          <w:rStyle w:val="Hyperlink"/>
          <w:color w:val="333F48"/>
          <w:u w:val="none"/>
        </w:rPr>
        <w:t>.</w:t>
      </w:r>
    </w:p>
  </w:footnote>
  <w:footnote w:id="77">
    <w:p w14:paraId="2FBFDABE" w14:textId="71CF6FFE" w:rsidR="00DD4358" w:rsidRPr="00DD4358" w:rsidRDefault="00F76A31" w:rsidP="00DD4358">
      <w:pPr>
        <w:pStyle w:val="FootnoteText"/>
      </w:pPr>
      <w:r w:rsidRPr="00752897">
        <w:rPr>
          <w:rStyle w:val="FootnoteReference"/>
        </w:rPr>
        <w:footnoteRef/>
      </w:r>
      <w:r w:rsidRPr="00DD4358">
        <w:t xml:space="preserve"> FDA approved label for BLA 761234 (</w:t>
      </w:r>
      <w:r w:rsidR="007B27D2">
        <w:t>Opdualag</w:t>
      </w:r>
      <w:r w:rsidRPr="00DD4358">
        <w:t>). Approval date 18 Mar 2022. A</w:t>
      </w:r>
      <w:r w:rsidR="00DD4358">
        <w:t>vailable at</w:t>
      </w:r>
      <w:r w:rsidRPr="00DD4358">
        <w:t>:</w:t>
      </w:r>
      <w:r w:rsidR="007B27D2" w:rsidRPr="007B27D2">
        <w:t xml:space="preserve"> </w:t>
      </w:r>
      <w:hyperlink r:id="rId10" w:history="1">
        <w:r w:rsidR="007B27D2" w:rsidRPr="00BD4A4A">
          <w:rPr>
            <w:rStyle w:val="Hyperlink"/>
          </w:rPr>
          <w:t>https://www.accessdata.fda.gov/drugsatfda_docs/nda/2022/761234Orig1s000lbl.pdf</w:t>
        </w:r>
      </w:hyperlink>
      <w:r w:rsidR="007B27D2">
        <w:t>.</w:t>
      </w:r>
    </w:p>
  </w:footnote>
  <w:footnote w:id="78">
    <w:p w14:paraId="5C4ECCE3" w14:textId="37015832" w:rsidR="00F76A31" w:rsidRPr="00DD4358" w:rsidRDefault="00F76A31" w:rsidP="00DD4358">
      <w:pPr>
        <w:pStyle w:val="FootnoteText"/>
      </w:pPr>
      <w:r w:rsidRPr="00752897">
        <w:rPr>
          <w:rStyle w:val="FootnoteReference"/>
        </w:rPr>
        <w:footnoteRef/>
      </w:r>
      <w:r w:rsidRPr="00DD4358">
        <w:t xml:space="preserve"> Lipson EJ, Long GV, Tawbi H, et al. C</w:t>
      </w:r>
      <w:r w:rsidR="00032520">
        <w:t>A</w:t>
      </w:r>
      <w:r w:rsidRPr="00DD4358">
        <w:t>224</w:t>
      </w:r>
      <w:r w:rsidR="0082444D">
        <w:noBreakHyphen/>
      </w:r>
      <w:r w:rsidRPr="00DD4358">
        <w:t>047: A Randomized, Double</w:t>
      </w:r>
      <w:r w:rsidR="0082444D">
        <w:noBreakHyphen/>
      </w:r>
      <w:r w:rsidRPr="00DD4358">
        <w:t>Blind, Phase 2/3 Study of Relatlimab (anti</w:t>
      </w:r>
      <w:r w:rsidR="0082444D">
        <w:noBreakHyphen/>
      </w:r>
      <w:r w:rsidRPr="00DD4358">
        <w:t>LAG</w:t>
      </w:r>
      <w:r w:rsidR="0082444D">
        <w:noBreakHyphen/>
      </w:r>
      <w:r w:rsidRPr="00DD4358">
        <w:t>3) in Combination With Nivolumab (anti</w:t>
      </w:r>
      <w:r w:rsidR="0082444D">
        <w:noBreakHyphen/>
      </w:r>
      <w:r w:rsidRPr="00DD4358">
        <w:t>PD</w:t>
      </w:r>
      <w:r w:rsidR="0082444D">
        <w:noBreakHyphen/>
      </w:r>
      <w:r w:rsidRPr="00DD4358">
        <w:t xml:space="preserve">1) Versus Nivolumab Alone in Previously Untreated Metastatic or Unresectable Melanoma. </w:t>
      </w:r>
      <w:r w:rsidRPr="00032520">
        <w:rPr>
          <w:i/>
          <w:iCs/>
        </w:rPr>
        <w:t>Ann Oncol</w:t>
      </w:r>
      <w:r w:rsidRPr="00DD4358">
        <w:t xml:space="preserve"> 2018</w:t>
      </w:r>
      <w:r w:rsidR="00032520">
        <w:t>;</w:t>
      </w:r>
      <w:r w:rsidRPr="00DD4358">
        <w:t xml:space="preserve"> 29(supp</w:t>
      </w:r>
      <w:r w:rsidR="00032520">
        <w:t xml:space="preserve"> </w:t>
      </w:r>
      <w:r w:rsidRPr="00DD4358">
        <w:t>8):</w:t>
      </w:r>
      <w:r w:rsidR="00032520">
        <w:t xml:space="preserve"> VIII</w:t>
      </w:r>
      <w:r w:rsidRPr="00DD4358">
        <w:t>4</w:t>
      </w:r>
      <w:r w:rsidR="00032520">
        <w:t>64</w:t>
      </w:r>
      <w:r w:rsidRPr="00DD4358">
        <w:t>–</w:t>
      </w:r>
      <w:r w:rsidR="00032520">
        <w:t>VIII</w:t>
      </w:r>
      <w:r w:rsidRPr="00DD4358">
        <w:t xml:space="preserve">466. </w:t>
      </w:r>
      <w:r w:rsidR="00DD4358">
        <w:t xml:space="preserve">doi: </w:t>
      </w:r>
      <w:r w:rsidRPr="00DD4358">
        <w:t>10.1093/annonc/mdy289.058</w:t>
      </w:r>
      <w:r w:rsidR="007B27D2">
        <w:t>.</w:t>
      </w:r>
    </w:p>
  </w:footnote>
  <w:footnote w:id="79">
    <w:p w14:paraId="76FE307B" w14:textId="0760B16B" w:rsidR="00F76A31" w:rsidRPr="00CF5DEF" w:rsidRDefault="00F76A31" w:rsidP="00DD4358">
      <w:pPr>
        <w:pStyle w:val="FootnoteText"/>
      </w:pPr>
      <w:r w:rsidRPr="00752897">
        <w:rPr>
          <w:rStyle w:val="FootnoteReference"/>
        </w:rPr>
        <w:footnoteRef/>
      </w:r>
      <w:r w:rsidRPr="00752897">
        <w:rPr>
          <w:rStyle w:val="FootnoteReference"/>
        </w:rPr>
        <w:t xml:space="preserve"> </w:t>
      </w:r>
      <w:r w:rsidRPr="00DD4358">
        <w:t>Tawbi HA, Schadendorf D, Lipson EJ, et al. Relatlimab and</w:t>
      </w:r>
      <w:r w:rsidRPr="00CF5DEF">
        <w:t xml:space="preserve"> nivolumab versus nivolumab in untreated advanced melanoma. </w:t>
      </w:r>
      <w:r w:rsidRPr="00CF5DEF">
        <w:rPr>
          <w:i/>
          <w:iCs/>
        </w:rPr>
        <w:t>N Engl J Med</w:t>
      </w:r>
      <w:r w:rsidRPr="00CF5DEF">
        <w:t xml:space="preserve"> 2022;</w:t>
      </w:r>
      <w:r w:rsidR="00CF5DEF" w:rsidRPr="00CF5DEF">
        <w:t xml:space="preserve"> </w:t>
      </w:r>
      <w:r w:rsidRPr="00CF5DEF">
        <w:t>386:</w:t>
      </w:r>
      <w:r w:rsidR="00CF5DEF" w:rsidRPr="00CF5DEF">
        <w:t xml:space="preserve"> </w:t>
      </w:r>
      <w:r w:rsidRPr="00CF5DEF">
        <w:t>24–34</w:t>
      </w:r>
      <w:r w:rsidR="00CF5DEF" w:rsidRPr="00CF5DEF">
        <w:t>. doi: 10.1056/NEJMoa2109970</w:t>
      </w:r>
      <w:r w:rsidR="007B27D2">
        <w:t>.</w:t>
      </w:r>
    </w:p>
  </w:footnote>
  <w:footnote w:id="80">
    <w:p w14:paraId="44D1BA03" w14:textId="2BF39EBB" w:rsidR="0078184E" w:rsidRPr="00CF5DEF" w:rsidRDefault="00DC0FE2" w:rsidP="00CF5DEF">
      <w:pPr>
        <w:pStyle w:val="FootnoteText"/>
      </w:pPr>
      <w:r w:rsidRPr="00752897">
        <w:rPr>
          <w:rStyle w:val="FootnoteReference"/>
        </w:rPr>
        <w:footnoteRef/>
      </w:r>
      <w:r w:rsidRPr="00CF5DEF">
        <w:t xml:space="preserve"> </w:t>
      </w:r>
      <w:r w:rsidR="00E11693" w:rsidRPr="00FC6CED">
        <w:rPr>
          <w:b/>
          <w:bCs/>
        </w:rPr>
        <w:t>ECOG Performance Status</w:t>
      </w:r>
      <w:r w:rsidR="00E11693" w:rsidRPr="00CF5DEF">
        <w:t xml:space="preserve">: The Eastern Cooperative Oncology Group (ECOG) has developed criteria used by doctors and researchers to assess how a patient's disease is progressing, assess how the disease affects the daily living abilities of the patient, and determine appropriate treatment and prognosis. The following </w:t>
      </w:r>
      <w:r w:rsidR="009A487F">
        <w:t xml:space="preserve">ECOG status </w:t>
      </w:r>
      <w:r w:rsidR="00E11693" w:rsidRPr="00CF5DEF">
        <w:t>are used:</w:t>
      </w:r>
      <w:r w:rsidR="009A487F">
        <w:t xml:space="preserve"> </w:t>
      </w:r>
      <w:r w:rsidR="004C3E39">
        <w:t xml:space="preserve">Grade </w:t>
      </w:r>
      <w:r w:rsidR="00E11693" w:rsidRPr="00CF5DEF">
        <w:t>0</w:t>
      </w:r>
      <w:r w:rsidR="00B83235">
        <w:t> = </w:t>
      </w:r>
      <w:r w:rsidR="00E11693" w:rsidRPr="00CF5DEF">
        <w:t>Fully active, able to carry on all pre</w:t>
      </w:r>
      <w:r w:rsidR="0082444D">
        <w:noBreakHyphen/>
      </w:r>
      <w:r w:rsidR="00E11693" w:rsidRPr="00CF5DEF">
        <w:t>disease performance without restriction</w:t>
      </w:r>
      <w:r w:rsidR="009A487F">
        <w:t xml:space="preserve">; </w:t>
      </w:r>
      <w:r w:rsidR="004C3E39">
        <w:t xml:space="preserve">Grade </w:t>
      </w:r>
      <w:r w:rsidR="00E11693" w:rsidRPr="00CF5DEF">
        <w:t>1</w:t>
      </w:r>
      <w:r w:rsidR="00B83235">
        <w:t> = </w:t>
      </w:r>
      <w:r w:rsidR="00E11693" w:rsidRPr="00CF5DEF">
        <w:t>Restricted in physically strenuous activity but ambulatory and able to carry out work of a light or sedentary nature, for example, light house</w:t>
      </w:r>
      <w:r w:rsidR="008B3065">
        <w:t>-</w:t>
      </w:r>
      <w:r w:rsidR="00E11693" w:rsidRPr="00CF5DEF">
        <w:t>work, office work</w:t>
      </w:r>
      <w:r w:rsidR="009A487F">
        <w:t xml:space="preserve">; </w:t>
      </w:r>
      <w:r w:rsidR="004C3E39">
        <w:t>Grade </w:t>
      </w:r>
      <w:r w:rsidR="00E11693" w:rsidRPr="00CF5DEF">
        <w:t>2</w:t>
      </w:r>
      <w:r w:rsidR="00B83235">
        <w:t> = </w:t>
      </w:r>
      <w:r w:rsidR="00E11693" w:rsidRPr="00CF5DEF">
        <w:t>Ambulatory and capable of all selfcare but unable to carry out any work activities. Up and about more than 50% of waking hours</w:t>
      </w:r>
      <w:r w:rsidR="009A487F">
        <w:t xml:space="preserve">; </w:t>
      </w:r>
      <w:r w:rsidR="004C3E39">
        <w:t xml:space="preserve">Grade </w:t>
      </w:r>
      <w:r w:rsidR="00E11693" w:rsidRPr="00CF5DEF">
        <w:t>3</w:t>
      </w:r>
      <w:r w:rsidR="00B83235">
        <w:t> = </w:t>
      </w:r>
      <w:r w:rsidR="00E11693" w:rsidRPr="00CF5DEF">
        <w:t>Capable of only limited selfcare, confined to bed or chair more than 50% of waking hours</w:t>
      </w:r>
      <w:r w:rsidR="009A487F">
        <w:t xml:space="preserve">; </w:t>
      </w:r>
      <w:r w:rsidR="004C3E39">
        <w:t>Grade</w:t>
      </w:r>
      <w:r w:rsidR="00564C67">
        <w:t> </w:t>
      </w:r>
      <w:r w:rsidR="00E11693" w:rsidRPr="00CF5DEF">
        <w:t>4</w:t>
      </w:r>
      <w:r w:rsidR="00B83235">
        <w:t> = </w:t>
      </w:r>
      <w:r w:rsidR="00E11693" w:rsidRPr="00CF5DEF">
        <w:t>Completely disabled. Cannot carry on any selfcare. Totally confined to bed or chair</w:t>
      </w:r>
      <w:r w:rsidR="009A487F">
        <w:t xml:space="preserve">; </w:t>
      </w:r>
      <w:r w:rsidR="004C3E39">
        <w:t xml:space="preserve">Grade </w:t>
      </w:r>
      <w:r w:rsidR="00E11693" w:rsidRPr="00CF5DEF">
        <w:t>5</w:t>
      </w:r>
      <w:r w:rsidR="00B83235">
        <w:t> = </w:t>
      </w:r>
      <w:r w:rsidR="00E11693" w:rsidRPr="00CF5DEF">
        <w:t>Dead</w:t>
      </w:r>
      <w:r w:rsidR="009A487F">
        <w:t xml:space="preserve">. </w:t>
      </w:r>
      <w:r w:rsidR="0078184E" w:rsidRPr="00CF5DEF">
        <w:t>See</w:t>
      </w:r>
      <w:r w:rsidR="008B3065">
        <w:t>:</w:t>
      </w:r>
      <w:r w:rsidR="0078184E" w:rsidRPr="00CF5DEF">
        <w:t xml:space="preserve"> Eisenhauer EA, Therasse P, Bogaerts J, et al. New response evaluation criteria in solid tumours: revised RECIST guideline (version 1.1). </w:t>
      </w:r>
      <w:r w:rsidR="0078184E" w:rsidRPr="00CF5DEF">
        <w:rPr>
          <w:i/>
          <w:iCs/>
        </w:rPr>
        <w:t>Eur J Cancer</w:t>
      </w:r>
      <w:r w:rsidR="0078184E" w:rsidRPr="00CF5DEF">
        <w:t xml:space="preserve"> 2009; 45: 228</w:t>
      </w:r>
      <w:r w:rsidR="0082444D">
        <w:noBreakHyphen/>
      </w:r>
      <w:r w:rsidR="0078184E" w:rsidRPr="00CF5DEF">
        <w:t>47. doi: 10.1016/j.ejca.2008.10.026.</w:t>
      </w:r>
    </w:p>
  </w:footnote>
  <w:footnote w:id="81">
    <w:p w14:paraId="4FE5FF12" w14:textId="3C1D258E" w:rsidR="007B6555" w:rsidRPr="00CF5DEF" w:rsidRDefault="00DC0FE2" w:rsidP="00CF5DEF">
      <w:pPr>
        <w:pStyle w:val="FootnoteText"/>
      </w:pPr>
      <w:r w:rsidRPr="00752897">
        <w:rPr>
          <w:rStyle w:val="FootnoteReference"/>
        </w:rPr>
        <w:footnoteRef/>
      </w:r>
      <w:r w:rsidRPr="00752897">
        <w:rPr>
          <w:rStyle w:val="FootnoteReference"/>
        </w:rPr>
        <w:t xml:space="preserve"> </w:t>
      </w:r>
      <w:r w:rsidR="00EE178F">
        <w:t xml:space="preserve">The </w:t>
      </w:r>
      <w:r w:rsidRPr="00FC6CED">
        <w:rPr>
          <w:b/>
          <w:bCs/>
        </w:rPr>
        <w:t>Lansky</w:t>
      </w:r>
      <w:r w:rsidR="002E087D" w:rsidRPr="00FC6CED">
        <w:rPr>
          <w:b/>
          <w:bCs/>
        </w:rPr>
        <w:t xml:space="preserve"> Performance Status</w:t>
      </w:r>
      <w:r w:rsidR="002E087D" w:rsidRPr="00CF5DEF">
        <w:t xml:space="preserve"> </w:t>
      </w:r>
      <w:r w:rsidR="00EE178F">
        <w:t>is a method for describing functional status in pa</w:t>
      </w:r>
      <w:r w:rsidR="00EE178F" w:rsidRPr="00EE178F">
        <w:t>ediatric cancer patients</w:t>
      </w:r>
      <w:r w:rsidR="00EE178F">
        <w:t xml:space="preserve">, </w:t>
      </w:r>
      <w:r w:rsidR="00EE178F" w:rsidRPr="00EE178F">
        <w:t>or possibly other children with serious chronic or life</w:t>
      </w:r>
      <w:r w:rsidR="006B18B5">
        <w:t>-</w:t>
      </w:r>
      <w:r w:rsidR="00EE178F" w:rsidRPr="00EE178F">
        <w:t>threatening diseases</w:t>
      </w:r>
      <w:r w:rsidR="00EE178F">
        <w:t xml:space="preserve">. It was derived and internally validated in children with cancer to assess response to therapies and overall status. A </w:t>
      </w:r>
      <w:r w:rsidR="00EE178F" w:rsidRPr="00CF5DEF">
        <w:t>Lansky Performance Status</w:t>
      </w:r>
      <w:r w:rsidR="00EE178F">
        <w:t xml:space="preserve"> </w:t>
      </w:r>
      <w:r w:rsidR="002E087D" w:rsidRPr="00CF5DEF">
        <w:t>of 80% is ‘active, but tires more quickly’.</w:t>
      </w:r>
      <w:r w:rsidR="00FC6CED">
        <w:t xml:space="preserve"> </w:t>
      </w:r>
      <w:r w:rsidR="002E087D" w:rsidRPr="00CF5DEF">
        <w:t xml:space="preserve">See Lansky SB, List MA, Lansky LL, et al. The measurement of performance in childhood cancer patients. </w:t>
      </w:r>
      <w:r w:rsidR="002E087D" w:rsidRPr="00CF5DEF">
        <w:rPr>
          <w:i/>
          <w:iCs/>
        </w:rPr>
        <w:t>Cancer</w:t>
      </w:r>
      <w:r w:rsidR="002E087D" w:rsidRPr="00CF5DEF">
        <w:t xml:space="preserve"> 1987; 60:1651–1656. </w:t>
      </w:r>
      <w:hyperlink r:id="rId11" w:history="1">
        <w:r w:rsidR="002E087D" w:rsidRPr="00CF5DEF">
          <w:t>doi: 10.1002/1097</w:t>
        </w:r>
        <w:r w:rsidR="0082444D">
          <w:noBreakHyphen/>
        </w:r>
        <w:r w:rsidR="002E087D" w:rsidRPr="00CF5DEF">
          <w:t>0142(19871001)60:7&lt;1651::AID</w:t>
        </w:r>
        <w:r w:rsidR="0082444D">
          <w:noBreakHyphen/>
        </w:r>
        <w:r w:rsidR="002E087D" w:rsidRPr="00CF5DEF">
          <w:t>CNCR2820600738&gt;3.0.CO;2</w:t>
        </w:r>
        <w:r w:rsidR="0082444D">
          <w:noBreakHyphen/>
        </w:r>
        <w:r w:rsidR="002E087D" w:rsidRPr="00CF5DEF">
          <w:t>J</w:t>
        </w:r>
      </w:hyperlink>
      <w:r w:rsidR="007B27D2">
        <w:t>.</w:t>
      </w:r>
    </w:p>
  </w:footnote>
  <w:footnote w:id="82">
    <w:p w14:paraId="5B78F4A8" w14:textId="1C4ACA78" w:rsidR="001628C1" w:rsidRPr="00CF5DEF" w:rsidRDefault="00E11693" w:rsidP="00315221">
      <w:pPr>
        <w:pStyle w:val="FootnoteText"/>
      </w:pPr>
      <w:r w:rsidRPr="00752897">
        <w:rPr>
          <w:rStyle w:val="FootnoteReference"/>
        </w:rPr>
        <w:footnoteRef/>
      </w:r>
      <w:r w:rsidRPr="00CF5DEF">
        <w:t xml:space="preserve"> The </w:t>
      </w:r>
      <w:r w:rsidRPr="00DC15BA">
        <w:rPr>
          <w:b/>
          <w:bCs/>
        </w:rPr>
        <w:t>American Joint Committee on Cancer (AJCC) staging system</w:t>
      </w:r>
      <w:r w:rsidRPr="00CF5DEF">
        <w:t>, better known as the TNM Staging System is a widely used cancer staging system, developed and maintained by the AJCC and the Union for International Cancer Control (UICC). The TNM Staging System is based on the extent of the tumour (T), extent of spread to lymph nodes (N) and presence of metastasis (M). The T category describes the original (primary) tumour: TX</w:t>
      </w:r>
      <w:r w:rsidR="00B83235">
        <w:t> = </w:t>
      </w:r>
      <w:r w:rsidRPr="00CF5DEF">
        <w:t>Primary tumour cannot be evaluated; T0</w:t>
      </w:r>
      <w:r w:rsidR="00B83235">
        <w:t> = </w:t>
      </w:r>
      <w:r w:rsidRPr="00CF5DEF">
        <w:t>No evidence of primary tumour; Tis</w:t>
      </w:r>
      <w:r w:rsidR="00B83235">
        <w:t> = </w:t>
      </w:r>
      <w:r w:rsidRPr="00CF5DEF">
        <w:t>Carcinoma in situ (early cancer that has not spread to neighbouring tissue); T1 to T4: Size and/or extent of the primary tumour. The N category describes whether or not the cancer has reached nearby lymph nodes: NX</w:t>
      </w:r>
      <w:r w:rsidR="00B83235">
        <w:t> = </w:t>
      </w:r>
      <w:r w:rsidRPr="00CF5DEF">
        <w:t>Regional lymph nodes cannot be evaluated; N0</w:t>
      </w:r>
      <w:r w:rsidR="00B83235">
        <w:t> = </w:t>
      </w:r>
      <w:r w:rsidRPr="00CF5DEF">
        <w:t>No regional lymph node involvement (no cancer found in the lymph nodes); N1 to N3</w:t>
      </w:r>
      <w:r w:rsidR="00B83235">
        <w:t> = </w:t>
      </w:r>
      <w:r w:rsidRPr="00CF5DEF">
        <w:t>Involvement of regional lymph nodes (number and/or extent of spread). The M category describes whether there are distant metastases (spread of cancer to other parts of the body): M0</w:t>
      </w:r>
      <w:r w:rsidR="00B83235">
        <w:t> = </w:t>
      </w:r>
      <w:r w:rsidRPr="00CF5DEF">
        <w:t>No distant metastasis (cancer has not spread to other parts of the body); M1</w:t>
      </w:r>
      <w:r w:rsidR="00B83235">
        <w:t> = </w:t>
      </w:r>
      <w:r w:rsidRPr="00CF5DEF">
        <w:t>Distant metastasis (cancer has spread to distant parts of the body).</w:t>
      </w:r>
      <w:r w:rsidR="001628C1">
        <w:t xml:space="preserve"> In version 8, M1a</w:t>
      </w:r>
      <w:r w:rsidR="00B83235">
        <w:t> = </w:t>
      </w:r>
      <w:r w:rsidR="00315221">
        <w:t>Distant metastasis to skin, soft tissue including muscles, and/or nonregional lymph node; M1b</w:t>
      </w:r>
      <w:r w:rsidR="00B83235">
        <w:t> = </w:t>
      </w:r>
      <w:r w:rsidR="00315221">
        <w:t>Distant metastasis to lung with or without M1a sites of disease; M1c</w:t>
      </w:r>
      <w:r w:rsidR="00B83235">
        <w:t> = </w:t>
      </w:r>
      <w:r w:rsidR="00315221">
        <w:t>Distant metastasis to non-CNS visceral sites with or without M1a or M1b sites of disease; M1d</w:t>
      </w:r>
      <w:r w:rsidR="00B83235">
        <w:t> = </w:t>
      </w:r>
      <w:r w:rsidR="00315221">
        <w:t>Distant metastasis to CNS with or without M1a, M1b, or M1c sites of disease.</w:t>
      </w:r>
    </w:p>
  </w:footnote>
  <w:footnote w:id="83">
    <w:p w14:paraId="77884B93" w14:textId="4CF005E1" w:rsidR="001628C1" w:rsidRDefault="001628C1">
      <w:pPr>
        <w:pStyle w:val="FootnoteText"/>
      </w:pPr>
      <w:r>
        <w:rPr>
          <w:rStyle w:val="FootnoteReference"/>
        </w:rPr>
        <w:footnoteRef/>
      </w:r>
      <w:r>
        <w:t xml:space="preserve"> The sponsor clarified that the staging on metastases was </w:t>
      </w:r>
      <w:r w:rsidRPr="00134639">
        <w:t xml:space="preserve">M0/M1 with normal </w:t>
      </w:r>
      <w:r>
        <w:t>lactate dehydrogenase (</w:t>
      </w:r>
      <w:r w:rsidRPr="00134639">
        <w:t>LDH</w:t>
      </w:r>
      <w:r>
        <w:t>)</w:t>
      </w:r>
      <w:r w:rsidRPr="00134639">
        <w:t xml:space="preserve"> v</w:t>
      </w:r>
      <w:r>
        <w:t>ersu</w:t>
      </w:r>
      <w:r w:rsidRPr="00134639">
        <w:t>s M1 with elevated LDH</w:t>
      </w:r>
      <w:r>
        <w:t>.</w:t>
      </w:r>
    </w:p>
  </w:footnote>
  <w:footnote w:id="84">
    <w:p w14:paraId="18AEC384" w14:textId="515AC7E6" w:rsidR="00B3267D" w:rsidRPr="00CF5DEF" w:rsidRDefault="00B3267D" w:rsidP="00CF5DEF">
      <w:pPr>
        <w:pStyle w:val="FootnoteText"/>
      </w:pPr>
      <w:r w:rsidRPr="00752897">
        <w:rPr>
          <w:rStyle w:val="FootnoteReference"/>
        </w:rPr>
        <w:footnoteRef/>
      </w:r>
      <w:r w:rsidRPr="00752897">
        <w:rPr>
          <w:rStyle w:val="FootnoteReference"/>
        </w:rPr>
        <w:t xml:space="preserve"> </w:t>
      </w:r>
      <w:r w:rsidRPr="00CF5DEF">
        <w:t xml:space="preserve">The </w:t>
      </w:r>
      <w:r w:rsidRPr="00DC15BA">
        <w:rPr>
          <w:b/>
          <w:bCs/>
        </w:rPr>
        <w:t>Response Evaluation Criteria In Solid Tumours</w:t>
      </w:r>
      <w:r w:rsidR="00CF5DEF" w:rsidRPr="00DC15BA">
        <w:rPr>
          <w:b/>
          <w:bCs/>
        </w:rPr>
        <w:t xml:space="preserve"> </w:t>
      </w:r>
      <w:r w:rsidRPr="00DC15BA">
        <w:rPr>
          <w:b/>
          <w:bCs/>
        </w:rPr>
        <w:t>(RECIST)</w:t>
      </w:r>
      <w:r w:rsidRPr="00CF5DEF">
        <w:t xml:space="preserve"> is a voluntary international standard with unified and easily applicable criteria to define when a patient's tumour has improved ('respond'), stayed the same ('stabilise'), or worsened ('progress') during treatment. The criteria were published in February 2000 by an international collaboration including the European Organisation for Research and Treatment of Cancer (EORTC), National Cancer Institute (NCI) of the United States, and the National Cancer Institute of Canada Clinical Trials Group. Today, the majority of clinical trials evaluating cancer treatments for objective response in solid tumours use RECIST. These criteria were developed and published in February 2000, and subsequently updated in 2009.</w:t>
      </w:r>
    </w:p>
  </w:footnote>
  <w:footnote w:id="85">
    <w:p w14:paraId="10796FC5" w14:textId="169C6968" w:rsidR="00B3267D" w:rsidRPr="000B287E" w:rsidRDefault="00B3267D" w:rsidP="00CF5DEF">
      <w:pPr>
        <w:pStyle w:val="FootnoteText"/>
      </w:pPr>
      <w:r w:rsidRPr="00752897">
        <w:rPr>
          <w:rStyle w:val="FootnoteReference"/>
        </w:rPr>
        <w:footnoteRef/>
      </w:r>
      <w:r w:rsidRPr="00DC17D9">
        <w:rPr>
          <w:rStyle w:val="FootnoteReference"/>
          <w:lang w:val="fr-FR"/>
        </w:rPr>
        <w:t xml:space="preserve"> </w:t>
      </w:r>
      <w:r w:rsidRPr="00DC17D9">
        <w:rPr>
          <w:lang w:val="fr-FR"/>
        </w:rPr>
        <w:t xml:space="preserve">Hodi FS, Hwu WJ, Kefford R, </w:t>
      </w:r>
      <w:r w:rsidR="000B287E" w:rsidRPr="00DC17D9">
        <w:rPr>
          <w:lang w:val="fr-FR"/>
        </w:rPr>
        <w:t>et al.</w:t>
      </w:r>
      <w:r w:rsidRPr="00DC17D9">
        <w:rPr>
          <w:lang w:val="fr-FR"/>
        </w:rPr>
        <w:t xml:space="preserve"> </w:t>
      </w:r>
      <w:r w:rsidRPr="00CF5DEF">
        <w:t>Evaluation of immune</w:t>
      </w:r>
      <w:r w:rsidR="0082444D">
        <w:noBreakHyphen/>
      </w:r>
      <w:r w:rsidRPr="00CF5DEF">
        <w:t xml:space="preserve">related response criteria and RECIST v1.1 in patients with advanced melanoma treated with pembrolizumab. </w:t>
      </w:r>
      <w:r w:rsidRPr="000B287E">
        <w:rPr>
          <w:i/>
          <w:iCs/>
        </w:rPr>
        <w:t>J Clin Oncol</w:t>
      </w:r>
      <w:r w:rsidRPr="00CF5DEF">
        <w:t xml:space="preserve"> 2016;</w:t>
      </w:r>
      <w:r w:rsidR="000B287E">
        <w:t xml:space="preserve"> </w:t>
      </w:r>
      <w:r w:rsidRPr="00CF5DEF">
        <w:t>34(13):</w:t>
      </w:r>
      <w:r w:rsidR="000B287E">
        <w:t xml:space="preserve"> </w:t>
      </w:r>
      <w:r w:rsidRPr="00CF5DEF">
        <w:t>1510</w:t>
      </w:r>
      <w:r w:rsidR="0082444D">
        <w:noBreakHyphen/>
      </w:r>
      <w:r w:rsidR="000B287E">
        <w:t>151</w:t>
      </w:r>
      <w:r w:rsidRPr="000B287E">
        <w:t>7.</w:t>
      </w:r>
      <w:r w:rsidR="000B287E" w:rsidRPr="000B287E">
        <w:t xml:space="preserve"> doi: 10.1200/JCO.2015.64.0391</w:t>
      </w:r>
      <w:r w:rsidR="007B27D2">
        <w:t>.</w:t>
      </w:r>
    </w:p>
  </w:footnote>
  <w:footnote w:id="86">
    <w:p w14:paraId="372C902B" w14:textId="2AD17807" w:rsidR="004B7BF3" w:rsidRDefault="004B7BF3" w:rsidP="00CF5DEF">
      <w:pPr>
        <w:pStyle w:val="FootnoteText"/>
      </w:pPr>
      <w:r w:rsidRPr="00752897">
        <w:rPr>
          <w:rStyle w:val="FootnoteReference"/>
        </w:rPr>
        <w:footnoteRef/>
      </w:r>
      <w:r w:rsidRPr="00CF5DEF">
        <w:t xml:space="preserve"> See pages 124</w:t>
      </w:r>
      <w:r w:rsidR="0082444D">
        <w:noBreakHyphen/>
      </w:r>
      <w:r w:rsidRPr="00CF5DEF">
        <w:t>128 of the FDA multidisciplinary review (MDR) document for Opdualag. A</w:t>
      </w:r>
      <w:r w:rsidR="000B287E">
        <w:t>vailable at</w:t>
      </w:r>
      <w:r w:rsidRPr="00CF5DEF">
        <w:t>:</w:t>
      </w:r>
      <w:r>
        <w:t xml:space="preserve"> </w:t>
      </w:r>
      <w:hyperlink r:id="rId12" w:history="1">
        <w:r w:rsidRPr="00AF22B7">
          <w:rPr>
            <w:rStyle w:val="Hyperlink"/>
          </w:rPr>
          <w:t>https://www.accessdata.fda.gov/drugsatfda_docs/nda/2022/761234Orig1s000MultidisciplineR.pdf</w:t>
        </w:r>
      </w:hyperlink>
      <w:r w:rsidR="007B27D2">
        <w:rPr>
          <w:rStyle w:val="Hyperlink"/>
        </w:rPr>
        <w:t>.</w:t>
      </w:r>
    </w:p>
  </w:footnote>
  <w:footnote w:id="87">
    <w:p w14:paraId="19FE23C6" w14:textId="7EAA1712" w:rsidR="00EA22F7" w:rsidRDefault="00EA22F7">
      <w:pPr>
        <w:pStyle w:val="FootnoteText"/>
      </w:pPr>
      <w:r>
        <w:rPr>
          <w:rStyle w:val="FootnoteReference"/>
        </w:rPr>
        <w:footnoteRef/>
      </w:r>
      <w:r>
        <w:t xml:space="preserve"> </w:t>
      </w:r>
      <w:r w:rsidRPr="00DD4358">
        <w:t>See pages 1</w:t>
      </w:r>
      <w:r>
        <w:t>30</w:t>
      </w:r>
      <w:r>
        <w:noBreakHyphen/>
      </w:r>
      <w:r w:rsidRPr="00DD4358">
        <w:t>1</w:t>
      </w:r>
      <w:r>
        <w:t>31</w:t>
      </w:r>
      <w:r w:rsidRPr="00DD4358">
        <w:t xml:space="preserve"> of the FDA multidisciplinary review (MDR) document for Opdualag. A</w:t>
      </w:r>
      <w:r>
        <w:t>vailable at</w:t>
      </w:r>
      <w:r w:rsidRPr="00DD4358">
        <w:t>:</w:t>
      </w:r>
      <w:r>
        <w:t xml:space="preserve"> </w:t>
      </w:r>
      <w:hyperlink r:id="rId13" w:history="1">
        <w:r w:rsidRPr="00AF22B7">
          <w:rPr>
            <w:rStyle w:val="Hyperlink"/>
          </w:rPr>
          <w:t>https://www.accessdata.fda.gov/drugsatfda_docs/nda/2022/761234Orig1s000MultidisciplineR.pdf</w:t>
        </w:r>
      </w:hyperlink>
      <w:r w:rsidR="007B27D2">
        <w:rPr>
          <w:rStyle w:val="Hyperlink"/>
        </w:rPr>
        <w:t>.</w:t>
      </w:r>
    </w:p>
  </w:footnote>
  <w:footnote w:id="88">
    <w:p w14:paraId="0B11BF0E" w14:textId="506D0961" w:rsidR="00C13406" w:rsidRPr="000B287E" w:rsidRDefault="00B40533" w:rsidP="00FF6BA7">
      <w:pPr>
        <w:pStyle w:val="EndnoteText"/>
        <w:rPr>
          <w:sz w:val="17"/>
          <w:szCs w:val="17"/>
        </w:rPr>
      </w:pPr>
      <w:r w:rsidRPr="00752897">
        <w:rPr>
          <w:rStyle w:val="FootnoteReference"/>
        </w:rPr>
        <w:footnoteRef/>
      </w:r>
      <w:r w:rsidRPr="00752897">
        <w:rPr>
          <w:rStyle w:val="FootnoteReference"/>
        </w:rPr>
        <w:t xml:space="preserve"> </w:t>
      </w:r>
      <w:r w:rsidR="00C13406" w:rsidRPr="00095D26">
        <w:rPr>
          <w:rStyle w:val="FootnoteTextChar"/>
        </w:rPr>
        <w:t xml:space="preserve">See pages 139 to 148 of the FDA multidisciplinary review (MDR) document for Opdualag. Available at: </w:t>
      </w:r>
      <w:hyperlink r:id="rId14" w:history="1">
        <w:r w:rsidR="007B27D2" w:rsidRPr="00095D26">
          <w:rPr>
            <w:rStyle w:val="Hyperlink"/>
            <w:sz w:val="17"/>
          </w:rPr>
          <w:t>https://www.accessdata.fda.gov/drugsatfda_docs/nda/2022/761234Orig1s000MultidisciplineR.pdf</w:t>
        </w:r>
      </w:hyperlink>
      <w:r w:rsidR="007B27D2">
        <w:rPr>
          <w:rStyle w:val="FootnoteTextChar"/>
        </w:rPr>
        <w:t>.</w:t>
      </w:r>
    </w:p>
  </w:footnote>
  <w:footnote w:id="89">
    <w:p w14:paraId="0E309F25" w14:textId="3B268C39" w:rsidR="00FF6BA7" w:rsidRPr="000B287E" w:rsidRDefault="00FF6BA7" w:rsidP="00FF6BA7">
      <w:pPr>
        <w:pStyle w:val="EndnoteText"/>
        <w:rPr>
          <w:sz w:val="17"/>
          <w:szCs w:val="17"/>
        </w:rPr>
      </w:pPr>
      <w:r w:rsidRPr="00752897">
        <w:rPr>
          <w:rStyle w:val="FootnoteReference"/>
        </w:rPr>
        <w:footnoteRef/>
      </w:r>
      <w:r w:rsidRPr="00752897">
        <w:rPr>
          <w:rStyle w:val="FootnoteReference"/>
        </w:rPr>
        <w:t xml:space="preserve"> </w:t>
      </w:r>
      <w:r w:rsidRPr="000B287E">
        <w:rPr>
          <w:rStyle w:val="FootnoteTextChar"/>
          <w:szCs w:val="17"/>
        </w:rPr>
        <w:t>See pages 144 to 148 of the FDA multidisciplinary review (MDR) document for OPDUALAG. A</w:t>
      </w:r>
      <w:r w:rsidR="000B287E">
        <w:rPr>
          <w:rStyle w:val="FootnoteTextChar"/>
          <w:szCs w:val="17"/>
        </w:rPr>
        <w:t>vailable at</w:t>
      </w:r>
      <w:r w:rsidRPr="000B287E">
        <w:rPr>
          <w:rStyle w:val="FootnoteTextChar"/>
          <w:szCs w:val="17"/>
        </w:rPr>
        <w:t>:</w:t>
      </w:r>
      <w:r w:rsidRPr="000B287E">
        <w:rPr>
          <w:sz w:val="17"/>
          <w:szCs w:val="17"/>
        </w:rPr>
        <w:t xml:space="preserve"> </w:t>
      </w:r>
      <w:hyperlink r:id="rId15" w:history="1">
        <w:r w:rsidRPr="000B287E">
          <w:rPr>
            <w:rStyle w:val="Hyperlink"/>
            <w:sz w:val="17"/>
            <w:szCs w:val="17"/>
          </w:rPr>
          <w:t>https://www.accessdata.fda.gov/drugsatfda_docs/nda/2022/761234Orig1s000MultidisciplineR.pdf</w:t>
        </w:r>
      </w:hyperlink>
      <w:r w:rsidR="007B27D2">
        <w:rPr>
          <w:rStyle w:val="Hyperlink"/>
          <w:sz w:val="17"/>
          <w:szCs w:val="17"/>
        </w:rPr>
        <w:t>.</w:t>
      </w:r>
    </w:p>
  </w:footnote>
  <w:footnote w:id="90">
    <w:p w14:paraId="42D7CE79" w14:textId="6BD854F4" w:rsidR="00FF6BA7" w:rsidRPr="000B287E" w:rsidRDefault="00FF6BA7" w:rsidP="00FF6BA7">
      <w:pPr>
        <w:pStyle w:val="FootnoteText"/>
        <w:rPr>
          <w:szCs w:val="17"/>
        </w:rPr>
      </w:pPr>
      <w:r w:rsidRPr="00752897">
        <w:rPr>
          <w:rStyle w:val="FootnoteReference"/>
        </w:rPr>
        <w:footnoteRef/>
      </w:r>
      <w:r w:rsidRPr="00752897">
        <w:rPr>
          <w:rStyle w:val="FootnoteReference"/>
        </w:rPr>
        <w:t xml:space="preserve"> </w:t>
      </w:r>
      <w:r w:rsidR="004731FD">
        <w:t>S</w:t>
      </w:r>
      <w:r w:rsidRPr="000B287E">
        <w:rPr>
          <w:szCs w:val="17"/>
        </w:rPr>
        <w:t>ee Table 69</w:t>
      </w:r>
      <w:r w:rsidR="004731FD">
        <w:rPr>
          <w:szCs w:val="17"/>
        </w:rPr>
        <w:t xml:space="preserve"> on</w:t>
      </w:r>
      <w:r w:rsidRPr="000B287E">
        <w:rPr>
          <w:szCs w:val="17"/>
        </w:rPr>
        <w:t xml:space="preserve"> page 217 of the FDA multidisciplinary review (MDR) document for OPDUALAG. A</w:t>
      </w:r>
      <w:r w:rsidR="000B287E">
        <w:rPr>
          <w:szCs w:val="17"/>
        </w:rPr>
        <w:t>vailable at</w:t>
      </w:r>
      <w:r w:rsidRPr="000B287E">
        <w:rPr>
          <w:szCs w:val="17"/>
        </w:rPr>
        <w:t xml:space="preserve">: </w:t>
      </w:r>
      <w:hyperlink r:id="rId16" w:history="1">
        <w:r w:rsidRPr="000B287E">
          <w:rPr>
            <w:rStyle w:val="Hyperlink"/>
            <w:szCs w:val="17"/>
          </w:rPr>
          <w:t>https://www.accessdata.fda.gov/drugsatfda_docs/nda/2022/761234Orig1s000MultidisciplineR.pdf</w:t>
        </w:r>
      </w:hyperlink>
      <w:r w:rsidR="007B27D2">
        <w:rPr>
          <w:rStyle w:val="Hyperlink"/>
          <w:szCs w:val="17"/>
        </w:rPr>
        <w:t>.</w:t>
      </w:r>
    </w:p>
  </w:footnote>
  <w:footnote w:id="91">
    <w:p w14:paraId="17BC6D38" w14:textId="6B33D56B" w:rsidR="00992807" w:rsidRPr="0023737D" w:rsidRDefault="00992807" w:rsidP="0023737D">
      <w:pPr>
        <w:pStyle w:val="FootnoteText"/>
      </w:pPr>
      <w:r w:rsidRPr="00752897">
        <w:rPr>
          <w:rStyle w:val="FootnoteReference"/>
        </w:rPr>
        <w:footnoteRef/>
      </w:r>
      <w:r w:rsidRPr="0023737D">
        <w:t xml:space="preserve"> </w:t>
      </w:r>
      <w:r w:rsidR="00512514" w:rsidRPr="00920E08">
        <w:t xml:space="preserve">The </w:t>
      </w:r>
      <w:r w:rsidR="00512514" w:rsidRPr="00D70FED">
        <w:rPr>
          <w:b/>
          <w:bCs/>
        </w:rPr>
        <w:t>Medical Dictionary for Regulatory Activities (MedDRA)</w:t>
      </w:r>
      <w:r w:rsidR="00512514" w:rsidRPr="00246538">
        <w:t xml:space="preserve"> is an internationally used set of terms relating to medical conditions, medicines and medical devices. It was created to assist regulators with sharing information. It is also used by industry, academics, health professionals and other organisations that communicate medical information.</w:t>
      </w:r>
    </w:p>
  </w:footnote>
  <w:footnote w:id="92">
    <w:p w14:paraId="540F8AEB" w14:textId="60575EA3" w:rsidR="00512514" w:rsidRDefault="00512514">
      <w:pPr>
        <w:pStyle w:val="FootnoteText"/>
      </w:pPr>
      <w:r>
        <w:rPr>
          <w:rStyle w:val="FootnoteReference"/>
        </w:rPr>
        <w:footnoteRef/>
      </w:r>
      <w:r>
        <w:t xml:space="preserve"> </w:t>
      </w:r>
      <w:r w:rsidRPr="000526FB">
        <w:t xml:space="preserve">In MedDRA, </w:t>
      </w:r>
      <w:r w:rsidR="00B651DF">
        <w:t>P</w:t>
      </w:r>
      <w:r w:rsidRPr="000526FB">
        <w:rPr>
          <w:rFonts w:eastAsia="TimesNewRoman" w:cs="TimesNewRoman"/>
          <w:lang w:val="en-GB"/>
        </w:rPr>
        <w:t xml:space="preserve">referred </w:t>
      </w:r>
      <w:r w:rsidR="00B651DF">
        <w:rPr>
          <w:rFonts w:eastAsia="TimesNewRoman" w:cs="TimesNewRoman"/>
          <w:lang w:val="en-GB"/>
        </w:rPr>
        <w:t>T</w:t>
      </w:r>
      <w:r w:rsidRPr="000526FB">
        <w:rPr>
          <w:rFonts w:eastAsia="TimesNewRoman" w:cs="TimesNewRoman"/>
          <w:lang w:val="en-GB"/>
        </w:rPr>
        <w:t>erms (PT) are single concepts for symptoms, signs, disease diagnosis, therapeutic indications,</w:t>
      </w:r>
      <w:r>
        <w:rPr>
          <w:rFonts w:eastAsia="TimesNewRoman" w:cs="TimesNewRoman"/>
          <w:lang w:val="en-GB"/>
        </w:rPr>
        <w:t xml:space="preserve"> investigations, procedures, and characteristics. There are over 20,000 </w:t>
      </w:r>
      <w:r w:rsidR="007B27D2">
        <w:rPr>
          <w:rFonts w:eastAsia="TimesNewRoman" w:cs="TimesNewRoman"/>
          <w:lang w:val="en-GB"/>
        </w:rPr>
        <w:t>P</w:t>
      </w:r>
      <w:r>
        <w:rPr>
          <w:rFonts w:eastAsia="TimesNewRoman" w:cs="TimesNewRoman"/>
          <w:lang w:val="en-GB"/>
        </w:rPr>
        <w:t xml:space="preserve">referred </w:t>
      </w:r>
      <w:r w:rsidR="007B27D2">
        <w:rPr>
          <w:rFonts w:eastAsia="TimesNewRoman" w:cs="TimesNewRoman"/>
          <w:lang w:val="en-GB"/>
        </w:rPr>
        <w:t>T</w:t>
      </w:r>
      <w:r>
        <w:rPr>
          <w:rFonts w:eastAsia="TimesNewRoman" w:cs="TimesNewRoman"/>
          <w:lang w:val="en-GB"/>
        </w:rPr>
        <w:t>erms.</w:t>
      </w:r>
    </w:p>
  </w:footnote>
  <w:footnote w:id="93">
    <w:p w14:paraId="6FBC6E37" w14:textId="3E1154B7" w:rsidR="000F087C" w:rsidRPr="0023737D" w:rsidRDefault="000F087C" w:rsidP="0023737D">
      <w:pPr>
        <w:pStyle w:val="FootnoteText"/>
      </w:pPr>
      <w:r w:rsidRPr="00752897">
        <w:rPr>
          <w:rStyle w:val="FootnoteReference"/>
        </w:rPr>
        <w:footnoteRef/>
      </w:r>
      <w:r w:rsidRPr="0023737D">
        <w:t xml:space="preserve"> See page 215 of the FDA multidisciplinary review (MDR) document for Opdualag. A</w:t>
      </w:r>
      <w:r w:rsidR="0023737D">
        <w:t>vailable at</w:t>
      </w:r>
      <w:r w:rsidRPr="0023737D">
        <w:t>:</w:t>
      </w:r>
      <w:r>
        <w:t xml:space="preserve"> </w:t>
      </w:r>
      <w:hyperlink r:id="rId17" w:history="1">
        <w:r w:rsidRPr="00AF22B7">
          <w:rPr>
            <w:rStyle w:val="Hyperlink"/>
          </w:rPr>
          <w:t>https://www.accessdata.fda.gov/drugsatfda_docs/nda/2022/761234Orig1s000MultidisciplineR.pdf</w:t>
        </w:r>
      </w:hyperlink>
      <w:r w:rsidR="007B27D2">
        <w:rPr>
          <w:rStyle w:val="Hyperlink"/>
        </w:rPr>
        <w:t>.</w:t>
      </w:r>
    </w:p>
  </w:footnote>
  <w:footnote w:id="94">
    <w:p w14:paraId="3FDD46A7" w14:textId="5C70D31C" w:rsidR="00F17119" w:rsidRDefault="00F17119" w:rsidP="0023737D">
      <w:pPr>
        <w:pStyle w:val="FootnoteText"/>
      </w:pPr>
      <w:r w:rsidRPr="00752897">
        <w:rPr>
          <w:rStyle w:val="FootnoteReference"/>
        </w:rPr>
        <w:footnoteRef/>
      </w:r>
      <w:r w:rsidRPr="0023737D">
        <w:t xml:space="preserve"> See page 176 of the FDA multidisciplinary review (MDR) document for Opdualag. A</w:t>
      </w:r>
      <w:r w:rsidR="0023737D">
        <w:t xml:space="preserve">vailable </w:t>
      </w:r>
      <w:r w:rsidRPr="0023737D">
        <w:t>at:</w:t>
      </w:r>
      <w:r>
        <w:t xml:space="preserve"> </w:t>
      </w:r>
      <w:hyperlink r:id="rId18" w:history="1">
        <w:r w:rsidRPr="00AF22B7">
          <w:rPr>
            <w:rStyle w:val="Hyperlink"/>
          </w:rPr>
          <w:t>https://www.accessdata.fda.gov/drugsatfda_docs/nda/2022/761234Orig1s000MultidisciplineR.pdf</w:t>
        </w:r>
      </w:hyperlink>
      <w:r w:rsidR="007B27D2">
        <w:rPr>
          <w:rStyle w:val="Hyperlink"/>
        </w:rPr>
        <w:t>.</w:t>
      </w:r>
    </w:p>
  </w:footnote>
  <w:footnote w:id="95">
    <w:p w14:paraId="077B5CFF" w14:textId="0AAD8F8D" w:rsidR="00F17119" w:rsidRDefault="00F17119" w:rsidP="00F17119">
      <w:pPr>
        <w:pStyle w:val="FootnoteText"/>
      </w:pPr>
      <w:r w:rsidRPr="00752897">
        <w:rPr>
          <w:rStyle w:val="FootnoteReference"/>
        </w:rPr>
        <w:footnoteRef/>
      </w:r>
      <w:r w:rsidRPr="0023737D">
        <w:t xml:space="preserve"> See page 185 to 188 of the </w:t>
      </w:r>
      <w:r w:rsidR="0023737D" w:rsidRPr="0023737D">
        <w:t>FDA multidisciplinary review (MDR) document for Opdualag. Available at:</w:t>
      </w:r>
      <w:r w:rsidR="0023737D">
        <w:t xml:space="preserve"> </w:t>
      </w:r>
      <w:hyperlink r:id="rId19" w:history="1">
        <w:r w:rsidR="0023737D" w:rsidRPr="00AF22B7">
          <w:rPr>
            <w:rStyle w:val="Hyperlink"/>
          </w:rPr>
          <w:t>https://www.accessdata.fda.gov/drugsatfda_docs/nda/2022/761234Orig1s000MultidisciplineR.pdf</w:t>
        </w:r>
      </w:hyperlink>
      <w:r w:rsidR="007B27D2">
        <w:rPr>
          <w:rStyle w:val="Hyperlink"/>
        </w:rPr>
        <w:t>.</w:t>
      </w:r>
    </w:p>
  </w:footnote>
  <w:footnote w:id="96">
    <w:p w14:paraId="7DBB44CF" w14:textId="16E8DCB5" w:rsidR="00E65D8F" w:rsidRDefault="00E65D8F">
      <w:pPr>
        <w:pStyle w:val="FootnoteText"/>
      </w:pPr>
      <w:r w:rsidRPr="00752897">
        <w:rPr>
          <w:rStyle w:val="FootnoteReference"/>
        </w:rPr>
        <w:footnoteRef/>
      </w:r>
      <w:r w:rsidRPr="0023737D">
        <w:t xml:space="preserve"> See Table 61 of the FDA multidisciplinary review (MDR) document for Opdualag. A</w:t>
      </w:r>
      <w:r w:rsidR="0023737D">
        <w:t>vailable at</w:t>
      </w:r>
      <w:r w:rsidRPr="0023737D">
        <w:t>:</w:t>
      </w:r>
      <w:r>
        <w:t xml:space="preserve"> </w:t>
      </w:r>
      <w:hyperlink r:id="rId20" w:history="1">
        <w:r w:rsidRPr="00AF22B7">
          <w:rPr>
            <w:rStyle w:val="Hyperlink"/>
          </w:rPr>
          <w:t>https://www.accessdata.fda.gov/drugsatfda_docs/nda/2022/761234Orig1s000MultidisciplineR.pdf</w:t>
        </w:r>
      </w:hyperlink>
      <w:r w:rsidR="007B27D2">
        <w:rPr>
          <w:rStyle w:val="Hyperlink"/>
        </w:rPr>
        <w:t>.</w:t>
      </w:r>
    </w:p>
  </w:footnote>
  <w:footnote w:id="97">
    <w:p w14:paraId="6F9395C5" w14:textId="4D648C6A" w:rsidR="00E65D8F" w:rsidRPr="0023737D" w:rsidRDefault="00E65D8F" w:rsidP="0023737D">
      <w:pPr>
        <w:pStyle w:val="FootnoteText"/>
      </w:pPr>
      <w:r w:rsidRPr="00752897">
        <w:rPr>
          <w:rStyle w:val="FootnoteReference"/>
        </w:rPr>
        <w:footnoteRef/>
      </w:r>
      <w:r w:rsidRPr="00752897">
        <w:rPr>
          <w:rStyle w:val="FootnoteReference"/>
        </w:rPr>
        <w:t xml:space="preserve"> </w:t>
      </w:r>
      <w:r w:rsidRPr="0023737D">
        <w:t>Australian Product Information document for nivolumab, dated 1 Mar 2022. Available from the TGA website.</w:t>
      </w:r>
    </w:p>
  </w:footnote>
  <w:footnote w:id="98">
    <w:p w14:paraId="1D056964" w14:textId="271A6B2C" w:rsidR="00AC07A4" w:rsidRDefault="00AC07A4">
      <w:pPr>
        <w:pStyle w:val="FootnoteText"/>
      </w:pPr>
      <w:r w:rsidRPr="00752897">
        <w:rPr>
          <w:rStyle w:val="FootnoteReference"/>
        </w:rPr>
        <w:footnoteRef/>
      </w:r>
      <w:r w:rsidRPr="0023737D">
        <w:t xml:space="preserve"> FDA multidisciplinary review (MDR) document for Opdualag. A</w:t>
      </w:r>
      <w:r w:rsidR="0023737D" w:rsidRPr="0023737D">
        <w:t>vailable at</w:t>
      </w:r>
      <w:r w:rsidRPr="0023737D">
        <w:t>:</w:t>
      </w:r>
      <w:r>
        <w:t xml:space="preserve"> </w:t>
      </w:r>
      <w:hyperlink r:id="rId21" w:history="1">
        <w:r w:rsidRPr="00AF22B7">
          <w:rPr>
            <w:rStyle w:val="Hyperlink"/>
          </w:rPr>
          <w:t>https://www.accessdata.fda.gov/drugsatfda_docs/nda/2022/761234Orig1s000MultidisciplineR.pdf</w:t>
        </w:r>
      </w:hyperlink>
      <w:r w:rsidR="007B27D2">
        <w:rPr>
          <w:rStyle w:val="Hyperlink"/>
        </w:rPr>
        <w:t>.</w:t>
      </w:r>
    </w:p>
  </w:footnote>
  <w:footnote w:id="99">
    <w:p w14:paraId="3C40343A" w14:textId="52F93147" w:rsidR="00AC31BD" w:rsidRDefault="0067224B">
      <w:pPr>
        <w:pStyle w:val="FootnoteText"/>
      </w:pPr>
      <w:r w:rsidRPr="00752897">
        <w:rPr>
          <w:rStyle w:val="FootnoteReference"/>
        </w:rPr>
        <w:footnoteRef/>
      </w:r>
      <w:r w:rsidRPr="00752897">
        <w:rPr>
          <w:rStyle w:val="FootnoteReference"/>
        </w:rPr>
        <w:t xml:space="preserve"> </w:t>
      </w:r>
      <w:r w:rsidRPr="0023737D">
        <w:t>Page 212 of FDA</w:t>
      </w:r>
      <w:r w:rsidR="0023737D" w:rsidRPr="0023737D">
        <w:t xml:space="preserve"> multidisciplinary review (MDR) document for Opdualag. Available at:</w:t>
      </w:r>
      <w:r w:rsidR="0023737D">
        <w:t xml:space="preserve"> </w:t>
      </w:r>
      <w:hyperlink r:id="rId22" w:history="1">
        <w:r w:rsidR="0023737D" w:rsidRPr="00AF22B7">
          <w:rPr>
            <w:rStyle w:val="Hyperlink"/>
          </w:rPr>
          <w:t>https://www.accessdata.fda.gov/drugsatfda_docs/nda/2022/761234Orig1s000MultidisciplineR.pdf</w:t>
        </w:r>
      </w:hyperlink>
      <w:r w:rsidR="007B27D2">
        <w:rPr>
          <w:rStyle w:val="Hyperlink"/>
        </w:rPr>
        <w:t>.</w:t>
      </w:r>
    </w:p>
  </w:footnote>
  <w:footnote w:id="100">
    <w:p w14:paraId="40B48604" w14:textId="24889F9A" w:rsidR="00315221" w:rsidRDefault="00315221" w:rsidP="00315221">
      <w:pPr>
        <w:pStyle w:val="FootnoteText"/>
      </w:pPr>
      <w:r w:rsidRPr="00752897">
        <w:rPr>
          <w:rStyle w:val="FootnoteReference"/>
        </w:rPr>
        <w:footnoteRef/>
      </w:r>
      <w:r w:rsidRPr="00752897">
        <w:rPr>
          <w:rStyle w:val="FootnoteReference"/>
        </w:rPr>
        <w:t xml:space="preserve"> </w:t>
      </w:r>
      <w:r w:rsidRPr="0023737D">
        <w:t>The QT interval is the time from the start of the QRS wave complex to the end of the corresponding T wave</w:t>
      </w:r>
      <w:r w:rsidR="0020286B">
        <w:t xml:space="preserve"> on an electrocardiogram</w:t>
      </w:r>
      <w:r w:rsidRPr="0023737D">
        <w:t>. It approximates to the time taken for ventricular depolarisation and repolarisation, that is, the period of ventricular systole</w:t>
      </w:r>
      <w:r>
        <w:t xml:space="preserve"> from ventricular isovolumetric contraction to isovolumetric relaxation. </w:t>
      </w:r>
      <w:r w:rsidRPr="007B27D2">
        <w:t xml:space="preserve">The </w:t>
      </w:r>
      <w:r w:rsidRPr="00884F00">
        <w:rPr>
          <w:b/>
          <w:bCs/>
        </w:rPr>
        <w:t>corrected QT interval (QTc)</w:t>
      </w:r>
      <w:r w:rsidRPr="007B27D2">
        <w:t> estimates the QT interval at a standard heart rate. This allows comparison of QT values over time at different heart rates and improves detection of patients at increased risk of arrhythmias.</w:t>
      </w:r>
    </w:p>
  </w:footnote>
  <w:footnote w:id="101">
    <w:p w14:paraId="4435D150" w14:textId="31BAB162" w:rsidR="00DE166C" w:rsidRDefault="00DE166C" w:rsidP="00DE166C">
      <w:pPr>
        <w:pStyle w:val="FootnoteText"/>
      </w:pPr>
      <w:r w:rsidRPr="00752897">
        <w:rPr>
          <w:rStyle w:val="FootnoteReference"/>
        </w:rPr>
        <w:footnoteRef/>
      </w:r>
      <w:r w:rsidRPr="0023737D">
        <w:t xml:space="preserve"> See pages 211 to 212 of the FDA multidisciplinary review (MDR) document for Opdualag. Available at:</w:t>
      </w:r>
      <w:r>
        <w:t xml:space="preserve"> </w:t>
      </w:r>
      <w:hyperlink r:id="rId23" w:history="1">
        <w:r w:rsidRPr="00AF22B7">
          <w:rPr>
            <w:rStyle w:val="Hyperlink"/>
          </w:rPr>
          <w:t>https://www.accessdata.fda.gov/drugsatfda_docs/nda/2022/761234Orig1s000MultidisciplineR.pdf</w:t>
        </w:r>
      </w:hyperlink>
      <w:r w:rsidR="0020286B">
        <w:rPr>
          <w:rStyle w:val="Hyperlink"/>
        </w:rPr>
        <w:t>.</w:t>
      </w:r>
    </w:p>
  </w:footnote>
  <w:footnote w:id="102">
    <w:p w14:paraId="7B1F6DC1" w14:textId="684309C0" w:rsidR="005A3D40" w:rsidRDefault="005A3D40">
      <w:pPr>
        <w:pStyle w:val="FootnoteText"/>
      </w:pPr>
      <w:r>
        <w:rPr>
          <w:rStyle w:val="FootnoteReference"/>
        </w:rPr>
        <w:footnoteRef/>
      </w:r>
      <w:r>
        <w:t xml:space="preserve"> </w:t>
      </w:r>
      <w:r w:rsidRPr="00DD4358">
        <w:t>See page</w:t>
      </w:r>
      <w:r>
        <w:t xml:space="preserve"> 33</w:t>
      </w:r>
      <w:r w:rsidRPr="00DD4358">
        <w:t xml:space="preserve"> of the FDA multidisciplinary review (MDR) document for Opdualag. A</w:t>
      </w:r>
      <w:r>
        <w:t>vailable at</w:t>
      </w:r>
      <w:r w:rsidRPr="00DD4358">
        <w:t>:</w:t>
      </w:r>
      <w:r>
        <w:t xml:space="preserve"> </w:t>
      </w:r>
      <w:hyperlink r:id="rId24" w:history="1">
        <w:r w:rsidRPr="00AF22B7">
          <w:rPr>
            <w:rStyle w:val="Hyperlink"/>
          </w:rPr>
          <w:t>https://www.accessdata.fda.gov/drugsatfda_docs/nda/2022/761234Orig1s000MultidisciplineR.pdf</w:t>
        </w:r>
      </w:hyperlink>
      <w:r w:rsidR="007B27D2">
        <w:rPr>
          <w:rStyle w:val="Hyperlink"/>
        </w:rPr>
        <w:t>.</w:t>
      </w:r>
    </w:p>
  </w:footnote>
  <w:footnote w:id="103">
    <w:p w14:paraId="4A8199D9" w14:textId="403B3DF0" w:rsidR="004E5EC1" w:rsidRDefault="004E5EC1" w:rsidP="004E5EC1">
      <w:pPr>
        <w:pStyle w:val="FootnoteText"/>
      </w:pPr>
      <w:r>
        <w:rPr>
          <w:rStyle w:val="FootnoteReference"/>
        </w:rPr>
        <w:footnoteRef/>
      </w:r>
      <w:r>
        <w:t xml:space="preserve"> Wolchock JD, Chiarion Sileni V, Gonzalez R, et al. Overall survival with combined nivolumab and ipilimumab in advanced melanoma.</w:t>
      </w:r>
      <w:r w:rsidRPr="00552E8E">
        <w:rPr>
          <w:i/>
          <w:iCs/>
        </w:rPr>
        <w:t xml:space="preserve"> N Engl J Med </w:t>
      </w:r>
      <w:r>
        <w:t>2017; 377(14): 1345 1356. doi: 10.1056/NEJMoa1709684</w:t>
      </w:r>
      <w:r w:rsidR="007B27D2">
        <w:t>.</w:t>
      </w:r>
    </w:p>
    <w:p w14:paraId="09AD514D" w14:textId="29C7C3DF" w:rsidR="004E5EC1" w:rsidRDefault="004E5EC1" w:rsidP="004E5EC1">
      <w:pPr>
        <w:pStyle w:val="FootnoteText"/>
      </w:pPr>
      <w:r w:rsidRPr="00C21FFF">
        <w:rPr>
          <w:lang w:val="fr-FR"/>
        </w:rPr>
        <w:t xml:space="preserve">Larkin J, Chiarion Sileni V, Gonzalez R, et al. </w:t>
      </w:r>
      <w:r>
        <w:t xml:space="preserve">Five year survival with combined nivolumab and ipilimumab in advanced melanoma. </w:t>
      </w:r>
      <w:r w:rsidRPr="00552E8E">
        <w:rPr>
          <w:i/>
          <w:iCs/>
        </w:rPr>
        <w:t xml:space="preserve">N Engl J Med </w:t>
      </w:r>
      <w:r>
        <w:t>2019; 381: 1535 1546. doi: 10.1056/NEJMoa1910836</w:t>
      </w:r>
      <w:r w:rsidR="007B27D2">
        <w:t>.</w:t>
      </w:r>
    </w:p>
  </w:footnote>
  <w:footnote w:id="104">
    <w:p w14:paraId="47B334FC" w14:textId="20F02A07" w:rsidR="00315CE2" w:rsidRDefault="00315CE2">
      <w:pPr>
        <w:pStyle w:val="FootnoteText"/>
      </w:pPr>
      <w:r>
        <w:rPr>
          <w:rStyle w:val="FootnoteReference"/>
        </w:rPr>
        <w:footnoteRef/>
      </w:r>
      <w:r>
        <w:t xml:space="preserve"> </w:t>
      </w:r>
      <w:r w:rsidRPr="00D66AEC">
        <w:t xml:space="preserve">Gyorki DE. Spoiled for Choice: Do We Finally Have Clarity on Optimal Treatment Sequencing for Patients with Metastatic Melanoma Harboring an Actionable BRAF Mutation? </w:t>
      </w:r>
      <w:r w:rsidRPr="007B1BEA">
        <w:rPr>
          <w:i/>
          <w:iCs/>
        </w:rPr>
        <w:t>Ann Surg Oncol</w:t>
      </w:r>
      <w:r w:rsidRPr="00D66AEC">
        <w:t xml:space="preserve"> 2022</w:t>
      </w:r>
      <w:r w:rsidRPr="007B1BEA">
        <w:t>; 29: 4014–4015.</w:t>
      </w:r>
      <w:r w:rsidR="00552E8E">
        <w:t xml:space="preserve"> </w:t>
      </w:r>
      <w:r w:rsidRPr="007B1BEA">
        <w:t>doi:</w:t>
      </w:r>
      <w:r w:rsidR="00552E8E">
        <w:t> </w:t>
      </w:r>
      <w:r w:rsidRPr="007B1BEA">
        <w:t>10.1245/s10434</w:t>
      </w:r>
      <w:r>
        <w:noBreakHyphen/>
      </w:r>
      <w:r w:rsidRPr="007B1BEA">
        <w:t>022</w:t>
      </w:r>
      <w:r>
        <w:noBreakHyphen/>
      </w:r>
      <w:r w:rsidRPr="007B1BEA">
        <w:t>11611</w:t>
      </w:r>
      <w:r>
        <w:noBreakHyphen/>
      </w:r>
      <w:r w:rsidRPr="007B1BEA">
        <w:t>3</w:t>
      </w:r>
      <w:r w:rsidR="007B27D2">
        <w:t>.</w:t>
      </w:r>
    </w:p>
  </w:footnote>
  <w:footnote w:id="105">
    <w:p w14:paraId="2BE77127" w14:textId="0ABEBF02" w:rsidR="002D1ADC" w:rsidRPr="0023737D" w:rsidRDefault="002D1ADC" w:rsidP="0023737D">
      <w:pPr>
        <w:pStyle w:val="FootnoteText"/>
      </w:pPr>
      <w:r w:rsidRPr="00752897">
        <w:rPr>
          <w:rStyle w:val="FootnoteReference"/>
        </w:rPr>
        <w:footnoteRef/>
      </w:r>
      <w:r w:rsidRPr="00752897">
        <w:rPr>
          <w:rStyle w:val="FootnoteReference"/>
        </w:rPr>
        <w:t xml:space="preserve"> </w:t>
      </w:r>
      <w:r w:rsidRPr="0023737D">
        <w:t>Jaspan HB, Lawn SD, Safrit JT, et al. The maturing immune system: implications for development and testing HIV</w:t>
      </w:r>
      <w:r w:rsidR="0082444D">
        <w:noBreakHyphen/>
      </w:r>
      <w:r w:rsidRPr="0023737D">
        <w:t xml:space="preserve">1 vaccines for children and adolescents. </w:t>
      </w:r>
      <w:r w:rsidRPr="0023737D">
        <w:rPr>
          <w:i/>
          <w:iCs/>
        </w:rPr>
        <w:t>AIDS</w:t>
      </w:r>
      <w:r w:rsidRPr="0023737D">
        <w:t xml:space="preserve"> 2006;</w:t>
      </w:r>
      <w:r w:rsidR="0023737D">
        <w:t xml:space="preserve"> </w:t>
      </w:r>
      <w:r w:rsidRPr="0023737D">
        <w:t>20:</w:t>
      </w:r>
      <w:r w:rsidR="0023737D">
        <w:t xml:space="preserve"> </w:t>
      </w:r>
      <w:r w:rsidRPr="0023737D">
        <w:t>483–</w:t>
      </w:r>
      <w:r w:rsidR="0023737D" w:rsidRPr="0023737D">
        <w:t>4</w:t>
      </w:r>
      <w:r w:rsidRPr="0023737D">
        <w:t>94.</w:t>
      </w:r>
      <w:r w:rsidR="0023737D" w:rsidRPr="0023737D">
        <w:t xml:space="preserve"> doi: 10.1097/01.aids.0000210602.40267.60</w:t>
      </w:r>
      <w:r w:rsidR="0020286B">
        <w:t>.</w:t>
      </w:r>
    </w:p>
  </w:footnote>
  <w:footnote w:id="106">
    <w:p w14:paraId="26DA50C9" w14:textId="18C8ED41" w:rsidR="00315CE2" w:rsidRPr="0023737D" w:rsidRDefault="00DF7A75" w:rsidP="0023737D">
      <w:pPr>
        <w:pStyle w:val="FootnoteText"/>
      </w:pPr>
      <w:r w:rsidRPr="00315CE2">
        <w:rPr>
          <w:rStyle w:val="FootnoteReference"/>
        </w:rPr>
        <w:footnoteRef/>
      </w:r>
      <w:r w:rsidRPr="00315CE2">
        <w:t xml:space="preserve"> FDA approval letter for O</w:t>
      </w:r>
      <w:r w:rsidR="00315CE2" w:rsidRPr="00315CE2">
        <w:t xml:space="preserve">pdualag dated 18 March 2022. </w:t>
      </w:r>
      <w:bookmarkStart w:id="132" w:name="_Hlk144464059"/>
      <w:r w:rsidR="00315CE2" w:rsidRPr="00315CE2">
        <w:t>Available at</w:t>
      </w:r>
      <w:r w:rsidR="007B27D2">
        <w:t xml:space="preserve">: </w:t>
      </w:r>
      <w:hyperlink r:id="rId25" w:history="1">
        <w:r w:rsidR="007B27D2" w:rsidRPr="00BD4A4A">
          <w:rPr>
            <w:rStyle w:val="Hyperlink"/>
          </w:rPr>
          <w:t>https://www.accessdata.fda.gov/drugsatfda_docs/nda/2022/761234Orig1s000Approv.pdf</w:t>
        </w:r>
      </w:hyperlink>
      <w:r w:rsidR="007B27D2">
        <w:t>.</w:t>
      </w:r>
    </w:p>
    <w:bookmarkEnd w:id="132"/>
  </w:footnote>
  <w:footnote w:id="107">
    <w:p w14:paraId="36325D22" w14:textId="19538562" w:rsidR="00315CE2" w:rsidRDefault="002D1ADC" w:rsidP="00315CE2">
      <w:pPr>
        <w:pStyle w:val="FootnoteText"/>
      </w:pPr>
      <w:r w:rsidRPr="00752897">
        <w:rPr>
          <w:rStyle w:val="FootnoteReference"/>
        </w:rPr>
        <w:footnoteRef/>
      </w:r>
      <w:r w:rsidRPr="0023737D">
        <w:t xml:space="preserve"> </w:t>
      </w:r>
      <w:r w:rsidR="00315CE2">
        <w:t>Pappo AS. Pediatric melanoma: the whole (genome) story. Am Soc Clin Oncol Educ Book 2014; :e432 5.</w:t>
      </w:r>
      <w:r w:rsidR="00552E8E">
        <w:t xml:space="preserve"> </w:t>
      </w:r>
      <w:r w:rsidR="00315CE2">
        <w:t>doi:</w:t>
      </w:r>
      <w:r w:rsidR="00552E8E">
        <w:t> </w:t>
      </w:r>
      <w:r w:rsidR="00315CE2">
        <w:t>10.14694/EdBook_AM.2014.34.e43</w:t>
      </w:r>
      <w:r w:rsidR="007B27D2">
        <w:t>.</w:t>
      </w:r>
    </w:p>
    <w:p w14:paraId="3021A55A" w14:textId="0383DF51" w:rsidR="00315CE2" w:rsidRDefault="00315CE2" w:rsidP="00315CE2">
      <w:pPr>
        <w:pStyle w:val="FootnoteText"/>
      </w:pPr>
      <w:r w:rsidRPr="00CE7038">
        <w:rPr>
          <w:lang w:val="fr-FR"/>
        </w:rPr>
        <w:t xml:space="preserve">Kumar RS, Messina JL, Sondak VK, et al. </w:t>
      </w:r>
      <w:r>
        <w:t>Treating melanoma in adolescents and young adults: challenges and solutions. Clinical Oncology in Adolescents and Young Adults 2015; 5: 75 86. doi: 10.2147/COAYA.S90563</w:t>
      </w:r>
      <w:r w:rsidR="007B27D2">
        <w:t>.</w:t>
      </w:r>
    </w:p>
    <w:p w14:paraId="52AAEC5D" w14:textId="076170C5" w:rsidR="002D1ADC" w:rsidRPr="0023737D" w:rsidRDefault="002D1ADC" w:rsidP="00315CE2">
      <w:pPr>
        <w:pStyle w:val="FootnoteText"/>
      </w:pPr>
      <w:r w:rsidRPr="0023737D">
        <w:t>Wechsler J, Bastuji</w:t>
      </w:r>
      <w:r w:rsidR="0082444D">
        <w:noBreakHyphen/>
      </w:r>
      <w:r w:rsidRPr="0023737D">
        <w:t xml:space="preserve">Garin S, Spatz A, et al. Reliability of the histopathologic diagnosis of malignant melanoma in childhood. </w:t>
      </w:r>
      <w:r w:rsidRPr="0023737D">
        <w:rPr>
          <w:i/>
          <w:iCs/>
        </w:rPr>
        <w:t xml:space="preserve">Arch Dermatol </w:t>
      </w:r>
      <w:r w:rsidRPr="0023737D">
        <w:t>2002;</w:t>
      </w:r>
      <w:r w:rsidR="0023737D">
        <w:t xml:space="preserve"> </w:t>
      </w:r>
      <w:r w:rsidRPr="0023737D">
        <w:t>138</w:t>
      </w:r>
      <w:r w:rsidR="0023737D" w:rsidRPr="0023737D">
        <w:t>(5)</w:t>
      </w:r>
      <w:r w:rsidRPr="0023737D">
        <w:t>:</w:t>
      </w:r>
      <w:r w:rsidR="0023737D" w:rsidRPr="0023737D">
        <w:t xml:space="preserve"> </w:t>
      </w:r>
      <w:r w:rsidRPr="0023737D">
        <w:t>625</w:t>
      </w:r>
      <w:r w:rsidR="0082444D">
        <w:noBreakHyphen/>
      </w:r>
      <w:r w:rsidR="0023737D" w:rsidRPr="0023737D">
        <w:t>6</w:t>
      </w:r>
      <w:r w:rsidRPr="0023737D">
        <w:t>28.</w:t>
      </w:r>
      <w:r w:rsidR="0023737D" w:rsidRPr="0023737D">
        <w:t xml:space="preserve"> doi: 10.1001/archderm.138.5.625</w:t>
      </w:r>
      <w:r w:rsidR="007B27D2">
        <w:t>.</w:t>
      </w:r>
    </w:p>
  </w:footnote>
  <w:footnote w:id="108">
    <w:p w14:paraId="638BB5F0" w14:textId="57022A7E" w:rsidR="00D556FB" w:rsidRDefault="00D556FB">
      <w:pPr>
        <w:pStyle w:val="FootnoteText"/>
      </w:pPr>
      <w:r>
        <w:rPr>
          <w:rStyle w:val="FootnoteReference"/>
        </w:rPr>
        <w:footnoteRef/>
      </w:r>
      <w:r>
        <w:t xml:space="preserve"> </w:t>
      </w:r>
      <w:r w:rsidRPr="00D66AEC">
        <w:t xml:space="preserve">Gyorki DE. Spoiled for Choice: Do We Finally Have Clarity on Optimal Treatment Sequencing for Patients with Metastatic Melanoma Harboring an Actionable BRAF Mutation? </w:t>
      </w:r>
      <w:r w:rsidRPr="007B1BEA">
        <w:rPr>
          <w:i/>
          <w:iCs/>
        </w:rPr>
        <w:t>Ann Surg Oncol</w:t>
      </w:r>
      <w:r w:rsidRPr="00D66AEC">
        <w:t xml:space="preserve"> 2022</w:t>
      </w:r>
      <w:r w:rsidRPr="007B1BEA">
        <w:t>; 29: 4014–4015.</w:t>
      </w:r>
      <w:r w:rsidR="00552E8E">
        <w:t xml:space="preserve"> </w:t>
      </w:r>
      <w:r w:rsidRPr="007B1BEA">
        <w:t>doi:</w:t>
      </w:r>
      <w:r w:rsidR="00552E8E">
        <w:t> </w:t>
      </w:r>
      <w:r w:rsidRPr="007B1BEA">
        <w:t>10.1245/s10434</w:t>
      </w:r>
      <w:r>
        <w:noBreakHyphen/>
      </w:r>
      <w:r w:rsidRPr="007B1BEA">
        <w:t>022</w:t>
      </w:r>
      <w:r>
        <w:noBreakHyphen/>
      </w:r>
      <w:r w:rsidRPr="007B1BEA">
        <w:t>11611</w:t>
      </w:r>
      <w:r>
        <w:noBreakHyphen/>
      </w:r>
      <w:r w:rsidRPr="007B1BEA">
        <w:t>3</w:t>
      </w:r>
      <w:r w:rsidR="007B27D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5E7FD8" w:rsidP="007452E8">
          <w:pPr>
            <w:ind w:left="-57"/>
            <w:rPr>
              <w:noProof/>
            </w:rPr>
          </w:pPr>
          <w:sdt>
            <w:sdtPr>
              <w:rPr>
                <w:noProof/>
              </w:rPr>
              <w:id w:val="1926993388"/>
              <w:showingPlcHdr/>
              <w:picture/>
            </w:sdtPr>
            <w:sdtEndPr/>
            <w:sdtContent>
              <w:r w:rsidR="007452E8" w:rsidRPr="00F71E1E">
                <w:rPr>
                  <w:noProof/>
                  <w:color w:val="2B579A"/>
                  <w:shd w:val="clear" w:color="auto" w:fill="E6E6E6"/>
                  <w:lang w:val="en-GB" w:eastAsia="en-GB"/>
                </w:rPr>
                <w:drawing>
                  <wp:inline distT="0" distB="0" distL="0" distR="0" wp14:anchorId="5C7F8AC9" wp14:editId="375FEDC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7452E8">
    <w:pPr>
      <w:rPr>
        <w:noProof/>
      </w:rPr>
    </w:pPr>
    <w:r>
      <w:rPr>
        <w:noProof/>
        <w:color w:val="2B579A"/>
        <w:shd w:val="clear" w:color="auto" w:fill="E6E6E6"/>
        <w:lang w:val="en-GB" w:eastAsia="en-GB"/>
      </w:rPr>
      <w:drawing>
        <wp:anchor distT="0" distB="0" distL="114300" distR="114300" simplePos="0" relativeHeight="251658241" behindDoc="0" locked="0" layoutInCell="1" allowOverlap="1" wp14:anchorId="19C10218" wp14:editId="67F6B18A">
          <wp:simplePos x="0" y="0"/>
          <wp:positionH relativeFrom="column">
            <wp:posOffset>-400050</wp:posOffset>
          </wp:positionH>
          <wp:positionV relativeFrom="paragraph">
            <wp:posOffset>-116205</wp:posOffset>
          </wp:positionV>
          <wp:extent cx="2676525" cy="621665"/>
          <wp:effectExtent l="0" t="0" r="9525" b="6985"/>
          <wp:wrapTopAndBottom/>
          <wp:docPr id="12" name="Picture 12"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ustralian Government, Department of Health and Aged Care, Therapeutic Goods Administration "/>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color w:val="2B579A"/>
        <w:shd w:val="clear" w:color="auto" w:fill="E6E6E6"/>
        <w:lang w:val="en-GB" w:eastAsia="en-GB"/>
      </w:rPr>
      <w:drawing>
        <wp:anchor distT="0" distB="0" distL="114300" distR="114300" simplePos="0" relativeHeight="251658240" behindDoc="0" locked="0" layoutInCell="0" allowOverlap="1" wp14:anchorId="14BBEAC1" wp14:editId="2D2674EA">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A9B2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C1987"/>
    <w:multiLevelType w:val="hybridMultilevel"/>
    <w:tmpl w:val="104A6AE0"/>
    <w:lvl w:ilvl="0" w:tplc="0C090001">
      <w:start w:val="1"/>
      <w:numFmt w:val="bullet"/>
      <w:lvlText w:val=""/>
      <w:lvlJc w:val="left"/>
      <w:pPr>
        <w:ind w:left="720" w:hanging="360"/>
      </w:pPr>
      <w:rPr>
        <w:rFonts w:ascii="Symbol" w:hAnsi="Symbol" w:hint="default"/>
      </w:rPr>
    </w:lvl>
    <w:lvl w:ilvl="1" w:tplc="11C62948">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5117265"/>
    <w:multiLevelType w:val="hybridMultilevel"/>
    <w:tmpl w:val="A3F477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29857C48"/>
    <w:multiLevelType w:val="hybridMultilevel"/>
    <w:tmpl w:val="FA067CC8"/>
    <w:lvl w:ilvl="0" w:tplc="0C090001">
      <w:start w:val="1"/>
      <w:numFmt w:val="bullet"/>
      <w:lvlText w:val=""/>
      <w:lvlJc w:val="left"/>
      <w:pPr>
        <w:ind w:left="720" w:hanging="360"/>
      </w:pPr>
      <w:rPr>
        <w:rFonts w:ascii="Symbol" w:hAnsi="Symbol" w:hint="default"/>
      </w:rPr>
    </w:lvl>
    <w:lvl w:ilvl="1" w:tplc="45F4116A">
      <w:numFmt w:val="bullet"/>
      <w:lvlText w:val="•"/>
      <w:lvlJc w:val="left"/>
      <w:pPr>
        <w:ind w:left="1440" w:hanging="360"/>
      </w:pPr>
      <w:rPr>
        <w:rFonts w:ascii="Cambria" w:eastAsiaTheme="minorEastAsia" w:hAnsi="Cambria"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6C13AF"/>
    <w:multiLevelType w:val="hybridMultilevel"/>
    <w:tmpl w:val="458EE7CA"/>
    <w:lvl w:ilvl="0" w:tplc="072EB668">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9" w15:restartNumberingAfterBreak="0">
    <w:nsid w:val="3C124CD1"/>
    <w:multiLevelType w:val="hybridMultilevel"/>
    <w:tmpl w:val="54D2518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8B1B30"/>
    <w:multiLevelType w:val="multilevel"/>
    <w:tmpl w:val="476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B73586"/>
    <w:multiLevelType w:val="hybridMultilevel"/>
    <w:tmpl w:val="DE3E70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BD7BAC"/>
    <w:multiLevelType w:val="hybridMultilevel"/>
    <w:tmpl w:val="7DC8B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176E9D"/>
    <w:multiLevelType w:val="hybridMultilevel"/>
    <w:tmpl w:val="86585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3789628">
    <w:abstractNumId w:val="5"/>
  </w:num>
  <w:num w:numId="2" w16cid:durableId="299191143">
    <w:abstractNumId w:val="2"/>
  </w:num>
  <w:num w:numId="3" w16cid:durableId="740831990">
    <w:abstractNumId w:val="4"/>
  </w:num>
  <w:num w:numId="4" w16cid:durableId="1436056552">
    <w:abstractNumId w:val="12"/>
  </w:num>
  <w:num w:numId="5" w16cid:durableId="51854902">
    <w:abstractNumId w:val="6"/>
  </w:num>
  <w:num w:numId="6" w16cid:durableId="987323551">
    <w:abstractNumId w:val="11"/>
  </w:num>
  <w:num w:numId="7" w16cid:durableId="1124887609">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533759914">
    <w:abstractNumId w:val="14"/>
  </w:num>
  <w:num w:numId="9" w16cid:durableId="258103863">
    <w:abstractNumId w:val="1"/>
  </w:num>
  <w:num w:numId="10" w16cid:durableId="1652782422">
    <w:abstractNumId w:val="16"/>
  </w:num>
  <w:num w:numId="11" w16cid:durableId="1661882090">
    <w:abstractNumId w:val="10"/>
  </w:num>
  <w:num w:numId="12" w16cid:durableId="747313718">
    <w:abstractNumId w:val="3"/>
  </w:num>
  <w:num w:numId="13" w16cid:durableId="51586561">
    <w:abstractNumId w:val="15"/>
  </w:num>
  <w:num w:numId="14" w16cid:durableId="1042709672">
    <w:abstractNumId w:val="7"/>
  </w:num>
  <w:num w:numId="15" w16cid:durableId="1736201461">
    <w:abstractNumId w:val="9"/>
  </w:num>
  <w:num w:numId="16" w16cid:durableId="2038772411">
    <w:abstractNumId w:val="8"/>
  </w:num>
  <w:num w:numId="17" w16cid:durableId="1195507977">
    <w:abstractNumId w:val="13"/>
  </w:num>
  <w:num w:numId="18" w16cid:durableId="33006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19C1"/>
    <w:rsid w:val="00001C2C"/>
    <w:rsid w:val="0000788E"/>
    <w:rsid w:val="000102BF"/>
    <w:rsid w:val="00012CAE"/>
    <w:rsid w:val="00022C10"/>
    <w:rsid w:val="00023871"/>
    <w:rsid w:val="00032520"/>
    <w:rsid w:val="000352F6"/>
    <w:rsid w:val="00035993"/>
    <w:rsid w:val="00042D02"/>
    <w:rsid w:val="00047802"/>
    <w:rsid w:val="0005283C"/>
    <w:rsid w:val="000530C4"/>
    <w:rsid w:val="000608B5"/>
    <w:rsid w:val="0006572B"/>
    <w:rsid w:val="00066A05"/>
    <w:rsid w:val="00067C49"/>
    <w:rsid w:val="000713E0"/>
    <w:rsid w:val="00077844"/>
    <w:rsid w:val="00077B27"/>
    <w:rsid w:val="0008486F"/>
    <w:rsid w:val="00086AC6"/>
    <w:rsid w:val="000913E2"/>
    <w:rsid w:val="00091CFE"/>
    <w:rsid w:val="00093F07"/>
    <w:rsid w:val="00094B81"/>
    <w:rsid w:val="00095D26"/>
    <w:rsid w:val="000975AA"/>
    <w:rsid w:val="000B287E"/>
    <w:rsid w:val="000B37B6"/>
    <w:rsid w:val="000B746F"/>
    <w:rsid w:val="000B7661"/>
    <w:rsid w:val="000C691C"/>
    <w:rsid w:val="000D7934"/>
    <w:rsid w:val="000E296C"/>
    <w:rsid w:val="000E4C44"/>
    <w:rsid w:val="000E6D0D"/>
    <w:rsid w:val="000F087C"/>
    <w:rsid w:val="000F4B6F"/>
    <w:rsid w:val="00101FB1"/>
    <w:rsid w:val="001025F4"/>
    <w:rsid w:val="0010716F"/>
    <w:rsid w:val="0011043E"/>
    <w:rsid w:val="0011599E"/>
    <w:rsid w:val="0012473C"/>
    <w:rsid w:val="001301AD"/>
    <w:rsid w:val="0013132F"/>
    <w:rsid w:val="00134639"/>
    <w:rsid w:val="0013482B"/>
    <w:rsid w:val="00134D3C"/>
    <w:rsid w:val="0013528C"/>
    <w:rsid w:val="001425EA"/>
    <w:rsid w:val="001459F0"/>
    <w:rsid w:val="00145C5C"/>
    <w:rsid w:val="00146125"/>
    <w:rsid w:val="00150CD4"/>
    <w:rsid w:val="00150D0A"/>
    <w:rsid w:val="00152C70"/>
    <w:rsid w:val="001549BE"/>
    <w:rsid w:val="00156579"/>
    <w:rsid w:val="001572ED"/>
    <w:rsid w:val="001628C1"/>
    <w:rsid w:val="001629D1"/>
    <w:rsid w:val="00165D28"/>
    <w:rsid w:val="0016606D"/>
    <w:rsid w:val="00175CD8"/>
    <w:rsid w:val="0017682C"/>
    <w:rsid w:val="0017772E"/>
    <w:rsid w:val="001777FD"/>
    <w:rsid w:val="001831F2"/>
    <w:rsid w:val="00192A1F"/>
    <w:rsid w:val="0019361B"/>
    <w:rsid w:val="001A065C"/>
    <w:rsid w:val="001A16D9"/>
    <w:rsid w:val="001A66D6"/>
    <w:rsid w:val="001C1C2E"/>
    <w:rsid w:val="001C3194"/>
    <w:rsid w:val="001C4C7E"/>
    <w:rsid w:val="001E4DEB"/>
    <w:rsid w:val="001F4221"/>
    <w:rsid w:val="0020286B"/>
    <w:rsid w:val="0020369B"/>
    <w:rsid w:val="002036A4"/>
    <w:rsid w:val="002072B7"/>
    <w:rsid w:val="0021001E"/>
    <w:rsid w:val="002149AA"/>
    <w:rsid w:val="00215017"/>
    <w:rsid w:val="00220CD7"/>
    <w:rsid w:val="00226F39"/>
    <w:rsid w:val="00230E4A"/>
    <w:rsid w:val="0023737D"/>
    <w:rsid w:val="002402D1"/>
    <w:rsid w:val="00241B60"/>
    <w:rsid w:val="0024217E"/>
    <w:rsid w:val="00250FFD"/>
    <w:rsid w:val="002514C7"/>
    <w:rsid w:val="0025152D"/>
    <w:rsid w:val="0025205B"/>
    <w:rsid w:val="002550FB"/>
    <w:rsid w:val="00271F6A"/>
    <w:rsid w:val="0027305C"/>
    <w:rsid w:val="00277E1D"/>
    <w:rsid w:val="00284A9C"/>
    <w:rsid w:val="00292521"/>
    <w:rsid w:val="00292E4A"/>
    <w:rsid w:val="002A124F"/>
    <w:rsid w:val="002A1EC6"/>
    <w:rsid w:val="002B1C24"/>
    <w:rsid w:val="002B586F"/>
    <w:rsid w:val="002C5E29"/>
    <w:rsid w:val="002D1ADC"/>
    <w:rsid w:val="002D3A15"/>
    <w:rsid w:val="002D493F"/>
    <w:rsid w:val="002D7127"/>
    <w:rsid w:val="002E087D"/>
    <w:rsid w:val="002E61F6"/>
    <w:rsid w:val="002F0B61"/>
    <w:rsid w:val="002F38D2"/>
    <w:rsid w:val="003008D8"/>
    <w:rsid w:val="00303959"/>
    <w:rsid w:val="00312AC3"/>
    <w:rsid w:val="00313CE5"/>
    <w:rsid w:val="00314430"/>
    <w:rsid w:val="00315221"/>
    <w:rsid w:val="00315CE2"/>
    <w:rsid w:val="00316960"/>
    <w:rsid w:val="00317D4D"/>
    <w:rsid w:val="00320912"/>
    <w:rsid w:val="00324B33"/>
    <w:rsid w:val="003269A5"/>
    <w:rsid w:val="00346EC2"/>
    <w:rsid w:val="0035444D"/>
    <w:rsid w:val="003557C6"/>
    <w:rsid w:val="00361B3C"/>
    <w:rsid w:val="003722FD"/>
    <w:rsid w:val="00373270"/>
    <w:rsid w:val="00387ECF"/>
    <w:rsid w:val="00395140"/>
    <w:rsid w:val="00397B91"/>
    <w:rsid w:val="003A14B7"/>
    <w:rsid w:val="003B149C"/>
    <w:rsid w:val="003B601C"/>
    <w:rsid w:val="003B7443"/>
    <w:rsid w:val="003C170F"/>
    <w:rsid w:val="003C2C76"/>
    <w:rsid w:val="003D1296"/>
    <w:rsid w:val="003D6ECA"/>
    <w:rsid w:val="003D71A1"/>
    <w:rsid w:val="003E567B"/>
    <w:rsid w:val="003F211D"/>
    <w:rsid w:val="00405039"/>
    <w:rsid w:val="00407CEF"/>
    <w:rsid w:val="00412074"/>
    <w:rsid w:val="004126AE"/>
    <w:rsid w:val="00414BF3"/>
    <w:rsid w:val="0041684F"/>
    <w:rsid w:val="0041688F"/>
    <w:rsid w:val="0042376F"/>
    <w:rsid w:val="00423E9E"/>
    <w:rsid w:val="004246B8"/>
    <w:rsid w:val="00433318"/>
    <w:rsid w:val="004340C1"/>
    <w:rsid w:val="004433EE"/>
    <w:rsid w:val="00456DF4"/>
    <w:rsid w:val="004731FD"/>
    <w:rsid w:val="0047356B"/>
    <w:rsid w:val="00477C4E"/>
    <w:rsid w:val="00491A55"/>
    <w:rsid w:val="00494866"/>
    <w:rsid w:val="00495972"/>
    <w:rsid w:val="004A05F9"/>
    <w:rsid w:val="004A7DA2"/>
    <w:rsid w:val="004B3081"/>
    <w:rsid w:val="004B7BF3"/>
    <w:rsid w:val="004C3E39"/>
    <w:rsid w:val="004D1F50"/>
    <w:rsid w:val="004D3AEC"/>
    <w:rsid w:val="004D77FC"/>
    <w:rsid w:val="004E0419"/>
    <w:rsid w:val="004E310F"/>
    <w:rsid w:val="004E50B7"/>
    <w:rsid w:val="004E5EC1"/>
    <w:rsid w:val="004E7F82"/>
    <w:rsid w:val="004F1B9E"/>
    <w:rsid w:val="004F2203"/>
    <w:rsid w:val="004F5CB8"/>
    <w:rsid w:val="005032D0"/>
    <w:rsid w:val="005054A4"/>
    <w:rsid w:val="005107FB"/>
    <w:rsid w:val="005119DF"/>
    <w:rsid w:val="00512514"/>
    <w:rsid w:val="00520197"/>
    <w:rsid w:val="00535DFE"/>
    <w:rsid w:val="00550290"/>
    <w:rsid w:val="00552E8E"/>
    <w:rsid w:val="00553B28"/>
    <w:rsid w:val="00556673"/>
    <w:rsid w:val="00560C74"/>
    <w:rsid w:val="00561C00"/>
    <w:rsid w:val="00562F42"/>
    <w:rsid w:val="00564C67"/>
    <w:rsid w:val="0056698E"/>
    <w:rsid w:val="00567387"/>
    <w:rsid w:val="0056766D"/>
    <w:rsid w:val="005770B1"/>
    <w:rsid w:val="005824A4"/>
    <w:rsid w:val="0058575E"/>
    <w:rsid w:val="005869E4"/>
    <w:rsid w:val="0058783C"/>
    <w:rsid w:val="005911AE"/>
    <w:rsid w:val="005922FD"/>
    <w:rsid w:val="0059313A"/>
    <w:rsid w:val="00594EA0"/>
    <w:rsid w:val="0059763F"/>
    <w:rsid w:val="005A3D40"/>
    <w:rsid w:val="005A4D0D"/>
    <w:rsid w:val="005B023F"/>
    <w:rsid w:val="005D2089"/>
    <w:rsid w:val="005D2193"/>
    <w:rsid w:val="005D7514"/>
    <w:rsid w:val="005D77FE"/>
    <w:rsid w:val="005E149D"/>
    <w:rsid w:val="005E1A7B"/>
    <w:rsid w:val="005E7771"/>
    <w:rsid w:val="005E7FD8"/>
    <w:rsid w:val="005F574E"/>
    <w:rsid w:val="006017EE"/>
    <w:rsid w:val="006168F3"/>
    <w:rsid w:val="006277A1"/>
    <w:rsid w:val="00630E7F"/>
    <w:rsid w:val="006351D9"/>
    <w:rsid w:val="00637130"/>
    <w:rsid w:val="00637F0E"/>
    <w:rsid w:val="006423F2"/>
    <w:rsid w:val="00645354"/>
    <w:rsid w:val="006508A3"/>
    <w:rsid w:val="00654902"/>
    <w:rsid w:val="00656F08"/>
    <w:rsid w:val="00662768"/>
    <w:rsid w:val="00666068"/>
    <w:rsid w:val="0067224B"/>
    <w:rsid w:val="00675C0F"/>
    <w:rsid w:val="0067665F"/>
    <w:rsid w:val="00676F01"/>
    <w:rsid w:val="0068062D"/>
    <w:rsid w:val="006873CD"/>
    <w:rsid w:val="00692CCD"/>
    <w:rsid w:val="006A1F0B"/>
    <w:rsid w:val="006A277A"/>
    <w:rsid w:val="006A288C"/>
    <w:rsid w:val="006A4D3C"/>
    <w:rsid w:val="006B18B5"/>
    <w:rsid w:val="006B43D3"/>
    <w:rsid w:val="006D6B44"/>
    <w:rsid w:val="006E46C7"/>
    <w:rsid w:val="007002BE"/>
    <w:rsid w:val="00701992"/>
    <w:rsid w:val="007072A1"/>
    <w:rsid w:val="0070770A"/>
    <w:rsid w:val="00710303"/>
    <w:rsid w:val="00710BC5"/>
    <w:rsid w:val="00717C13"/>
    <w:rsid w:val="0072003B"/>
    <w:rsid w:val="0072483B"/>
    <w:rsid w:val="00733073"/>
    <w:rsid w:val="007357B9"/>
    <w:rsid w:val="00735D03"/>
    <w:rsid w:val="0074147D"/>
    <w:rsid w:val="00744479"/>
    <w:rsid w:val="007452E8"/>
    <w:rsid w:val="0074645E"/>
    <w:rsid w:val="00746990"/>
    <w:rsid w:val="00750B3D"/>
    <w:rsid w:val="00750D70"/>
    <w:rsid w:val="00752897"/>
    <w:rsid w:val="007548D4"/>
    <w:rsid w:val="007559B8"/>
    <w:rsid w:val="007611A5"/>
    <w:rsid w:val="00763CE9"/>
    <w:rsid w:val="00764A2B"/>
    <w:rsid w:val="0076764B"/>
    <w:rsid w:val="00777D76"/>
    <w:rsid w:val="0078184E"/>
    <w:rsid w:val="00793272"/>
    <w:rsid w:val="007A2CAA"/>
    <w:rsid w:val="007A48BC"/>
    <w:rsid w:val="007B04DE"/>
    <w:rsid w:val="007B1BEA"/>
    <w:rsid w:val="007B27D2"/>
    <w:rsid w:val="007B6555"/>
    <w:rsid w:val="007B6EDC"/>
    <w:rsid w:val="007C0121"/>
    <w:rsid w:val="007C2A6C"/>
    <w:rsid w:val="007C57BC"/>
    <w:rsid w:val="007D4138"/>
    <w:rsid w:val="007D705B"/>
    <w:rsid w:val="007E2A77"/>
    <w:rsid w:val="007E332E"/>
    <w:rsid w:val="007E3E15"/>
    <w:rsid w:val="007E4F5C"/>
    <w:rsid w:val="007E6CFF"/>
    <w:rsid w:val="007E6DA9"/>
    <w:rsid w:val="007F0A77"/>
    <w:rsid w:val="007F50D3"/>
    <w:rsid w:val="00802FB4"/>
    <w:rsid w:val="00811198"/>
    <w:rsid w:val="00811393"/>
    <w:rsid w:val="00816EA6"/>
    <w:rsid w:val="00822289"/>
    <w:rsid w:val="0082444D"/>
    <w:rsid w:val="00826128"/>
    <w:rsid w:val="008329DB"/>
    <w:rsid w:val="008336A1"/>
    <w:rsid w:val="008361C5"/>
    <w:rsid w:val="0083628F"/>
    <w:rsid w:val="00837AB9"/>
    <w:rsid w:val="00845E78"/>
    <w:rsid w:val="00850637"/>
    <w:rsid w:val="00854D98"/>
    <w:rsid w:val="00860B29"/>
    <w:rsid w:val="00863972"/>
    <w:rsid w:val="00864345"/>
    <w:rsid w:val="00870177"/>
    <w:rsid w:val="00870D5F"/>
    <w:rsid w:val="00880194"/>
    <w:rsid w:val="008804CF"/>
    <w:rsid w:val="008826E1"/>
    <w:rsid w:val="00884F00"/>
    <w:rsid w:val="00892BC5"/>
    <w:rsid w:val="0089646B"/>
    <w:rsid w:val="008964B3"/>
    <w:rsid w:val="008A1A01"/>
    <w:rsid w:val="008A4EC5"/>
    <w:rsid w:val="008B1427"/>
    <w:rsid w:val="008B3065"/>
    <w:rsid w:val="008B6313"/>
    <w:rsid w:val="008C205C"/>
    <w:rsid w:val="008C4467"/>
    <w:rsid w:val="008C49C6"/>
    <w:rsid w:val="008C6A53"/>
    <w:rsid w:val="008C754C"/>
    <w:rsid w:val="008C7F6E"/>
    <w:rsid w:val="008D4009"/>
    <w:rsid w:val="008D4C6C"/>
    <w:rsid w:val="008D6A54"/>
    <w:rsid w:val="008E5BBA"/>
    <w:rsid w:val="008F37C9"/>
    <w:rsid w:val="008F79EB"/>
    <w:rsid w:val="00901FA0"/>
    <w:rsid w:val="0090605E"/>
    <w:rsid w:val="009108CE"/>
    <w:rsid w:val="00914F5A"/>
    <w:rsid w:val="00915A9F"/>
    <w:rsid w:val="00920FD1"/>
    <w:rsid w:val="009224BE"/>
    <w:rsid w:val="009253FA"/>
    <w:rsid w:val="00930D58"/>
    <w:rsid w:val="00952329"/>
    <w:rsid w:val="00960765"/>
    <w:rsid w:val="00962D0D"/>
    <w:rsid w:val="00963339"/>
    <w:rsid w:val="00966DB4"/>
    <w:rsid w:val="00966EF1"/>
    <w:rsid w:val="00972BB0"/>
    <w:rsid w:val="0097377A"/>
    <w:rsid w:val="00975A26"/>
    <w:rsid w:val="00982A57"/>
    <w:rsid w:val="0098350E"/>
    <w:rsid w:val="009866EE"/>
    <w:rsid w:val="00992807"/>
    <w:rsid w:val="009956D3"/>
    <w:rsid w:val="00996FA5"/>
    <w:rsid w:val="009A1C58"/>
    <w:rsid w:val="009A487F"/>
    <w:rsid w:val="009A7A67"/>
    <w:rsid w:val="009B311C"/>
    <w:rsid w:val="009B7F40"/>
    <w:rsid w:val="009E447F"/>
    <w:rsid w:val="009E6F8C"/>
    <w:rsid w:val="00A01C56"/>
    <w:rsid w:val="00A050E3"/>
    <w:rsid w:val="00A067B6"/>
    <w:rsid w:val="00A101E2"/>
    <w:rsid w:val="00A12CCE"/>
    <w:rsid w:val="00A13A51"/>
    <w:rsid w:val="00A1456E"/>
    <w:rsid w:val="00A215E9"/>
    <w:rsid w:val="00A23A9D"/>
    <w:rsid w:val="00A358E7"/>
    <w:rsid w:val="00A37EE7"/>
    <w:rsid w:val="00A42C66"/>
    <w:rsid w:val="00A51A2D"/>
    <w:rsid w:val="00A52AEE"/>
    <w:rsid w:val="00A52CAD"/>
    <w:rsid w:val="00A5455E"/>
    <w:rsid w:val="00A5464B"/>
    <w:rsid w:val="00A5700B"/>
    <w:rsid w:val="00A62AC3"/>
    <w:rsid w:val="00A63D9B"/>
    <w:rsid w:val="00A77E1F"/>
    <w:rsid w:val="00A8519A"/>
    <w:rsid w:val="00A93DC6"/>
    <w:rsid w:val="00AA382F"/>
    <w:rsid w:val="00AA738F"/>
    <w:rsid w:val="00AB7CBF"/>
    <w:rsid w:val="00AC07A4"/>
    <w:rsid w:val="00AC26A4"/>
    <w:rsid w:val="00AC31BD"/>
    <w:rsid w:val="00AD131C"/>
    <w:rsid w:val="00AD609D"/>
    <w:rsid w:val="00AE1947"/>
    <w:rsid w:val="00AE3317"/>
    <w:rsid w:val="00AE7ED0"/>
    <w:rsid w:val="00B122DC"/>
    <w:rsid w:val="00B16B70"/>
    <w:rsid w:val="00B16C12"/>
    <w:rsid w:val="00B22C73"/>
    <w:rsid w:val="00B2486B"/>
    <w:rsid w:val="00B309E2"/>
    <w:rsid w:val="00B3267D"/>
    <w:rsid w:val="00B337E7"/>
    <w:rsid w:val="00B3588F"/>
    <w:rsid w:val="00B35ABA"/>
    <w:rsid w:val="00B40533"/>
    <w:rsid w:val="00B411B6"/>
    <w:rsid w:val="00B46B55"/>
    <w:rsid w:val="00B46BC0"/>
    <w:rsid w:val="00B5444F"/>
    <w:rsid w:val="00B55681"/>
    <w:rsid w:val="00B601F0"/>
    <w:rsid w:val="00B651DF"/>
    <w:rsid w:val="00B75B1D"/>
    <w:rsid w:val="00B80B59"/>
    <w:rsid w:val="00B83235"/>
    <w:rsid w:val="00B9005C"/>
    <w:rsid w:val="00B95387"/>
    <w:rsid w:val="00B967FF"/>
    <w:rsid w:val="00B97500"/>
    <w:rsid w:val="00BA3F41"/>
    <w:rsid w:val="00BA7F7D"/>
    <w:rsid w:val="00BB1013"/>
    <w:rsid w:val="00BB1C14"/>
    <w:rsid w:val="00BB2FC4"/>
    <w:rsid w:val="00BB3038"/>
    <w:rsid w:val="00BC36D1"/>
    <w:rsid w:val="00BD07DF"/>
    <w:rsid w:val="00BD43CD"/>
    <w:rsid w:val="00BD5DBD"/>
    <w:rsid w:val="00BD671E"/>
    <w:rsid w:val="00BE1715"/>
    <w:rsid w:val="00BE57A9"/>
    <w:rsid w:val="00BE6509"/>
    <w:rsid w:val="00BF4638"/>
    <w:rsid w:val="00C06313"/>
    <w:rsid w:val="00C07551"/>
    <w:rsid w:val="00C13406"/>
    <w:rsid w:val="00C13504"/>
    <w:rsid w:val="00C16B39"/>
    <w:rsid w:val="00C21FFF"/>
    <w:rsid w:val="00C22214"/>
    <w:rsid w:val="00C2332A"/>
    <w:rsid w:val="00C27DE7"/>
    <w:rsid w:val="00C32FDF"/>
    <w:rsid w:val="00C339D1"/>
    <w:rsid w:val="00C33FF6"/>
    <w:rsid w:val="00C36162"/>
    <w:rsid w:val="00C407AB"/>
    <w:rsid w:val="00C40CC6"/>
    <w:rsid w:val="00C41651"/>
    <w:rsid w:val="00C41776"/>
    <w:rsid w:val="00C44379"/>
    <w:rsid w:val="00C44758"/>
    <w:rsid w:val="00C570FF"/>
    <w:rsid w:val="00C62478"/>
    <w:rsid w:val="00C65066"/>
    <w:rsid w:val="00C6574E"/>
    <w:rsid w:val="00C74A7B"/>
    <w:rsid w:val="00C806F1"/>
    <w:rsid w:val="00C808E2"/>
    <w:rsid w:val="00C816C6"/>
    <w:rsid w:val="00C81F53"/>
    <w:rsid w:val="00C82F47"/>
    <w:rsid w:val="00C83FF6"/>
    <w:rsid w:val="00C86DDA"/>
    <w:rsid w:val="00C9088B"/>
    <w:rsid w:val="00C96FB9"/>
    <w:rsid w:val="00CB0550"/>
    <w:rsid w:val="00CB4CB0"/>
    <w:rsid w:val="00CC5FE1"/>
    <w:rsid w:val="00CD7ECC"/>
    <w:rsid w:val="00CE20BC"/>
    <w:rsid w:val="00CE42D0"/>
    <w:rsid w:val="00CE7038"/>
    <w:rsid w:val="00CF1714"/>
    <w:rsid w:val="00CF5DEF"/>
    <w:rsid w:val="00D01DDB"/>
    <w:rsid w:val="00D06F59"/>
    <w:rsid w:val="00D071A3"/>
    <w:rsid w:val="00D078BE"/>
    <w:rsid w:val="00D10AD6"/>
    <w:rsid w:val="00D13A84"/>
    <w:rsid w:val="00D13F8A"/>
    <w:rsid w:val="00D40D73"/>
    <w:rsid w:val="00D5150A"/>
    <w:rsid w:val="00D536D6"/>
    <w:rsid w:val="00D54274"/>
    <w:rsid w:val="00D556FB"/>
    <w:rsid w:val="00D62877"/>
    <w:rsid w:val="00D6339F"/>
    <w:rsid w:val="00D63760"/>
    <w:rsid w:val="00D66AEC"/>
    <w:rsid w:val="00D670D2"/>
    <w:rsid w:val="00D70FED"/>
    <w:rsid w:val="00D76BA1"/>
    <w:rsid w:val="00D805CE"/>
    <w:rsid w:val="00D806E3"/>
    <w:rsid w:val="00D82B85"/>
    <w:rsid w:val="00D835B7"/>
    <w:rsid w:val="00D918D5"/>
    <w:rsid w:val="00D92397"/>
    <w:rsid w:val="00D94C8E"/>
    <w:rsid w:val="00DB192C"/>
    <w:rsid w:val="00DB1CF3"/>
    <w:rsid w:val="00DB2B33"/>
    <w:rsid w:val="00DB3E35"/>
    <w:rsid w:val="00DB4503"/>
    <w:rsid w:val="00DB5656"/>
    <w:rsid w:val="00DC0FE2"/>
    <w:rsid w:val="00DC15BA"/>
    <w:rsid w:val="00DC17D9"/>
    <w:rsid w:val="00DC2ECE"/>
    <w:rsid w:val="00DC3116"/>
    <w:rsid w:val="00DC5490"/>
    <w:rsid w:val="00DD0525"/>
    <w:rsid w:val="00DD1865"/>
    <w:rsid w:val="00DD3AD2"/>
    <w:rsid w:val="00DD4358"/>
    <w:rsid w:val="00DD7C84"/>
    <w:rsid w:val="00DE166C"/>
    <w:rsid w:val="00DE49D3"/>
    <w:rsid w:val="00DE57A6"/>
    <w:rsid w:val="00DF5BFE"/>
    <w:rsid w:val="00DF5D3A"/>
    <w:rsid w:val="00DF7A75"/>
    <w:rsid w:val="00E11693"/>
    <w:rsid w:val="00E135FE"/>
    <w:rsid w:val="00E14559"/>
    <w:rsid w:val="00E2485B"/>
    <w:rsid w:val="00E26976"/>
    <w:rsid w:val="00E307D9"/>
    <w:rsid w:val="00E434E3"/>
    <w:rsid w:val="00E43A44"/>
    <w:rsid w:val="00E465C4"/>
    <w:rsid w:val="00E46A63"/>
    <w:rsid w:val="00E47E0C"/>
    <w:rsid w:val="00E51813"/>
    <w:rsid w:val="00E527C9"/>
    <w:rsid w:val="00E53D3F"/>
    <w:rsid w:val="00E54637"/>
    <w:rsid w:val="00E5579B"/>
    <w:rsid w:val="00E631B8"/>
    <w:rsid w:val="00E65D8F"/>
    <w:rsid w:val="00E67F5D"/>
    <w:rsid w:val="00E72CAE"/>
    <w:rsid w:val="00E77225"/>
    <w:rsid w:val="00E84B0D"/>
    <w:rsid w:val="00EA22F7"/>
    <w:rsid w:val="00EB33EE"/>
    <w:rsid w:val="00EB4323"/>
    <w:rsid w:val="00ED1825"/>
    <w:rsid w:val="00EE178F"/>
    <w:rsid w:val="00F02AEC"/>
    <w:rsid w:val="00F13FE1"/>
    <w:rsid w:val="00F157FC"/>
    <w:rsid w:val="00F17119"/>
    <w:rsid w:val="00F30AF3"/>
    <w:rsid w:val="00F505CE"/>
    <w:rsid w:val="00F55DFA"/>
    <w:rsid w:val="00F619F8"/>
    <w:rsid w:val="00F657B4"/>
    <w:rsid w:val="00F718F0"/>
    <w:rsid w:val="00F76A31"/>
    <w:rsid w:val="00F82AC6"/>
    <w:rsid w:val="00F865A7"/>
    <w:rsid w:val="00F91D55"/>
    <w:rsid w:val="00F9210E"/>
    <w:rsid w:val="00FA0754"/>
    <w:rsid w:val="00FA1BC9"/>
    <w:rsid w:val="00FA49C3"/>
    <w:rsid w:val="00FA76BA"/>
    <w:rsid w:val="00FB2338"/>
    <w:rsid w:val="00FB236E"/>
    <w:rsid w:val="00FB3C9F"/>
    <w:rsid w:val="00FC6CED"/>
    <w:rsid w:val="00FC6F56"/>
    <w:rsid w:val="00FD5E89"/>
    <w:rsid w:val="00FD7794"/>
    <w:rsid w:val="00FE087C"/>
    <w:rsid w:val="00FE1739"/>
    <w:rsid w:val="00FE3893"/>
    <w:rsid w:val="00FE3C5E"/>
    <w:rsid w:val="00FF3704"/>
    <w:rsid w:val="00FF6BA7"/>
    <w:rsid w:val="0CC3EFE5"/>
    <w:rsid w:val="17CA4409"/>
    <w:rsid w:val="3BDAA877"/>
    <w:rsid w:val="50F6A253"/>
    <w:rsid w:val="5329305E"/>
    <w:rsid w:val="5A33FC9A"/>
    <w:rsid w:val="5BA50860"/>
    <w:rsid w:val="6183B2BC"/>
    <w:rsid w:val="65666595"/>
    <w:rsid w:val="78294B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A39D039F-57B5-4D01-8EE2-773E7E35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semiHidden/>
    <w:unhideWhenUsed/>
    <w:qFormat/>
    <w:rsid w:val="00B4053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 w:val="right" w:leader="dot" w:pos="9360"/>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 w:val="right" w:leader="dot" w:pos="9360"/>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 w:val="right" w:leader="dot" w:pos="9360"/>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uiPriority w:val="99"/>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uiPriority w:val="99"/>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98350E"/>
    <w:rPr>
      <w:color w:val="000000" w:themeColor="text1"/>
      <w:sz w:val="20"/>
      <w:lang w:val="en-GB"/>
    </w:rPr>
  </w:style>
  <w:style w:type="paragraph" w:customStyle="1" w:styleId="FigureTitle">
    <w:name w:val="Figure Title"/>
    <w:basedOn w:val="Normal"/>
    <w:qFormat/>
    <w:rsid w:val="00FC6F56"/>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98350E"/>
    <w:rPr>
      <w:b w:val="0"/>
      <w:sz w:val="19"/>
    </w:rPr>
  </w:style>
  <w:style w:type="paragraph" w:customStyle="1" w:styleId="Default">
    <w:name w:val="Default"/>
    <w:rsid w:val="00DD1865"/>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link w:val="ListParagraphChar"/>
    <w:uiPriority w:val="1"/>
    <w:qFormat/>
    <w:rsid w:val="00A5455E"/>
    <w:pPr>
      <w:ind w:left="720"/>
      <w:contextualSpacing/>
    </w:pPr>
  </w:style>
  <w:style w:type="character" w:customStyle="1" w:styleId="ListParagraphChar">
    <w:name w:val="List Paragraph Char"/>
    <w:basedOn w:val="DefaultParagraphFont"/>
    <w:link w:val="ListParagraph"/>
    <w:uiPriority w:val="34"/>
    <w:rsid w:val="00880194"/>
    <w:rPr>
      <w:rFonts w:ascii="Cambria" w:hAnsi="Cambria"/>
      <w:sz w:val="22"/>
    </w:rPr>
  </w:style>
  <w:style w:type="paragraph" w:styleId="EndnoteText">
    <w:name w:val="endnote text"/>
    <w:basedOn w:val="Normal"/>
    <w:link w:val="EndnoteTextChar"/>
    <w:uiPriority w:val="99"/>
    <w:unhideWhenUsed/>
    <w:rsid w:val="00B411B6"/>
    <w:pPr>
      <w:spacing w:after="0" w:line="240" w:lineRule="auto"/>
    </w:pPr>
    <w:rPr>
      <w:rFonts w:eastAsia="Cambria" w:cs="Times New Roman"/>
      <w:sz w:val="20"/>
    </w:rPr>
  </w:style>
  <w:style w:type="character" w:customStyle="1" w:styleId="EndnoteTextChar">
    <w:name w:val="Endnote Text Char"/>
    <w:basedOn w:val="DefaultParagraphFont"/>
    <w:link w:val="EndnoteText"/>
    <w:uiPriority w:val="99"/>
    <w:rsid w:val="00B411B6"/>
    <w:rPr>
      <w:rFonts w:ascii="Cambria" w:eastAsia="Cambria" w:hAnsi="Cambria" w:cs="Times New Roman"/>
    </w:rPr>
  </w:style>
  <w:style w:type="character" w:styleId="EndnoteReference">
    <w:name w:val="endnote reference"/>
    <w:basedOn w:val="DefaultParagraphFont"/>
    <w:uiPriority w:val="99"/>
    <w:unhideWhenUsed/>
    <w:rsid w:val="00B411B6"/>
    <w:rPr>
      <w:vertAlign w:val="superscript"/>
    </w:rPr>
  </w:style>
  <w:style w:type="paragraph" w:customStyle="1" w:styleId="Quotation">
    <w:name w:val="Quotation"/>
    <w:basedOn w:val="Normal"/>
    <w:next w:val="Normal"/>
    <w:uiPriority w:val="4"/>
    <w:qFormat/>
    <w:rsid w:val="004E7F82"/>
    <w:pPr>
      <w:spacing w:before="120" w:after="180" w:line="240" w:lineRule="atLeast"/>
      <w:ind w:left="425"/>
    </w:pPr>
    <w:rPr>
      <w:rFonts w:eastAsiaTheme="minorEastAsia"/>
      <w:sz w:val="20"/>
      <w:szCs w:val="22"/>
      <w:lang w:eastAsia="zh-TW"/>
    </w:rPr>
  </w:style>
  <w:style w:type="paragraph" w:customStyle="1" w:styleId="Standard">
    <w:name w:val="Standard"/>
    <w:basedOn w:val="Normal"/>
    <w:link w:val="StandardChar"/>
    <w:qFormat/>
    <w:rsid w:val="004E7F82"/>
    <w:pPr>
      <w:spacing w:after="220" w:line="252" w:lineRule="auto"/>
    </w:pPr>
    <w:rPr>
      <w:rFonts w:eastAsia="Times New Roman" w:cs="Times New Roman"/>
      <w:snapToGrid w:val="0"/>
      <w:kern w:val="16"/>
      <w:sz w:val="23"/>
      <w:szCs w:val="24"/>
    </w:rPr>
  </w:style>
  <w:style w:type="character" w:customStyle="1" w:styleId="StandardChar">
    <w:name w:val="Standard Char"/>
    <w:basedOn w:val="DefaultParagraphFont"/>
    <w:link w:val="Standard"/>
    <w:rsid w:val="004E7F82"/>
    <w:rPr>
      <w:rFonts w:ascii="Cambria" w:eastAsia="Times New Roman" w:hAnsi="Cambria" w:cs="Times New Roman"/>
      <w:snapToGrid w:val="0"/>
      <w:kern w:val="16"/>
      <w:sz w:val="23"/>
      <w:szCs w:val="24"/>
    </w:rPr>
  </w:style>
  <w:style w:type="paragraph" w:customStyle="1" w:styleId="Bulletpoint">
    <w:name w:val="Bullet point"/>
    <w:basedOn w:val="Standard"/>
    <w:rsid w:val="004E7F82"/>
    <w:pPr>
      <w:numPr>
        <w:numId w:val="11"/>
      </w:numPr>
      <w:tabs>
        <w:tab w:val="clear" w:pos="369"/>
        <w:tab w:val="left" w:pos="397"/>
      </w:tabs>
      <w:spacing w:after="180"/>
      <w:ind w:left="360" w:hanging="360"/>
    </w:pPr>
    <w:rPr>
      <w:sz w:val="22"/>
    </w:rPr>
  </w:style>
  <w:style w:type="paragraph" w:customStyle="1" w:styleId="TableCaption">
    <w:name w:val="Table Caption"/>
    <w:basedOn w:val="Normal"/>
    <w:qFormat/>
    <w:rsid w:val="00047802"/>
    <w:pPr>
      <w:adjustRightInd w:val="0"/>
      <w:snapToGrid w:val="0"/>
      <w:spacing w:after="0" w:line="240" w:lineRule="auto"/>
    </w:pPr>
    <w:rPr>
      <w:rFonts w:eastAsia="MS Mincho" w:cs="Times New Roman"/>
      <w:sz w:val="17"/>
      <w:lang w:eastAsia="ja-JP"/>
    </w:rPr>
  </w:style>
  <w:style w:type="character" w:customStyle="1" w:styleId="Heading7Char">
    <w:name w:val="Heading 7 Char"/>
    <w:basedOn w:val="DefaultParagraphFont"/>
    <w:link w:val="Heading7"/>
    <w:uiPriority w:val="9"/>
    <w:semiHidden/>
    <w:rsid w:val="00B40533"/>
    <w:rPr>
      <w:rFonts w:asciiTheme="majorHAnsi" w:eastAsiaTheme="majorEastAsia" w:hAnsiTheme="majorHAnsi" w:cstheme="majorBidi"/>
      <w:i/>
      <w:iCs/>
      <w:color w:val="1F3763" w:themeColor="accent1" w:themeShade="7F"/>
      <w:sz w:val="22"/>
    </w:rPr>
  </w:style>
  <w:style w:type="paragraph" w:customStyle="1" w:styleId="TableParagraph">
    <w:name w:val="Table Paragraph"/>
    <w:basedOn w:val="Normal"/>
    <w:uiPriority w:val="1"/>
    <w:qFormat/>
    <w:rsid w:val="00A23A9D"/>
    <w:pPr>
      <w:widowControl w:val="0"/>
      <w:autoSpaceDE w:val="0"/>
      <w:autoSpaceDN w:val="0"/>
      <w:spacing w:after="0" w:line="240" w:lineRule="auto"/>
    </w:pPr>
    <w:rPr>
      <w:rFonts w:ascii="Calibri" w:eastAsia="Calibri" w:hAnsi="Calibri" w:cs="Calibri"/>
      <w:szCs w:val="22"/>
      <w:lang w:val="en-US"/>
    </w:rPr>
  </w:style>
  <w:style w:type="paragraph" w:customStyle="1" w:styleId="Tabletext0">
    <w:name w:val="Table text"/>
    <w:basedOn w:val="Normal"/>
    <w:link w:val="TabletextChar"/>
    <w:qFormat/>
    <w:rsid w:val="000F087C"/>
    <w:pPr>
      <w:spacing w:after="0" w:line="240" w:lineRule="auto"/>
    </w:pPr>
    <w:rPr>
      <w:rFonts w:eastAsia="Cambria" w:cs="Times New Roman"/>
      <w:sz w:val="19"/>
      <w:szCs w:val="22"/>
    </w:rPr>
  </w:style>
  <w:style w:type="character" w:customStyle="1" w:styleId="TabletextChar">
    <w:name w:val="Table text Char"/>
    <w:basedOn w:val="DefaultParagraphFont"/>
    <w:link w:val="Tabletext0"/>
    <w:rsid w:val="000F087C"/>
    <w:rPr>
      <w:rFonts w:ascii="Cambria" w:eastAsia="Cambria" w:hAnsi="Cambria" w:cs="Times New Roman"/>
      <w:sz w:val="19"/>
      <w:szCs w:val="22"/>
    </w:rPr>
  </w:style>
  <w:style w:type="character" w:styleId="HTMLCite">
    <w:name w:val="HTML Cite"/>
    <w:basedOn w:val="DefaultParagraphFont"/>
    <w:uiPriority w:val="99"/>
    <w:semiHidden/>
    <w:unhideWhenUsed/>
    <w:rsid w:val="00D06F59"/>
    <w:rPr>
      <w:i/>
      <w:iCs/>
    </w:rPr>
  </w:style>
  <w:style w:type="character" w:customStyle="1" w:styleId="period">
    <w:name w:val="period"/>
    <w:basedOn w:val="DefaultParagraphFont"/>
    <w:rsid w:val="0023737D"/>
  </w:style>
  <w:style w:type="character" w:customStyle="1" w:styleId="cit">
    <w:name w:val="cit"/>
    <w:basedOn w:val="DefaultParagraphFont"/>
    <w:rsid w:val="0023737D"/>
  </w:style>
  <w:style w:type="character" w:customStyle="1" w:styleId="citation-doi">
    <w:name w:val="citation-doi"/>
    <w:basedOn w:val="DefaultParagraphFont"/>
    <w:rsid w:val="0023737D"/>
  </w:style>
  <w:style w:type="paragraph" w:styleId="TOC4">
    <w:name w:val="toc 4"/>
    <w:basedOn w:val="Normal"/>
    <w:next w:val="Normal"/>
    <w:autoRedefine/>
    <w:uiPriority w:val="39"/>
    <w:semiHidden/>
    <w:unhideWhenUsed/>
    <w:rsid w:val="00C62478"/>
    <w:pPr>
      <w:tabs>
        <w:tab w:val="right" w:leader="dot" w:pos="9360"/>
      </w:tabs>
      <w:spacing w:after="100"/>
      <w:ind w:left="660"/>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16709">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751316452">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617911390">
      <w:bodyDiv w:val="1"/>
      <w:marLeft w:val="0"/>
      <w:marRight w:val="0"/>
      <w:marTop w:val="0"/>
      <w:marBottom w:val="0"/>
      <w:divBdr>
        <w:top w:val="none" w:sz="0" w:space="0" w:color="auto"/>
        <w:left w:val="none" w:sz="0" w:space="0" w:color="auto"/>
        <w:bottom w:val="none" w:sz="0" w:space="0" w:color="auto"/>
        <w:right w:val="none" w:sz="0" w:space="0" w:color="auto"/>
      </w:divBdr>
      <w:divsChild>
        <w:div w:id="1079909914">
          <w:marLeft w:val="0"/>
          <w:marRight w:val="0"/>
          <w:marTop w:val="0"/>
          <w:marBottom w:val="0"/>
          <w:divBdr>
            <w:top w:val="none" w:sz="0" w:space="0" w:color="auto"/>
            <w:left w:val="none" w:sz="0" w:space="0" w:color="auto"/>
            <w:bottom w:val="none" w:sz="0" w:space="0" w:color="auto"/>
            <w:right w:val="none" w:sz="0" w:space="0" w:color="auto"/>
          </w:divBdr>
          <w:divsChild>
            <w:div w:id="1972586222">
              <w:marLeft w:val="0"/>
              <w:marRight w:val="0"/>
              <w:marTop w:val="0"/>
              <w:marBottom w:val="0"/>
              <w:divBdr>
                <w:top w:val="none" w:sz="0" w:space="0" w:color="auto"/>
                <w:left w:val="none" w:sz="0" w:space="0" w:color="auto"/>
                <w:bottom w:val="none" w:sz="0" w:space="0" w:color="auto"/>
                <w:right w:val="none" w:sz="0" w:space="0" w:color="auto"/>
              </w:divBdr>
              <w:divsChild>
                <w:div w:id="192251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ga.gov.au/black-triangle-scheme" TargetMode="External"/><Relationship Id="rId26" Type="http://schemas.openxmlformats.org/officeDocument/2006/relationships/hyperlink" Target="https://www.tga.gov.au/picmi-search-facility"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ga.copyright@tga.gov.au"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ga.gov.au/australian-public-assessment-report-auspar-guidance" TargetMode="External"/><Relationship Id="rId20" Type="http://schemas.openxmlformats.org/officeDocument/2006/relationships/hyperlink" Target="https://www.tga.gov.au/how-we-regulate/supply-therapeutic-good-0/supply-prescription-medicine/application-process/prescription-medicines-registration-process" TargetMode="External"/><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tga.gov.au" TargetMode="External"/><Relationship Id="rId23" Type="http://schemas.openxmlformats.org/officeDocument/2006/relationships/image" Target="media/image6.pn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tga.gov.au/project-orbi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hyperlink" Target="https://www.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ccessdata.fda.gov/drugsatfda_docs/nda/2022/761234Orig1s000MultidisciplineR.pdf" TargetMode="External"/><Relationship Id="rId13" Type="http://schemas.openxmlformats.org/officeDocument/2006/relationships/hyperlink" Target="https://www.accessdata.fda.gov/drugsatfda_docs/nda/2022/761234Orig1s000MultidisciplineR.pdf" TargetMode="External"/><Relationship Id="rId18" Type="http://schemas.openxmlformats.org/officeDocument/2006/relationships/hyperlink" Target="https://www.accessdata.fda.gov/drugsatfda_docs/nda/2022/761234Orig1s000MultidisciplineR.pdf" TargetMode="External"/><Relationship Id="rId3" Type="http://schemas.openxmlformats.org/officeDocument/2006/relationships/hyperlink" Target="https://www.aihw.gov.au/getmedia/e8779760-1b3c-4c2e-a6c2-b0a8d764c66b/AIHW-CAN-122-CDiA-2021-Book-1a-Cancer-incidence-age-standardised-rates-5-year-age-groups.xlsx.aspx" TargetMode="External"/><Relationship Id="rId21" Type="http://schemas.openxmlformats.org/officeDocument/2006/relationships/hyperlink" Target="https://www.accessdata.fda.gov/drugsatfda_docs/nda/2022/761234Orig1s000MultidisciplineR.pdf" TargetMode="External"/><Relationship Id="rId7" Type="http://schemas.openxmlformats.org/officeDocument/2006/relationships/hyperlink" Target="https://www.tga.gov.au/sites/default/files/auspar-nivolumab-160823.pdf" TargetMode="External"/><Relationship Id="rId12" Type="http://schemas.openxmlformats.org/officeDocument/2006/relationships/hyperlink" Target="https://www.accessdata.fda.gov/drugsatfda_docs/nda/2022/761234Orig1s000MultidisciplineR.pdf" TargetMode="External"/><Relationship Id="rId17" Type="http://schemas.openxmlformats.org/officeDocument/2006/relationships/hyperlink" Target="https://www.accessdata.fda.gov/drugsatfda_docs/nda/2022/761234Orig1s000MultidisciplineR.pdf" TargetMode="External"/><Relationship Id="rId25" Type="http://schemas.openxmlformats.org/officeDocument/2006/relationships/hyperlink" Target="https://www.accessdata.fda.gov/drugsatfda_docs/nda/2022/761234Orig1s000Approv.pdf" TargetMode="External"/><Relationship Id="rId2" Type="http://schemas.openxmlformats.org/officeDocument/2006/relationships/hyperlink" Target="http://www.aph.gov.au/Parliamentary_Business/Committees/House/Health/Skin_Cancer/Report" TargetMode="External"/><Relationship Id="rId16" Type="http://schemas.openxmlformats.org/officeDocument/2006/relationships/hyperlink" Target="https://www.accessdata.fda.gov/drugsatfda_docs/nda/2022/761234Orig1s000MultidisciplineR.pdf" TargetMode="External"/><Relationship Id="rId20" Type="http://schemas.openxmlformats.org/officeDocument/2006/relationships/hyperlink" Target="https://www.accessdata.fda.gov/drugsatfda_docs/nda/2022/761234Orig1s000MultidisciplineR.pdf" TargetMode="External"/><Relationship Id="rId1" Type="http://schemas.openxmlformats.org/officeDocument/2006/relationships/hyperlink" Target="https://www.cancervic.org.au/research/vcr/fact-sheets-and-annual-reports/melanoma-factsheet.html" TargetMode="External"/><Relationship Id="rId6" Type="http://schemas.openxmlformats.org/officeDocument/2006/relationships/hyperlink" Target="https://doi.org/10.1016/j.annonc.2021.08.2118" TargetMode="External"/><Relationship Id="rId11" Type="http://schemas.openxmlformats.org/officeDocument/2006/relationships/hyperlink" Target="https://doi.org/10.1002/1097-0142(19871001)60:7%3C1651::AID-CNCR2820600738%3E3.0.CO;2-J" TargetMode="External"/><Relationship Id="rId24" Type="http://schemas.openxmlformats.org/officeDocument/2006/relationships/hyperlink" Target="https://www.accessdata.fda.gov/drugsatfda_docs/nda/2022/761234Orig1s000MultidisciplineR.pdf" TargetMode="External"/><Relationship Id="rId5" Type="http://schemas.openxmlformats.org/officeDocument/2006/relationships/hyperlink" Target="https://news.bms.com/news/details/2021/Six-and-a-Half-Year-Outcomes-for-Opdivo-nivolumab-in-Combination-with-Yervoy-ipilimumab-Continue-to-Demonstrate-Durable-Long-Term-Survival-Benefits-in-Patients-with-Advanced-Melanoma/default.aspx" TargetMode="External"/><Relationship Id="rId15" Type="http://schemas.openxmlformats.org/officeDocument/2006/relationships/hyperlink" Target="https://www.accessdata.fda.gov/drugsatfda_docs/nda/2022/761234Orig1s000MultidisciplineR.pdf" TargetMode="External"/><Relationship Id="rId23" Type="http://schemas.openxmlformats.org/officeDocument/2006/relationships/hyperlink" Target="https://www.accessdata.fda.gov/drugsatfda_docs/nda/2022/761234Orig1s000MultidisciplineR.pdf" TargetMode="External"/><Relationship Id="rId10" Type="http://schemas.openxmlformats.org/officeDocument/2006/relationships/hyperlink" Target="https://www.accessdata.fda.gov/drugsatfda_docs/nda/2022/761234Orig1s000lbl.pdf" TargetMode="External"/><Relationship Id="rId19" Type="http://schemas.openxmlformats.org/officeDocument/2006/relationships/hyperlink" Target="https://www.accessdata.fda.gov/drugsatfda_docs/nda/2022/761234Orig1s000MultidisciplineR.pdf" TargetMode="External"/><Relationship Id="rId4" Type="http://schemas.openxmlformats.org/officeDocument/2006/relationships/hyperlink" Target="https://www.aihw.gov.au/getmedia/9b861a57-82b2-455b-8228-7cfbcf4bd057/AIHW-CAN-122-CDiA-2021-Book-8-Cancer-incidence-and-survival-by-stage.xlsx.aspx" TargetMode="External"/><Relationship Id="rId9" Type="http://schemas.openxmlformats.org/officeDocument/2006/relationships/hyperlink" Target="https://clinicaltrials.gov/ct2/show/NCT03470922" TargetMode="External"/><Relationship Id="rId14" Type="http://schemas.openxmlformats.org/officeDocument/2006/relationships/hyperlink" Target="https://www.accessdata.fda.gov/drugsatfda_docs/nda/2022/761234Orig1s000MultidisciplineR.pdf" TargetMode="External"/><Relationship Id="rId22" Type="http://schemas.openxmlformats.org/officeDocument/2006/relationships/hyperlink" Target="https://www.accessdata.fda.gov/drugsatfda_docs/nda/2022/761234Orig1s000MultidisciplineR.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212292e-fee3-4e58-b645-17c47387aa0e">
      <UserInfo>
        <DisplayName>Adams, Glen</DisplayName>
        <AccountId>2153</AccountId>
        <AccountType/>
      </UserInfo>
      <UserInfo>
        <DisplayName>Shenouda, Andro</DisplayName>
        <AccountId>1661</AccountId>
        <AccountType/>
      </UserInfo>
      <UserInfo>
        <DisplayName>Hanna, Mark</DisplayName>
        <AccountId>6990</AccountId>
        <AccountType/>
      </UserInfo>
      <UserInfo>
        <DisplayName>Bakhshi, Meena</DisplayName>
        <AccountId>75</AccountId>
        <AccountType/>
      </UserInfo>
      <UserInfo>
        <DisplayName>Parikh, Dhwani</DisplayName>
        <AccountId>608</AccountId>
        <AccountType/>
      </UserInfo>
      <UserInfo>
        <DisplayName>Skorina, Yuliya</DisplayName>
        <AccountId>4723</AccountId>
        <AccountType/>
      </UserInfo>
      <UserInfo>
        <DisplayName>Suryawanshi, Satyendra</DisplayName>
        <AccountId>148</AccountId>
        <AccountType/>
      </UserInfo>
      <UserInfo>
        <DisplayName>Cowan, Laine</DisplayName>
        <AccountId>8207</AccountId>
        <AccountType/>
      </UserInfo>
      <UserInfo>
        <DisplayName>Broz, Miranda</DisplayName>
        <AccountId>5380</AccountId>
        <AccountType/>
      </UserInfo>
      <UserInfo>
        <DisplayName>Boone, Bradly</DisplayName>
        <AccountId>220</AccountId>
        <AccountType/>
      </UserInfo>
      <UserInfo>
        <DisplayName>Keidel, Sarah</DisplayName>
        <AccountId>4353</AccountId>
        <AccountType/>
      </UserInfo>
      <UserInfo>
        <DisplayName>Rodriguez, Saima</DisplayName>
        <AccountId>4867</AccountId>
        <AccountType/>
      </UserInfo>
      <UserInfo>
        <DisplayName>Ratto, Barbara</DisplayName>
        <AccountId>5885</AccountId>
        <AccountType/>
      </UserInfo>
      <UserInfo>
        <DisplayName>Miller-Moslin, Karen</DisplayName>
        <AccountId>4230</AccountId>
        <AccountType/>
      </UserInfo>
      <UserInfo>
        <DisplayName>Prent, Helen</DisplayName>
        <AccountId>5241</AccountId>
        <AccountType/>
      </UserInfo>
      <UserInfo>
        <DisplayName>Warad, Deepti</DisplayName>
        <AccountId>5838</AccountId>
        <AccountType/>
      </UserInfo>
      <UserInfo>
        <DisplayName>Wolf, Diane</DisplayName>
        <AccountId>6043</AccountId>
        <AccountType/>
      </UserInfo>
      <UserInfo>
        <DisplayName>Ajinkya, Reshma</DisplayName>
        <AccountId>3000</AccountId>
        <AccountType/>
      </UserInfo>
      <UserInfo>
        <DisplayName>Amuzu, Hilaria</DisplayName>
        <AccountId>8707</AccountId>
        <AccountType/>
      </UserInfo>
      <UserInfo>
        <DisplayName>Toh, Tiffany</DisplayName>
        <AccountId>8708</AccountId>
        <AccountType/>
      </UserInfo>
      <UserInfo>
        <DisplayName>Shin, Hoyoung</DisplayName>
        <AccountId>4482</AccountId>
        <AccountType/>
      </UserInfo>
      <UserInfo>
        <DisplayName>Loncar, Billie</DisplayName>
        <AccountId>6813</AccountId>
        <AccountType/>
      </UserInfo>
      <UserInfo>
        <DisplayName>Polglase, Gillian</DisplayName>
        <AccountId>8709</AccountId>
        <AccountType/>
      </UserInfo>
      <UserInfo>
        <DisplayName>McCabe, Clare</DisplayName>
        <AccountId>6967</AccountId>
        <AccountType/>
      </UserInfo>
      <UserInfo>
        <DisplayName>Zoltek, Meghan</DisplayName>
        <AccountId>7675</AccountId>
        <AccountType/>
      </UserInfo>
      <UserInfo>
        <DisplayName>Sama, Ashwin</DisplayName>
        <AccountId>564</AccountId>
        <AccountType/>
      </UserInfo>
      <UserInfo>
        <DisplayName>Grigoryeva, Elena</DisplayName>
        <AccountId>3585</AccountId>
        <AccountType/>
      </UserInfo>
      <UserInfo>
        <DisplayName>Walch, Jeffrey</DisplayName>
        <AccountId>8667</AccountId>
        <AccountType/>
      </UserInfo>
      <UserInfo>
        <DisplayName>Mishra, Kaushal</DisplayName>
        <AccountId>6017</AccountId>
        <AccountType/>
      </UserInfo>
      <UserInfo>
        <DisplayName>Salvatore, Anthony</DisplayName>
        <AccountId>3973</AccountId>
        <AccountType/>
      </UserInfo>
    </SharedWithUsers>
    <lcf76f155ced4ddcb4097134ff3c332f xmlns="8a46b709-8ecf-42fd-81b0-d282e67de71a">
      <Terms xmlns="http://schemas.microsoft.com/office/infopath/2007/PartnerControls"/>
    </lcf76f155ced4ddcb4097134ff3c332f>
    <TaxCatchAll xmlns="4212292e-fee3-4e58-b645-17c47387aa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78E1642ACF814DAE5C915C9F90BBB2" ma:contentTypeVersion="16" ma:contentTypeDescription="Create a new document." ma:contentTypeScope="" ma:versionID="d391947677994ed30b3e6fc490b5738e">
  <xsd:schema xmlns:xsd="http://www.w3.org/2001/XMLSchema" xmlns:xs="http://www.w3.org/2001/XMLSchema" xmlns:p="http://schemas.microsoft.com/office/2006/metadata/properties" xmlns:ns2="8a46b709-8ecf-42fd-81b0-d282e67de71a" xmlns:ns3="4212292e-fee3-4e58-b645-17c47387aa0e" targetNamespace="http://schemas.microsoft.com/office/2006/metadata/properties" ma:root="true" ma:fieldsID="76bb00030f7b0d22ce8f79783a53b93a" ns2:_="" ns3:_="">
    <xsd:import namespace="8a46b709-8ecf-42fd-81b0-d282e67de71a"/>
    <xsd:import namespace="4212292e-fee3-4e58-b645-17c47387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6b709-8ecf-42fd-81b0-d282e67de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2292e-fee3-4e58-b645-17c47387aa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3151a9-9420-42c1-97d3-0cfd098718a8}" ma:internalName="TaxCatchAll" ma:showField="CatchAllData" ma:web="4212292e-fee3-4e58-b645-17c47387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A2FDA-FBBE-47FF-A3E7-5FA0E5379F85}">
  <ds:schemaRefs>
    <ds:schemaRef ds:uri="http://schemas.microsoft.com/sharepoint/v3/contenttype/forms"/>
  </ds:schemaRefs>
</ds:datastoreItem>
</file>

<file path=customXml/itemProps2.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customXml/itemProps3.xml><?xml version="1.0" encoding="utf-8"?>
<ds:datastoreItem xmlns:ds="http://schemas.openxmlformats.org/officeDocument/2006/customXml" ds:itemID="{70380578-3188-4C10-8828-B54FCA466D3F}">
  <ds:schemaRefs>
    <ds:schemaRef ds:uri="http://purl.org/dc/terms/"/>
    <ds:schemaRef ds:uri="http://purl.org/dc/dcmitype/"/>
    <ds:schemaRef ds:uri="http://schemas.openxmlformats.org/package/2006/metadata/core-properties"/>
    <ds:schemaRef ds:uri="4212292e-fee3-4e58-b645-17c47387aa0e"/>
    <ds:schemaRef ds:uri="8a46b709-8ecf-42fd-81b0-d282e67de71a"/>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411A93D-974D-4375-9B00-DAD464271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6b709-8ecf-42fd-81b0-d282e67de71a"/>
    <ds:schemaRef ds:uri="4212292e-fee3-4e58-b645-17c47387a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47</Pages>
  <Words>15557</Words>
  <Characters>87903</Characters>
  <Application>Microsoft Office Word</Application>
  <DocSecurity>0</DocSecurity>
  <Lines>2197</Lines>
  <Paragraphs>1309</Paragraphs>
  <ScaleCrop>false</ScaleCrop>
  <HeadingPairs>
    <vt:vector size="2" baseType="variant">
      <vt:variant>
        <vt:lpstr>Title</vt:lpstr>
      </vt:variant>
      <vt:variant>
        <vt:i4>1</vt:i4>
      </vt:variant>
    </vt:vector>
  </HeadingPairs>
  <TitlesOfParts>
    <vt:vector size="1" baseType="lpstr">
      <vt:lpstr>Australian public assessment report for Opdualag</vt:lpstr>
    </vt:vector>
  </TitlesOfParts>
  <Company>Department of Health and Aged Care</Company>
  <LinksUpToDate>false</LinksUpToDate>
  <CharactersWithSpaces>102151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Opdualag</dc:title>
  <dc:subject>Prescription medicine regulation</dc:subject>
  <dc:creator>Therapeutic Goods Administration</dc:creator>
  <cp:keywords/>
  <dc:description/>
  <cp:revision>4</cp:revision>
  <dcterms:created xsi:type="dcterms:W3CDTF">2024-01-02T05:52:00Z</dcterms:created>
  <dcterms:modified xsi:type="dcterms:W3CDTF">2024-01-02T06:01:00Z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0x010100F678E1642ACF814DAE5C915C9F90BBB2</vt:lpwstr>
  </property>
</Properties>
</file>