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345E6F" w14:paraId="08AE1D54" w14:textId="77777777" w:rsidTr="00346EC2">
        <w:trPr>
          <w:trHeight w:val="1558"/>
        </w:trPr>
        <w:tc>
          <w:tcPr>
            <w:tcW w:w="8720" w:type="dxa"/>
          </w:tcPr>
          <w:p w14:paraId="2538A211" w14:textId="5624BAE6" w:rsidR="00F02AEC" w:rsidRPr="00215D48" w:rsidRDefault="00063F39" w:rsidP="007452E8">
            <w:pPr>
              <w:pStyle w:val="Title"/>
            </w:pPr>
            <w:r w:rsidRPr="00346EC2">
              <w:t xml:space="preserve">Australian Public Assessment Report for </w:t>
            </w:r>
            <w:r w:rsidR="008B02EE">
              <w:t>Sunlenca</w:t>
            </w:r>
          </w:p>
        </w:tc>
      </w:tr>
      <w:tr w:rsidR="00345E6F" w14:paraId="318A40A3" w14:textId="77777777" w:rsidTr="00346EC2">
        <w:trPr>
          <w:trHeight w:val="995"/>
        </w:trPr>
        <w:tc>
          <w:tcPr>
            <w:tcW w:w="8720" w:type="dxa"/>
          </w:tcPr>
          <w:p w14:paraId="1AA7C701" w14:textId="5F1710B7" w:rsidR="00F02AEC" w:rsidRPr="00215D48" w:rsidRDefault="00063F39" w:rsidP="007452E8">
            <w:pPr>
              <w:pStyle w:val="Subtitle"/>
              <w:ind w:left="0"/>
            </w:pPr>
            <w:r w:rsidRPr="00346EC2">
              <w:t xml:space="preserve">Active ingredient: </w:t>
            </w:r>
            <w:r w:rsidR="00254D86">
              <w:t>Lenacapavir sodium</w:t>
            </w:r>
          </w:p>
        </w:tc>
      </w:tr>
      <w:tr w:rsidR="00345E6F" w14:paraId="362CCAE4" w14:textId="77777777" w:rsidTr="007452E8">
        <w:trPr>
          <w:trHeight w:val="1916"/>
        </w:trPr>
        <w:tc>
          <w:tcPr>
            <w:tcW w:w="8720" w:type="dxa"/>
          </w:tcPr>
          <w:p w14:paraId="709C45C0" w14:textId="41F4E08A" w:rsidR="00346EC2" w:rsidRPr="00215D48" w:rsidRDefault="00063F39" w:rsidP="007452E8">
            <w:pPr>
              <w:pStyle w:val="Subtitle"/>
              <w:ind w:left="0"/>
            </w:pPr>
            <w:r w:rsidRPr="00346EC2">
              <w:t xml:space="preserve">Sponsor: </w:t>
            </w:r>
            <w:r w:rsidR="00254D86">
              <w:t>Gilead Sciences Pty Ltd</w:t>
            </w:r>
          </w:p>
        </w:tc>
      </w:tr>
      <w:tr w:rsidR="00345E6F" w14:paraId="37F2AA1F" w14:textId="77777777" w:rsidTr="007452E8">
        <w:tc>
          <w:tcPr>
            <w:tcW w:w="8720" w:type="dxa"/>
          </w:tcPr>
          <w:p w14:paraId="1FDE8DCD" w14:textId="268A0D30" w:rsidR="00F02AEC" w:rsidRPr="00215D48" w:rsidRDefault="00D004A9" w:rsidP="007452E8">
            <w:pPr>
              <w:pStyle w:val="Date"/>
            </w:pPr>
            <w:r>
              <w:t>January 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063F39" w:rsidP="00346EC2">
      <w:pPr>
        <w:pStyle w:val="NonTOCHeading20"/>
      </w:pPr>
      <w:r w:rsidRPr="001F6CBA">
        <w:lastRenderedPageBreak/>
        <w:t>About the Therapeutic Goods Administration (TGA)</w:t>
      </w:r>
    </w:p>
    <w:p w14:paraId="79558AE9" w14:textId="77777777" w:rsidR="00346EC2" w:rsidRPr="00391B0C" w:rsidRDefault="00063F39"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063F39"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18B709A9" w:rsidR="00346EC2" w:rsidRPr="003C6D1F" w:rsidRDefault="00063F39" w:rsidP="00346EC2">
      <w:pPr>
        <w:pStyle w:val="ListBullet"/>
      </w:pPr>
      <w:r w:rsidRPr="003C6D1F">
        <w:t>The work of the TGA is based on applying scientific and clinical expertise to decision</w:t>
      </w:r>
      <w:r w:rsidR="006D7271">
        <w:noBreakHyphen/>
      </w:r>
      <w:r w:rsidRPr="003C6D1F">
        <w:t xml:space="preserve">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063F39"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2DABB302" w:rsidR="00346EC2" w:rsidRDefault="00063F39" w:rsidP="00346EC2">
      <w:pPr>
        <w:pStyle w:val="ListBullet"/>
      </w:pPr>
      <w:r w:rsidRPr="003C6D1F">
        <w:t xml:space="preserve">To report a problem with a </w:t>
      </w:r>
      <w:r>
        <w:t>therapeutic good</w:t>
      </w:r>
      <w:r w:rsidRPr="003C6D1F">
        <w:t xml:space="preserve">, please see the information on the </w:t>
      </w:r>
      <w:hyperlink r:id="rId15" w:history="1">
        <w:r w:rsidRPr="000F15B4">
          <w:rPr>
            <w:rStyle w:val="Hyperlink"/>
          </w:rPr>
          <w:t>TGA website</w:t>
        </w:r>
      </w:hyperlink>
      <w:r w:rsidRPr="003C6D1F">
        <w:t>.</w:t>
      </w:r>
    </w:p>
    <w:p w14:paraId="737B7A99" w14:textId="77777777" w:rsidR="00346EC2" w:rsidRDefault="00063F39" w:rsidP="00346EC2">
      <w:pPr>
        <w:pStyle w:val="NonTOCHeading20"/>
      </w:pPr>
      <w:r>
        <w:t>About AusPARs</w:t>
      </w:r>
    </w:p>
    <w:p w14:paraId="631B2209" w14:textId="0CFA1712" w:rsidR="00346EC2" w:rsidRPr="003C6D1F" w:rsidRDefault="00063F39"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063F39" w:rsidP="00346EC2">
      <w:pPr>
        <w:pStyle w:val="ListBullet"/>
      </w:pPr>
      <w:r w:rsidRPr="003C6D1F">
        <w:t>AusPARs are prepared and published by the TGA.</w:t>
      </w:r>
    </w:p>
    <w:p w14:paraId="451B8FD7" w14:textId="5C631103" w:rsidR="00346EC2" w:rsidRPr="003C6D1F" w:rsidRDefault="00063F39"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w:t>
      </w:r>
      <w:r w:rsidR="006D7271">
        <w:noBreakHyphen/>
      </w:r>
      <w:r>
        <w:t>making process.</w:t>
      </w:r>
    </w:p>
    <w:p w14:paraId="4D69F5CF" w14:textId="77777777" w:rsidR="00346EC2" w:rsidRPr="003C6D1F" w:rsidRDefault="00063F39"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063F39" w:rsidP="00FE087C">
      <w:pPr>
        <w:pStyle w:val="LegalSubheading"/>
        <w:spacing w:before="3600"/>
      </w:pPr>
      <w:r w:rsidRPr="00BA0DFC">
        <w:t>Copyright</w:t>
      </w:r>
    </w:p>
    <w:p w14:paraId="170A8A5D" w14:textId="336E7BA7" w:rsidR="00175CD8" w:rsidRPr="00346EC2" w:rsidRDefault="00063F39" w:rsidP="00346EC2">
      <w:pPr>
        <w:pStyle w:val="LegalCopy"/>
        <w:rPr>
          <w:rFonts w:cs="Arial"/>
        </w:rPr>
      </w:pPr>
      <w:r w:rsidRPr="00215D48">
        <w:rPr>
          <w:rFonts w:cs="Arial"/>
        </w:rPr>
        <w:t>© Commonwealth of Australia 20</w:t>
      </w:r>
      <w:r>
        <w:rPr>
          <w:rFonts w:cs="Arial"/>
        </w:rPr>
        <w:t>2</w:t>
      </w:r>
      <w:r w:rsidR="00D004A9">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eastAsia="Cambria" w:hAnsi="Arial" w:cs="Times New Roman"/>
          <w:b/>
          <w:color w:val="333F48"/>
          <w:sz w:val="32"/>
          <w:szCs w:val="20"/>
        </w:rPr>
      </w:sdtEndPr>
      <w:sdtContent>
        <w:p w14:paraId="0A6ADA2B" w14:textId="77777777" w:rsidR="00F02AEC" w:rsidRPr="00215D48" w:rsidRDefault="00063F39" w:rsidP="007452E8">
          <w:pPr>
            <w:pStyle w:val="NonTOCheading2"/>
          </w:pPr>
          <w:r w:rsidRPr="00215D48">
            <w:t>Contents</w:t>
          </w:r>
        </w:p>
        <w:p w14:paraId="3D787A2C" w14:textId="13AE197F" w:rsidR="006250B8" w:rsidRDefault="00837005">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00063F39" w:rsidRPr="00215D48">
            <w:instrText xml:space="preserve"> TOC \h \z \u \t "Heading 2,1,Heading 3,2,Heading 4,3" </w:instrText>
          </w:r>
          <w:r w:rsidRPr="00215D48">
            <w:fldChar w:fldCharType="separate"/>
          </w:r>
          <w:hyperlink w:anchor="_Toc157422713" w:history="1">
            <w:r w:rsidR="006250B8" w:rsidRPr="00F11D58">
              <w:rPr>
                <w:rStyle w:val="Hyperlink"/>
                <w:noProof/>
              </w:rPr>
              <w:t>List of abbreviations</w:t>
            </w:r>
            <w:r w:rsidR="006250B8">
              <w:rPr>
                <w:noProof/>
                <w:webHidden/>
              </w:rPr>
              <w:tab/>
            </w:r>
            <w:r w:rsidR="006250B8">
              <w:rPr>
                <w:noProof/>
                <w:webHidden/>
              </w:rPr>
              <w:fldChar w:fldCharType="begin"/>
            </w:r>
            <w:r w:rsidR="006250B8">
              <w:rPr>
                <w:noProof/>
                <w:webHidden/>
              </w:rPr>
              <w:instrText xml:space="preserve"> PAGEREF _Toc157422713 \h </w:instrText>
            </w:r>
            <w:r w:rsidR="006250B8">
              <w:rPr>
                <w:noProof/>
                <w:webHidden/>
              </w:rPr>
            </w:r>
            <w:r w:rsidR="006250B8">
              <w:rPr>
                <w:noProof/>
                <w:webHidden/>
              </w:rPr>
              <w:fldChar w:fldCharType="separate"/>
            </w:r>
            <w:r w:rsidR="006250B8">
              <w:rPr>
                <w:noProof/>
                <w:webHidden/>
              </w:rPr>
              <w:t>4</w:t>
            </w:r>
            <w:r w:rsidR="006250B8">
              <w:rPr>
                <w:noProof/>
                <w:webHidden/>
              </w:rPr>
              <w:fldChar w:fldCharType="end"/>
            </w:r>
          </w:hyperlink>
        </w:p>
        <w:p w14:paraId="51F3BAC2" w14:textId="4030DD00" w:rsidR="006250B8" w:rsidRDefault="006250B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57422714" w:history="1">
            <w:r w:rsidRPr="00F11D58">
              <w:rPr>
                <w:rStyle w:val="Hyperlink"/>
                <w:noProof/>
              </w:rPr>
              <w:t>Product submission</w:t>
            </w:r>
            <w:r>
              <w:rPr>
                <w:noProof/>
                <w:webHidden/>
              </w:rPr>
              <w:tab/>
            </w:r>
            <w:r>
              <w:rPr>
                <w:noProof/>
                <w:webHidden/>
              </w:rPr>
              <w:fldChar w:fldCharType="begin"/>
            </w:r>
            <w:r>
              <w:rPr>
                <w:noProof/>
                <w:webHidden/>
              </w:rPr>
              <w:instrText xml:space="preserve"> PAGEREF _Toc157422714 \h </w:instrText>
            </w:r>
            <w:r>
              <w:rPr>
                <w:noProof/>
                <w:webHidden/>
              </w:rPr>
            </w:r>
            <w:r>
              <w:rPr>
                <w:noProof/>
                <w:webHidden/>
              </w:rPr>
              <w:fldChar w:fldCharType="separate"/>
            </w:r>
            <w:r>
              <w:rPr>
                <w:noProof/>
                <w:webHidden/>
              </w:rPr>
              <w:t>6</w:t>
            </w:r>
            <w:r>
              <w:rPr>
                <w:noProof/>
                <w:webHidden/>
              </w:rPr>
              <w:fldChar w:fldCharType="end"/>
            </w:r>
          </w:hyperlink>
        </w:p>
        <w:p w14:paraId="0E5076FA" w14:textId="2BFB38D9" w:rsidR="006250B8" w:rsidRDefault="006250B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7422715" w:history="1">
            <w:r w:rsidRPr="00F11D58">
              <w:rPr>
                <w:rStyle w:val="Hyperlink"/>
                <w:noProof/>
                <w:lang w:eastAsia="en-AU"/>
              </w:rPr>
              <w:t>Submission details</w:t>
            </w:r>
            <w:r>
              <w:rPr>
                <w:noProof/>
                <w:webHidden/>
              </w:rPr>
              <w:tab/>
            </w:r>
            <w:r>
              <w:rPr>
                <w:noProof/>
                <w:webHidden/>
              </w:rPr>
              <w:fldChar w:fldCharType="begin"/>
            </w:r>
            <w:r>
              <w:rPr>
                <w:noProof/>
                <w:webHidden/>
              </w:rPr>
              <w:instrText xml:space="preserve"> PAGEREF _Toc157422715 \h </w:instrText>
            </w:r>
            <w:r>
              <w:rPr>
                <w:noProof/>
                <w:webHidden/>
              </w:rPr>
            </w:r>
            <w:r>
              <w:rPr>
                <w:noProof/>
                <w:webHidden/>
              </w:rPr>
              <w:fldChar w:fldCharType="separate"/>
            </w:r>
            <w:r>
              <w:rPr>
                <w:noProof/>
                <w:webHidden/>
              </w:rPr>
              <w:t>6</w:t>
            </w:r>
            <w:r>
              <w:rPr>
                <w:noProof/>
                <w:webHidden/>
              </w:rPr>
              <w:fldChar w:fldCharType="end"/>
            </w:r>
          </w:hyperlink>
        </w:p>
        <w:p w14:paraId="3FF107C6" w14:textId="486B57B9" w:rsidR="006250B8" w:rsidRDefault="006250B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7422716" w:history="1">
            <w:r w:rsidRPr="00F11D58">
              <w:rPr>
                <w:rStyle w:val="Hyperlink"/>
                <w:noProof/>
              </w:rPr>
              <w:t>Product background</w:t>
            </w:r>
            <w:r>
              <w:rPr>
                <w:noProof/>
                <w:webHidden/>
              </w:rPr>
              <w:tab/>
            </w:r>
            <w:r>
              <w:rPr>
                <w:noProof/>
                <w:webHidden/>
              </w:rPr>
              <w:fldChar w:fldCharType="begin"/>
            </w:r>
            <w:r>
              <w:rPr>
                <w:noProof/>
                <w:webHidden/>
              </w:rPr>
              <w:instrText xml:space="preserve"> PAGEREF _Toc157422716 \h </w:instrText>
            </w:r>
            <w:r>
              <w:rPr>
                <w:noProof/>
                <w:webHidden/>
              </w:rPr>
            </w:r>
            <w:r>
              <w:rPr>
                <w:noProof/>
                <w:webHidden/>
              </w:rPr>
              <w:fldChar w:fldCharType="separate"/>
            </w:r>
            <w:r>
              <w:rPr>
                <w:noProof/>
                <w:webHidden/>
              </w:rPr>
              <w:t>8</w:t>
            </w:r>
            <w:r>
              <w:rPr>
                <w:noProof/>
                <w:webHidden/>
              </w:rPr>
              <w:fldChar w:fldCharType="end"/>
            </w:r>
          </w:hyperlink>
        </w:p>
        <w:p w14:paraId="1CC3FE30" w14:textId="0DD41E37" w:rsidR="006250B8" w:rsidRDefault="006250B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7422717" w:history="1">
            <w:r w:rsidRPr="00F11D58">
              <w:rPr>
                <w:rStyle w:val="Hyperlink"/>
                <w:noProof/>
              </w:rPr>
              <w:t>Regulatory status</w:t>
            </w:r>
            <w:r>
              <w:rPr>
                <w:noProof/>
                <w:webHidden/>
              </w:rPr>
              <w:tab/>
            </w:r>
            <w:r>
              <w:rPr>
                <w:noProof/>
                <w:webHidden/>
              </w:rPr>
              <w:fldChar w:fldCharType="begin"/>
            </w:r>
            <w:r>
              <w:rPr>
                <w:noProof/>
                <w:webHidden/>
              </w:rPr>
              <w:instrText xml:space="preserve"> PAGEREF _Toc157422717 \h </w:instrText>
            </w:r>
            <w:r>
              <w:rPr>
                <w:noProof/>
                <w:webHidden/>
              </w:rPr>
            </w:r>
            <w:r>
              <w:rPr>
                <w:noProof/>
                <w:webHidden/>
              </w:rPr>
              <w:fldChar w:fldCharType="separate"/>
            </w:r>
            <w:r>
              <w:rPr>
                <w:noProof/>
                <w:webHidden/>
              </w:rPr>
              <w:t>9</w:t>
            </w:r>
            <w:r>
              <w:rPr>
                <w:noProof/>
                <w:webHidden/>
              </w:rPr>
              <w:fldChar w:fldCharType="end"/>
            </w:r>
          </w:hyperlink>
        </w:p>
        <w:p w14:paraId="25FB4750" w14:textId="68ED3136" w:rsidR="006250B8" w:rsidRDefault="006250B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57422718" w:history="1">
            <w:r w:rsidRPr="00F11D58">
              <w:rPr>
                <w:rStyle w:val="Hyperlink"/>
                <w:noProof/>
              </w:rPr>
              <w:t>Registration timeline</w:t>
            </w:r>
            <w:r>
              <w:rPr>
                <w:noProof/>
                <w:webHidden/>
              </w:rPr>
              <w:tab/>
            </w:r>
            <w:r>
              <w:rPr>
                <w:noProof/>
                <w:webHidden/>
              </w:rPr>
              <w:fldChar w:fldCharType="begin"/>
            </w:r>
            <w:r>
              <w:rPr>
                <w:noProof/>
                <w:webHidden/>
              </w:rPr>
              <w:instrText xml:space="preserve"> PAGEREF _Toc157422718 \h </w:instrText>
            </w:r>
            <w:r>
              <w:rPr>
                <w:noProof/>
                <w:webHidden/>
              </w:rPr>
            </w:r>
            <w:r>
              <w:rPr>
                <w:noProof/>
                <w:webHidden/>
              </w:rPr>
              <w:fldChar w:fldCharType="separate"/>
            </w:r>
            <w:r>
              <w:rPr>
                <w:noProof/>
                <w:webHidden/>
              </w:rPr>
              <w:t>10</w:t>
            </w:r>
            <w:r>
              <w:rPr>
                <w:noProof/>
                <w:webHidden/>
              </w:rPr>
              <w:fldChar w:fldCharType="end"/>
            </w:r>
          </w:hyperlink>
        </w:p>
        <w:p w14:paraId="33EB93AB" w14:textId="202C2D49" w:rsidR="006250B8" w:rsidRDefault="006250B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57422719" w:history="1">
            <w:r w:rsidRPr="00F11D58">
              <w:rPr>
                <w:rStyle w:val="Hyperlink"/>
                <w:noProof/>
              </w:rPr>
              <w:t>Submission overview and risk/benefit assessment</w:t>
            </w:r>
            <w:r>
              <w:rPr>
                <w:noProof/>
                <w:webHidden/>
              </w:rPr>
              <w:tab/>
            </w:r>
            <w:r>
              <w:rPr>
                <w:noProof/>
                <w:webHidden/>
              </w:rPr>
              <w:fldChar w:fldCharType="begin"/>
            </w:r>
            <w:r>
              <w:rPr>
                <w:noProof/>
                <w:webHidden/>
              </w:rPr>
              <w:instrText xml:space="preserve"> PAGEREF _Toc157422719 \h </w:instrText>
            </w:r>
            <w:r>
              <w:rPr>
                <w:noProof/>
                <w:webHidden/>
              </w:rPr>
            </w:r>
            <w:r>
              <w:rPr>
                <w:noProof/>
                <w:webHidden/>
              </w:rPr>
              <w:fldChar w:fldCharType="separate"/>
            </w:r>
            <w:r>
              <w:rPr>
                <w:noProof/>
                <w:webHidden/>
              </w:rPr>
              <w:t>11</w:t>
            </w:r>
            <w:r>
              <w:rPr>
                <w:noProof/>
                <w:webHidden/>
              </w:rPr>
              <w:fldChar w:fldCharType="end"/>
            </w:r>
          </w:hyperlink>
        </w:p>
        <w:p w14:paraId="6F8CC529" w14:textId="2C45E995" w:rsidR="006250B8" w:rsidRDefault="006250B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7422720" w:history="1">
            <w:r w:rsidRPr="00F11D58">
              <w:rPr>
                <w:rStyle w:val="Hyperlink"/>
                <w:noProof/>
              </w:rPr>
              <w:t>Quality</w:t>
            </w:r>
            <w:r>
              <w:rPr>
                <w:noProof/>
                <w:webHidden/>
              </w:rPr>
              <w:tab/>
            </w:r>
            <w:r>
              <w:rPr>
                <w:noProof/>
                <w:webHidden/>
              </w:rPr>
              <w:fldChar w:fldCharType="begin"/>
            </w:r>
            <w:r>
              <w:rPr>
                <w:noProof/>
                <w:webHidden/>
              </w:rPr>
              <w:instrText xml:space="preserve"> PAGEREF _Toc157422720 \h </w:instrText>
            </w:r>
            <w:r>
              <w:rPr>
                <w:noProof/>
                <w:webHidden/>
              </w:rPr>
            </w:r>
            <w:r>
              <w:rPr>
                <w:noProof/>
                <w:webHidden/>
              </w:rPr>
              <w:fldChar w:fldCharType="separate"/>
            </w:r>
            <w:r>
              <w:rPr>
                <w:noProof/>
                <w:webHidden/>
              </w:rPr>
              <w:t>11</w:t>
            </w:r>
            <w:r>
              <w:rPr>
                <w:noProof/>
                <w:webHidden/>
              </w:rPr>
              <w:fldChar w:fldCharType="end"/>
            </w:r>
          </w:hyperlink>
        </w:p>
        <w:p w14:paraId="06749F06" w14:textId="2331E7F4" w:rsidR="006250B8" w:rsidRDefault="006250B8">
          <w:pPr>
            <w:pStyle w:val="TOC3"/>
            <w:rPr>
              <w:rFonts w:asciiTheme="minorHAnsi" w:eastAsiaTheme="minorEastAsia" w:hAnsiTheme="minorHAnsi" w:cstheme="minorBidi"/>
              <w:b w:val="0"/>
              <w:noProof/>
              <w:color w:val="auto"/>
              <w:kern w:val="2"/>
              <w:szCs w:val="22"/>
              <w:lang w:eastAsia="en-AU"/>
              <w14:ligatures w14:val="standardContextual"/>
            </w:rPr>
          </w:pPr>
          <w:hyperlink w:anchor="_Toc157422721" w:history="1">
            <w:r w:rsidRPr="00F11D58">
              <w:rPr>
                <w:rStyle w:val="Hyperlink"/>
                <w:noProof/>
                <w:lang w:eastAsia="ja-JP"/>
              </w:rPr>
              <w:t>Drug substance</w:t>
            </w:r>
            <w:r>
              <w:rPr>
                <w:noProof/>
                <w:webHidden/>
              </w:rPr>
              <w:tab/>
            </w:r>
            <w:r>
              <w:rPr>
                <w:noProof/>
                <w:webHidden/>
              </w:rPr>
              <w:fldChar w:fldCharType="begin"/>
            </w:r>
            <w:r>
              <w:rPr>
                <w:noProof/>
                <w:webHidden/>
              </w:rPr>
              <w:instrText xml:space="preserve"> PAGEREF _Toc157422721 \h </w:instrText>
            </w:r>
            <w:r>
              <w:rPr>
                <w:noProof/>
                <w:webHidden/>
              </w:rPr>
            </w:r>
            <w:r>
              <w:rPr>
                <w:noProof/>
                <w:webHidden/>
              </w:rPr>
              <w:fldChar w:fldCharType="separate"/>
            </w:r>
            <w:r>
              <w:rPr>
                <w:noProof/>
                <w:webHidden/>
              </w:rPr>
              <w:t>11</w:t>
            </w:r>
            <w:r>
              <w:rPr>
                <w:noProof/>
                <w:webHidden/>
              </w:rPr>
              <w:fldChar w:fldCharType="end"/>
            </w:r>
          </w:hyperlink>
        </w:p>
        <w:p w14:paraId="430556A9" w14:textId="4D049444" w:rsidR="006250B8" w:rsidRDefault="006250B8">
          <w:pPr>
            <w:pStyle w:val="TOC3"/>
            <w:rPr>
              <w:rFonts w:asciiTheme="minorHAnsi" w:eastAsiaTheme="minorEastAsia" w:hAnsiTheme="minorHAnsi" w:cstheme="minorBidi"/>
              <w:b w:val="0"/>
              <w:noProof/>
              <w:color w:val="auto"/>
              <w:kern w:val="2"/>
              <w:szCs w:val="22"/>
              <w:lang w:eastAsia="en-AU"/>
              <w14:ligatures w14:val="standardContextual"/>
            </w:rPr>
          </w:pPr>
          <w:hyperlink w:anchor="_Toc157422722" w:history="1">
            <w:r w:rsidRPr="00F11D58">
              <w:rPr>
                <w:rStyle w:val="Hyperlink"/>
                <w:noProof/>
                <w:lang w:eastAsia="ja-JP"/>
              </w:rPr>
              <w:t>Drug products</w:t>
            </w:r>
            <w:r>
              <w:rPr>
                <w:noProof/>
                <w:webHidden/>
              </w:rPr>
              <w:tab/>
            </w:r>
            <w:r>
              <w:rPr>
                <w:noProof/>
                <w:webHidden/>
              </w:rPr>
              <w:fldChar w:fldCharType="begin"/>
            </w:r>
            <w:r>
              <w:rPr>
                <w:noProof/>
                <w:webHidden/>
              </w:rPr>
              <w:instrText xml:space="preserve"> PAGEREF _Toc157422722 \h </w:instrText>
            </w:r>
            <w:r>
              <w:rPr>
                <w:noProof/>
                <w:webHidden/>
              </w:rPr>
            </w:r>
            <w:r>
              <w:rPr>
                <w:noProof/>
                <w:webHidden/>
              </w:rPr>
              <w:fldChar w:fldCharType="separate"/>
            </w:r>
            <w:r>
              <w:rPr>
                <w:noProof/>
                <w:webHidden/>
              </w:rPr>
              <w:t>11</w:t>
            </w:r>
            <w:r>
              <w:rPr>
                <w:noProof/>
                <w:webHidden/>
              </w:rPr>
              <w:fldChar w:fldCharType="end"/>
            </w:r>
          </w:hyperlink>
        </w:p>
        <w:p w14:paraId="3EDA750D" w14:textId="3ACA181D" w:rsidR="006250B8" w:rsidRDefault="006250B8">
          <w:pPr>
            <w:pStyle w:val="TOC3"/>
            <w:rPr>
              <w:rFonts w:asciiTheme="minorHAnsi" w:eastAsiaTheme="minorEastAsia" w:hAnsiTheme="minorHAnsi" w:cstheme="minorBidi"/>
              <w:b w:val="0"/>
              <w:noProof/>
              <w:color w:val="auto"/>
              <w:kern w:val="2"/>
              <w:szCs w:val="22"/>
              <w:lang w:eastAsia="en-AU"/>
              <w14:ligatures w14:val="standardContextual"/>
            </w:rPr>
          </w:pPr>
          <w:hyperlink w:anchor="_Toc157422723" w:history="1">
            <w:r w:rsidRPr="00F11D58">
              <w:rPr>
                <w:rStyle w:val="Hyperlink"/>
                <w:noProof/>
                <w:lang w:eastAsia="ja-JP"/>
              </w:rPr>
              <w:t>Conclusion</w:t>
            </w:r>
            <w:r>
              <w:rPr>
                <w:noProof/>
                <w:webHidden/>
              </w:rPr>
              <w:tab/>
            </w:r>
            <w:r>
              <w:rPr>
                <w:noProof/>
                <w:webHidden/>
              </w:rPr>
              <w:fldChar w:fldCharType="begin"/>
            </w:r>
            <w:r>
              <w:rPr>
                <w:noProof/>
                <w:webHidden/>
              </w:rPr>
              <w:instrText xml:space="preserve"> PAGEREF _Toc157422723 \h </w:instrText>
            </w:r>
            <w:r>
              <w:rPr>
                <w:noProof/>
                <w:webHidden/>
              </w:rPr>
            </w:r>
            <w:r>
              <w:rPr>
                <w:noProof/>
                <w:webHidden/>
              </w:rPr>
              <w:fldChar w:fldCharType="separate"/>
            </w:r>
            <w:r>
              <w:rPr>
                <w:noProof/>
                <w:webHidden/>
              </w:rPr>
              <w:t>12</w:t>
            </w:r>
            <w:r>
              <w:rPr>
                <w:noProof/>
                <w:webHidden/>
              </w:rPr>
              <w:fldChar w:fldCharType="end"/>
            </w:r>
          </w:hyperlink>
        </w:p>
        <w:p w14:paraId="5DC93D87" w14:textId="06DF8AC0" w:rsidR="006250B8" w:rsidRDefault="006250B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7422724" w:history="1">
            <w:r w:rsidRPr="00F11D58">
              <w:rPr>
                <w:rStyle w:val="Hyperlink"/>
                <w:noProof/>
              </w:rPr>
              <w:t>Nonclinical</w:t>
            </w:r>
            <w:r>
              <w:rPr>
                <w:noProof/>
                <w:webHidden/>
              </w:rPr>
              <w:tab/>
            </w:r>
            <w:r>
              <w:rPr>
                <w:noProof/>
                <w:webHidden/>
              </w:rPr>
              <w:fldChar w:fldCharType="begin"/>
            </w:r>
            <w:r>
              <w:rPr>
                <w:noProof/>
                <w:webHidden/>
              </w:rPr>
              <w:instrText xml:space="preserve"> PAGEREF _Toc157422724 \h </w:instrText>
            </w:r>
            <w:r>
              <w:rPr>
                <w:noProof/>
                <w:webHidden/>
              </w:rPr>
            </w:r>
            <w:r>
              <w:rPr>
                <w:noProof/>
                <w:webHidden/>
              </w:rPr>
              <w:fldChar w:fldCharType="separate"/>
            </w:r>
            <w:r>
              <w:rPr>
                <w:noProof/>
                <w:webHidden/>
              </w:rPr>
              <w:t>12</w:t>
            </w:r>
            <w:r>
              <w:rPr>
                <w:noProof/>
                <w:webHidden/>
              </w:rPr>
              <w:fldChar w:fldCharType="end"/>
            </w:r>
          </w:hyperlink>
        </w:p>
        <w:p w14:paraId="0C4A3AAA" w14:textId="036E1451" w:rsidR="006250B8" w:rsidRDefault="006250B8">
          <w:pPr>
            <w:pStyle w:val="TOC3"/>
            <w:rPr>
              <w:rFonts w:asciiTheme="minorHAnsi" w:eastAsiaTheme="minorEastAsia" w:hAnsiTheme="minorHAnsi" w:cstheme="minorBidi"/>
              <w:b w:val="0"/>
              <w:noProof/>
              <w:color w:val="auto"/>
              <w:kern w:val="2"/>
              <w:szCs w:val="22"/>
              <w:lang w:eastAsia="en-AU"/>
              <w14:ligatures w14:val="standardContextual"/>
            </w:rPr>
          </w:pPr>
          <w:hyperlink w:anchor="_Toc157422725" w:history="1">
            <w:r w:rsidRPr="00F11D58">
              <w:rPr>
                <w:rStyle w:val="Hyperlink"/>
                <w:noProof/>
              </w:rPr>
              <w:t>Dossier</w:t>
            </w:r>
            <w:r>
              <w:rPr>
                <w:noProof/>
                <w:webHidden/>
              </w:rPr>
              <w:tab/>
            </w:r>
            <w:r>
              <w:rPr>
                <w:noProof/>
                <w:webHidden/>
              </w:rPr>
              <w:fldChar w:fldCharType="begin"/>
            </w:r>
            <w:r>
              <w:rPr>
                <w:noProof/>
                <w:webHidden/>
              </w:rPr>
              <w:instrText xml:space="preserve"> PAGEREF _Toc157422725 \h </w:instrText>
            </w:r>
            <w:r>
              <w:rPr>
                <w:noProof/>
                <w:webHidden/>
              </w:rPr>
            </w:r>
            <w:r>
              <w:rPr>
                <w:noProof/>
                <w:webHidden/>
              </w:rPr>
              <w:fldChar w:fldCharType="separate"/>
            </w:r>
            <w:r>
              <w:rPr>
                <w:noProof/>
                <w:webHidden/>
              </w:rPr>
              <w:t>12</w:t>
            </w:r>
            <w:r>
              <w:rPr>
                <w:noProof/>
                <w:webHidden/>
              </w:rPr>
              <w:fldChar w:fldCharType="end"/>
            </w:r>
          </w:hyperlink>
        </w:p>
        <w:p w14:paraId="16B93E56" w14:textId="2A40B2A5" w:rsidR="006250B8" w:rsidRDefault="006250B8">
          <w:pPr>
            <w:pStyle w:val="TOC3"/>
            <w:rPr>
              <w:rFonts w:asciiTheme="minorHAnsi" w:eastAsiaTheme="minorEastAsia" w:hAnsiTheme="minorHAnsi" w:cstheme="minorBidi"/>
              <w:b w:val="0"/>
              <w:noProof/>
              <w:color w:val="auto"/>
              <w:kern w:val="2"/>
              <w:szCs w:val="22"/>
              <w:lang w:eastAsia="en-AU"/>
              <w14:ligatures w14:val="standardContextual"/>
            </w:rPr>
          </w:pPr>
          <w:hyperlink w:anchor="_Toc157422726" w:history="1">
            <w:r w:rsidRPr="00F11D58">
              <w:rPr>
                <w:rStyle w:val="Hyperlink"/>
                <w:noProof/>
              </w:rPr>
              <w:t>Mechanism of action and resistance</w:t>
            </w:r>
            <w:r>
              <w:rPr>
                <w:noProof/>
                <w:webHidden/>
              </w:rPr>
              <w:tab/>
            </w:r>
            <w:r>
              <w:rPr>
                <w:noProof/>
                <w:webHidden/>
              </w:rPr>
              <w:fldChar w:fldCharType="begin"/>
            </w:r>
            <w:r>
              <w:rPr>
                <w:noProof/>
                <w:webHidden/>
              </w:rPr>
              <w:instrText xml:space="preserve"> PAGEREF _Toc157422726 \h </w:instrText>
            </w:r>
            <w:r>
              <w:rPr>
                <w:noProof/>
                <w:webHidden/>
              </w:rPr>
            </w:r>
            <w:r>
              <w:rPr>
                <w:noProof/>
                <w:webHidden/>
              </w:rPr>
              <w:fldChar w:fldCharType="separate"/>
            </w:r>
            <w:r>
              <w:rPr>
                <w:noProof/>
                <w:webHidden/>
              </w:rPr>
              <w:t>12</w:t>
            </w:r>
            <w:r>
              <w:rPr>
                <w:noProof/>
                <w:webHidden/>
              </w:rPr>
              <w:fldChar w:fldCharType="end"/>
            </w:r>
          </w:hyperlink>
        </w:p>
        <w:p w14:paraId="5B993405" w14:textId="11250B2F" w:rsidR="006250B8" w:rsidRDefault="006250B8">
          <w:pPr>
            <w:pStyle w:val="TOC3"/>
            <w:rPr>
              <w:rFonts w:asciiTheme="minorHAnsi" w:eastAsiaTheme="minorEastAsia" w:hAnsiTheme="minorHAnsi" w:cstheme="minorBidi"/>
              <w:b w:val="0"/>
              <w:noProof/>
              <w:color w:val="auto"/>
              <w:kern w:val="2"/>
              <w:szCs w:val="22"/>
              <w:lang w:eastAsia="en-AU"/>
              <w14:ligatures w14:val="standardContextual"/>
            </w:rPr>
          </w:pPr>
          <w:hyperlink w:anchor="_Toc157422727" w:history="1">
            <w:r w:rsidRPr="00F11D58">
              <w:rPr>
                <w:rStyle w:val="Hyperlink"/>
                <w:noProof/>
              </w:rPr>
              <w:t>Safety pharmacology</w:t>
            </w:r>
            <w:r>
              <w:rPr>
                <w:noProof/>
                <w:webHidden/>
              </w:rPr>
              <w:tab/>
            </w:r>
            <w:r>
              <w:rPr>
                <w:noProof/>
                <w:webHidden/>
              </w:rPr>
              <w:fldChar w:fldCharType="begin"/>
            </w:r>
            <w:r>
              <w:rPr>
                <w:noProof/>
                <w:webHidden/>
              </w:rPr>
              <w:instrText xml:space="preserve"> PAGEREF _Toc157422727 \h </w:instrText>
            </w:r>
            <w:r>
              <w:rPr>
                <w:noProof/>
                <w:webHidden/>
              </w:rPr>
            </w:r>
            <w:r>
              <w:rPr>
                <w:noProof/>
                <w:webHidden/>
              </w:rPr>
              <w:fldChar w:fldCharType="separate"/>
            </w:r>
            <w:r>
              <w:rPr>
                <w:noProof/>
                <w:webHidden/>
              </w:rPr>
              <w:t>13</w:t>
            </w:r>
            <w:r>
              <w:rPr>
                <w:noProof/>
                <w:webHidden/>
              </w:rPr>
              <w:fldChar w:fldCharType="end"/>
            </w:r>
          </w:hyperlink>
        </w:p>
        <w:p w14:paraId="1F6D884C" w14:textId="1725C540" w:rsidR="006250B8" w:rsidRDefault="006250B8">
          <w:pPr>
            <w:pStyle w:val="TOC3"/>
            <w:rPr>
              <w:rFonts w:asciiTheme="minorHAnsi" w:eastAsiaTheme="minorEastAsia" w:hAnsiTheme="minorHAnsi" w:cstheme="minorBidi"/>
              <w:b w:val="0"/>
              <w:noProof/>
              <w:color w:val="auto"/>
              <w:kern w:val="2"/>
              <w:szCs w:val="22"/>
              <w:lang w:eastAsia="en-AU"/>
              <w14:ligatures w14:val="standardContextual"/>
            </w:rPr>
          </w:pPr>
          <w:hyperlink w:anchor="_Toc157422728" w:history="1">
            <w:r w:rsidRPr="00F11D58">
              <w:rPr>
                <w:rStyle w:val="Hyperlink"/>
                <w:noProof/>
                <w:lang w:eastAsia="zh-CN"/>
              </w:rPr>
              <w:t>Drug</w:t>
            </w:r>
            <w:r w:rsidRPr="00F11D58">
              <w:rPr>
                <w:rStyle w:val="Hyperlink"/>
                <w:noProof/>
                <w:lang w:eastAsia="zh-CN"/>
              </w:rPr>
              <w:noBreakHyphen/>
              <w:t>drug interactions</w:t>
            </w:r>
            <w:r>
              <w:rPr>
                <w:noProof/>
                <w:webHidden/>
              </w:rPr>
              <w:tab/>
            </w:r>
            <w:r>
              <w:rPr>
                <w:noProof/>
                <w:webHidden/>
              </w:rPr>
              <w:fldChar w:fldCharType="begin"/>
            </w:r>
            <w:r>
              <w:rPr>
                <w:noProof/>
                <w:webHidden/>
              </w:rPr>
              <w:instrText xml:space="preserve"> PAGEREF _Toc157422728 \h </w:instrText>
            </w:r>
            <w:r>
              <w:rPr>
                <w:noProof/>
                <w:webHidden/>
              </w:rPr>
            </w:r>
            <w:r>
              <w:rPr>
                <w:noProof/>
                <w:webHidden/>
              </w:rPr>
              <w:fldChar w:fldCharType="separate"/>
            </w:r>
            <w:r>
              <w:rPr>
                <w:noProof/>
                <w:webHidden/>
              </w:rPr>
              <w:t>14</w:t>
            </w:r>
            <w:r>
              <w:rPr>
                <w:noProof/>
                <w:webHidden/>
              </w:rPr>
              <w:fldChar w:fldCharType="end"/>
            </w:r>
          </w:hyperlink>
        </w:p>
        <w:p w14:paraId="48129557" w14:textId="6208513C" w:rsidR="006250B8" w:rsidRDefault="006250B8">
          <w:pPr>
            <w:pStyle w:val="TOC3"/>
            <w:rPr>
              <w:rFonts w:asciiTheme="minorHAnsi" w:eastAsiaTheme="minorEastAsia" w:hAnsiTheme="minorHAnsi" w:cstheme="minorBidi"/>
              <w:b w:val="0"/>
              <w:noProof/>
              <w:color w:val="auto"/>
              <w:kern w:val="2"/>
              <w:szCs w:val="22"/>
              <w:lang w:eastAsia="en-AU"/>
              <w14:ligatures w14:val="standardContextual"/>
            </w:rPr>
          </w:pPr>
          <w:hyperlink w:anchor="_Toc157422729" w:history="1">
            <w:r w:rsidRPr="00F11D58">
              <w:rPr>
                <w:rStyle w:val="Hyperlink"/>
                <w:noProof/>
                <w:lang w:eastAsia="zh-CN"/>
              </w:rPr>
              <w:t>Toxicity</w:t>
            </w:r>
            <w:r>
              <w:rPr>
                <w:noProof/>
                <w:webHidden/>
              </w:rPr>
              <w:tab/>
            </w:r>
            <w:r>
              <w:rPr>
                <w:noProof/>
                <w:webHidden/>
              </w:rPr>
              <w:fldChar w:fldCharType="begin"/>
            </w:r>
            <w:r>
              <w:rPr>
                <w:noProof/>
                <w:webHidden/>
              </w:rPr>
              <w:instrText xml:space="preserve"> PAGEREF _Toc157422729 \h </w:instrText>
            </w:r>
            <w:r>
              <w:rPr>
                <w:noProof/>
                <w:webHidden/>
              </w:rPr>
            </w:r>
            <w:r>
              <w:rPr>
                <w:noProof/>
                <w:webHidden/>
              </w:rPr>
              <w:fldChar w:fldCharType="separate"/>
            </w:r>
            <w:r>
              <w:rPr>
                <w:noProof/>
                <w:webHidden/>
              </w:rPr>
              <w:t>14</w:t>
            </w:r>
            <w:r>
              <w:rPr>
                <w:noProof/>
                <w:webHidden/>
              </w:rPr>
              <w:fldChar w:fldCharType="end"/>
            </w:r>
          </w:hyperlink>
        </w:p>
        <w:p w14:paraId="0BF7FA42" w14:textId="2183BD73" w:rsidR="006250B8" w:rsidRDefault="006250B8">
          <w:pPr>
            <w:pStyle w:val="TOC3"/>
            <w:rPr>
              <w:rFonts w:asciiTheme="minorHAnsi" w:eastAsiaTheme="minorEastAsia" w:hAnsiTheme="minorHAnsi" w:cstheme="minorBidi"/>
              <w:b w:val="0"/>
              <w:noProof/>
              <w:color w:val="auto"/>
              <w:kern w:val="2"/>
              <w:szCs w:val="22"/>
              <w:lang w:eastAsia="en-AU"/>
              <w14:ligatures w14:val="standardContextual"/>
            </w:rPr>
          </w:pPr>
          <w:hyperlink w:anchor="_Toc157422730" w:history="1">
            <w:r w:rsidRPr="00F11D58">
              <w:rPr>
                <w:rStyle w:val="Hyperlink"/>
                <w:noProof/>
              </w:rPr>
              <w:t>Fertility and embryofetal development</w:t>
            </w:r>
            <w:r>
              <w:rPr>
                <w:noProof/>
                <w:webHidden/>
              </w:rPr>
              <w:tab/>
            </w:r>
            <w:r>
              <w:rPr>
                <w:noProof/>
                <w:webHidden/>
              </w:rPr>
              <w:fldChar w:fldCharType="begin"/>
            </w:r>
            <w:r>
              <w:rPr>
                <w:noProof/>
                <w:webHidden/>
              </w:rPr>
              <w:instrText xml:space="preserve"> PAGEREF _Toc157422730 \h </w:instrText>
            </w:r>
            <w:r>
              <w:rPr>
                <w:noProof/>
                <w:webHidden/>
              </w:rPr>
            </w:r>
            <w:r>
              <w:rPr>
                <w:noProof/>
                <w:webHidden/>
              </w:rPr>
              <w:fldChar w:fldCharType="separate"/>
            </w:r>
            <w:r>
              <w:rPr>
                <w:noProof/>
                <w:webHidden/>
              </w:rPr>
              <w:t>15</w:t>
            </w:r>
            <w:r>
              <w:rPr>
                <w:noProof/>
                <w:webHidden/>
              </w:rPr>
              <w:fldChar w:fldCharType="end"/>
            </w:r>
          </w:hyperlink>
        </w:p>
        <w:p w14:paraId="43486CAD" w14:textId="74073B45" w:rsidR="006250B8" w:rsidRDefault="006250B8">
          <w:pPr>
            <w:pStyle w:val="TOC3"/>
            <w:rPr>
              <w:rFonts w:asciiTheme="minorHAnsi" w:eastAsiaTheme="minorEastAsia" w:hAnsiTheme="minorHAnsi" w:cstheme="minorBidi"/>
              <w:b w:val="0"/>
              <w:noProof/>
              <w:color w:val="auto"/>
              <w:kern w:val="2"/>
              <w:szCs w:val="22"/>
              <w:lang w:eastAsia="en-AU"/>
              <w14:ligatures w14:val="standardContextual"/>
            </w:rPr>
          </w:pPr>
          <w:hyperlink w:anchor="_Toc157422731" w:history="1">
            <w:r w:rsidRPr="00F11D58">
              <w:rPr>
                <w:rStyle w:val="Hyperlink"/>
                <w:noProof/>
              </w:rPr>
              <w:t>Conclusions</w:t>
            </w:r>
            <w:r>
              <w:rPr>
                <w:noProof/>
                <w:webHidden/>
              </w:rPr>
              <w:tab/>
            </w:r>
            <w:r>
              <w:rPr>
                <w:noProof/>
                <w:webHidden/>
              </w:rPr>
              <w:fldChar w:fldCharType="begin"/>
            </w:r>
            <w:r>
              <w:rPr>
                <w:noProof/>
                <w:webHidden/>
              </w:rPr>
              <w:instrText xml:space="preserve"> PAGEREF _Toc157422731 \h </w:instrText>
            </w:r>
            <w:r>
              <w:rPr>
                <w:noProof/>
                <w:webHidden/>
              </w:rPr>
            </w:r>
            <w:r>
              <w:rPr>
                <w:noProof/>
                <w:webHidden/>
              </w:rPr>
              <w:fldChar w:fldCharType="separate"/>
            </w:r>
            <w:r>
              <w:rPr>
                <w:noProof/>
                <w:webHidden/>
              </w:rPr>
              <w:t>15</w:t>
            </w:r>
            <w:r>
              <w:rPr>
                <w:noProof/>
                <w:webHidden/>
              </w:rPr>
              <w:fldChar w:fldCharType="end"/>
            </w:r>
          </w:hyperlink>
        </w:p>
        <w:p w14:paraId="4C7DF340" w14:textId="0483E4AD" w:rsidR="006250B8" w:rsidRDefault="006250B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7422732" w:history="1">
            <w:r w:rsidRPr="00F11D58">
              <w:rPr>
                <w:rStyle w:val="Hyperlink"/>
                <w:noProof/>
              </w:rPr>
              <w:t>Clinical</w:t>
            </w:r>
            <w:r>
              <w:rPr>
                <w:noProof/>
                <w:webHidden/>
              </w:rPr>
              <w:tab/>
            </w:r>
            <w:r>
              <w:rPr>
                <w:noProof/>
                <w:webHidden/>
              </w:rPr>
              <w:fldChar w:fldCharType="begin"/>
            </w:r>
            <w:r>
              <w:rPr>
                <w:noProof/>
                <w:webHidden/>
              </w:rPr>
              <w:instrText xml:space="preserve"> PAGEREF _Toc157422732 \h </w:instrText>
            </w:r>
            <w:r>
              <w:rPr>
                <w:noProof/>
                <w:webHidden/>
              </w:rPr>
            </w:r>
            <w:r>
              <w:rPr>
                <w:noProof/>
                <w:webHidden/>
              </w:rPr>
              <w:fldChar w:fldCharType="separate"/>
            </w:r>
            <w:r>
              <w:rPr>
                <w:noProof/>
                <w:webHidden/>
              </w:rPr>
              <w:t>15</w:t>
            </w:r>
            <w:r>
              <w:rPr>
                <w:noProof/>
                <w:webHidden/>
              </w:rPr>
              <w:fldChar w:fldCharType="end"/>
            </w:r>
          </w:hyperlink>
        </w:p>
        <w:p w14:paraId="16E9C641" w14:textId="616691C3" w:rsidR="006250B8" w:rsidRDefault="006250B8">
          <w:pPr>
            <w:pStyle w:val="TOC3"/>
            <w:rPr>
              <w:rFonts w:asciiTheme="minorHAnsi" w:eastAsiaTheme="minorEastAsia" w:hAnsiTheme="minorHAnsi" w:cstheme="minorBidi"/>
              <w:b w:val="0"/>
              <w:noProof/>
              <w:color w:val="auto"/>
              <w:kern w:val="2"/>
              <w:szCs w:val="22"/>
              <w:lang w:eastAsia="en-AU"/>
              <w14:ligatures w14:val="standardContextual"/>
            </w:rPr>
          </w:pPr>
          <w:hyperlink w:anchor="_Toc157422733" w:history="1">
            <w:r w:rsidRPr="00F11D58">
              <w:rPr>
                <w:rStyle w:val="Hyperlink"/>
                <w:noProof/>
              </w:rPr>
              <w:t>Summary of clinical studies</w:t>
            </w:r>
            <w:r>
              <w:rPr>
                <w:noProof/>
                <w:webHidden/>
              </w:rPr>
              <w:tab/>
            </w:r>
            <w:r>
              <w:rPr>
                <w:noProof/>
                <w:webHidden/>
              </w:rPr>
              <w:fldChar w:fldCharType="begin"/>
            </w:r>
            <w:r>
              <w:rPr>
                <w:noProof/>
                <w:webHidden/>
              </w:rPr>
              <w:instrText xml:space="preserve"> PAGEREF _Toc157422733 \h </w:instrText>
            </w:r>
            <w:r>
              <w:rPr>
                <w:noProof/>
                <w:webHidden/>
              </w:rPr>
            </w:r>
            <w:r>
              <w:rPr>
                <w:noProof/>
                <w:webHidden/>
              </w:rPr>
              <w:fldChar w:fldCharType="separate"/>
            </w:r>
            <w:r>
              <w:rPr>
                <w:noProof/>
                <w:webHidden/>
              </w:rPr>
              <w:t>15</w:t>
            </w:r>
            <w:r>
              <w:rPr>
                <w:noProof/>
                <w:webHidden/>
              </w:rPr>
              <w:fldChar w:fldCharType="end"/>
            </w:r>
          </w:hyperlink>
        </w:p>
        <w:p w14:paraId="21676396" w14:textId="73627109" w:rsidR="006250B8" w:rsidRDefault="006250B8">
          <w:pPr>
            <w:pStyle w:val="TOC3"/>
            <w:rPr>
              <w:rFonts w:asciiTheme="minorHAnsi" w:eastAsiaTheme="minorEastAsia" w:hAnsiTheme="minorHAnsi" w:cstheme="minorBidi"/>
              <w:b w:val="0"/>
              <w:noProof/>
              <w:color w:val="auto"/>
              <w:kern w:val="2"/>
              <w:szCs w:val="22"/>
              <w:lang w:eastAsia="en-AU"/>
              <w14:ligatures w14:val="standardContextual"/>
            </w:rPr>
          </w:pPr>
          <w:hyperlink w:anchor="_Toc157422734" w:history="1">
            <w:r w:rsidRPr="00F11D58">
              <w:rPr>
                <w:rStyle w:val="Hyperlink"/>
                <w:noProof/>
              </w:rPr>
              <w:t>Efficacy</w:t>
            </w:r>
            <w:r>
              <w:rPr>
                <w:noProof/>
                <w:webHidden/>
              </w:rPr>
              <w:tab/>
            </w:r>
            <w:r>
              <w:rPr>
                <w:noProof/>
                <w:webHidden/>
              </w:rPr>
              <w:fldChar w:fldCharType="begin"/>
            </w:r>
            <w:r>
              <w:rPr>
                <w:noProof/>
                <w:webHidden/>
              </w:rPr>
              <w:instrText xml:space="preserve"> PAGEREF _Toc157422734 \h </w:instrText>
            </w:r>
            <w:r>
              <w:rPr>
                <w:noProof/>
                <w:webHidden/>
              </w:rPr>
            </w:r>
            <w:r>
              <w:rPr>
                <w:noProof/>
                <w:webHidden/>
              </w:rPr>
              <w:fldChar w:fldCharType="separate"/>
            </w:r>
            <w:r>
              <w:rPr>
                <w:noProof/>
                <w:webHidden/>
              </w:rPr>
              <w:t>21</w:t>
            </w:r>
            <w:r>
              <w:rPr>
                <w:noProof/>
                <w:webHidden/>
              </w:rPr>
              <w:fldChar w:fldCharType="end"/>
            </w:r>
          </w:hyperlink>
        </w:p>
        <w:p w14:paraId="16643F45" w14:textId="0D22C26F" w:rsidR="006250B8" w:rsidRDefault="006250B8">
          <w:pPr>
            <w:pStyle w:val="TOC3"/>
            <w:rPr>
              <w:rFonts w:asciiTheme="minorHAnsi" w:eastAsiaTheme="minorEastAsia" w:hAnsiTheme="minorHAnsi" w:cstheme="minorBidi"/>
              <w:b w:val="0"/>
              <w:noProof/>
              <w:color w:val="auto"/>
              <w:kern w:val="2"/>
              <w:szCs w:val="22"/>
              <w:lang w:eastAsia="en-AU"/>
              <w14:ligatures w14:val="standardContextual"/>
            </w:rPr>
          </w:pPr>
          <w:hyperlink w:anchor="_Toc157422735" w:history="1">
            <w:r w:rsidRPr="00F11D58">
              <w:rPr>
                <w:rStyle w:val="Hyperlink"/>
                <w:noProof/>
              </w:rPr>
              <w:t>Safety</w:t>
            </w:r>
            <w:r>
              <w:rPr>
                <w:noProof/>
                <w:webHidden/>
              </w:rPr>
              <w:tab/>
            </w:r>
            <w:r>
              <w:rPr>
                <w:noProof/>
                <w:webHidden/>
              </w:rPr>
              <w:fldChar w:fldCharType="begin"/>
            </w:r>
            <w:r>
              <w:rPr>
                <w:noProof/>
                <w:webHidden/>
              </w:rPr>
              <w:instrText xml:space="preserve"> PAGEREF _Toc157422735 \h </w:instrText>
            </w:r>
            <w:r>
              <w:rPr>
                <w:noProof/>
                <w:webHidden/>
              </w:rPr>
            </w:r>
            <w:r>
              <w:rPr>
                <w:noProof/>
                <w:webHidden/>
              </w:rPr>
              <w:fldChar w:fldCharType="separate"/>
            </w:r>
            <w:r>
              <w:rPr>
                <w:noProof/>
                <w:webHidden/>
              </w:rPr>
              <w:t>30</w:t>
            </w:r>
            <w:r>
              <w:rPr>
                <w:noProof/>
                <w:webHidden/>
              </w:rPr>
              <w:fldChar w:fldCharType="end"/>
            </w:r>
          </w:hyperlink>
        </w:p>
        <w:p w14:paraId="1EDC0260" w14:textId="10BE7B3D" w:rsidR="006250B8" w:rsidRDefault="006250B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7422736" w:history="1">
            <w:r w:rsidRPr="00F11D58">
              <w:rPr>
                <w:rStyle w:val="Hyperlink"/>
                <w:noProof/>
                <w:lang w:eastAsia="en-AU"/>
              </w:rPr>
              <w:t>Risk management plan</w:t>
            </w:r>
            <w:r>
              <w:rPr>
                <w:noProof/>
                <w:webHidden/>
              </w:rPr>
              <w:tab/>
            </w:r>
            <w:r>
              <w:rPr>
                <w:noProof/>
                <w:webHidden/>
              </w:rPr>
              <w:fldChar w:fldCharType="begin"/>
            </w:r>
            <w:r>
              <w:rPr>
                <w:noProof/>
                <w:webHidden/>
              </w:rPr>
              <w:instrText xml:space="preserve"> PAGEREF _Toc157422736 \h </w:instrText>
            </w:r>
            <w:r>
              <w:rPr>
                <w:noProof/>
                <w:webHidden/>
              </w:rPr>
            </w:r>
            <w:r>
              <w:rPr>
                <w:noProof/>
                <w:webHidden/>
              </w:rPr>
              <w:fldChar w:fldCharType="separate"/>
            </w:r>
            <w:r>
              <w:rPr>
                <w:noProof/>
                <w:webHidden/>
              </w:rPr>
              <w:t>36</w:t>
            </w:r>
            <w:r>
              <w:rPr>
                <w:noProof/>
                <w:webHidden/>
              </w:rPr>
              <w:fldChar w:fldCharType="end"/>
            </w:r>
          </w:hyperlink>
        </w:p>
        <w:p w14:paraId="7953DB36" w14:textId="5E8767E9" w:rsidR="006250B8" w:rsidRDefault="006250B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7422737" w:history="1">
            <w:r w:rsidRPr="00F11D58">
              <w:rPr>
                <w:rStyle w:val="Hyperlink"/>
                <w:noProof/>
              </w:rPr>
              <w:t>Risk</w:t>
            </w:r>
            <w:r w:rsidRPr="00F11D58">
              <w:rPr>
                <w:rStyle w:val="Hyperlink"/>
                <w:noProof/>
              </w:rPr>
              <w:noBreakHyphen/>
              <w:t>benefit analysis</w:t>
            </w:r>
            <w:r>
              <w:rPr>
                <w:noProof/>
                <w:webHidden/>
              </w:rPr>
              <w:tab/>
            </w:r>
            <w:r>
              <w:rPr>
                <w:noProof/>
                <w:webHidden/>
              </w:rPr>
              <w:fldChar w:fldCharType="begin"/>
            </w:r>
            <w:r>
              <w:rPr>
                <w:noProof/>
                <w:webHidden/>
              </w:rPr>
              <w:instrText xml:space="preserve"> PAGEREF _Toc157422737 \h </w:instrText>
            </w:r>
            <w:r>
              <w:rPr>
                <w:noProof/>
                <w:webHidden/>
              </w:rPr>
            </w:r>
            <w:r>
              <w:rPr>
                <w:noProof/>
                <w:webHidden/>
              </w:rPr>
              <w:fldChar w:fldCharType="separate"/>
            </w:r>
            <w:r>
              <w:rPr>
                <w:noProof/>
                <w:webHidden/>
              </w:rPr>
              <w:t>37</w:t>
            </w:r>
            <w:r>
              <w:rPr>
                <w:noProof/>
                <w:webHidden/>
              </w:rPr>
              <w:fldChar w:fldCharType="end"/>
            </w:r>
          </w:hyperlink>
        </w:p>
        <w:p w14:paraId="210DAB9E" w14:textId="1A6789F1" w:rsidR="006250B8" w:rsidRDefault="006250B8">
          <w:pPr>
            <w:pStyle w:val="TOC3"/>
            <w:rPr>
              <w:rFonts w:asciiTheme="minorHAnsi" w:eastAsiaTheme="minorEastAsia" w:hAnsiTheme="minorHAnsi" w:cstheme="minorBidi"/>
              <w:b w:val="0"/>
              <w:noProof/>
              <w:color w:val="auto"/>
              <w:kern w:val="2"/>
              <w:szCs w:val="22"/>
              <w:lang w:eastAsia="en-AU"/>
              <w14:ligatures w14:val="standardContextual"/>
            </w:rPr>
          </w:pPr>
          <w:hyperlink w:anchor="_Toc157422738" w:history="1">
            <w:r w:rsidRPr="00F11D58">
              <w:rPr>
                <w:rStyle w:val="Hyperlink"/>
                <w:noProof/>
              </w:rPr>
              <w:t>Delegate’s considerations</w:t>
            </w:r>
            <w:r>
              <w:rPr>
                <w:noProof/>
                <w:webHidden/>
              </w:rPr>
              <w:tab/>
            </w:r>
            <w:r>
              <w:rPr>
                <w:noProof/>
                <w:webHidden/>
              </w:rPr>
              <w:fldChar w:fldCharType="begin"/>
            </w:r>
            <w:r>
              <w:rPr>
                <w:noProof/>
                <w:webHidden/>
              </w:rPr>
              <w:instrText xml:space="preserve"> PAGEREF _Toc157422738 \h </w:instrText>
            </w:r>
            <w:r>
              <w:rPr>
                <w:noProof/>
                <w:webHidden/>
              </w:rPr>
            </w:r>
            <w:r>
              <w:rPr>
                <w:noProof/>
                <w:webHidden/>
              </w:rPr>
              <w:fldChar w:fldCharType="separate"/>
            </w:r>
            <w:r>
              <w:rPr>
                <w:noProof/>
                <w:webHidden/>
              </w:rPr>
              <w:t>37</w:t>
            </w:r>
            <w:r>
              <w:rPr>
                <w:noProof/>
                <w:webHidden/>
              </w:rPr>
              <w:fldChar w:fldCharType="end"/>
            </w:r>
          </w:hyperlink>
        </w:p>
        <w:p w14:paraId="247D8FC3" w14:textId="710531D9" w:rsidR="006250B8" w:rsidRDefault="006250B8">
          <w:pPr>
            <w:pStyle w:val="TOC3"/>
            <w:rPr>
              <w:rFonts w:asciiTheme="minorHAnsi" w:eastAsiaTheme="minorEastAsia" w:hAnsiTheme="minorHAnsi" w:cstheme="minorBidi"/>
              <w:b w:val="0"/>
              <w:noProof/>
              <w:color w:val="auto"/>
              <w:kern w:val="2"/>
              <w:szCs w:val="22"/>
              <w:lang w:eastAsia="en-AU"/>
              <w14:ligatures w14:val="standardContextual"/>
            </w:rPr>
          </w:pPr>
          <w:hyperlink w:anchor="_Toc157422739" w:history="1">
            <w:r w:rsidRPr="00F11D58">
              <w:rPr>
                <w:rStyle w:val="Hyperlink"/>
                <w:noProof/>
              </w:rPr>
              <w:t>Proposed action</w:t>
            </w:r>
            <w:r>
              <w:rPr>
                <w:noProof/>
                <w:webHidden/>
              </w:rPr>
              <w:tab/>
            </w:r>
            <w:r>
              <w:rPr>
                <w:noProof/>
                <w:webHidden/>
              </w:rPr>
              <w:fldChar w:fldCharType="begin"/>
            </w:r>
            <w:r>
              <w:rPr>
                <w:noProof/>
                <w:webHidden/>
              </w:rPr>
              <w:instrText xml:space="preserve"> PAGEREF _Toc157422739 \h </w:instrText>
            </w:r>
            <w:r>
              <w:rPr>
                <w:noProof/>
                <w:webHidden/>
              </w:rPr>
            </w:r>
            <w:r>
              <w:rPr>
                <w:noProof/>
                <w:webHidden/>
              </w:rPr>
              <w:fldChar w:fldCharType="separate"/>
            </w:r>
            <w:r>
              <w:rPr>
                <w:noProof/>
                <w:webHidden/>
              </w:rPr>
              <w:t>40</w:t>
            </w:r>
            <w:r>
              <w:rPr>
                <w:noProof/>
                <w:webHidden/>
              </w:rPr>
              <w:fldChar w:fldCharType="end"/>
            </w:r>
          </w:hyperlink>
        </w:p>
        <w:p w14:paraId="0000EAA2" w14:textId="791D4E0A" w:rsidR="006250B8" w:rsidRDefault="006250B8">
          <w:pPr>
            <w:pStyle w:val="TOC3"/>
            <w:rPr>
              <w:rFonts w:asciiTheme="minorHAnsi" w:eastAsiaTheme="minorEastAsia" w:hAnsiTheme="minorHAnsi" w:cstheme="minorBidi"/>
              <w:b w:val="0"/>
              <w:noProof/>
              <w:color w:val="auto"/>
              <w:kern w:val="2"/>
              <w:szCs w:val="22"/>
              <w:lang w:eastAsia="en-AU"/>
              <w14:ligatures w14:val="standardContextual"/>
            </w:rPr>
          </w:pPr>
          <w:hyperlink w:anchor="_Toc157422740" w:history="1">
            <w:r w:rsidRPr="00F11D58">
              <w:rPr>
                <w:rStyle w:val="Hyperlink"/>
                <w:noProof/>
              </w:rPr>
              <w:t>Advisory Committee considerations</w:t>
            </w:r>
            <w:r>
              <w:rPr>
                <w:noProof/>
                <w:webHidden/>
              </w:rPr>
              <w:tab/>
            </w:r>
            <w:r>
              <w:rPr>
                <w:noProof/>
                <w:webHidden/>
              </w:rPr>
              <w:fldChar w:fldCharType="begin"/>
            </w:r>
            <w:r>
              <w:rPr>
                <w:noProof/>
                <w:webHidden/>
              </w:rPr>
              <w:instrText xml:space="preserve"> PAGEREF _Toc157422740 \h </w:instrText>
            </w:r>
            <w:r>
              <w:rPr>
                <w:noProof/>
                <w:webHidden/>
              </w:rPr>
            </w:r>
            <w:r>
              <w:rPr>
                <w:noProof/>
                <w:webHidden/>
              </w:rPr>
              <w:fldChar w:fldCharType="separate"/>
            </w:r>
            <w:r>
              <w:rPr>
                <w:noProof/>
                <w:webHidden/>
              </w:rPr>
              <w:t>41</w:t>
            </w:r>
            <w:r>
              <w:rPr>
                <w:noProof/>
                <w:webHidden/>
              </w:rPr>
              <w:fldChar w:fldCharType="end"/>
            </w:r>
          </w:hyperlink>
        </w:p>
        <w:p w14:paraId="3E360492" w14:textId="7FFF22FE" w:rsidR="006250B8" w:rsidRDefault="006250B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57422741" w:history="1">
            <w:r w:rsidRPr="00F11D58">
              <w:rPr>
                <w:rStyle w:val="Hyperlink"/>
                <w:noProof/>
              </w:rPr>
              <w:t>Outcome</w:t>
            </w:r>
            <w:r>
              <w:rPr>
                <w:noProof/>
                <w:webHidden/>
              </w:rPr>
              <w:tab/>
            </w:r>
            <w:r>
              <w:rPr>
                <w:noProof/>
                <w:webHidden/>
              </w:rPr>
              <w:fldChar w:fldCharType="begin"/>
            </w:r>
            <w:r>
              <w:rPr>
                <w:noProof/>
                <w:webHidden/>
              </w:rPr>
              <w:instrText xml:space="preserve"> PAGEREF _Toc157422741 \h </w:instrText>
            </w:r>
            <w:r>
              <w:rPr>
                <w:noProof/>
                <w:webHidden/>
              </w:rPr>
            </w:r>
            <w:r>
              <w:rPr>
                <w:noProof/>
                <w:webHidden/>
              </w:rPr>
              <w:fldChar w:fldCharType="separate"/>
            </w:r>
            <w:r>
              <w:rPr>
                <w:noProof/>
                <w:webHidden/>
              </w:rPr>
              <w:t>42</w:t>
            </w:r>
            <w:r>
              <w:rPr>
                <w:noProof/>
                <w:webHidden/>
              </w:rPr>
              <w:fldChar w:fldCharType="end"/>
            </w:r>
          </w:hyperlink>
        </w:p>
        <w:p w14:paraId="395A25F7" w14:textId="00FA3DCF" w:rsidR="006250B8" w:rsidRDefault="006250B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7422742" w:history="1">
            <w:r w:rsidRPr="00F11D58">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_Toc157422742 \h </w:instrText>
            </w:r>
            <w:r>
              <w:rPr>
                <w:noProof/>
                <w:webHidden/>
              </w:rPr>
            </w:r>
            <w:r>
              <w:rPr>
                <w:noProof/>
                <w:webHidden/>
              </w:rPr>
              <w:fldChar w:fldCharType="separate"/>
            </w:r>
            <w:r>
              <w:rPr>
                <w:noProof/>
                <w:webHidden/>
              </w:rPr>
              <w:t>42</w:t>
            </w:r>
            <w:r>
              <w:rPr>
                <w:noProof/>
                <w:webHidden/>
              </w:rPr>
              <w:fldChar w:fldCharType="end"/>
            </w:r>
          </w:hyperlink>
        </w:p>
        <w:p w14:paraId="526F3C96" w14:textId="5CD446EE" w:rsidR="006250B8" w:rsidRDefault="006250B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57422743" w:history="1">
            <w:r w:rsidRPr="00F11D58">
              <w:rPr>
                <w:rStyle w:val="Hyperlink"/>
                <w:noProof/>
              </w:rPr>
              <w:t>Attachment 1. Product Information</w:t>
            </w:r>
            <w:r>
              <w:rPr>
                <w:noProof/>
                <w:webHidden/>
              </w:rPr>
              <w:tab/>
            </w:r>
            <w:r>
              <w:rPr>
                <w:noProof/>
                <w:webHidden/>
              </w:rPr>
              <w:fldChar w:fldCharType="begin"/>
            </w:r>
            <w:r>
              <w:rPr>
                <w:noProof/>
                <w:webHidden/>
              </w:rPr>
              <w:instrText xml:space="preserve"> PAGEREF _Toc157422743 \h </w:instrText>
            </w:r>
            <w:r>
              <w:rPr>
                <w:noProof/>
                <w:webHidden/>
              </w:rPr>
            </w:r>
            <w:r>
              <w:rPr>
                <w:noProof/>
                <w:webHidden/>
              </w:rPr>
              <w:fldChar w:fldCharType="separate"/>
            </w:r>
            <w:r>
              <w:rPr>
                <w:noProof/>
                <w:webHidden/>
              </w:rPr>
              <w:t>42</w:t>
            </w:r>
            <w:r>
              <w:rPr>
                <w:noProof/>
                <w:webHidden/>
              </w:rPr>
              <w:fldChar w:fldCharType="end"/>
            </w:r>
          </w:hyperlink>
        </w:p>
        <w:p w14:paraId="77659F2D" w14:textId="107427C1" w:rsidR="00F02AEC" w:rsidRPr="00215D48" w:rsidRDefault="00837005" w:rsidP="008E0721">
          <w:pPr>
            <w:pStyle w:val="TOC1"/>
          </w:pPr>
          <w:r w:rsidRPr="00215D48">
            <w:fldChar w:fldCharType="end"/>
          </w:r>
        </w:p>
      </w:sdtContent>
    </w:sdt>
    <w:p w14:paraId="1E73AB93" w14:textId="77777777" w:rsidR="00324B33" w:rsidRDefault="00063F39" w:rsidP="00324B33">
      <w:pPr>
        <w:pStyle w:val="Heading2"/>
      </w:pPr>
      <w:bookmarkStart w:id="0" w:name="_Toc98931917"/>
      <w:bookmarkStart w:id="1" w:name="_Toc103679287"/>
      <w:bookmarkStart w:id="2" w:name="_Toc323739589"/>
      <w:bookmarkStart w:id="3" w:name="_Toc356305216"/>
      <w:bookmarkStart w:id="4" w:name="_Toc157422713"/>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1696"/>
        <w:gridCol w:w="7364"/>
      </w:tblGrid>
      <w:tr w:rsidR="00345E6F" w14:paraId="2117AEF6" w14:textId="77777777" w:rsidTr="00345E6F">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936" w:type="pct"/>
          </w:tcPr>
          <w:p w14:paraId="1207B6A7" w14:textId="67F7D360" w:rsidR="00324B33" w:rsidRPr="00D01DDB" w:rsidRDefault="00063F39" w:rsidP="00324B33">
            <w:pPr>
              <w:rPr>
                <w:szCs w:val="22"/>
              </w:rPr>
            </w:pPr>
            <w:r w:rsidRPr="00D01DDB">
              <w:rPr>
                <w:szCs w:val="22"/>
              </w:rPr>
              <w:t>Abbreviation</w:t>
            </w:r>
          </w:p>
        </w:tc>
        <w:tc>
          <w:tcPr>
            <w:tcW w:w="4064" w:type="pct"/>
          </w:tcPr>
          <w:p w14:paraId="4CF6D0CD" w14:textId="2974FA0B" w:rsidR="00324B33" w:rsidRPr="00D01DDB" w:rsidRDefault="00063F39"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45E6F" w14:paraId="16C5C8C5"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46DE09A4" w14:textId="07A94E9E" w:rsidR="00324B33" w:rsidRPr="00D01DDB" w:rsidRDefault="00063F39" w:rsidP="00324B33">
            <w:pPr>
              <w:rPr>
                <w:szCs w:val="22"/>
              </w:rPr>
            </w:pPr>
            <w:r w:rsidRPr="00D01DDB">
              <w:rPr>
                <w:szCs w:val="22"/>
              </w:rPr>
              <w:t>ACM</w:t>
            </w:r>
          </w:p>
        </w:tc>
        <w:tc>
          <w:tcPr>
            <w:tcW w:w="4064" w:type="pct"/>
          </w:tcPr>
          <w:p w14:paraId="4F24A873" w14:textId="0539B5FB"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345E6F" w14:paraId="1578ABBA"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036F60BC" w14:textId="06E8B909" w:rsidR="00F02AA8" w:rsidRPr="00D01DDB" w:rsidRDefault="00063F39" w:rsidP="00324B33">
            <w:pPr>
              <w:rPr>
                <w:szCs w:val="22"/>
              </w:rPr>
            </w:pPr>
            <w:r>
              <w:rPr>
                <w:szCs w:val="22"/>
              </w:rPr>
              <w:t>AE</w:t>
            </w:r>
          </w:p>
        </w:tc>
        <w:tc>
          <w:tcPr>
            <w:tcW w:w="4064" w:type="pct"/>
          </w:tcPr>
          <w:p w14:paraId="62DEB954" w14:textId="5696C208" w:rsidR="00F02AA8"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w:t>
            </w:r>
          </w:p>
        </w:tc>
      </w:tr>
      <w:tr w:rsidR="00345E6F" w14:paraId="35340A59"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5D8B9F80" w14:textId="7C7E3FBD" w:rsidR="00324B33" w:rsidRPr="00D01DDB" w:rsidRDefault="00063F39" w:rsidP="00324B33">
            <w:pPr>
              <w:rPr>
                <w:szCs w:val="22"/>
              </w:rPr>
            </w:pPr>
            <w:r>
              <w:rPr>
                <w:szCs w:val="22"/>
              </w:rPr>
              <w:t>ALT</w:t>
            </w:r>
          </w:p>
        </w:tc>
        <w:tc>
          <w:tcPr>
            <w:tcW w:w="4064" w:type="pct"/>
          </w:tcPr>
          <w:p w14:paraId="5072E244" w14:textId="7D51BF96"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Alanine aminotransferase</w:t>
            </w:r>
          </w:p>
        </w:tc>
      </w:tr>
      <w:tr w:rsidR="00345E6F" w14:paraId="69654661"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143A7AEA" w14:textId="6D49EBE6" w:rsidR="00324B33" w:rsidRPr="00D01DDB" w:rsidRDefault="00063F39" w:rsidP="00324B33">
            <w:pPr>
              <w:rPr>
                <w:szCs w:val="22"/>
              </w:rPr>
            </w:pPr>
            <w:r w:rsidRPr="00D01DDB">
              <w:rPr>
                <w:szCs w:val="22"/>
              </w:rPr>
              <w:t>ARTG</w:t>
            </w:r>
          </w:p>
        </w:tc>
        <w:tc>
          <w:tcPr>
            <w:tcW w:w="4064" w:type="pct"/>
          </w:tcPr>
          <w:p w14:paraId="228A203A" w14:textId="47EBCFA3"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45E6F" w14:paraId="55A5EA8B"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484BF88B" w14:textId="736E7F05" w:rsidR="00455296" w:rsidRPr="00D01DDB" w:rsidRDefault="00063F39" w:rsidP="00324B33">
            <w:pPr>
              <w:rPr>
                <w:szCs w:val="22"/>
              </w:rPr>
            </w:pPr>
            <w:r>
              <w:rPr>
                <w:szCs w:val="22"/>
              </w:rPr>
              <w:t>ARV</w:t>
            </w:r>
          </w:p>
        </w:tc>
        <w:tc>
          <w:tcPr>
            <w:tcW w:w="4064" w:type="pct"/>
          </w:tcPr>
          <w:p w14:paraId="258AB747" w14:textId="6EF2542D" w:rsidR="00455296"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t>A</w:t>
            </w:r>
            <w:r w:rsidRPr="00314F05">
              <w:t>ntiretroviral</w:t>
            </w:r>
          </w:p>
        </w:tc>
      </w:tr>
      <w:tr w:rsidR="00345E6F" w14:paraId="05366769"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00516A80" w14:textId="1329E9D5" w:rsidR="00324B33" w:rsidRPr="00D01DDB" w:rsidRDefault="00063F39" w:rsidP="00324B33">
            <w:pPr>
              <w:rPr>
                <w:szCs w:val="22"/>
              </w:rPr>
            </w:pPr>
            <w:r w:rsidRPr="00D01DDB">
              <w:rPr>
                <w:szCs w:val="22"/>
              </w:rPr>
              <w:t>ASA</w:t>
            </w:r>
          </w:p>
        </w:tc>
        <w:tc>
          <w:tcPr>
            <w:tcW w:w="4064" w:type="pct"/>
          </w:tcPr>
          <w:p w14:paraId="4E6F5284" w14:textId="7278F7CC"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6D7271">
              <w:rPr>
                <w:szCs w:val="22"/>
              </w:rPr>
              <w:noBreakHyphen/>
            </w:r>
            <w:r w:rsidRPr="00D01DDB">
              <w:rPr>
                <w:szCs w:val="22"/>
              </w:rPr>
              <w:t>specific annex</w:t>
            </w:r>
          </w:p>
        </w:tc>
      </w:tr>
      <w:tr w:rsidR="00345E6F" w14:paraId="7E6BA54E"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2528E835" w14:textId="77B83DC7" w:rsidR="009C04AB" w:rsidRPr="00D01DDB" w:rsidRDefault="00063F39" w:rsidP="00324B33">
            <w:pPr>
              <w:rPr>
                <w:szCs w:val="22"/>
              </w:rPr>
            </w:pPr>
            <w:r>
              <w:rPr>
                <w:szCs w:val="22"/>
              </w:rPr>
              <w:t>AST</w:t>
            </w:r>
          </w:p>
        </w:tc>
        <w:tc>
          <w:tcPr>
            <w:tcW w:w="4064" w:type="pct"/>
          </w:tcPr>
          <w:p w14:paraId="2D61078E" w14:textId="5B8E1FCD" w:rsidR="009C04AB"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9C04AB">
              <w:rPr>
                <w:szCs w:val="22"/>
              </w:rPr>
              <w:t>spartate aminotransferase</w:t>
            </w:r>
          </w:p>
        </w:tc>
      </w:tr>
      <w:tr w:rsidR="00345E6F" w14:paraId="02EFF831"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58BCB6D9" w14:textId="1AF06B95" w:rsidR="00FD5551" w:rsidRPr="00D01DDB" w:rsidRDefault="00063F39" w:rsidP="00324B33">
            <w:pPr>
              <w:rPr>
                <w:szCs w:val="22"/>
              </w:rPr>
            </w:pPr>
            <w:r>
              <w:rPr>
                <w:szCs w:val="22"/>
              </w:rPr>
              <w:t>AUC</w:t>
            </w:r>
          </w:p>
        </w:tc>
        <w:tc>
          <w:tcPr>
            <w:tcW w:w="4064" w:type="pct"/>
          </w:tcPr>
          <w:p w14:paraId="5ABF9625" w14:textId="76E24D0E" w:rsidR="00FD5551"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lang w:eastAsia="zh-CN"/>
              </w:rPr>
              <w:t>A</w:t>
            </w:r>
            <w:r>
              <w:t>rea under the concentration versus time curve</w:t>
            </w:r>
          </w:p>
        </w:tc>
      </w:tr>
      <w:tr w:rsidR="00345E6F" w14:paraId="215B64C9"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44C660A5" w14:textId="0F7A0FA3" w:rsidR="00AE7F22" w:rsidRDefault="00063F39" w:rsidP="00324B33">
            <w:pPr>
              <w:rPr>
                <w:szCs w:val="22"/>
              </w:rPr>
            </w:pPr>
            <w:r w:rsidRPr="004766C2">
              <w:t>AUC</w:t>
            </w:r>
            <w:r>
              <w:rPr>
                <w:vertAlign w:val="subscript"/>
              </w:rPr>
              <w:t>inf</w:t>
            </w:r>
          </w:p>
        </w:tc>
        <w:tc>
          <w:tcPr>
            <w:tcW w:w="4064" w:type="pct"/>
          </w:tcPr>
          <w:p w14:paraId="09767B0D" w14:textId="6C719B91" w:rsidR="00AE7F22" w:rsidRDefault="00063F39" w:rsidP="00324B33">
            <w:pPr>
              <w:cnfStyle w:val="000000000000" w:firstRow="0" w:lastRow="0" w:firstColumn="0" w:lastColumn="0" w:oddVBand="0" w:evenVBand="0" w:oddHBand="0" w:evenHBand="0" w:firstRowFirstColumn="0" w:firstRowLastColumn="0" w:lastRowFirstColumn="0" w:lastRowLastColumn="0"/>
              <w:rPr>
                <w:lang w:eastAsia="zh-CN"/>
              </w:rPr>
            </w:pPr>
            <w:r>
              <w:t>Area under the concentration versus time curve from time zero to infinity</w:t>
            </w:r>
          </w:p>
        </w:tc>
      </w:tr>
      <w:tr w:rsidR="00345E6F" w14:paraId="254F7557"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0C2739D6" w14:textId="34B62F5B" w:rsidR="00E92C0B" w:rsidRPr="004766C2" w:rsidRDefault="00063F39" w:rsidP="00324B33">
            <w:r>
              <w:t>C</w:t>
            </w:r>
            <w:r w:rsidRPr="00E92C0B">
              <w:rPr>
                <w:vertAlign w:val="subscript"/>
              </w:rPr>
              <w:t>max</w:t>
            </w:r>
          </w:p>
        </w:tc>
        <w:tc>
          <w:tcPr>
            <w:tcW w:w="4064" w:type="pct"/>
          </w:tcPr>
          <w:p w14:paraId="57E27280" w14:textId="58841961" w:rsidR="00E92C0B" w:rsidRDefault="00063F39" w:rsidP="00324B33">
            <w:pPr>
              <w:cnfStyle w:val="000000000000" w:firstRow="0" w:lastRow="0" w:firstColumn="0" w:lastColumn="0" w:oddVBand="0" w:evenVBand="0" w:oddHBand="0" w:evenHBand="0" w:firstRowFirstColumn="0" w:firstRowLastColumn="0" w:lastRowFirstColumn="0" w:lastRowLastColumn="0"/>
            </w:pPr>
            <w:r>
              <w:t>Maximum plasma concentration</w:t>
            </w:r>
          </w:p>
        </w:tc>
      </w:tr>
      <w:tr w:rsidR="00345E6F" w14:paraId="7694A4EE"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2AC18809" w14:textId="14711A93" w:rsidR="00395140" w:rsidRPr="00D01DDB" w:rsidRDefault="00063F39" w:rsidP="00324B33">
            <w:pPr>
              <w:rPr>
                <w:szCs w:val="22"/>
              </w:rPr>
            </w:pPr>
            <w:r w:rsidRPr="00D01DDB">
              <w:rPr>
                <w:szCs w:val="22"/>
              </w:rPr>
              <w:t>CMI</w:t>
            </w:r>
          </w:p>
        </w:tc>
        <w:tc>
          <w:tcPr>
            <w:tcW w:w="4064" w:type="pct"/>
          </w:tcPr>
          <w:p w14:paraId="5D8C9DF5" w14:textId="60C23379" w:rsidR="00395140"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345E6F" w14:paraId="2D3B92CF"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716273AA" w14:textId="055B1F80" w:rsidR="0022021B" w:rsidRPr="00D01DDB" w:rsidRDefault="00063F39" w:rsidP="00324B33">
            <w:pPr>
              <w:rPr>
                <w:szCs w:val="22"/>
              </w:rPr>
            </w:pPr>
            <w:r>
              <w:rPr>
                <w:szCs w:val="22"/>
              </w:rPr>
              <w:t>COVID</w:t>
            </w:r>
            <w:r>
              <w:rPr>
                <w:szCs w:val="22"/>
              </w:rPr>
              <w:noBreakHyphen/>
              <w:t>19</w:t>
            </w:r>
          </w:p>
        </w:tc>
        <w:tc>
          <w:tcPr>
            <w:tcW w:w="4064" w:type="pct"/>
          </w:tcPr>
          <w:p w14:paraId="68FC2C47" w14:textId="21064E7B" w:rsidR="0022021B"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t>Coronavirus disease 2019</w:t>
            </w:r>
          </w:p>
        </w:tc>
      </w:tr>
      <w:tr w:rsidR="00345E6F" w14:paraId="193B5868"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7E26121D" w14:textId="6E632268" w:rsidR="00AF628C" w:rsidRPr="00D01DDB" w:rsidRDefault="00063F39" w:rsidP="00AF628C">
            <w:pPr>
              <w:rPr>
                <w:szCs w:val="22"/>
              </w:rPr>
            </w:pPr>
            <w:r w:rsidRPr="00E8696A">
              <w:t>DDI</w:t>
            </w:r>
          </w:p>
        </w:tc>
        <w:tc>
          <w:tcPr>
            <w:tcW w:w="4064" w:type="pct"/>
          </w:tcPr>
          <w:p w14:paraId="1591E643" w14:textId="67220816" w:rsidR="00AF628C" w:rsidRPr="00D01DDB" w:rsidRDefault="00063F39" w:rsidP="00AF628C">
            <w:pPr>
              <w:cnfStyle w:val="000000000000" w:firstRow="0" w:lastRow="0" w:firstColumn="0" w:lastColumn="0" w:oddVBand="0" w:evenVBand="0" w:oddHBand="0" w:evenHBand="0" w:firstRowFirstColumn="0" w:firstRowLastColumn="0" w:lastRowFirstColumn="0" w:lastRowLastColumn="0"/>
              <w:rPr>
                <w:szCs w:val="22"/>
              </w:rPr>
            </w:pPr>
            <w:r>
              <w:t>D</w:t>
            </w:r>
            <w:r w:rsidRPr="00E8696A">
              <w:t>rug</w:t>
            </w:r>
            <w:r w:rsidR="006D7271">
              <w:noBreakHyphen/>
            </w:r>
            <w:r w:rsidRPr="00E8696A">
              <w:t>drug interaction</w:t>
            </w:r>
          </w:p>
        </w:tc>
      </w:tr>
      <w:tr w:rsidR="00345E6F" w14:paraId="7B873773"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5CE05B04" w14:textId="0D6731AA" w:rsidR="00324B33" w:rsidRPr="00D01DDB" w:rsidRDefault="00063F39" w:rsidP="00324B33">
            <w:pPr>
              <w:rPr>
                <w:szCs w:val="22"/>
              </w:rPr>
            </w:pPr>
            <w:r w:rsidRPr="00D01DDB">
              <w:rPr>
                <w:szCs w:val="22"/>
              </w:rPr>
              <w:t>DLP</w:t>
            </w:r>
          </w:p>
        </w:tc>
        <w:tc>
          <w:tcPr>
            <w:tcW w:w="4064" w:type="pct"/>
          </w:tcPr>
          <w:p w14:paraId="26109D0B" w14:textId="4AE8F60A"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345E6F" w14:paraId="651BC8B9"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625F98C1" w14:textId="4F44A248" w:rsidR="00651E6C" w:rsidRPr="00D01DDB" w:rsidRDefault="00063F39" w:rsidP="00324B33">
            <w:pPr>
              <w:rPr>
                <w:szCs w:val="22"/>
              </w:rPr>
            </w:pPr>
            <w:r>
              <w:rPr>
                <w:szCs w:val="22"/>
              </w:rPr>
              <w:t>ECG</w:t>
            </w:r>
          </w:p>
        </w:tc>
        <w:tc>
          <w:tcPr>
            <w:tcW w:w="4064" w:type="pct"/>
          </w:tcPr>
          <w:p w14:paraId="0873FF74" w14:textId="2E669683" w:rsidR="00651E6C"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t>Electrocardiogram</w:t>
            </w:r>
          </w:p>
        </w:tc>
      </w:tr>
      <w:tr w:rsidR="00345E6F" w14:paraId="2F48D84B"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4EA2E27A" w14:textId="075F48B1" w:rsidR="00890F7E" w:rsidRPr="00890F7E" w:rsidRDefault="00063F39" w:rsidP="00324B33">
            <w:pPr>
              <w:rPr>
                <w:szCs w:val="22"/>
              </w:rPr>
            </w:pPr>
            <w:r w:rsidRPr="00890F7E">
              <w:t>eGFR</w:t>
            </w:r>
          </w:p>
        </w:tc>
        <w:tc>
          <w:tcPr>
            <w:tcW w:w="4064" w:type="pct"/>
          </w:tcPr>
          <w:p w14:paraId="59D72F92" w14:textId="0FB1646B" w:rsidR="00890F7E" w:rsidRDefault="00063F39" w:rsidP="00324B33">
            <w:pPr>
              <w:cnfStyle w:val="000000000000" w:firstRow="0" w:lastRow="0" w:firstColumn="0" w:lastColumn="0" w:oddVBand="0" w:evenVBand="0" w:oddHBand="0" w:evenHBand="0" w:firstRowFirstColumn="0" w:firstRowLastColumn="0" w:lastRowFirstColumn="0" w:lastRowLastColumn="0"/>
            </w:pPr>
            <w:r w:rsidRPr="00890F7E">
              <w:t>Estimated glomerular filtration rate</w:t>
            </w:r>
          </w:p>
        </w:tc>
      </w:tr>
      <w:tr w:rsidR="00345E6F" w14:paraId="76B9D996"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483ED095" w14:textId="2D278A22" w:rsidR="00814CCF" w:rsidRDefault="00063F39" w:rsidP="00324B33">
            <w:pPr>
              <w:rPr>
                <w:szCs w:val="22"/>
              </w:rPr>
            </w:pPr>
            <w:r w:rsidRPr="00814CCF">
              <w:rPr>
                <w:lang w:eastAsia="zh-CN"/>
              </w:rPr>
              <w:t>ER</w:t>
            </w:r>
            <w:r w:rsidRPr="00814CCF">
              <w:rPr>
                <w:vertAlign w:val="subscript"/>
                <w:lang w:eastAsia="zh-CN"/>
              </w:rPr>
              <w:t>AUC</w:t>
            </w:r>
          </w:p>
        </w:tc>
        <w:tc>
          <w:tcPr>
            <w:tcW w:w="4064" w:type="pct"/>
          </w:tcPr>
          <w:p w14:paraId="2CD4B1E8" w14:textId="3F53B7FB" w:rsidR="00814CCF" w:rsidRDefault="00063F39" w:rsidP="00324B33">
            <w:pPr>
              <w:cnfStyle w:val="000000000000" w:firstRow="0" w:lastRow="0" w:firstColumn="0" w:lastColumn="0" w:oddVBand="0" w:evenVBand="0" w:oddHBand="0" w:evenHBand="0" w:firstRowFirstColumn="0" w:firstRowLastColumn="0" w:lastRowFirstColumn="0" w:lastRowLastColumn="0"/>
            </w:pPr>
            <w:r>
              <w:rPr>
                <w:lang w:eastAsia="zh-CN"/>
              </w:rPr>
              <w:t>E</w:t>
            </w:r>
            <w:r w:rsidRPr="00814CCF">
              <w:rPr>
                <w:lang w:eastAsia="zh-CN"/>
              </w:rPr>
              <w:t>xposure ratio based on AUC</w:t>
            </w:r>
          </w:p>
        </w:tc>
      </w:tr>
      <w:tr w:rsidR="00345E6F" w14:paraId="1E621870"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3CDB6A56" w14:textId="3D203CDE" w:rsidR="00F76312" w:rsidRPr="00814CCF" w:rsidRDefault="00063F39" w:rsidP="00324B33">
            <w:pPr>
              <w:rPr>
                <w:lang w:eastAsia="zh-CN"/>
              </w:rPr>
            </w:pPr>
            <w:r>
              <w:rPr>
                <w:lang w:eastAsia="zh-CN"/>
              </w:rPr>
              <w:t>FDA</w:t>
            </w:r>
          </w:p>
        </w:tc>
        <w:tc>
          <w:tcPr>
            <w:tcW w:w="4064" w:type="pct"/>
          </w:tcPr>
          <w:p w14:paraId="488B2D9F" w14:textId="0B77A559" w:rsidR="00F76312" w:rsidRDefault="00063F39" w:rsidP="00324B3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Food and Drug Administration (United States)</w:t>
            </w:r>
          </w:p>
        </w:tc>
      </w:tr>
      <w:tr w:rsidR="00345E6F" w14:paraId="6739F800"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25540B5A" w14:textId="08A36C11" w:rsidR="006A0B3D" w:rsidRDefault="00063F39" w:rsidP="00324B33">
            <w:pPr>
              <w:rPr>
                <w:szCs w:val="22"/>
              </w:rPr>
            </w:pPr>
            <w:r>
              <w:rPr>
                <w:szCs w:val="22"/>
              </w:rPr>
              <w:t>HBV</w:t>
            </w:r>
          </w:p>
        </w:tc>
        <w:tc>
          <w:tcPr>
            <w:tcW w:w="4064" w:type="pct"/>
          </w:tcPr>
          <w:p w14:paraId="244431DF" w14:textId="1AA349EE" w:rsidR="006A0B3D" w:rsidRDefault="00063F39" w:rsidP="00324B33">
            <w:pPr>
              <w:cnfStyle w:val="000000000000" w:firstRow="0" w:lastRow="0" w:firstColumn="0" w:lastColumn="0" w:oddVBand="0" w:evenVBand="0" w:oddHBand="0" w:evenHBand="0" w:firstRowFirstColumn="0" w:firstRowLastColumn="0" w:lastRowFirstColumn="0" w:lastRowLastColumn="0"/>
            </w:pPr>
            <w:r>
              <w:t>H</w:t>
            </w:r>
            <w:r w:rsidRPr="003D796B">
              <w:t xml:space="preserve">epatitis </w:t>
            </w:r>
            <w:r>
              <w:t>B</w:t>
            </w:r>
            <w:r w:rsidRPr="003D796B">
              <w:t xml:space="preserve"> virus</w:t>
            </w:r>
          </w:p>
        </w:tc>
      </w:tr>
      <w:tr w:rsidR="00345E6F" w14:paraId="7D966919"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3517CEE8" w14:textId="25DE74F1" w:rsidR="006A0B3D" w:rsidRDefault="00063F39" w:rsidP="00324B33">
            <w:pPr>
              <w:rPr>
                <w:szCs w:val="22"/>
              </w:rPr>
            </w:pPr>
            <w:r>
              <w:rPr>
                <w:szCs w:val="22"/>
              </w:rPr>
              <w:t>HCV</w:t>
            </w:r>
          </w:p>
        </w:tc>
        <w:tc>
          <w:tcPr>
            <w:tcW w:w="4064" w:type="pct"/>
          </w:tcPr>
          <w:p w14:paraId="6D69595E" w14:textId="630240BA" w:rsidR="006A0B3D" w:rsidRDefault="00063F39" w:rsidP="00324B33">
            <w:pPr>
              <w:cnfStyle w:val="000000000000" w:firstRow="0" w:lastRow="0" w:firstColumn="0" w:lastColumn="0" w:oddVBand="0" w:evenVBand="0" w:oddHBand="0" w:evenHBand="0" w:firstRowFirstColumn="0" w:firstRowLastColumn="0" w:lastRowFirstColumn="0" w:lastRowLastColumn="0"/>
            </w:pPr>
            <w:r>
              <w:t>H</w:t>
            </w:r>
            <w:r w:rsidRPr="003D796B">
              <w:t xml:space="preserve">epatitis </w:t>
            </w:r>
            <w:r>
              <w:t>C</w:t>
            </w:r>
            <w:r w:rsidRPr="003D796B">
              <w:t xml:space="preserve"> virus</w:t>
            </w:r>
          </w:p>
        </w:tc>
      </w:tr>
      <w:tr w:rsidR="00345E6F" w14:paraId="15412396"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56DBC1D6" w14:textId="1CB9B992" w:rsidR="0030545F" w:rsidRDefault="00063F39" w:rsidP="00324B33">
            <w:pPr>
              <w:rPr>
                <w:szCs w:val="22"/>
              </w:rPr>
            </w:pPr>
            <w:r>
              <w:rPr>
                <w:szCs w:val="22"/>
              </w:rPr>
              <w:t>HIV</w:t>
            </w:r>
          </w:p>
        </w:tc>
        <w:tc>
          <w:tcPr>
            <w:tcW w:w="4064" w:type="pct"/>
          </w:tcPr>
          <w:p w14:paraId="47A80E80" w14:textId="39497827" w:rsidR="0030545F" w:rsidRDefault="00063F39" w:rsidP="00324B33">
            <w:pPr>
              <w:cnfStyle w:val="000000000000" w:firstRow="0" w:lastRow="0" w:firstColumn="0" w:lastColumn="0" w:oddVBand="0" w:evenVBand="0" w:oddHBand="0" w:evenHBand="0" w:firstRowFirstColumn="0" w:firstRowLastColumn="0" w:lastRowFirstColumn="0" w:lastRowLastColumn="0"/>
            </w:pPr>
            <w:r w:rsidRPr="00971658">
              <w:t>Human immunodeficiency virus</w:t>
            </w:r>
          </w:p>
        </w:tc>
      </w:tr>
      <w:tr w:rsidR="00345E6F" w14:paraId="40A05A2B"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39B2EEDC" w14:textId="7F6A6C2C" w:rsidR="00575437" w:rsidRPr="00575437" w:rsidRDefault="00063F39" w:rsidP="00324B33">
            <w:pPr>
              <w:rPr>
                <w:szCs w:val="22"/>
              </w:rPr>
            </w:pPr>
            <w:r w:rsidRPr="00575437">
              <w:rPr>
                <w:szCs w:val="22"/>
              </w:rPr>
              <w:t>ISR</w:t>
            </w:r>
          </w:p>
        </w:tc>
        <w:tc>
          <w:tcPr>
            <w:tcW w:w="4064" w:type="pct"/>
          </w:tcPr>
          <w:p w14:paraId="20824511" w14:textId="7B183D79" w:rsidR="00575437" w:rsidRPr="00575437" w:rsidRDefault="00063F39" w:rsidP="00324B33">
            <w:pPr>
              <w:cnfStyle w:val="000000000000" w:firstRow="0" w:lastRow="0" w:firstColumn="0" w:lastColumn="0" w:oddVBand="0" w:evenVBand="0" w:oddHBand="0" w:evenHBand="0" w:firstRowFirstColumn="0" w:firstRowLastColumn="0" w:lastRowFirstColumn="0" w:lastRowLastColumn="0"/>
            </w:pPr>
            <w:r w:rsidRPr="00575437">
              <w:t>Injection site reaction</w:t>
            </w:r>
          </w:p>
        </w:tc>
      </w:tr>
      <w:tr w:rsidR="00345E6F" w14:paraId="6675D68A"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60AEB4C2" w14:textId="71947F27" w:rsidR="006C7DBA" w:rsidRPr="00575437" w:rsidRDefault="00063F39" w:rsidP="00324B33">
            <w:pPr>
              <w:rPr>
                <w:szCs w:val="22"/>
              </w:rPr>
            </w:pPr>
            <w:r w:rsidRPr="00575437">
              <w:rPr>
                <w:szCs w:val="22"/>
              </w:rPr>
              <w:t>NNRTI</w:t>
            </w:r>
          </w:p>
        </w:tc>
        <w:tc>
          <w:tcPr>
            <w:tcW w:w="4064" w:type="pct"/>
          </w:tcPr>
          <w:p w14:paraId="29596B4B" w14:textId="4DF3B688" w:rsidR="006C7DBA" w:rsidRPr="00575437" w:rsidRDefault="00063F39" w:rsidP="00324B33">
            <w:pPr>
              <w:cnfStyle w:val="000000000000" w:firstRow="0" w:lastRow="0" w:firstColumn="0" w:lastColumn="0" w:oddVBand="0" w:evenVBand="0" w:oddHBand="0" w:evenHBand="0" w:firstRowFirstColumn="0" w:firstRowLastColumn="0" w:lastRowFirstColumn="0" w:lastRowLastColumn="0"/>
            </w:pPr>
            <w:r w:rsidRPr="00575437">
              <w:t>Non</w:t>
            </w:r>
            <w:r w:rsidRPr="00575437">
              <w:noBreakHyphen/>
              <w:t>nucleoside reverse transcriptase inhibitor</w:t>
            </w:r>
          </w:p>
        </w:tc>
      </w:tr>
      <w:tr w:rsidR="00345E6F" w14:paraId="2210E7EA"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6E5E54AA" w14:textId="3C1EB8DF" w:rsidR="006C7DBA" w:rsidRPr="00575437" w:rsidRDefault="00063F39" w:rsidP="00324B33">
            <w:pPr>
              <w:rPr>
                <w:szCs w:val="22"/>
              </w:rPr>
            </w:pPr>
            <w:r w:rsidRPr="00575437">
              <w:rPr>
                <w:szCs w:val="22"/>
              </w:rPr>
              <w:t>NRTI</w:t>
            </w:r>
          </w:p>
        </w:tc>
        <w:tc>
          <w:tcPr>
            <w:tcW w:w="4064" w:type="pct"/>
          </w:tcPr>
          <w:p w14:paraId="33E2E250" w14:textId="01155372" w:rsidR="006C7DBA" w:rsidRPr="00575437" w:rsidRDefault="00063F39" w:rsidP="00324B33">
            <w:pPr>
              <w:cnfStyle w:val="000000000000" w:firstRow="0" w:lastRow="0" w:firstColumn="0" w:lastColumn="0" w:oddVBand="0" w:evenVBand="0" w:oddHBand="0" w:evenHBand="0" w:firstRowFirstColumn="0" w:firstRowLastColumn="0" w:lastRowFirstColumn="0" w:lastRowLastColumn="0"/>
            </w:pPr>
            <w:r w:rsidRPr="00575437">
              <w:t>Nucleoside reverse transcriptase inhibitor</w:t>
            </w:r>
          </w:p>
        </w:tc>
      </w:tr>
      <w:tr w:rsidR="00345E6F" w14:paraId="285E23C5"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2249B478" w14:textId="32137949" w:rsidR="00E34092" w:rsidRPr="00575437" w:rsidRDefault="00063F39" w:rsidP="00324B33">
            <w:pPr>
              <w:rPr>
                <w:szCs w:val="22"/>
              </w:rPr>
            </w:pPr>
            <w:r w:rsidRPr="00575437">
              <w:t>OBR</w:t>
            </w:r>
          </w:p>
        </w:tc>
        <w:tc>
          <w:tcPr>
            <w:tcW w:w="4064" w:type="pct"/>
          </w:tcPr>
          <w:p w14:paraId="009D29ED" w14:textId="0B59B21D" w:rsidR="00E34092" w:rsidRPr="00575437"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sidRPr="00575437">
              <w:t>Optimised background regimen</w:t>
            </w:r>
          </w:p>
        </w:tc>
      </w:tr>
      <w:tr w:rsidR="00345E6F" w14:paraId="6D5A8D83"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6B16803E" w14:textId="7980FD6B" w:rsidR="00C06F1F" w:rsidRPr="00575437" w:rsidRDefault="00063F39" w:rsidP="00324B33">
            <w:r w:rsidRPr="00575437">
              <w:rPr>
                <w:lang w:eastAsia="zh-CN"/>
              </w:rPr>
              <w:t>P</w:t>
            </w:r>
            <w:r w:rsidRPr="00575437">
              <w:rPr>
                <w:lang w:eastAsia="zh-CN"/>
              </w:rPr>
              <w:noBreakHyphen/>
              <w:t>gp</w:t>
            </w:r>
          </w:p>
        </w:tc>
        <w:tc>
          <w:tcPr>
            <w:tcW w:w="4064" w:type="pct"/>
          </w:tcPr>
          <w:p w14:paraId="5942A902" w14:textId="7267B865" w:rsidR="00C06F1F" w:rsidRPr="00575437" w:rsidRDefault="00063F39" w:rsidP="00324B33">
            <w:pPr>
              <w:cnfStyle w:val="000000000000" w:firstRow="0" w:lastRow="0" w:firstColumn="0" w:lastColumn="0" w:oddVBand="0" w:evenVBand="0" w:oddHBand="0" w:evenHBand="0" w:firstRowFirstColumn="0" w:firstRowLastColumn="0" w:lastRowFirstColumn="0" w:lastRowLastColumn="0"/>
            </w:pPr>
            <w:r w:rsidRPr="00575437">
              <w:rPr>
                <w:lang w:eastAsia="zh-CN"/>
              </w:rPr>
              <w:t>P</w:t>
            </w:r>
            <w:r w:rsidRPr="00575437">
              <w:rPr>
                <w:lang w:eastAsia="zh-CN"/>
              </w:rPr>
              <w:noBreakHyphen/>
              <w:t>glycoprotein</w:t>
            </w:r>
          </w:p>
        </w:tc>
      </w:tr>
      <w:tr w:rsidR="00345E6F" w14:paraId="2756B6F2"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12AA960E" w14:textId="72403C37" w:rsidR="00395140" w:rsidRPr="00575437" w:rsidRDefault="00063F39" w:rsidP="00324B33">
            <w:pPr>
              <w:rPr>
                <w:szCs w:val="22"/>
              </w:rPr>
            </w:pPr>
            <w:r w:rsidRPr="00575437">
              <w:rPr>
                <w:szCs w:val="22"/>
              </w:rPr>
              <w:t>PI</w:t>
            </w:r>
          </w:p>
        </w:tc>
        <w:tc>
          <w:tcPr>
            <w:tcW w:w="4064" w:type="pct"/>
          </w:tcPr>
          <w:p w14:paraId="354B5DB5" w14:textId="3DAE38C1" w:rsidR="00395140" w:rsidRPr="00575437"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sidRPr="00575437">
              <w:rPr>
                <w:szCs w:val="22"/>
              </w:rPr>
              <w:t>Product Information</w:t>
            </w:r>
          </w:p>
        </w:tc>
      </w:tr>
      <w:tr w:rsidR="00345E6F" w14:paraId="673D7DD8"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3EC20B7E" w14:textId="6D7F2AA8" w:rsidR="007112B7" w:rsidRPr="00575437" w:rsidRDefault="00063F39" w:rsidP="00324B33">
            <w:pPr>
              <w:rPr>
                <w:szCs w:val="22"/>
              </w:rPr>
            </w:pPr>
            <w:r w:rsidRPr="00575437">
              <w:rPr>
                <w:szCs w:val="22"/>
              </w:rPr>
              <w:t>PK</w:t>
            </w:r>
          </w:p>
        </w:tc>
        <w:tc>
          <w:tcPr>
            <w:tcW w:w="4064" w:type="pct"/>
          </w:tcPr>
          <w:p w14:paraId="353FAF86" w14:textId="70301DD2" w:rsidR="007112B7" w:rsidRPr="00575437" w:rsidRDefault="00063F39" w:rsidP="007112B7">
            <w:pPr>
              <w:cnfStyle w:val="000000000000" w:firstRow="0" w:lastRow="0" w:firstColumn="0" w:lastColumn="0" w:oddVBand="0" w:evenVBand="0" w:oddHBand="0" w:evenHBand="0" w:firstRowFirstColumn="0" w:firstRowLastColumn="0" w:lastRowFirstColumn="0" w:lastRowLastColumn="0"/>
            </w:pPr>
            <w:r w:rsidRPr="00575437">
              <w:t>Pharmacokinetic</w:t>
            </w:r>
          </w:p>
        </w:tc>
      </w:tr>
      <w:tr w:rsidR="00345E6F" w14:paraId="2CF5470C"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47737EDD" w14:textId="21F3E47F" w:rsidR="007112B7" w:rsidRPr="00575437" w:rsidRDefault="00063F39" w:rsidP="00324B33">
            <w:pPr>
              <w:rPr>
                <w:szCs w:val="22"/>
              </w:rPr>
            </w:pPr>
            <w:r w:rsidRPr="00575437">
              <w:t>popPK</w:t>
            </w:r>
          </w:p>
        </w:tc>
        <w:tc>
          <w:tcPr>
            <w:tcW w:w="4064" w:type="pct"/>
          </w:tcPr>
          <w:p w14:paraId="34D6BBF4" w14:textId="1484F027" w:rsidR="007112B7" w:rsidRPr="00575437"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sidRPr="00575437">
              <w:t>Population pharmacokinetic</w:t>
            </w:r>
          </w:p>
        </w:tc>
      </w:tr>
      <w:tr w:rsidR="00345E6F" w14:paraId="07F3695A"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49390BCA" w14:textId="201D691B" w:rsidR="00324B33" w:rsidRPr="00575437" w:rsidRDefault="00063F39" w:rsidP="00324B33">
            <w:pPr>
              <w:rPr>
                <w:szCs w:val="22"/>
              </w:rPr>
            </w:pPr>
            <w:r w:rsidRPr="00575437">
              <w:rPr>
                <w:szCs w:val="22"/>
              </w:rPr>
              <w:t>RMP</w:t>
            </w:r>
          </w:p>
        </w:tc>
        <w:tc>
          <w:tcPr>
            <w:tcW w:w="4064" w:type="pct"/>
          </w:tcPr>
          <w:p w14:paraId="2C862F75" w14:textId="2355E842" w:rsidR="00324B33" w:rsidRPr="00575437"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sidRPr="00575437">
              <w:rPr>
                <w:szCs w:val="22"/>
              </w:rPr>
              <w:t>Risk management plan</w:t>
            </w:r>
          </w:p>
        </w:tc>
      </w:tr>
      <w:tr w:rsidR="00345E6F" w14:paraId="71F8AAF1"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111F42D8" w14:textId="2A9968B2" w:rsidR="0030545F" w:rsidRPr="00575437" w:rsidRDefault="00063F39" w:rsidP="00324B33">
            <w:pPr>
              <w:rPr>
                <w:szCs w:val="22"/>
              </w:rPr>
            </w:pPr>
            <w:r w:rsidRPr="00575437">
              <w:rPr>
                <w:szCs w:val="22"/>
              </w:rPr>
              <w:t>SC</w:t>
            </w:r>
          </w:p>
        </w:tc>
        <w:tc>
          <w:tcPr>
            <w:tcW w:w="4064" w:type="pct"/>
          </w:tcPr>
          <w:p w14:paraId="77542411" w14:textId="271FBA2D" w:rsidR="0030545F" w:rsidRPr="00575437"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sidRPr="00575437">
              <w:rPr>
                <w:szCs w:val="22"/>
              </w:rPr>
              <w:t>Subcutaneous</w:t>
            </w:r>
          </w:p>
        </w:tc>
      </w:tr>
      <w:tr w:rsidR="00345E6F" w14:paraId="103E74BB"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48D2109D" w14:textId="417B7655" w:rsidR="00575437" w:rsidRPr="00575437" w:rsidRDefault="00063F39" w:rsidP="00324B33">
            <w:pPr>
              <w:rPr>
                <w:szCs w:val="22"/>
              </w:rPr>
            </w:pPr>
            <w:r w:rsidRPr="00575437">
              <w:rPr>
                <w:szCs w:val="22"/>
              </w:rPr>
              <w:t>TEAE</w:t>
            </w:r>
          </w:p>
        </w:tc>
        <w:tc>
          <w:tcPr>
            <w:tcW w:w="4064" w:type="pct"/>
          </w:tcPr>
          <w:p w14:paraId="3DD42FE7" w14:textId="48CEEFC9" w:rsidR="00575437"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sidRPr="00575437">
              <w:t>Treatment</w:t>
            </w:r>
            <w:r w:rsidRPr="00575437">
              <w:noBreakHyphen/>
              <w:t>emergent adverse event</w:t>
            </w:r>
          </w:p>
        </w:tc>
      </w:tr>
      <w:tr w:rsidR="00345E6F" w14:paraId="254AC9B9"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574FC2A0" w14:textId="41297C79" w:rsidR="00324B33" w:rsidRPr="00D01DDB" w:rsidRDefault="00063F39" w:rsidP="00324B33">
            <w:pPr>
              <w:rPr>
                <w:szCs w:val="22"/>
              </w:rPr>
            </w:pPr>
            <w:r w:rsidRPr="00D01DDB">
              <w:rPr>
                <w:szCs w:val="22"/>
              </w:rPr>
              <w:lastRenderedPageBreak/>
              <w:t>TGA</w:t>
            </w:r>
          </w:p>
        </w:tc>
        <w:tc>
          <w:tcPr>
            <w:tcW w:w="4064" w:type="pct"/>
          </w:tcPr>
          <w:p w14:paraId="29EA6BA3" w14:textId="6F99059F"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345E6F" w14:paraId="44A459E5"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6A0189C1" w14:textId="39BB8235" w:rsidR="0030545F" w:rsidRPr="00D01DDB" w:rsidRDefault="00063F39" w:rsidP="00324B33">
            <w:pPr>
              <w:rPr>
                <w:szCs w:val="22"/>
              </w:rPr>
            </w:pPr>
            <w:r>
              <w:rPr>
                <w:szCs w:val="22"/>
              </w:rPr>
              <w:t>T</w:t>
            </w:r>
            <w:r w:rsidRPr="0030545F">
              <w:rPr>
                <w:szCs w:val="22"/>
                <w:vertAlign w:val="subscript"/>
              </w:rPr>
              <w:t>max</w:t>
            </w:r>
          </w:p>
        </w:tc>
        <w:tc>
          <w:tcPr>
            <w:tcW w:w="4064" w:type="pct"/>
          </w:tcPr>
          <w:p w14:paraId="580EA387" w14:textId="64714C24" w:rsidR="0030545F"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Time to maximum plasma concentration</w:t>
            </w:r>
          </w:p>
        </w:tc>
      </w:tr>
      <w:tr w:rsidR="00345E6F" w14:paraId="5344D0B7"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936" w:type="pct"/>
          </w:tcPr>
          <w:p w14:paraId="7820B8C7" w14:textId="683250AE" w:rsidR="00324B33" w:rsidRPr="00D01DDB" w:rsidRDefault="00063F39" w:rsidP="00324B33">
            <w:pPr>
              <w:rPr>
                <w:szCs w:val="22"/>
              </w:rPr>
            </w:pPr>
            <w:r>
              <w:rPr>
                <w:szCs w:val="22"/>
              </w:rPr>
              <w:t>US(A)</w:t>
            </w:r>
          </w:p>
        </w:tc>
        <w:tc>
          <w:tcPr>
            <w:tcW w:w="4064" w:type="pct"/>
          </w:tcPr>
          <w:p w14:paraId="1A5D9E36" w14:textId="602394BF"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United States (of America)</w:t>
            </w:r>
          </w:p>
        </w:tc>
      </w:tr>
    </w:tbl>
    <w:p w14:paraId="7378F926" w14:textId="77777777" w:rsidR="00324B33" w:rsidRDefault="00324B33" w:rsidP="00324B33"/>
    <w:p w14:paraId="02FB1F38" w14:textId="77777777" w:rsidR="00324B33" w:rsidRPr="00FD119B" w:rsidRDefault="00063F39" w:rsidP="00324B33">
      <w:pPr>
        <w:spacing w:after="200" w:line="0" w:lineRule="auto"/>
        <w:rPr>
          <w:b/>
          <w:i/>
          <w:sz w:val="24"/>
          <w:szCs w:val="24"/>
        </w:rPr>
      </w:pPr>
      <w:r w:rsidRPr="00FD119B">
        <w:rPr>
          <w:b/>
          <w:i/>
          <w:sz w:val="24"/>
          <w:szCs w:val="24"/>
        </w:rPr>
        <w:br w:type="page"/>
      </w:r>
    </w:p>
    <w:p w14:paraId="44C2A39C" w14:textId="77777777" w:rsidR="00324B33" w:rsidRDefault="00063F39" w:rsidP="00324B33">
      <w:pPr>
        <w:pStyle w:val="Heading2"/>
      </w:pPr>
      <w:bookmarkStart w:id="5" w:name="_Toc103679288"/>
      <w:bookmarkStart w:id="6" w:name="_Toc157422714"/>
      <w:r>
        <w:lastRenderedPageBreak/>
        <w:t>Product submission</w:t>
      </w:r>
      <w:bookmarkEnd w:id="5"/>
      <w:bookmarkEnd w:id="6"/>
    </w:p>
    <w:p w14:paraId="21D559DF" w14:textId="77777777" w:rsidR="00324B33" w:rsidRDefault="00063F39" w:rsidP="00324B33">
      <w:pPr>
        <w:pStyle w:val="Heading3"/>
        <w:rPr>
          <w:lang w:eastAsia="en-AU"/>
        </w:rPr>
      </w:pPr>
      <w:bookmarkStart w:id="7" w:name="_Toc247691502"/>
      <w:bookmarkStart w:id="8" w:name="_Toc314842483"/>
      <w:bookmarkStart w:id="9" w:name="_Toc103679289"/>
      <w:bookmarkStart w:id="10" w:name="_Toc157422715"/>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45E6F" w14:paraId="77D11C95" w14:textId="77777777" w:rsidTr="00F865A7">
        <w:tc>
          <w:tcPr>
            <w:tcW w:w="1577" w:type="pct"/>
          </w:tcPr>
          <w:p w14:paraId="10E57D62" w14:textId="77777777" w:rsidR="00324B33" w:rsidRPr="00BD5DBD" w:rsidRDefault="00063F39" w:rsidP="007452E8">
            <w:pPr>
              <w:rPr>
                <w:i/>
                <w:szCs w:val="22"/>
              </w:rPr>
            </w:pPr>
            <w:r w:rsidRPr="00BD5DBD">
              <w:rPr>
                <w:i/>
                <w:szCs w:val="22"/>
              </w:rPr>
              <w:t>Type of submission:</w:t>
            </w:r>
          </w:p>
        </w:tc>
        <w:tc>
          <w:tcPr>
            <w:tcW w:w="3423" w:type="pct"/>
          </w:tcPr>
          <w:p w14:paraId="4F07C303" w14:textId="146E3D52" w:rsidR="00324B33" w:rsidRPr="00BD5DBD" w:rsidRDefault="00063F39" w:rsidP="007452E8">
            <w:pPr>
              <w:rPr>
                <w:szCs w:val="22"/>
              </w:rPr>
            </w:pPr>
            <w:bookmarkStart w:id="11" w:name="_Hlk157421731"/>
            <w:r w:rsidRPr="00BD5DBD">
              <w:rPr>
                <w:szCs w:val="22"/>
              </w:rPr>
              <w:t>New chemical entity</w:t>
            </w:r>
            <w:bookmarkEnd w:id="11"/>
          </w:p>
        </w:tc>
      </w:tr>
      <w:tr w:rsidR="00345E6F" w14:paraId="13482B61" w14:textId="77777777" w:rsidTr="00F865A7">
        <w:tc>
          <w:tcPr>
            <w:tcW w:w="1577" w:type="pct"/>
          </w:tcPr>
          <w:p w14:paraId="2C427FCF" w14:textId="1132C4DD" w:rsidR="00324B33" w:rsidRPr="00BD5DBD" w:rsidRDefault="00063F39" w:rsidP="007452E8">
            <w:pPr>
              <w:rPr>
                <w:i/>
                <w:szCs w:val="22"/>
              </w:rPr>
            </w:pPr>
            <w:r w:rsidRPr="00BD5DBD">
              <w:rPr>
                <w:i/>
                <w:szCs w:val="22"/>
              </w:rPr>
              <w:t>Product name:</w:t>
            </w:r>
          </w:p>
        </w:tc>
        <w:tc>
          <w:tcPr>
            <w:tcW w:w="3423" w:type="pct"/>
          </w:tcPr>
          <w:p w14:paraId="0E2DEF76" w14:textId="5EDC58BB" w:rsidR="00324B33" w:rsidRPr="00BD5DBD" w:rsidRDefault="00063F39" w:rsidP="007452E8">
            <w:pPr>
              <w:rPr>
                <w:szCs w:val="22"/>
              </w:rPr>
            </w:pPr>
            <w:r>
              <w:rPr>
                <w:szCs w:val="22"/>
              </w:rPr>
              <w:t>Sunlenca</w:t>
            </w:r>
          </w:p>
        </w:tc>
      </w:tr>
      <w:tr w:rsidR="00345E6F" w14:paraId="01255B5B" w14:textId="77777777" w:rsidTr="00F865A7">
        <w:tc>
          <w:tcPr>
            <w:tcW w:w="1577" w:type="pct"/>
          </w:tcPr>
          <w:p w14:paraId="52B4F3D7" w14:textId="625537D9" w:rsidR="00324B33" w:rsidRPr="00BD5DBD" w:rsidRDefault="00063F39" w:rsidP="007452E8">
            <w:pPr>
              <w:rPr>
                <w:i/>
                <w:szCs w:val="22"/>
              </w:rPr>
            </w:pPr>
            <w:r w:rsidRPr="00BD5DBD">
              <w:rPr>
                <w:i/>
                <w:szCs w:val="22"/>
              </w:rPr>
              <w:t>Active ingredient:</w:t>
            </w:r>
          </w:p>
        </w:tc>
        <w:tc>
          <w:tcPr>
            <w:tcW w:w="3423" w:type="pct"/>
          </w:tcPr>
          <w:p w14:paraId="02FB6383" w14:textId="13197276" w:rsidR="00324B33" w:rsidRPr="00BD5DBD" w:rsidRDefault="00063F39" w:rsidP="007452E8">
            <w:pPr>
              <w:rPr>
                <w:szCs w:val="22"/>
              </w:rPr>
            </w:pPr>
            <w:r>
              <w:rPr>
                <w:szCs w:val="22"/>
              </w:rPr>
              <w:t>Len</w:t>
            </w:r>
            <w:r w:rsidR="00041EC8">
              <w:rPr>
                <w:szCs w:val="22"/>
              </w:rPr>
              <w:t>acapavir sodium</w:t>
            </w:r>
          </w:p>
        </w:tc>
      </w:tr>
      <w:tr w:rsidR="00345E6F" w14:paraId="219A281B" w14:textId="77777777" w:rsidTr="00F865A7">
        <w:tc>
          <w:tcPr>
            <w:tcW w:w="1577" w:type="pct"/>
          </w:tcPr>
          <w:p w14:paraId="112E5F78" w14:textId="77777777" w:rsidR="00324B33" w:rsidRPr="00BD5DBD" w:rsidRDefault="00063F39" w:rsidP="007452E8">
            <w:pPr>
              <w:rPr>
                <w:i/>
                <w:szCs w:val="22"/>
              </w:rPr>
            </w:pPr>
            <w:r w:rsidRPr="00BD5DBD">
              <w:rPr>
                <w:i/>
                <w:szCs w:val="22"/>
              </w:rPr>
              <w:t>Decision:</w:t>
            </w:r>
          </w:p>
        </w:tc>
        <w:tc>
          <w:tcPr>
            <w:tcW w:w="3423" w:type="pct"/>
          </w:tcPr>
          <w:p w14:paraId="3B114BEA" w14:textId="4A9C8084" w:rsidR="00324B33" w:rsidRPr="00BD5DBD" w:rsidRDefault="00063F39" w:rsidP="007452E8">
            <w:pPr>
              <w:rPr>
                <w:szCs w:val="22"/>
              </w:rPr>
            </w:pPr>
            <w:r w:rsidRPr="00BD5DBD">
              <w:rPr>
                <w:szCs w:val="22"/>
              </w:rPr>
              <w:t>Approved</w:t>
            </w:r>
          </w:p>
        </w:tc>
      </w:tr>
      <w:tr w:rsidR="00345E6F" w14:paraId="32B72632" w14:textId="77777777" w:rsidTr="00F865A7">
        <w:tc>
          <w:tcPr>
            <w:tcW w:w="1577" w:type="pct"/>
          </w:tcPr>
          <w:p w14:paraId="332A5CD5" w14:textId="5A357E27" w:rsidR="00AE1947" w:rsidRPr="00BD5DBD" w:rsidRDefault="00063F39" w:rsidP="00C605B9">
            <w:r w:rsidRPr="00BD5DBD">
              <w:rPr>
                <w:i/>
                <w:szCs w:val="22"/>
              </w:rPr>
              <w:t>Date of decision:</w:t>
            </w:r>
          </w:p>
        </w:tc>
        <w:tc>
          <w:tcPr>
            <w:tcW w:w="3423" w:type="pct"/>
          </w:tcPr>
          <w:p w14:paraId="7B381CD6" w14:textId="59819AF0" w:rsidR="00AE1947" w:rsidRPr="00BD5DBD" w:rsidRDefault="00063F39" w:rsidP="00602658">
            <w:pPr>
              <w:rPr>
                <w:szCs w:val="22"/>
              </w:rPr>
            </w:pPr>
            <w:r>
              <w:rPr>
                <w:szCs w:val="22"/>
              </w:rPr>
              <w:t>23 March 2023</w:t>
            </w:r>
          </w:p>
        </w:tc>
      </w:tr>
      <w:tr w:rsidR="00345E6F" w14:paraId="60A25F5A" w14:textId="77777777" w:rsidTr="00F865A7">
        <w:tc>
          <w:tcPr>
            <w:tcW w:w="1577" w:type="pct"/>
          </w:tcPr>
          <w:p w14:paraId="5C5E4CBA" w14:textId="2BFC2388" w:rsidR="00324B33" w:rsidRPr="00BD5DBD" w:rsidRDefault="00063F39" w:rsidP="007452E8">
            <w:pPr>
              <w:rPr>
                <w:i/>
                <w:szCs w:val="22"/>
              </w:rPr>
            </w:pPr>
            <w:r w:rsidRPr="00BD5DBD">
              <w:rPr>
                <w:i/>
                <w:szCs w:val="22"/>
              </w:rPr>
              <w:t xml:space="preserve">Date of entry </w:t>
            </w:r>
            <w:r w:rsidR="004C38D2">
              <w:rPr>
                <w:i/>
                <w:szCs w:val="22"/>
              </w:rPr>
              <w:t>i</w:t>
            </w:r>
            <w:r w:rsidRPr="00BD5DBD">
              <w:rPr>
                <w:i/>
                <w:szCs w:val="22"/>
              </w:rPr>
              <w:t>nto ARTG:</w:t>
            </w:r>
          </w:p>
        </w:tc>
        <w:tc>
          <w:tcPr>
            <w:tcW w:w="3423" w:type="pct"/>
          </w:tcPr>
          <w:p w14:paraId="28B270E9" w14:textId="45A0F019" w:rsidR="00324B33" w:rsidRPr="00BD5DBD" w:rsidRDefault="00063F39" w:rsidP="007452E8">
            <w:pPr>
              <w:rPr>
                <w:szCs w:val="22"/>
              </w:rPr>
            </w:pPr>
            <w:r>
              <w:rPr>
                <w:szCs w:val="22"/>
              </w:rPr>
              <w:t>27 March 2023</w:t>
            </w:r>
          </w:p>
        </w:tc>
      </w:tr>
      <w:tr w:rsidR="00345E6F" w14:paraId="547E08D7" w14:textId="77777777" w:rsidTr="00F865A7">
        <w:tc>
          <w:tcPr>
            <w:tcW w:w="1577" w:type="pct"/>
          </w:tcPr>
          <w:p w14:paraId="5030EF30" w14:textId="59E03C7A" w:rsidR="00324B33" w:rsidRPr="00BD5DBD" w:rsidRDefault="00063F39" w:rsidP="007452E8">
            <w:pPr>
              <w:rPr>
                <w:i/>
                <w:szCs w:val="22"/>
              </w:rPr>
            </w:pPr>
            <w:r w:rsidRPr="00BD5DBD">
              <w:rPr>
                <w:i/>
                <w:szCs w:val="22"/>
              </w:rPr>
              <w:t>ARTG numbers:</w:t>
            </w:r>
          </w:p>
        </w:tc>
        <w:tc>
          <w:tcPr>
            <w:tcW w:w="3423" w:type="pct"/>
          </w:tcPr>
          <w:p w14:paraId="6BB7187D" w14:textId="77777777" w:rsidR="00FD601C" w:rsidRDefault="00063F39" w:rsidP="007452E8">
            <w:pPr>
              <w:rPr>
                <w:szCs w:val="22"/>
              </w:rPr>
            </w:pPr>
            <w:r>
              <w:rPr>
                <w:szCs w:val="22"/>
              </w:rPr>
              <w:t>386895</w:t>
            </w:r>
          </w:p>
          <w:p w14:paraId="0054E912" w14:textId="4F100C03" w:rsidR="00324B33" w:rsidRPr="00BD5DBD" w:rsidRDefault="00063F39" w:rsidP="007452E8">
            <w:pPr>
              <w:rPr>
                <w:szCs w:val="22"/>
              </w:rPr>
            </w:pPr>
            <w:r>
              <w:rPr>
                <w:szCs w:val="22"/>
              </w:rPr>
              <w:t>392350</w:t>
            </w:r>
          </w:p>
        </w:tc>
      </w:tr>
      <w:tr w:rsidR="00345E6F" w14:paraId="7618393F" w14:textId="77777777" w:rsidTr="00F865A7">
        <w:tc>
          <w:tcPr>
            <w:tcW w:w="1577" w:type="pct"/>
          </w:tcPr>
          <w:p w14:paraId="6C24CEB6" w14:textId="0C8C01F4" w:rsidR="00E47E0C" w:rsidRPr="00BD5DBD" w:rsidRDefault="00063F39" w:rsidP="007452E8">
            <w:pPr>
              <w:rPr>
                <w:rStyle w:val="Hyperlink"/>
                <w:i/>
                <w:szCs w:val="22"/>
              </w:rPr>
            </w:pPr>
            <w:r w:rsidRPr="00BD5DBD">
              <w:rPr>
                <w:rFonts w:ascii="Wingdings 3" w:eastAsia="Wingdings 3" w:hAnsi="Wingdings 3" w:cs="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063F39"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p>
        </w:tc>
        <w:tc>
          <w:tcPr>
            <w:tcW w:w="3423" w:type="pct"/>
          </w:tcPr>
          <w:p w14:paraId="39F8554C" w14:textId="21D1505E" w:rsidR="008E6FA3" w:rsidRDefault="00063F39" w:rsidP="007452E8">
            <w:pPr>
              <w:rPr>
                <w:szCs w:val="22"/>
              </w:rPr>
            </w:pPr>
            <w:r w:rsidRPr="00BD5DBD">
              <w:rPr>
                <w:szCs w:val="22"/>
              </w:rPr>
              <w:t>Yes</w:t>
            </w:r>
          </w:p>
          <w:p w14:paraId="6FF3C6A2" w14:textId="34EB2AA0" w:rsidR="00324B33" w:rsidRPr="00BD5DBD" w:rsidRDefault="00063F39" w:rsidP="002D015B">
            <w:pPr>
              <w:rPr>
                <w:szCs w:val="22"/>
              </w:rPr>
            </w:pPr>
            <w:r w:rsidRPr="00BD5DBD">
              <w:rPr>
                <w:szCs w:val="22"/>
              </w:rPr>
              <w:t>This product will remain in the scheme for 5</w:t>
            </w:r>
            <w:r w:rsidR="002D015B">
              <w:rPr>
                <w:szCs w:val="22"/>
              </w:rPr>
              <w:t> </w:t>
            </w:r>
            <w:r w:rsidRPr="00BD5DBD">
              <w:rPr>
                <w:szCs w:val="22"/>
              </w:rPr>
              <w:t>years, starting on the date the product is first supplied in Australia</w:t>
            </w:r>
            <w:r w:rsidR="002D015B">
              <w:rPr>
                <w:szCs w:val="22"/>
              </w:rPr>
              <w:t>.</w:t>
            </w:r>
          </w:p>
        </w:tc>
      </w:tr>
      <w:tr w:rsidR="00345E6F" w14:paraId="179E09FE" w14:textId="77777777" w:rsidTr="00F865A7">
        <w:tc>
          <w:tcPr>
            <w:tcW w:w="1577" w:type="pct"/>
          </w:tcPr>
          <w:p w14:paraId="1A592498" w14:textId="77777777" w:rsidR="00324B33" w:rsidRPr="00BD5DBD" w:rsidRDefault="00063F39" w:rsidP="007452E8">
            <w:pPr>
              <w:rPr>
                <w:i/>
                <w:szCs w:val="22"/>
              </w:rPr>
            </w:pPr>
            <w:r w:rsidRPr="00BD5DBD">
              <w:rPr>
                <w:i/>
                <w:szCs w:val="22"/>
              </w:rPr>
              <w:t>Sponsor’s name and address:</w:t>
            </w:r>
          </w:p>
        </w:tc>
        <w:tc>
          <w:tcPr>
            <w:tcW w:w="3423" w:type="pct"/>
          </w:tcPr>
          <w:p w14:paraId="43A92502" w14:textId="77777777" w:rsidR="007A0AA6" w:rsidRPr="007A0AA6" w:rsidRDefault="00063F39" w:rsidP="007A0AA6">
            <w:pPr>
              <w:rPr>
                <w:szCs w:val="22"/>
              </w:rPr>
            </w:pPr>
            <w:r w:rsidRPr="007A0AA6">
              <w:rPr>
                <w:szCs w:val="22"/>
              </w:rPr>
              <w:t>Gilead Sciences Pty Ltd</w:t>
            </w:r>
          </w:p>
          <w:p w14:paraId="4AFD93AB" w14:textId="77777777" w:rsidR="007A0AA6" w:rsidRPr="007A0AA6" w:rsidRDefault="00063F39" w:rsidP="007A0AA6">
            <w:pPr>
              <w:rPr>
                <w:szCs w:val="22"/>
              </w:rPr>
            </w:pPr>
            <w:r w:rsidRPr="007A0AA6">
              <w:rPr>
                <w:szCs w:val="22"/>
              </w:rPr>
              <w:t>Level 6, 417 St Kilda Road</w:t>
            </w:r>
          </w:p>
          <w:p w14:paraId="68DD94B0" w14:textId="1BDB9A90" w:rsidR="00324B33" w:rsidRPr="00BD5DBD" w:rsidRDefault="00063F39" w:rsidP="007A0AA6">
            <w:pPr>
              <w:rPr>
                <w:szCs w:val="22"/>
              </w:rPr>
            </w:pPr>
            <w:r w:rsidRPr="007A0AA6">
              <w:rPr>
                <w:szCs w:val="22"/>
              </w:rPr>
              <w:t xml:space="preserve">Melbourne </w:t>
            </w:r>
            <w:r w:rsidR="00FE0D3B">
              <w:rPr>
                <w:szCs w:val="22"/>
              </w:rPr>
              <w:t xml:space="preserve">  </w:t>
            </w:r>
            <w:r w:rsidRPr="007A0AA6">
              <w:rPr>
                <w:szCs w:val="22"/>
              </w:rPr>
              <w:t>V</w:t>
            </w:r>
            <w:r w:rsidR="00FE0D3B">
              <w:rPr>
                <w:szCs w:val="22"/>
              </w:rPr>
              <w:t xml:space="preserve">IC  </w:t>
            </w:r>
            <w:r w:rsidRPr="007A0AA6">
              <w:rPr>
                <w:szCs w:val="22"/>
              </w:rPr>
              <w:t xml:space="preserve"> 3004</w:t>
            </w:r>
          </w:p>
        </w:tc>
      </w:tr>
      <w:tr w:rsidR="00345E6F" w14:paraId="5322B989" w14:textId="77777777" w:rsidTr="00F865A7">
        <w:tc>
          <w:tcPr>
            <w:tcW w:w="1577" w:type="pct"/>
          </w:tcPr>
          <w:p w14:paraId="24F217E3" w14:textId="4E8EF53C" w:rsidR="00324B33" w:rsidRPr="00BD5DBD" w:rsidRDefault="00063F39" w:rsidP="007452E8">
            <w:pPr>
              <w:rPr>
                <w:i/>
                <w:szCs w:val="22"/>
              </w:rPr>
            </w:pPr>
            <w:r w:rsidRPr="00BD5DBD">
              <w:rPr>
                <w:i/>
                <w:szCs w:val="22"/>
              </w:rPr>
              <w:t>Dose forms:</w:t>
            </w:r>
          </w:p>
        </w:tc>
        <w:tc>
          <w:tcPr>
            <w:tcW w:w="3423" w:type="pct"/>
          </w:tcPr>
          <w:p w14:paraId="2CF81D32" w14:textId="77777777" w:rsidR="00894AF5" w:rsidRDefault="00063F39" w:rsidP="007452E8">
            <w:pPr>
              <w:rPr>
                <w:szCs w:val="22"/>
              </w:rPr>
            </w:pPr>
            <w:r>
              <w:rPr>
                <w:szCs w:val="22"/>
              </w:rPr>
              <w:t>Solution for injection</w:t>
            </w:r>
          </w:p>
          <w:p w14:paraId="768B254C" w14:textId="58F2C775" w:rsidR="00324B33" w:rsidRPr="00BD5DBD" w:rsidRDefault="00063F39" w:rsidP="007452E8">
            <w:pPr>
              <w:rPr>
                <w:szCs w:val="22"/>
              </w:rPr>
            </w:pPr>
            <w:r>
              <w:rPr>
                <w:szCs w:val="22"/>
              </w:rPr>
              <w:t>F</w:t>
            </w:r>
            <w:r w:rsidR="00F01D57">
              <w:rPr>
                <w:szCs w:val="22"/>
              </w:rPr>
              <w:t>ilm coated tablets</w:t>
            </w:r>
          </w:p>
        </w:tc>
      </w:tr>
      <w:tr w:rsidR="00345E6F" w14:paraId="115243E6" w14:textId="77777777" w:rsidTr="00F865A7">
        <w:tc>
          <w:tcPr>
            <w:tcW w:w="1577" w:type="pct"/>
          </w:tcPr>
          <w:p w14:paraId="7634B062" w14:textId="34265680" w:rsidR="00324B33" w:rsidRPr="00BD5DBD" w:rsidRDefault="00063F39" w:rsidP="007452E8">
            <w:pPr>
              <w:rPr>
                <w:i/>
                <w:szCs w:val="22"/>
              </w:rPr>
            </w:pPr>
            <w:r w:rsidRPr="00BD5DBD">
              <w:rPr>
                <w:i/>
                <w:szCs w:val="22"/>
              </w:rPr>
              <w:t>Strengths:</w:t>
            </w:r>
          </w:p>
        </w:tc>
        <w:tc>
          <w:tcPr>
            <w:tcW w:w="3423" w:type="pct"/>
          </w:tcPr>
          <w:p w14:paraId="116026D0" w14:textId="55702932" w:rsidR="00324B33" w:rsidRDefault="00063F39" w:rsidP="007452E8">
            <w:pPr>
              <w:rPr>
                <w:szCs w:val="22"/>
              </w:rPr>
            </w:pPr>
            <w:r>
              <w:rPr>
                <w:szCs w:val="22"/>
              </w:rPr>
              <w:t>463.5 mg</w:t>
            </w:r>
            <w:r w:rsidR="00894AF5">
              <w:rPr>
                <w:szCs w:val="22"/>
              </w:rPr>
              <w:t>/1.5 mL</w:t>
            </w:r>
            <w:r w:rsidR="00EE4C26">
              <w:rPr>
                <w:szCs w:val="22"/>
              </w:rPr>
              <w:t xml:space="preserve"> solution</w:t>
            </w:r>
          </w:p>
          <w:p w14:paraId="5E5F83DB" w14:textId="69E4DA74" w:rsidR="00894AF5" w:rsidRPr="00BD5DBD" w:rsidRDefault="00063F39" w:rsidP="007452E8">
            <w:pPr>
              <w:rPr>
                <w:szCs w:val="22"/>
              </w:rPr>
            </w:pPr>
            <w:r>
              <w:rPr>
                <w:szCs w:val="22"/>
              </w:rPr>
              <w:t>300 mg</w:t>
            </w:r>
            <w:r w:rsidR="00EE4C26">
              <w:rPr>
                <w:szCs w:val="22"/>
              </w:rPr>
              <w:t xml:space="preserve"> tablets</w:t>
            </w:r>
          </w:p>
        </w:tc>
      </w:tr>
      <w:tr w:rsidR="00345E6F" w14:paraId="34B07BA6" w14:textId="77777777" w:rsidTr="00F865A7">
        <w:tc>
          <w:tcPr>
            <w:tcW w:w="1577" w:type="pct"/>
          </w:tcPr>
          <w:p w14:paraId="1C039224" w14:textId="0594AAFF" w:rsidR="00324B33" w:rsidRPr="00BD5DBD" w:rsidRDefault="00063F39" w:rsidP="007452E8">
            <w:pPr>
              <w:rPr>
                <w:i/>
                <w:szCs w:val="22"/>
              </w:rPr>
            </w:pPr>
            <w:r w:rsidRPr="00BD5DBD">
              <w:rPr>
                <w:i/>
                <w:szCs w:val="22"/>
              </w:rPr>
              <w:t>Containers:</w:t>
            </w:r>
          </w:p>
        </w:tc>
        <w:tc>
          <w:tcPr>
            <w:tcW w:w="3423" w:type="pct"/>
          </w:tcPr>
          <w:p w14:paraId="50C3C357" w14:textId="77777777" w:rsidR="00324B33" w:rsidRDefault="00063F39" w:rsidP="007452E8">
            <w:pPr>
              <w:rPr>
                <w:szCs w:val="22"/>
              </w:rPr>
            </w:pPr>
            <w:r>
              <w:rPr>
                <w:szCs w:val="22"/>
              </w:rPr>
              <w:t>Vial</w:t>
            </w:r>
          </w:p>
          <w:p w14:paraId="500A42C6" w14:textId="092CE5FE" w:rsidR="00894AF5" w:rsidRPr="00BD5DBD" w:rsidRDefault="00063F39" w:rsidP="007452E8">
            <w:pPr>
              <w:rPr>
                <w:szCs w:val="22"/>
              </w:rPr>
            </w:pPr>
            <w:r>
              <w:rPr>
                <w:szCs w:val="22"/>
              </w:rPr>
              <w:t>Blister pack</w:t>
            </w:r>
          </w:p>
        </w:tc>
      </w:tr>
      <w:tr w:rsidR="00345E6F" w14:paraId="176B6773" w14:textId="77777777" w:rsidTr="00F865A7">
        <w:tc>
          <w:tcPr>
            <w:tcW w:w="1577" w:type="pct"/>
          </w:tcPr>
          <w:p w14:paraId="71846159" w14:textId="3902C540" w:rsidR="00324B33" w:rsidRPr="00BD5DBD" w:rsidRDefault="00063F39" w:rsidP="007452E8">
            <w:pPr>
              <w:rPr>
                <w:i/>
                <w:szCs w:val="22"/>
              </w:rPr>
            </w:pPr>
            <w:r w:rsidRPr="00BD5DBD">
              <w:rPr>
                <w:i/>
                <w:szCs w:val="22"/>
              </w:rPr>
              <w:t>Pack sizes:</w:t>
            </w:r>
          </w:p>
        </w:tc>
        <w:tc>
          <w:tcPr>
            <w:tcW w:w="3423" w:type="pct"/>
          </w:tcPr>
          <w:p w14:paraId="3D486F8D" w14:textId="6F11FAEA" w:rsidR="00324B33" w:rsidRDefault="00063F39" w:rsidP="007452E8">
            <w:pPr>
              <w:rPr>
                <w:szCs w:val="22"/>
              </w:rPr>
            </w:pPr>
            <w:r>
              <w:rPr>
                <w:szCs w:val="22"/>
              </w:rPr>
              <w:t>2 vials</w:t>
            </w:r>
          </w:p>
          <w:p w14:paraId="7E978F8F" w14:textId="2A55F029" w:rsidR="00F634DA" w:rsidRPr="00BD5DBD" w:rsidRDefault="00063F39" w:rsidP="007452E8">
            <w:pPr>
              <w:rPr>
                <w:szCs w:val="22"/>
              </w:rPr>
            </w:pPr>
            <w:r>
              <w:rPr>
                <w:szCs w:val="22"/>
              </w:rPr>
              <w:t>5 tablets</w:t>
            </w:r>
          </w:p>
        </w:tc>
      </w:tr>
      <w:tr w:rsidR="00345E6F" w14:paraId="19A2544A" w14:textId="77777777" w:rsidTr="00F865A7">
        <w:tc>
          <w:tcPr>
            <w:tcW w:w="1577" w:type="pct"/>
          </w:tcPr>
          <w:p w14:paraId="0E6C5C0E" w14:textId="7DB3FC66" w:rsidR="00324B33" w:rsidRPr="00811C5A" w:rsidRDefault="00063F39" w:rsidP="007452E8">
            <w:pPr>
              <w:rPr>
                <w:i/>
                <w:szCs w:val="22"/>
              </w:rPr>
            </w:pPr>
            <w:r w:rsidRPr="00811C5A">
              <w:rPr>
                <w:i/>
                <w:szCs w:val="22"/>
              </w:rPr>
              <w:t>Approved therapeutic use</w:t>
            </w:r>
            <w:r w:rsidR="00E47E0C" w:rsidRPr="00811C5A">
              <w:rPr>
                <w:i/>
                <w:szCs w:val="22"/>
              </w:rPr>
              <w:t xml:space="preserve"> </w:t>
            </w:r>
            <w:r w:rsidR="007B04DE" w:rsidRPr="00811C5A">
              <w:rPr>
                <w:i/>
                <w:szCs w:val="22"/>
              </w:rPr>
              <w:t>for the current</w:t>
            </w:r>
            <w:r w:rsidR="00E47E0C" w:rsidRPr="00811C5A">
              <w:rPr>
                <w:i/>
                <w:szCs w:val="22"/>
              </w:rPr>
              <w:t xml:space="preserve"> submission</w:t>
            </w:r>
            <w:r w:rsidRPr="00811C5A">
              <w:rPr>
                <w:i/>
                <w:szCs w:val="22"/>
              </w:rPr>
              <w:t>:</w:t>
            </w:r>
          </w:p>
        </w:tc>
        <w:tc>
          <w:tcPr>
            <w:tcW w:w="3423" w:type="pct"/>
          </w:tcPr>
          <w:p w14:paraId="6E143E2E" w14:textId="31CFE31A" w:rsidR="00927E54" w:rsidRPr="00BD5DBD" w:rsidRDefault="00063F39" w:rsidP="00927E54">
            <w:pPr>
              <w:rPr>
                <w:szCs w:val="22"/>
              </w:rPr>
            </w:pPr>
            <w:r w:rsidRPr="00811C5A">
              <w:rPr>
                <w:i/>
                <w:iCs/>
                <w:sz w:val="23"/>
                <w:szCs w:val="23"/>
              </w:rPr>
              <w:t xml:space="preserve">Sunlenca, in combination with other antiretrovirals, </w:t>
            </w:r>
            <w:bookmarkStart w:id="12" w:name="_Hlk157421825"/>
            <w:r w:rsidRPr="00811C5A">
              <w:rPr>
                <w:i/>
                <w:iCs/>
                <w:sz w:val="23"/>
                <w:szCs w:val="23"/>
              </w:rPr>
              <w:t>is indicated for the treatment of adults with multidrug resistant HIV</w:t>
            </w:r>
            <w:r w:rsidR="006D7271">
              <w:rPr>
                <w:i/>
                <w:iCs/>
                <w:sz w:val="23"/>
                <w:szCs w:val="23"/>
              </w:rPr>
              <w:noBreakHyphen/>
            </w:r>
            <w:r w:rsidRPr="00811C5A">
              <w:rPr>
                <w:i/>
                <w:iCs/>
                <w:sz w:val="23"/>
                <w:szCs w:val="23"/>
              </w:rPr>
              <w:t>1 infection for whom it is otherwise not possible to construct a suppressive anti</w:t>
            </w:r>
            <w:r w:rsidR="006D7271">
              <w:rPr>
                <w:i/>
                <w:iCs/>
                <w:sz w:val="23"/>
                <w:szCs w:val="23"/>
              </w:rPr>
              <w:noBreakHyphen/>
            </w:r>
            <w:r w:rsidRPr="00811C5A">
              <w:rPr>
                <w:i/>
                <w:iCs/>
                <w:sz w:val="23"/>
                <w:szCs w:val="23"/>
              </w:rPr>
              <w:t>viral regimen.</w:t>
            </w:r>
            <w:bookmarkEnd w:id="12"/>
          </w:p>
        </w:tc>
      </w:tr>
      <w:tr w:rsidR="00345E6F" w14:paraId="5AFDEED3" w14:textId="77777777" w:rsidTr="00F865A7">
        <w:tc>
          <w:tcPr>
            <w:tcW w:w="1577" w:type="pct"/>
          </w:tcPr>
          <w:p w14:paraId="03884BD1" w14:textId="471AC607" w:rsidR="00324B33" w:rsidRPr="00BD5DBD" w:rsidRDefault="00063F39" w:rsidP="007452E8">
            <w:pPr>
              <w:rPr>
                <w:i/>
                <w:szCs w:val="22"/>
              </w:rPr>
            </w:pPr>
            <w:r w:rsidRPr="00BD5DBD">
              <w:rPr>
                <w:i/>
                <w:szCs w:val="22"/>
              </w:rPr>
              <w:t>Routes of administration:</w:t>
            </w:r>
          </w:p>
        </w:tc>
        <w:tc>
          <w:tcPr>
            <w:tcW w:w="3423" w:type="pct"/>
          </w:tcPr>
          <w:p w14:paraId="16B68E8F" w14:textId="77777777" w:rsidR="00324B33" w:rsidRDefault="00063F39" w:rsidP="007452E8">
            <w:pPr>
              <w:rPr>
                <w:szCs w:val="22"/>
              </w:rPr>
            </w:pPr>
            <w:r>
              <w:rPr>
                <w:szCs w:val="22"/>
              </w:rPr>
              <w:t>Subcutaneous injection</w:t>
            </w:r>
          </w:p>
          <w:p w14:paraId="1ED1357E" w14:textId="5A3A4E26" w:rsidR="00F87EEE" w:rsidRPr="00BD5DBD" w:rsidRDefault="00063F39" w:rsidP="007452E8">
            <w:pPr>
              <w:rPr>
                <w:szCs w:val="22"/>
              </w:rPr>
            </w:pPr>
            <w:r>
              <w:rPr>
                <w:szCs w:val="22"/>
              </w:rPr>
              <w:t>Oral</w:t>
            </w:r>
          </w:p>
        </w:tc>
      </w:tr>
      <w:tr w:rsidR="00345E6F" w14:paraId="70D7E9FA" w14:textId="77777777" w:rsidTr="00F865A7">
        <w:tc>
          <w:tcPr>
            <w:tcW w:w="1577" w:type="pct"/>
          </w:tcPr>
          <w:p w14:paraId="5ABFFC80" w14:textId="77777777" w:rsidR="00324B33" w:rsidRPr="00BD5DBD" w:rsidRDefault="00063F39" w:rsidP="007452E8">
            <w:pPr>
              <w:rPr>
                <w:i/>
                <w:szCs w:val="22"/>
              </w:rPr>
            </w:pPr>
            <w:r w:rsidRPr="00BD5DBD">
              <w:rPr>
                <w:i/>
                <w:szCs w:val="22"/>
              </w:rPr>
              <w:t>Dosage:</w:t>
            </w:r>
          </w:p>
        </w:tc>
        <w:tc>
          <w:tcPr>
            <w:tcW w:w="3423" w:type="pct"/>
          </w:tcPr>
          <w:p w14:paraId="055512F2" w14:textId="32ECF39E" w:rsidR="00B00149" w:rsidRPr="00B00149" w:rsidRDefault="00063F39" w:rsidP="00B00149">
            <w:pPr>
              <w:rPr>
                <w:szCs w:val="22"/>
              </w:rPr>
            </w:pPr>
            <w:r w:rsidRPr="00B00149">
              <w:rPr>
                <w:szCs w:val="22"/>
              </w:rPr>
              <w:t>S</w:t>
            </w:r>
            <w:r>
              <w:rPr>
                <w:szCs w:val="22"/>
              </w:rPr>
              <w:t>unlenca</w:t>
            </w:r>
            <w:r w:rsidRPr="00B00149">
              <w:rPr>
                <w:szCs w:val="22"/>
              </w:rPr>
              <w:t xml:space="preserve"> should be prescribed by physicians experienced in the treatment of HIV. Prior to starting S</w:t>
            </w:r>
            <w:r>
              <w:rPr>
                <w:szCs w:val="22"/>
              </w:rPr>
              <w:t>unlenca</w:t>
            </w:r>
            <w:r w:rsidRPr="00B00149">
              <w:rPr>
                <w:szCs w:val="22"/>
              </w:rPr>
              <w:t>, the healthcare professional should carefully select patients who agree to the required injection schedule.</w:t>
            </w:r>
          </w:p>
          <w:p w14:paraId="2BC484B0" w14:textId="77777777" w:rsidR="00B00149" w:rsidRPr="00B00149" w:rsidRDefault="00063F39" w:rsidP="00B00149">
            <w:pPr>
              <w:rPr>
                <w:szCs w:val="22"/>
              </w:rPr>
            </w:pPr>
            <w:r w:rsidRPr="00B00149">
              <w:rPr>
                <w:szCs w:val="22"/>
              </w:rPr>
              <w:t xml:space="preserve">To help maintain viral suppression and reduce the risk of viral rebound and potential development of resistance associated with missed doses, the healthcare professional should also </w:t>
            </w:r>
            <w:r w:rsidRPr="00B00149">
              <w:rPr>
                <w:szCs w:val="22"/>
              </w:rPr>
              <w:lastRenderedPageBreak/>
              <w:t>counsel patients about the importance of adherence to both the scheduled dosing visits and the optimised background regimen.</w:t>
            </w:r>
          </w:p>
          <w:p w14:paraId="55099F49" w14:textId="600F836C" w:rsidR="0040254D" w:rsidRPr="0040254D" w:rsidRDefault="00063F39" w:rsidP="0040254D">
            <w:pPr>
              <w:rPr>
                <w:szCs w:val="22"/>
              </w:rPr>
            </w:pPr>
            <w:r w:rsidRPr="00B00149">
              <w:rPr>
                <w:szCs w:val="22"/>
              </w:rPr>
              <w:t>The recommended S</w:t>
            </w:r>
            <w:r w:rsidR="007B377C">
              <w:rPr>
                <w:szCs w:val="22"/>
              </w:rPr>
              <w:t>unlenca</w:t>
            </w:r>
            <w:r w:rsidRPr="00B00149">
              <w:rPr>
                <w:szCs w:val="22"/>
              </w:rPr>
              <w:t xml:space="preserve"> treatment regimen in adults consists of an initiation dosing period (oral tablets and subcutaneous injections) and once every 6</w:t>
            </w:r>
            <w:r w:rsidR="006D7271">
              <w:rPr>
                <w:szCs w:val="22"/>
              </w:rPr>
              <w:noBreakHyphen/>
            </w:r>
            <w:r w:rsidRPr="00B00149">
              <w:rPr>
                <w:szCs w:val="22"/>
              </w:rPr>
              <w:t>months maintenance</w:t>
            </w:r>
            <w:r>
              <w:rPr>
                <w:szCs w:val="22"/>
              </w:rPr>
              <w:t xml:space="preserve"> </w:t>
            </w:r>
            <w:r w:rsidRPr="0040254D">
              <w:rPr>
                <w:szCs w:val="22"/>
              </w:rPr>
              <w:t>dosing (subcutaneous injections).</w:t>
            </w:r>
          </w:p>
          <w:p w14:paraId="6D308E8E" w14:textId="3C8DA9E3" w:rsidR="0040254D" w:rsidRPr="0040254D" w:rsidRDefault="00063F39" w:rsidP="0040254D">
            <w:pPr>
              <w:rPr>
                <w:szCs w:val="22"/>
              </w:rPr>
            </w:pPr>
            <w:r w:rsidRPr="0040254D">
              <w:rPr>
                <w:szCs w:val="22"/>
              </w:rPr>
              <w:t>If S</w:t>
            </w:r>
            <w:r>
              <w:rPr>
                <w:szCs w:val="22"/>
              </w:rPr>
              <w:t>unlenca</w:t>
            </w:r>
            <w:r w:rsidRPr="0040254D">
              <w:rPr>
                <w:szCs w:val="22"/>
              </w:rPr>
              <w:t xml:space="preserve"> is discontinued, it is essential to adopt an alternative, fully suppressive antiretroviral regimen where possible, no later than 28</w:t>
            </w:r>
            <w:r w:rsidR="00601CA4">
              <w:rPr>
                <w:szCs w:val="22"/>
              </w:rPr>
              <w:t> </w:t>
            </w:r>
            <w:r w:rsidRPr="0040254D">
              <w:rPr>
                <w:szCs w:val="22"/>
              </w:rPr>
              <w:t>weeks after the final injection of S</w:t>
            </w:r>
            <w:r w:rsidR="00601CA4">
              <w:rPr>
                <w:szCs w:val="22"/>
              </w:rPr>
              <w:t>unlenca</w:t>
            </w:r>
            <w:r w:rsidRPr="0040254D">
              <w:rPr>
                <w:szCs w:val="22"/>
              </w:rPr>
              <w:t>.</w:t>
            </w:r>
          </w:p>
          <w:p w14:paraId="7AD9D205" w14:textId="77777777" w:rsidR="0040254D" w:rsidRPr="0040254D" w:rsidRDefault="00063F39" w:rsidP="0040254D">
            <w:pPr>
              <w:rPr>
                <w:szCs w:val="22"/>
              </w:rPr>
            </w:pPr>
            <w:r w:rsidRPr="0040254D">
              <w:rPr>
                <w:szCs w:val="22"/>
              </w:rPr>
              <w:t>Initiation:</w:t>
            </w:r>
          </w:p>
          <w:p w14:paraId="115B1483" w14:textId="307919A3" w:rsidR="0040254D" w:rsidRPr="0040254D" w:rsidRDefault="00063F39" w:rsidP="0040254D">
            <w:pPr>
              <w:rPr>
                <w:szCs w:val="22"/>
              </w:rPr>
            </w:pPr>
            <w:r w:rsidRPr="0040254D">
              <w:rPr>
                <w:szCs w:val="22"/>
              </w:rPr>
              <w:t>On treatment Day 1 and Day 2, the recommended dose of S</w:t>
            </w:r>
            <w:r w:rsidR="00601CA4">
              <w:rPr>
                <w:szCs w:val="22"/>
              </w:rPr>
              <w:t>unlenca</w:t>
            </w:r>
            <w:r w:rsidRPr="0040254D">
              <w:rPr>
                <w:szCs w:val="22"/>
              </w:rPr>
              <w:t xml:space="preserve"> is 600</w:t>
            </w:r>
            <w:r w:rsidR="00601CA4">
              <w:rPr>
                <w:szCs w:val="22"/>
              </w:rPr>
              <w:t> </w:t>
            </w:r>
            <w:r w:rsidRPr="0040254D">
              <w:rPr>
                <w:szCs w:val="22"/>
              </w:rPr>
              <w:t>mg per day taken orally. On treatment Day 8, the recommended dose is 300</w:t>
            </w:r>
            <w:r w:rsidR="009B5EB8">
              <w:rPr>
                <w:szCs w:val="22"/>
              </w:rPr>
              <w:t> </w:t>
            </w:r>
            <w:r w:rsidRPr="0040254D">
              <w:rPr>
                <w:szCs w:val="22"/>
              </w:rPr>
              <w:t>mg taken orally. Then, on treatment Day 15, the recommended dose is 927</w:t>
            </w:r>
            <w:r w:rsidR="009B5EB8">
              <w:rPr>
                <w:szCs w:val="22"/>
              </w:rPr>
              <w:t> </w:t>
            </w:r>
            <w:r w:rsidRPr="0040254D">
              <w:rPr>
                <w:szCs w:val="22"/>
              </w:rPr>
              <w:t>mg administered by subcutaneous injection.</w:t>
            </w:r>
          </w:p>
          <w:p w14:paraId="6E2EA174" w14:textId="77777777" w:rsidR="0040254D" w:rsidRPr="0040254D" w:rsidRDefault="00063F39" w:rsidP="0040254D">
            <w:pPr>
              <w:rPr>
                <w:szCs w:val="22"/>
              </w:rPr>
            </w:pPr>
            <w:r w:rsidRPr="0040254D">
              <w:rPr>
                <w:szCs w:val="22"/>
              </w:rPr>
              <w:t>Oral tablets can be taken with or without food.</w:t>
            </w:r>
          </w:p>
          <w:p w14:paraId="5B6BBC5F" w14:textId="77777777" w:rsidR="00E035E9" w:rsidRDefault="00063F39" w:rsidP="0040254D">
            <w:pPr>
              <w:rPr>
                <w:szCs w:val="22"/>
              </w:rPr>
            </w:pPr>
            <w:r w:rsidRPr="0040254D">
              <w:rPr>
                <w:szCs w:val="22"/>
              </w:rPr>
              <w:t>Maintenance:</w:t>
            </w:r>
          </w:p>
          <w:p w14:paraId="1246B144" w14:textId="7FEDA8A5" w:rsidR="00324B33" w:rsidRPr="00BD5DBD" w:rsidRDefault="00063F39" w:rsidP="0040254D">
            <w:pPr>
              <w:rPr>
                <w:szCs w:val="22"/>
              </w:rPr>
            </w:pPr>
            <w:r w:rsidRPr="0040254D">
              <w:rPr>
                <w:szCs w:val="22"/>
              </w:rPr>
              <w:t>The recommended dose is 927</w:t>
            </w:r>
            <w:r w:rsidR="009B5EB8">
              <w:rPr>
                <w:szCs w:val="22"/>
              </w:rPr>
              <w:t> </w:t>
            </w:r>
            <w:r w:rsidRPr="0040254D">
              <w:rPr>
                <w:szCs w:val="22"/>
              </w:rPr>
              <w:t>mg of S</w:t>
            </w:r>
            <w:r w:rsidR="009B5EB8">
              <w:rPr>
                <w:szCs w:val="22"/>
              </w:rPr>
              <w:t>unlenca</w:t>
            </w:r>
            <w:r w:rsidRPr="0040254D">
              <w:rPr>
                <w:szCs w:val="22"/>
              </w:rPr>
              <w:t xml:space="preserve"> administered by subcutaneous injection once every 6</w:t>
            </w:r>
            <w:r w:rsidR="00F717EB">
              <w:rPr>
                <w:szCs w:val="22"/>
              </w:rPr>
              <w:t> </w:t>
            </w:r>
            <w:r w:rsidRPr="0040254D">
              <w:rPr>
                <w:szCs w:val="22"/>
              </w:rPr>
              <w:t>months (26 weeks) from the date of the last injection (</w:t>
            </w:r>
            <w:r w:rsidR="00F717EB">
              <w:rPr>
                <w:szCs w:val="22"/>
              </w:rPr>
              <w:t>±</w:t>
            </w:r>
            <w:r w:rsidR="003B2DA9">
              <w:rPr>
                <w:szCs w:val="22"/>
              </w:rPr>
              <w:t> </w:t>
            </w:r>
            <w:r w:rsidRPr="0040254D">
              <w:rPr>
                <w:szCs w:val="22"/>
              </w:rPr>
              <w:t>2 weeks)</w:t>
            </w:r>
            <w:r w:rsidR="003B2DA9">
              <w:rPr>
                <w:szCs w:val="22"/>
              </w:rPr>
              <w:t>.</w:t>
            </w:r>
          </w:p>
          <w:p w14:paraId="3D0B2D5C" w14:textId="77777777" w:rsidR="00324B33" w:rsidRPr="00BD5DBD" w:rsidRDefault="00063F39" w:rsidP="007452E8">
            <w:pPr>
              <w:rPr>
                <w:szCs w:val="22"/>
              </w:rPr>
            </w:pPr>
            <w:r w:rsidRPr="00BD5DBD">
              <w:rPr>
                <w:szCs w:val="22"/>
              </w:rPr>
              <w:t>For further information regarding dosage, refer to the Product Information.</w:t>
            </w:r>
          </w:p>
        </w:tc>
      </w:tr>
      <w:tr w:rsidR="00345E6F" w14:paraId="24DC408E" w14:textId="77777777" w:rsidTr="00F865A7">
        <w:tc>
          <w:tcPr>
            <w:tcW w:w="1577" w:type="pct"/>
          </w:tcPr>
          <w:p w14:paraId="26380792" w14:textId="77777777" w:rsidR="00324B33" w:rsidRPr="00BD5DBD" w:rsidRDefault="00063F39" w:rsidP="007452E8">
            <w:pPr>
              <w:rPr>
                <w:i/>
                <w:szCs w:val="22"/>
              </w:rPr>
            </w:pPr>
            <w:r w:rsidRPr="00BD5DBD">
              <w:rPr>
                <w:i/>
                <w:szCs w:val="22"/>
              </w:rPr>
              <w:lastRenderedPageBreak/>
              <w:t>Pregnancy category:</w:t>
            </w:r>
          </w:p>
        </w:tc>
        <w:tc>
          <w:tcPr>
            <w:tcW w:w="3423" w:type="pct"/>
          </w:tcPr>
          <w:p w14:paraId="1F55E0C8" w14:textId="548C383F" w:rsidR="00594743" w:rsidRDefault="00063F39" w:rsidP="007452E8">
            <w:pPr>
              <w:rPr>
                <w:szCs w:val="22"/>
              </w:rPr>
            </w:pPr>
            <w:r>
              <w:rPr>
                <w:szCs w:val="22"/>
              </w:rPr>
              <w:t>B1</w:t>
            </w:r>
          </w:p>
          <w:p w14:paraId="71AA91B7" w14:textId="011B4F6C" w:rsidR="00594743" w:rsidRDefault="00063F39" w:rsidP="00812482">
            <w:pPr>
              <w:rPr>
                <w:szCs w:val="22"/>
              </w:rPr>
            </w:pPr>
            <w:r w:rsidRPr="00812482">
              <w:rPr>
                <w:szCs w:val="22"/>
              </w:rPr>
              <w:t>Drugs which have been taken by only a limited number of pregnant women and women of childbearing age, without an increase in the frequency of malformation or other direct or indirect harmful effects on the human fetus having been observed.</w:t>
            </w:r>
            <w:r>
              <w:rPr>
                <w:szCs w:val="22"/>
              </w:rPr>
              <w:t xml:space="preserve"> </w:t>
            </w:r>
            <w:r w:rsidRPr="00812482">
              <w:rPr>
                <w:szCs w:val="22"/>
              </w:rPr>
              <w:t>Studies in animals have not shown evidence of an increased occurrence of fetal damage.</w:t>
            </w:r>
          </w:p>
          <w:p w14:paraId="5E2AA3D6" w14:textId="4262535C" w:rsidR="003950E1" w:rsidRPr="00BD5DBD" w:rsidRDefault="003950E1" w:rsidP="00594743">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9"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77777777" w:rsidR="00324B33" w:rsidRDefault="00063F39" w:rsidP="00324B33">
      <w:pPr>
        <w:pStyle w:val="Heading3"/>
      </w:pPr>
      <w:bookmarkStart w:id="13" w:name="_Toc247691503"/>
      <w:bookmarkStart w:id="14" w:name="_Toc314842484"/>
      <w:bookmarkStart w:id="15" w:name="_Toc103679290"/>
      <w:bookmarkStart w:id="16" w:name="_Toc157422716"/>
      <w:r>
        <w:lastRenderedPageBreak/>
        <w:t>Product background</w:t>
      </w:r>
      <w:bookmarkEnd w:id="13"/>
      <w:bookmarkEnd w:id="14"/>
      <w:bookmarkEnd w:id="15"/>
      <w:bookmarkEnd w:id="16"/>
    </w:p>
    <w:p w14:paraId="56B27CF2" w14:textId="611CC40E" w:rsidR="00324B33" w:rsidRPr="00BD5DBD" w:rsidRDefault="00063F39" w:rsidP="00324B33">
      <w:pPr>
        <w:rPr>
          <w:szCs w:val="22"/>
        </w:rPr>
      </w:pPr>
      <w:r w:rsidRPr="00BD5DBD">
        <w:rPr>
          <w:szCs w:val="22"/>
        </w:rPr>
        <w:t xml:space="preserve">This AusPAR describes the submission by </w:t>
      </w:r>
      <w:r w:rsidR="0011660F">
        <w:rPr>
          <w:szCs w:val="22"/>
        </w:rPr>
        <w:t>Gilead Sciences Pty Ltd</w:t>
      </w:r>
      <w:r w:rsidRPr="00BD5DBD">
        <w:rPr>
          <w:szCs w:val="22"/>
        </w:rPr>
        <w:t xml:space="preserve"> (the sponsor) to register </w:t>
      </w:r>
      <w:r w:rsidR="0011660F">
        <w:rPr>
          <w:szCs w:val="22"/>
        </w:rPr>
        <w:t>Sunlenca</w:t>
      </w:r>
      <w:r w:rsidRPr="00BD5DBD">
        <w:rPr>
          <w:szCs w:val="22"/>
        </w:rPr>
        <w:t xml:space="preserve"> (</w:t>
      </w:r>
      <w:r w:rsidR="003A371C">
        <w:rPr>
          <w:szCs w:val="22"/>
        </w:rPr>
        <w:t>lenacapavir sodium</w:t>
      </w:r>
      <w:r w:rsidRPr="00BD5DBD">
        <w:rPr>
          <w:szCs w:val="22"/>
        </w:rPr>
        <w:t xml:space="preserve">) </w:t>
      </w:r>
      <w:r w:rsidR="003A371C">
        <w:rPr>
          <w:szCs w:val="22"/>
        </w:rPr>
        <w:t>as 309 mg/mL</w:t>
      </w:r>
      <w:r w:rsidR="00976259">
        <w:rPr>
          <w:szCs w:val="22"/>
        </w:rPr>
        <w:t xml:space="preserve"> solution for injection in vials, </w:t>
      </w:r>
      <w:r w:rsidR="003A371C">
        <w:rPr>
          <w:szCs w:val="22"/>
        </w:rPr>
        <w:t xml:space="preserve">and as 300 mg tablets in blister packs, </w:t>
      </w:r>
      <w:r w:rsidRPr="00BD5DBD">
        <w:rPr>
          <w:szCs w:val="22"/>
        </w:rPr>
        <w:t>for the following proposed indication:</w:t>
      </w:r>
      <w:r>
        <w:rPr>
          <w:rStyle w:val="FootnoteReference"/>
          <w:szCs w:val="22"/>
        </w:rPr>
        <w:footnoteReference w:id="2"/>
      </w:r>
    </w:p>
    <w:p w14:paraId="1F1E325C" w14:textId="67B549EC" w:rsidR="00F03A27" w:rsidRPr="00307773" w:rsidRDefault="00063F39" w:rsidP="00FD17B5">
      <w:pPr>
        <w:ind w:left="720"/>
        <w:rPr>
          <w:i/>
          <w:iCs/>
        </w:rPr>
      </w:pPr>
      <w:r w:rsidRPr="0068612D">
        <w:rPr>
          <w:i/>
          <w:iCs/>
        </w:rPr>
        <w:t>Sunlenca, in combination with other antiretroviral(s), is indicated for the treatment of human immunodeficiency virus type 1 (HIV</w:t>
      </w:r>
      <w:r w:rsidR="006D7271" w:rsidRPr="0068612D">
        <w:rPr>
          <w:i/>
          <w:iCs/>
        </w:rPr>
        <w:noBreakHyphen/>
      </w:r>
      <w:r w:rsidRPr="0068612D">
        <w:rPr>
          <w:i/>
          <w:iCs/>
        </w:rPr>
        <w:t>1) infection in adults and paediatric patients weighing at least 35</w:t>
      </w:r>
      <w:r w:rsidR="0011660F" w:rsidRPr="0068612D">
        <w:rPr>
          <w:i/>
          <w:iCs/>
        </w:rPr>
        <w:t> </w:t>
      </w:r>
      <w:r w:rsidRPr="0068612D">
        <w:rPr>
          <w:i/>
          <w:iCs/>
        </w:rPr>
        <w:t>kg with multidrug resistant HIV</w:t>
      </w:r>
      <w:r w:rsidR="006D7271" w:rsidRPr="0068612D">
        <w:rPr>
          <w:i/>
          <w:iCs/>
        </w:rPr>
        <w:noBreakHyphen/>
      </w:r>
      <w:r w:rsidRPr="0068612D">
        <w:rPr>
          <w:i/>
          <w:iCs/>
        </w:rPr>
        <w:t>1 infection failing their current antiretroviral regimen due to resistance, intolerance, or safety considerations.</w:t>
      </w:r>
    </w:p>
    <w:p w14:paraId="3A4A54F5" w14:textId="64954551" w:rsidR="00A32C03" w:rsidRPr="00B370CC" w:rsidRDefault="00063F39" w:rsidP="00A32C03">
      <w:r w:rsidRPr="00971658">
        <w:t>Human immunodeficiency virus (HIV)</w:t>
      </w:r>
      <w:r w:rsidR="00F671D1" w:rsidRPr="00971658">
        <w:t xml:space="preserve"> is a retrovirus that primarily targets immune effector cells in humans, mainly cluster of differentiation 4 positive (CD4+) lymphocytes. </w:t>
      </w:r>
      <w:r w:rsidR="00406CE2" w:rsidRPr="00971658">
        <w:t>T</w:t>
      </w:r>
      <w:r w:rsidR="000B5A7F" w:rsidRPr="00971658">
        <w:t>here is currently no cure available for HIV infection, which if left untreated can ultimately lead to the development of acquired immunodeficiency syndrome (AIDS)</w:t>
      </w:r>
      <w:r w:rsidR="00406CE2" w:rsidRPr="00971658">
        <w:t xml:space="preserve">. </w:t>
      </w:r>
      <w:r w:rsidRPr="00971658">
        <w:t>The incidence of newly dia</w:t>
      </w:r>
      <w:r w:rsidRPr="009D2C12">
        <w:t xml:space="preserve">gnosed </w:t>
      </w:r>
      <w:r w:rsidR="009D2C12" w:rsidRPr="009D2C12">
        <w:t>human immunodeficiency virus type 1 (HIV</w:t>
      </w:r>
      <w:r w:rsidR="006D7271">
        <w:noBreakHyphen/>
      </w:r>
      <w:r w:rsidR="009D2C12" w:rsidRPr="009D2C12">
        <w:t>1)</w:t>
      </w:r>
      <w:r w:rsidRPr="009D2C12">
        <w:t xml:space="preserve"> infection in Aust</w:t>
      </w:r>
      <w:r w:rsidRPr="00971658">
        <w:t xml:space="preserve">ralia </w:t>
      </w:r>
      <w:r w:rsidR="00B9439E">
        <w:t>in 2</w:t>
      </w:r>
      <w:r w:rsidR="00B9439E" w:rsidRPr="00B370CC">
        <w:t xml:space="preserve">021 was </w:t>
      </w:r>
      <w:r w:rsidRPr="00B370CC">
        <w:t>5</w:t>
      </w:r>
      <w:r w:rsidR="00953B72" w:rsidRPr="00B370CC">
        <w:t>52</w:t>
      </w:r>
      <w:r w:rsidR="00B370CC">
        <w:t> </w:t>
      </w:r>
      <w:r w:rsidRPr="00B370CC">
        <w:t>cases.</w:t>
      </w:r>
      <w:r>
        <w:rPr>
          <w:rStyle w:val="FootnoteReference"/>
        </w:rPr>
        <w:footnoteReference w:id="3"/>
      </w:r>
    </w:p>
    <w:p w14:paraId="5D08991B" w14:textId="6756058D" w:rsidR="005B74CC" w:rsidRPr="0075626F" w:rsidRDefault="00063F39" w:rsidP="005B74CC">
      <w:pPr>
        <w:rPr>
          <w:lang w:eastAsia="ja-JP"/>
        </w:rPr>
      </w:pPr>
      <w:r w:rsidRPr="00B370CC">
        <w:t>T</w:t>
      </w:r>
      <w:r w:rsidR="000B5A7F" w:rsidRPr="00B370CC">
        <w:t xml:space="preserve">he development and introduction of highly effective antiretroviral therapy </w:t>
      </w:r>
      <w:r w:rsidR="00F915BB" w:rsidRPr="00B370CC">
        <w:t xml:space="preserve">(ART) </w:t>
      </w:r>
      <w:r w:rsidR="000B5A7F" w:rsidRPr="00B370CC">
        <w:t>has improved the lives of HIV</w:t>
      </w:r>
      <w:r w:rsidR="006D7271">
        <w:noBreakHyphen/>
      </w:r>
      <w:r w:rsidR="000B5A7F" w:rsidRPr="00B370CC">
        <w:t>infected individuals.</w:t>
      </w:r>
      <w:r w:rsidR="00C7465D" w:rsidRPr="00B370CC">
        <w:t xml:space="preserve"> </w:t>
      </w:r>
      <w:r w:rsidRPr="00B370CC">
        <w:rPr>
          <w:lang w:eastAsia="ja-JP"/>
        </w:rPr>
        <w:t xml:space="preserve">The </w:t>
      </w:r>
      <w:r>
        <w:rPr>
          <w:lang w:eastAsia="ja-JP"/>
        </w:rPr>
        <w:t>currently available treatment regimens (c</w:t>
      </w:r>
      <w:r w:rsidRPr="00CA25F2">
        <w:rPr>
          <w:lang w:eastAsia="ja-JP"/>
        </w:rPr>
        <w:t xml:space="preserve">ombination </w:t>
      </w:r>
      <w:r w:rsidRPr="00D7242B">
        <w:rPr>
          <w:lang w:eastAsia="ja-JP"/>
        </w:rPr>
        <w:t>ART) reduce disease morbidity and mortality</w:t>
      </w:r>
      <w:r w:rsidR="0095138A" w:rsidRPr="00D7242B">
        <w:rPr>
          <w:lang w:eastAsia="ja-JP"/>
        </w:rPr>
        <w:t xml:space="preserve">. However, </w:t>
      </w:r>
      <w:r w:rsidRPr="00D7242B">
        <w:rPr>
          <w:lang w:eastAsia="ja-JP"/>
        </w:rPr>
        <w:t>a subset of people with HIV continue to</w:t>
      </w:r>
      <w:r w:rsidRPr="00CA25F2">
        <w:rPr>
          <w:lang w:eastAsia="ja-JP"/>
        </w:rPr>
        <w:t xml:space="preserve"> </w:t>
      </w:r>
      <w:r w:rsidRPr="004F09A9">
        <w:rPr>
          <w:lang w:eastAsia="ja-JP"/>
        </w:rPr>
        <w:t>experience virologic and immunologic failure</w:t>
      </w:r>
      <w:r w:rsidR="0095138A" w:rsidRPr="00307773">
        <w:t xml:space="preserve"> </w:t>
      </w:r>
      <w:r w:rsidRPr="004F09A9">
        <w:rPr>
          <w:lang w:eastAsia="ja-JP"/>
        </w:rPr>
        <w:t xml:space="preserve">especially heavily treatment experienced </w:t>
      </w:r>
      <w:r w:rsidR="000E3CE5" w:rsidRPr="004F09A9">
        <w:rPr>
          <w:lang w:eastAsia="ja-JP"/>
        </w:rPr>
        <w:t xml:space="preserve">people </w:t>
      </w:r>
      <w:r w:rsidR="000E3CE5" w:rsidRPr="00811C5A">
        <w:rPr>
          <w:lang w:eastAsia="ja-JP"/>
        </w:rPr>
        <w:t>with HIV</w:t>
      </w:r>
      <w:r w:rsidRPr="00811C5A">
        <w:rPr>
          <w:lang w:eastAsia="ja-JP"/>
        </w:rPr>
        <w:t>.</w:t>
      </w:r>
      <w:r w:rsidR="0095138A" w:rsidRPr="00811C5A">
        <w:rPr>
          <w:lang w:eastAsia="ja-JP"/>
        </w:rPr>
        <w:t xml:space="preserve"> </w:t>
      </w:r>
      <w:r w:rsidR="006C2F41" w:rsidRPr="00811C5A">
        <w:rPr>
          <w:lang w:eastAsia="ja-JP"/>
        </w:rPr>
        <w:t>Drug</w:t>
      </w:r>
      <w:r w:rsidR="006D7271">
        <w:rPr>
          <w:lang w:eastAsia="ja-JP"/>
        </w:rPr>
        <w:noBreakHyphen/>
      </w:r>
      <w:r w:rsidR="006C2F41" w:rsidRPr="00811C5A">
        <w:rPr>
          <w:lang w:eastAsia="ja-JP"/>
        </w:rPr>
        <w:t xml:space="preserve">associated toxicity, tolerability problems, and poor adherence </w:t>
      </w:r>
      <w:r w:rsidR="00B413C6" w:rsidRPr="00811C5A">
        <w:rPr>
          <w:lang w:eastAsia="ja-JP"/>
        </w:rPr>
        <w:t>are other factors</w:t>
      </w:r>
      <w:r w:rsidR="009F5339" w:rsidRPr="00AD1DE9">
        <w:rPr>
          <w:lang w:eastAsia="ja-JP"/>
        </w:rPr>
        <w:t xml:space="preserve"> </w:t>
      </w:r>
      <w:r w:rsidR="00AD1DE9">
        <w:rPr>
          <w:lang w:eastAsia="ja-JP"/>
        </w:rPr>
        <w:t>affecting</w:t>
      </w:r>
      <w:r w:rsidR="009F5339" w:rsidRPr="00AD1DE9">
        <w:rPr>
          <w:lang w:eastAsia="ja-JP"/>
        </w:rPr>
        <w:t xml:space="preserve"> long</w:t>
      </w:r>
      <w:r w:rsidR="006D7271">
        <w:rPr>
          <w:lang w:eastAsia="ja-JP"/>
        </w:rPr>
        <w:noBreakHyphen/>
      </w:r>
      <w:r w:rsidR="009F5339" w:rsidRPr="00AD1DE9">
        <w:rPr>
          <w:lang w:eastAsia="ja-JP"/>
        </w:rPr>
        <w:t>term</w:t>
      </w:r>
      <w:r w:rsidR="0084663A" w:rsidRPr="00AD1DE9">
        <w:rPr>
          <w:lang w:eastAsia="ja-JP"/>
        </w:rPr>
        <w:t xml:space="preserve"> therapy</w:t>
      </w:r>
      <w:r w:rsidR="00B413C6" w:rsidRPr="00AD1DE9">
        <w:rPr>
          <w:lang w:eastAsia="ja-JP"/>
        </w:rPr>
        <w:t>.</w:t>
      </w:r>
    </w:p>
    <w:p w14:paraId="7DD98586" w14:textId="604C5062" w:rsidR="005B74CC" w:rsidRPr="007D3EF5" w:rsidRDefault="00063F39" w:rsidP="005B74CC">
      <w:pPr>
        <w:rPr>
          <w:lang w:eastAsia="ja-JP"/>
        </w:rPr>
      </w:pPr>
      <w:r w:rsidRPr="007D3EF5">
        <w:rPr>
          <w:lang w:eastAsia="ja-JP"/>
        </w:rPr>
        <w:t xml:space="preserve">Heavily treatment experienced people with HIV with multiple prior regimen failures and significant drug resistance have limited treatment options and may be unable to achieve sustained viral suppression. However, the goal of plasma HIV RNA suppression remains. An ART regimen change is usually indicated and tailored to the patient based on ART history and drug resistance testing. Usually, this involves a new combination of conventionally used ART therapies, </w:t>
      </w:r>
      <w:r w:rsidR="00AF51CA">
        <w:rPr>
          <w:lang w:eastAsia="ja-JP"/>
        </w:rPr>
        <w:t>for example</w:t>
      </w:r>
      <w:r w:rsidRPr="007D3EF5">
        <w:rPr>
          <w:lang w:eastAsia="ja-JP"/>
        </w:rPr>
        <w:t>,</w:t>
      </w:r>
      <w:r w:rsidR="00F671D1" w:rsidRPr="007D3EF5">
        <w:rPr>
          <w:lang w:eastAsia="ja-JP"/>
        </w:rPr>
        <w:t xml:space="preserve"> </w:t>
      </w:r>
      <w:r w:rsidR="003825DB" w:rsidRPr="007D3EF5">
        <w:t>nucleoside reverse transcriptase inhibitors (NRTIs), non</w:t>
      </w:r>
      <w:r w:rsidR="006D7271">
        <w:noBreakHyphen/>
      </w:r>
      <w:r w:rsidR="003825DB" w:rsidRPr="007D3EF5">
        <w:t>nucleoside reverse transcriptase inhibitor</w:t>
      </w:r>
      <w:r w:rsidR="006C7DBA">
        <w:t>s</w:t>
      </w:r>
      <w:r w:rsidR="003825DB" w:rsidRPr="007D3EF5">
        <w:t xml:space="preserve"> (NNRTI), protease inhibitor</w:t>
      </w:r>
      <w:r w:rsidR="006C7DBA">
        <w:t>s</w:t>
      </w:r>
      <w:r w:rsidR="003825DB" w:rsidRPr="007D3EF5">
        <w:t xml:space="preserve"> </w:t>
      </w:r>
      <w:r w:rsidRPr="007D3EF5">
        <w:rPr>
          <w:lang w:eastAsia="ja-JP"/>
        </w:rPr>
        <w:t xml:space="preserve">and </w:t>
      </w:r>
      <w:r w:rsidR="003825DB" w:rsidRPr="007D3EF5">
        <w:t>integrase strand transfer inhibitors (INSTIs)</w:t>
      </w:r>
      <w:r w:rsidRPr="007D3EF5">
        <w:rPr>
          <w:lang w:eastAsia="ja-JP"/>
        </w:rPr>
        <w:t xml:space="preserve">. Therapies specifically considered for </w:t>
      </w:r>
      <w:r w:rsidR="00122EB0" w:rsidRPr="007D3EF5">
        <w:rPr>
          <w:lang w:eastAsia="ja-JP"/>
        </w:rPr>
        <w:t xml:space="preserve">heavily treatment experienced people with HIV </w:t>
      </w:r>
      <w:r w:rsidRPr="007D3EF5">
        <w:rPr>
          <w:lang w:eastAsia="ja-JP"/>
        </w:rPr>
        <w:t>include</w:t>
      </w:r>
      <w:r w:rsidRPr="007D3EF5">
        <w:t xml:space="preserve"> </w:t>
      </w:r>
      <w:r w:rsidR="00A41237" w:rsidRPr="007D3EF5">
        <w:t xml:space="preserve">chemokine receptor 5 </w:t>
      </w:r>
      <w:r w:rsidR="00FC6698">
        <w:t xml:space="preserve">(CCR5) </w:t>
      </w:r>
      <w:r w:rsidRPr="007D3EF5">
        <w:t>antagonists, fusion inhibitors, attachment inhibitor</w:t>
      </w:r>
      <w:r w:rsidR="00BA5DBB">
        <w:t>s</w:t>
      </w:r>
      <w:r w:rsidRPr="007D3EF5">
        <w:t xml:space="preserve"> and post</w:t>
      </w:r>
      <w:r w:rsidR="006D7271">
        <w:noBreakHyphen/>
      </w:r>
      <w:r w:rsidRPr="007D3EF5">
        <w:t>attachment inhibitors</w:t>
      </w:r>
      <w:r w:rsidR="00F865C4">
        <w:t>:</w:t>
      </w:r>
    </w:p>
    <w:p w14:paraId="02BD8E7D" w14:textId="3028A112" w:rsidR="005B74CC" w:rsidRDefault="00063F39" w:rsidP="005B74CC">
      <w:pPr>
        <w:pStyle w:val="ListParagraph"/>
        <w:numPr>
          <w:ilvl w:val="0"/>
          <w:numId w:val="8"/>
        </w:numPr>
      </w:pPr>
      <w:r>
        <w:t xml:space="preserve">ibalizumab (not registered </w:t>
      </w:r>
      <w:r w:rsidR="004C38D2">
        <w:t>i</w:t>
      </w:r>
      <w:r>
        <w:t>n the ARTG), a monoclonal humanised antibody post</w:t>
      </w:r>
      <w:r w:rsidR="006D7271">
        <w:noBreakHyphen/>
      </w:r>
      <w:r>
        <w:t>attachment inhibitor, that targets CD4 cell receptors to prevent HIV entry</w:t>
      </w:r>
    </w:p>
    <w:p w14:paraId="3D1001AA" w14:textId="3B88CF1E" w:rsidR="005B74CC" w:rsidRDefault="00063F39" w:rsidP="005B74CC">
      <w:pPr>
        <w:pStyle w:val="ListParagraph"/>
        <w:numPr>
          <w:ilvl w:val="0"/>
          <w:numId w:val="8"/>
        </w:numPr>
      </w:pPr>
      <w:r>
        <w:t>fostemsavir, an attachment inhibitor that selectively inhibits the interaction between HIV and cellular CD4 receptors, and thereby preventing viral entry into the host cells</w:t>
      </w:r>
    </w:p>
    <w:p w14:paraId="298D47CF" w14:textId="21E47279" w:rsidR="005B74CC" w:rsidRDefault="00063F39" w:rsidP="005B74CC">
      <w:pPr>
        <w:pStyle w:val="ListParagraph"/>
        <w:numPr>
          <w:ilvl w:val="0"/>
          <w:numId w:val="9"/>
        </w:numPr>
      </w:pPr>
      <w:r>
        <w:t>maraviroc, a CCR5 antagonist that selectively binds to CCR5, preventing CCR5</w:t>
      </w:r>
      <w:r w:rsidR="006D7271">
        <w:noBreakHyphen/>
      </w:r>
      <w:r>
        <w:t>tropic HIV from entering cells. However, its use is limited as many treatment</w:t>
      </w:r>
      <w:r w:rsidR="006D7271">
        <w:noBreakHyphen/>
      </w:r>
      <w:r>
        <w:t xml:space="preserve">experienced </w:t>
      </w:r>
      <w:r w:rsidR="00253A64">
        <w:t xml:space="preserve">people </w:t>
      </w:r>
      <w:r w:rsidR="00253A64" w:rsidRPr="003468AE">
        <w:t>with HIV</w:t>
      </w:r>
      <w:r w:rsidRPr="003468AE">
        <w:t xml:space="preserve"> do not have CCR5</w:t>
      </w:r>
      <w:r w:rsidR="006D7271" w:rsidRPr="003468AE">
        <w:noBreakHyphen/>
      </w:r>
      <w:r w:rsidRPr="003468AE">
        <w:t>tropic HIV, but instead CXCR4</w:t>
      </w:r>
      <w:r w:rsidR="006D7271" w:rsidRPr="003468AE">
        <w:noBreakHyphen/>
      </w:r>
      <w:r w:rsidRPr="003468AE">
        <w:t>tropic HIV or mixed</w:t>
      </w:r>
      <w:r w:rsidR="006D7271" w:rsidRPr="003468AE">
        <w:noBreakHyphen/>
      </w:r>
      <w:r w:rsidRPr="003468AE">
        <w:t>tropic</w:t>
      </w:r>
      <w:r>
        <w:t xml:space="preserve"> HIV</w:t>
      </w:r>
    </w:p>
    <w:p w14:paraId="2C08AB9D" w14:textId="5B39F9B6" w:rsidR="005B74CC" w:rsidRDefault="00063F39" w:rsidP="005B74CC">
      <w:pPr>
        <w:pStyle w:val="ListParagraph"/>
        <w:numPr>
          <w:ilvl w:val="0"/>
          <w:numId w:val="9"/>
        </w:numPr>
      </w:pPr>
      <w:r>
        <w:t>enfuvirtide</w:t>
      </w:r>
      <w:r w:rsidR="00781CFA">
        <w:t xml:space="preserve">, </w:t>
      </w:r>
      <w:r>
        <w:t>a fusion inhibitor of the structural rearrangement of the HIV</w:t>
      </w:r>
      <w:r w:rsidR="006D7271">
        <w:noBreakHyphen/>
      </w:r>
      <w:r>
        <w:t>1 glycoprotein</w:t>
      </w:r>
      <w:r w:rsidR="00781704">
        <w:t> </w:t>
      </w:r>
      <w:r>
        <w:t>41</w:t>
      </w:r>
      <w:r w:rsidR="004476D6">
        <w:t>,</w:t>
      </w:r>
      <w:r>
        <w:t xml:space="preserve"> binding to this protein and blocking fusion between the viral and target cell membranes preventing viral RNA from entering the cell.</w:t>
      </w:r>
    </w:p>
    <w:p w14:paraId="15CD0A04" w14:textId="195D0E5E" w:rsidR="00A32C03" w:rsidRPr="00D87A11" w:rsidRDefault="00063F39" w:rsidP="00A32C03">
      <w:r>
        <w:t>Lenacapavir is a novel, first</w:t>
      </w:r>
      <w:r w:rsidR="006D7271">
        <w:noBreakHyphen/>
      </w:r>
      <w:r>
        <w:t>in</w:t>
      </w:r>
      <w:r w:rsidR="006D7271">
        <w:noBreakHyphen/>
      </w:r>
      <w:r>
        <w:t>class, selective inhibitor of HIV</w:t>
      </w:r>
      <w:r w:rsidR="006D7271">
        <w:noBreakHyphen/>
      </w:r>
      <w:r>
        <w:t>1 capsid function</w:t>
      </w:r>
      <w:r w:rsidR="00E72043">
        <w:t xml:space="preserve"> that directly binds to the interface between capsid protein subunits. Lenacapavir inhibits HIV</w:t>
      </w:r>
      <w:r w:rsidR="006D7271">
        <w:noBreakHyphen/>
      </w:r>
      <w:r w:rsidR="00E72043">
        <w:t xml:space="preserve">1 replication by </w:t>
      </w:r>
      <w:r w:rsidR="00E72043">
        <w:lastRenderedPageBreak/>
        <w:t>interfering with multiple, essential steps of the viral lifecycle, including capsid</w:t>
      </w:r>
      <w:r w:rsidR="006D7271">
        <w:noBreakHyphen/>
      </w:r>
      <w:r w:rsidR="00E72043">
        <w:t>mediated nuclear uptake of HIV</w:t>
      </w:r>
      <w:r w:rsidR="006D7271">
        <w:noBreakHyphen/>
      </w:r>
      <w:r w:rsidR="00E72043">
        <w:t>1 proviral DNA</w:t>
      </w:r>
      <w:r w:rsidR="0058020A">
        <w:t xml:space="preserve">, </w:t>
      </w:r>
      <w:r w:rsidR="00E72043">
        <w:t>virus assembly, and capsid core formation</w:t>
      </w:r>
      <w:r w:rsidR="00EE1523">
        <w:t>.</w:t>
      </w:r>
    </w:p>
    <w:p w14:paraId="0D615854" w14:textId="77777777" w:rsidR="00324B33" w:rsidRPr="003F31A2" w:rsidRDefault="00063F39" w:rsidP="00324B33">
      <w:pPr>
        <w:pStyle w:val="Heading3"/>
      </w:pPr>
      <w:bookmarkStart w:id="17" w:name="_Toc314842485"/>
      <w:bookmarkStart w:id="18" w:name="_Toc247691504"/>
      <w:bookmarkStart w:id="19" w:name="_Toc103679291"/>
      <w:bookmarkStart w:id="20" w:name="_Toc157422717"/>
      <w:r>
        <w:t>Regulatory status</w:t>
      </w:r>
      <w:bookmarkEnd w:id="17"/>
      <w:bookmarkEnd w:id="18"/>
      <w:bookmarkEnd w:id="19"/>
      <w:bookmarkEnd w:id="20"/>
    </w:p>
    <w:p w14:paraId="6A8633FA" w14:textId="44382662" w:rsidR="00324B33" w:rsidRPr="00BD5DBD" w:rsidRDefault="00063F39"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1B9AB90D" w14:textId="492F5ABF" w:rsidR="00324B33" w:rsidRPr="00BD5DBD" w:rsidRDefault="00063F39" w:rsidP="00324B33">
      <w:pPr>
        <w:rPr>
          <w:szCs w:val="22"/>
        </w:rPr>
      </w:pPr>
      <w:r w:rsidRPr="00BD5DBD">
        <w:rPr>
          <w:szCs w:val="22"/>
        </w:rPr>
        <w:t>At the time the TGA considered this submission, a similar submission had been approved in</w:t>
      </w:r>
      <w:r w:rsidR="00DB18DD">
        <w:rPr>
          <w:szCs w:val="22"/>
        </w:rPr>
        <w:t xml:space="preserve"> the Europe</w:t>
      </w:r>
      <w:r w:rsidRPr="00BD5DBD">
        <w:rPr>
          <w:szCs w:val="22"/>
        </w:rPr>
        <w:t xml:space="preserve"> </w:t>
      </w:r>
      <w:r w:rsidR="00DB18DD">
        <w:rPr>
          <w:szCs w:val="22"/>
        </w:rPr>
        <w:t>Union</w:t>
      </w:r>
      <w:r w:rsidR="00111443">
        <w:rPr>
          <w:szCs w:val="22"/>
        </w:rPr>
        <w:t xml:space="preserve">, </w:t>
      </w:r>
      <w:proofErr w:type="gramStart"/>
      <w:r w:rsidR="00357AEE">
        <w:rPr>
          <w:szCs w:val="22"/>
        </w:rPr>
        <w:t>Canada</w:t>
      </w:r>
      <w:proofErr w:type="gramEnd"/>
      <w:r w:rsidR="00357AEE">
        <w:rPr>
          <w:szCs w:val="22"/>
        </w:rPr>
        <w:t xml:space="preserve"> and the United States of America (USA)</w:t>
      </w:r>
      <w:r w:rsidR="000C2844">
        <w:rPr>
          <w:szCs w:val="22"/>
        </w:rPr>
        <w:t xml:space="preserve">. </w:t>
      </w:r>
      <w:r w:rsidRPr="00BD5DBD">
        <w:rPr>
          <w:szCs w:val="22"/>
        </w:rPr>
        <w:t xml:space="preserve">The following table summarises these submissions and provides the </w:t>
      </w:r>
      <w:r w:rsidR="00357AEE">
        <w:rPr>
          <w:szCs w:val="22"/>
        </w:rPr>
        <w:t xml:space="preserve">approved </w:t>
      </w:r>
      <w:r w:rsidRPr="00BD5DBD">
        <w:rPr>
          <w:szCs w:val="22"/>
        </w:rPr>
        <w:t>indications</w:t>
      </w:r>
      <w:r w:rsidR="00357AEE">
        <w:rPr>
          <w:szCs w:val="22"/>
        </w:rPr>
        <w:t>.</w:t>
      </w:r>
    </w:p>
    <w:p w14:paraId="19B9E0AC" w14:textId="196D47C2" w:rsidR="00324B33" w:rsidRDefault="00063F39" w:rsidP="00324B33">
      <w:pPr>
        <w:pStyle w:val="TableTitle"/>
      </w:pPr>
      <w:bookmarkStart w:id="21" w:name="_Ref99705479"/>
      <w:r>
        <w:t xml:space="preserve">Table </w:t>
      </w:r>
      <w:r w:rsidR="00B3560F">
        <w:fldChar w:fldCharType="begin"/>
      </w:r>
      <w:r>
        <w:instrText xml:space="preserve"> SEQ Table \* ARABIC </w:instrText>
      </w:r>
      <w:r w:rsidR="00B3560F">
        <w:fldChar w:fldCharType="separate"/>
      </w:r>
      <w:r w:rsidR="000623A2">
        <w:rPr>
          <w:noProof/>
        </w:rPr>
        <w:t>1</w:t>
      </w:r>
      <w:r w:rsidR="00B3560F">
        <w:rPr>
          <w:noProof/>
        </w:rPr>
        <w:fldChar w:fldCharType="end"/>
      </w:r>
      <w:bookmarkEnd w:id="21"/>
      <w:r>
        <w:t>: International regulatory status</w:t>
      </w:r>
    </w:p>
    <w:tbl>
      <w:tblPr>
        <w:tblStyle w:val="TableTGAblue2023"/>
        <w:tblW w:w="5000" w:type="pct"/>
        <w:tblLook w:val="04A0" w:firstRow="1" w:lastRow="0" w:firstColumn="1" w:lastColumn="0" w:noHBand="0" w:noVBand="1"/>
      </w:tblPr>
      <w:tblGrid>
        <w:gridCol w:w="1837"/>
        <w:gridCol w:w="1845"/>
        <w:gridCol w:w="2125"/>
        <w:gridCol w:w="3253"/>
      </w:tblGrid>
      <w:tr w:rsidR="00345E6F" w14:paraId="405E5D78" w14:textId="16839333" w:rsidTr="00345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063F39" w:rsidP="00324B33">
            <w:pPr>
              <w:rPr>
                <w:szCs w:val="22"/>
              </w:rPr>
            </w:pPr>
            <w:r w:rsidRPr="00D01DDB">
              <w:rPr>
                <w:szCs w:val="22"/>
              </w:rPr>
              <w:t>Region</w:t>
            </w:r>
          </w:p>
        </w:tc>
        <w:tc>
          <w:tcPr>
            <w:tcW w:w="1018" w:type="pct"/>
          </w:tcPr>
          <w:p w14:paraId="778C35C7" w14:textId="52D23C85" w:rsidR="00324B33" w:rsidRPr="00D01DDB" w:rsidRDefault="00063F39"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063F39"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063F39"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45E6F" w14:paraId="38D24E86" w14:textId="77777777" w:rsidTr="00345E6F">
        <w:tc>
          <w:tcPr>
            <w:cnfStyle w:val="001000000000" w:firstRow="0" w:lastRow="0" w:firstColumn="1" w:lastColumn="0" w:oddVBand="0" w:evenVBand="0" w:oddHBand="0" w:evenHBand="0" w:firstRowFirstColumn="0" w:firstRowLastColumn="0" w:lastRowFirstColumn="0" w:lastRowLastColumn="0"/>
            <w:tcW w:w="1014" w:type="pct"/>
          </w:tcPr>
          <w:p w14:paraId="4C540DE5" w14:textId="275FCAD1" w:rsidR="00324B33" w:rsidRPr="00D01DDB" w:rsidRDefault="00063F39" w:rsidP="00324B33">
            <w:pPr>
              <w:rPr>
                <w:szCs w:val="22"/>
              </w:rPr>
            </w:pPr>
            <w:r>
              <w:rPr>
                <w:szCs w:val="22"/>
              </w:rPr>
              <w:t>European Union</w:t>
            </w:r>
          </w:p>
        </w:tc>
        <w:tc>
          <w:tcPr>
            <w:tcW w:w="1018" w:type="pct"/>
          </w:tcPr>
          <w:p w14:paraId="4FA5DDA9" w14:textId="37ABBEE5"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July 2021</w:t>
            </w:r>
          </w:p>
        </w:tc>
        <w:tc>
          <w:tcPr>
            <w:tcW w:w="1173" w:type="pct"/>
          </w:tcPr>
          <w:p w14:paraId="29358393" w14:textId="5103BC60"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166874">
              <w:rPr>
                <w:szCs w:val="22"/>
              </w:rPr>
              <w:t>17 August 2022</w:t>
            </w:r>
          </w:p>
        </w:tc>
        <w:tc>
          <w:tcPr>
            <w:tcW w:w="1795" w:type="pct"/>
          </w:tcPr>
          <w:p w14:paraId="3CE9952B" w14:textId="77777777" w:rsidR="00324B33" w:rsidRDefault="00063F39" w:rsidP="004D5F6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i/>
                <w:iCs/>
                <w:szCs w:val="22"/>
              </w:rPr>
            </w:pPr>
            <w:r w:rsidRPr="004D5F6D">
              <w:rPr>
                <w:i/>
                <w:iCs/>
                <w:szCs w:val="22"/>
              </w:rPr>
              <w:t>Sunlenca injection, in combination with other</w:t>
            </w:r>
            <w:r w:rsidR="004D5F6D" w:rsidRPr="004D5F6D">
              <w:rPr>
                <w:i/>
                <w:iCs/>
                <w:szCs w:val="22"/>
              </w:rPr>
              <w:t xml:space="preserve"> </w:t>
            </w:r>
            <w:r w:rsidRPr="004D5F6D">
              <w:rPr>
                <w:i/>
                <w:iCs/>
                <w:szCs w:val="22"/>
              </w:rPr>
              <w:t>antiretroviral(s), is indicated for the treatment of</w:t>
            </w:r>
            <w:r w:rsidR="004D5F6D" w:rsidRPr="004D5F6D">
              <w:rPr>
                <w:i/>
                <w:iCs/>
                <w:szCs w:val="22"/>
              </w:rPr>
              <w:t xml:space="preserve"> </w:t>
            </w:r>
            <w:r w:rsidRPr="004D5F6D">
              <w:rPr>
                <w:i/>
                <w:iCs/>
                <w:szCs w:val="22"/>
              </w:rPr>
              <w:t>adults with multidrug resistant HIV</w:t>
            </w:r>
            <w:r w:rsidR="006D7271">
              <w:rPr>
                <w:i/>
                <w:iCs/>
                <w:szCs w:val="22"/>
              </w:rPr>
              <w:noBreakHyphen/>
            </w:r>
            <w:r w:rsidRPr="004D5F6D">
              <w:rPr>
                <w:i/>
                <w:iCs/>
                <w:szCs w:val="22"/>
              </w:rPr>
              <w:t>1 infection for</w:t>
            </w:r>
            <w:r w:rsidR="004D5F6D" w:rsidRPr="004D5F6D">
              <w:rPr>
                <w:i/>
                <w:iCs/>
                <w:szCs w:val="22"/>
              </w:rPr>
              <w:t xml:space="preserve"> </w:t>
            </w:r>
            <w:r w:rsidRPr="004D5F6D">
              <w:rPr>
                <w:i/>
                <w:iCs/>
                <w:szCs w:val="22"/>
              </w:rPr>
              <w:t>whom it is otherwise not possible to construct a</w:t>
            </w:r>
            <w:r w:rsidR="004D5F6D" w:rsidRPr="004D5F6D">
              <w:rPr>
                <w:i/>
                <w:iCs/>
                <w:szCs w:val="22"/>
              </w:rPr>
              <w:t xml:space="preserve"> </w:t>
            </w:r>
            <w:r w:rsidRPr="004D5F6D">
              <w:rPr>
                <w:i/>
                <w:iCs/>
                <w:szCs w:val="22"/>
              </w:rPr>
              <w:t>suppressive anti</w:t>
            </w:r>
            <w:r w:rsidR="006D7271">
              <w:rPr>
                <w:i/>
                <w:iCs/>
                <w:szCs w:val="22"/>
              </w:rPr>
              <w:noBreakHyphen/>
            </w:r>
            <w:r w:rsidRPr="004D5F6D">
              <w:rPr>
                <w:i/>
                <w:iCs/>
                <w:szCs w:val="22"/>
              </w:rPr>
              <w:t>viral regimen.</w:t>
            </w:r>
          </w:p>
          <w:p w14:paraId="05055674" w14:textId="3218C69F" w:rsidR="0097486F" w:rsidRPr="0097486F" w:rsidRDefault="00063F39" w:rsidP="0097486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i/>
                <w:iCs/>
                <w:szCs w:val="22"/>
              </w:rPr>
            </w:pPr>
            <w:r w:rsidRPr="0097486F">
              <w:rPr>
                <w:i/>
                <w:iCs/>
                <w:szCs w:val="22"/>
              </w:rPr>
              <w:t>Sunlenca tablet, in combination with other antiretroviral(s), is indicated for the treatment of adults with multidrug resistant HIV-1 infection for whom it is otherwise not possible to construct a suppressive anti-viral regimen, for oral loading prior to administration of long-acting lenacapavir injection.</w:t>
            </w:r>
          </w:p>
        </w:tc>
      </w:tr>
      <w:tr w:rsidR="00345E6F" w14:paraId="4EF8F432" w14:textId="77777777" w:rsidTr="00345E6F">
        <w:tc>
          <w:tcPr>
            <w:cnfStyle w:val="001000000000" w:firstRow="0" w:lastRow="0" w:firstColumn="1" w:lastColumn="0" w:oddVBand="0" w:evenVBand="0" w:oddHBand="0" w:evenHBand="0" w:firstRowFirstColumn="0" w:firstRowLastColumn="0" w:lastRowFirstColumn="0" w:lastRowLastColumn="0"/>
            <w:tcW w:w="1014" w:type="pct"/>
          </w:tcPr>
          <w:p w14:paraId="66EB8916" w14:textId="0546F8BD" w:rsidR="00357AEE" w:rsidRPr="00D01DDB" w:rsidRDefault="00063F39" w:rsidP="00324B33">
            <w:pPr>
              <w:rPr>
                <w:szCs w:val="22"/>
              </w:rPr>
            </w:pPr>
            <w:r>
              <w:rPr>
                <w:szCs w:val="22"/>
              </w:rPr>
              <w:t>Canada</w:t>
            </w:r>
          </w:p>
        </w:tc>
        <w:tc>
          <w:tcPr>
            <w:tcW w:w="1018" w:type="pct"/>
          </w:tcPr>
          <w:p w14:paraId="74F70C3F" w14:textId="28FA7652" w:rsidR="00357AEE"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March 2022</w:t>
            </w:r>
          </w:p>
        </w:tc>
        <w:tc>
          <w:tcPr>
            <w:tcW w:w="1173" w:type="pct"/>
          </w:tcPr>
          <w:p w14:paraId="449DC55F" w14:textId="387C73E3" w:rsidR="00357AEE"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Approved on </w:t>
            </w:r>
            <w:r w:rsidR="00CB6A84">
              <w:rPr>
                <w:szCs w:val="22"/>
              </w:rPr>
              <w:t>2 November 2022</w:t>
            </w:r>
          </w:p>
        </w:tc>
        <w:tc>
          <w:tcPr>
            <w:tcW w:w="1795" w:type="pct"/>
          </w:tcPr>
          <w:p w14:paraId="73A9AA58" w14:textId="7F588761" w:rsidR="00357AEE" w:rsidRPr="004D5F6D" w:rsidRDefault="00063F39" w:rsidP="004D5F6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i/>
                <w:iCs/>
                <w:szCs w:val="22"/>
              </w:rPr>
            </w:pPr>
            <w:r w:rsidRPr="004D5F6D">
              <w:rPr>
                <w:i/>
                <w:iCs/>
                <w:szCs w:val="22"/>
              </w:rPr>
              <w:t>S</w:t>
            </w:r>
            <w:r w:rsidR="004D5F6D" w:rsidRPr="004D5F6D">
              <w:rPr>
                <w:i/>
                <w:iCs/>
                <w:szCs w:val="22"/>
              </w:rPr>
              <w:t>unlenca</w:t>
            </w:r>
            <w:r w:rsidRPr="004D5F6D">
              <w:rPr>
                <w:i/>
                <w:iCs/>
                <w:szCs w:val="22"/>
              </w:rPr>
              <w:t xml:space="preserve"> (lenacapavir), in combination with</w:t>
            </w:r>
            <w:r w:rsidR="004D5F6D" w:rsidRPr="004D5F6D">
              <w:rPr>
                <w:i/>
                <w:iCs/>
                <w:szCs w:val="22"/>
              </w:rPr>
              <w:t xml:space="preserve"> </w:t>
            </w:r>
            <w:r w:rsidRPr="004D5F6D">
              <w:rPr>
                <w:i/>
                <w:iCs/>
                <w:szCs w:val="22"/>
              </w:rPr>
              <w:t>other antiretroviral(s), is indicated for the treatment</w:t>
            </w:r>
            <w:r w:rsidR="004D5F6D" w:rsidRPr="004D5F6D">
              <w:rPr>
                <w:i/>
                <w:iCs/>
                <w:szCs w:val="22"/>
              </w:rPr>
              <w:t xml:space="preserve"> </w:t>
            </w:r>
            <w:r w:rsidRPr="004D5F6D">
              <w:rPr>
                <w:i/>
                <w:iCs/>
                <w:szCs w:val="22"/>
              </w:rPr>
              <w:t>of human immunodeficiency virus type 1 (HIV</w:t>
            </w:r>
            <w:r w:rsidR="006D7271">
              <w:rPr>
                <w:i/>
                <w:iCs/>
                <w:szCs w:val="22"/>
              </w:rPr>
              <w:noBreakHyphen/>
            </w:r>
            <w:r w:rsidRPr="004D5F6D">
              <w:rPr>
                <w:i/>
                <w:iCs/>
                <w:szCs w:val="22"/>
              </w:rPr>
              <w:t>1)</w:t>
            </w:r>
            <w:r w:rsidR="004D5F6D" w:rsidRPr="004D5F6D">
              <w:rPr>
                <w:i/>
                <w:iCs/>
                <w:szCs w:val="22"/>
              </w:rPr>
              <w:t xml:space="preserve"> </w:t>
            </w:r>
            <w:r w:rsidRPr="004D5F6D">
              <w:rPr>
                <w:i/>
                <w:iCs/>
                <w:szCs w:val="22"/>
              </w:rPr>
              <w:t>infection in heavily treatment experienced adults</w:t>
            </w:r>
            <w:r w:rsidR="004D5F6D" w:rsidRPr="004D5F6D">
              <w:rPr>
                <w:i/>
                <w:iCs/>
                <w:szCs w:val="22"/>
              </w:rPr>
              <w:t xml:space="preserve"> </w:t>
            </w:r>
            <w:r w:rsidRPr="004D5F6D">
              <w:rPr>
                <w:i/>
                <w:iCs/>
                <w:szCs w:val="22"/>
              </w:rPr>
              <w:t>with multidrug resistant HIV</w:t>
            </w:r>
            <w:r w:rsidR="006D7271">
              <w:rPr>
                <w:i/>
                <w:iCs/>
                <w:szCs w:val="22"/>
              </w:rPr>
              <w:noBreakHyphen/>
            </w:r>
            <w:r w:rsidRPr="004D5F6D">
              <w:rPr>
                <w:i/>
                <w:iCs/>
                <w:szCs w:val="22"/>
              </w:rPr>
              <w:t>1 infection failing their</w:t>
            </w:r>
            <w:r w:rsidR="004D5F6D" w:rsidRPr="004D5F6D">
              <w:rPr>
                <w:i/>
                <w:iCs/>
                <w:szCs w:val="22"/>
              </w:rPr>
              <w:t xml:space="preserve"> </w:t>
            </w:r>
            <w:r w:rsidRPr="004D5F6D">
              <w:rPr>
                <w:i/>
                <w:iCs/>
                <w:szCs w:val="22"/>
              </w:rPr>
              <w:t>current antiretroviral regimen due to resistance,</w:t>
            </w:r>
            <w:r w:rsidR="004D5F6D" w:rsidRPr="004D5F6D">
              <w:rPr>
                <w:i/>
                <w:iCs/>
                <w:szCs w:val="22"/>
              </w:rPr>
              <w:t xml:space="preserve"> </w:t>
            </w:r>
            <w:r w:rsidRPr="004D5F6D">
              <w:rPr>
                <w:i/>
                <w:iCs/>
                <w:szCs w:val="22"/>
              </w:rPr>
              <w:t>intolerance or safety considerations.</w:t>
            </w:r>
          </w:p>
        </w:tc>
      </w:tr>
      <w:tr w:rsidR="00345E6F" w14:paraId="18B6E2AA" w14:textId="7783D66F" w:rsidTr="00345E6F">
        <w:tc>
          <w:tcPr>
            <w:cnfStyle w:val="001000000000" w:firstRow="0" w:lastRow="0" w:firstColumn="1" w:lastColumn="0" w:oddVBand="0" w:evenVBand="0" w:oddHBand="0" w:evenHBand="0" w:firstRowFirstColumn="0" w:firstRowLastColumn="0" w:lastRowFirstColumn="0" w:lastRowLastColumn="0"/>
            <w:tcW w:w="1014" w:type="pct"/>
          </w:tcPr>
          <w:p w14:paraId="7F348960" w14:textId="05D24D6F" w:rsidR="00324B33" w:rsidRPr="00D01DDB" w:rsidRDefault="00063F39" w:rsidP="00324B33">
            <w:pPr>
              <w:rPr>
                <w:szCs w:val="22"/>
              </w:rPr>
            </w:pPr>
            <w:r>
              <w:rPr>
                <w:szCs w:val="22"/>
              </w:rPr>
              <w:lastRenderedPageBreak/>
              <w:t>United States of America</w:t>
            </w:r>
          </w:p>
        </w:tc>
        <w:tc>
          <w:tcPr>
            <w:tcW w:w="1018" w:type="pct"/>
          </w:tcPr>
          <w:p w14:paraId="1D871E57" w14:textId="79BCB437"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27 June 2022</w:t>
            </w:r>
          </w:p>
        </w:tc>
        <w:tc>
          <w:tcPr>
            <w:tcW w:w="1173" w:type="pct"/>
          </w:tcPr>
          <w:p w14:paraId="63A3A9D3" w14:textId="5B3FB6BD"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22 December 2022</w:t>
            </w:r>
          </w:p>
        </w:tc>
        <w:tc>
          <w:tcPr>
            <w:tcW w:w="1795" w:type="pct"/>
          </w:tcPr>
          <w:p w14:paraId="17C650B8" w14:textId="41C307A5" w:rsidR="00324B33" w:rsidRPr="004D5F6D" w:rsidRDefault="00063F39" w:rsidP="004D5F6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i/>
              </w:rPr>
            </w:pPr>
            <w:r w:rsidRPr="0C6F6609">
              <w:rPr>
                <w:i/>
              </w:rPr>
              <w:t>Sunlenca, in combination with other antiretroviral(s), is indicated for the treatment of human immunodeficiency virus type 1 (HIV</w:t>
            </w:r>
            <w:r w:rsidR="006D7271">
              <w:rPr>
                <w:i/>
                <w:iCs/>
                <w:szCs w:val="22"/>
              </w:rPr>
              <w:noBreakHyphen/>
            </w:r>
            <w:r w:rsidRPr="0C6F6609">
              <w:rPr>
                <w:i/>
              </w:rPr>
              <w:t>1) infection in heavily treatment</w:t>
            </w:r>
            <w:r w:rsidR="006D7271">
              <w:rPr>
                <w:i/>
                <w:iCs/>
                <w:szCs w:val="22"/>
              </w:rPr>
              <w:noBreakHyphen/>
            </w:r>
            <w:r w:rsidRPr="0C6F6609">
              <w:rPr>
                <w:i/>
              </w:rPr>
              <w:t>experienced adults with multidrug resistant HIV</w:t>
            </w:r>
            <w:r w:rsidR="006D7271">
              <w:rPr>
                <w:i/>
                <w:iCs/>
                <w:szCs w:val="22"/>
              </w:rPr>
              <w:noBreakHyphen/>
            </w:r>
            <w:r w:rsidRPr="0C6F6609">
              <w:rPr>
                <w:i/>
              </w:rPr>
              <w:t>1 infection failing their current antiretroviral regimen due to resistance, intolerance, or safety considerations.</w:t>
            </w:r>
          </w:p>
        </w:tc>
      </w:tr>
    </w:tbl>
    <w:p w14:paraId="6D92589C" w14:textId="77777777" w:rsidR="00324B33" w:rsidRDefault="00063F39" w:rsidP="00324B33">
      <w:pPr>
        <w:pStyle w:val="Heading2"/>
      </w:pPr>
      <w:bookmarkStart w:id="22" w:name="_Toc504480011"/>
      <w:bookmarkStart w:id="23" w:name="_Toc103679293"/>
      <w:bookmarkStart w:id="24" w:name="_Toc157422718"/>
      <w:r>
        <w:t>Registration timeline</w:t>
      </w:r>
      <w:bookmarkEnd w:id="22"/>
      <w:bookmarkEnd w:id="23"/>
      <w:bookmarkEnd w:id="24"/>
    </w:p>
    <w:p w14:paraId="225E3D87" w14:textId="1F3070CE" w:rsidR="00324B33" w:rsidRPr="00BD5DBD" w:rsidRDefault="00063F39" w:rsidP="00324B33">
      <w:pPr>
        <w:rPr>
          <w:szCs w:val="22"/>
        </w:rPr>
      </w:pPr>
      <w:r w:rsidRPr="00BD5DBD">
        <w:rPr>
          <w:szCs w:val="22"/>
        </w:rPr>
        <w:t>The following table captures the key steps and dates for this submission.</w:t>
      </w:r>
    </w:p>
    <w:p w14:paraId="174403DA" w14:textId="4E34BFE0" w:rsidR="007E00B0" w:rsidRPr="00BD5DBD" w:rsidRDefault="00063F39" w:rsidP="007E00B0">
      <w:pPr>
        <w:rPr>
          <w:szCs w:val="22"/>
        </w:rPr>
      </w:pPr>
      <w:r w:rsidRPr="00BD5DBD">
        <w:rPr>
          <w:szCs w:val="22"/>
        </w:rPr>
        <w:t xml:space="preserve">This submission was evaluated under the </w:t>
      </w:r>
      <w:hyperlink r:id="rId21" w:anchor="process" w:history="1">
        <w:r w:rsidRPr="00BD5DBD">
          <w:rPr>
            <w:rStyle w:val="Hyperlink"/>
            <w:szCs w:val="22"/>
          </w:rPr>
          <w:t>priority registration process</w:t>
        </w:r>
      </w:hyperlink>
      <w:r w:rsidRPr="00BD5DBD">
        <w:rPr>
          <w:szCs w:val="22"/>
        </w:rPr>
        <w:t>.</w:t>
      </w:r>
    </w:p>
    <w:p w14:paraId="44628C5F" w14:textId="24654469" w:rsidR="00324B33" w:rsidRPr="00B379B5" w:rsidRDefault="00063F39" w:rsidP="0013528C">
      <w:pPr>
        <w:pStyle w:val="TableTitle"/>
      </w:pPr>
      <w:r w:rsidRPr="00B379B5">
        <w:t xml:space="preserve">Table </w:t>
      </w:r>
      <w:r w:rsidR="00B3560F" w:rsidRPr="00B379B5">
        <w:fldChar w:fldCharType="begin"/>
      </w:r>
      <w:r>
        <w:instrText xml:space="preserve"> SEQ Table \* ARABIC </w:instrText>
      </w:r>
      <w:r w:rsidR="00B3560F" w:rsidRPr="00B379B5">
        <w:fldChar w:fldCharType="separate"/>
      </w:r>
      <w:r w:rsidR="000623A2">
        <w:rPr>
          <w:noProof/>
        </w:rPr>
        <w:t>2</w:t>
      </w:r>
      <w:r w:rsidR="00B3560F" w:rsidRPr="00B379B5">
        <w:rPr>
          <w:noProof/>
        </w:rPr>
        <w:fldChar w:fldCharType="end"/>
      </w:r>
      <w:r w:rsidRPr="00B379B5">
        <w:t>: Timeline for Submission PM</w:t>
      </w:r>
      <w:r w:rsidR="006D7271" w:rsidRPr="00B379B5">
        <w:noBreakHyphen/>
      </w:r>
      <w:r w:rsidRPr="00B379B5">
        <w:t>202</w:t>
      </w:r>
      <w:r w:rsidR="00776ED6" w:rsidRPr="00B379B5">
        <w:t>2</w:t>
      </w:r>
      <w:r w:rsidR="006D7271" w:rsidRPr="00B379B5">
        <w:noBreakHyphen/>
      </w:r>
      <w:r w:rsidR="00776ED6" w:rsidRPr="00B379B5">
        <w:t>00982</w:t>
      </w:r>
      <w:r w:rsidR="006D7271" w:rsidRPr="00B379B5">
        <w:noBreakHyphen/>
      </w:r>
      <w:r w:rsidRPr="00B379B5">
        <w:t>1</w:t>
      </w:r>
      <w:r w:rsidR="006D7271" w:rsidRPr="00B379B5">
        <w:noBreakHyphen/>
      </w:r>
      <w:r w:rsidR="00776ED6" w:rsidRPr="00B379B5">
        <w:t>2</w:t>
      </w:r>
    </w:p>
    <w:tbl>
      <w:tblPr>
        <w:tblStyle w:val="TableTGAblue2023"/>
        <w:tblW w:w="8642" w:type="dxa"/>
        <w:tblLook w:val="04A0" w:firstRow="1" w:lastRow="0" w:firstColumn="1" w:lastColumn="0" w:noHBand="0" w:noVBand="1"/>
      </w:tblPr>
      <w:tblGrid>
        <w:gridCol w:w="6091"/>
        <w:gridCol w:w="2551"/>
      </w:tblGrid>
      <w:tr w:rsidR="00345E6F" w14:paraId="6C59BE9C" w14:textId="77777777" w:rsidTr="005C49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6D80E78" w14:textId="3EC0CCAF" w:rsidR="00324B33" w:rsidRPr="00D01DDB" w:rsidRDefault="00063F39" w:rsidP="00324B33">
            <w:pPr>
              <w:rPr>
                <w:szCs w:val="22"/>
              </w:rPr>
            </w:pPr>
            <w:r w:rsidRPr="00D01DDB">
              <w:rPr>
                <w:szCs w:val="22"/>
              </w:rPr>
              <w:t>Description</w:t>
            </w:r>
          </w:p>
        </w:tc>
        <w:tc>
          <w:tcPr>
            <w:tcW w:w="2551" w:type="dxa"/>
          </w:tcPr>
          <w:p w14:paraId="79AFDC4B" w14:textId="05792035" w:rsidR="00324B33" w:rsidRPr="00D01DDB" w:rsidRDefault="00063F39"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45E6F" w14:paraId="1C5E41EF" w14:textId="77777777" w:rsidTr="005C49E4">
        <w:tc>
          <w:tcPr>
            <w:cnfStyle w:val="001000000000" w:firstRow="0" w:lastRow="0" w:firstColumn="1" w:lastColumn="0" w:oddVBand="0" w:evenVBand="0" w:oddHBand="0" w:evenHBand="0" w:firstRowFirstColumn="0" w:firstRowLastColumn="0" w:lastRowFirstColumn="0" w:lastRowLastColumn="0"/>
            <w:tcW w:w="6091" w:type="dxa"/>
          </w:tcPr>
          <w:p w14:paraId="28A40E93" w14:textId="0FE75DC2" w:rsidR="006D420C" w:rsidRPr="00DD03F7" w:rsidRDefault="00A07019" w:rsidP="00324B33">
            <w:pPr>
              <w:rPr>
                <w:szCs w:val="22"/>
              </w:rPr>
            </w:pPr>
            <w:r>
              <w:t>Priority d</w:t>
            </w:r>
            <w:r w:rsidR="00063F39" w:rsidRPr="00DD03F7">
              <w:t>etermination</w:t>
            </w:r>
          </w:p>
        </w:tc>
        <w:tc>
          <w:tcPr>
            <w:tcW w:w="2551" w:type="dxa"/>
          </w:tcPr>
          <w:p w14:paraId="38CFF106" w14:textId="285368D9" w:rsidR="006D420C"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sidRPr="00DD03F7">
              <w:rPr>
                <w:szCs w:val="22"/>
              </w:rPr>
              <w:t>2 February 2022</w:t>
            </w:r>
          </w:p>
        </w:tc>
      </w:tr>
      <w:tr w:rsidR="00345E6F" w14:paraId="23610C53" w14:textId="77777777" w:rsidTr="005C49E4">
        <w:tc>
          <w:tcPr>
            <w:cnfStyle w:val="001000000000" w:firstRow="0" w:lastRow="0" w:firstColumn="1" w:lastColumn="0" w:oddVBand="0" w:evenVBand="0" w:oddHBand="0" w:evenHBand="0" w:firstRowFirstColumn="0" w:firstRowLastColumn="0" w:lastRowFirstColumn="0" w:lastRowLastColumn="0"/>
            <w:tcW w:w="6091" w:type="dxa"/>
          </w:tcPr>
          <w:p w14:paraId="759D2A12" w14:textId="3EEA9A77" w:rsidR="00324B33" w:rsidRPr="00D01DDB" w:rsidRDefault="00063F39" w:rsidP="00324B33">
            <w:pPr>
              <w:rPr>
                <w:szCs w:val="22"/>
              </w:rPr>
            </w:pPr>
            <w:r w:rsidRPr="00D01DDB">
              <w:rPr>
                <w:szCs w:val="22"/>
              </w:rPr>
              <w:t>Submission dossier accepted and first round evaluation commenced</w:t>
            </w:r>
          </w:p>
        </w:tc>
        <w:tc>
          <w:tcPr>
            <w:tcW w:w="2551" w:type="dxa"/>
          </w:tcPr>
          <w:p w14:paraId="2963D9D8" w14:textId="4DFD801F"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May 2022</w:t>
            </w:r>
          </w:p>
        </w:tc>
      </w:tr>
      <w:tr w:rsidR="00345E6F" w14:paraId="767E33A4" w14:textId="77777777" w:rsidTr="005C49E4">
        <w:tc>
          <w:tcPr>
            <w:cnfStyle w:val="001000000000" w:firstRow="0" w:lastRow="0" w:firstColumn="1" w:lastColumn="0" w:oddVBand="0" w:evenVBand="0" w:oddHBand="0" w:evenHBand="0" w:firstRowFirstColumn="0" w:firstRowLastColumn="0" w:lastRowFirstColumn="0" w:lastRowLastColumn="0"/>
            <w:tcW w:w="6091" w:type="dxa"/>
          </w:tcPr>
          <w:p w14:paraId="4AFC5B50" w14:textId="2BCC6A3E" w:rsidR="00324B33" w:rsidRPr="00D01DDB" w:rsidRDefault="00063F39" w:rsidP="00324B33">
            <w:pPr>
              <w:rPr>
                <w:szCs w:val="22"/>
              </w:rPr>
            </w:pPr>
            <w:r w:rsidRPr="00D01DDB">
              <w:rPr>
                <w:szCs w:val="22"/>
              </w:rPr>
              <w:t>Second round evaluation completed</w:t>
            </w:r>
          </w:p>
        </w:tc>
        <w:tc>
          <w:tcPr>
            <w:tcW w:w="2551" w:type="dxa"/>
          </w:tcPr>
          <w:p w14:paraId="4E47DF62" w14:textId="074E1B22"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 January 2023</w:t>
            </w:r>
          </w:p>
        </w:tc>
      </w:tr>
      <w:tr w:rsidR="00345E6F" w14:paraId="302FCB45" w14:textId="77777777" w:rsidTr="005C49E4">
        <w:tc>
          <w:tcPr>
            <w:cnfStyle w:val="001000000000" w:firstRow="0" w:lastRow="0" w:firstColumn="1" w:lastColumn="0" w:oddVBand="0" w:evenVBand="0" w:oddHBand="0" w:evenHBand="0" w:firstRowFirstColumn="0" w:firstRowLastColumn="0" w:lastRowFirstColumn="0" w:lastRowLastColumn="0"/>
            <w:tcW w:w="6091" w:type="dxa"/>
          </w:tcPr>
          <w:p w14:paraId="716E9DC1" w14:textId="72091D94" w:rsidR="00324B33" w:rsidRPr="00D01DDB" w:rsidRDefault="00063F39" w:rsidP="00324B33">
            <w:r w:rsidRPr="0C6F6609">
              <w:t>Delegate’s Overall benefit</w:t>
            </w:r>
            <w:r w:rsidR="006D7271">
              <w:rPr>
                <w:szCs w:val="22"/>
              </w:rPr>
              <w:noBreakHyphen/>
            </w:r>
            <w:r w:rsidRPr="0C6F6609">
              <w:t>risk asse</w:t>
            </w:r>
            <w:r w:rsidRPr="0C6F6609">
              <w:rPr>
                <w:color w:val="auto"/>
              </w:rPr>
              <w:t>ssment and request for Advisory Committee advice</w:t>
            </w:r>
            <w:r>
              <w:rPr>
                <w:rStyle w:val="FootnoteReference"/>
                <w:color w:val="auto"/>
              </w:rPr>
              <w:footnoteReference w:id="4"/>
            </w:r>
          </w:p>
        </w:tc>
        <w:tc>
          <w:tcPr>
            <w:tcW w:w="2551" w:type="dxa"/>
          </w:tcPr>
          <w:p w14:paraId="3BA6EF79" w14:textId="2AEDE72A"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January 2023</w:t>
            </w:r>
          </w:p>
        </w:tc>
      </w:tr>
      <w:tr w:rsidR="00345E6F" w14:paraId="5832EBC8" w14:textId="77777777" w:rsidTr="005C49E4">
        <w:tc>
          <w:tcPr>
            <w:cnfStyle w:val="001000000000" w:firstRow="0" w:lastRow="0" w:firstColumn="1" w:lastColumn="0" w:oddVBand="0" w:evenVBand="0" w:oddHBand="0" w:evenHBand="0" w:firstRowFirstColumn="0" w:firstRowLastColumn="0" w:lastRowFirstColumn="0" w:lastRowLastColumn="0"/>
            <w:tcW w:w="6091" w:type="dxa"/>
          </w:tcPr>
          <w:p w14:paraId="720592DE" w14:textId="1257ED4C" w:rsidR="00324B33" w:rsidRPr="00D01DDB" w:rsidRDefault="00063F39" w:rsidP="00324B33">
            <w:pPr>
              <w:rPr>
                <w:szCs w:val="22"/>
              </w:rPr>
            </w:pPr>
            <w:r w:rsidRPr="00D01DDB">
              <w:rPr>
                <w:szCs w:val="22"/>
              </w:rPr>
              <w:t>Sponsor’s pre</w:t>
            </w:r>
            <w:r w:rsidR="006D7271">
              <w:rPr>
                <w:szCs w:val="22"/>
              </w:rPr>
              <w:noBreakHyphen/>
            </w:r>
            <w:r w:rsidRPr="00D01DDB">
              <w:rPr>
                <w:szCs w:val="22"/>
              </w:rPr>
              <w:t>Advisory Committee response</w:t>
            </w:r>
          </w:p>
        </w:tc>
        <w:tc>
          <w:tcPr>
            <w:tcW w:w="2551" w:type="dxa"/>
          </w:tcPr>
          <w:p w14:paraId="5AE04841" w14:textId="26EE00EC"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January 2023</w:t>
            </w:r>
          </w:p>
        </w:tc>
      </w:tr>
      <w:tr w:rsidR="00345E6F" w14:paraId="5754F7AC" w14:textId="77777777" w:rsidTr="005C49E4">
        <w:tc>
          <w:tcPr>
            <w:cnfStyle w:val="001000000000" w:firstRow="0" w:lastRow="0" w:firstColumn="1" w:lastColumn="0" w:oddVBand="0" w:evenVBand="0" w:oddHBand="0" w:evenHBand="0" w:firstRowFirstColumn="0" w:firstRowLastColumn="0" w:lastRowFirstColumn="0" w:lastRowLastColumn="0"/>
            <w:tcW w:w="6091" w:type="dxa"/>
          </w:tcPr>
          <w:p w14:paraId="789DE187" w14:textId="123446EE" w:rsidR="00324B33" w:rsidRPr="00D01DDB" w:rsidRDefault="00063F39" w:rsidP="00324B33">
            <w:pPr>
              <w:rPr>
                <w:szCs w:val="22"/>
              </w:rPr>
            </w:pPr>
            <w:r w:rsidRPr="00D01DDB">
              <w:rPr>
                <w:szCs w:val="22"/>
              </w:rPr>
              <w:t>Advisory Committee meeting</w:t>
            </w:r>
          </w:p>
        </w:tc>
        <w:tc>
          <w:tcPr>
            <w:tcW w:w="2551" w:type="dxa"/>
          </w:tcPr>
          <w:p w14:paraId="5BE1EDE7" w14:textId="481524CF"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February 2023</w:t>
            </w:r>
          </w:p>
        </w:tc>
      </w:tr>
      <w:tr w:rsidR="00345E6F" w14:paraId="6E5D32FE" w14:textId="77777777" w:rsidTr="005C49E4">
        <w:tc>
          <w:tcPr>
            <w:cnfStyle w:val="001000000000" w:firstRow="0" w:lastRow="0" w:firstColumn="1" w:lastColumn="0" w:oddVBand="0" w:evenVBand="0" w:oddHBand="0" w:evenHBand="0" w:firstRowFirstColumn="0" w:firstRowLastColumn="0" w:lastRowFirstColumn="0" w:lastRowLastColumn="0"/>
            <w:tcW w:w="6091" w:type="dxa"/>
          </w:tcPr>
          <w:p w14:paraId="4E95C44C" w14:textId="7A91C710" w:rsidR="00324B33" w:rsidRPr="00D01DDB" w:rsidRDefault="00063F39" w:rsidP="00324B33">
            <w:pPr>
              <w:rPr>
                <w:szCs w:val="22"/>
              </w:rPr>
            </w:pPr>
            <w:r w:rsidRPr="00D01DDB">
              <w:rPr>
                <w:szCs w:val="22"/>
              </w:rPr>
              <w:t>Registration decision (Outcome)</w:t>
            </w:r>
          </w:p>
        </w:tc>
        <w:tc>
          <w:tcPr>
            <w:tcW w:w="2551" w:type="dxa"/>
          </w:tcPr>
          <w:p w14:paraId="62987ABD" w14:textId="5116B4D4"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 March 2023</w:t>
            </w:r>
          </w:p>
        </w:tc>
      </w:tr>
      <w:tr w:rsidR="00345E6F" w14:paraId="6DDCDDA4" w14:textId="77777777" w:rsidTr="005C49E4">
        <w:tc>
          <w:tcPr>
            <w:cnfStyle w:val="001000000000" w:firstRow="0" w:lastRow="0" w:firstColumn="1" w:lastColumn="0" w:oddVBand="0" w:evenVBand="0" w:oddHBand="0" w:evenHBand="0" w:firstRowFirstColumn="0" w:firstRowLastColumn="0" w:lastRowFirstColumn="0" w:lastRowLastColumn="0"/>
            <w:tcW w:w="6091" w:type="dxa"/>
          </w:tcPr>
          <w:p w14:paraId="192FD19D" w14:textId="30B36CD2" w:rsidR="00324B33" w:rsidRPr="00D01DDB" w:rsidRDefault="00063F39" w:rsidP="00324B33">
            <w:pPr>
              <w:rPr>
                <w:szCs w:val="22"/>
              </w:rPr>
            </w:pPr>
            <w:r>
              <w:t xml:space="preserve">Administrative activities and registration </w:t>
            </w:r>
            <w:r w:rsidR="004C38D2">
              <w:t>i</w:t>
            </w:r>
            <w:r>
              <w:t>n the ARTG completed</w:t>
            </w:r>
          </w:p>
        </w:tc>
        <w:tc>
          <w:tcPr>
            <w:tcW w:w="2551" w:type="dxa"/>
          </w:tcPr>
          <w:p w14:paraId="5A8923FD" w14:textId="15B0BEAA"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27 March 2023</w:t>
            </w:r>
          </w:p>
        </w:tc>
      </w:tr>
      <w:tr w:rsidR="00345E6F" w14:paraId="56D922E2" w14:textId="77777777" w:rsidTr="005C49E4">
        <w:tc>
          <w:tcPr>
            <w:cnfStyle w:val="001000000000" w:firstRow="0" w:lastRow="0" w:firstColumn="1" w:lastColumn="0" w:oddVBand="0" w:evenVBand="0" w:oddHBand="0" w:evenHBand="0" w:firstRowFirstColumn="0" w:firstRowLastColumn="0" w:lastRowFirstColumn="0" w:lastRowLastColumn="0"/>
            <w:tcW w:w="6091" w:type="dxa"/>
          </w:tcPr>
          <w:p w14:paraId="787FD8DD" w14:textId="0E0CF97F" w:rsidR="00324B33" w:rsidRPr="00D01DDB" w:rsidRDefault="00063F39" w:rsidP="00324B33">
            <w:pPr>
              <w:rPr>
                <w:szCs w:val="22"/>
              </w:rPr>
            </w:pPr>
            <w:r w:rsidRPr="00D01DDB">
              <w:rPr>
                <w:szCs w:val="22"/>
              </w:rPr>
              <w:t>Number of working days from submission dossier acceptance to registration decision*</w:t>
            </w:r>
          </w:p>
        </w:tc>
        <w:tc>
          <w:tcPr>
            <w:tcW w:w="2551" w:type="dxa"/>
          </w:tcPr>
          <w:p w14:paraId="5BAF9FA1" w14:textId="15E992C9" w:rsidR="00324B33" w:rsidRPr="00D01DDB" w:rsidRDefault="00063F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139</w:t>
            </w:r>
          </w:p>
        </w:tc>
      </w:tr>
    </w:tbl>
    <w:p w14:paraId="7B02554C" w14:textId="651D502F" w:rsidR="00433318" w:rsidRDefault="00063F39" w:rsidP="00433318">
      <w:pPr>
        <w:pStyle w:val="TableDescription"/>
      </w:pPr>
      <w:r>
        <w:t>*</w:t>
      </w:r>
      <w:r w:rsidR="003D53E6">
        <w:t>Target timeframe for priority submissions is 150 working days from acceptance for evaluation to the decision</w:t>
      </w:r>
      <w:r w:rsidR="003D4A7D">
        <w:t>.</w:t>
      </w:r>
    </w:p>
    <w:p w14:paraId="220925F1" w14:textId="77777777" w:rsidR="00C22214" w:rsidRPr="00792A32" w:rsidRDefault="00063F39" w:rsidP="005C49E4">
      <w:pPr>
        <w:pStyle w:val="Heading2"/>
        <w:pageBreakBefore/>
      </w:pPr>
      <w:bookmarkStart w:id="25" w:name="_Toc196046504"/>
      <w:bookmarkStart w:id="26" w:name="_Toc247691527"/>
      <w:bookmarkStart w:id="27" w:name="_Toc314842510"/>
      <w:bookmarkStart w:id="28" w:name="_Toc103679294"/>
      <w:bookmarkStart w:id="29" w:name="_Toc157422719"/>
      <w:r w:rsidRPr="00006FAB">
        <w:lastRenderedPageBreak/>
        <w:t xml:space="preserve">Submission overview </w:t>
      </w:r>
      <w:r w:rsidRPr="00792A32">
        <w:t xml:space="preserve">and </w:t>
      </w:r>
      <w:r>
        <w:t>r</w:t>
      </w:r>
      <w:r w:rsidRPr="00792A32">
        <w:t>isk/</w:t>
      </w:r>
      <w:r>
        <w:t>b</w:t>
      </w:r>
      <w:r w:rsidRPr="00792A32">
        <w:t xml:space="preserve">enefit </w:t>
      </w:r>
      <w:r>
        <w:t>a</w:t>
      </w:r>
      <w:r w:rsidRPr="00792A32">
        <w:t>ssessment</w:t>
      </w:r>
      <w:bookmarkEnd w:id="25"/>
      <w:bookmarkEnd w:id="26"/>
      <w:bookmarkEnd w:id="27"/>
      <w:bookmarkEnd w:id="28"/>
      <w:bookmarkEnd w:id="29"/>
    </w:p>
    <w:p w14:paraId="540151FC" w14:textId="77777777" w:rsidR="00C22214" w:rsidRPr="00BD5DBD" w:rsidRDefault="00063F39" w:rsidP="00BD5DBD">
      <w:pPr>
        <w:rPr>
          <w:szCs w:val="22"/>
        </w:rPr>
      </w:pPr>
      <w:bookmarkStart w:id="30" w:name="_Toc247691528"/>
      <w:bookmarkStart w:id="31" w:name="_Toc314842511"/>
      <w:r w:rsidRPr="00BD5DBD">
        <w:rPr>
          <w:szCs w:val="22"/>
        </w:rPr>
        <w:t>A summary of the TGA’s assessment for this submission is provided below.</w:t>
      </w:r>
    </w:p>
    <w:p w14:paraId="668E3E84" w14:textId="08F61339" w:rsidR="007072A1" w:rsidRPr="00BD5DBD" w:rsidRDefault="00063F39" w:rsidP="00966EF1">
      <w:pPr>
        <w:rPr>
          <w:szCs w:val="22"/>
        </w:rPr>
      </w:pPr>
      <w:r w:rsidRPr="00BD5DBD">
        <w:rPr>
          <w:szCs w:val="22"/>
        </w:rPr>
        <w:t>Relevant guidelines or guidance documents referred to by the Delegate are listed below:</w:t>
      </w:r>
    </w:p>
    <w:p w14:paraId="53A15769" w14:textId="70CBF8B0" w:rsidR="00811C5A" w:rsidRPr="007F730D" w:rsidRDefault="00063F39" w:rsidP="00A16E26">
      <w:pPr>
        <w:spacing w:line="240" w:lineRule="auto"/>
        <w:rPr>
          <w:rFonts w:asciiTheme="minorHAnsi" w:hAnsiTheme="minorHAnsi" w:cstheme="minorHAnsi"/>
          <w:sz w:val="18"/>
          <w:szCs w:val="18"/>
          <w:highlight w:val="cyan"/>
        </w:rPr>
      </w:pPr>
      <w:r>
        <w:t>Committee for Medicinal Products for Human Use (CHMP): Guideline on the clinical development of medicinal products for the treatment of HIV infection. EMEA/CPMP/EWP/633/02 Rev. 3.</w:t>
      </w:r>
    </w:p>
    <w:p w14:paraId="4BF5496A" w14:textId="77303BA8" w:rsidR="00A16E26" w:rsidRPr="00A16E26" w:rsidRDefault="00063F39" w:rsidP="00A16E26">
      <w:r>
        <w:t xml:space="preserve">European Agency for the Evaluation of Medicinal Products. Committee For Proprietary Medicinal Products (CPMP): Points </w:t>
      </w:r>
      <w:r w:rsidR="00D12658">
        <w:t>to</w:t>
      </w:r>
      <w:r>
        <w:t xml:space="preserve"> Consider </w:t>
      </w:r>
      <w:r w:rsidR="00D12658">
        <w:t>on</w:t>
      </w:r>
      <w:r>
        <w:t xml:space="preserve"> Application With 1. Meta</w:t>
      </w:r>
      <w:r w:rsidR="006D7271">
        <w:noBreakHyphen/>
      </w:r>
      <w:r>
        <w:t>Analyses; 2. One Pivotal Study. CPMP</w:t>
      </w:r>
      <w:r w:rsidRPr="00811C5A">
        <w:t>/E</w:t>
      </w:r>
      <w:r>
        <w:t>WP</w:t>
      </w:r>
      <w:r w:rsidRPr="00811C5A">
        <w:t>/2330/99</w:t>
      </w:r>
      <w:r>
        <w:t>.</w:t>
      </w:r>
    </w:p>
    <w:p w14:paraId="37F5A1C0" w14:textId="77777777" w:rsidR="00C22214" w:rsidRDefault="00063F39" w:rsidP="00C22214">
      <w:pPr>
        <w:pStyle w:val="Heading3"/>
      </w:pPr>
      <w:bookmarkStart w:id="32" w:name="_Toc103679295"/>
      <w:bookmarkStart w:id="33" w:name="_Toc157422720"/>
      <w:r>
        <w:t>Quality</w:t>
      </w:r>
      <w:bookmarkEnd w:id="30"/>
      <w:bookmarkEnd w:id="31"/>
      <w:bookmarkEnd w:id="32"/>
      <w:bookmarkEnd w:id="33"/>
    </w:p>
    <w:p w14:paraId="3965F46C" w14:textId="0E7A176D" w:rsidR="00430920" w:rsidRDefault="00063F39" w:rsidP="006D0FAC">
      <w:pPr>
        <w:pStyle w:val="Heading4"/>
        <w:rPr>
          <w:lang w:eastAsia="ja-JP"/>
        </w:rPr>
      </w:pPr>
      <w:bookmarkStart w:id="34" w:name="_Toc157422721"/>
      <w:r>
        <w:rPr>
          <w:lang w:eastAsia="ja-JP"/>
        </w:rPr>
        <w:t>Drug substance</w:t>
      </w:r>
      <w:bookmarkEnd w:id="34"/>
    </w:p>
    <w:p w14:paraId="175EB1CC" w14:textId="6798C42B" w:rsidR="00430920" w:rsidRDefault="00063F39" w:rsidP="00430920">
      <w:r w:rsidRPr="001146E2">
        <w:t xml:space="preserve">The molecular formula </w:t>
      </w:r>
      <w:r w:rsidR="00AD13AF">
        <w:t xml:space="preserve">of lenacapavir sodium </w:t>
      </w:r>
      <w:r w:rsidRPr="001146E2">
        <w:t>is</w:t>
      </w:r>
      <w:r>
        <w:t xml:space="preserve"> </w:t>
      </w:r>
      <w:r w:rsidRPr="00AA3E37">
        <w:t>C</w:t>
      </w:r>
      <w:r w:rsidRPr="00AA3E37">
        <w:rPr>
          <w:vertAlign w:val="subscript"/>
        </w:rPr>
        <w:t>39</w:t>
      </w:r>
      <w:r w:rsidRPr="00AA3E37">
        <w:t>H</w:t>
      </w:r>
      <w:r w:rsidRPr="00AA3E37">
        <w:rPr>
          <w:vertAlign w:val="subscript"/>
        </w:rPr>
        <w:t>31</w:t>
      </w:r>
      <w:r w:rsidRPr="00AA3E37">
        <w:t>ClF</w:t>
      </w:r>
      <w:r w:rsidRPr="00AA3E37">
        <w:rPr>
          <w:vertAlign w:val="subscript"/>
        </w:rPr>
        <w:t>10</w:t>
      </w:r>
      <w:r w:rsidRPr="00AA3E37">
        <w:t>N</w:t>
      </w:r>
      <w:r w:rsidRPr="00AA3E37">
        <w:rPr>
          <w:vertAlign w:val="subscript"/>
        </w:rPr>
        <w:t>7</w:t>
      </w:r>
      <w:r w:rsidRPr="00AA3E37">
        <w:t>NaO</w:t>
      </w:r>
      <w:r w:rsidRPr="00AA3E37">
        <w:rPr>
          <w:vertAlign w:val="subscript"/>
        </w:rPr>
        <w:t>5</w:t>
      </w:r>
      <w:r w:rsidRPr="00AA3E37">
        <w:t>S</w:t>
      </w:r>
      <w:r w:rsidRPr="00AA3E37">
        <w:rPr>
          <w:vertAlign w:val="subscript"/>
        </w:rPr>
        <w:t>2</w:t>
      </w:r>
      <w:r w:rsidR="00AD13AF">
        <w:rPr>
          <w:vertAlign w:val="subscript"/>
        </w:rPr>
        <w:t xml:space="preserve"> </w:t>
      </w:r>
      <w:r w:rsidR="00AD13AF">
        <w:t xml:space="preserve">and its chemical structure is shown in </w:t>
      </w:r>
      <w:r w:rsidR="00313025">
        <w:fldChar w:fldCharType="begin"/>
      </w:r>
      <w:r w:rsidR="00313025">
        <w:instrText xml:space="preserve"> REF _Ref148516815 \h </w:instrText>
      </w:r>
      <w:r w:rsidR="00313025">
        <w:fldChar w:fldCharType="separate"/>
      </w:r>
      <w:r w:rsidR="000623A2">
        <w:t xml:space="preserve">Figure </w:t>
      </w:r>
      <w:r w:rsidR="000623A2">
        <w:rPr>
          <w:noProof/>
        </w:rPr>
        <w:t>1</w:t>
      </w:r>
      <w:r w:rsidR="00313025">
        <w:fldChar w:fldCharType="end"/>
      </w:r>
      <w:r w:rsidR="00313025">
        <w:t>.</w:t>
      </w:r>
      <w:r w:rsidR="00314D24">
        <w:t xml:space="preserve"> </w:t>
      </w:r>
      <w:r w:rsidRPr="00D87A11">
        <w:t xml:space="preserve">The drug substance has </w:t>
      </w:r>
      <w:r w:rsidR="009D1A4A">
        <w:t>3</w:t>
      </w:r>
      <w:r w:rsidRPr="00D87A11">
        <w:t xml:space="preserve"> stereogenic centres with defined configuration and is produced as a single stereoisomer of an interconvertible mixture of </w:t>
      </w:r>
      <w:r w:rsidR="009D1A4A">
        <w:t>2</w:t>
      </w:r>
      <w:r w:rsidRPr="00D87A11">
        <w:t xml:space="preserve"> atropisomers.</w:t>
      </w:r>
      <w:r>
        <w:t xml:space="preserve"> </w:t>
      </w:r>
      <w:r w:rsidRPr="00D87A11">
        <w:t>Form I, II, and III are the solvent</w:t>
      </w:r>
      <w:r w:rsidR="006D7271">
        <w:noBreakHyphen/>
      </w:r>
      <w:r w:rsidRPr="00D87A11">
        <w:t>free crystalline forms of lenacapavir sodium that have been isolated in laboratory studies. Form I is the designated drug substance, and the manufacturing process is designed to produce this form.</w:t>
      </w:r>
    </w:p>
    <w:p w14:paraId="61B74074" w14:textId="7C997D39" w:rsidR="00430920" w:rsidRDefault="00063F39" w:rsidP="00646224">
      <w:pPr>
        <w:pStyle w:val="FigureTitle"/>
        <w:keepNext/>
        <w:rPr>
          <w:lang w:eastAsia="ja-JP"/>
        </w:rPr>
      </w:pPr>
      <w:bookmarkStart w:id="35" w:name="_Ref148516815"/>
      <w:r>
        <w:t xml:space="preserve">Figure </w:t>
      </w:r>
      <w:r w:rsidR="00B86A91">
        <w:fldChar w:fldCharType="begin"/>
      </w:r>
      <w:r>
        <w:instrText xml:space="preserve"> SEQ Figure \* ARABIC </w:instrText>
      </w:r>
      <w:r w:rsidR="00B86A91">
        <w:fldChar w:fldCharType="separate"/>
      </w:r>
      <w:r w:rsidR="000623A2">
        <w:rPr>
          <w:noProof/>
        </w:rPr>
        <w:t>1</w:t>
      </w:r>
      <w:r w:rsidR="00B86A91">
        <w:rPr>
          <w:noProof/>
        </w:rPr>
        <w:fldChar w:fldCharType="end"/>
      </w:r>
      <w:bookmarkEnd w:id="35"/>
      <w:r>
        <w:t xml:space="preserve">. </w:t>
      </w:r>
      <w:r>
        <w:rPr>
          <w:lang w:eastAsia="ja-JP"/>
        </w:rPr>
        <w:t>C</w:t>
      </w:r>
      <w:r w:rsidRPr="001146E2">
        <w:rPr>
          <w:lang w:eastAsia="ja-JP"/>
        </w:rPr>
        <w:t>hemical structure of lenacapavir sodium</w:t>
      </w:r>
    </w:p>
    <w:p w14:paraId="4E309AB3" w14:textId="77777777" w:rsidR="00430920" w:rsidRDefault="00063F39" w:rsidP="00430920">
      <w:pPr>
        <w:spacing w:line="240" w:lineRule="auto"/>
        <w:rPr>
          <w:lang w:eastAsia="ja-JP"/>
        </w:rPr>
      </w:pPr>
      <w:r>
        <w:rPr>
          <w:noProof/>
        </w:rPr>
        <w:drawing>
          <wp:inline distT="0" distB="0" distL="0" distR="0" wp14:anchorId="114505A3" wp14:editId="1FF6058D">
            <wp:extent cx="2289407" cy="1614114"/>
            <wp:effectExtent l="0" t="0" r="0" b="5715"/>
            <wp:docPr id="14" name="Picture 14" descr="Structural formula of lenacapavir s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ructural formula of lenacapavir sodium"/>
                    <pic:cNvPicPr/>
                  </pic:nvPicPr>
                  <pic:blipFill>
                    <a:blip r:embed="rId22"/>
                    <a:stretch>
                      <a:fillRect/>
                    </a:stretch>
                  </pic:blipFill>
                  <pic:spPr>
                    <a:xfrm>
                      <a:off x="0" y="0"/>
                      <a:ext cx="2292313" cy="1616163"/>
                    </a:xfrm>
                    <a:prstGeom prst="rect">
                      <a:avLst/>
                    </a:prstGeom>
                  </pic:spPr>
                </pic:pic>
              </a:graphicData>
            </a:graphic>
          </wp:inline>
        </w:drawing>
      </w:r>
    </w:p>
    <w:p w14:paraId="26CF08E2" w14:textId="77777777" w:rsidR="00570628" w:rsidRDefault="00063F39" w:rsidP="00570628">
      <w:pPr>
        <w:spacing w:line="240" w:lineRule="auto"/>
        <w:rPr>
          <w:lang w:eastAsia="ja-JP"/>
        </w:rPr>
      </w:pPr>
      <w:r w:rsidRPr="001146E2">
        <w:rPr>
          <w:lang w:eastAsia="ja-JP"/>
        </w:rPr>
        <w:t>Total impurities are consistent with specified impurity levels and are satisfactory.</w:t>
      </w:r>
      <w:r>
        <w:rPr>
          <w:lang w:eastAsia="ja-JP"/>
        </w:rPr>
        <w:t xml:space="preserve"> </w:t>
      </w:r>
      <w:r w:rsidRPr="00D87A11">
        <w:rPr>
          <w:lang w:eastAsia="ja-JP"/>
        </w:rPr>
        <w:t>Satisfactory specifications have been provided for all reagents, solvents, raw materials, and auxiliary materials</w:t>
      </w:r>
      <w:r>
        <w:rPr>
          <w:lang w:eastAsia="ja-JP"/>
        </w:rPr>
        <w:t>.</w:t>
      </w:r>
    </w:p>
    <w:p w14:paraId="7A1532A2" w14:textId="0921A9DD" w:rsidR="00430920" w:rsidRPr="00694ECC" w:rsidRDefault="00063F39" w:rsidP="00430920">
      <w:pPr>
        <w:spacing w:line="240" w:lineRule="auto"/>
        <w:rPr>
          <w:lang w:eastAsia="ja-JP"/>
        </w:rPr>
      </w:pPr>
      <w:r w:rsidRPr="00D87A11">
        <w:rPr>
          <w:lang w:eastAsia="ja-JP"/>
        </w:rPr>
        <w:t>The data support the proposed retest period of 36</w:t>
      </w:r>
      <w:r w:rsidR="00570628">
        <w:rPr>
          <w:lang w:eastAsia="ja-JP"/>
        </w:rPr>
        <w:t> </w:t>
      </w:r>
      <w:r w:rsidRPr="00D87A11">
        <w:rPr>
          <w:lang w:eastAsia="ja-JP"/>
        </w:rPr>
        <w:t>months for the drug substance stored in the container closure system indicated at 30°C.</w:t>
      </w:r>
    </w:p>
    <w:p w14:paraId="1A4470E8" w14:textId="0E503233" w:rsidR="00430920" w:rsidRDefault="00063F39" w:rsidP="006D0FAC">
      <w:pPr>
        <w:pStyle w:val="Heading4"/>
        <w:rPr>
          <w:lang w:eastAsia="ja-JP"/>
        </w:rPr>
      </w:pPr>
      <w:bookmarkStart w:id="36" w:name="_Toc157422722"/>
      <w:r>
        <w:rPr>
          <w:lang w:eastAsia="ja-JP"/>
        </w:rPr>
        <w:t>Drug products</w:t>
      </w:r>
      <w:bookmarkEnd w:id="36"/>
    </w:p>
    <w:p w14:paraId="30BC04E7" w14:textId="28C4233D" w:rsidR="006D0FAC" w:rsidRPr="006D0FAC" w:rsidRDefault="00063F39" w:rsidP="006D0FAC">
      <w:pPr>
        <w:pStyle w:val="Heading5"/>
        <w:rPr>
          <w:lang w:eastAsia="ja-JP"/>
        </w:rPr>
      </w:pPr>
      <w:r>
        <w:rPr>
          <w:lang w:eastAsia="ja-JP"/>
        </w:rPr>
        <w:t>Solution for injection</w:t>
      </w:r>
    </w:p>
    <w:p w14:paraId="3FF0B2F5" w14:textId="7690CF2C" w:rsidR="00430920" w:rsidRDefault="00063F39" w:rsidP="00430920">
      <w:pPr>
        <w:spacing w:line="240" w:lineRule="auto"/>
        <w:rPr>
          <w:lang w:eastAsia="ja-JP"/>
        </w:rPr>
      </w:pPr>
      <w:r>
        <w:rPr>
          <w:lang w:eastAsia="ja-JP"/>
        </w:rPr>
        <w:t>The solution for injection is packaged in a 3</w:t>
      </w:r>
      <w:r w:rsidR="00924E58">
        <w:rPr>
          <w:lang w:eastAsia="ja-JP"/>
        </w:rPr>
        <w:t> </w:t>
      </w:r>
      <w:r>
        <w:rPr>
          <w:lang w:eastAsia="ja-JP"/>
        </w:rPr>
        <w:t xml:space="preserve">mL clear glass vial and is supplied as a kit containing </w:t>
      </w:r>
      <w:r w:rsidR="00924E58">
        <w:rPr>
          <w:lang w:eastAsia="ja-JP"/>
        </w:rPr>
        <w:t>2 </w:t>
      </w:r>
      <w:r>
        <w:rPr>
          <w:lang w:eastAsia="ja-JP"/>
        </w:rPr>
        <w:t>vials and co</w:t>
      </w:r>
      <w:r w:rsidR="006D7271">
        <w:rPr>
          <w:lang w:eastAsia="ja-JP"/>
        </w:rPr>
        <w:noBreakHyphen/>
      </w:r>
      <w:r>
        <w:rPr>
          <w:lang w:eastAsia="ja-JP"/>
        </w:rPr>
        <w:t>packaged with items to deliver the dose</w:t>
      </w:r>
      <w:r w:rsidR="00885AEA">
        <w:rPr>
          <w:lang w:eastAsia="ja-JP"/>
        </w:rPr>
        <w:t>: 2</w:t>
      </w:r>
      <w:r>
        <w:rPr>
          <w:lang w:eastAsia="ja-JP"/>
        </w:rPr>
        <w:t xml:space="preserve"> disposable 3</w:t>
      </w:r>
      <w:r w:rsidR="00885AEA">
        <w:rPr>
          <w:lang w:eastAsia="ja-JP"/>
        </w:rPr>
        <w:t> </w:t>
      </w:r>
      <w:r>
        <w:rPr>
          <w:lang w:eastAsia="ja-JP"/>
        </w:rPr>
        <w:t xml:space="preserve">mL syringes, </w:t>
      </w:r>
      <w:r w:rsidR="00885AEA">
        <w:rPr>
          <w:lang w:eastAsia="ja-JP"/>
        </w:rPr>
        <w:t>2</w:t>
      </w:r>
      <w:r>
        <w:rPr>
          <w:lang w:eastAsia="ja-JP"/>
        </w:rPr>
        <w:t xml:space="preserve"> injection safety needles, and </w:t>
      </w:r>
      <w:r w:rsidR="00885AEA">
        <w:rPr>
          <w:lang w:eastAsia="ja-JP"/>
        </w:rPr>
        <w:t>2</w:t>
      </w:r>
      <w:r>
        <w:rPr>
          <w:lang w:eastAsia="ja-JP"/>
        </w:rPr>
        <w:t xml:space="preserve"> vial transfer spikes. These components are </w:t>
      </w:r>
      <w:r w:rsidR="006A0B3D">
        <w:rPr>
          <w:lang w:eastAsia="ja-JP"/>
        </w:rPr>
        <w:t>included</w:t>
      </w:r>
      <w:r>
        <w:rPr>
          <w:lang w:eastAsia="ja-JP"/>
        </w:rPr>
        <w:t xml:space="preserve"> separately </w:t>
      </w:r>
      <w:r w:rsidR="006A0B3D">
        <w:rPr>
          <w:lang w:eastAsia="ja-JP"/>
        </w:rPr>
        <w:t>i</w:t>
      </w:r>
      <w:r>
        <w:rPr>
          <w:lang w:eastAsia="ja-JP"/>
        </w:rPr>
        <w:t>n the ARTG.</w:t>
      </w:r>
    </w:p>
    <w:p w14:paraId="4D173885" w14:textId="4A730BC1" w:rsidR="00430920" w:rsidRDefault="00063F39" w:rsidP="00430920">
      <w:pPr>
        <w:spacing w:line="240" w:lineRule="auto"/>
        <w:rPr>
          <w:lang w:eastAsia="ja-JP"/>
        </w:rPr>
      </w:pPr>
      <w:r w:rsidRPr="00B910B4">
        <w:rPr>
          <w:lang w:eastAsia="ja-JP"/>
        </w:rPr>
        <w:t>All excipients are pharmacopeial, non</w:t>
      </w:r>
      <w:r w:rsidR="006D7271">
        <w:rPr>
          <w:lang w:eastAsia="ja-JP"/>
        </w:rPr>
        <w:noBreakHyphen/>
      </w:r>
      <w:r w:rsidRPr="00B910B4">
        <w:rPr>
          <w:lang w:eastAsia="ja-JP"/>
        </w:rPr>
        <w:t>novel, and are not of human or animal origin.</w:t>
      </w:r>
    </w:p>
    <w:p w14:paraId="0144734A" w14:textId="59B52366" w:rsidR="00430920" w:rsidRDefault="00063F39" w:rsidP="00430920">
      <w:pPr>
        <w:spacing w:line="240" w:lineRule="auto"/>
        <w:rPr>
          <w:lang w:eastAsia="ja-JP"/>
        </w:rPr>
      </w:pPr>
      <w:r>
        <w:rPr>
          <w:lang w:eastAsia="ja-JP"/>
        </w:rPr>
        <w:lastRenderedPageBreak/>
        <w:t xml:space="preserve">The provided data support a shelf life of </w:t>
      </w:r>
      <w:r w:rsidRPr="0032587F">
        <w:rPr>
          <w:lang w:eastAsia="ja-JP"/>
        </w:rPr>
        <w:t>24</w:t>
      </w:r>
      <w:r>
        <w:rPr>
          <w:lang w:eastAsia="ja-JP"/>
        </w:rPr>
        <w:t xml:space="preserve"> months when stored below 30°C. The proposed storage condition protect from light is appropriate given the results of the forced degradation studies.</w:t>
      </w:r>
    </w:p>
    <w:p w14:paraId="3A07896B" w14:textId="1F3AAC0C" w:rsidR="00430920" w:rsidRDefault="00063F39" w:rsidP="008C5FC1">
      <w:pPr>
        <w:pStyle w:val="Heading5"/>
        <w:rPr>
          <w:lang w:eastAsia="ja-JP"/>
        </w:rPr>
      </w:pPr>
      <w:r>
        <w:rPr>
          <w:lang w:eastAsia="ja-JP"/>
        </w:rPr>
        <w:t>F</w:t>
      </w:r>
      <w:r w:rsidRPr="00AE6ECE">
        <w:rPr>
          <w:lang w:eastAsia="ja-JP"/>
        </w:rPr>
        <w:t>ilm coated tablet</w:t>
      </w:r>
    </w:p>
    <w:p w14:paraId="758EA714" w14:textId="1C0C448D" w:rsidR="005B7766" w:rsidRDefault="00063F39" w:rsidP="005B7766">
      <w:pPr>
        <w:spacing w:line="240" w:lineRule="auto"/>
        <w:rPr>
          <w:lang w:eastAsia="ja-JP"/>
        </w:rPr>
      </w:pPr>
      <w:r>
        <w:rPr>
          <w:lang w:eastAsia="ja-JP"/>
        </w:rPr>
        <w:t xml:space="preserve">The film coated tablets are packaged in pack size of </w:t>
      </w:r>
      <w:r w:rsidR="004A42C5">
        <w:rPr>
          <w:lang w:eastAsia="ja-JP"/>
        </w:rPr>
        <w:t>5</w:t>
      </w:r>
      <w:r>
        <w:rPr>
          <w:lang w:eastAsia="ja-JP"/>
        </w:rPr>
        <w:t xml:space="preserve"> tablets in a polyvinyl chloride/aluminium blister fitted between 2 paperboard cards and further packaged in a sealed aluminium laminated pouch with silica gel desiccant.</w:t>
      </w:r>
    </w:p>
    <w:p w14:paraId="4E2F95CE" w14:textId="45BDEE6C" w:rsidR="00430920" w:rsidRDefault="00063F39" w:rsidP="00430920">
      <w:pPr>
        <w:spacing w:line="240" w:lineRule="auto"/>
        <w:rPr>
          <w:lang w:eastAsia="ja-JP"/>
        </w:rPr>
      </w:pPr>
      <w:r w:rsidRPr="00591B33">
        <w:rPr>
          <w:lang w:eastAsia="ja-JP"/>
        </w:rPr>
        <w:t xml:space="preserve">As lenacapavir is a BCS </w:t>
      </w:r>
      <w:r w:rsidR="00591B33" w:rsidRPr="00591B33">
        <w:rPr>
          <w:lang w:eastAsia="ja-JP"/>
        </w:rPr>
        <w:t>C</w:t>
      </w:r>
      <w:r w:rsidRPr="00591B33">
        <w:rPr>
          <w:lang w:eastAsia="ja-JP"/>
        </w:rPr>
        <w:t xml:space="preserve">lass </w:t>
      </w:r>
      <w:r w:rsidR="00591B33" w:rsidRPr="00591B33">
        <w:rPr>
          <w:lang w:eastAsia="ja-JP"/>
        </w:rPr>
        <w:t>IV</w:t>
      </w:r>
      <w:r w:rsidRPr="00591B33">
        <w:rPr>
          <w:lang w:eastAsia="ja-JP"/>
        </w:rPr>
        <w:t xml:space="preserve"> compound</w:t>
      </w:r>
      <w:r w:rsidR="003B7522" w:rsidRPr="00591B33">
        <w:rPr>
          <w:lang w:eastAsia="ja-JP"/>
        </w:rPr>
        <w:t>,</w:t>
      </w:r>
      <w:r>
        <w:rPr>
          <w:rStyle w:val="FootnoteReference"/>
          <w:lang w:eastAsia="ja-JP"/>
        </w:rPr>
        <w:footnoteReference w:id="5"/>
      </w:r>
      <w:r w:rsidRPr="00591B33">
        <w:rPr>
          <w:lang w:eastAsia="ja-JP"/>
        </w:rPr>
        <w:t xml:space="preserve"> formulation of </w:t>
      </w:r>
      <w:r w:rsidR="0000419D" w:rsidRPr="00591B33">
        <w:rPr>
          <w:lang w:eastAsia="ja-JP"/>
        </w:rPr>
        <w:t>lenacapavir</w:t>
      </w:r>
      <w:r w:rsidRPr="00591B33">
        <w:rPr>
          <w:lang w:eastAsia="ja-JP"/>
        </w:rPr>
        <w:t xml:space="preserve"> as an amorphous spray</w:t>
      </w:r>
      <w:r w:rsidR="006D7271">
        <w:rPr>
          <w:lang w:eastAsia="ja-JP"/>
        </w:rPr>
        <w:noBreakHyphen/>
      </w:r>
      <w:r w:rsidRPr="00AE6ECE">
        <w:rPr>
          <w:lang w:eastAsia="ja-JP"/>
        </w:rPr>
        <w:t xml:space="preserve">dried dispersion was determined to be the most appropriate strategy to improve its </w:t>
      </w:r>
      <w:r w:rsidR="0000419D">
        <w:rPr>
          <w:lang w:eastAsia="ja-JP"/>
        </w:rPr>
        <w:t xml:space="preserve">pharmacokinetic </w:t>
      </w:r>
      <w:r w:rsidRPr="00AE6ECE">
        <w:rPr>
          <w:lang w:eastAsia="ja-JP"/>
        </w:rPr>
        <w:t>performance.</w:t>
      </w:r>
    </w:p>
    <w:p w14:paraId="1292CD2A" w14:textId="1FD1D5BC" w:rsidR="00430920" w:rsidRPr="00AE6ECE" w:rsidRDefault="00063F39" w:rsidP="00430920">
      <w:pPr>
        <w:spacing w:line="240" w:lineRule="auto"/>
        <w:rPr>
          <w:lang w:eastAsia="ja-JP"/>
        </w:rPr>
      </w:pPr>
      <w:r w:rsidRPr="00AE6ECE">
        <w:rPr>
          <w:lang w:eastAsia="ja-JP"/>
        </w:rPr>
        <w:t>All the excipients except for the film</w:t>
      </w:r>
      <w:r w:rsidR="006D7271">
        <w:rPr>
          <w:lang w:eastAsia="ja-JP"/>
        </w:rPr>
        <w:noBreakHyphen/>
      </w:r>
      <w:r w:rsidRPr="00AE6ECE">
        <w:rPr>
          <w:lang w:eastAsia="ja-JP"/>
        </w:rPr>
        <w:t>coat material are of a pharmacopeial quality. The components of the film</w:t>
      </w:r>
      <w:r w:rsidR="006D7271">
        <w:rPr>
          <w:lang w:eastAsia="ja-JP"/>
        </w:rPr>
        <w:noBreakHyphen/>
      </w:r>
      <w:r w:rsidRPr="00AE6ECE">
        <w:rPr>
          <w:lang w:eastAsia="ja-JP"/>
        </w:rPr>
        <w:t>coat material have been provided and each comply with an acceptable quality standard</w:t>
      </w:r>
      <w:r>
        <w:rPr>
          <w:lang w:eastAsia="ja-JP"/>
        </w:rPr>
        <w:t xml:space="preserve">. The mannitol content in the tablet would result in a daily dose </w:t>
      </w:r>
      <w:r w:rsidR="000C117E">
        <w:rPr>
          <w:lang w:eastAsia="ja-JP"/>
        </w:rPr>
        <w:t xml:space="preserve">of less than </w:t>
      </w:r>
      <w:r>
        <w:rPr>
          <w:lang w:eastAsia="ja-JP"/>
        </w:rPr>
        <w:t>2</w:t>
      </w:r>
      <w:r w:rsidR="000C117E">
        <w:rPr>
          <w:lang w:eastAsia="ja-JP"/>
        </w:rPr>
        <w:t> </w:t>
      </w:r>
      <w:r>
        <w:rPr>
          <w:lang w:eastAsia="ja-JP"/>
        </w:rPr>
        <w:t>g, therefore a warning for sugar alcohols is not required</w:t>
      </w:r>
      <w:r w:rsidR="006A0B3D">
        <w:rPr>
          <w:lang w:eastAsia="ja-JP"/>
        </w:rPr>
        <w:t xml:space="preserve">, in accordance with </w:t>
      </w:r>
      <w:r w:rsidR="00811C5A" w:rsidRPr="006A0B3D">
        <w:rPr>
          <w:i/>
          <w:iCs/>
          <w:lang w:eastAsia="ja-JP"/>
        </w:rPr>
        <w:t xml:space="preserve">Therapeutic Goods Order No. 91 </w:t>
      </w:r>
      <w:r w:rsidR="006D7271">
        <w:rPr>
          <w:i/>
          <w:iCs/>
          <w:lang w:eastAsia="ja-JP"/>
        </w:rPr>
        <w:noBreakHyphen/>
      </w:r>
      <w:r w:rsidR="00811C5A" w:rsidRPr="006A0B3D">
        <w:rPr>
          <w:i/>
          <w:iCs/>
          <w:lang w:eastAsia="ja-JP"/>
        </w:rPr>
        <w:t xml:space="preserve"> Standard for labels of prescription and related medicines</w:t>
      </w:r>
      <w:r w:rsidRPr="006A0B3D">
        <w:rPr>
          <w:i/>
          <w:iCs/>
          <w:lang w:eastAsia="ja-JP"/>
        </w:rPr>
        <w:t>.</w:t>
      </w:r>
      <w:r>
        <w:rPr>
          <w:lang w:eastAsia="ja-JP"/>
        </w:rPr>
        <w:t xml:space="preserve"> The stability studies demonstrate chemical compatibility of the drug substance with the excipients.</w:t>
      </w:r>
    </w:p>
    <w:p w14:paraId="2EFA1AF7" w14:textId="4ACF4FC2" w:rsidR="00430920" w:rsidRPr="00AE6ECE" w:rsidRDefault="00063F39" w:rsidP="00430920">
      <w:pPr>
        <w:spacing w:line="240" w:lineRule="auto"/>
        <w:rPr>
          <w:lang w:eastAsia="ja-JP"/>
        </w:rPr>
      </w:pPr>
      <w:r>
        <w:rPr>
          <w:lang w:eastAsia="ja-JP"/>
        </w:rPr>
        <w:t xml:space="preserve">The storage condition </w:t>
      </w:r>
      <w:r w:rsidR="00B87B25">
        <w:rPr>
          <w:lang w:eastAsia="ja-JP"/>
        </w:rPr>
        <w:t>‘</w:t>
      </w:r>
      <w:r>
        <w:rPr>
          <w:lang w:eastAsia="ja-JP"/>
        </w:rPr>
        <w:t>Store in Original Container</w:t>
      </w:r>
      <w:r w:rsidR="001E1D5B">
        <w:rPr>
          <w:lang w:eastAsia="ja-JP"/>
        </w:rPr>
        <w:t>’</w:t>
      </w:r>
      <w:r>
        <w:rPr>
          <w:lang w:eastAsia="ja-JP"/>
        </w:rPr>
        <w:t xml:space="preserve"> is appropriate</w:t>
      </w:r>
      <w:r w:rsidR="001E1D5B">
        <w:rPr>
          <w:lang w:eastAsia="ja-JP"/>
        </w:rPr>
        <w:t>.</w:t>
      </w:r>
    </w:p>
    <w:p w14:paraId="51002150" w14:textId="0954172D" w:rsidR="00430920" w:rsidRDefault="00063F39" w:rsidP="00430920">
      <w:pPr>
        <w:spacing w:line="240" w:lineRule="auto"/>
        <w:rPr>
          <w:lang w:eastAsia="ja-JP"/>
        </w:rPr>
      </w:pPr>
      <w:r>
        <w:rPr>
          <w:lang w:eastAsia="ja-JP"/>
        </w:rPr>
        <w:t>Only 18</w:t>
      </w:r>
      <w:r w:rsidR="001E1D5B">
        <w:rPr>
          <w:lang w:eastAsia="ja-JP"/>
        </w:rPr>
        <w:t> </w:t>
      </w:r>
      <w:r>
        <w:rPr>
          <w:lang w:eastAsia="ja-JP"/>
        </w:rPr>
        <w:t>months long</w:t>
      </w:r>
      <w:r w:rsidR="006D7271">
        <w:rPr>
          <w:lang w:eastAsia="ja-JP"/>
        </w:rPr>
        <w:noBreakHyphen/>
      </w:r>
      <w:r>
        <w:rPr>
          <w:lang w:eastAsia="ja-JP"/>
        </w:rPr>
        <w:t xml:space="preserve">term </w:t>
      </w:r>
      <w:r w:rsidR="001E1D5B">
        <w:rPr>
          <w:lang w:eastAsia="ja-JP"/>
        </w:rPr>
        <w:t xml:space="preserve">stability </w:t>
      </w:r>
      <w:r>
        <w:rPr>
          <w:lang w:eastAsia="ja-JP"/>
        </w:rPr>
        <w:t xml:space="preserve">has been provided. Therefore, the data support a shelf life of </w:t>
      </w:r>
      <w:r w:rsidRPr="0032587F">
        <w:rPr>
          <w:lang w:eastAsia="ja-JP"/>
        </w:rPr>
        <w:t>30</w:t>
      </w:r>
      <w:r w:rsidR="00D747A9">
        <w:rPr>
          <w:lang w:eastAsia="ja-JP"/>
        </w:rPr>
        <w:t> </w:t>
      </w:r>
      <w:r>
        <w:rPr>
          <w:lang w:eastAsia="ja-JP"/>
        </w:rPr>
        <w:t>months when packaged in the primary container</w:t>
      </w:r>
      <w:r w:rsidR="006D7271">
        <w:rPr>
          <w:lang w:eastAsia="ja-JP"/>
        </w:rPr>
        <w:noBreakHyphen/>
      </w:r>
      <w:r>
        <w:rPr>
          <w:lang w:eastAsia="ja-JP"/>
        </w:rPr>
        <w:t>closure system and stored below 30°C.</w:t>
      </w:r>
    </w:p>
    <w:p w14:paraId="456E9D70" w14:textId="2A641C1E" w:rsidR="00430920" w:rsidRDefault="00063F39" w:rsidP="00C06F1F">
      <w:pPr>
        <w:pStyle w:val="Heading4"/>
        <w:rPr>
          <w:lang w:eastAsia="ja-JP"/>
        </w:rPr>
      </w:pPr>
      <w:bookmarkStart w:id="37" w:name="_Toc157422723"/>
      <w:r>
        <w:rPr>
          <w:lang w:eastAsia="ja-JP"/>
        </w:rPr>
        <w:t>Conclusion</w:t>
      </w:r>
      <w:bookmarkEnd w:id="37"/>
    </w:p>
    <w:p w14:paraId="3F9ABA10" w14:textId="4A6038F7" w:rsidR="00430920" w:rsidRPr="00EC2362" w:rsidRDefault="00063F39" w:rsidP="00430920">
      <w:pPr>
        <w:spacing w:line="240" w:lineRule="auto"/>
        <w:rPr>
          <w:lang w:eastAsia="ja-JP"/>
        </w:rPr>
      </w:pPr>
      <w:r w:rsidRPr="001146E2">
        <w:rPr>
          <w:lang w:eastAsia="ja-JP"/>
        </w:rPr>
        <w:t xml:space="preserve">Approval for registration of the proposed </w:t>
      </w:r>
      <w:r w:rsidR="00BD761D">
        <w:rPr>
          <w:lang w:eastAsia="ja-JP"/>
        </w:rPr>
        <w:t xml:space="preserve">lenacapavir </w:t>
      </w:r>
      <w:r w:rsidRPr="001146E2">
        <w:rPr>
          <w:lang w:eastAsia="ja-JP"/>
        </w:rPr>
        <w:t>product</w:t>
      </w:r>
      <w:r w:rsidR="00BD761D">
        <w:rPr>
          <w:lang w:eastAsia="ja-JP"/>
        </w:rPr>
        <w:t>s</w:t>
      </w:r>
      <w:r w:rsidRPr="001146E2">
        <w:rPr>
          <w:lang w:eastAsia="ja-JP"/>
        </w:rPr>
        <w:t xml:space="preserve"> is recommended from a pharmaceutical chemistry perspective.</w:t>
      </w:r>
      <w:r w:rsidR="00646224">
        <w:rPr>
          <w:lang w:eastAsia="ja-JP"/>
        </w:rPr>
        <w:t xml:space="preserve"> No specific condition of registration was proposed.</w:t>
      </w:r>
    </w:p>
    <w:p w14:paraId="2BE90AAE" w14:textId="77777777" w:rsidR="00C22214" w:rsidRDefault="00063F39" w:rsidP="00C22214">
      <w:pPr>
        <w:pStyle w:val="Heading3"/>
      </w:pPr>
      <w:bookmarkStart w:id="38" w:name="_Toc314842512"/>
      <w:bookmarkStart w:id="39" w:name="_Toc103679296"/>
      <w:bookmarkStart w:id="40" w:name="_Toc157422724"/>
      <w:r>
        <w:t>Nonclinical</w:t>
      </w:r>
      <w:bookmarkEnd w:id="38"/>
      <w:bookmarkEnd w:id="39"/>
      <w:bookmarkEnd w:id="40"/>
    </w:p>
    <w:p w14:paraId="26B53236" w14:textId="77777777" w:rsidR="00341282" w:rsidRDefault="00063F39" w:rsidP="00656B9C">
      <w:pPr>
        <w:pStyle w:val="Heading4"/>
      </w:pPr>
      <w:bookmarkStart w:id="41" w:name="_Toc157422725"/>
      <w:r>
        <w:t>Dossier</w:t>
      </w:r>
      <w:bookmarkEnd w:id="41"/>
    </w:p>
    <w:p w14:paraId="10541A30" w14:textId="71EF66B1" w:rsidR="00341282" w:rsidRDefault="00063F39" w:rsidP="00341282">
      <w:r w:rsidRPr="00D84987">
        <w:t xml:space="preserve">The submitted </w:t>
      </w:r>
      <w:r w:rsidR="00656B9C">
        <w:t>nonclinical</w:t>
      </w:r>
      <w:r w:rsidRPr="00D84987">
        <w:t xml:space="preserve"> dossier was in accordance with the relevant ICH guideline for the nonclinical assessment of pharmaceuticals.</w:t>
      </w:r>
      <w:r>
        <w:rPr>
          <w:rStyle w:val="FootnoteReference"/>
        </w:rPr>
        <w:footnoteReference w:id="6"/>
      </w:r>
      <w:r w:rsidRPr="00D84987">
        <w:t xml:space="preserve"> The overall quality of the dossier was high with all pivotal safety studies conducted under G</w:t>
      </w:r>
      <w:r w:rsidR="00156020">
        <w:t>ood Laboratory Practice</w:t>
      </w:r>
      <w:r w:rsidRPr="00D84987">
        <w:t xml:space="preserve"> conditions. The exposures in the submitted toxicity studies were adequate to establish the safety profile of </w:t>
      </w:r>
      <w:r w:rsidR="00AE63C4">
        <w:t>lenacapavir</w:t>
      </w:r>
      <w:r w:rsidRPr="00D84987">
        <w:t>.</w:t>
      </w:r>
    </w:p>
    <w:p w14:paraId="057D4B61" w14:textId="77777777" w:rsidR="00341282" w:rsidRPr="00D84987" w:rsidRDefault="00063F39" w:rsidP="00C76512">
      <w:pPr>
        <w:pStyle w:val="Heading4"/>
      </w:pPr>
      <w:bookmarkStart w:id="42" w:name="_Toc157422726"/>
      <w:r>
        <w:t>M</w:t>
      </w:r>
      <w:r w:rsidRPr="00622DA7">
        <w:t>echanism of action</w:t>
      </w:r>
      <w:r>
        <w:t xml:space="preserve"> and resistance</w:t>
      </w:r>
      <w:bookmarkEnd w:id="42"/>
    </w:p>
    <w:p w14:paraId="32C17499" w14:textId="1F32664A" w:rsidR="00341282" w:rsidRPr="00D84987" w:rsidRDefault="00063F39" w:rsidP="00341282">
      <w:r w:rsidRPr="00D84987">
        <w:rPr>
          <w:i/>
        </w:rPr>
        <w:t>In vitro</w:t>
      </w:r>
      <w:r w:rsidRPr="00D84987">
        <w:t xml:space="preserve">, lenacapavir binds at the interface formed between </w:t>
      </w:r>
      <w:r w:rsidR="009D1A4A">
        <w:t>2</w:t>
      </w:r>
      <w:r w:rsidRPr="00D84987">
        <w:t xml:space="preserve"> adjacent HIV</w:t>
      </w:r>
      <w:r w:rsidR="006D7271">
        <w:noBreakHyphen/>
      </w:r>
      <w:r w:rsidRPr="00D84987">
        <w:t xml:space="preserve">1 capsid protein </w:t>
      </w:r>
      <w:r w:rsidRPr="00C06F1F">
        <w:t>monomers with nanomolar affinity (</w:t>
      </w:r>
      <w:r w:rsidR="00C06F1F" w:rsidRPr="00C06F1F">
        <w:t>dissociation constan</w:t>
      </w:r>
      <w:r w:rsidR="0030545F">
        <w:t>t</w:t>
      </w:r>
      <w:r w:rsidR="00C06F1F" w:rsidRPr="00C06F1F">
        <w:t xml:space="preserve"> (</w:t>
      </w:r>
      <w:r w:rsidRPr="00C06F1F">
        <w:t>K</w:t>
      </w:r>
      <w:r w:rsidRPr="00C06F1F">
        <w:rPr>
          <w:vertAlign w:val="subscript"/>
        </w:rPr>
        <w:t>D</w:t>
      </w:r>
      <w:r w:rsidR="00C06F1F" w:rsidRPr="00C06F1F">
        <w:t>)</w:t>
      </w:r>
      <w:r w:rsidR="00463708">
        <w:t> </w:t>
      </w:r>
      <w:r w:rsidRPr="00C06F1F">
        <w:t>=</w:t>
      </w:r>
      <w:r w:rsidR="00463708">
        <w:t> </w:t>
      </w:r>
      <w:r w:rsidRPr="00C06F1F">
        <w:rPr>
          <w:rFonts w:cs="TimesNewRomanPS-BoldMT"/>
        </w:rPr>
        <w:t>1.4 nM</w:t>
      </w:r>
      <w:r w:rsidRPr="00C06F1F">
        <w:t>) and interferes with</w:t>
      </w:r>
      <w:r w:rsidRPr="00D84987">
        <w:t xml:space="preserve"> viral replication and </w:t>
      </w:r>
      <w:r w:rsidRPr="006D7271">
        <w:t>infectivity by disrupting capsid</w:t>
      </w:r>
      <w:r w:rsidR="006D7271" w:rsidRPr="006D7271">
        <w:noBreakHyphen/>
      </w:r>
      <w:r w:rsidRPr="006D7271">
        <w:t>mediated nuclear uptake of HIV</w:t>
      </w:r>
      <w:r w:rsidR="006D7271" w:rsidRPr="006D7271">
        <w:noBreakHyphen/>
      </w:r>
      <w:r w:rsidRPr="006D7271">
        <w:t>1 proviral DNA, capsid</w:t>
      </w:r>
      <w:r w:rsidRPr="00D84987">
        <w:t xml:space="preserve"> assembly, and capsid protein formation with</w:t>
      </w:r>
      <w:r w:rsidR="00E92C0B">
        <w:t xml:space="preserve"> the effective concentration giving 50% inhibition of virus replication </w:t>
      </w:r>
      <w:r w:rsidRPr="00D84987">
        <w:t>within expected clinical plasma concentrations. Lenacapavir did not affect HIV</w:t>
      </w:r>
      <w:r w:rsidR="006D7271">
        <w:noBreakHyphen/>
      </w:r>
      <w:r w:rsidRPr="00D84987">
        <w:t>1 entry into host cells.</w:t>
      </w:r>
    </w:p>
    <w:p w14:paraId="42A2D970" w14:textId="7890E17B" w:rsidR="00341282" w:rsidRPr="00D84987" w:rsidRDefault="00063F39" w:rsidP="00341282">
      <w:r w:rsidRPr="006D7271">
        <w:lastRenderedPageBreak/>
        <w:t xml:space="preserve">Several amino acid substitutions in viral capsid sequence, either single or in dual combinations, conferring various degree of resistance to lenacapavir (up to </w:t>
      </w:r>
      <w:r w:rsidR="007A2426" w:rsidRPr="006D7271">
        <w:t>more than</w:t>
      </w:r>
      <w:r w:rsidRPr="006D7271">
        <w:t xml:space="preserve"> 5000</w:t>
      </w:r>
      <w:r w:rsidR="006D7271" w:rsidRPr="006D7271">
        <w:noBreakHyphen/>
      </w:r>
      <w:r w:rsidRPr="006D7271">
        <w:t>fold) compared to the wild</w:t>
      </w:r>
      <w:r w:rsidR="00486698">
        <w:noBreakHyphen/>
      </w:r>
      <w:r w:rsidRPr="006D7271">
        <w:t>type HIV</w:t>
      </w:r>
      <w:r w:rsidR="006D7271" w:rsidRPr="006D7271">
        <w:noBreakHyphen/>
      </w:r>
      <w:r w:rsidRPr="006D7271">
        <w:t>1 were identified and include</w:t>
      </w:r>
      <w:r w:rsidR="006D7271" w:rsidRPr="006D7271">
        <w:t xml:space="preserve"> HIV</w:t>
      </w:r>
      <w:r w:rsidR="006D7271" w:rsidRPr="006D7271">
        <w:noBreakHyphen/>
        <w:t>1 capsid genotypes</w:t>
      </w:r>
      <w:r w:rsidRPr="006D7271">
        <w:t xml:space="preserve"> L56I, M66I, Q67H, K70N, N74D/S, T107N and N57H.</w:t>
      </w:r>
    </w:p>
    <w:p w14:paraId="7C7C7EF1" w14:textId="62DBB218" w:rsidR="00341282" w:rsidRDefault="00063F39" w:rsidP="00341282">
      <w:r w:rsidRPr="00D84987">
        <w:t xml:space="preserve">Lenacapavir was tested against a panel of 87 receptors, ion channels and transporters. Based on </w:t>
      </w:r>
      <w:r w:rsidRPr="00E92C0B">
        <w:t xml:space="preserve">the clinical </w:t>
      </w:r>
      <w:r w:rsidR="00153C58">
        <w:t xml:space="preserve">maximum plasma concentration </w:t>
      </w:r>
      <w:r w:rsidR="00E92C0B">
        <w:t>(</w:t>
      </w:r>
      <w:r w:rsidRPr="00E92C0B">
        <w:t>C</w:t>
      </w:r>
      <w:r w:rsidRPr="00E92C0B">
        <w:rPr>
          <w:vertAlign w:val="subscript"/>
        </w:rPr>
        <w:t>max</w:t>
      </w:r>
      <w:r w:rsidR="00E92C0B">
        <w:t xml:space="preserve">) </w:t>
      </w:r>
      <w:r w:rsidRPr="00E92C0B">
        <w:t>and the distribution pattern of [</w:t>
      </w:r>
      <w:r w:rsidRPr="00E92C0B">
        <w:rPr>
          <w:vertAlign w:val="superscript"/>
        </w:rPr>
        <w:t>14</w:t>
      </w:r>
      <w:proofErr w:type="gramStart"/>
      <w:r w:rsidRPr="00E92C0B">
        <w:t>C]lenacapavir</w:t>
      </w:r>
      <w:proofErr w:type="gramEnd"/>
      <w:r w:rsidRPr="00E92C0B">
        <w:t xml:space="preserve"> sodium derived radioactivity in</w:t>
      </w:r>
      <w:r w:rsidRPr="00D84987">
        <w:t xml:space="preserve"> rats no effects are predicted at clinically relevant concentrations.</w:t>
      </w:r>
    </w:p>
    <w:p w14:paraId="4F1EDAE9" w14:textId="77777777" w:rsidR="00341282" w:rsidRPr="00D84987" w:rsidRDefault="00063F39" w:rsidP="00C76512">
      <w:pPr>
        <w:pStyle w:val="Heading4"/>
      </w:pPr>
      <w:bookmarkStart w:id="43" w:name="_Toc157422727"/>
      <w:r>
        <w:t>Safety pharmacology</w:t>
      </w:r>
      <w:bookmarkEnd w:id="43"/>
    </w:p>
    <w:p w14:paraId="6DC1041E" w14:textId="50643A50" w:rsidR="00341282" w:rsidRPr="003D796B" w:rsidRDefault="00063F39" w:rsidP="00341282">
      <w:r w:rsidRPr="000568CB">
        <w:rPr>
          <w:i/>
        </w:rPr>
        <w:t>In vitro</w:t>
      </w:r>
      <w:r w:rsidRPr="000568CB">
        <w:t xml:space="preserve"> </w:t>
      </w:r>
      <w:r w:rsidRPr="003D796B">
        <w:t xml:space="preserve">lenacapavir </w:t>
      </w:r>
      <w:r w:rsidRPr="000568CB">
        <w:t>displayed negligible toxicity against HIV</w:t>
      </w:r>
      <w:r w:rsidR="006D7271">
        <w:noBreakHyphen/>
      </w:r>
      <w:r w:rsidRPr="000568CB">
        <w:t>1 permissible human cells and other cell types</w:t>
      </w:r>
      <w:r w:rsidRPr="003D796B">
        <w:t xml:space="preserve">. </w:t>
      </w:r>
      <w:r w:rsidRPr="003D796B">
        <w:rPr>
          <w:i/>
        </w:rPr>
        <w:t xml:space="preserve">In vitro </w:t>
      </w:r>
      <w:r w:rsidRPr="003D796B">
        <w:t>lenacapavir did not display anti</w:t>
      </w:r>
      <w:r w:rsidR="006D7271">
        <w:noBreakHyphen/>
      </w:r>
      <w:r w:rsidRPr="003D796B">
        <w:t xml:space="preserve">viral activity against hepatitis C virus </w:t>
      </w:r>
      <w:r w:rsidRPr="00E92C0B">
        <w:t xml:space="preserve">(HCV) or human rhinovirus serotype 16 and had very low activity against </w:t>
      </w:r>
      <w:r w:rsidR="008762BC" w:rsidRPr="00E92C0B">
        <w:t>hepatitis B virus (</w:t>
      </w:r>
      <w:r w:rsidRPr="00E92C0B">
        <w:t>HBV</w:t>
      </w:r>
      <w:r w:rsidR="008762BC" w:rsidRPr="00E92C0B">
        <w:t>)</w:t>
      </w:r>
      <w:r w:rsidRPr="00E92C0B">
        <w:t xml:space="preserve"> and respiratory syncytial virus.</w:t>
      </w:r>
    </w:p>
    <w:p w14:paraId="20C7ED2F" w14:textId="243D02E2" w:rsidR="00341282" w:rsidRPr="003D796B" w:rsidRDefault="00063F39" w:rsidP="00341282">
      <w:r w:rsidRPr="003D796B">
        <w:rPr>
          <w:kern w:val="2"/>
        </w:rPr>
        <w:t xml:space="preserve">Safety pharmacology studies assessed effects on the cardiovascular, central nervous and respiratory systems. No adverse effects were seen on the cardiovascular system or </w:t>
      </w:r>
      <w:r w:rsidR="007E535B">
        <w:rPr>
          <w:kern w:val="2"/>
        </w:rPr>
        <w:t>central nervous system</w:t>
      </w:r>
      <w:r w:rsidR="00E92C0B">
        <w:rPr>
          <w:kern w:val="2"/>
        </w:rPr>
        <w:t xml:space="preserve"> </w:t>
      </w:r>
      <w:r w:rsidRPr="003D796B">
        <w:rPr>
          <w:kern w:val="2"/>
        </w:rPr>
        <w:t>function in respective 2</w:t>
      </w:r>
      <w:r w:rsidR="006D7271">
        <w:rPr>
          <w:kern w:val="2"/>
        </w:rPr>
        <w:noBreakHyphen/>
      </w:r>
      <w:r w:rsidRPr="003D796B">
        <w:rPr>
          <w:kern w:val="2"/>
        </w:rPr>
        <w:t xml:space="preserve">month repeat dose studies in dogs or rats with plasma </w:t>
      </w:r>
      <w:r w:rsidRPr="003D796B">
        <w:t>C</w:t>
      </w:r>
      <w:r w:rsidRPr="003D796B">
        <w:rPr>
          <w:vertAlign w:val="subscript"/>
        </w:rPr>
        <w:t>max</w:t>
      </w:r>
      <w:r w:rsidRPr="003D796B">
        <w:rPr>
          <w:kern w:val="2"/>
        </w:rPr>
        <w:t xml:space="preserve"> lenacapavir </w:t>
      </w:r>
      <w:r w:rsidR="0026168C">
        <w:rPr>
          <w:kern w:val="2"/>
        </w:rPr>
        <w:t xml:space="preserve">that was </w:t>
      </w:r>
      <w:r w:rsidRPr="003D796B">
        <w:rPr>
          <w:kern w:val="2"/>
        </w:rPr>
        <w:t>20</w:t>
      </w:r>
      <w:r w:rsidR="0026168C">
        <w:rPr>
          <w:kern w:val="2"/>
        </w:rPr>
        <w:t xml:space="preserve"> to </w:t>
      </w:r>
      <w:r w:rsidRPr="003D796B">
        <w:rPr>
          <w:kern w:val="2"/>
        </w:rPr>
        <w:t xml:space="preserve">48 times the clinical </w:t>
      </w:r>
      <w:r w:rsidRPr="003D796B">
        <w:t>C</w:t>
      </w:r>
      <w:r w:rsidRPr="003D796B">
        <w:rPr>
          <w:vertAlign w:val="subscript"/>
        </w:rPr>
        <w:t>max</w:t>
      </w:r>
      <w:r w:rsidRPr="003D796B">
        <w:rPr>
          <w:kern w:val="2"/>
        </w:rPr>
        <w:t>. In rats, following a single</w:t>
      </w:r>
      <w:r w:rsidR="0030545F">
        <w:rPr>
          <w:kern w:val="2"/>
        </w:rPr>
        <w:t xml:space="preserve"> subcutaneous (</w:t>
      </w:r>
      <w:r w:rsidRPr="003D796B">
        <w:rPr>
          <w:kern w:val="2"/>
        </w:rPr>
        <w:t>SC</w:t>
      </w:r>
      <w:r w:rsidR="0030545F">
        <w:rPr>
          <w:kern w:val="2"/>
        </w:rPr>
        <w:t>)</w:t>
      </w:r>
      <w:r w:rsidRPr="003D796B">
        <w:rPr>
          <w:kern w:val="2"/>
        </w:rPr>
        <w:t xml:space="preserve"> lenacapavir administration a </w:t>
      </w:r>
      <w:r w:rsidRPr="003D796B">
        <w:t xml:space="preserve">slightly increased tidal volume and a slightly reduced mean respiration rate were noted at </w:t>
      </w:r>
      <w:r w:rsidR="0026168C">
        <w:t xml:space="preserve">approximately </w:t>
      </w:r>
      <w:r w:rsidRPr="003D796B">
        <w:t>20</w:t>
      </w:r>
      <w:r w:rsidR="006729E5">
        <w:t> </w:t>
      </w:r>
      <w:r w:rsidRPr="003D796B">
        <w:t>times the clinical C</w:t>
      </w:r>
      <w:r w:rsidRPr="003D796B">
        <w:rPr>
          <w:vertAlign w:val="subscript"/>
        </w:rPr>
        <w:t>max</w:t>
      </w:r>
      <w:r w:rsidRPr="003D796B">
        <w:t xml:space="preserve">. However, these outcomes were of minor magnitude and not statistically significant. Furthermore, no respiratory effects were observed at </w:t>
      </w:r>
      <w:r w:rsidR="006729E5">
        <w:t xml:space="preserve">approximately </w:t>
      </w:r>
      <w:r w:rsidRPr="003D796B">
        <w:t>7</w:t>
      </w:r>
      <w:r w:rsidR="006729E5">
        <w:t> </w:t>
      </w:r>
      <w:r w:rsidRPr="003D796B">
        <w:t>times the clinical C</w:t>
      </w:r>
      <w:r w:rsidRPr="003D796B">
        <w:rPr>
          <w:vertAlign w:val="subscript"/>
        </w:rPr>
        <w:t>max</w:t>
      </w:r>
      <w:r w:rsidRPr="003D796B">
        <w:t>. Consequently, n</w:t>
      </w:r>
      <w:r w:rsidRPr="003D796B">
        <w:rPr>
          <w:kern w:val="2"/>
        </w:rPr>
        <w:t xml:space="preserve">o cardiovascular, </w:t>
      </w:r>
      <w:r w:rsidR="00E92C0B">
        <w:rPr>
          <w:kern w:val="2"/>
        </w:rPr>
        <w:t>central nervous system</w:t>
      </w:r>
      <w:r w:rsidRPr="003D796B">
        <w:rPr>
          <w:kern w:val="2"/>
        </w:rPr>
        <w:t xml:space="preserve"> or respiratory effects are predicted at clinical concentrations of lenacapavir</w:t>
      </w:r>
      <w:r w:rsidR="006729E5">
        <w:rPr>
          <w:kern w:val="2"/>
        </w:rPr>
        <w:t>.</w:t>
      </w:r>
    </w:p>
    <w:p w14:paraId="30E2E856" w14:textId="1CCAD6AC" w:rsidR="00341282" w:rsidRDefault="00063F39" w:rsidP="00341282">
      <w:pPr>
        <w:rPr>
          <w:lang w:eastAsia="zh-CN"/>
        </w:rPr>
      </w:pPr>
      <w:r w:rsidRPr="00DC61C3">
        <w:rPr>
          <w:lang w:eastAsia="zh-CN"/>
        </w:rPr>
        <w:t xml:space="preserve">In animals and humans, lenacapavir bioavailability was moderate to high following SC administration, and low </w:t>
      </w:r>
      <w:r w:rsidRPr="00DC61C3">
        <w:rPr>
          <w:color w:val="000000"/>
          <w:lang w:eastAsia="zh-CN"/>
        </w:rPr>
        <w:t xml:space="preserve">following oral administration, likely due its low permeability and efflux </w:t>
      </w:r>
      <w:r w:rsidRPr="00153C58">
        <w:rPr>
          <w:color w:val="000000"/>
          <w:lang w:eastAsia="zh-CN"/>
        </w:rPr>
        <w:t xml:space="preserve">by </w:t>
      </w:r>
      <w:r w:rsidR="00C06F1F" w:rsidRPr="00153C58">
        <w:rPr>
          <w:color w:val="000000"/>
          <w:lang w:eastAsia="zh-CN"/>
        </w:rPr>
        <w:t>P</w:t>
      </w:r>
      <w:r w:rsidR="00C06F1F" w:rsidRPr="00153C58">
        <w:rPr>
          <w:color w:val="000000"/>
          <w:lang w:eastAsia="zh-CN"/>
        </w:rPr>
        <w:noBreakHyphen/>
        <w:t>glycoprotein (</w:t>
      </w:r>
      <w:r w:rsidRPr="00153C58">
        <w:rPr>
          <w:color w:val="000000"/>
          <w:lang w:eastAsia="zh-CN"/>
        </w:rPr>
        <w:t>P</w:t>
      </w:r>
      <w:r w:rsidR="006D7271" w:rsidRPr="00153C58">
        <w:rPr>
          <w:color w:val="000000"/>
          <w:lang w:eastAsia="zh-CN"/>
        </w:rPr>
        <w:noBreakHyphen/>
      </w:r>
      <w:r w:rsidRPr="00153C58">
        <w:rPr>
          <w:color w:val="000000"/>
          <w:lang w:eastAsia="zh-CN"/>
        </w:rPr>
        <w:t>gp</w:t>
      </w:r>
      <w:r w:rsidR="00C06F1F" w:rsidRPr="00153C58">
        <w:rPr>
          <w:color w:val="000000"/>
          <w:lang w:eastAsia="zh-CN"/>
        </w:rPr>
        <w:t>)</w:t>
      </w:r>
      <w:r w:rsidRPr="00153C58">
        <w:rPr>
          <w:color w:val="000000"/>
          <w:lang w:eastAsia="zh-CN"/>
        </w:rPr>
        <w:t>. Following SC administration, l</w:t>
      </w:r>
      <w:r w:rsidRPr="00153C58">
        <w:rPr>
          <w:lang w:eastAsia="zh-CN"/>
        </w:rPr>
        <w:t xml:space="preserve">enacapavir was absorbed slowly, had a </w:t>
      </w:r>
      <w:r w:rsidRPr="00153C58">
        <w:rPr>
          <w:color w:val="000000"/>
          <w:lang w:eastAsia="zh-CN"/>
        </w:rPr>
        <w:t>substantially longer terminal half</w:t>
      </w:r>
      <w:r w:rsidR="006D7271" w:rsidRPr="00153C58">
        <w:rPr>
          <w:color w:val="000000"/>
          <w:lang w:eastAsia="zh-CN"/>
        </w:rPr>
        <w:noBreakHyphen/>
      </w:r>
      <w:r w:rsidRPr="00153C58">
        <w:rPr>
          <w:color w:val="000000"/>
          <w:lang w:eastAsia="zh-CN"/>
        </w:rPr>
        <w:t xml:space="preserve">life than following </w:t>
      </w:r>
      <w:r w:rsidR="00153C58" w:rsidRPr="00153C58">
        <w:rPr>
          <w:color w:val="000000"/>
          <w:lang w:eastAsia="zh-CN"/>
        </w:rPr>
        <w:t>intravenous (</w:t>
      </w:r>
      <w:r w:rsidRPr="00153C58">
        <w:rPr>
          <w:color w:val="000000"/>
          <w:lang w:eastAsia="zh-CN"/>
        </w:rPr>
        <w:t>IV</w:t>
      </w:r>
      <w:r w:rsidR="00153C58" w:rsidRPr="00153C58">
        <w:rPr>
          <w:color w:val="000000"/>
          <w:lang w:eastAsia="zh-CN"/>
        </w:rPr>
        <w:t>)</w:t>
      </w:r>
      <w:r w:rsidRPr="00153C58">
        <w:rPr>
          <w:color w:val="000000"/>
          <w:lang w:eastAsia="zh-CN"/>
        </w:rPr>
        <w:t xml:space="preserve"> administration, and</w:t>
      </w:r>
      <w:r w:rsidRPr="00DC61C3">
        <w:rPr>
          <w:color w:val="000000"/>
          <w:lang w:eastAsia="zh-CN"/>
        </w:rPr>
        <w:t xml:space="preserve"> </w:t>
      </w:r>
      <w:r w:rsidRPr="00DC61C3">
        <w:rPr>
          <w:lang w:eastAsia="zh-CN"/>
        </w:rPr>
        <w:t>displayed a sustained drug release at all administered doses in rats and dogs.</w:t>
      </w:r>
      <w:r w:rsidRPr="00DC61C3">
        <w:t xml:space="preserve"> A</w:t>
      </w:r>
      <w:r w:rsidRPr="00DC61C3">
        <w:rPr>
          <w:lang w:eastAsia="zh-CN"/>
        </w:rPr>
        <w:t xml:space="preserve">ccumulation of lenacapavir was observed after daily oral doses in rats and dogs and after multiple monthly </w:t>
      </w:r>
      <w:r w:rsidR="004E28CE">
        <w:rPr>
          <w:lang w:eastAsia="zh-CN"/>
        </w:rPr>
        <w:t>SC</w:t>
      </w:r>
      <w:r w:rsidRPr="00DC61C3">
        <w:rPr>
          <w:lang w:eastAsia="zh-CN"/>
        </w:rPr>
        <w:t xml:space="preserve"> doses in dogs. </w:t>
      </w:r>
      <w:r w:rsidRPr="00DC61C3">
        <w:t xml:space="preserve">No meaningful sex differences were observed in pharmacokinetic analysis. </w:t>
      </w:r>
      <w:r w:rsidRPr="00153C58">
        <w:rPr>
          <w:lang w:eastAsia="zh-CN"/>
        </w:rPr>
        <w:t xml:space="preserve">Lenacapavir exists as a mixture of atropisomers ‘LEN.1’ and ‘LEN.2’, and their ratio </w:t>
      </w:r>
      <w:r w:rsidR="00004F95" w:rsidRPr="00153C58">
        <w:rPr>
          <w:lang w:eastAsia="zh-CN"/>
        </w:rPr>
        <w:t xml:space="preserve">was </w:t>
      </w:r>
      <w:r w:rsidRPr="00153C58">
        <w:rPr>
          <w:lang w:eastAsia="zh-CN"/>
        </w:rPr>
        <w:t>not</w:t>
      </w:r>
      <w:r w:rsidRPr="00DC61C3">
        <w:rPr>
          <w:lang w:eastAsia="zh-CN"/>
        </w:rPr>
        <w:t xml:space="preserve"> influenced by plasma binding proteins or enzymes </w:t>
      </w:r>
      <w:r w:rsidRPr="00DC61C3">
        <w:rPr>
          <w:i/>
          <w:lang w:eastAsia="zh-CN"/>
        </w:rPr>
        <w:t>in vitro</w:t>
      </w:r>
      <w:r w:rsidRPr="00DC61C3">
        <w:rPr>
          <w:lang w:eastAsia="zh-CN"/>
        </w:rPr>
        <w:t xml:space="preserve">. </w:t>
      </w:r>
      <w:r w:rsidRPr="00DC61C3">
        <w:t>The extent of protein binding was high (</w:t>
      </w:r>
      <w:r w:rsidR="00004F95">
        <w:t xml:space="preserve">at least </w:t>
      </w:r>
      <w:r w:rsidRPr="00DC61C3">
        <w:t xml:space="preserve">98.5%) in mice, rats, dogs, </w:t>
      </w:r>
      <w:proofErr w:type="gramStart"/>
      <w:r w:rsidRPr="00DC61C3">
        <w:t>monkeys</w:t>
      </w:r>
      <w:proofErr w:type="gramEnd"/>
      <w:r w:rsidRPr="00DC61C3">
        <w:t xml:space="preserve"> and humans. In rats, lenacapavir</w:t>
      </w:r>
      <w:r w:rsidR="006D7271">
        <w:noBreakHyphen/>
      </w:r>
      <w:r w:rsidRPr="00DC61C3">
        <w:t>related radioactivity</w:t>
      </w:r>
      <w:r w:rsidRPr="00DC61C3">
        <w:rPr>
          <w:lang w:eastAsia="zh-CN"/>
        </w:rPr>
        <w:t xml:space="preserve"> </w:t>
      </w:r>
      <w:r w:rsidR="000F5DF7">
        <w:rPr>
          <w:lang w:eastAsia="zh-CN"/>
        </w:rPr>
        <w:t xml:space="preserve">was </w:t>
      </w:r>
      <w:r w:rsidRPr="00DC61C3">
        <w:rPr>
          <w:lang w:eastAsia="zh-CN"/>
        </w:rPr>
        <w:t xml:space="preserve">widely distributed to most tissues and was cleared from all tissues by 56 days </w:t>
      </w:r>
      <w:r w:rsidRPr="00110FDA">
        <w:rPr>
          <w:lang w:eastAsia="zh-CN"/>
        </w:rPr>
        <w:t>post</w:t>
      </w:r>
      <w:r w:rsidR="006D7271">
        <w:rPr>
          <w:lang w:eastAsia="zh-CN"/>
        </w:rPr>
        <w:noBreakHyphen/>
      </w:r>
      <w:r w:rsidRPr="00110FDA">
        <w:rPr>
          <w:lang w:eastAsia="zh-CN"/>
        </w:rPr>
        <w:t xml:space="preserve">dose. The highest concentration of radioactivity was found in the liver, kidney, pancreas, fat, small intestine, adrenal </w:t>
      </w:r>
      <w:proofErr w:type="gramStart"/>
      <w:r w:rsidRPr="00110FDA">
        <w:rPr>
          <w:lang w:eastAsia="zh-CN"/>
        </w:rPr>
        <w:t>gland</w:t>
      </w:r>
      <w:proofErr w:type="gramEnd"/>
      <w:r w:rsidRPr="00110FDA">
        <w:rPr>
          <w:lang w:eastAsia="zh-CN"/>
        </w:rPr>
        <w:t xml:space="preserve"> and stomach </w:t>
      </w:r>
      <w:r w:rsidRPr="00110FDA">
        <w:t xml:space="preserve">(there was minimal distribution to the brain and testis, </w:t>
      </w:r>
      <w:r w:rsidRPr="00110FDA">
        <w:rPr>
          <w:lang w:eastAsia="zh-CN"/>
        </w:rPr>
        <w:t>consistent with lenacapavir being a substrate of P</w:t>
      </w:r>
      <w:r w:rsidR="006D7271">
        <w:rPr>
          <w:lang w:eastAsia="zh-CN"/>
        </w:rPr>
        <w:noBreakHyphen/>
      </w:r>
      <w:r w:rsidRPr="00110FDA">
        <w:rPr>
          <w:lang w:eastAsia="zh-CN"/>
        </w:rPr>
        <w:t>gp).</w:t>
      </w:r>
      <w:r>
        <w:rPr>
          <w:lang w:eastAsia="zh-CN"/>
        </w:rPr>
        <w:t xml:space="preserve"> </w:t>
      </w:r>
      <w:r w:rsidRPr="00110FDA">
        <w:rPr>
          <w:lang w:eastAsia="zh-CN"/>
        </w:rPr>
        <w:t xml:space="preserve">Lenacapavir </w:t>
      </w:r>
      <w:r>
        <w:rPr>
          <w:lang w:eastAsia="zh-CN"/>
        </w:rPr>
        <w:t>was detected in rat pups</w:t>
      </w:r>
      <w:r w:rsidRPr="00110FDA">
        <w:rPr>
          <w:lang w:eastAsia="zh-CN"/>
        </w:rPr>
        <w:t xml:space="preserve"> via milk and/or placental transfer. In rats, dogs and humans, the major route of elimination was excretion as intact lenacapavir in the bile and intestinal secretion (by P</w:t>
      </w:r>
      <w:r w:rsidR="006D7271">
        <w:rPr>
          <w:lang w:eastAsia="zh-CN"/>
        </w:rPr>
        <w:noBreakHyphen/>
      </w:r>
      <w:r w:rsidRPr="00110FDA">
        <w:rPr>
          <w:lang w:eastAsia="zh-CN"/>
        </w:rPr>
        <w:t xml:space="preserve">gp), and to a smaller </w:t>
      </w:r>
      <w:r w:rsidRPr="007016B0">
        <w:rPr>
          <w:lang w:eastAsia="zh-CN"/>
        </w:rPr>
        <w:lastRenderedPageBreak/>
        <w:t>extent through metabolism by CYP3A (oxidation)</w:t>
      </w:r>
      <w:r>
        <w:rPr>
          <w:rStyle w:val="FootnoteReference"/>
          <w:lang w:eastAsia="zh-CN"/>
        </w:rPr>
        <w:footnoteReference w:id="7"/>
      </w:r>
      <w:r w:rsidRPr="007016B0">
        <w:rPr>
          <w:lang w:eastAsia="zh-CN"/>
        </w:rPr>
        <w:t xml:space="preserve"> and/or UGT1A1 (glucuronidation)</w:t>
      </w:r>
      <w:r>
        <w:rPr>
          <w:rStyle w:val="FootnoteReference"/>
          <w:lang w:eastAsia="zh-CN"/>
        </w:rPr>
        <w:footnoteReference w:id="8"/>
      </w:r>
      <w:r w:rsidRPr="007016B0">
        <w:rPr>
          <w:lang w:eastAsia="zh-CN"/>
        </w:rPr>
        <w:t>. All</w:t>
      </w:r>
      <w:r w:rsidRPr="00110FDA">
        <w:rPr>
          <w:lang w:eastAsia="zh-CN"/>
        </w:rPr>
        <w:t xml:space="preserve"> human metabolites (accounting for </w:t>
      </w:r>
      <w:r w:rsidR="00CE4AA8">
        <w:rPr>
          <w:lang w:eastAsia="zh-CN"/>
        </w:rPr>
        <w:t xml:space="preserve">less than </w:t>
      </w:r>
      <w:r w:rsidRPr="00110FDA">
        <w:rPr>
          <w:lang w:eastAsia="zh-CN"/>
        </w:rPr>
        <w:t>3% each in plasma and excreta) were observed in nonclinical species.</w:t>
      </w:r>
    </w:p>
    <w:p w14:paraId="0BF7F0EE" w14:textId="4E544234" w:rsidR="00341282" w:rsidRPr="00110FDA" w:rsidRDefault="00063F39" w:rsidP="00C76512">
      <w:pPr>
        <w:pStyle w:val="Heading4"/>
        <w:rPr>
          <w:lang w:eastAsia="zh-CN"/>
        </w:rPr>
      </w:pPr>
      <w:bookmarkStart w:id="44" w:name="_Toc157422728"/>
      <w:r>
        <w:rPr>
          <w:lang w:eastAsia="zh-CN"/>
        </w:rPr>
        <w:t>Drug</w:t>
      </w:r>
      <w:r w:rsidR="006D7271">
        <w:rPr>
          <w:lang w:eastAsia="zh-CN"/>
        </w:rPr>
        <w:noBreakHyphen/>
      </w:r>
      <w:r>
        <w:rPr>
          <w:lang w:eastAsia="zh-CN"/>
        </w:rPr>
        <w:t>drug interactions</w:t>
      </w:r>
      <w:bookmarkEnd w:id="44"/>
    </w:p>
    <w:p w14:paraId="41E28B17" w14:textId="7D873FE5" w:rsidR="00341282" w:rsidRDefault="00063F39" w:rsidP="00341282">
      <w:r>
        <w:t>Lenacapavir is a substrate of P</w:t>
      </w:r>
      <w:r w:rsidR="006D7271">
        <w:noBreakHyphen/>
      </w:r>
      <w:r>
        <w:t>gp, and P</w:t>
      </w:r>
      <w:r w:rsidR="006D7271">
        <w:noBreakHyphen/>
      </w:r>
      <w:r>
        <w:t>gp mediated excretion is a major elimination pathway. Thus, plasma lenacapavir concentrations may be altered by P</w:t>
      </w:r>
      <w:r w:rsidR="006D7271">
        <w:noBreakHyphen/>
      </w:r>
      <w:r>
        <w:t xml:space="preserve">gp inhibitors or inducers. </w:t>
      </w:r>
      <w:r w:rsidRPr="00110FDA">
        <w:t>Lenacapavir time</w:t>
      </w:r>
      <w:r w:rsidR="006D7271">
        <w:noBreakHyphen/>
      </w:r>
      <w:r w:rsidRPr="00110FDA">
        <w:t>dependently inhibits of CYP3A but is not predicted to be an inhibitor of CYP1A2, CYP2B6, CYP2C8, CYP2C9, CYP2C19, CYP2D6, UGT1A1, OATP1B3, OAT1, OAT3, OCT2, MATE1 or MATE2</w:t>
      </w:r>
      <w:r w:rsidR="006D7271">
        <w:noBreakHyphen/>
      </w:r>
      <w:r w:rsidRPr="00110FDA">
        <w:t xml:space="preserve">K. Lenacapavir is not predicted to cause drug interactions through CYP </w:t>
      </w:r>
      <w:r w:rsidRPr="007016B0">
        <w:t xml:space="preserve">induction. Based on </w:t>
      </w:r>
      <w:r w:rsidRPr="007016B0">
        <w:rPr>
          <w:i/>
        </w:rPr>
        <w:t>in vitro</w:t>
      </w:r>
      <w:r w:rsidRPr="007016B0">
        <w:t xml:space="preserve"> data, an interaction with OATP1B1 is considered possible (the ratio of the </w:t>
      </w:r>
      <w:r w:rsidR="007016B0" w:rsidRPr="007016B0">
        <w:t>half maximal inhibitory concentration (</w:t>
      </w:r>
      <w:r w:rsidRPr="007016B0">
        <w:t>IC</w:t>
      </w:r>
      <w:r w:rsidRPr="007016B0">
        <w:rPr>
          <w:vertAlign w:val="subscript"/>
        </w:rPr>
        <w:t>50</w:t>
      </w:r>
      <w:r w:rsidR="007016B0" w:rsidRPr="007016B0">
        <w:t xml:space="preserve">) </w:t>
      </w:r>
      <w:r w:rsidRPr="007016B0">
        <w:t>to the unbound hepatic inlet concentration is 25</w:t>
      </w:r>
      <w:r w:rsidR="00984F85" w:rsidRPr="007016B0">
        <w:t xml:space="preserve"> or less</w:t>
      </w:r>
      <w:r w:rsidRPr="007016B0">
        <w:t>). However, a clinical drug interaction study using oral administration revealed no</w:t>
      </w:r>
      <w:r w:rsidRPr="00110FDA">
        <w:t xml:space="preserve"> significant </w:t>
      </w:r>
      <w:r>
        <w:t xml:space="preserve">effects of lenacapavir on pharmacokinetics of an </w:t>
      </w:r>
      <w:r w:rsidRPr="00110FDA">
        <w:t>OATP</w:t>
      </w:r>
      <w:r>
        <w:t xml:space="preserve"> substrate, pitavastatin</w:t>
      </w:r>
      <w:r w:rsidRPr="00110FDA">
        <w:t>.</w:t>
      </w:r>
    </w:p>
    <w:p w14:paraId="2AFEC6C6" w14:textId="77777777" w:rsidR="00341282" w:rsidRPr="00110FDA" w:rsidRDefault="00063F39" w:rsidP="00C76512">
      <w:pPr>
        <w:pStyle w:val="Heading4"/>
        <w:rPr>
          <w:lang w:eastAsia="zh-CN"/>
        </w:rPr>
      </w:pPr>
      <w:bookmarkStart w:id="45" w:name="_Toc157422729"/>
      <w:r>
        <w:rPr>
          <w:lang w:eastAsia="zh-CN"/>
        </w:rPr>
        <w:t>Toxicity</w:t>
      </w:r>
      <w:bookmarkEnd w:id="45"/>
    </w:p>
    <w:p w14:paraId="0B1C7678" w14:textId="7533192A" w:rsidR="00341282" w:rsidRPr="005A6FD6" w:rsidRDefault="00063F39" w:rsidP="00341282">
      <w:pPr>
        <w:rPr>
          <w:lang w:eastAsia="zh-CN"/>
        </w:rPr>
      </w:pPr>
      <w:r w:rsidRPr="00110FDA">
        <w:rPr>
          <w:lang w:eastAsia="zh-CN"/>
        </w:rPr>
        <w:t xml:space="preserve">Lenacapavir had a low order of acute oral </w:t>
      </w:r>
      <w:r w:rsidRPr="005A6FD6">
        <w:rPr>
          <w:lang w:eastAsia="zh-CN"/>
        </w:rPr>
        <w:t>toxicity in rats and dogs. Repeat</w:t>
      </w:r>
      <w:r w:rsidR="006D7271">
        <w:rPr>
          <w:lang w:eastAsia="zh-CN"/>
        </w:rPr>
        <w:noBreakHyphen/>
      </w:r>
      <w:r w:rsidRPr="005A6FD6">
        <w:rPr>
          <w:lang w:eastAsia="zh-CN"/>
        </w:rPr>
        <w:t>dose toxicity studies were conducted in rats and dogs by the oral (for 4</w:t>
      </w:r>
      <w:r w:rsidR="006D6A9E">
        <w:rPr>
          <w:lang w:eastAsia="zh-CN"/>
        </w:rPr>
        <w:t> </w:t>
      </w:r>
      <w:r w:rsidRPr="005A6FD6">
        <w:rPr>
          <w:lang w:eastAsia="zh-CN"/>
        </w:rPr>
        <w:t>weeks) and SC (for 26</w:t>
      </w:r>
      <w:r w:rsidR="006D6A9E">
        <w:rPr>
          <w:lang w:eastAsia="zh-CN"/>
        </w:rPr>
        <w:t> </w:t>
      </w:r>
      <w:r w:rsidRPr="005A6FD6">
        <w:rPr>
          <w:lang w:eastAsia="zh-CN"/>
        </w:rPr>
        <w:t>weeks in rats and 9</w:t>
      </w:r>
      <w:r w:rsidR="006D6A9E">
        <w:rPr>
          <w:lang w:eastAsia="zh-CN"/>
        </w:rPr>
        <w:t> </w:t>
      </w:r>
      <w:r w:rsidRPr="005A6FD6">
        <w:rPr>
          <w:lang w:eastAsia="zh-CN"/>
        </w:rPr>
        <w:t>months in dogs) routes. Maximum exposures (</w:t>
      </w:r>
      <w:r w:rsidR="00FD5551">
        <w:rPr>
          <w:lang w:eastAsia="zh-CN"/>
        </w:rPr>
        <w:t>a</w:t>
      </w:r>
      <w:r w:rsidR="00FD5551">
        <w:t>rea under the concentration versus time curve</w:t>
      </w:r>
      <w:r w:rsidR="00FD5551" w:rsidRPr="006E2EBF">
        <w:rPr>
          <w:highlight w:val="yellow"/>
          <w:lang w:eastAsia="zh-CN"/>
        </w:rPr>
        <w:t xml:space="preserve"> </w:t>
      </w:r>
      <w:r w:rsidR="00FD5551" w:rsidRPr="006F1B4F">
        <w:rPr>
          <w:lang w:eastAsia="zh-CN"/>
        </w:rPr>
        <w:t>(</w:t>
      </w:r>
      <w:r w:rsidRPr="006F1B4F">
        <w:rPr>
          <w:lang w:eastAsia="zh-CN"/>
        </w:rPr>
        <w:t>AUC</w:t>
      </w:r>
      <w:r w:rsidR="00FD5551" w:rsidRPr="006F1B4F">
        <w:rPr>
          <w:lang w:eastAsia="zh-CN"/>
        </w:rPr>
        <w:t>)</w:t>
      </w:r>
      <w:r w:rsidRPr="006F1B4F">
        <w:rPr>
          <w:lang w:eastAsia="zh-CN"/>
        </w:rPr>
        <w:t>) to lenacapavir following oral or SC dosing were generally high multiples of the clinical</w:t>
      </w:r>
      <w:r w:rsidRPr="005A6FD6">
        <w:rPr>
          <w:lang w:eastAsia="zh-CN"/>
        </w:rPr>
        <w:t xml:space="preserve"> AUC, reaching </w:t>
      </w:r>
      <w:r w:rsidR="006E2EBF">
        <w:rPr>
          <w:lang w:eastAsia="zh-CN"/>
        </w:rPr>
        <w:t xml:space="preserve">over </w:t>
      </w:r>
      <w:r w:rsidRPr="005A6FD6">
        <w:rPr>
          <w:lang w:eastAsia="zh-CN"/>
        </w:rPr>
        <w:t xml:space="preserve">30 in the pivotal studies in rats and dogs. Repeated oral dosing with </w:t>
      </w:r>
      <w:r w:rsidRPr="00814CCF">
        <w:rPr>
          <w:lang w:eastAsia="zh-CN"/>
        </w:rPr>
        <w:t>lenacapavir did not cause systemic adverse effects at doses up to 10</w:t>
      </w:r>
      <w:r w:rsidR="00A55998" w:rsidRPr="00814CCF">
        <w:rPr>
          <w:lang w:eastAsia="zh-CN"/>
        </w:rPr>
        <w:t> </w:t>
      </w:r>
      <w:r w:rsidRPr="00814CCF">
        <w:rPr>
          <w:lang w:eastAsia="zh-CN"/>
        </w:rPr>
        <w:t>mg/kg/day (</w:t>
      </w:r>
      <w:r w:rsidR="00814CCF" w:rsidRPr="00814CCF">
        <w:rPr>
          <w:lang w:eastAsia="zh-CN"/>
        </w:rPr>
        <w:t>exposure ratio based on AUC (</w:t>
      </w:r>
      <w:r w:rsidRPr="00814CCF">
        <w:rPr>
          <w:lang w:eastAsia="zh-CN"/>
        </w:rPr>
        <w:t>ER</w:t>
      </w:r>
      <w:r w:rsidRPr="00814CCF">
        <w:rPr>
          <w:vertAlign w:val="subscript"/>
          <w:lang w:eastAsia="zh-CN"/>
        </w:rPr>
        <w:t>AUC</w:t>
      </w:r>
      <w:r w:rsidR="00814CCF" w:rsidRPr="00814CCF">
        <w:rPr>
          <w:lang w:eastAsia="zh-CN"/>
        </w:rPr>
        <w:t xml:space="preserve">) of </w:t>
      </w:r>
      <w:r w:rsidRPr="00814CCF">
        <w:rPr>
          <w:lang w:eastAsia="zh-CN"/>
        </w:rPr>
        <w:t>22) in rats, and 30</w:t>
      </w:r>
      <w:r w:rsidR="00A55998" w:rsidRPr="00814CCF">
        <w:rPr>
          <w:lang w:eastAsia="zh-CN"/>
        </w:rPr>
        <w:t> </w:t>
      </w:r>
      <w:r w:rsidRPr="00814CCF">
        <w:rPr>
          <w:lang w:eastAsia="zh-CN"/>
        </w:rPr>
        <w:t>mg/kg/day (ER</w:t>
      </w:r>
      <w:r w:rsidRPr="00814CCF">
        <w:rPr>
          <w:vertAlign w:val="subscript"/>
          <w:lang w:eastAsia="zh-CN"/>
        </w:rPr>
        <w:t>AUC</w:t>
      </w:r>
      <w:r w:rsidRPr="00814CCF">
        <w:rPr>
          <w:lang w:eastAsia="zh-CN"/>
        </w:rPr>
        <w:t xml:space="preserve"> 59) in dogs. In rats, no systemic</w:t>
      </w:r>
      <w:r w:rsidRPr="005A6FD6">
        <w:rPr>
          <w:lang w:eastAsia="zh-CN"/>
        </w:rPr>
        <w:t xml:space="preserve"> adverse effects were observed after repeated SC dosing with lenacapavir (ER</w:t>
      </w:r>
      <w:r w:rsidRPr="005A6FD6">
        <w:rPr>
          <w:vertAlign w:val="subscript"/>
          <w:lang w:eastAsia="zh-CN"/>
        </w:rPr>
        <w:t>AUC</w:t>
      </w:r>
      <w:r w:rsidRPr="005A6FD6">
        <w:rPr>
          <w:lang w:eastAsia="zh-CN"/>
        </w:rPr>
        <w:t xml:space="preserve"> 32</w:t>
      </w:r>
      <w:r w:rsidR="0044252E">
        <w:rPr>
          <w:lang w:eastAsia="zh-CN"/>
        </w:rPr>
        <w:t xml:space="preserve"> or less</w:t>
      </w:r>
      <w:r w:rsidRPr="005A6FD6">
        <w:rPr>
          <w:lang w:eastAsia="zh-CN"/>
        </w:rPr>
        <w:t>). In dogs, SC administration of lenacapavir at very high doses (at ER</w:t>
      </w:r>
      <w:r w:rsidRPr="005A6FD6">
        <w:rPr>
          <w:vertAlign w:val="subscript"/>
          <w:lang w:eastAsia="zh-CN"/>
        </w:rPr>
        <w:t>AUC</w:t>
      </w:r>
      <w:r w:rsidRPr="005A6FD6">
        <w:rPr>
          <w:lang w:eastAsia="zh-CN"/>
        </w:rPr>
        <w:t xml:space="preserve"> </w:t>
      </w:r>
      <w:r w:rsidR="0044252E">
        <w:rPr>
          <w:lang w:eastAsia="zh-CN"/>
        </w:rPr>
        <w:t xml:space="preserve">over </w:t>
      </w:r>
      <w:r w:rsidRPr="005A6FD6">
        <w:rPr>
          <w:lang w:eastAsia="zh-CN"/>
        </w:rPr>
        <w:t>60) caused clinical signs suggestive of hepatobiliary degeneration (</w:t>
      </w:r>
      <w:proofErr w:type="spellStart"/>
      <w:r w:rsidRPr="005A6FD6">
        <w:rPr>
          <w:lang w:eastAsia="zh-CN"/>
        </w:rPr>
        <w:t>vacuolar</w:t>
      </w:r>
      <w:proofErr w:type="spellEnd"/>
      <w:r w:rsidRPr="005A6FD6">
        <w:rPr>
          <w:lang w:eastAsia="zh-CN"/>
        </w:rPr>
        <w:t xml:space="preserve"> hepatocyte and bile duct epithelial degeneration, bile pigment, and/or oval cell/bile </w:t>
      </w:r>
      <w:proofErr w:type="spellStart"/>
      <w:r w:rsidRPr="005A6FD6">
        <w:rPr>
          <w:lang w:eastAsia="zh-CN"/>
        </w:rPr>
        <w:t>ductule</w:t>
      </w:r>
      <w:proofErr w:type="spellEnd"/>
      <w:r w:rsidRPr="005A6FD6">
        <w:rPr>
          <w:lang w:eastAsia="zh-CN"/>
        </w:rPr>
        <w:t xml:space="preserve"> hyperplasia), as well as microscopic findings in the kidney (tubule degeneration and/or dilatation, and/or pigment), and/or stomach (mucosa degeneration/atrophy). Due to the high relative exposures at which they were observed, these effects are not expected to be of clinical significance.</w:t>
      </w:r>
    </w:p>
    <w:p w14:paraId="5DF99995" w14:textId="4497EE0A" w:rsidR="00341282" w:rsidRPr="002C5F73" w:rsidRDefault="00063F39" w:rsidP="00341282">
      <w:pPr>
        <w:rPr>
          <w:kern w:val="2"/>
        </w:rPr>
      </w:pPr>
      <w:r w:rsidRPr="005A6FD6">
        <w:rPr>
          <w:lang w:eastAsia="zh-CN"/>
        </w:rPr>
        <w:t>Effects were observed at the local injection site (</w:t>
      </w:r>
      <w:r w:rsidR="00D17A6C">
        <w:rPr>
          <w:lang w:eastAsia="zh-CN"/>
        </w:rPr>
        <w:t xml:space="preserve">that is, </w:t>
      </w:r>
      <w:r w:rsidRPr="005A6FD6">
        <w:rPr>
          <w:lang w:eastAsia="zh-CN"/>
        </w:rPr>
        <w:t xml:space="preserve">chronic granulomatous inflammation reaction) in mice, rats, </w:t>
      </w:r>
      <w:proofErr w:type="gramStart"/>
      <w:r w:rsidRPr="005A6FD6">
        <w:rPr>
          <w:lang w:eastAsia="zh-CN"/>
        </w:rPr>
        <w:t>dogs</w:t>
      </w:r>
      <w:proofErr w:type="gramEnd"/>
      <w:r w:rsidRPr="005A6FD6">
        <w:rPr>
          <w:lang w:eastAsia="zh-CN"/>
        </w:rPr>
        <w:t xml:space="preserve"> and rabbits. This foreign body host response, due to the subcutaneous depot of lenacapavir, occurred even a</w:t>
      </w:r>
      <w:r>
        <w:rPr>
          <w:lang w:eastAsia="zh-CN"/>
        </w:rPr>
        <w:t>t</w:t>
      </w:r>
      <w:r w:rsidRPr="002C5F73">
        <w:rPr>
          <w:lang w:eastAsia="zh-CN"/>
        </w:rPr>
        <w:t xml:space="preserve"> formulation concentrations lower than that </w:t>
      </w:r>
      <w:r>
        <w:rPr>
          <w:lang w:eastAsia="zh-CN"/>
        </w:rPr>
        <w:t xml:space="preserve">of </w:t>
      </w:r>
      <w:r w:rsidRPr="002C5F73">
        <w:rPr>
          <w:lang w:eastAsia="zh-CN"/>
        </w:rPr>
        <w:t xml:space="preserve">the proposed clinical formulation. Injection site reactions are expected clinically </w:t>
      </w:r>
      <w:r w:rsidR="00DF7586">
        <w:rPr>
          <w:lang w:eastAsia="zh-CN"/>
        </w:rPr>
        <w:t xml:space="preserve">and are </w:t>
      </w:r>
      <w:r w:rsidRPr="002C5F73">
        <w:rPr>
          <w:lang w:eastAsia="zh-CN"/>
        </w:rPr>
        <w:t>documented in the Product Information.</w:t>
      </w:r>
    </w:p>
    <w:p w14:paraId="4B85C79D" w14:textId="4990BED1" w:rsidR="00341282" w:rsidRDefault="00063F39" w:rsidP="00341282">
      <w:pPr>
        <w:rPr>
          <w:kern w:val="2"/>
        </w:rPr>
      </w:pPr>
      <w:r w:rsidRPr="002C5F73">
        <w:rPr>
          <w:kern w:val="2"/>
        </w:rPr>
        <w:t xml:space="preserve">Lenacapavir was not mutagenic in the bacterial mutation assay or clastogenic </w:t>
      </w:r>
      <w:r w:rsidRPr="002C5F73">
        <w:rPr>
          <w:i/>
          <w:kern w:val="2"/>
        </w:rPr>
        <w:t>in vitro</w:t>
      </w:r>
      <w:r w:rsidRPr="002C5F73">
        <w:rPr>
          <w:kern w:val="2"/>
        </w:rPr>
        <w:t xml:space="preserve"> (in human lymphocytes). Lenacapavir was not clastogenic in rats. </w:t>
      </w:r>
      <w:r w:rsidRPr="00A84BD7">
        <w:rPr>
          <w:kern w:val="2"/>
        </w:rPr>
        <w:t xml:space="preserve">No treatment related increase in tumour </w:t>
      </w:r>
      <w:r w:rsidRPr="00A84BD7">
        <w:rPr>
          <w:kern w:val="2"/>
        </w:rPr>
        <w:lastRenderedPageBreak/>
        <w:t xml:space="preserve">incidence was observed in </w:t>
      </w:r>
      <w:r>
        <w:rPr>
          <w:kern w:val="2"/>
        </w:rPr>
        <w:t>a short</w:t>
      </w:r>
      <w:r w:rsidR="006D7271">
        <w:rPr>
          <w:kern w:val="2"/>
        </w:rPr>
        <w:noBreakHyphen/>
      </w:r>
      <w:r>
        <w:rPr>
          <w:kern w:val="2"/>
        </w:rPr>
        <w:t xml:space="preserve">term carcinogenicity study in </w:t>
      </w:r>
      <w:r w:rsidRPr="002C5F73">
        <w:rPr>
          <w:kern w:val="2"/>
        </w:rPr>
        <w:t>transgenic mice. A long</w:t>
      </w:r>
      <w:r w:rsidR="006D7271">
        <w:rPr>
          <w:kern w:val="2"/>
        </w:rPr>
        <w:noBreakHyphen/>
      </w:r>
      <w:r w:rsidRPr="002C5F73">
        <w:rPr>
          <w:kern w:val="2"/>
        </w:rPr>
        <w:t>term carcinogenicity study is in progress.</w:t>
      </w:r>
    </w:p>
    <w:p w14:paraId="6647ADBF" w14:textId="77777777" w:rsidR="00341282" w:rsidRPr="003D796B" w:rsidRDefault="00063F39" w:rsidP="00C76512">
      <w:pPr>
        <w:pStyle w:val="Heading4"/>
      </w:pPr>
      <w:bookmarkStart w:id="46" w:name="_Toc157422730"/>
      <w:r>
        <w:t xml:space="preserve">Fertility and </w:t>
      </w:r>
      <w:r w:rsidRPr="004C6C0A">
        <w:t>embryofetal development</w:t>
      </w:r>
      <w:bookmarkEnd w:id="46"/>
    </w:p>
    <w:p w14:paraId="66E15ED0" w14:textId="6A9CB133" w:rsidR="00341282" w:rsidRDefault="00063F39" w:rsidP="00341282">
      <w:r w:rsidRPr="002C5F73">
        <w:t xml:space="preserve">Fertility </w:t>
      </w:r>
      <w:r w:rsidRPr="004C6C0A">
        <w:t>was unaffected in male and female rats treated with lenacapavir SC at exposure levels 7.5 (male) and 5.5 (female)</w:t>
      </w:r>
      <w:r>
        <w:t xml:space="preserve"> </w:t>
      </w:r>
      <w:r w:rsidRPr="004C6C0A">
        <w:t>times the clinical AUC. There were no adverse effects on embryofetal development when lenacapavir was administered during the period of organogenesis to rats (at 17 times the predicted human exposure at the proposed clinical dose) or rabbits (at 135 times the predicted human exposure).</w:t>
      </w:r>
      <w:r>
        <w:t xml:space="preserve"> T</w:t>
      </w:r>
      <w:r w:rsidRPr="00097661">
        <w:t xml:space="preserve">here were no adverse effects on </w:t>
      </w:r>
      <w:r>
        <w:t>postnatal development in rats</w:t>
      </w:r>
      <w:r w:rsidRPr="00097661">
        <w:t xml:space="preserve"> </w:t>
      </w:r>
      <w:r>
        <w:t>(</w:t>
      </w:r>
      <w:r w:rsidRPr="00097661">
        <w:t>ER</w:t>
      </w:r>
      <w:r w:rsidRPr="00097661">
        <w:rPr>
          <w:vertAlign w:val="subscript"/>
        </w:rPr>
        <w:t>AUC</w:t>
      </w:r>
      <w:r w:rsidRPr="00097661">
        <w:t xml:space="preserve"> 5.3). Lenacapavir</w:t>
      </w:r>
      <w:r w:rsidR="006D7271">
        <w:noBreakHyphen/>
      </w:r>
      <w:r w:rsidRPr="00097661">
        <w:t xml:space="preserve">related radioactivity was distributed to nursing pups via either milk or placental transfer (maternal to pup concentration ratios were </w:t>
      </w:r>
      <w:r w:rsidR="0071466C">
        <w:t xml:space="preserve">between </w:t>
      </w:r>
      <w:r w:rsidRPr="00097661">
        <w:t>5</w:t>
      </w:r>
      <w:r w:rsidR="0071466C">
        <w:t xml:space="preserve"> and </w:t>
      </w:r>
      <w:r w:rsidRPr="00097661">
        <w:t>6).</w:t>
      </w:r>
    </w:p>
    <w:p w14:paraId="27D64EDE" w14:textId="77777777" w:rsidR="002D1790" w:rsidRDefault="00063F39" w:rsidP="00590223">
      <w:pPr>
        <w:pStyle w:val="Heading5"/>
      </w:pPr>
      <w:r>
        <w:t>Pregnancy category</w:t>
      </w:r>
    </w:p>
    <w:p w14:paraId="639C5577" w14:textId="5575FB5D" w:rsidR="002D1790" w:rsidRPr="00006754" w:rsidRDefault="00063F39" w:rsidP="002D1790">
      <w:pPr>
        <w:pStyle w:val="Bulletpoint"/>
        <w:numPr>
          <w:ilvl w:val="0"/>
          <w:numId w:val="0"/>
        </w:numPr>
        <w:tabs>
          <w:tab w:val="num" w:pos="5047"/>
        </w:tabs>
        <w:spacing w:line="240" w:lineRule="auto"/>
      </w:pPr>
      <w:r w:rsidRPr="00C72EFA">
        <w:t xml:space="preserve">The Pregnancy Category proposed by the </w:t>
      </w:r>
      <w:r w:rsidR="001C1983">
        <w:t>s</w:t>
      </w:r>
      <w:r w:rsidRPr="00C72EFA">
        <w:t>ponsor (B1) is appropriate.</w:t>
      </w:r>
      <w:r>
        <w:rPr>
          <w:rStyle w:val="FootnoteReference"/>
        </w:rPr>
        <w:footnoteReference w:id="9"/>
      </w:r>
      <w:r w:rsidRPr="00C72EFA">
        <w:t xml:space="preserve"> Lenacapavir is not teratogenic.</w:t>
      </w:r>
    </w:p>
    <w:p w14:paraId="6EFF3703" w14:textId="61989CAB" w:rsidR="00341282" w:rsidRPr="00C76512" w:rsidRDefault="00063F39" w:rsidP="00C76512">
      <w:pPr>
        <w:pStyle w:val="Heading4"/>
      </w:pPr>
      <w:bookmarkStart w:id="47" w:name="_Toc294861479"/>
      <w:bookmarkStart w:id="48" w:name="_Toc295290862"/>
      <w:bookmarkStart w:id="49" w:name="_Toc84411251"/>
      <w:bookmarkStart w:id="50" w:name="_Toc157422731"/>
      <w:r w:rsidRPr="00C76512">
        <w:t>Conclusion</w:t>
      </w:r>
      <w:bookmarkEnd w:id="47"/>
      <w:bookmarkEnd w:id="48"/>
      <w:bookmarkEnd w:id="49"/>
      <w:r w:rsidRPr="00C76512">
        <w:t>s</w:t>
      </w:r>
      <w:bookmarkEnd w:id="50"/>
    </w:p>
    <w:p w14:paraId="4FEE6C0B" w14:textId="16056B7E" w:rsidR="00341282" w:rsidRPr="00F108BD" w:rsidRDefault="00063F39" w:rsidP="00341282">
      <w:r w:rsidRPr="00F108BD">
        <w:t>The pharmacology studies support the use of lenacapavir for the proposed indication.</w:t>
      </w:r>
      <w:r>
        <w:rPr>
          <w:kern w:val="2"/>
        </w:rPr>
        <w:t xml:space="preserve"> </w:t>
      </w:r>
      <w:r w:rsidRPr="00F108BD">
        <w:t>Secondary pharmacodynamics and safety pharmacology studies with lenacapavir did not raise safety concerns.</w:t>
      </w:r>
    </w:p>
    <w:p w14:paraId="08B3C8E0" w14:textId="6F635425" w:rsidR="00341282" w:rsidRPr="00F108BD" w:rsidRDefault="00063F39" w:rsidP="00341282">
      <w:r w:rsidRPr="00F108BD">
        <w:t>Lenacapavir is a moderate inhibitor of CYP3A and may inhibit the hepatic uptake transporter OATP1B1.</w:t>
      </w:r>
    </w:p>
    <w:p w14:paraId="742DFBE9" w14:textId="6037EA55" w:rsidR="00341282" w:rsidRPr="00F108BD" w:rsidRDefault="00063F39" w:rsidP="00341282">
      <w:r w:rsidRPr="00F108BD">
        <w:t xml:space="preserve">The combined animal safety studies revealed </w:t>
      </w:r>
      <w:r w:rsidRPr="00F108BD">
        <w:rPr>
          <w:lang w:eastAsia="zh-CN"/>
        </w:rPr>
        <w:t>chronic granulomatous inflammation reaction at the SC injection site</w:t>
      </w:r>
      <w:r w:rsidRPr="00F108BD">
        <w:t>.</w:t>
      </w:r>
      <w:r w:rsidRPr="00F108BD">
        <w:rPr>
          <w:kern w:val="2"/>
        </w:rPr>
        <w:t xml:space="preserve"> </w:t>
      </w:r>
      <w:r w:rsidRPr="00F108BD">
        <w:t>Effects on the liver are considered to be of low concern in humans as they occurred at very high systemic exposure in animals.</w:t>
      </w:r>
    </w:p>
    <w:p w14:paraId="2325FEE0" w14:textId="36196792" w:rsidR="00341282" w:rsidRPr="002D1790" w:rsidRDefault="00063F39" w:rsidP="00341282">
      <w:r w:rsidRPr="002D1790">
        <w:t>The toxicity of lenacapavir in combination with other drugs was not investigated in nonclinical studies. There are no toxicity studies in juvenile animals to support its use in children.</w:t>
      </w:r>
    </w:p>
    <w:p w14:paraId="179945BF" w14:textId="77777777" w:rsidR="001C1983" w:rsidRPr="00EC2362" w:rsidRDefault="00063F39" w:rsidP="001C1983">
      <w:pPr>
        <w:spacing w:line="240" w:lineRule="auto"/>
        <w:rPr>
          <w:lang w:eastAsia="ja-JP"/>
        </w:rPr>
      </w:pPr>
      <w:r>
        <w:rPr>
          <w:lang w:eastAsia="ja-JP"/>
        </w:rPr>
        <w:t>No specific condition of registration was proposed.</w:t>
      </w:r>
    </w:p>
    <w:p w14:paraId="35B580A5" w14:textId="69B9BE44" w:rsidR="00C22214" w:rsidRDefault="00063F39" w:rsidP="008804CF">
      <w:pPr>
        <w:pStyle w:val="Heading3"/>
      </w:pPr>
      <w:bookmarkStart w:id="51" w:name="_Toc247691530"/>
      <w:bookmarkStart w:id="52" w:name="_Toc314842513"/>
      <w:bookmarkStart w:id="53" w:name="_Toc103679297"/>
      <w:bookmarkStart w:id="54" w:name="_Toc157422732"/>
      <w:r>
        <w:t>Clinical</w:t>
      </w:r>
      <w:bookmarkEnd w:id="51"/>
      <w:bookmarkEnd w:id="52"/>
      <w:bookmarkEnd w:id="53"/>
      <w:bookmarkEnd w:id="54"/>
    </w:p>
    <w:p w14:paraId="32B0DEDA" w14:textId="77777777" w:rsidR="00C22214" w:rsidRPr="00433318" w:rsidRDefault="00063F39" w:rsidP="00433318">
      <w:pPr>
        <w:pStyle w:val="Heading4"/>
      </w:pPr>
      <w:bookmarkStart w:id="55" w:name="_Toc98931928"/>
      <w:bookmarkStart w:id="56" w:name="_Toc157422733"/>
      <w:r>
        <w:t>Summary of clinical studies</w:t>
      </w:r>
      <w:bookmarkEnd w:id="55"/>
      <w:bookmarkEnd w:id="56"/>
    </w:p>
    <w:p w14:paraId="47D7652C" w14:textId="5A87AEAC" w:rsidR="00C43ED1" w:rsidRPr="000706CB" w:rsidRDefault="00063F39" w:rsidP="000706CB">
      <w:pPr>
        <w:rPr>
          <w:szCs w:val="22"/>
        </w:rPr>
      </w:pPr>
      <w:r w:rsidRPr="00BD5DBD">
        <w:rPr>
          <w:szCs w:val="22"/>
        </w:rPr>
        <w:t>The clinical dossier consisted of</w:t>
      </w:r>
      <w:r w:rsidR="00AE36B1">
        <w:rPr>
          <w:szCs w:val="22"/>
        </w:rPr>
        <w:t xml:space="preserve"> 12 studies,</w:t>
      </w:r>
      <w:r w:rsidR="00056F25">
        <w:rPr>
          <w:szCs w:val="22"/>
        </w:rPr>
        <w:t xml:space="preserve"> as shown in </w:t>
      </w:r>
      <w:r w:rsidR="001B123B">
        <w:rPr>
          <w:szCs w:val="22"/>
        </w:rPr>
        <w:fldChar w:fldCharType="begin"/>
      </w:r>
      <w:r w:rsidR="001B123B">
        <w:rPr>
          <w:szCs w:val="22"/>
        </w:rPr>
        <w:instrText xml:space="preserve"> REF _Ref148524602 \h </w:instrText>
      </w:r>
      <w:r w:rsidR="001B123B">
        <w:rPr>
          <w:szCs w:val="22"/>
        </w:rPr>
      </w:r>
      <w:r w:rsidR="001B123B">
        <w:rPr>
          <w:szCs w:val="22"/>
        </w:rPr>
        <w:fldChar w:fldCharType="separate"/>
      </w:r>
      <w:r w:rsidR="000623A2">
        <w:t xml:space="preserve">Figure </w:t>
      </w:r>
      <w:r w:rsidR="000623A2">
        <w:rPr>
          <w:noProof/>
        </w:rPr>
        <w:t>2</w:t>
      </w:r>
      <w:r w:rsidR="001B123B">
        <w:rPr>
          <w:szCs w:val="22"/>
        </w:rPr>
        <w:fldChar w:fldCharType="end"/>
      </w:r>
      <w:r w:rsidR="000706CB">
        <w:rPr>
          <w:szCs w:val="22"/>
        </w:rPr>
        <w:t xml:space="preserve">. </w:t>
      </w:r>
      <w:r>
        <w:t xml:space="preserve">In addition, a single population </w:t>
      </w:r>
      <w:r w:rsidR="00155F98" w:rsidRPr="0030545F">
        <w:t>pharmacokinetics</w:t>
      </w:r>
      <w:r w:rsidRPr="0030545F">
        <w:t xml:space="preserve"> (popPK) study investigated </w:t>
      </w:r>
      <w:r w:rsidR="00B422B3" w:rsidRPr="0030545F">
        <w:t xml:space="preserve">lenacapavir </w:t>
      </w:r>
      <w:r w:rsidR="00155F98" w:rsidRPr="0030545F">
        <w:t>pharmacokinetics (</w:t>
      </w:r>
      <w:r w:rsidRPr="0030545F">
        <w:t>PK</w:t>
      </w:r>
      <w:r w:rsidR="00155F98" w:rsidRPr="0030545F">
        <w:t>)</w:t>
      </w:r>
      <w:r w:rsidRPr="0030545F">
        <w:t xml:space="preserve"> in healthy</w:t>
      </w:r>
      <w:r>
        <w:t xml:space="preserve"> subjects and patients with HIV, based on the results </w:t>
      </w:r>
      <w:r w:rsidR="008F0A90">
        <w:t>from</w:t>
      </w:r>
      <w:r>
        <w:t xml:space="preserve"> 7 studies</w:t>
      </w:r>
      <w:r w:rsidR="008F0A90">
        <w:t>.</w:t>
      </w:r>
    </w:p>
    <w:p w14:paraId="11614F24" w14:textId="461F4080" w:rsidR="00056F25" w:rsidRDefault="00063F39" w:rsidP="00307773">
      <w:pPr>
        <w:pStyle w:val="FigureTitle"/>
        <w:keepNext/>
      </w:pPr>
      <w:bookmarkStart w:id="57" w:name="_Ref148524602"/>
      <w:r>
        <w:lastRenderedPageBreak/>
        <w:t xml:space="preserve">Figure </w:t>
      </w:r>
      <w:r w:rsidR="00B86A91">
        <w:fldChar w:fldCharType="begin"/>
      </w:r>
      <w:r>
        <w:instrText xml:space="preserve"> SEQ Figure \* ARABIC </w:instrText>
      </w:r>
      <w:r w:rsidR="00B86A91">
        <w:fldChar w:fldCharType="separate"/>
      </w:r>
      <w:r w:rsidR="000623A2">
        <w:rPr>
          <w:noProof/>
        </w:rPr>
        <w:t>2</w:t>
      </w:r>
      <w:r w:rsidR="00B86A91">
        <w:rPr>
          <w:noProof/>
        </w:rPr>
        <w:fldChar w:fldCharType="end"/>
      </w:r>
      <w:bookmarkEnd w:id="57"/>
      <w:r>
        <w:t>: Overview of clinical pharmacology studies</w:t>
      </w:r>
    </w:p>
    <w:p w14:paraId="684A13ED" w14:textId="64F46FEE" w:rsidR="009346E3" w:rsidRDefault="00063F39" w:rsidP="001B123B">
      <w:pPr>
        <w:pStyle w:val="FigureTitle"/>
        <w:rPr>
          <w:lang w:eastAsia="ja-JP"/>
        </w:rPr>
      </w:pPr>
      <w:r>
        <w:rPr>
          <w:noProof/>
        </w:rPr>
        <w:drawing>
          <wp:inline distT="0" distB="0" distL="0" distR="0" wp14:anchorId="3C3FA2B4" wp14:editId="70519ADF">
            <wp:extent cx="5759450" cy="3289935"/>
            <wp:effectExtent l="0" t="0" r="0" b="5715"/>
            <wp:docPr id="4" name="Picture 4" descr="Clinical pharmacology in healthy participants and people with HIV, and to study intrinsic factors (renal, hepatic) and extrinsic factors (food, drug interactions, cardiac QT). Study numbers in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inical pharmacology in healthy participants and people with HIV, and to study intrinsic factors (renal, hepatic) and extrinsic factors (food, drug interactions, cardiac QT). Study numbers included. "/>
                    <pic:cNvPicPr/>
                  </pic:nvPicPr>
                  <pic:blipFill>
                    <a:blip r:embed="rId23"/>
                    <a:stretch>
                      <a:fillRect/>
                    </a:stretch>
                  </pic:blipFill>
                  <pic:spPr>
                    <a:xfrm>
                      <a:off x="0" y="0"/>
                      <a:ext cx="5759450" cy="3289935"/>
                    </a:xfrm>
                    <a:prstGeom prst="rect">
                      <a:avLst/>
                    </a:prstGeom>
                  </pic:spPr>
                </pic:pic>
              </a:graphicData>
            </a:graphic>
          </wp:inline>
        </w:drawing>
      </w:r>
    </w:p>
    <w:p w14:paraId="6220D6F8" w14:textId="1DC16979" w:rsidR="001D15D1" w:rsidRDefault="00063F39" w:rsidP="00B16525">
      <w:pPr>
        <w:pStyle w:val="Heading5"/>
      </w:pPr>
      <w:r>
        <w:t>Pharmacokinetics</w:t>
      </w:r>
    </w:p>
    <w:p w14:paraId="5DD2D124" w14:textId="77777777" w:rsidR="001D15D1" w:rsidRDefault="00063F39" w:rsidP="00B16525">
      <w:pPr>
        <w:pStyle w:val="Heading6"/>
      </w:pPr>
      <w:r>
        <w:t>Absorption</w:t>
      </w:r>
    </w:p>
    <w:p w14:paraId="7BAE2E63" w14:textId="2787BA19" w:rsidR="001D15D1" w:rsidRDefault="00063F39" w:rsidP="001D15D1">
      <w:r w:rsidRPr="00B17FB8">
        <w:t>Following a single oral tablet dose of 300</w:t>
      </w:r>
      <w:r w:rsidR="00B16525" w:rsidRPr="00B17FB8">
        <w:t> </w:t>
      </w:r>
      <w:r w:rsidRPr="00B17FB8">
        <w:t xml:space="preserve">mg </w:t>
      </w:r>
      <w:r w:rsidR="003A4339" w:rsidRPr="00B17FB8">
        <w:t>lenacapavir</w:t>
      </w:r>
      <w:r w:rsidRPr="00B17FB8">
        <w:t>, the median</w:t>
      </w:r>
      <w:r w:rsidR="004D6C77">
        <w:t xml:space="preserve"> time to maximum concentration (</w:t>
      </w:r>
      <w:r w:rsidRPr="00B17FB8">
        <w:t>T</w:t>
      </w:r>
      <w:r w:rsidRPr="00B17FB8">
        <w:rPr>
          <w:vertAlign w:val="subscript"/>
        </w:rPr>
        <w:t>max</w:t>
      </w:r>
      <w:r w:rsidR="004D6C77">
        <w:t xml:space="preserve">) </w:t>
      </w:r>
      <w:r w:rsidRPr="00B17FB8">
        <w:t>was 4.0</w:t>
      </w:r>
      <w:r w:rsidR="00B16525" w:rsidRPr="00B17FB8">
        <w:t> </w:t>
      </w:r>
      <w:r w:rsidRPr="00B17FB8">
        <w:t>h</w:t>
      </w:r>
      <w:r w:rsidR="00B16525" w:rsidRPr="00B17FB8">
        <w:t>ours</w:t>
      </w:r>
      <w:r>
        <w:t xml:space="preserve"> (fasted). Following SC </w:t>
      </w:r>
      <w:r w:rsidR="003A4339">
        <w:t>lenacapavir</w:t>
      </w:r>
      <w:r>
        <w:t xml:space="preserve"> dosing the median T</w:t>
      </w:r>
      <w:r w:rsidRPr="008F7514">
        <w:rPr>
          <w:vertAlign w:val="subscript"/>
        </w:rPr>
        <w:t>max</w:t>
      </w:r>
      <w:r>
        <w:t xml:space="preserve"> ranged from 77</w:t>
      </w:r>
      <w:r w:rsidR="008F7514">
        <w:t> days</w:t>
      </w:r>
      <w:r>
        <w:t xml:space="preserve"> to 84</w:t>
      </w:r>
      <w:r w:rsidR="008F7514">
        <w:t> </w:t>
      </w:r>
      <w:r>
        <w:t>days.</w:t>
      </w:r>
    </w:p>
    <w:p w14:paraId="643683C6" w14:textId="1CB93C37" w:rsidR="001D15D1" w:rsidRDefault="00063F39" w:rsidP="001D15D1">
      <w:r>
        <w:t xml:space="preserve">The absolute bioavailability of </w:t>
      </w:r>
      <w:r w:rsidR="0087238F">
        <w:t>oral or subcutaneous</w:t>
      </w:r>
      <w:r w:rsidR="0048124C">
        <w:t xml:space="preserve"> administration compared with</w:t>
      </w:r>
      <w:r w:rsidR="0048282F">
        <w:t xml:space="preserve"> </w:t>
      </w:r>
      <w:r w:rsidR="00AC4A05">
        <w:t>intravenous</w:t>
      </w:r>
      <w:r>
        <w:t xml:space="preserve"> </w:t>
      </w:r>
      <w:r w:rsidR="003A4339">
        <w:t>lenacapavir</w:t>
      </w:r>
      <w:r>
        <w:t xml:space="preserve"> was not directly </w:t>
      </w:r>
      <w:r w:rsidR="00D12658">
        <w:t>determined but</w:t>
      </w:r>
      <w:r>
        <w:t xml:space="preserve"> estimated after dose correction to be 10% for oral </w:t>
      </w:r>
      <w:r w:rsidR="003A4339">
        <w:t>lenacapavir</w:t>
      </w:r>
      <w:r>
        <w:t xml:space="preserve"> (300</w:t>
      </w:r>
      <w:r w:rsidR="00F73F60">
        <w:t> </w:t>
      </w:r>
      <w:r>
        <w:t xml:space="preserve">mg dosing) (Studies 4071 and 4329), and 100% for SC </w:t>
      </w:r>
      <w:r w:rsidR="003A4339">
        <w:t>lenacapavir</w:t>
      </w:r>
      <w:r>
        <w:t xml:space="preserve"> (Studies 4538 and 4329).</w:t>
      </w:r>
    </w:p>
    <w:p w14:paraId="1A6A2DDB" w14:textId="5DB32F13" w:rsidR="001D15D1" w:rsidRDefault="00063F39" w:rsidP="001D15D1">
      <w:r>
        <w:t>Following a single oral tablet dose of 300</w:t>
      </w:r>
      <w:r w:rsidR="00F269AA">
        <w:t> </w:t>
      </w:r>
      <w:r>
        <w:t xml:space="preserve">mg </w:t>
      </w:r>
      <w:r w:rsidR="003A4339">
        <w:t>lenacapavir</w:t>
      </w:r>
      <w:r>
        <w:t xml:space="preserve"> to healthy subjects, the median T</w:t>
      </w:r>
      <w:r w:rsidRPr="00D61D1D">
        <w:rPr>
          <w:vertAlign w:val="subscript"/>
        </w:rPr>
        <w:t>max</w:t>
      </w:r>
      <w:r>
        <w:t xml:space="preserve"> under fasted conditions and following a low</w:t>
      </w:r>
      <w:r w:rsidR="006D7271">
        <w:noBreakHyphen/>
      </w:r>
      <w:r>
        <w:t>fat and high</w:t>
      </w:r>
      <w:r w:rsidR="006D7271">
        <w:noBreakHyphen/>
      </w:r>
      <w:r>
        <w:t>fat meal occurred at 4.0</w:t>
      </w:r>
      <w:r w:rsidR="00D61D1D">
        <w:t xml:space="preserve"> hours,</w:t>
      </w:r>
      <w:r>
        <w:t xml:space="preserve"> 5.0 </w:t>
      </w:r>
      <w:proofErr w:type="gramStart"/>
      <w:r w:rsidR="00D61D1D">
        <w:t>hours</w:t>
      </w:r>
      <w:proofErr w:type="gramEnd"/>
      <w:r w:rsidR="00D61D1D">
        <w:t xml:space="preserve"> </w:t>
      </w:r>
      <w:r>
        <w:t xml:space="preserve">and 6.0 </w:t>
      </w:r>
      <w:r w:rsidR="00D61D1D">
        <w:t>hours</w:t>
      </w:r>
      <w:r>
        <w:t xml:space="preserve">, respectively. Food status is unlikely to have a clinically significant effect on </w:t>
      </w:r>
      <w:r w:rsidR="003A4339">
        <w:t>lenacapavir</w:t>
      </w:r>
      <w:r>
        <w:t xml:space="preserve"> exposure.</w:t>
      </w:r>
    </w:p>
    <w:p w14:paraId="766DE5C0" w14:textId="77777777" w:rsidR="001D15D1" w:rsidRDefault="00063F39" w:rsidP="006D4504">
      <w:pPr>
        <w:pStyle w:val="Heading6"/>
      </w:pPr>
      <w:r>
        <w:t>Distribution</w:t>
      </w:r>
    </w:p>
    <w:p w14:paraId="7113E39E" w14:textId="17979B34" w:rsidR="001D15D1" w:rsidRDefault="00063F39" w:rsidP="001D15D1">
      <w:r>
        <w:t xml:space="preserve">Following a single oral dose of </w:t>
      </w:r>
      <w:r w:rsidR="003A4339">
        <w:t>lenacapavir</w:t>
      </w:r>
      <w:r>
        <w:t xml:space="preserve"> 300</w:t>
      </w:r>
      <w:r w:rsidR="006D4504">
        <w:t> </w:t>
      </w:r>
      <w:r>
        <w:t>mg tablets under fed conditions, the apparent volume of distribution was 19</w:t>
      </w:r>
      <w:r w:rsidR="006D4504">
        <w:t>,</w:t>
      </w:r>
      <w:r>
        <w:t>597</w:t>
      </w:r>
      <w:r w:rsidR="006D4504">
        <w:t> </w:t>
      </w:r>
      <w:r>
        <w:t>L.</w:t>
      </w:r>
      <w:r>
        <w:rPr>
          <w:rStyle w:val="FootnoteReference"/>
        </w:rPr>
        <w:footnoteReference w:id="10"/>
      </w:r>
    </w:p>
    <w:p w14:paraId="231021C1" w14:textId="1015029E" w:rsidR="001D15D1" w:rsidRDefault="00063F39" w:rsidP="001D15D1">
      <w:r w:rsidRPr="00122C5A">
        <w:t>Following a single oral dose of single SC injection of 927</w:t>
      </w:r>
      <w:r w:rsidR="00280097" w:rsidRPr="00122C5A">
        <w:t> </w:t>
      </w:r>
      <w:r w:rsidRPr="00122C5A">
        <w:t xml:space="preserve">mg </w:t>
      </w:r>
      <w:r w:rsidR="003A4339" w:rsidRPr="00122C5A">
        <w:t>lenacapavir</w:t>
      </w:r>
      <w:r w:rsidRPr="00122C5A">
        <w:t xml:space="preserve"> </w:t>
      </w:r>
      <w:r w:rsidR="00122C5A" w:rsidRPr="00122C5A">
        <w:t>sodium</w:t>
      </w:r>
      <w:r w:rsidRPr="00122C5A">
        <w:t xml:space="preserve"> solution, the</w:t>
      </w:r>
      <w:r>
        <w:t xml:space="preserve"> apparent volume of distribution ranged from 9</w:t>
      </w:r>
      <w:r w:rsidR="00412211">
        <w:t>,</w:t>
      </w:r>
      <w:r>
        <w:t>495</w:t>
      </w:r>
      <w:r w:rsidR="00412211">
        <w:t> L</w:t>
      </w:r>
      <w:r>
        <w:t xml:space="preserve"> to 11</w:t>
      </w:r>
      <w:r w:rsidR="005B5556">
        <w:t>,</w:t>
      </w:r>
      <w:r>
        <w:t>675</w:t>
      </w:r>
      <w:r w:rsidR="005B5556">
        <w:t> </w:t>
      </w:r>
      <w:r>
        <w:t>L.</w:t>
      </w:r>
    </w:p>
    <w:p w14:paraId="3CEBBE9B" w14:textId="42B2210C" w:rsidR="001D15D1" w:rsidRDefault="00063F39" w:rsidP="001D15D1">
      <w:r>
        <w:t>Lenacapavir is highly bound to plasma proteins. Its plasma protein binding was approximately 99.8% in subjects with normal hepatic function. Mean whole blood</w:t>
      </w:r>
      <w:r w:rsidR="006D7271">
        <w:noBreakHyphen/>
      </w:r>
      <w:r>
        <w:t>to</w:t>
      </w:r>
      <w:r w:rsidR="006D7271">
        <w:noBreakHyphen/>
      </w:r>
      <w:r>
        <w:t xml:space="preserve">plasma concentration </w:t>
      </w:r>
      <w:r w:rsidRPr="004D6C77">
        <w:t xml:space="preserve">ratios following a radioactive dose of </w:t>
      </w:r>
      <w:r w:rsidR="003A4339" w:rsidRPr="004D6C77">
        <w:t>lenacapavir</w:t>
      </w:r>
      <w:r w:rsidRPr="004D6C77">
        <w:t xml:space="preserve"> ranged from 0.500 to 0.695 through </w:t>
      </w:r>
      <w:r w:rsidR="004D6C77" w:rsidRPr="004D6C77">
        <w:t xml:space="preserve">to </w:t>
      </w:r>
      <w:r w:rsidRPr="004D6C77">
        <w:t>336</w:t>
      </w:r>
      <w:r w:rsidR="004D6C77" w:rsidRPr="004D6C77">
        <w:t> </w:t>
      </w:r>
      <w:r w:rsidRPr="004D6C77">
        <w:t>h</w:t>
      </w:r>
      <w:r w:rsidR="004D6C77" w:rsidRPr="004D6C77">
        <w:t>ours</w:t>
      </w:r>
      <w:r w:rsidRPr="004D6C77">
        <w:t xml:space="preserve"> post</w:t>
      </w:r>
      <w:r w:rsidR="006D7271" w:rsidRPr="004D6C77">
        <w:noBreakHyphen/>
      </w:r>
      <w:r w:rsidRPr="004D6C77">
        <w:t>dose, indicating low association between radioactivity and red blood cells.</w:t>
      </w:r>
    </w:p>
    <w:p w14:paraId="3AFC23D0" w14:textId="77777777" w:rsidR="001D15D1" w:rsidRDefault="00063F39" w:rsidP="0013183E">
      <w:pPr>
        <w:pStyle w:val="Heading6"/>
      </w:pPr>
      <w:r>
        <w:lastRenderedPageBreak/>
        <w:t>Metabolism</w:t>
      </w:r>
    </w:p>
    <w:p w14:paraId="75F6C4CA" w14:textId="42EAC108" w:rsidR="001D15D1" w:rsidRDefault="00063F39" w:rsidP="001D15D1">
      <w:r w:rsidRPr="004D6C77">
        <w:t>Following a single dose of [</w:t>
      </w:r>
      <w:r w:rsidRPr="004D6C77">
        <w:rPr>
          <w:vertAlign w:val="superscript"/>
        </w:rPr>
        <w:t>14</w:t>
      </w:r>
      <w:proofErr w:type="gramStart"/>
      <w:r w:rsidRPr="004D6C77">
        <w:t>C]</w:t>
      </w:r>
      <w:r w:rsidR="003A4339" w:rsidRPr="004D6C77">
        <w:t>lenacapavir</w:t>
      </w:r>
      <w:proofErr w:type="gramEnd"/>
      <w:r w:rsidRPr="004D6C77">
        <w:t>, 76% of the total radioactivity was recovered from</w:t>
      </w:r>
      <w:r>
        <w:t xml:space="preserve"> faeces and </w:t>
      </w:r>
      <w:r w:rsidR="000C3ED0">
        <w:t>less than</w:t>
      </w:r>
      <w:r>
        <w:t xml:space="preserve"> 1% from urine. Unchanged </w:t>
      </w:r>
      <w:r w:rsidR="003A4339">
        <w:t>lenacapavir</w:t>
      </w:r>
      <w:r>
        <w:t xml:space="preserve"> was 68.8% and 32.9% of circulating total radioactivity, in plasma and of faeces, respectively. As the primary circulating form of </w:t>
      </w:r>
      <w:r w:rsidR="003A4339">
        <w:t>lenacapavir</w:t>
      </w:r>
      <w:r>
        <w:t xml:space="preserve"> is unchanged drug, genetic polymorphisms in CYP enzymes or transporters are unlikely to significantly affect the plasma PKs of </w:t>
      </w:r>
      <w:r w:rsidR="003A4339">
        <w:t>lenacapavir</w:t>
      </w:r>
      <w:r>
        <w:t>.</w:t>
      </w:r>
    </w:p>
    <w:p w14:paraId="16E87E9C" w14:textId="16E1B3C5" w:rsidR="001D15D1" w:rsidRDefault="00063F39" w:rsidP="001D15D1">
      <w:r w:rsidRPr="004D6C77">
        <w:t>Metabolism was via oxidation, N</w:t>
      </w:r>
      <w:r w:rsidR="006D7271" w:rsidRPr="004D6C77">
        <w:noBreakHyphen/>
      </w:r>
      <w:r w:rsidRPr="004D6C77">
        <w:t>dealkylation, hydrogenation, amid</w:t>
      </w:r>
      <w:r w:rsidR="004D6C77" w:rsidRPr="004D6C77">
        <w:t>e</w:t>
      </w:r>
      <w:r w:rsidRPr="004D6C77">
        <w:t xml:space="preserve"> hydrolysis,</w:t>
      </w:r>
      <w:r>
        <w:t xml:space="preserve"> glucuronidation, hexose conjugation, pentose conjugation and glutathione conjugation, involving CYP3A and UGT1A1.</w:t>
      </w:r>
    </w:p>
    <w:p w14:paraId="704DD8A5" w14:textId="57A75A4F" w:rsidR="001D15D1" w:rsidRDefault="00063F39" w:rsidP="001D15D1">
      <w:r w:rsidRPr="00982ECB">
        <w:t xml:space="preserve">Three circulating metabolites </w:t>
      </w:r>
      <w:r w:rsidR="00982ECB" w:rsidRPr="00982ECB">
        <w:t xml:space="preserve">that represented greater than </w:t>
      </w:r>
      <w:r w:rsidRPr="00982ECB">
        <w:t>1%</w:t>
      </w:r>
      <w:r w:rsidR="00982ECB" w:rsidRPr="00982ECB">
        <w:t xml:space="preserve"> of circulating activity</w:t>
      </w:r>
      <w:r w:rsidRPr="00982ECB">
        <w:t xml:space="preserve"> were</w:t>
      </w:r>
      <w:r>
        <w:t xml:space="preserve"> identified in plasma. None of these metabolites accounted for 10% </w:t>
      </w:r>
      <w:r w:rsidR="00914B93">
        <w:t xml:space="preserve">or more </w:t>
      </w:r>
      <w:r>
        <w:t>of plasma drug</w:t>
      </w:r>
      <w:r w:rsidR="006D7271">
        <w:noBreakHyphen/>
      </w:r>
      <w:r>
        <w:t>related exposure.</w:t>
      </w:r>
    </w:p>
    <w:p w14:paraId="757D380F" w14:textId="77777777" w:rsidR="001D15D1" w:rsidRDefault="00063F39" w:rsidP="000C3ED0">
      <w:pPr>
        <w:pStyle w:val="Heading6"/>
      </w:pPr>
      <w:r>
        <w:t>Excretion and elimination</w:t>
      </w:r>
    </w:p>
    <w:p w14:paraId="5FDC9D0B" w14:textId="2FFD4DCA" w:rsidR="001D15D1" w:rsidRDefault="00063F39" w:rsidP="001D15D1">
      <w:r>
        <w:t>The median half</w:t>
      </w:r>
      <w:r w:rsidR="006D7271">
        <w:noBreakHyphen/>
      </w:r>
      <w:r>
        <w:t>life after administration ranged from 10</w:t>
      </w:r>
      <w:r w:rsidR="00F76C4B">
        <w:t xml:space="preserve"> days</w:t>
      </w:r>
      <w:r>
        <w:t xml:space="preserve"> to 12 days (</w:t>
      </w:r>
      <w:r w:rsidR="00F76C4B">
        <w:t>after oral administration</w:t>
      </w:r>
      <w:r>
        <w:t xml:space="preserve">) and 8 </w:t>
      </w:r>
      <w:r w:rsidR="00F76C4B">
        <w:t xml:space="preserve">weeks </w:t>
      </w:r>
      <w:r>
        <w:t>to 12 weeks (</w:t>
      </w:r>
      <w:r w:rsidR="00F76C4B">
        <w:t>after</w:t>
      </w:r>
      <w:r w:rsidR="00D22851">
        <w:t xml:space="preserve"> </w:t>
      </w:r>
      <w:r>
        <w:t>SC</w:t>
      </w:r>
      <w:r w:rsidR="00D22851">
        <w:t xml:space="preserve"> administration</w:t>
      </w:r>
      <w:r>
        <w:t>). The mean apparent clearance was 55</w:t>
      </w:r>
      <w:r w:rsidR="00D22851">
        <w:t> </w:t>
      </w:r>
      <w:r>
        <w:t>L/h (</w:t>
      </w:r>
      <w:r w:rsidR="00D22851">
        <w:t>oral</w:t>
      </w:r>
      <w:r>
        <w:t>) and 4.2</w:t>
      </w:r>
      <w:r w:rsidR="00D22851">
        <w:t> </w:t>
      </w:r>
      <w:r>
        <w:t>L/h (SC).</w:t>
      </w:r>
    </w:p>
    <w:p w14:paraId="2D81AA1B" w14:textId="07D889BC" w:rsidR="001D15D1" w:rsidRDefault="00063F39" w:rsidP="001D15D1">
      <w:r>
        <w:t>Following a single 300</w:t>
      </w:r>
      <w:r w:rsidR="00D22851">
        <w:t> </w:t>
      </w:r>
      <w:r>
        <w:t xml:space="preserve">mg oral tablet dose of </w:t>
      </w:r>
      <w:r w:rsidR="003A4339">
        <w:t>lenacapavir</w:t>
      </w:r>
      <w:r>
        <w:t xml:space="preserve"> to healthy subjects, </w:t>
      </w:r>
      <w:r w:rsidR="003A4339">
        <w:t>lenacapavir</w:t>
      </w:r>
      <w:r>
        <w:t xml:space="preserve"> </w:t>
      </w:r>
      <w:r w:rsidR="00E652B8" w:rsidRPr="00E652B8">
        <w:t xml:space="preserve">apparent oral clearance </w:t>
      </w:r>
      <w:r w:rsidRPr="00E652B8">
        <w:t>ranged from approximately 41</w:t>
      </w:r>
      <w:r w:rsidR="00763FF0" w:rsidRPr="00E652B8">
        <w:t> L/h</w:t>
      </w:r>
      <w:r w:rsidRPr="00E652B8">
        <w:t xml:space="preserve"> to 52</w:t>
      </w:r>
      <w:r w:rsidR="00763FF0" w:rsidRPr="00E652B8">
        <w:t> </w:t>
      </w:r>
      <w:r w:rsidRPr="00E652B8">
        <w:t>L/h, whereas, following a</w:t>
      </w:r>
      <w:r>
        <w:t xml:space="preserve"> single SC administration of </w:t>
      </w:r>
      <w:r w:rsidRPr="00122C5A">
        <w:t>927</w:t>
      </w:r>
      <w:r w:rsidR="00763FF0" w:rsidRPr="00122C5A">
        <w:t> </w:t>
      </w:r>
      <w:r w:rsidRPr="00122C5A">
        <w:t xml:space="preserve">mg </w:t>
      </w:r>
      <w:r w:rsidR="003A4339" w:rsidRPr="00122C5A">
        <w:t>lenacapavir</w:t>
      </w:r>
      <w:r w:rsidRPr="00122C5A">
        <w:t xml:space="preserve"> </w:t>
      </w:r>
      <w:r w:rsidR="00122C5A" w:rsidRPr="00122C5A">
        <w:t>sodium</w:t>
      </w:r>
      <w:r w:rsidRPr="00122C5A">
        <w:t xml:space="preserve"> mean </w:t>
      </w:r>
      <w:r w:rsidR="00E652B8">
        <w:t>apparent oral clearance</w:t>
      </w:r>
      <w:r w:rsidRPr="00122C5A">
        <w:t xml:space="preserve"> was approximately 4.2</w:t>
      </w:r>
      <w:r w:rsidR="00763FF0" w:rsidRPr="00122C5A">
        <w:t> </w:t>
      </w:r>
      <w:r w:rsidRPr="00122C5A">
        <w:t>L/h.</w:t>
      </w:r>
    </w:p>
    <w:p w14:paraId="626791FE" w14:textId="77777777" w:rsidR="001D15D1" w:rsidRDefault="00063F39" w:rsidP="000C3ED0">
      <w:pPr>
        <w:pStyle w:val="Heading6"/>
      </w:pPr>
      <w:r>
        <w:t>Dose proportionality</w:t>
      </w:r>
    </w:p>
    <w:p w14:paraId="3A58A25A" w14:textId="0EB8915A" w:rsidR="001D15D1" w:rsidRDefault="00063F39" w:rsidP="001D15D1">
      <w:r>
        <w:t>Following single doses of 50</w:t>
      </w:r>
      <w:r w:rsidR="005C3692">
        <w:t> mg</w:t>
      </w:r>
      <w:r>
        <w:t>, 300</w:t>
      </w:r>
      <w:r w:rsidR="005C3692">
        <w:t> mg</w:t>
      </w:r>
      <w:r>
        <w:t>, 900</w:t>
      </w:r>
      <w:r w:rsidR="005C3692">
        <w:t> </w:t>
      </w:r>
      <w:proofErr w:type="gramStart"/>
      <w:r w:rsidR="005C3692">
        <w:t>mg</w:t>
      </w:r>
      <w:proofErr w:type="gramEnd"/>
      <w:r>
        <w:t xml:space="preserve"> and 1800</w:t>
      </w:r>
      <w:r w:rsidR="005C3692">
        <w:t> </w:t>
      </w:r>
      <w:r>
        <w:t xml:space="preserve">mg of </w:t>
      </w:r>
      <w:r w:rsidR="003A4339">
        <w:t>lenacapavir</w:t>
      </w:r>
      <w:r>
        <w:t xml:space="preserve"> oral tablets, increases in </w:t>
      </w:r>
      <w:r w:rsidR="003A4339">
        <w:t>lenacapavir</w:t>
      </w:r>
      <w:r>
        <w:t xml:space="preserve"> AUC and C</w:t>
      </w:r>
      <w:r w:rsidRPr="005C3692">
        <w:rPr>
          <w:vertAlign w:val="subscript"/>
        </w:rPr>
        <w:t>max</w:t>
      </w:r>
      <w:r>
        <w:t xml:space="preserve"> values were less than dose proportional.</w:t>
      </w:r>
    </w:p>
    <w:p w14:paraId="755931CE" w14:textId="2A0AF86A" w:rsidR="001D15D1" w:rsidRDefault="00063F39" w:rsidP="001D15D1">
      <w:r>
        <w:t xml:space="preserve">Following single SC administrations of the </w:t>
      </w:r>
      <w:r w:rsidR="003A4339">
        <w:t>lenacapavir</w:t>
      </w:r>
      <w:r>
        <w:t xml:space="preserve"> </w:t>
      </w:r>
      <w:r w:rsidR="00E652B8">
        <w:t>free acid</w:t>
      </w:r>
      <w:r>
        <w:t xml:space="preserve"> suspension at doses of 30</w:t>
      </w:r>
      <w:r w:rsidR="005C3692">
        <w:t> mg</w:t>
      </w:r>
      <w:r>
        <w:t>, 100</w:t>
      </w:r>
      <w:r w:rsidR="005C3692">
        <w:t> mg</w:t>
      </w:r>
      <w:r>
        <w:t>, 300</w:t>
      </w:r>
      <w:r w:rsidR="005C3692">
        <w:t> </w:t>
      </w:r>
      <w:proofErr w:type="gramStart"/>
      <w:r w:rsidR="005C3692">
        <w:t>mg</w:t>
      </w:r>
      <w:proofErr w:type="gramEnd"/>
      <w:r>
        <w:t xml:space="preserve"> or 450</w:t>
      </w:r>
      <w:r w:rsidR="001A73D1">
        <w:t> </w:t>
      </w:r>
      <w:r>
        <w:t xml:space="preserve">mg, </w:t>
      </w:r>
      <w:r w:rsidR="003A4339">
        <w:t>lenacapavir</w:t>
      </w:r>
      <w:r>
        <w:t xml:space="preserve"> exposure increased in a dose proportional manner. Moreover, at doses of 100</w:t>
      </w:r>
      <w:r w:rsidR="001A73D1">
        <w:t> </w:t>
      </w:r>
      <w:r>
        <w:t xml:space="preserve">mg or greater, mean </w:t>
      </w:r>
      <w:r w:rsidR="003A4339">
        <w:t>lenacapavir</w:t>
      </w:r>
      <w:r>
        <w:t xml:space="preserve"> plasma concentrations exceeded the </w:t>
      </w:r>
      <w:r w:rsidR="00E652B8" w:rsidRPr="00E652B8">
        <w:t>95% effective concentration</w:t>
      </w:r>
      <w:r w:rsidRPr="00E652B8">
        <w:t xml:space="preserve"> for wild</w:t>
      </w:r>
      <w:r w:rsidR="00486698">
        <w:noBreakHyphen/>
      </w:r>
      <w:r w:rsidRPr="00E652B8">
        <w:t>type HIV</w:t>
      </w:r>
      <w:r w:rsidR="006D7271" w:rsidRPr="00E652B8">
        <w:noBreakHyphen/>
      </w:r>
      <w:r w:rsidRPr="00E652B8">
        <w:t>1 (3.87</w:t>
      </w:r>
      <w:r w:rsidR="001A73D1" w:rsidRPr="00E652B8">
        <w:t> </w:t>
      </w:r>
      <w:r w:rsidRPr="00E652B8">
        <w:t>ng/mL), as determined in MT</w:t>
      </w:r>
      <w:r w:rsidR="006D7271" w:rsidRPr="00E652B8">
        <w:noBreakHyphen/>
      </w:r>
      <w:r w:rsidRPr="00E652B8">
        <w:t>4 cells, for</w:t>
      </w:r>
      <w:r>
        <w:t xml:space="preserve"> at least 12</w:t>
      </w:r>
      <w:r w:rsidR="001A73D1">
        <w:t> </w:t>
      </w:r>
      <w:r>
        <w:t>weeks.</w:t>
      </w:r>
    </w:p>
    <w:p w14:paraId="79D8A73D" w14:textId="7FAC7359" w:rsidR="001D15D1" w:rsidRDefault="00063F39" w:rsidP="001D15D1">
      <w:r>
        <w:t xml:space="preserve">Following </w:t>
      </w:r>
      <w:r w:rsidR="009D1A4A">
        <w:t>2</w:t>
      </w:r>
      <w:r>
        <w:t xml:space="preserve"> days of oral tablet dosing with 600</w:t>
      </w:r>
      <w:r w:rsidR="001A73D1">
        <w:t> </w:t>
      </w:r>
      <w:r>
        <w:t xml:space="preserve">mg </w:t>
      </w:r>
      <w:r w:rsidR="003A4339">
        <w:t>lenacapavir</w:t>
      </w:r>
      <w:r>
        <w:t xml:space="preserve">, mean </w:t>
      </w:r>
      <w:r w:rsidR="003A4339">
        <w:t>lenacapavir</w:t>
      </w:r>
      <w:r>
        <w:t xml:space="preserve"> C</w:t>
      </w:r>
      <w:r w:rsidRPr="001A73D1">
        <w:rPr>
          <w:vertAlign w:val="subscript"/>
        </w:rPr>
        <w:t xml:space="preserve">max </w:t>
      </w:r>
      <w:r>
        <w:t xml:space="preserve">approximately doubled following </w:t>
      </w:r>
      <w:r w:rsidR="001A73D1">
        <w:t>D</w:t>
      </w:r>
      <w:r>
        <w:t>ay 1 dosing (22</w:t>
      </w:r>
      <w:r w:rsidR="001A73D1">
        <w:t> </w:t>
      </w:r>
      <w:r>
        <w:t xml:space="preserve">ng/mL) compared to </w:t>
      </w:r>
      <w:r w:rsidR="001A73D1">
        <w:t>D</w:t>
      </w:r>
      <w:r>
        <w:t>ay 2 dosing (40.4</w:t>
      </w:r>
      <w:r w:rsidR="001A73D1">
        <w:t> </w:t>
      </w:r>
      <w:r>
        <w:t>ng/mL) and T</w:t>
      </w:r>
      <w:r w:rsidRPr="001A73D1">
        <w:rPr>
          <w:vertAlign w:val="subscript"/>
        </w:rPr>
        <w:t xml:space="preserve">max </w:t>
      </w:r>
      <w:r>
        <w:t>increased from 4</w:t>
      </w:r>
      <w:r w:rsidR="001A73D1">
        <w:t> h</w:t>
      </w:r>
      <w:r>
        <w:t xml:space="preserve"> to 6</w:t>
      </w:r>
      <w:r w:rsidR="001A73D1">
        <w:t> </w:t>
      </w:r>
      <w:r>
        <w:t>h.</w:t>
      </w:r>
    </w:p>
    <w:p w14:paraId="0794D5A9" w14:textId="453768EE" w:rsidR="001D15D1" w:rsidRDefault="00063F39" w:rsidP="001D15D1">
      <w:r>
        <w:t xml:space="preserve">Following 10 days of </w:t>
      </w:r>
      <w:r w:rsidR="00E652B8">
        <w:t>once daily</w:t>
      </w:r>
      <w:r>
        <w:t xml:space="preserve"> dosing with </w:t>
      </w:r>
      <w:r w:rsidR="003A4339">
        <w:t>lenacapavir</w:t>
      </w:r>
      <w:r>
        <w:t xml:space="preserve"> oral capsules containing either 30</w:t>
      </w:r>
      <w:r w:rsidR="009C2933">
        <w:t> </w:t>
      </w:r>
      <w:r>
        <w:t>mg or 100</w:t>
      </w:r>
      <w:r w:rsidR="009C2933">
        <w:t> </w:t>
      </w:r>
      <w:r>
        <w:t xml:space="preserve">mg, steady state </w:t>
      </w:r>
      <w:r w:rsidR="003A4339">
        <w:t>lenacapavir</w:t>
      </w:r>
      <w:r>
        <w:t xml:space="preserve"> exposure was not achieved; however, consistent with the t</w:t>
      </w:r>
      <w:r w:rsidRPr="009C2933">
        <w:rPr>
          <w:vertAlign w:val="subscript"/>
        </w:rPr>
        <w:t>1/2</w:t>
      </w:r>
      <w:r>
        <w:t xml:space="preserve">, the mean </w:t>
      </w:r>
      <w:r w:rsidR="003A4339">
        <w:t>lenacapavir</w:t>
      </w:r>
      <w:r>
        <w:t xml:space="preserve"> C</w:t>
      </w:r>
      <w:r w:rsidRPr="009C2933">
        <w:rPr>
          <w:vertAlign w:val="subscript"/>
        </w:rPr>
        <w:t>max</w:t>
      </w:r>
      <w:r>
        <w:t xml:space="preserve"> and</w:t>
      </w:r>
      <w:r w:rsidR="006F1B4F">
        <w:t xml:space="preserve"> area under the concentration versus time curve from time zero to </w:t>
      </w:r>
      <w:r w:rsidR="006F1B4F" w:rsidRPr="006F1B4F">
        <w:t>24 hours (</w:t>
      </w:r>
      <w:r w:rsidRPr="006F1B4F">
        <w:t>AUC</w:t>
      </w:r>
      <w:r w:rsidRPr="006F1B4F">
        <w:rPr>
          <w:vertAlign w:val="subscript"/>
        </w:rPr>
        <w:t>0</w:t>
      </w:r>
      <w:r w:rsidR="006D7271">
        <w:rPr>
          <w:vertAlign w:val="subscript"/>
        </w:rPr>
        <w:noBreakHyphen/>
      </w:r>
      <w:r w:rsidRPr="006F1B4F">
        <w:rPr>
          <w:vertAlign w:val="subscript"/>
        </w:rPr>
        <w:t>24</w:t>
      </w:r>
      <w:r w:rsidR="006F1B4F" w:rsidRPr="006F1B4F">
        <w:t xml:space="preserve">) </w:t>
      </w:r>
      <w:r w:rsidRPr="006F1B4F">
        <w:t>were at least 10</w:t>
      </w:r>
      <w:r w:rsidR="006D7271">
        <w:noBreakHyphen/>
      </w:r>
      <w:r w:rsidRPr="006F1B4F">
        <w:t>fold higher than those after a single dose.</w:t>
      </w:r>
    </w:p>
    <w:p w14:paraId="73D569AA" w14:textId="77777777" w:rsidR="001D15D1" w:rsidRDefault="00063F39" w:rsidP="000C3ED0">
      <w:pPr>
        <w:pStyle w:val="Heading6"/>
      </w:pPr>
      <w:r>
        <w:t>Accumulation</w:t>
      </w:r>
    </w:p>
    <w:p w14:paraId="5D43A494" w14:textId="6A83AF83" w:rsidR="001D15D1" w:rsidRDefault="00063F39" w:rsidP="001D15D1">
      <w:r w:rsidRPr="00E652B8">
        <w:t xml:space="preserve">Following a single </w:t>
      </w:r>
      <w:r w:rsidR="00AC4A05">
        <w:t>intravenous</w:t>
      </w:r>
      <w:r w:rsidRPr="00E652B8">
        <w:t xml:space="preserve"> dose of [</w:t>
      </w:r>
      <w:r w:rsidRPr="00E652B8">
        <w:rPr>
          <w:vertAlign w:val="superscript"/>
        </w:rPr>
        <w:t>14</w:t>
      </w:r>
      <w:proofErr w:type="gramStart"/>
      <w:r w:rsidRPr="00E652B8">
        <w:t>C]</w:t>
      </w:r>
      <w:r w:rsidR="003A4339" w:rsidRPr="00E652B8">
        <w:t>lenacapavir</w:t>
      </w:r>
      <w:proofErr w:type="gramEnd"/>
      <w:r w:rsidRPr="00E652B8">
        <w:t xml:space="preserve"> 20</w:t>
      </w:r>
      <w:r w:rsidR="009C2933" w:rsidRPr="00E652B8">
        <w:t> </w:t>
      </w:r>
      <w:r w:rsidRPr="00E652B8">
        <w:t>mg to healthy male participants, 75.9% of the</w:t>
      </w:r>
      <w:r>
        <w:t xml:space="preserve"> dose was recovered in faeces and 0.24% in urine.</w:t>
      </w:r>
    </w:p>
    <w:p w14:paraId="070DAB7E" w14:textId="1A9144E7" w:rsidR="001D15D1" w:rsidRDefault="00063F39" w:rsidP="000C3ED0">
      <w:pPr>
        <w:pStyle w:val="Heading6"/>
      </w:pPr>
      <w:r>
        <w:t>Intra</w:t>
      </w:r>
      <w:r w:rsidR="006D7271">
        <w:noBreakHyphen/>
      </w:r>
      <w:r w:rsidR="00FD4635">
        <w:t>individual</w:t>
      </w:r>
      <w:r>
        <w:t xml:space="preserve"> and inter</w:t>
      </w:r>
      <w:r w:rsidR="006D7271">
        <w:noBreakHyphen/>
      </w:r>
      <w:r>
        <w:t>individual variability</w:t>
      </w:r>
    </w:p>
    <w:p w14:paraId="3278BF91" w14:textId="4A8E09EA" w:rsidR="001D15D1" w:rsidRDefault="00063F39" w:rsidP="001D15D1">
      <w:r w:rsidRPr="0048282F">
        <w:t xml:space="preserve">The </w:t>
      </w:r>
      <w:r w:rsidR="0048282F" w:rsidRPr="0048282F">
        <w:t>inter</w:t>
      </w:r>
      <w:r w:rsidR="0048282F" w:rsidRPr="0048282F">
        <w:noBreakHyphen/>
        <w:t>individual</w:t>
      </w:r>
      <w:r w:rsidRPr="0048282F">
        <w:t xml:space="preserve"> values for </w:t>
      </w:r>
      <w:r w:rsidR="0048282F" w:rsidRPr="0048282F">
        <w:t>clearance</w:t>
      </w:r>
      <w:r w:rsidRPr="0048282F">
        <w:t xml:space="preserve">, </w:t>
      </w:r>
      <w:r w:rsidR="0048282F" w:rsidRPr="0048282F">
        <w:t>peripheral volume of distribution, oral first-order absorption rate constant, SC first-order transit absorption rate constant,</w:t>
      </w:r>
      <w:r w:rsidRPr="0048282F">
        <w:t xml:space="preserve"> and </w:t>
      </w:r>
      <w:r w:rsidR="0048282F" w:rsidRPr="0048282F">
        <w:t xml:space="preserve">SC bioavailability relative to </w:t>
      </w:r>
      <w:r w:rsidR="00AC4A05">
        <w:t>intravenous</w:t>
      </w:r>
      <w:r w:rsidR="0048282F" w:rsidRPr="0048282F">
        <w:t>,</w:t>
      </w:r>
      <w:r w:rsidRPr="0048282F">
        <w:t xml:space="preserve"> were 44%, 85%, 78%, 32% and 39%, respectively. </w:t>
      </w:r>
      <w:r w:rsidR="0048282F" w:rsidRPr="0048282F">
        <w:t>A combined</w:t>
      </w:r>
      <w:r w:rsidRPr="0048282F">
        <w:t xml:space="preserve"> additive </w:t>
      </w:r>
      <w:r w:rsidRPr="0048282F">
        <w:lastRenderedPageBreak/>
        <w:t>and proportional error</w:t>
      </w:r>
      <w:r w:rsidR="0048282F" w:rsidRPr="0048282F">
        <w:t xml:space="preserve"> model </w:t>
      </w:r>
      <w:proofErr w:type="gramStart"/>
      <w:r w:rsidR="0048282F" w:rsidRPr="0048282F">
        <w:t>wa</w:t>
      </w:r>
      <w:r w:rsidRPr="0048282F">
        <w:t>s</w:t>
      </w:r>
      <w:proofErr w:type="gramEnd"/>
      <w:r w:rsidRPr="0048282F">
        <w:t xml:space="preserve"> used to characterise residual variability</w:t>
      </w:r>
      <w:r w:rsidR="0048282F" w:rsidRPr="0048282F">
        <w:t>, which had values of</w:t>
      </w:r>
      <w:r w:rsidRPr="00E22C49">
        <w:t xml:space="preserve"> 0.025</w:t>
      </w:r>
      <w:r w:rsidR="00E22C49" w:rsidRPr="00E22C49">
        <w:t> </w:t>
      </w:r>
      <w:r w:rsidRPr="00E22C49">
        <w:t xml:space="preserve">ng/mL and 27% </w:t>
      </w:r>
      <w:r w:rsidR="0048282F">
        <w:t>of the coefficient of variation</w:t>
      </w:r>
      <w:r w:rsidRPr="00E22C49">
        <w:t>, respectively.</w:t>
      </w:r>
    </w:p>
    <w:p w14:paraId="5D59D964" w14:textId="77777777" w:rsidR="001D15D1" w:rsidRDefault="00063F39" w:rsidP="000C3ED0">
      <w:pPr>
        <w:pStyle w:val="Heading6"/>
      </w:pPr>
      <w:r>
        <w:t>Pharmacokinetics in the target population</w:t>
      </w:r>
    </w:p>
    <w:p w14:paraId="5AF5C89D" w14:textId="0259FB44" w:rsidR="001D15D1" w:rsidRDefault="00063F39" w:rsidP="001D15D1">
      <w:r>
        <w:t xml:space="preserve">As in healthy subjects, </w:t>
      </w:r>
      <w:r w:rsidR="003A4339">
        <w:t>lenacapavir</w:t>
      </w:r>
      <w:r>
        <w:t xml:space="preserve"> PKs following SC administration of the suspension formulation to </w:t>
      </w:r>
      <w:r w:rsidR="00D90E55">
        <w:t>people with HIV</w:t>
      </w:r>
      <w:r>
        <w:t xml:space="preserve"> were characterised by prolonged exposure, with measurable plasma concentrations for at least 32</w:t>
      </w:r>
      <w:r w:rsidR="00D90E55">
        <w:t> </w:t>
      </w:r>
      <w:r>
        <w:t>weeks following doses of 150</w:t>
      </w:r>
      <w:r w:rsidR="00D90E55">
        <w:t> mg</w:t>
      </w:r>
      <w:r>
        <w:t>, 450</w:t>
      </w:r>
      <w:r w:rsidR="00D90E55">
        <w:t> </w:t>
      </w:r>
      <w:proofErr w:type="gramStart"/>
      <w:r w:rsidR="00D90E55">
        <w:t>mg</w:t>
      </w:r>
      <w:proofErr w:type="gramEnd"/>
      <w:r>
        <w:t xml:space="preserve"> and 750</w:t>
      </w:r>
      <w:r w:rsidR="00D90E55">
        <w:t> </w:t>
      </w:r>
      <w:r>
        <w:t>mg. The median t</w:t>
      </w:r>
      <w:r w:rsidRPr="00D90E55">
        <w:rPr>
          <w:vertAlign w:val="subscript"/>
        </w:rPr>
        <w:t>1/2</w:t>
      </w:r>
      <w:r>
        <w:t xml:space="preserve"> across doses ranged between approximately 36</w:t>
      </w:r>
      <w:r w:rsidR="00D90E55">
        <w:t xml:space="preserve"> days </w:t>
      </w:r>
      <w:r>
        <w:t>and 45</w:t>
      </w:r>
      <w:r w:rsidR="00D90E55">
        <w:t> </w:t>
      </w:r>
      <w:r>
        <w:t xml:space="preserve">days. Moreover, </w:t>
      </w:r>
      <w:r w:rsidR="003A4339">
        <w:t>lenacapavir</w:t>
      </w:r>
      <w:r>
        <w:t xml:space="preserve"> C</w:t>
      </w:r>
      <w:r w:rsidRPr="00D90E55">
        <w:rPr>
          <w:vertAlign w:val="subscript"/>
        </w:rPr>
        <w:t xml:space="preserve">max </w:t>
      </w:r>
      <w:r>
        <w:t xml:space="preserve">and </w:t>
      </w:r>
      <w:r w:rsidR="00AE7F22">
        <w:t xml:space="preserve">area under the concentration versus time curve from time zero to infinity </w:t>
      </w:r>
      <w:r w:rsidR="00AE7F22" w:rsidRPr="0048282F">
        <w:t>(</w:t>
      </w:r>
      <w:r w:rsidRPr="0048282F">
        <w:t>AUC</w:t>
      </w:r>
      <w:r w:rsidRPr="0048282F">
        <w:rPr>
          <w:vertAlign w:val="subscript"/>
        </w:rPr>
        <w:t>inf</w:t>
      </w:r>
      <w:r w:rsidR="00AE7F22" w:rsidRPr="0048282F">
        <w:t xml:space="preserve">) </w:t>
      </w:r>
      <w:r w:rsidRPr="0048282F">
        <w:t>increased in a dose proportional manner across the range of doses evaluated. By</w:t>
      </w:r>
      <w:r>
        <w:t xml:space="preserve"> contrast, the popPK analysis indicated that </w:t>
      </w:r>
      <w:r w:rsidR="003A4339">
        <w:t>lenacapavir</w:t>
      </w:r>
      <w:r>
        <w:t xml:space="preserve"> </w:t>
      </w:r>
      <w:r w:rsidR="00607CC1">
        <w:t>clearance</w:t>
      </w:r>
      <w:r>
        <w:t xml:space="preserve"> and </w:t>
      </w:r>
      <w:r w:rsidR="00607CC1">
        <w:t>peripheral volume of distribution</w:t>
      </w:r>
      <w:r>
        <w:t xml:space="preserve"> were 30.4% and 133% higher in healthy subjects than in </w:t>
      </w:r>
      <w:r w:rsidR="005C585A">
        <w:t>people with HIV</w:t>
      </w:r>
      <w:r>
        <w:t>.</w:t>
      </w:r>
    </w:p>
    <w:p w14:paraId="221E0F78" w14:textId="77777777" w:rsidR="001D15D1" w:rsidRDefault="00063F39" w:rsidP="000C3ED0">
      <w:pPr>
        <w:pStyle w:val="Heading6"/>
      </w:pPr>
      <w:r>
        <w:t>Pharmacokinetics in special populations</w:t>
      </w:r>
    </w:p>
    <w:p w14:paraId="76443FAA" w14:textId="6FBBE9DE" w:rsidR="001D15D1" w:rsidRDefault="00063F39" w:rsidP="001D15D1">
      <w:r w:rsidRPr="005C585A">
        <w:rPr>
          <w:rStyle w:val="Heading7Char"/>
        </w:rPr>
        <w:t xml:space="preserve">Hepatic impairment: </w:t>
      </w:r>
      <w:r w:rsidR="0048282F">
        <w:t>L</w:t>
      </w:r>
      <w:r w:rsidR="003A4339">
        <w:t>enacapavir</w:t>
      </w:r>
      <w:r>
        <w:t xml:space="preserve"> AUC</w:t>
      </w:r>
      <w:r w:rsidRPr="00C936B1">
        <w:rPr>
          <w:vertAlign w:val="subscript"/>
        </w:rPr>
        <w:t>inf</w:t>
      </w:r>
      <w:r>
        <w:t xml:space="preserve"> and C</w:t>
      </w:r>
      <w:r w:rsidRPr="00C936B1">
        <w:rPr>
          <w:vertAlign w:val="subscript"/>
        </w:rPr>
        <w:t>max</w:t>
      </w:r>
      <w:r>
        <w:t xml:space="preserve"> were 47% and 161%, respectively, higher in the moderately impaired subjects than in participants with normal hepatic function, respectively. </w:t>
      </w:r>
      <w:r w:rsidR="003A4339">
        <w:t>lenacapavir</w:t>
      </w:r>
      <w:r>
        <w:t xml:space="preserve"> PKs have not been evaluated in subjects with severe hepatic impairment.</w:t>
      </w:r>
    </w:p>
    <w:p w14:paraId="334B4B21" w14:textId="2569A488" w:rsidR="001D15D1" w:rsidRDefault="00063F39" w:rsidP="001D15D1">
      <w:r w:rsidRPr="005C585A">
        <w:rPr>
          <w:rStyle w:val="Heading7Char"/>
        </w:rPr>
        <w:t>Renal impairment:</w:t>
      </w:r>
      <w:r>
        <w:t xml:space="preserve"> </w:t>
      </w:r>
      <w:r w:rsidR="0048282F">
        <w:t>L</w:t>
      </w:r>
      <w:r w:rsidR="003A4339">
        <w:t>enacapavir</w:t>
      </w:r>
      <w:r>
        <w:t xml:space="preserve"> C</w:t>
      </w:r>
      <w:r w:rsidRPr="001E27A1">
        <w:rPr>
          <w:vertAlign w:val="subscript"/>
        </w:rPr>
        <w:t>max</w:t>
      </w:r>
      <w:r>
        <w:t xml:space="preserve"> and AUC</w:t>
      </w:r>
      <w:r w:rsidRPr="001E27A1">
        <w:rPr>
          <w:vertAlign w:val="subscript"/>
        </w:rPr>
        <w:t>inf</w:t>
      </w:r>
      <w:r>
        <w:t xml:space="preserve"> were increased by 162% and 84%, respectively, in participants with severe renal impairment compared matched healthy controls. </w:t>
      </w:r>
      <w:r w:rsidR="003A4339">
        <w:t>lenacapavir</w:t>
      </w:r>
      <w:r>
        <w:t xml:space="preserve"> PKs were not studied in patients with end</w:t>
      </w:r>
      <w:r w:rsidR="006D7271">
        <w:noBreakHyphen/>
      </w:r>
      <w:r>
        <w:t>stage renal disease or undergoing dialysis.</w:t>
      </w:r>
    </w:p>
    <w:p w14:paraId="6A8DF9E4" w14:textId="77247F9C" w:rsidR="001D15D1" w:rsidRDefault="00063F39" w:rsidP="001D15D1">
      <w:r w:rsidRPr="005C585A">
        <w:rPr>
          <w:rStyle w:val="Heading7Char"/>
        </w:rPr>
        <w:t xml:space="preserve">Age: </w:t>
      </w:r>
      <w:r>
        <w:t xml:space="preserve">PopPK analyses indicated at the 5th and 95th percentiles of age, </w:t>
      </w:r>
      <w:r w:rsidR="003A4339">
        <w:t>lenacapavir</w:t>
      </w:r>
      <w:r>
        <w:t xml:space="preserve"> </w:t>
      </w:r>
      <w:r w:rsidR="00607CC1">
        <w:t>clearance</w:t>
      </w:r>
      <w:r>
        <w:t xml:space="preserve"> was 12.2% higher and 11.9% lower, respectively. A change in exposure (</w:t>
      </w:r>
      <w:r w:rsidR="00062669">
        <w:t>−</w:t>
      </w:r>
      <w:r>
        <w:t>39.7 to +19.9%) for participants aged 50</w:t>
      </w:r>
      <w:r w:rsidR="00CA4DE6">
        <w:t> </w:t>
      </w:r>
      <w:r>
        <w:t>years or older was not considered clinically meaningful and no dose adjustment is recommended.</w:t>
      </w:r>
    </w:p>
    <w:p w14:paraId="63B895EA" w14:textId="457057D2" w:rsidR="001D15D1" w:rsidRDefault="00063F39" w:rsidP="001D15D1">
      <w:r w:rsidRPr="005C585A">
        <w:rPr>
          <w:rStyle w:val="Heading7Char"/>
        </w:rPr>
        <w:t xml:space="preserve">Elderly: </w:t>
      </w:r>
      <w:r w:rsidR="00CA4DE6">
        <w:t>T</w:t>
      </w:r>
      <w:r>
        <w:t>here appears to be no clinically meaningful differences in participants aged 65</w:t>
      </w:r>
      <w:r w:rsidR="00CA4DE6">
        <w:t xml:space="preserve"> years </w:t>
      </w:r>
      <w:r>
        <w:t>to 78</w:t>
      </w:r>
      <w:r w:rsidR="00CA4DE6">
        <w:t> </w:t>
      </w:r>
      <w:r>
        <w:t>years (n</w:t>
      </w:r>
      <w:r w:rsidR="006E0142">
        <w:t> </w:t>
      </w:r>
      <w:r>
        <w:t>=</w:t>
      </w:r>
      <w:r w:rsidR="006E0142">
        <w:t> </w:t>
      </w:r>
      <w:r>
        <w:t xml:space="preserve">5) compared with participants aged </w:t>
      </w:r>
      <w:r w:rsidR="007B09A6">
        <w:t xml:space="preserve">under </w:t>
      </w:r>
      <w:r>
        <w:t>65</w:t>
      </w:r>
      <w:r w:rsidR="007B09A6">
        <w:t> </w:t>
      </w:r>
      <w:r>
        <w:t>years (n</w:t>
      </w:r>
      <w:r w:rsidR="006E0142">
        <w:t> </w:t>
      </w:r>
      <w:r>
        <w:t>=</w:t>
      </w:r>
      <w:r w:rsidR="006E0142">
        <w:t> </w:t>
      </w:r>
      <w:r>
        <w:t>155), but the sample size was to</w:t>
      </w:r>
      <w:r w:rsidR="007B09A6">
        <w:t>o</w:t>
      </w:r>
      <w:r>
        <w:t xml:space="preserve"> small for definite conclusions.</w:t>
      </w:r>
    </w:p>
    <w:p w14:paraId="3B5C160A" w14:textId="52C3B52D" w:rsidR="001D15D1" w:rsidRDefault="00063F39" w:rsidP="001D15D1">
      <w:r w:rsidRPr="005C585A">
        <w:rPr>
          <w:rStyle w:val="Heading7Char"/>
        </w:rPr>
        <w:t>Biological sex:</w:t>
      </w:r>
      <w:r>
        <w:t xml:space="preserve"> </w:t>
      </w:r>
      <w:r w:rsidR="00607CC1">
        <w:t>L</w:t>
      </w:r>
      <w:r w:rsidR="003A4339">
        <w:t>enacapavir</w:t>
      </w:r>
      <w:r>
        <w:t xml:space="preserve"> </w:t>
      </w:r>
      <w:r w:rsidR="00607CC1">
        <w:t>clearance</w:t>
      </w:r>
      <w:r>
        <w:t xml:space="preserve"> was 20.4% lower in female than in male subjects, but given the rather low effect on exposure, a dose adjustment based on sex is not required.</w:t>
      </w:r>
    </w:p>
    <w:p w14:paraId="56C643EA" w14:textId="128D237F" w:rsidR="001D15D1" w:rsidRDefault="00063F39" w:rsidP="001D15D1">
      <w:r w:rsidRPr="005C585A">
        <w:rPr>
          <w:rStyle w:val="Heading7Char"/>
        </w:rPr>
        <w:t>Weight:</w:t>
      </w:r>
      <w:r>
        <w:t xml:space="preserve"> PopPK analyses identified that </w:t>
      </w:r>
      <w:r w:rsidR="0048282F">
        <w:t>body weight</w:t>
      </w:r>
      <w:r>
        <w:t xml:space="preserve"> was a significant covariate on </w:t>
      </w:r>
      <w:r w:rsidR="003A4339">
        <w:t>lenacapavir</w:t>
      </w:r>
      <w:r>
        <w:t xml:space="preserve"> </w:t>
      </w:r>
      <w:r w:rsidR="0048282F">
        <w:t xml:space="preserve">clearance, volume of the central compartment, </w:t>
      </w:r>
      <w:r w:rsidR="00ED7E7F">
        <w:t>peripheral volume of distribution,</w:t>
      </w:r>
      <w:r>
        <w:t xml:space="preserve"> and </w:t>
      </w:r>
      <w:r w:rsidR="0048282F">
        <w:t>compartmental clearance</w:t>
      </w:r>
      <w:r>
        <w:t xml:space="preserve">, such that at the 90th percentiles of possible </w:t>
      </w:r>
      <w:r w:rsidR="00ED7E7F">
        <w:t>body weights</w:t>
      </w:r>
      <w:r>
        <w:t xml:space="preserve"> following oral dosing, </w:t>
      </w:r>
      <w:r w:rsidR="003A4339">
        <w:t>lenacapavir</w:t>
      </w:r>
      <w:r>
        <w:t xml:space="preserve"> exposure was up to 23.5% and up to 32% lower respectively, whereas, following SC administration, </w:t>
      </w:r>
      <w:r w:rsidR="003A4339">
        <w:t>lenacapavir</w:t>
      </w:r>
      <w:r>
        <w:t xml:space="preserve"> exposure was up to 20.3% higher and up to 28.8% lower, respectively.</w:t>
      </w:r>
    </w:p>
    <w:p w14:paraId="1093DFF1" w14:textId="762BE59E" w:rsidR="00155F98" w:rsidRPr="00155F98" w:rsidRDefault="00063F39" w:rsidP="001D15D1">
      <w:r w:rsidRPr="005C585A">
        <w:rPr>
          <w:rStyle w:val="Heading7Char"/>
        </w:rPr>
        <w:t xml:space="preserve">Ethnicity: </w:t>
      </w:r>
      <w:r>
        <w:t xml:space="preserve">No impact of ethnicity on </w:t>
      </w:r>
      <w:r w:rsidR="003A4339">
        <w:t>lenacapavir</w:t>
      </w:r>
      <w:r>
        <w:t xml:space="preserve"> PK was identified.</w:t>
      </w:r>
    </w:p>
    <w:p w14:paraId="4DC538AE" w14:textId="6B5BAB3F" w:rsidR="00B76D30" w:rsidRDefault="00063F39" w:rsidP="00B76D30">
      <w:pPr>
        <w:pStyle w:val="Heading5"/>
        <w:spacing w:line="240" w:lineRule="auto"/>
      </w:pPr>
      <w:r w:rsidRPr="00AA53F4">
        <w:t xml:space="preserve">Population </w:t>
      </w:r>
      <w:r>
        <w:t xml:space="preserve">pharmacokinetics </w:t>
      </w:r>
      <w:r w:rsidRPr="00AA53F4">
        <w:t>data</w:t>
      </w:r>
    </w:p>
    <w:p w14:paraId="221C50BE" w14:textId="666F55DB" w:rsidR="00B76D30" w:rsidRPr="008E2301" w:rsidRDefault="00063F39" w:rsidP="00B76D30">
      <w:r>
        <w:t>Population pharmacokinetic (</w:t>
      </w:r>
      <w:r w:rsidR="003D735C">
        <w:t>p</w:t>
      </w:r>
      <w:r>
        <w:t xml:space="preserve">opPK) data were provided by Study </w:t>
      </w:r>
      <w:r w:rsidRPr="008E2301">
        <w:t>CTRA</w:t>
      </w:r>
      <w:r w:rsidR="006D7271">
        <w:noBreakHyphen/>
      </w:r>
      <w:r w:rsidRPr="008E2301">
        <w:t>2021</w:t>
      </w:r>
      <w:r w:rsidR="006D7271">
        <w:noBreakHyphen/>
      </w:r>
      <w:r w:rsidRPr="008E2301">
        <w:t xml:space="preserve">1054 </w:t>
      </w:r>
      <w:r w:rsidR="003A4339">
        <w:t>lenacapavir</w:t>
      </w:r>
      <w:r w:rsidRPr="008E2301">
        <w:t xml:space="preserve"> PopPK</w:t>
      </w:r>
      <w:r>
        <w:t>.</w:t>
      </w:r>
    </w:p>
    <w:p w14:paraId="33524139" w14:textId="565AD9EE" w:rsidR="00B76D30" w:rsidRPr="00B76D30" w:rsidRDefault="00063F39" w:rsidP="00B76D30">
      <w:r w:rsidRPr="00B76D30">
        <w:t xml:space="preserve">The final </w:t>
      </w:r>
      <w:r w:rsidR="003A4339">
        <w:t>lenacapavir</w:t>
      </w:r>
      <w:r w:rsidRPr="00B76D30">
        <w:t xml:space="preserve"> model was a 2</w:t>
      </w:r>
      <w:r w:rsidR="006D7271">
        <w:noBreakHyphen/>
      </w:r>
      <w:r w:rsidRPr="00B76D30">
        <w:t>compartment model with first</w:t>
      </w:r>
      <w:r w:rsidR="006D7271">
        <w:noBreakHyphen/>
      </w:r>
      <w:r w:rsidRPr="00B76D30">
        <w:t>order absorption after oral administration, parallel direct (first</w:t>
      </w:r>
      <w:r w:rsidR="006D7271">
        <w:noBreakHyphen/>
      </w:r>
      <w:r w:rsidRPr="00B76D30">
        <w:t>order) and transit compartment absorption after SC administration, and first</w:t>
      </w:r>
      <w:r w:rsidR="006D7271">
        <w:noBreakHyphen/>
      </w:r>
      <w:r w:rsidRPr="00B76D30">
        <w:t>order elimination from the central compartment.</w:t>
      </w:r>
    </w:p>
    <w:p w14:paraId="759CE405" w14:textId="70922122" w:rsidR="00B76D30" w:rsidRDefault="00063F39" w:rsidP="00B76D30">
      <w:r w:rsidRPr="00B76D30">
        <w:t xml:space="preserve">Based on the popPK study results, dose appeared to affect oral bioavailability. Boosters (cobicistat/ritonavir) increased oral bioavailability by 58.7%. Age and dose appeared to affect </w:t>
      </w:r>
      <w:r w:rsidR="00607CC1">
        <w:t>clearance</w:t>
      </w:r>
      <w:r w:rsidRPr="00B76D30">
        <w:t xml:space="preserve">. Healthy volunteers had higher </w:t>
      </w:r>
      <w:r w:rsidR="00607CC1">
        <w:t>clearance</w:t>
      </w:r>
      <w:r w:rsidRPr="00B76D30">
        <w:t xml:space="preserve"> (30.4% increase) and</w:t>
      </w:r>
      <w:r w:rsidR="00607CC1">
        <w:t xml:space="preserve"> peripheral volume of </w:t>
      </w:r>
      <w:r w:rsidR="00607CC1">
        <w:lastRenderedPageBreak/>
        <w:t>distribution</w:t>
      </w:r>
      <w:r w:rsidRPr="00B76D30">
        <w:t xml:space="preserve"> (133% increase) compared to patients with HIV, and female participants were found to have lower </w:t>
      </w:r>
      <w:r w:rsidR="00607CC1">
        <w:t>clearance</w:t>
      </w:r>
      <w:r w:rsidRPr="00B76D30">
        <w:t xml:space="preserve"> (20.4% decrease) compared to male participants. Weight also affected </w:t>
      </w:r>
      <w:r w:rsidR="003A4339">
        <w:t>lenacapavir</w:t>
      </w:r>
      <w:r w:rsidRPr="00B76D30">
        <w:t xml:space="preserve"> exposures (ranging from approx</w:t>
      </w:r>
      <w:r w:rsidR="00ED7E7F">
        <w:t>imately</w:t>
      </w:r>
      <w:r w:rsidRPr="00B76D30">
        <w:t xml:space="preserve"> </w:t>
      </w:r>
      <w:r w:rsidR="00ED7E7F">
        <w:t>−</w:t>
      </w:r>
      <w:r w:rsidRPr="00B76D30">
        <w:t>32.3% to +23.5% for subjects at the 5th and 95th weight percentiles, respectively).</w:t>
      </w:r>
    </w:p>
    <w:p w14:paraId="0A265D62" w14:textId="207AE7B4" w:rsidR="00B0694F" w:rsidRPr="00B76D30" w:rsidRDefault="00063F39" w:rsidP="00B0694F">
      <w:pPr>
        <w:pStyle w:val="FigureTitle"/>
        <w:keepNext/>
      </w:pPr>
      <w:r>
        <w:t xml:space="preserve">Figure </w:t>
      </w:r>
      <w:r w:rsidR="00B86A91">
        <w:fldChar w:fldCharType="begin"/>
      </w:r>
      <w:r>
        <w:instrText xml:space="preserve"> SEQ Figure \* ARABIC </w:instrText>
      </w:r>
      <w:r w:rsidR="00B86A91">
        <w:fldChar w:fldCharType="separate"/>
      </w:r>
      <w:r w:rsidR="000623A2">
        <w:rPr>
          <w:noProof/>
        </w:rPr>
        <w:t>3</w:t>
      </w:r>
      <w:r w:rsidR="00B86A91">
        <w:rPr>
          <w:noProof/>
        </w:rPr>
        <w:fldChar w:fldCharType="end"/>
      </w:r>
      <w:r>
        <w:t xml:space="preserve">: PopPK Study </w:t>
      </w:r>
      <w:r w:rsidRPr="00C26406">
        <w:t>CTRA</w:t>
      </w:r>
      <w:r w:rsidR="006D7271">
        <w:noBreakHyphen/>
      </w:r>
      <w:r w:rsidRPr="00C26406">
        <w:t>2021</w:t>
      </w:r>
      <w:r w:rsidR="006D7271">
        <w:noBreakHyphen/>
      </w:r>
      <w:r w:rsidRPr="00C26406">
        <w:t>1054</w:t>
      </w:r>
      <w:r>
        <w:t xml:space="preserve"> </w:t>
      </w:r>
      <w:r w:rsidRPr="00C26406">
        <w:t xml:space="preserve">Sensitivity </w:t>
      </w:r>
      <w:r>
        <w:t>p</w:t>
      </w:r>
      <w:r w:rsidRPr="00C26406">
        <w:t>lot</w:t>
      </w:r>
      <w:r>
        <w:t>: e</w:t>
      </w:r>
      <w:r w:rsidRPr="00C26406">
        <w:t xml:space="preserve">ffect of </w:t>
      </w:r>
      <w:r>
        <w:t>c</w:t>
      </w:r>
      <w:r w:rsidRPr="00C26406">
        <w:t xml:space="preserve">ovariates on </w:t>
      </w:r>
      <w:r w:rsidR="003A4339">
        <w:t>lenacapavir</w:t>
      </w:r>
      <w:r>
        <w:t xml:space="preserve"> </w:t>
      </w:r>
      <w:r w:rsidRPr="00C26406">
        <w:t>AUC</w:t>
      </w:r>
      <w:r w:rsidR="00607CC1">
        <w:t xml:space="preserve"> over the dosing interval</w:t>
      </w:r>
      <w:r>
        <w:t xml:space="preserve"> </w:t>
      </w:r>
      <w:r w:rsidRPr="00C26406">
        <w:t>on Days 1 to 15 (Oral Loading Portion)</w:t>
      </w:r>
      <w:r>
        <w:t xml:space="preserve"> (left figure) and </w:t>
      </w:r>
      <w:r w:rsidRPr="00C26406">
        <w:t>on Day 15 Week 26 (SC Administration)</w:t>
      </w:r>
      <w:r w:rsidR="005D3760">
        <w:t xml:space="preserve"> (right figure)</w:t>
      </w:r>
    </w:p>
    <w:tbl>
      <w:tblPr>
        <w:tblStyle w:val="TableGrid"/>
        <w:tblW w:w="0" w:type="auto"/>
        <w:tblLook w:val="04A0" w:firstRow="1" w:lastRow="0" w:firstColumn="1" w:lastColumn="0" w:noHBand="0" w:noVBand="1"/>
      </w:tblPr>
      <w:tblGrid>
        <w:gridCol w:w="4508"/>
        <w:gridCol w:w="4508"/>
      </w:tblGrid>
      <w:tr w:rsidR="00345E6F" w14:paraId="0E643373" w14:textId="77777777" w:rsidTr="000A7074">
        <w:tc>
          <w:tcPr>
            <w:tcW w:w="4508" w:type="dxa"/>
          </w:tcPr>
          <w:p w14:paraId="1EE49C7D" w14:textId="77777777" w:rsidR="00B76D30" w:rsidRDefault="00063F39" w:rsidP="000A7074">
            <w:pPr>
              <w:rPr>
                <w:rFonts w:asciiTheme="minorHAnsi" w:hAnsiTheme="minorHAnsi" w:cs="Calibri"/>
              </w:rPr>
            </w:pPr>
            <w:r w:rsidRPr="009F1723">
              <w:rPr>
                <w:rFonts w:asciiTheme="minorHAnsi" w:hAnsiTheme="minorHAnsi" w:cs="Calibri"/>
                <w:noProof/>
              </w:rPr>
              <w:drawing>
                <wp:inline distT="0" distB="0" distL="0" distR="0" wp14:anchorId="05AF41CB" wp14:editId="2F7BC810">
                  <wp:extent cx="2651760" cy="2001707"/>
                  <wp:effectExtent l="0" t="0" r="0" b="0"/>
                  <wp:docPr id="6" name="Picture 6" descr="Oral loading portion shows sensitivity to AUC, boosted or not, weight, healthy, age, sex, in comparison to 70kg, 34 year old male with HIV, unboo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al loading portion shows sensitivity to AUC, boosted or not, weight, healthy, age, sex, in comparison to 70kg, 34 year old male with HIV, unboos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667289" cy="2013429"/>
                          </a:xfrm>
                          <a:prstGeom prst="rect">
                            <a:avLst/>
                          </a:prstGeom>
                          <a:noFill/>
                          <a:ln>
                            <a:noFill/>
                          </a:ln>
                        </pic:spPr>
                      </pic:pic>
                    </a:graphicData>
                  </a:graphic>
                </wp:inline>
              </w:drawing>
            </w:r>
          </w:p>
        </w:tc>
        <w:tc>
          <w:tcPr>
            <w:tcW w:w="4508" w:type="dxa"/>
          </w:tcPr>
          <w:p w14:paraId="435426E0" w14:textId="77777777" w:rsidR="00B76D30" w:rsidRDefault="00063F39" w:rsidP="000A7074">
            <w:pPr>
              <w:rPr>
                <w:rFonts w:asciiTheme="minorHAnsi" w:hAnsiTheme="minorHAnsi" w:cs="Calibri"/>
              </w:rPr>
            </w:pPr>
            <w:r w:rsidRPr="009F1723">
              <w:rPr>
                <w:rFonts w:asciiTheme="minorHAnsi" w:hAnsiTheme="minorHAnsi" w:cs="Calibri"/>
                <w:noProof/>
              </w:rPr>
              <w:drawing>
                <wp:inline distT="0" distB="0" distL="0" distR="0" wp14:anchorId="3AB6D3F2" wp14:editId="12EDC55B">
                  <wp:extent cx="2581421" cy="2022387"/>
                  <wp:effectExtent l="0" t="0" r="0" b="0"/>
                  <wp:docPr id="15" name="Picture 15" descr="Subcutaneous administration shows sensitivity to AUC, weight, age, healthy,  sex, in comparison to 70kg, 34 year old male with H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ubcutaneous administration shows sensitivity to AUC, weight, age, healthy,  sex, in comparison to 70kg, 34 year old male with HIV"/>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590178" cy="2029248"/>
                          </a:xfrm>
                          <a:prstGeom prst="rect">
                            <a:avLst/>
                          </a:prstGeom>
                          <a:noFill/>
                          <a:ln>
                            <a:noFill/>
                          </a:ln>
                        </pic:spPr>
                      </pic:pic>
                    </a:graphicData>
                  </a:graphic>
                </wp:inline>
              </w:drawing>
            </w:r>
          </w:p>
        </w:tc>
      </w:tr>
    </w:tbl>
    <w:p w14:paraId="541B93BE" w14:textId="77777777" w:rsidR="00026CD4" w:rsidRDefault="00063F39" w:rsidP="00026CD4">
      <w:pPr>
        <w:pStyle w:val="Heading5"/>
        <w:spacing w:line="240" w:lineRule="auto"/>
      </w:pPr>
      <w:r w:rsidRPr="00AA53F4">
        <w:t>Pharmacodynamics (PD)</w:t>
      </w:r>
    </w:p>
    <w:p w14:paraId="40FFD0CA" w14:textId="3FA4A620" w:rsidR="00026CD4" w:rsidRDefault="00063F39" w:rsidP="00026CD4">
      <w:pPr>
        <w:pStyle w:val="Heading6"/>
        <w:spacing w:line="240" w:lineRule="auto"/>
      </w:pPr>
      <w:r>
        <w:t>E</w:t>
      </w:r>
      <w:r w:rsidR="00ED7E7F">
        <w:t xml:space="preserve">fficacy results </w:t>
      </w:r>
      <w:r>
        <w:t>analysis</w:t>
      </w:r>
    </w:p>
    <w:p w14:paraId="30F9BD62" w14:textId="64627EA5" w:rsidR="00026CD4" w:rsidRPr="002321EB" w:rsidRDefault="00063F39" w:rsidP="00026CD4">
      <w:pPr>
        <w:spacing w:line="240" w:lineRule="auto"/>
        <w:rPr>
          <w:rFonts w:eastAsia="TimesNewRoman" w:cs="Calibri"/>
          <w:bCs/>
        </w:rPr>
      </w:pPr>
      <w:r>
        <w:t xml:space="preserve">The effect of SC </w:t>
      </w:r>
      <w:r w:rsidR="003A4339">
        <w:t>lenacapavir</w:t>
      </w:r>
      <w:r>
        <w:t xml:space="preserve"> on </w:t>
      </w:r>
      <w:r>
        <w:rPr>
          <w:rFonts w:eastAsia="TimesNewRoman" w:cs="Calibri"/>
          <w:bCs/>
        </w:rPr>
        <w:t>HIV</w:t>
      </w:r>
      <w:r w:rsidR="006D7271">
        <w:rPr>
          <w:rFonts w:eastAsia="TimesNewRoman" w:cs="Calibri"/>
          <w:bCs/>
        </w:rPr>
        <w:noBreakHyphen/>
      </w:r>
      <w:r>
        <w:rPr>
          <w:rFonts w:eastAsia="TimesNewRoman" w:cs="Calibri"/>
          <w:bCs/>
        </w:rPr>
        <w:t>1 RNA through Day 10 was dose dependent across the range of 20</w:t>
      </w:r>
      <w:r w:rsidR="00B31055">
        <w:rPr>
          <w:rFonts w:eastAsia="TimesNewRoman" w:cs="Calibri"/>
          <w:bCs/>
        </w:rPr>
        <w:t> mg</w:t>
      </w:r>
      <w:r>
        <w:rPr>
          <w:rFonts w:eastAsia="TimesNewRoman" w:cs="Calibri"/>
          <w:bCs/>
        </w:rPr>
        <w:t xml:space="preserve"> to 750</w:t>
      </w:r>
      <w:r w:rsidR="00B31055">
        <w:rPr>
          <w:rFonts w:eastAsia="TimesNewRoman" w:cs="Calibri"/>
          <w:bCs/>
        </w:rPr>
        <w:t> </w:t>
      </w:r>
      <w:r>
        <w:rPr>
          <w:rFonts w:eastAsia="TimesNewRoman" w:cs="Calibri"/>
          <w:bCs/>
        </w:rPr>
        <w:t>mg. The mean maximum reductions in HIV</w:t>
      </w:r>
      <w:r w:rsidR="006D7271">
        <w:rPr>
          <w:rFonts w:eastAsia="TimesNewRoman" w:cs="Calibri"/>
          <w:bCs/>
        </w:rPr>
        <w:noBreakHyphen/>
      </w:r>
      <w:r>
        <w:rPr>
          <w:rFonts w:eastAsia="TimesNewRoman" w:cs="Calibri"/>
          <w:bCs/>
        </w:rPr>
        <w:t>1 RNA from baseline through Day 10 following single SC doses of 20</w:t>
      </w:r>
      <w:r w:rsidR="00926487">
        <w:rPr>
          <w:rFonts w:eastAsia="TimesNewRoman" w:cs="Calibri"/>
          <w:bCs/>
        </w:rPr>
        <w:t> </w:t>
      </w:r>
      <w:r>
        <w:rPr>
          <w:rFonts w:eastAsia="TimesNewRoman" w:cs="Calibri"/>
          <w:bCs/>
        </w:rPr>
        <w:t>mg, 50</w:t>
      </w:r>
      <w:r w:rsidR="00926487">
        <w:rPr>
          <w:rFonts w:eastAsia="TimesNewRoman" w:cs="Calibri"/>
          <w:bCs/>
        </w:rPr>
        <w:t> </w:t>
      </w:r>
      <w:r>
        <w:rPr>
          <w:rFonts w:eastAsia="TimesNewRoman" w:cs="Calibri"/>
          <w:bCs/>
        </w:rPr>
        <w:t>mg, 150</w:t>
      </w:r>
      <w:r w:rsidR="00926487">
        <w:rPr>
          <w:rFonts w:eastAsia="TimesNewRoman" w:cs="Calibri"/>
          <w:bCs/>
        </w:rPr>
        <w:t> </w:t>
      </w:r>
      <w:r>
        <w:rPr>
          <w:rFonts w:eastAsia="TimesNewRoman" w:cs="Calibri"/>
          <w:bCs/>
        </w:rPr>
        <w:t>mg, 450</w:t>
      </w:r>
      <w:r w:rsidR="00926487">
        <w:rPr>
          <w:rFonts w:eastAsia="TimesNewRoman" w:cs="Calibri"/>
          <w:bCs/>
        </w:rPr>
        <w:t> </w:t>
      </w:r>
      <w:proofErr w:type="gramStart"/>
      <w:r>
        <w:rPr>
          <w:rFonts w:eastAsia="TimesNewRoman" w:cs="Calibri"/>
          <w:bCs/>
        </w:rPr>
        <w:t>mg</w:t>
      </w:r>
      <w:proofErr w:type="gramEnd"/>
      <w:r>
        <w:rPr>
          <w:rFonts w:eastAsia="TimesNewRoman" w:cs="Calibri"/>
          <w:bCs/>
        </w:rPr>
        <w:t xml:space="preserve"> and 750</w:t>
      </w:r>
      <w:r w:rsidR="00926487">
        <w:rPr>
          <w:rFonts w:eastAsia="TimesNewRoman" w:cs="Calibri"/>
          <w:bCs/>
        </w:rPr>
        <w:t> </w:t>
      </w:r>
      <w:r>
        <w:rPr>
          <w:rFonts w:eastAsia="TimesNewRoman" w:cs="Calibri"/>
          <w:bCs/>
        </w:rPr>
        <w:t xml:space="preserve">mg doses of </w:t>
      </w:r>
      <w:r w:rsidR="003A4339">
        <w:rPr>
          <w:rFonts w:eastAsia="TimesNewRoman" w:cs="Calibri"/>
          <w:bCs/>
        </w:rPr>
        <w:t>lenacapavir</w:t>
      </w:r>
      <w:r>
        <w:rPr>
          <w:rFonts w:eastAsia="TimesNewRoman" w:cs="Calibri"/>
          <w:bCs/>
        </w:rPr>
        <w:t xml:space="preserve"> suspension were </w:t>
      </w:r>
      <w:r w:rsidR="00926487">
        <w:rPr>
          <w:rFonts w:eastAsia="TimesNewRoman" w:cs="Calibri"/>
          <w:bCs/>
        </w:rPr>
        <w:t>−</w:t>
      </w:r>
      <w:r>
        <w:rPr>
          <w:rFonts w:eastAsia="TimesNewRoman" w:cs="Calibri"/>
          <w:bCs/>
        </w:rPr>
        <w:t xml:space="preserve">1.35, </w:t>
      </w:r>
      <w:r w:rsidR="00926487">
        <w:rPr>
          <w:rFonts w:eastAsia="TimesNewRoman" w:cs="Calibri"/>
          <w:bCs/>
        </w:rPr>
        <w:t>−</w:t>
      </w:r>
      <w:r>
        <w:rPr>
          <w:rFonts w:eastAsia="TimesNewRoman" w:cs="Calibri"/>
          <w:bCs/>
        </w:rPr>
        <w:t xml:space="preserve">1.79, </w:t>
      </w:r>
      <w:r w:rsidR="00926487">
        <w:rPr>
          <w:rFonts w:eastAsia="TimesNewRoman" w:cs="Calibri"/>
          <w:bCs/>
        </w:rPr>
        <w:t>−</w:t>
      </w:r>
      <w:r>
        <w:rPr>
          <w:rFonts w:eastAsia="TimesNewRoman" w:cs="Calibri"/>
          <w:bCs/>
        </w:rPr>
        <w:t xml:space="preserve">1.76, </w:t>
      </w:r>
      <w:r w:rsidR="00926487">
        <w:rPr>
          <w:rFonts w:eastAsia="TimesNewRoman" w:cs="Calibri"/>
          <w:bCs/>
        </w:rPr>
        <w:t>−</w:t>
      </w:r>
      <w:r>
        <w:rPr>
          <w:rFonts w:eastAsia="TimesNewRoman" w:cs="Calibri"/>
          <w:bCs/>
        </w:rPr>
        <w:t xml:space="preserve">2.20 and </w:t>
      </w:r>
      <w:r w:rsidR="00926487">
        <w:rPr>
          <w:rFonts w:eastAsia="TimesNewRoman" w:cs="Calibri"/>
          <w:bCs/>
        </w:rPr>
        <w:t>−</w:t>
      </w:r>
      <w:r>
        <w:rPr>
          <w:rFonts w:eastAsia="TimesNewRoman" w:cs="Calibri"/>
          <w:bCs/>
        </w:rPr>
        <w:t>2.26 log</w:t>
      </w:r>
      <w:r w:rsidRPr="00ED7E7F">
        <w:rPr>
          <w:rFonts w:eastAsia="TimesNewRoman" w:cs="Calibri"/>
          <w:bCs/>
          <w:vertAlign w:val="subscript"/>
        </w:rPr>
        <w:t>10</w:t>
      </w:r>
      <w:r>
        <w:rPr>
          <w:rFonts w:eastAsia="TimesNewRoman" w:cs="Calibri"/>
          <w:bCs/>
        </w:rPr>
        <w:t xml:space="preserve"> copies/mL, respectively, </w:t>
      </w:r>
      <w:r w:rsidR="00D12658">
        <w:rPr>
          <w:rFonts w:eastAsia="TimesNewRoman" w:cs="Calibri"/>
          <w:bCs/>
        </w:rPr>
        <w:t>whereas</w:t>
      </w:r>
      <w:r>
        <w:rPr>
          <w:rFonts w:eastAsia="TimesNewRoman" w:cs="Calibri"/>
          <w:bCs/>
        </w:rPr>
        <w:t xml:space="preserve"> the corresponding value for placebo was </w:t>
      </w:r>
      <w:r w:rsidR="008349ED">
        <w:rPr>
          <w:rFonts w:eastAsia="TimesNewRoman" w:cs="Calibri"/>
          <w:bCs/>
        </w:rPr>
        <w:t>−</w:t>
      </w:r>
      <w:r>
        <w:rPr>
          <w:rFonts w:eastAsia="TimesNewRoman" w:cs="Calibri"/>
          <w:bCs/>
        </w:rPr>
        <w:t>0.17 log</w:t>
      </w:r>
      <w:r w:rsidRPr="00ED7E7F">
        <w:rPr>
          <w:rFonts w:eastAsia="TimesNewRoman" w:cs="Calibri"/>
          <w:bCs/>
          <w:vertAlign w:val="subscript"/>
        </w:rPr>
        <w:t>10</w:t>
      </w:r>
      <w:r>
        <w:rPr>
          <w:rFonts w:eastAsia="TimesNewRoman" w:cs="Calibri"/>
          <w:bCs/>
        </w:rPr>
        <w:t xml:space="preserve"> copies/m</w:t>
      </w:r>
      <w:r w:rsidR="003A4339">
        <w:rPr>
          <w:rFonts w:eastAsia="TimesNewRoman" w:cs="Calibri"/>
          <w:bCs/>
        </w:rPr>
        <w:t>L</w:t>
      </w:r>
      <w:r>
        <w:rPr>
          <w:rFonts w:eastAsia="TimesNewRoman" w:cs="Calibri"/>
          <w:bCs/>
        </w:rPr>
        <w:t>. Three participants achieved HIV</w:t>
      </w:r>
      <w:r w:rsidR="006D7271">
        <w:rPr>
          <w:rFonts w:eastAsia="TimesNewRoman" w:cs="Calibri"/>
          <w:bCs/>
        </w:rPr>
        <w:noBreakHyphen/>
      </w:r>
      <w:r>
        <w:rPr>
          <w:rFonts w:eastAsia="TimesNewRoman" w:cs="Calibri"/>
          <w:bCs/>
        </w:rPr>
        <w:t xml:space="preserve">1 RNA </w:t>
      </w:r>
      <w:r w:rsidR="008349ED">
        <w:rPr>
          <w:rFonts w:eastAsia="TimesNewRoman" w:cs="Calibri"/>
          <w:bCs/>
        </w:rPr>
        <w:t>below</w:t>
      </w:r>
      <w:r>
        <w:rPr>
          <w:rFonts w:eastAsia="TimesNewRoman" w:cs="Calibri"/>
          <w:bCs/>
        </w:rPr>
        <w:t xml:space="preserve"> 50</w:t>
      </w:r>
      <w:r w:rsidR="008349ED">
        <w:rPr>
          <w:rFonts w:eastAsia="TimesNewRoman" w:cs="Calibri"/>
          <w:bCs/>
        </w:rPr>
        <w:t> </w:t>
      </w:r>
      <w:r>
        <w:rPr>
          <w:rFonts w:eastAsia="TimesNewRoman" w:cs="Calibri"/>
          <w:bCs/>
        </w:rPr>
        <w:t xml:space="preserve">copies/mL by Day 10 (1 participant in each of the </w:t>
      </w:r>
      <w:r w:rsidR="003A4339">
        <w:rPr>
          <w:rFonts w:eastAsia="TimesNewRoman" w:cs="Calibri"/>
          <w:bCs/>
        </w:rPr>
        <w:t>lenacapavir</w:t>
      </w:r>
      <w:r>
        <w:rPr>
          <w:rFonts w:eastAsia="TimesNewRoman" w:cs="Calibri"/>
          <w:bCs/>
        </w:rPr>
        <w:t xml:space="preserve"> 50</w:t>
      </w:r>
      <w:r w:rsidR="008349ED">
        <w:rPr>
          <w:rFonts w:eastAsia="TimesNewRoman" w:cs="Calibri"/>
          <w:bCs/>
        </w:rPr>
        <w:t> </w:t>
      </w:r>
      <w:r>
        <w:rPr>
          <w:rFonts w:eastAsia="TimesNewRoman" w:cs="Calibri"/>
          <w:bCs/>
        </w:rPr>
        <w:t>mg, 450</w:t>
      </w:r>
      <w:r w:rsidR="008349ED">
        <w:rPr>
          <w:rFonts w:eastAsia="TimesNewRoman" w:cs="Calibri"/>
          <w:bCs/>
        </w:rPr>
        <w:t> </w:t>
      </w:r>
      <w:proofErr w:type="gramStart"/>
      <w:r>
        <w:rPr>
          <w:rFonts w:eastAsia="TimesNewRoman" w:cs="Calibri"/>
          <w:bCs/>
        </w:rPr>
        <w:t>mg</w:t>
      </w:r>
      <w:proofErr w:type="gramEnd"/>
      <w:r>
        <w:rPr>
          <w:rFonts w:eastAsia="TimesNewRoman" w:cs="Calibri"/>
          <w:bCs/>
        </w:rPr>
        <w:t xml:space="preserve"> and 750</w:t>
      </w:r>
      <w:r w:rsidR="008349ED">
        <w:rPr>
          <w:rFonts w:eastAsia="TimesNewRoman" w:cs="Calibri"/>
          <w:bCs/>
        </w:rPr>
        <w:t> </w:t>
      </w:r>
      <w:r>
        <w:rPr>
          <w:rFonts w:eastAsia="TimesNewRoman" w:cs="Calibri"/>
          <w:bCs/>
        </w:rPr>
        <w:t xml:space="preserve">mg groups). No participant in the other </w:t>
      </w:r>
      <w:r w:rsidR="003A4339">
        <w:rPr>
          <w:rFonts w:eastAsia="TimesNewRoman" w:cs="Calibri"/>
          <w:bCs/>
        </w:rPr>
        <w:t>lenacapavir</w:t>
      </w:r>
      <w:r>
        <w:rPr>
          <w:rFonts w:eastAsia="TimesNewRoman" w:cs="Calibri"/>
          <w:bCs/>
        </w:rPr>
        <w:t xml:space="preserve"> or placebo groups ever achieved HIV</w:t>
      </w:r>
      <w:r w:rsidR="006D7271">
        <w:rPr>
          <w:rFonts w:eastAsia="TimesNewRoman" w:cs="Calibri"/>
          <w:bCs/>
        </w:rPr>
        <w:noBreakHyphen/>
      </w:r>
      <w:r>
        <w:rPr>
          <w:rFonts w:eastAsia="TimesNewRoman" w:cs="Calibri"/>
          <w:bCs/>
        </w:rPr>
        <w:t xml:space="preserve">1 RNA </w:t>
      </w:r>
      <w:r w:rsidR="008349ED">
        <w:rPr>
          <w:rFonts w:eastAsia="TimesNewRoman" w:cs="Calibri"/>
          <w:bCs/>
        </w:rPr>
        <w:t>below</w:t>
      </w:r>
      <w:r>
        <w:rPr>
          <w:rFonts w:eastAsia="TimesNewRoman" w:cs="Calibri"/>
          <w:bCs/>
        </w:rPr>
        <w:t xml:space="preserve"> 50</w:t>
      </w:r>
      <w:r w:rsidR="008349ED">
        <w:rPr>
          <w:rFonts w:eastAsia="TimesNewRoman" w:cs="Calibri"/>
          <w:bCs/>
        </w:rPr>
        <w:t> </w:t>
      </w:r>
      <w:r>
        <w:rPr>
          <w:rFonts w:eastAsia="TimesNewRoman" w:cs="Calibri"/>
          <w:bCs/>
        </w:rPr>
        <w:t>copies/mL by Day 10.</w:t>
      </w:r>
    </w:p>
    <w:p w14:paraId="77E336EF" w14:textId="77777777" w:rsidR="00026CD4" w:rsidRDefault="00063F39" w:rsidP="00026CD4">
      <w:pPr>
        <w:pStyle w:val="Heading6"/>
        <w:spacing w:line="240" w:lineRule="auto"/>
        <w:rPr>
          <w:rFonts w:eastAsia="TimesNewRoman"/>
        </w:rPr>
      </w:pPr>
      <w:r>
        <w:rPr>
          <w:rFonts w:eastAsia="TimesNewRoman"/>
        </w:rPr>
        <w:t>Cardiac safety</w:t>
      </w:r>
    </w:p>
    <w:p w14:paraId="62BF62F6" w14:textId="4311319F" w:rsidR="00026CD4" w:rsidRDefault="00063F39" w:rsidP="00026CD4">
      <w:pPr>
        <w:pStyle w:val="ListBullet"/>
        <w:numPr>
          <w:ilvl w:val="0"/>
          <w:numId w:val="0"/>
        </w:numPr>
        <w:spacing w:line="240" w:lineRule="auto"/>
      </w:pPr>
      <w:r w:rsidRPr="00ED7E7F">
        <w:t>L</w:t>
      </w:r>
      <w:r w:rsidR="003A4339" w:rsidRPr="00ED7E7F">
        <w:t>enacapavir</w:t>
      </w:r>
      <w:r w:rsidRPr="00ED7E7F">
        <w:t xml:space="preserve"> is unlikely to have any clinically significant adverse effects on QTc interval or other</w:t>
      </w:r>
      <w:r>
        <w:t xml:space="preserve"> </w:t>
      </w:r>
      <w:r w:rsidRPr="00ED7E7F">
        <w:t>electrocardiogram (ECG) parameters following supratherapeutic doses.</w:t>
      </w:r>
      <w:r>
        <w:rPr>
          <w:rStyle w:val="FootnoteReference"/>
        </w:rPr>
        <w:footnoteReference w:id="11"/>
      </w:r>
    </w:p>
    <w:p w14:paraId="6344662F" w14:textId="77777777" w:rsidR="00026CD4" w:rsidRDefault="00063F39" w:rsidP="00026CD4">
      <w:pPr>
        <w:pStyle w:val="Heading6"/>
        <w:spacing w:line="240" w:lineRule="auto"/>
      </w:pPr>
      <w:r>
        <w:t>Resistance</w:t>
      </w:r>
    </w:p>
    <w:p w14:paraId="52110BB7" w14:textId="58AC1418" w:rsidR="00026CD4" w:rsidRPr="00710E5E" w:rsidRDefault="00063F39" w:rsidP="00710E5E">
      <w:pPr>
        <w:rPr>
          <w:rFonts w:eastAsia="Cambria" w:cs="Times New Roman"/>
          <w:color w:val="000000" w:themeColor="text1"/>
        </w:rPr>
      </w:pPr>
      <w:r w:rsidRPr="00710E5E">
        <w:rPr>
          <w:rFonts w:eastAsia="Cambria" w:cs="Times New Roman"/>
          <w:color w:val="000000" w:themeColor="text1"/>
        </w:rPr>
        <w:t>In treatment</w:t>
      </w:r>
      <w:r w:rsidR="006D7271">
        <w:rPr>
          <w:rFonts w:eastAsia="Cambria" w:cs="Times New Roman"/>
          <w:color w:val="000000" w:themeColor="text1"/>
        </w:rPr>
        <w:noBreakHyphen/>
      </w:r>
      <w:r w:rsidRPr="00710E5E">
        <w:rPr>
          <w:rFonts w:eastAsia="Cambria" w:cs="Times New Roman"/>
          <w:color w:val="000000" w:themeColor="text1"/>
        </w:rPr>
        <w:t>na</w:t>
      </w:r>
      <w:r w:rsidR="00F47D06" w:rsidRPr="00710E5E">
        <w:rPr>
          <w:rFonts w:eastAsia="Cambria" w:cs="Times New Roman"/>
          <w:color w:val="000000" w:themeColor="text1"/>
        </w:rPr>
        <w:t>i</w:t>
      </w:r>
      <w:r w:rsidRPr="00710E5E">
        <w:rPr>
          <w:rFonts w:eastAsia="Cambria" w:cs="Times New Roman"/>
          <w:color w:val="000000" w:themeColor="text1"/>
        </w:rPr>
        <w:t xml:space="preserve">ve subjects, the emergence of treatment resistant mutations was 0.6% in subjects administered either SC or oral </w:t>
      </w:r>
      <w:r w:rsidR="003A4339">
        <w:rPr>
          <w:rFonts w:eastAsia="Cambria" w:cs="Times New Roman"/>
          <w:color w:val="000000" w:themeColor="text1"/>
        </w:rPr>
        <w:t>lenacapavir</w:t>
      </w:r>
      <w:r w:rsidRPr="00710E5E">
        <w:rPr>
          <w:rFonts w:eastAsia="Cambria" w:cs="Times New Roman"/>
          <w:color w:val="000000" w:themeColor="text1"/>
        </w:rPr>
        <w:t xml:space="preserve">. By contrast in a population of </w:t>
      </w:r>
      <w:r w:rsidR="00D147D8" w:rsidRPr="007D3EF5">
        <w:rPr>
          <w:lang w:eastAsia="ja-JP"/>
        </w:rPr>
        <w:t xml:space="preserve">Heavily treatment experienced </w:t>
      </w:r>
      <w:r w:rsidRPr="00710E5E">
        <w:rPr>
          <w:rFonts w:eastAsia="Cambria" w:cs="Times New Roman"/>
          <w:color w:val="000000" w:themeColor="text1"/>
        </w:rPr>
        <w:t xml:space="preserve">subjects, 11.1% developed treatment resistance through Week 26. Overall, in this population, the most common mutation was M66I, which is associated with a mean decrease in </w:t>
      </w:r>
      <w:r w:rsidR="003A4339">
        <w:rPr>
          <w:rFonts w:eastAsia="Cambria" w:cs="Times New Roman"/>
          <w:color w:val="000000" w:themeColor="text1"/>
        </w:rPr>
        <w:t>lenacapavir</w:t>
      </w:r>
      <w:r w:rsidRPr="00710E5E">
        <w:rPr>
          <w:rFonts w:eastAsia="Cambria" w:cs="Times New Roman"/>
          <w:color w:val="000000" w:themeColor="text1"/>
        </w:rPr>
        <w:t xml:space="preserve"> susceptibility of 234</w:t>
      </w:r>
      <w:r w:rsidR="006D7271">
        <w:rPr>
          <w:rFonts w:eastAsia="Cambria" w:cs="Times New Roman"/>
          <w:color w:val="000000" w:themeColor="text1"/>
        </w:rPr>
        <w:noBreakHyphen/>
      </w:r>
      <w:r w:rsidRPr="00710E5E">
        <w:rPr>
          <w:rFonts w:eastAsia="Cambria" w:cs="Times New Roman"/>
          <w:color w:val="000000" w:themeColor="text1"/>
        </w:rPr>
        <w:t>fold, when compared with</w:t>
      </w:r>
      <w:r w:rsidR="00ED7E7F">
        <w:rPr>
          <w:rFonts w:eastAsia="Cambria" w:cs="Times New Roman"/>
          <w:color w:val="000000" w:themeColor="text1"/>
        </w:rPr>
        <w:t xml:space="preserve"> wild</w:t>
      </w:r>
      <w:r w:rsidR="00486698">
        <w:rPr>
          <w:rFonts w:eastAsia="Cambria" w:cs="Times New Roman"/>
          <w:color w:val="000000" w:themeColor="text1"/>
        </w:rPr>
        <w:noBreakHyphen/>
      </w:r>
      <w:r w:rsidR="00ED7E7F">
        <w:rPr>
          <w:rFonts w:eastAsia="Cambria" w:cs="Times New Roman"/>
          <w:color w:val="000000" w:themeColor="text1"/>
        </w:rPr>
        <w:t>type.</w:t>
      </w:r>
    </w:p>
    <w:p w14:paraId="72FB41DF" w14:textId="2FE4B750" w:rsidR="00026CD4" w:rsidRPr="00710E5E" w:rsidRDefault="00063F39" w:rsidP="00710E5E">
      <w:pPr>
        <w:rPr>
          <w:rFonts w:eastAsia="Cambria" w:cs="Times New Roman"/>
          <w:color w:val="000000" w:themeColor="text1"/>
        </w:rPr>
      </w:pPr>
      <w:r>
        <w:rPr>
          <w:rFonts w:eastAsia="Cambria" w:cs="Times New Roman"/>
          <w:color w:val="000000" w:themeColor="text1"/>
        </w:rPr>
        <w:t>Maximum effect</w:t>
      </w:r>
      <w:r w:rsidRPr="00710E5E">
        <w:rPr>
          <w:rFonts w:eastAsia="Cambria" w:cs="Times New Roman"/>
          <w:color w:val="000000" w:themeColor="text1"/>
        </w:rPr>
        <w:t xml:space="preserve"> modelling suggests that mean </w:t>
      </w:r>
      <w:r w:rsidR="003A4339">
        <w:rPr>
          <w:rFonts w:eastAsia="Cambria" w:cs="Times New Roman"/>
          <w:color w:val="000000" w:themeColor="text1"/>
        </w:rPr>
        <w:t>lenacapavir</w:t>
      </w:r>
      <w:r w:rsidRPr="00710E5E">
        <w:rPr>
          <w:rFonts w:eastAsia="Cambria" w:cs="Times New Roman"/>
          <w:color w:val="000000" w:themeColor="text1"/>
        </w:rPr>
        <w:t xml:space="preserve"> concentrations </w:t>
      </w:r>
      <w:r w:rsidR="00601499">
        <w:rPr>
          <w:rFonts w:eastAsia="Cambria" w:cs="Times New Roman"/>
          <w:color w:val="000000" w:themeColor="text1"/>
        </w:rPr>
        <w:t>of</w:t>
      </w:r>
      <w:r w:rsidRPr="00710E5E">
        <w:rPr>
          <w:rFonts w:eastAsia="Cambria" w:cs="Times New Roman"/>
          <w:color w:val="000000" w:themeColor="text1"/>
        </w:rPr>
        <w:t xml:space="preserve"> 12.6</w:t>
      </w:r>
      <w:r w:rsidR="00601499">
        <w:rPr>
          <w:rFonts w:eastAsia="Cambria" w:cs="Times New Roman"/>
          <w:color w:val="000000" w:themeColor="text1"/>
        </w:rPr>
        <w:t> </w:t>
      </w:r>
      <w:r w:rsidRPr="00710E5E">
        <w:rPr>
          <w:rFonts w:eastAsia="Cambria" w:cs="Times New Roman"/>
          <w:color w:val="000000" w:themeColor="text1"/>
        </w:rPr>
        <w:t xml:space="preserve">ng/mL </w:t>
      </w:r>
      <w:r w:rsidR="00601499">
        <w:rPr>
          <w:rFonts w:eastAsia="Cambria" w:cs="Times New Roman"/>
          <w:color w:val="000000" w:themeColor="text1"/>
        </w:rPr>
        <w:t xml:space="preserve">and higher </w:t>
      </w:r>
      <w:r w:rsidRPr="00710E5E">
        <w:rPr>
          <w:rFonts w:eastAsia="Cambria" w:cs="Times New Roman"/>
          <w:color w:val="000000" w:themeColor="text1"/>
        </w:rPr>
        <w:t>will provide near maximal (94%) anti</w:t>
      </w:r>
      <w:r w:rsidR="006D7271">
        <w:rPr>
          <w:rFonts w:eastAsia="Cambria" w:cs="Times New Roman"/>
          <w:color w:val="000000" w:themeColor="text1"/>
        </w:rPr>
        <w:noBreakHyphen/>
      </w:r>
      <w:r w:rsidRPr="00710E5E">
        <w:rPr>
          <w:rFonts w:eastAsia="Cambria" w:cs="Times New Roman"/>
          <w:color w:val="000000" w:themeColor="text1"/>
        </w:rPr>
        <w:t>viral activity.</w:t>
      </w:r>
    </w:p>
    <w:p w14:paraId="2C1AF269" w14:textId="4B849726" w:rsidR="00026CD4" w:rsidRDefault="00063F39" w:rsidP="00026CD4">
      <w:pPr>
        <w:pStyle w:val="Heading6"/>
        <w:spacing w:line="240" w:lineRule="auto"/>
      </w:pPr>
      <w:r w:rsidRPr="00070FD7">
        <w:lastRenderedPageBreak/>
        <w:t>D</w:t>
      </w:r>
      <w:r w:rsidR="00601499">
        <w:t>rug</w:t>
      </w:r>
      <w:r w:rsidR="006D7271">
        <w:noBreakHyphen/>
      </w:r>
      <w:r w:rsidR="00190B0D">
        <w:t>drug interactions</w:t>
      </w:r>
    </w:p>
    <w:p w14:paraId="20D27D4A" w14:textId="52E696DE" w:rsidR="00026CD4" w:rsidRPr="00F01F61" w:rsidRDefault="00063F39" w:rsidP="00710E5E">
      <w:pPr>
        <w:rPr>
          <w:lang w:eastAsia="ja-JP"/>
        </w:rPr>
      </w:pPr>
      <w:r w:rsidRPr="00486698">
        <w:rPr>
          <w:lang w:eastAsia="ja-JP"/>
        </w:rPr>
        <w:t xml:space="preserve">Lenacapavir is a substrate of </w:t>
      </w:r>
      <w:r w:rsidR="00486698" w:rsidRPr="00486698">
        <w:rPr>
          <w:lang w:eastAsia="ja-JP"/>
        </w:rPr>
        <w:t>P</w:t>
      </w:r>
      <w:r w:rsidR="006D7271" w:rsidRPr="00486698">
        <w:rPr>
          <w:lang w:eastAsia="ja-JP"/>
        </w:rPr>
        <w:noBreakHyphen/>
      </w:r>
      <w:r w:rsidRPr="00486698">
        <w:rPr>
          <w:lang w:eastAsia="ja-JP"/>
        </w:rPr>
        <w:t xml:space="preserve">gp. </w:t>
      </w:r>
      <w:r w:rsidRPr="00486698">
        <w:t>Oral dosing with 600</w:t>
      </w:r>
      <w:r w:rsidR="00190B0D" w:rsidRPr="00486698">
        <w:t> </w:t>
      </w:r>
      <w:r w:rsidRPr="00486698">
        <w:t xml:space="preserve">mg </w:t>
      </w:r>
      <w:r w:rsidR="003A4339" w:rsidRPr="00486698">
        <w:t>lenacapavir</w:t>
      </w:r>
      <w:r w:rsidRPr="00486698">
        <w:t xml:space="preserve"> </w:t>
      </w:r>
      <w:r w:rsidR="00190B0D" w:rsidRPr="00486698">
        <w:t>twice daily</w:t>
      </w:r>
      <w:r w:rsidRPr="00486698">
        <w:t xml:space="preserve"> inhibits both P</w:t>
      </w:r>
      <w:r w:rsidR="006D7271" w:rsidRPr="00486698">
        <w:noBreakHyphen/>
      </w:r>
      <w:r w:rsidRPr="00486698">
        <w:t>gp and BCRP transporters as well as CYP3A, as co</w:t>
      </w:r>
      <w:r w:rsidR="006D7271" w:rsidRPr="00486698">
        <w:noBreakHyphen/>
      </w:r>
      <w:r w:rsidRPr="00486698">
        <w:t xml:space="preserve">administration of </w:t>
      </w:r>
      <w:r w:rsidR="003A4339" w:rsidRPr="00486698">
        <w:t>lenacapavir</w:t>
      </w:r>
      <w:r w:rsidRPr="00486698">
        <w:t xml:space="preserve"> resulted in</w:t>
      </w:r>
      <w:r w:rsidRPr="008D4AA8">
        <w:t xml:space="preserve"> 32%, 31% and 259% increases in the AUC</w:t>
      </w:r>
      <w:r w:rsidRPr="008D4AA8">
        <w:rPr>
          <w:vertAlign w:val="subscript"/>
        </w:rPr>
        <w:t>inf</w:t>
      </w:r>
      <w:r w:rsidRPr="008D4AA8">
        <w:t xml:space="preserve"> values for </w:t>
      </w:r>
      <w:r w:rsidR="00FC3855" w:rsidRPr="008D4AA8">
        <w:t xml:space="preserve">tenofovir </w:t>
      </w:r>
      <w:r w:rsidR="008D4AA8" w:rsidRPr="008D4AA8">
        <w:t>alafenamide</w:t>
      </w:r>
      <w:r w:rsidRPr="008D4AA8">
        <w:t xml:space="preserve">, </w:t>
      </w:r>
      <w:r w:rsidR="007B4AF1" w:rsidRPr="008D4AA8">
        <w:t>rosuvastatin</w:t>
      </w:r>
      <w:r w:rsidRPr="007B4AF1">
        <w:t xml:space="preserve"> and </w:t>
      </w:r>
      <w:r w:rsidR="006234A7" w:rsidRPr="007B4AF1">
        <w:t>m</w:t>
      </w:r>
      <w:r w:rsidR="006234A7" w:rsidRPr="006234A7">
        <w:t>idazolam</w:t>
      </w:r>
      <w:r w:rsidRPr="006234A7">
        <w:t>, resp</w:t>
      </w:r>
      <w:r w:rsidRPr="00070FD7">
        <w:t xml:space="preserve">ectively. </w:t>
      </w:r>
      <w:r w:rsidR="00486698">
        <w:t>L</w:t>
      </w:r>
      <w:r w:rsidR="003A4339">
        <w:t>enacapavir</w:t>
      </w:r>
      <w:r w:rsidRPr="00070FD7">
        <w:t xml:space="preserve"> did not appear to inhibit OATP transporters.</w:t>
      </w:r>
    </w:p>
    <w:p w14:paraId="461D3CE0" w14:textId="7336A27B" w:rsidR="00026CD4" w:rsidRDefault="00063F39" w:rsidP="00710E5E">
      <w:r w:rsidRPr="00070FD7">
        <w:t>Co</w:t>
      </w:r>
      <w:r w:rsidR="006D7271">
        <w:noBreakHyphen/>
      </w:r>
      <w:r w:rsidRPr="00070FD7">
        <w:t xml:space="preserve">administration of </w:t>
      </w:r>
      <w:r w:rsidR="003A4339">
        <w:t>lenacapavir</w:t>
      </w:r>
      <w:r w:rsidRPr="00070FD7">
        <w:t xml:space="preserve"> with the</w:t>
      </w:r>
      <w:r>
        <w:t xml:space="preserve"> following led to the corresponding changes in </w:t>
      </w:r>
      <w:r w:rsidR="003A4339">
        <w:t>lenacapavir</w:t>
      </w:r>
      <w:r>
        <w:t xml:space="preserve"> </w:t>
      </w:r>
      <w:r w:rsidRPr="00070FD7">
        <w:t>AUC</w:t>
      </w:r>
      <w:r w:rsidRPr="00070FD7">
        <w:rPr>
          <w:vertAlign w:val="subscript"/>
        </w:rPr>
        <w:t>inf</w:t>
      </w:r>
      <w:r w:rsidRPr="00070FD7">
        <w:t>:</w:t>
      </w:r>
    </w:p>
    <w:p w14:paraId="6AB531AB" w14:textId="6EFE1687" w:rsidR="00026CD4" w:rsidRPr="00486698" w:rsidRDefault="00063F39" w:rsidP="00710E5E">
      <w:pPr>
        <w:pStyle w:val="ListBullet"/>
      </w:pPr>
      <w:r w:rsidRPr="00486698">
        <w:t xml:space="preserve">strong CYP3A4 inhibitor, </w:t>
      </w:r>
      <w:r w:rsidR="00486698" w:rsidRPr="00486698">
        <w:t>voriconazole</w:t>
      </w:r>
      <w:r w:rsidRPr="00486698">
        <w:t>: 41% increase</w:t>
      </w:r>
    </w:p>
    <w:p w14:paraId="443F5439" w14:textId="120218BA" w:rsidR="00026CD4" w:rsidRPr="00486698" w:rsidRDefault="00063F39" w:rsidP="00710E5E">
      <w:pPr>
        <w:pStyle w:val="ListBullet"/>
      </w:pPr>
      <w:r w:rsidRPr="00486698">
        <w:t>strong CYP3A4 and P</w:t>
      </w:r>
      <w:r w:rsidR="006D7271" w:rsidRPr="00486698">
        <w:noBreakHyphen/>
      </w:r>
      <w:r w:rsidRPr="00486698">
        <w:t xml:space="preserve">gp inhibitor, </w:t>
      </w:r>
      <w:r w:rsidR="00486698" w:rsidRPr="00486698">
        <w:t>cobicistat</w:t>
      </w:r>
      <w:r w:rsidRPr="00486698">
        <w:t>: 128% increase</w:t>
      </w:r>
    </w:p>
    <w:p w14:paraId="4C8EE626" w14:textId="3B8468EA" w:rsidR="00026CD4" w:rsidRPr="00430A42" w:rsidRDefault="00063F39" w:rsidP="00710E5E">
      <w:pPr>
        <w:pStyle w:val="ListBullet"/>
      </w:pPr>
      <w:r w:rsidRPr="00430A42">
        <w:t>strong CYP3A inhibitor and P</w:t>
      </w:r>
      <w:r w:rsidR="006D7271" w:rsidRPr="00430A42">
        <w:noBreakHyphen/>
      </w:r>
      <w:r w:rsidRPr="00430A42">
        <w:t xml:space="preserve">gp inducer, </w:t>
      </w:r>
      <w:r w:rsidR="00430A42" w:rsidRPr="00430A42">
        <w:t>darunavir</w:t>
      </w:r>
      <w:r w:rsidRPr="00430A42">
        <w:t xml:space="preserve"> plus </w:t>
      </w:r>
      <w:r w:rsidR="00486698" w:rsidRPr="00430A42">
        <w:t>cobicistat</w:t>
      </w:r>
      <w:r w:rsidRPr="00430A42">
        <w:t>: 94% increase</w:t>
      </w:r>
    </w:p>
    <w:p w14:paraId="212018AC" w14:textId="6B3E12E4" w:rsidR="00026CD4" w:rsidRPr="00430A42" w:rsidRDefault="00063F39" w:rsidP="00710E5E">
      <w:pPr>
        <w:pStyle w:val="ListBullet"/>
      </w:pPr>
      <w:r w:rsidRPr="00430A42">
        <w:t>strong CYP3A4, P</w:t>
      </w:r>
      <w:r w:rsidR="006D7271" w:rsidRPr="00430A42">
        <w:noBreakHyphen/>
      </w:r>
      <w:r w:rsidRPr="00430A42">
        <w:t xml:space="preserve">gp and UGT1A1 inhibitor, </w:t>
      </w:r>
      <w:r w:rsidR="00430A42" w:rsidRPr="00430A42">
        <w:t>atazanavir</w:t>
      </w:r>
      <w:r w:rsidRPr="00430A42">
        <w:t xml:space="preserve"> plus </w:t>
      </w:r>
      <w:r w:rsidR="00486698" w:rsidRPr="00430A42">
        <w:t>cobicistat</w:t>
      </w:r>
      <w:r w:rsidRPr="00430A42">
        <w:t>: 321% increase</w:t>
      </w:r>
    </w:p>
    <w:p w14:paraId="675F424B" w14:textId="62BA7B0E" w:rsidR="00026CD4" w:rsidRPr="00430A42" w:rsidRDefault="00063F39" w:rsidP="00710E5E">
      <w:pPr>
        <w:pStyle w:val="ListBullet"/>
      </w:pPr>
      <w:r w:rsidRPr="00430A42">
        <w:t>strong CYP3A4, P</w:t>
      </w:r>
      <w:r w:rsidR="006D7271" w:rsidRPr="00430A42">
        <w:noBreakHyphen/>
      </w:r>
      <w:r w:rsidRPr="00430A42">
        <w:t xml:space="preserve">gp and UGT1A1 inducer, </w:t>
      </w:r>
      <w:r w:rsidR="00430A42" w:rsidRPr="00430A42">
        <w:t>rifampin</w:t>
      </w:r>
      <w:r w:rsidRPr="00430A42">
        <w:t>: 84% decrease</w:t>
      </w:r>
    </w:p>
    <w:p w14:paraId="4C7F1FD8" w14:textId="01FB3F9D" w:rsidR="00026CD4" w:rsidRPr="00486698" w:rsidRDefault="00063F39" w:rsidP="00710E5E">
      <w:pPr>
        <w:pStyle w:val="ListBullet"/>
      </w:pPr>
      <w:r w:rsidRPr="00486698">
        <w:t>moderate CYP3A4 and P</w:t>
      </w:r>
      <w:r w:rsidR="006D7271" w:rsidRPr="00486698">
        <w:noBreakHyphen/>
      </w:r>
      <w:r w:rsidRPr="00486698">
        <w:t xml:space="preserve">gp inducer, </w:t>
      </w:r>
      <w:r w:rsidR="00486698" w:rsidRPr="00486698">
        <w:t>efavirenz</w:t>
      </w:r>
      <w:r w:rsidRPr="00486698">
        <w:t xml:space="preserve">: </w:t>
      </w:r>
      <w:r w:rsidR="007D30CE">
        <w:t>56</w:t>
      </w:r>
      <w:r w:rsidRPr="00486698">
        <w:t>% decrease.</w:t>
      </w:r>
    </w:p>
    <w:p w14:paraId="43F59130" w14:textId="304F6C2A" w:rsidR="00026CD4" w:rsidRDefault="00063F39" w:rsidP="007513B7">
      <w:r w:rsidRPr="00070FD7">
        <w:t>Co</w:t>
      </w:r>
      <w:r w:rsidR="006D7271">
        <w:noBreakHyphen/>
      </w:r>
      <w:r w:rsidRPr="00070FD7">
        <w:t xml:space="preserve">administration of the acid reducing agent </w:t>
      </w:r>
      <w:r w:rsidR="00E75D6F">
        <w:t xml:space="preserve">famotidine </w:t>
      </w:r>
      <w:r w:rsidRPr="00070FD7">
        <w:t xml:space="preserve">did not result in clinically significant changes in </w:t>
      </w:r>
      <w:r w:rsidR="003A4339">
        <w:t>lenacapavir</w:t>
      </w:r>
      <w:r w:rsidRPr="00070FD7">
        <w:t xml:space="preserve"> PK.</w:t>
      </w:r>
    </w:p>
    <w:p w14:paraId="2C33B682" w14:textId="79689898" w:rsidR="00AD17B3" w:rsidRPr="002321EB" w:rsidRDefault="00063F39" w:rsidP="00AD17B3">
      <w:pPr>
        <w:pStyle w:val="TableTitle"/>
      </w:pPr>
      <w:r>
        <w:t xml:space="preserve">Table </w:t>
      </w:r>
      <w:r w:rsidR="00B3560F">
        <w:fldChar w:fldCharType="begin"/>
      </w:r>
      <w:r>
        <w:instrText xml:space="preserve"> SEQ Table \* ARABIC </w:instrText>
      </w:r>
      <w:r w:rsidR="00B3560F">
        <w:fldChar w:fldCharType="separate"/>
      </w:r>
      <w:r w:rsidR="000623A2">
        <w:rPr>
          <w:noProof/>
        </w:rPr>
        <w:t>3</w:t>
      </w:r>
      <w:r w:rsidR="00B3560F">
        <w:rPr>
          <w:noProof/>
        </w:rPr>
        <w:fldChar w:fldCharType="end"/>
      </w:r>
      <w:r>
        <w:t xml:space="preserve">: </w:t>
      </w:r>
      <w:r w:rsidR="004E6CB7">
        <w:t xml:space="preserve">Study </w:t>
      </w:r>
      <w:r w:rsidR="00B379B5">
        <w:t>GS</w:t>
      </w:r>
      <w:r w:rsidR="00B379B5">
        <w:noBreakHyphen/>
        <w:t>US</w:t>
      </w:r>
      <w:r w:rsidR="00B379B5">
        <w:noBreakHyphen/>
        <w:t>200</w:t>
      </w:r>
      <w:r w:rsidR="00B379B5">
        <w:noBreakHyphen/>
        <w:t xml:space="preserve">4333 </w:t>
      </w:r>
      <w:r>
        <w:t>Effect of oral lenacapavir 600 mg on the pharmacokinetics of co</w:t>
      </w:r>
      <w:r w:rsidR="006D7271">
        <w:noBreakHyphen/>
      </w:r>
      <w:r>
        <w:t>administered drugs in health</w:t>
      </w:r>
      <w:r w:rsidR="00B379B5">
        <w:t>y</w:t>
      </w:r>
      <w:r>
        <w:t xml:space="preserve"> participants (pharmacokinetic analysis set)</w:t>
      </w:r>
    </w:p>
    <w:p w14:paraId="1D07DAAE" w14:textId="37052218" w:rsidR="00B379B5" w:rsidRDefault="00063F39" w:rsidP="00026CD4">
      <w:pPr>
        <w:spacing w:line="240" w:lineRule="auto"/>
      </w:pPr>
      <w:r>
        <w:rPr>
          <w:noProof/>
        </w:rPr>
        <w:drawing>
          <wp:inline distT="0" distB="0" distL="0" distR="0" wp14:anchorId="46B8F0C0" wp14:editId="3FF8D489">
            <wp:extent cx="5238750" cy="4953000"/>
            <wp:effectExtent l="0" t="0" r="0" b="0"/>
            <wp:docPr id="8" name="Picture 8" descr="Table has 5 columns: probe (pitavastatin, rosuvastatin, midazolam, tenofovir); its abbreviation; metabolism pathway. Results as Cmax (Column 4) and AUCinf (Column 5) are the ratios of test to reference substance, with 90% confide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has 5 columns: probe (pitavastatin, rosuvastatin, midazolam, tenofovir); its abbreviation; metabolism pathway. Results as Cmax (Column 4) and AUCinf (Column 5) are the ratios of test to reference substance, with 90% confidence interval."/>
                    <pic:cNvPicPr/>
                  </pic:nvPicPr>
                  <pic:blipFill>
                    <a:blip r:embed="rId26"/>
                    <a:stretch>
                      <a:fillRect/>
                    </a:stretch>
                  </pic:blipFill>
                  <pic:spPr>
                    <a:xfrm>
                      <a:off x="0" y="0"/>
                      <a:ext cx="5238750" cy="4953000"/>
                    </a:xfrm>
                    <a:prstGeom prst="rect">
                      <a:avLst/>
                    </a:prstGeom>
                  </pic:spPr>
                </pic:pic>
              </a:graphicData>
            </a:graphic>
          </wp:inline>
        </w:drawing>
      </w:r>
    </w:p>
    <w:p w14:paraId="56D4B75D" w14:textId="77777777" w:rsidR="005B531B" w:rsidRDefault="005B531B" w:rsidP="00026CD4">
      <w:pPr>
        <w:spacing w:line="240" w:lineRule="auto"/>
      </w:pPr>
    </w:p>
    <w:p w14:paraId="344E4683" w14:textId="7BE58438" w:rsidR="006D5D8D" w:rsidRDefault="00063F39" w:rsidP="001E49A1">
      <w:pPr>
        <w:pStyle w:val="TableTitle"/>
      </w:pPr>
      <w:r>
        <w:t xml:space="preserve">Table </w:t>
      </w:r>
      <w:r w:rsidR="00B3560F">
        <w:fldChar w:fldCharType="begin"/>
      </w:r>
      <w:r>
        <w:instrText xml:space="preserve"> SEQ Table \* ARABIC </w:instrText>
      </w:r>
      <w:r w:rsidR="00B3560F">
        <w:fldChar w:fldCharType="separate"/>
      </w:r>
      <w:r w:rsidR="000623A2">
        <w:rPr>
          <w:noProof/>
        </w:rPr>
        <w:t>4</w:t>
      </w:r>
      <w:r w:rsidR="00B3560F">
        <w:rPr>
          <w:noProof/>
        </w:rPr>
        <w:fldChar w:fldCharType="end"/>
      </w:r>
      <w:r>
        <w:t xml:space="preserve">: </w:t>
      </w:r>
      <w:r w:rsidR="004E6CB7">
        <w:t xml:space="preserve">Study </w:t>
      </w:r>
      <w:r w:rsidR="00B379B5">
        <w:t>GS</w:t>
      </w:r>
      <w:r w:rsidR="00B379B5">
        <w:noBreakHyphen/>
        <w:t>US</w:t>
      </w:r>
      <w:r w:rsidR="00B379B5">
        <w:noBreakHyphen/>
        <w:t>200</w:t>
      </w:r>
      <w:r w:rsidR="00B379B5">
        <w:noBreakHyphen/>
        <w:t xml:space="preserve">4333 </w:t>
      </w:r>
      <w:r>
        <w:t>Effect of co</w:t>
      </w:r>
      <w:r w:rsidR="006D7271">
        <w:noBreakHyphen/>
      </w:r>
      <w:r>
        <w:t>administered drugs on the pharmacokinetics of oral lenacapavir 300 mg in healthy participants (pharmacokinetic analysis set)</w:t>
      </w:r>
    </w:p>
    <w:p w14:paraId="497A4CB0" w14:textId="4F2CD814" w:rsidR="00B379B5" w:rsidRDefault="00063F39" w:rsidP="00026CD4">
      <w:pPr>
        <w:spacing w:line="240" w:lineRule="auto"/>
      </w:pPr>
      <w:r>
        <w:rPr>
          <w:noProof/>
        </w:rPr>
        <w:drawing>
          <wp:inline distT="0" distB="0" distL="0" distR="0" wp14:anchorId="47FE5CFE" wp14:editId="04425238">
            <wp:extent cx="5172075" cy="3286125"/>
            <wp:effectExtent l="0" t="0" r="9525" b="9525"/>
            <wp:docPr id="9" name="Picture 9" descr="Table has 5 columns: probe (cobicistat, darunavir/cobicistat, atazanavir/cobicistat, voriconazole, rifampin, efavirenz, famotidine); its abbreviation; metabolism pathway. Results as Cmax (Column 4) and AUCinf (Column 5) are the ratios of test to reference substance, with 90% confide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has 5 columns: probe (cobicistat, darunavir/cobicistat, atazanavir/cobicistat, voriconazole, rifampin, efavirenz, famotidine); its abbreviation; metabolism pathway. Results as Cmax (Column 4) and AUCinf (Column 5) are the ratios of test to reference substance, with 90% confidence interval."/>
                    <pic:cNvPicPr/>
                  </pic:nvPicPr>
                  <pic:blipFill>
                    <a:blip r:embed="rId27"/>
                    <a:stretch>
                      <a:fillRect/>
                    </a:stretch>
                  </pic:blipFill>
                  <pic:spPr>
                    <a:xfrm>
                      <a:off x="0" y="0"/>
                      <a:ext cx="5172075" cy="3286125"/>
                    </a:xfrm>
                    <a:prstGeom prst="rect">
                      <a:avLst/>
                    </a:prstGeom>
                  </pic:spPr>
                </pic:pic>
              </a:graphicData>
            </a:graphic>
          </wp:inline>
        </w:drawing>
      </w:r>
    </w:p>
    <w:p w14:paraId="2AB27010" w14:textId="77777777" w:rsidR="00026CD4" w:rsidRPr="00B66674" w:rsidRDefault="00063F39" w:rsidP="00026CD4">
      <w:pPr>
        <w:pStyle w:val="Heading6"/>
        <w:spacing w:line="240" w:lineRule="auto"/>
      </w:pPr>
      <w:r w:rsidRPr="00B66674">
        <w:t>Dose finding</w:t>
      </w:r>
    </w:p>
    <w:p w14:paraId="1A81E970" w14:textId="77777777" w:rsidR="00026CD4" w:rsidRPr="00F45A34" w:rsidRDefault="00063F39" w:rsidP="001E49A1">
      <w:pPr>
        <w:rPr>
          <w:lang w:eastAsia="ja-JP"/>
        </w:rPr>
      </w:pPr>
      <w:r w:rsidRPr="00F45A34">
        <w:rPr>
          <w:lang w:eastAsia="ja-JP"/>
        </w:rPr>
        <w:t>Dose selection for the pivotal study was supported by results from following studies:</w:t>
      </w:r>
    </w:p>
    <w:p w14:paraId="04E52194" w14:textId="24DDEB06" w:rsidR="00026CD4" w:rsidRPr="001E49A1" w:rsidRDefault="00063F39" w:rsidP="001E49A1">
      <w:pPr>
        <w:pStyle w:val="ListBullet"/>
      </w:pPr>
      <w:r w:rsidRPr="001E49A1">
        <w:t xml:space="preserve">PK and safety data from the Phase </w:t>
      </w:r>
      <w:proofErr w:type="spellStart"/>
      <w:r w:rsidR="0002457A">
        <w:t>I</w:t>
      </w:r>
      <w:r w:rsidRPr="001E49A1">
        <w:t>b</w:t>
      </w:r>
      <w:proofErr w:type="spellEnd"/>
      <w:r w:rsidRPr="001E49A1">
        <w:t xml:space="preserve"> proof</w:t>
      </w:r>
      <w:r w:rsidR="006D7271">
        <w:noBreakHyphen/>
      </w:r>
      <w:r w:rsidRPr="001E49A1">
        <w:t>of</w:t>
      </w:r>
      <w:r w:rsidR="006D7271">
        <w:noBreakHyphen/>
      </w:r>
      <w:r w:rsidRPr="001E49A1">
        <w:t>concept study (GS</w:t>
      </w:r>
      <w:r w:rsidR="006D7271">
        <w:noBreakHyphen/>
      </w:r>
      <w:r w:rsidRPr="001E49A1">
        <w:t>US</w:t>
      </w:r>
      <w:r w:rsidR="006D7271">
        <w:noBreakHyphen/>
      </w:r>
      <w:r w:rsidRPr="001E49A1">
        <w:t>200</w:t>
      </w:r>
      <w:r w:rsidR="006D7271">
        <w:noBreakHyphen/>
      </w:r>
      <w:r w:rsidRPr="001E49A1">
        <w:t>4072) in treatment</w:t>
      </w:r>
      <w:r w:rsidR="006D7271">
        <w:noBreakHyphen/>
      </w:r>
      <w:r w:rsidRPr="001E49A1">
        <w:t>na</w:t>
      </w:r>
      <w:r w:rsidR="001E49A1">
        <w:t>i</w:t>
      </w:r>
      <w:r w:rsidRPr="001E49A1">
        <w:t>ve and treatment</w:t>
      </w:r>
      <w:r w:rsidR="006D7271">
        <w:noBreakHyphen/>
      </w:r>
      <w:r w:rsidRPr="001E49A1">
        <w:t>experienced but capsid inhibitor</w:t>
      </w:r>
      <w:r w:rsidR="006D7271">
        <w:noBreakHyphen/>
      </w:r>
      <w:r w:rsidRPr="001E49A1">
        <w:t>na</w:t>
      </w:r>
      <w:r w:rsidR="00145EBC">
        <w:t>i</w:t>
      </w:r>
      <w:r w:rsidRPr="001E49A1">
        <w:t xml:space="preserve">ve </w:t>
      </w:r>
      <w:r w:rsidR="00145EBC">
        <w:t>people with HIV</w:t>
      </w:r>
    </w:p>
    <w:p w14:paraId="6545E937" w14:textId="708E156D" w:rsidR="00026CD4" w:rsidRPr="001E49A1" w:rsidRDefault="00063F39" w:rsidP="001E49A1">
      <w:pPr>
        <w:pStyle w:val="ListBullet"/>
      </w:pPr>
      <w:r w:rsidRPr="001E49A1">
        <w:t xml:space="preserve">PK and safety data from the </w:t>
      </w:r>
      <w:r w:rsidR="00145EBC">
        <w:t>2</w:t>
      </w:r>
      <w:r w:rsidRPr="001E49A1">
        <w:t xml:space="preserve"> Phase </w:t>
      </w:r>
      <w:r w:rsidR="0002457A">
        <w:t>I</w:t>
      </w:r>
      <w:r w:rsidRPr="001E49A1">
        <w:t xml:space="preserve"> studies in healthy participants (Studies GS</w:t>
      </w:r>
      <w:r w:rsidR="006D7271">
        <w:noBreakHyphen/>
      </w:r>
      <w:r w:rsidRPr="001E49A1">
        <w:t>US</w:t>
      </w:r>
      <w:r w:rsidR="006D7271">
        <w:noBreakHyphen/>
      </w:r>
      <w:r w:rsidRPr="001E49A1">
        <w:t>200</w:t>
      </w:r>
      <w:r w:rsidR="006D7271">
        <w:noBreakHyphen/>
      </w:r>
      <w:r w:rsidRPr="001E49A1">
        <w:t>4538 and GS</w:t>
      </w:r>
      <w:r w:rsidR="006D7271">
        <w:noBreakHyphen/>
      </w:r>
      <w:r w:rsidRPr="001E49A1">
        <w:t>US</w:t>
      </w:r>
      <w:r w:rsidR="006D7271">
        <w:noBreakHyphen/>
      </w:r>
      <w:r w:rsidRPr="001E49A1">
        <w:t>200</w:t>
      </w:r>
      <w:r w:rsidR="006D7271">
        <w:noBreakHyphen/>
      </w:r>
      <w:r w:rsidRPr="001E49A1">
        <w:t>4071).</w:t>
      </w:r>
    </w:p>
    <w:p w14:paraId="4610DF40" w14:textId="77777777" w:rsidR="00026CD4" w:rsidRPr="00E405FE" w:rsidRDefault="00063F39" w:rsidP="00026CD4">
      <w:pPr>
        <w:pStyle w:val="Heading6"/>
      </w:pPr>
      <w:r>
        <w:t>Dosing</w:t>
      </w:r>
    </w:p>
    <w:p w14:paraId="10516A94" w14:textId="53D2240B" w:rsidR="00026CD4" w:rsidRDefault="00063F39" w:rsidP="00026CD4">
      <w:pPr>
        <w:spacing w:line="240" w:lineRule="auto"/>
        <w:rPr>
          <w:lang w:val="en-US"/>
        </w:rPr>
      </w:pPr>
      <w:r w:rsidRPr="00F61190">
        <w:rPr>
          <w:lang w:val="en-US"/>
        </w:rPr>
        <w:t xml:space="preserve">In the </w:t>
      </w:r>
      <w:r>
        <w:rPr>
          <w:lang w:val="en-US"/>
        </w:rPr>
        <w:t xml:space="preserve">main </w:t>
      </w:r>
      <w:r w:rsidR="009D1A4A">
        <w:rPr>
          <w:lang w:val="en-US"/>
        </w:rPr>
        <w:t>2</w:t>
      </w:r>
      <w:r w:rsidRPr="00F61190">
        <w:rPr>
          <w:lang w:val="en-US"/>
        </w:rPr>
        <w:t xml:space="preserve"> </w:t>
      </w:r>
      <w:r>
        <w:rPr>
          <w:lang w:val="en-US"/>
        </w:rPr>
        <w:t xml:space="preserve">efficacy </w:t>
      </w:r>
      <w:r w:rsidRPr="00F61190">
        <w:rPr>
          <w:lang w:val="en-US"/>
        </w:rPr>
        <w:t>studies</w:t>
      </w:r>
      <w:r>
        <w:rPr>
          <w:lang w:val="en-US"/>
        </w:rPr>
        <w:t xml:space="preserve"> in the dossier</w:t>
      </w:r>
      <w:r w:rsidRPr="00F61190">
        <w:rPr>
          <w:lang w:val="en-US"/>
        </w:rPr>
        <w:t>, the selected dosing regimen consisted of a 14</w:t>
      </w:r>
      <w:r w:rsidR="006D7271">
        <w:rPr>
          <w:lang w:val="en-US"/>
        </w:rPr>
        <w:noBreakHyphen/>
      </w:r>
      <w:r w:rsidRPr="00F61190">
        <w:rPr>
          <w:lang w:val="en-US"/>
        </w:rPr>
        <w:t>day oral</w:t>
      </w:r>
      <w:r>
        <w:rPr>
          <w:lang w:val="en-US"/>
        </w:rPr>
        <w:t xml:space="preserve"> </w:t>
      </w:r>
      <w:r w:rsidRPr="00F61190">
        <w:rPr>
          <w:lang w:val="en-US"/>
        </w:rPr>
        <w:t>lead</w:t>
      </w:r>
      <w:r w:rsidR="006D7271">
        <w:rPr>
          <w:lang w:val="en-US"/>
        </w:rPr>
        <w:noBreakHyphen/>
      </w:r>
      <w:r w:rsidRPr="00F61190">
        <w:rPr>
          <w:lang w:val="en-US"/>
        </w:rPr>
        <w:t xml:space="preserve">in period (oral </w:t>
      </w:r>
      <w:r w:rsidR="003A4339">
        <w:rPr>
          <w:lang w:val="en-US"/>
        </w:rPr>
        <w:t>lenacapavir</w:t>
      </w:r>
      <w:r w:rsidRPr="00F61190">
        <w:rPr>
          <w:lang w:val="en-US"/>
        </w:rPr>
        <w:t xml:space="preserve"> 600</w:t>
      </w:r>
      <w:r w:rsidR="00145EBC">
        <w:rPr>
          <w:lang w:val="en-US"/>
        </w:rPr>
        <w:t> </w:t>
      </w:r>
      <w:r w:rsidRPr="00F61190">
        <w:rPr>
          <w:lang w:val="en-US"/>
        </w:rPr>
        <w:t>mg on Day</w:t>
      </w:r>
      <w:r>
        <w:rPr>
          <w:lang w:val="en-US"/>
        </w:rPr>
        <w:t>s</w:t>
      </w:r>
      <w:r w:rsidRPr="00F61190">
        <w:rPr>
          <w:lang w:val="en-US"/>
        </w:rPr>
        <w:t xml:space="preserve"> 1 and 2, oral </w:t>
      </w:r>
      <w:r w:rsidR="003A4339">
        <w:rPr>
          <w:lang w:val="en-US"/>
        </w:rPr>
        <w:t>lenacapavir</w:t>
      </w:r>
      <w:r w:rsidRPr="00F61190">
        <w:rPr>
          <w:lang w:val="en-US"/>
        </w:rPr>
        <w:t xml:space="preserve"> 300</w:t>
      </w:r>
      <w:r w:rsidR="00145EBC">
        <w:rPr>
          <w:lang w:val="en-US"/>
        </w:rPr>
        <w:t> </w:t>
      </w:r>
      <w:r w:rsidRPr="00F61190">
        <w:rPr>
          <w:lang w:val="en-US"/>
        </w:rPr>
        <w:t>mg on Day 8), followed by SC</w:t>
      </w:r>
      <w:r>
        <w:rPr>
          <w:lang w:val="en-US"/>
        </w:rPr>
        <w:t xml:space="preserve"> </w:t>
      </w:r>
      <w:r w:rsidR="003A4339">
        <w:rPr>
          <w:lang w:val="en-US"/>
        </w:rPr>
        <w:t>lenacapavir</w:t>
      </w:r>
      <w:r w:rsidRPr="00F61190">
        <w:rPr>
          <w:lang w:val="en-US"/>
        </w:rPr>
        <w:t xml:space="preserve"> injection 927</w:t>
      </w:r>
      <w:r w:rsidR="00145EBC">
        <w:rPr>
          <w:lang w:val="en-US"/>
        </w:rPr>
        <w:t> </w:t>
      </w:r>
      <w:r w:rsidRPr="00F61190">
        <w:rPr>
          <w:lang w:val="en-US"/>
        </w:rPr>
        <w:t>mg on Day 15 and every 26 weeks.</w:t>
      </w:r>
    </w:p>
    <w:p w14:paraId="1E725874" w14:textId="7EE1AFA5" w:rsidR="00026CD4" w:rsidRDefault="00063F39" w:rsidP="00026CD4">
      <w:pPr>
        <w:spacing w:line="240" w:lineRule="auto"/>
        <w:rPr>
          <w:lang w:val="en-US"/>
        </w:rPr>
      </w:pPr>
      <w:r>
        <w:rPr>
          <w:lang w:val="en-US"/>
        </w:rPr>
        <w:t xml:space="preserve">The sponsor states that this regimen was mainly to enable </w:t>
      </w:r>
      <w:r w:rsidRPr="00F61190">
        <w:rPr>
          <w:lang w:val="en-US"/>
        </w:rPr>
        <w:t>assessment of the</w:t>
      </w:r>
      <w:r>
        <w:rPr>
          <w:lang w:val="en-US"/>
        </w:rPr>
        <w:t xml:space="preserve"> </w:t>
      </w:r>
      <w:r w:rsidRPr="00F61190">
        <w:rPr>
          <w:lang w:val="en-US"/>
        </w:rPr>
        <w:t xml:space="preserve">contribution of </w:t>
      </w:r>
      <w:r w:rsidR="003A4339">
        <w:rPr>
          <w:lang w:val="en-US"/>
        </w:rPr>
        <w:t>lenacapavir</w:t>
      </w:r>
      <w:r w:rsidRPr="00F61190">
        <w:rPr>
          <w:lang w:val="en-US"/>
        </w:rPr>
        <w:t xml:space="preserve"> to the efficacy of an otherwise failing regimen</w:t>
      </w:r>
      <w:r>
        <w:rPr>
          <w:lang w:val="en-US"/>
        </w:rPr>
        <w:t xml:space="preserve">, and </w:t>
      </w:r>
      <w:r w:rsidRPr="00F61190">
        <w:rPr>
          <w:lang w:val="en-US"/>
        </w:rPr>
        <w:t>an assessment of safety and tolerability of</w:t>
      </w:r>
      <w:r>
        <w:rPr>
          <w:lang w:val="en-US"/>
        </w:rPr>
        <w:t xml:space="preserve"> </w:t>
      </w:r>
      <w:r w:rsidR="003A4339">
        <w:rPr>
          <w:lang w:val="en-US"/>
        </w:rPr>
        <w:t>lenacapavir</w:t>
      </w:r>
      <w:r w:rsidRPr="00F61190">
        <w:rPr>
          <w:lang w:val="en-US"/>
        </w:rPr>
        <w:t xml:space="preserve"> prior to administration of SC </w:t>
      </w:r>
      <w:r w:rsidR="003A4339">
        <w:rPr>
          <w:lang w:val="en-US"/>
        </w:rPr>
        <w:t>lenacapavir</w:t>
      </w:r>
      <w:r w:rsidRPr="00F61190">
        <w:rPr>
          <w:lang w:val="en-US"/>
        </w:rPr>
        <w:t xml:space="preserve"> injection.</w:t>
      </w:r>
    </w:p>
    <w:p w14:paraId="23B825D2" w14:textId="1326DA8B" w:rsidR="00026CD4" w:rsidRDefault="00063F39" w:rsidP="00026CD4">
      <w:pPr>
        <w:spacing w:line="240" w:lineRule="auto"/>
        <w:rPr>
          <w:lang w:val="en-US"/>
        </w:rPr>
      </w:pPr>
      <w:r>
        <w:rPr>
          <w:lang w:val="en-US"/>
        </w:rPr>
        <w:t>However, the sponsor proposes a simplified dosing regimen which differs from the clinical trial dosing regimen: O</w:t>
      </w:r>
      <w:r w:rsidRPr="00F61190">
        <w:rPr>
          <w:lang w:val="en-US"/>
        </w:rPr>
        <w:t xml:space="preserve">ral </w:t>
      </w:r>
      <w:r w:rsidR="003A4339">
        <w:rPr>
          <w:lang w:val="en-US"/>
        </w:rPr>
        <w:t>lenacapavir</w:t>
      </w:r>
      <w:r w:rsidRPr="00F61190">
        <w:rPr>
          <w:lang w:val="en-US"/>
        </w:rPr>
        <w:t xml:space="preserve"> 600</w:t>
      </w:r>
      <w:r w:rsidR="00DF37AF">
        <w:rPr>
          <w:lang w:val="en-US"/>
        </w:rPr>
        <w:t> </w:t>
      </w:r>
      <w:r w:rsidRPr="00F61190">
        <w:rPr>
          <w:lang w:val="en-US"/>
        </w:rPr>
        <w:t xml:space="preserve">mg and SC </w:t>
      </w:r>
      <w:r w:rsidR="003A4339">
        <w:rPr>
          <w:lang w:val="en-US"/>
        </w:rPr>
        <w:t>lenacapavir</w:t>
      </w:r>
      <w:r w:rsidRPr="00F61190">
        <w:rPr>
          <w:lang w:val="en-US"/>
        </w:rPr>
        <w:t xml:space="preserve"> injection 927</w:t>
      </w:r>
      <w:r w:rsidR="00DF37AF">
        <w:rPr>
          <w:lang w:val="en-US"/>
        </w:rPr>
        <w:t> </w:t>
      </w:r>
      <w:r w:rsidRPr="00F61190">
        <w:rPr>
          <w:lang w:val="en-US"/>
        </w:rPr>
        <w:t>mg on</w:t>
      </w:r>
      <w:r>
        <w:rPr>
          <w:lang w:val="en-US"/>
        </w:rPr>
        <w:t xml:space="preserve"> </w:t>
      </w:r>
      <w:r w:rsidRPr="00F61190">
        <w:rPr>
          <w:lang w:val="en-US"/>
        </w:rPr>
        <w:t xml:space="preserve">Day 1, oral </w:t>
      </w:r>
      <w:r w:rsidR="003A4339">
        <w:rPr>
          <w:lang w:val="en-US"/>
        </w:rPr>
        <w:t>lenacapavir</w:t>
      </w:r>
      <w:r w:rsidRPr="00F61190">
        <w:rPr>
          <w:lang w:val="en-US"/>
        </w:rPr>
        <w:t xml:space="preserve"> 600</w:t>
      </w:r>
      <w:r w:rsidR="00DF37AF">
        <w:rPr>
          <w:lang w:val="en-US"/>
        </w:rPr>
        <w:t> </w:t>
      </w:r>
      <w:r w:rsidRPr="00F61190">
        <w:rPr>
          <w:lang w:val="en-US"/>
        </w:rPr>
        <w:t xml:space="preserve">mg on Day 2, followed by SC </w:t>
      </w:r>
      <w:r w:rsidR="003A4339">
        <w:rPr>
          <w:lang w:val="en-US"/>
        </w:rPr>
        <w:t>lenacapavir</w:t>
      </w:r>
      <w:r w:rsidRPr="00F61190">
        <w:rPr>
          <w:lang w:val="en-US"/>
        </w:rPr>
        <w:t xml:space="preserve"> injection 927</w:t>
      </w:r>
      <w:r w:rsidR="00DF37AF">
        <w:rPr>
          <w:lang w:val="en-US"/>
        </w:rPr>
        <w:t> </w:t>
      </w:r>
      <w:r w:rsidRPr="00F61190">
        <w:rPr>
          <w:lang w:val="en-US"/>
        </w:rPr>
        <w:t>mg every 26 weeks.</w:t>
      </w:r>
    </w:p>
    <w:p w14:paraId="6A8FAE4C" w14:textId="1D938504" w:rsidR="00026CD4" w:rsidRPr="00C26406" w:rsidRDefault="00063F39" w:rsidP="00026CD4">
      <w:pPr>
        <w:spacing w:line="240" w:lineRule="auto"/>
        <w:rPr>
          <w:lang w:val="en-US"/>
        </w:rPr>
      </w:pPr>
      <w:r>
        <w:rPr>
          <w:lang w:val="en-US"/>
        </w:rPr>
        <w:t xml:space="preserve">The sponsor claims that that </w:t>
      </w:r>
      <w:r w:rsidRPr="00E405FE">
        <w:rPr>
          <w:lang w:val="en-US"/>
        </w:rPr>
        <w:t xml:space="preserve">population PK model </w:t>
      </w:r>
      <w:r>
        <w:rPr>
          <w:lang w:val="en-US"/>
        </w:rPr>
        <w:t>s</w:t>
      </w:r>
      <w:r w:rsidRPr="00E405FE">
        <w:rPr>
          <w:lang w:val="en-US"/>
        </w:rPr>
        <w:t xml:space="preserve">imulations </w:t>
      </w:r>
      <w:r>
        <w:rPr>
          <w:lang w:val="en-US"/>
        </w:rPr>
        <w:t xml:space="preserve">showed that this simplified regimen </w:t>
      </w:r>
      <w:r w:rsidRPr="00E405FE">
        <w:rPr>
          <w:lang w:val="en-US"/>
        </w:rPr>
        <w:t>yield</w:t>
      </w:r>
      <w:r>
        <w:rPr>
          <w:lang w:val="en-US"/>
        </w:rPr>
        <w:t>ed</w:t>
      </w:r>
      <w:r w:rsidRPr="00E405FE">
        <w:rPr>
          <w:lang w:val="en-US"/>
        </w:rPr>
        <w:t xml:space="preserve"> a comparable </w:t>
      </w:r>
      <w:r w:rsidR="003A4339">
        <w:rPr>
          <w:lang w:val="en-US"/>
        </w:rPr>
        <w:t>lenacapavir</w:t>
      </w:r>
      <w:r w:rsidRPr="00E405FE">
        <w:rPr>
          <w:lang w:val="en-US"/>
        </w:rPr>
        <w:t xml:space="preserve"> PK profile to that of the Phase </w:t>
      </w:r>
      <w:r w:rsidR="00786A59">
        <w:rPr>
          <w:lang w:val="en-US"/>
        </w:rPr>
        <w:t>II</w:t>
      </w:r>
      <w:r w:rsidRPr="00E405FE">
        <w:rPr>
          <w:lang w:val="en-US"/>
        </w:rPr>
        <w:t xml:space="preserve"> and </w:t>
      </w:r>
      <w:r w:rsidR="00786A59">
        <w:rPr>
          <w:lang w:val="en-US"/>
        </w:rPr>
        <w:t>II</w:t>
      </w:r>
      <w:r w:rsidRPr="00E405FE">
        <w:rPr>
          <w:lang w:val="en-US"/>
        </w:rPr>
        <w:t>/</w:t>
      </w:r>
      <w:r w:rsidR="00786A59">
        <w:rPr>
          <w:lang w:val="en-US"/>
        </w:rPr>
        <w:t>III</w:t>
      </w:r>
      <w:r w:rsidRPr="00E405FE">
        <w:rPr>
          <w:lang w:val="en-US"/>
        </w:rPr>
        <w:t xml:space="preserve"> dosing regimen</w:t>
      </w:r>
      <w:r>
        <w:rPr>
          <w:lang w:val="en-US"/>
        </w:rPr>
        <w:t xml:space="preserve">, and that a </w:t>
      </w:r>
      <w:r w:rsidRPr="00E405FE">
        <w:rPr>
          <w:lang w:val="en-US"/>
        </w:rPr>
        <w:t>4</w:t>
      </w:r>
      <w:r w:rsidR="006D7271">
        <w:rPr>
          <w:lang w:val="en-US"/>
        </w:rPr>
        <w:noBreakHyphen/>
      </w:r>
      <w:r w:rsidRPr="00E405FE">
        <w:rPr>
          <w:lang w:val="en-US"/>
        </w:rPr>
        <w:t xml:space="preserve">week dosing window around the </w:t>
      </w:r>
      <w:r>
        <w:rPr>
          <w:lang w:val="en-US"/>
        </w:rPr>
        <w:t xml:space="preserve">injection time </w:t>
      </w:r>
      <w:r w:rsidRPr="00E405FE">
        <w:rPr>
          <w:lang w:val="en-US"/>
        </w:rPr>
        <w:t>(26</w:t>
      </w:r>
      <w:r w:rsidR="00B24A73">
        <w:rPr>
          <w:lang w:val="en-US"/>
        </w:rPr>
        <w:t> </w:t>
      </w:r>
      <w:r w:rsidRPr="00E405FE">
        <w:rPr>
          <w:lang w:val="en-US"/>
        </w:rPr>
        <w:t>±</w:t>
      </w:r>
      <w:r w:rsidR="00B24A73">
        <w:rPr>
          <w:lang w:val="en-US"/>
        </w:rPr>
        <w:t> </w:t>
      </w:r>
      <w:r w:rsidRPr="00E405FE">
        <w:rPr>
          <w:lang w:val="en-US"/>
        </w:rPr>
        <w:t>2 weeks since the last dose)</w:t>
      </w:r>
      <w:r>
        <w:rPr>
          <w:lang w:val="en-US"/>
        </w:rPr>
        <w:t xml:space="preserve"> is appropriate.</w:t>
      </w:r>
    </w:p>
    <w:p w14:paraId="24D658CF" w14:textId="77777777" w:rsidR="00F341EC" w:rsidRDefault="00063F39" w:rsidP="00F341EC">
      <w:pPr>
        <w:pStyle w:val="Heading4"/>
        <w:spacing w:line="240" w:lineRule="auto"/>
      </w:pPr>
      <w:bookmarkStart w:id="58" w:name="_Toc157422734"/>
      <w:r w:rsidRPr="00AA53F4">
        <w:t>Efficacy</w:t>
      </w:r>
      <w:bookmarkEnd w:id="58"/>
    </w:p>
    <w:p w14:paraId="4E19D491" w14:textId="50EA4D0D" w:rsidR="00F341EC" w:rsidRPr="00CC0DE8" w:rsidRDefault="00063F39" w:rsidP="00CC0DE8">
      <w:r w:rsidRPr="00CC0DE8">
        <w:t>The efficacy and safety of Sunlenca is mainly assessed from data from pivotal Phase III Study GS</w:t>
      </w:r>
      <w:r w:rsidR="006D7271">
        <w:noBreakHyphen/>
      </w:r>
      <w:r w:rsidRPr="00CC0DE8">
        <w:t>US</w:t>
      </w:r>
      <w:r w:rsidR="006D7271">
        <w:noBreakHyphen/>
      </w:r>
      <w:r w:rsidRPr="00CC0DE8">
        <w:t>200</w:t>
      </w:r>
      <w:r w:rsidR="006D7271">
        <w:noBreakHyphen/>
      </w:r>
      <w:r w:rsidRPr="00CC0DE8">
        <w:t xml:space="preserve">4625 (CAPELLA). This study evaluated Sunlenca in the target population, heavily </w:t>
      </w:r>
      <w:r w:rsidRPr="00CC0DE8">
        <w:lastRenderedPageBreak/>
        <w:t xml:space="preserve">treatment experienced adults with HIV aged 18 years and older with </w:t>
      </w:r>
      <w:r w:rsidR="00CC0DE8" w:rsidRPr="00CC0DE8">
        <w:t>multidrug resistance (</w:t>
      </w:r>
      <w:r w:rsidRPr="00CC0DE8">
        <w:t>MDR</w:t>
      </w:r>
      <w:r w:rsidR="00CC0DE8" w:rsidRPr="00CC0DE8">
        <w:t>)</w:t>
      </w:r>
      <w:r w:rsidRPr="00CC0DE8">
        <w:t>.</w:t>
      </w:r>
    </w:p>
    <w:p w14:paraId="4FFC9092" w14:textId="65367A37" w:rsidR="00F341EC" w:rsidRPr="00F47E7D" w:rsidRDefault="00063F39" w:rsidP="00910EFA">
      <w:pPr>
        <w:rPr>
          <w:lang w:eastAsia="ja-JP"/>
        </w:rPr>
      </w:pPr>
      <w:r w:rsidRPr="00F47E7D">
        <w:rPr>
          <w:lang w:eastAsia="ja-JP"/>
        </w:rPr>
        <w:t>Additional supportive data are also provided from supportive study GS</w:t>
      </w:r>
      <w:r w:rsidR="006D7271">
        <w:rPr>
          <w:lang w:eastAsia="ja-JP"/>
        </w:rPr>
        <w:noBreakHyphen/>
      </w:r>
      <w:r w:rsidRPr="00F47E7D">
        <w:rPr>
          <w:lang w:eastAsia="ja-JP"/>
        </w:rPr>
        <w:t>US</w:t>
      </w:r>
      <w:r w:rsidR="006D7271">
        <w:rPr>
          <w:lang w:eastAsia="ja-JP"/>
        </w:rPr>
        <w:noBreakHyphen/>
      </w:r>
      <w:r w:rsidRPr="00F47E7D">
        <w:rPr>
          <w:lang w:eastAsia="ja-JP"/>
        </w:rPr>
        <w:t>200</w:t>
      </w:r>
      <w:r w:rsidR="006D7271">
        <w:rPr>
          <w:lang w:eastAsia="ja-JP"/>
        </w:rPr>
        <w:noBreakHyphen/>
      </w:r>
      <w:r w:rsidRPr="00F47E7D">
        <w:rPr>
          <w:lang w:eastAsia="ja-JP"/>
        </w:rPr>
        <w:t>4334. This study evaluated S</w:t>
      </w:r>
      <w:r w:rsidR="00910EFA" w:rsidRPr="00F47E7D">
        <w:rPr>
          <w:lang w:eastAsia="ja-JP"/>
        </w:rPr>
        <w:t>unl</w:t>
      </w:r>
      <w:r w:rsidR="003A4339">
        <w:rPr>
          <w:lang w:eastAsia="ja-JP"/>
        </w:rPr>
        <w:t>enca</w:t>
      </w:r>
      <w:r w:rsidRPr="00F47E7D">
        <w:rPr>
          <w:lang w:eastAsia="ja-JP"/>
        </w:rPr>
        <w:t xml:space="preserve"> in a </w:t>
      </w:r>
      <w:r w:rsidR="00F47E7D">
        <w:rPr>
          <w:lang w:eastAsia="ja-JP"/>
        </w:rPr>
        <w:t xml:space="preserve">population of </w:t>
      </w:r>
      <w:r w:rsidRPr="00F47E7D">
        <w:rPr>
          <w:lang w:eastAsia="ja-JP"/>
        </w:rPr>
        <w:t>treatment</w:t>
      </w:r>
      <w:r w:rsidR="006D7271">
        <w:rPr>
          <w:lang w:eastAsia="ja-JP"/>
        </w:rPr>
        <w:noBreakHyphen/>
      </w:r>
      <w:r w:rsidRPr="00F47E7D">
        <w:rPr>
          <w:lang w:eastAsia="ja-JP"/>
        </w:rPr>
        <w:t>na</w:t>
      </w:r>
      <w:r w:rsidR="00910EFA" w:rsidRPr="00F47E7D">
        <w:rPr>
          <w:lang w:eastAsia="ja-JP"/>
        </w:rPr>
        <w:t>i</w:t>
      </w:r>
      <w:r w:rsidRPr="00F47E7D">
        <w:rPr>
          <w:lang w:eastAsia="ja-JP"/>
        </w:rPr>
        <w:t xml:space="preserve">ve </w:t>
      </w:r>
      <w:r w:rsidR="0019536F" w:rsidRPr="00F47E7D">
        <w:rPr>
          <w:lang w:eastAsia="ja-JP"/>
        </w:rPr>
        <w:t>people with HIV</w:t>
      </w:r>
      <w:r w:rsidRPr="00F47E7D">
        <w:rPr>
          <w:lang w:eastAsia="ja-JP"/>
        </w:rPr>
        <w:t>.</w:t>
      </w:r>
    </w:p>
    <w:p w14:paraId="5515E81A" w14:textId="43155997" w:rsidR="00F341EC" w:rsidRDefault="00063F39" w:rsidP="00F341EC">
      <w:pPr>
        <w:pStyle w:val="Heading5"/>
        <w:spacing w:line="240" w:lineRule="auto"/>
      </w:pPr>
      <w:r w:rsidRPr="006E4232">
        <w:t xml:space="preserve">Pivotal </w:t>
      </w:r>
      <w:r w:rsidR="00E64694">
        <w:t>P</w:t>
      </w:r>
      <w:r w:rsidRPr="006E4232">
        <w:t xml:space="preserve">hase </w:t>
      </w:r>
      <w:r w:rsidR="00E64694">
        <w:t>III</w:t>
      </w:r>
      <w:r w:rsidRPr="006E4232">
        <w:t xml:space="preserve"> </w:t>
      </w:r>
      <w:r>
        <w:t>S</w:t>
      </w:r>
      <w:r w:rsidRPr="006E4232">
        <w:t>tud</w:t>
      </w:r>
      <w:r>
        <w:t>y</w:t>
      </w:r>
      <w:r w:rsidRPr="001A3879">
        <w:t xml:space="preserve"> GS</w:t>
      </w:r>
      <w:r w:rsidR="006D7271">
        <w:noBreakHyphen/>
      </w:r>
      <w:r w:rsidRPr="001A3879">
        <w:t>US</w:t>
      </w:r>
      <w:r w:rsidR="006D7271">
        <w:noBreakHyphen/>
      </w:r>
      <w:r w:rsidRPr="001A3879">
        <w:t>200</w:t>
      </w:r>
      <w:r w:rsidR="006D7271">
        <w:noBreakHyphen/>
      </w:r>
      <w:r w:rsidRPr="001A3879">
        <w:t>4625</w:t>
      </w:r>
      <w:r>
        <w:t xml:space="preserve"> (</w:t>
      </w:r>
      <w:r w:rsidRPr="004F11A4">
        <w:t>CAPELLA</w:t>
      </w:r>
      <w:r>
        <w:t>)</w:t>
      </w:r>
    </w:p>
    <w:p w14:paraId="447620AF" w14:textId="77777777" w:rsidR="00F341EC" w:rsidRPr="00126B56" w:rsidRDefault="00063F39" w:rsidP="00F341EC">
      <w:pPr>
        <w:pStyle w:val="Heading6"/>
        <w:spacing w:line="240" w:lineRule="auto"/>
      </w:pPr>
      <w:r w:rsidRPr="00126B56">
        <w:t>Design</w:t>
      </w:r>
    </w:p>
    <w:p w14:paraId="02D0C15B" w14:textId="620AED5B" w:rsidR="00F341EC" w:rsidRPr="00F47E7D" w:rsidRDefault="00063F39" w:rsidP="00F47E7D">
      <w:r w:rsidRPr="00F47E7D">
        <w:t xml:space="preserve">A pivotal, ongoing, </w:t>
      </w:r>
      <w:r w:rsidR="00F47E7D">
        <w:t>P</w:t>
      </w:r>
      <w:r w:rsidRPr="00F47E7D">
        <w:t xml:space="preserve">hase </w:t>
      </w:r>
      <w:r w:rsidR="00F47E7D">
        <w:t>II</w:t>
      </w:r>
      <w:r w:rsidRPr="00F47E7D">
        <w:t>/</w:t>
      </w:r>
      <w:r w:rsidR="00F47E7D">
        <w:t>III</w:t>
      </w:r>
      <w:r w:rsidRPr="00F47E7D">
        <w:t>, randomised, double</w:t>
      </w:r>
      <w:r w:rsidR="006D7271">
        <w:noBreakHyphen/>
      </w:r>
      <w:r w:rsidRPr="00F47E7D">
        <w:t>blind (Functional Monotherapy Period only) or open</w:t>
      </w:r>
      <w:r w:rsidR="006D7271">
        <w:noBreakHyphen/>
      </w:r>
      <w:r w:rsidRPr="00F47E7D">
        <w:t>label, multi</w:t>
      </w:r>
      <w:r w:rsidR="006D7271">
        <w:noBreakHyphen/>
      </w:r>
      <w:r w:rsidRPr="00F47E7D">
        <w:t>centre (31</w:t>
      </w:r>
      <w:r w:rsidR="00F826E5">
        <w:t> </w:t>
      </w:r>
      <w:r w:rsidRPr="00F47E7D">
        <w:t>centres in 9</w:t>
      </w:r>
      <w:r w:rsidR="00F826E5">
        <w:t> </w:t>
      </w:r>
      <w:r w:rsidRPr="00F47E7D">
        <w:t>countries (26</w:t>
      </w:r>
      <w:r w:rsidR="00F826E5">
        <w:t> </w:t>
      </w:r>
      <w:r w:rsidRPr="00F47E7D">
        <w:t>week report) or 42</w:t>
      </w:r>
      <w:r w:rsidR="00F826E5">
        <w:t> </w:t>
      </w:r>
      <w:r w:rsidRPr="00F47E7D">
        <w:t>centres in 11</w:t>
      </w:r>
      <w:r w:rsidR="00F826E5">
        <w:t> </w:t>
      </w:r>
      <w:r w:rsidRPr="00F47E7D">
        <w:t>countries (52</w:t>
      </w:r>
      <w:r w:rsidR="00F826E5">
        <w:t> </w:t>
      </w:r>
      <w:r w:rsidRPr="00F47E7D">
        <w:t>week report)), parallel</w:t>
      </w:r>
      <w:r w:rsidR="006D7271">
        <w:noBreakHyphen/>
      </w:r>
      <w:r w:rsidRPr="00F47E7D">
        <w:t>group, placebo</w:t>
      </w:r>
      <w:r w:rsidR="006D7271">
        <w:noBreakHyphen/>
      </w:r>
      <w:r w:rsidRPr="00F47E7D">
        <w:t>controlled study to assess the anti</w:t>
      </w:r>
      <w:r w:rsidR="006D7271">
        <w:noBreakHyphen/>
      </w:r>
      <w:r w:rsidRPr="00F47E7D">
        <w:t xml:space="preserve">viral activity, efficacy and safety of lenacapavir with an optimised background regimen (OBR) in </w:t>
      </w:r>
      <w:r w:rsidRPr="00CC0DE8">
        <w:t>72</w:t>
      </w:r>
      <w:r w:rsidR="002C0926" w:rsidRPr="00CC0DE8">
        <w:t> </w:t>
      </w:r>
      <w:r w:rsidRPr="00CC0DE8">
        <w:t>adult</w:t>
      </w:r>
      <w:r w:rsidR="002C0926" w:rsidRPr="00CC0DE8">
        <w:t>s with HIV</w:t>
      </w:r>
      <w:r w:rsidRPr="00CC0DE8">
        <w:t xml:space="preserve"> aged </w:t>
      </w:r>
      <w:r w:rsidR="002C0926" w:rsidRPr="00CC0DE8">
        <w:t>1</w:t>
      </w:r>
      <w:r w:rsidRPr="00CC0DE8">
        <w:t xml:space="preserve">8 years </w:t>
      </w:r>
      <w:r w:rsidR="002C0926" w:rsidRPr="00CC0DE8">
        <w:t xml:space="preserve">and older </w:t>
      </w:r>
      <w:r w:rsidRPr="00CC0DE8">
        <w:t xml:space="preserve">with MDR (to </w:t>
      </w:r>
      <w:r w:rsidR="002C0926" w:rsidRPr="00CC0DE8">
        <w:t>at least</w:t>
      </w:r>
      <w:r w:rsidRPr="00CC0DE8">
        <w:t xml:space="preserve"> 2 antiretroviral [ARV]</w:t>
      </w:r>
      <w:r w:rsidRPr="00F47E7D">
        <w:t xml:space="preserve"> medications from each of </w:t>
      </w:r>
      <w:r w:rsidR="00B50EA4">
        <w:t>at least</w:t>
      </w:r>
      <w:r w:rsidRPr="00F47E7D">
        <w:t xml:space="preserve"> 3 of the 4 main classes) who are failing their current regimen (defined as plasma HIV</w:t>
      </w:r>
      <w:r w:rsidR="006D7271">
        <w:noBreakHyphen/>
      </w:r>
      <w:r w:rsidRPr="00F47E7D">
        <w:t xml:space="preserve">1 RNA </w:t>
      </w:r>
      <w:r w:rsidR="0036385B">
        <w:t>of</w:t>
      </w:r>
      <w:r w:rsidRPr="00F47E7D">
        <w:t xml:space="preserve"> 400</w:t>
      </w:r>
      <w:r w:rsidR="007C0509">
        <w:t> </w:t>
      </w:r>
      <w:r w:rsidRPr="00F47E7D">
        <w:t>copies/mL</w:t>
      </w:r>
      <w:r w:rsidR="0036385B">
        <w:t xml:space="preserve"> and higher</w:t>
      </w:r>
      <w:r w:rsidRPr="00F47E7D">
        <w:t>).</w:t>
      </w:r>
    </w:p>
    <w:p w14:paraId="1D966321" w14:textId="211479C3" w:rsidR="00F341EC" w:rsidRPr="00F47E7D" w:rsidRDefault="00063F39" w:rsidP="00F47E7D">
      <w:r w:rsidRPr="00F47E7D">
        <w:t>The duration of the study and treatment is at least 54</w:t>
      </w:r>
      <w:r w:rsidR="00CC0DE8">
        <w:t> </w:t>
      </w:r>
      <w:r w:rsidRPr="00F47E7D">
        <w:t xml:space="preserve">weeks with the option to continue and receive SC </w:t>
      </w:r>
      <w:r w:rsidR="003A4339">
        <w:t>lenacapavir</w:t>
      </w:r>
      <w:r w:rsidRPr="00F47E7D">
        <w:t xml:space="preserve"> every 26</w:t>
      </w:r>
      <w:r w:rsidR="00CC0DE8">
        <w:t> </w:t>
      </w:r>
      <w:r w:rsidRPr="00F47E7D">
        <w:t>weeks with study visits at Week</w:t>
      </w:r>
      <w:r w:rsidR="00CC0DE8">
        <w:t>s</w:t>
      </w:r>
      <w:r w:rsidRPr="00F47E7D">
        <w:t xml:space="preserve"> 62, 78, 88, 104, 114</w:t>
      </w:r>
      <w:r w:rsidR="00CC0DE8">
        <w:t xml:space="preserve"> and</w:t>
      </w:r>
      <w:r w:rsidRPr="00F47E7D">
        <w:t xml:space="preserve"> 130.</w:t>
      </w:r>
    </w:p>
    <w:p w14:paraId="2D659CC4" w14:textId="40FFC783" w:rsidR="00F341EC" w:rsidRPr="00F47E7D" w:rsidRDefault="00063F39" w:rsidP="00F47E7D">
      <w:r w:rsidRPr="00F47E7D">
        <w:t>The study period was from 21</w:t>
      </w:r>
      <w:r w:rsidR="00CC0DE8">
        <w:t> </w:t>
      </w:r>
      <w:r w:rsidRPr="00F47E7D">
        <w:t>November 2019 (first participant screened) to 28</w:t>
      </w:r>
      <w:r w:rsidR="00CC0DE8">
        <w:t> </w:t>
      </w:r>
      <w:r w:rsidRPr="00F47E7D">
        <w:t>September 2021 (</w:t>
      </w:r>
      <w:r w:rsidR="00785267">
        <w:t>date of last visit at Week 52 for last</w:t>
      </w:r>
      <w:r w:rsidR="006D7271">
        <w:noBreakHyphen/>
      </w:r>
      <w:r w:rsidR="00785267">
        <w:t xml:space="preserve">enrolled </w:t>
      </w:r>
      <w:r w:rsidR="009A3297">
        <w:t>participant</w:t>
      </w:r>
      <w:r w:rsidRPr="00F47E7D">
        <w:t>). The study is ongoing.</w:t>
      </w:r>
    </w:p>
    <w:p w14:paraId="2E3BE964" w14:textId="76CA8287" w:rsidR="00F341EC" w:rsidRPr="00F47E7D" w:rsidRDefault="00063F39" w:rsidP="00F47E7D">
      <w:r w:rsidRPr="00F47E7D">
        <w:t>The primary objective was to evaluate the anti</w:t>
      </w:r>
      <w:r w:rsidR="006D7271">
        <w:noBreakHyphen/>
      </w:r>
      <w:r w:rsidRPr="00F47E7D">
        <w:t>viral activity of lenacapavir (</w:t>
      </w:r>
      <w:r w:rsidR="003A4339">
        <w:t>lenacapavir</w:t>
      </w:r>
      <w:r w:rsidRPr="00F47E7D">
        <w:t>; GS</w:t>
      </w:r>
      <w:r w:rsidR="006D7271">
        <w:noBreakHyphen/>
      </w:r>
      <w:r w:rsidRPr="00F47E7D">
        <w:t>6207) administered as an add</w:t>
      </w:r>
      <w:r w:rsidR="006D7271">
        <w:noBreakHyphen/>
      </w:r>
      <w:r w:rsidRPr="00F47E7D">
        <w:t xml:space="preserve">on to a failing regimen (functional monotherapy) for people with HIV with multidrug resistance. The secondary objective was to evaluate the safety and efficacy of </w:t>
      </w:r>
      <w:r w:rsidR="003A4339">
        <w:t>lenacapavir</w:t>
      </w:r>
      <w:r w:rsidRPr="00F47E7D">
        <w:t xml:space="preserve"> in combination with an OBR at Weeks 26 and 52.</w:t>
      </w:r>
    </w:p>
    <w:p w14:paraId="4B75612B" w14:textId="67039CCD" w:rsidR="00F341EC" w:rsidRDefault="00063F39" w:rsidP="00F36DAA">
      <w:pPr>
        <w:pStyle w:val="FigureTitle"/>
      </w:pPr>
      <w:bookmarkStart w:id="59" w:name="_Ref156900987"/>
      <w:bookmarkStart w:id="60" w:name="_Ref156900971"/>
      <w:r>
        <w:t xml:space="preserve">Figure </w:t>
      </w:r>
      <w:r w:rsidR="00B86A91">
        <w:fldChar w:fldCharType="begin"/>
      </w:r>
      <w:r>
        <w:instrText xml:space="preserve"> SEQ Figure \* ARABIC </w:instrText>
      </w:r>
      <w:r w:rsidR="00B86A91">
        <w:fldChar w:fldCharType="separate"/>
      </w:r>
      <w:r w:rsidR="000623A2">
        <w:rPr>
          <w:noProof/>
        </w:rPr>
        <w:t>4</w:t>
      </w:r>
      <w:r w:rsidR="00B86A91">
        <w:rPr>
          <w:noProof/>
        </w:rPr>
        <w:fldChar w:fldCharType="end"/>
      </w:r>
      <w:bookmarkEnd w:id="59"/>
      <w:r>
        <w:t>: Study GS</w:t>
      </w:r>
      <w:r w:rsidR="006D7271">
        <w:noBreakHyphen/>
      </w:r>
      <w:r>
        <w:t>US</w:t>
      </w:r>
      <w:r w:rsidR="006D7271">
        <w:noBreakHyphen/>
      </w:r>
      <w:r>
        <w:t>200</w:t>
      </w:r>
      <w:r w:rsidR="006D7271">
        <w:noBreakHyphen/>
      </w:r>
      <w:r>
        <w:t xml:space="preserve">4625 (CAPELLA) </w:t>
      </w:r>
      <w:r w:rsidR="000623A2">
        <w:t>S</w:t>
      </w:r>
      <w:r>
        <w:t>tudy design schema</w:t>
      </w:r>
      <w:bookmarkEnd w:id="60"/>
    </w:p>
    <w:p w14:paraId="491DFE28" w14:textId="4D6BBC1E" w:rsidR="009346E3" w:rsidRDefault="00063F39" w:rsidP="00F36DAA">
      <w:pPr>
        <w:pStyle w:val="FigureTitle"/>
        <w:rPr>
          <w:noProof/>
        </w:rPr>
      </w:pPr>
      <w:r>
        <w:rPr>
          <w:noProof/>
        </w:rPr>
        <w:drawing>
          <wp:inline distT="0" distB="0" distL="0" distR="0" wp14:anchorId="7F58EEEE" wp14:editId="11D31055">
            <wp:extent cx="5759450" cy="2952115"/>
            <wp:effectExtent l="0" t="0" r="0" b="635"/>
            <wp:docPr id="1" name="Picture 1" descr="Complex figure showing screening, cohort selection, randomisation or unblinded, and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lex figure showing screening, cohort selection, randomisation or unblinded, and treatments"/>
                    <pic:cNvPicPr/>
                  </pic:nvPicPr>
                  <pic:blipFill>
                    <a:blip r:embed="rId28"/>
                    <a:stretch>
                      <a:fillRect/>
                    </a:stretch>
                  </pic:blipFill>
                  <pic:spPr>
                    <a:xfrm>
                      <a:off x="0" y="0"/>
                      <a:ext cx="5759450" cy="2952115"/>
                    </a:xfrm>
                    <a:prstGeom prst="rect">
                      <a:avLst/>
                    </a:prstGeom>
                  </pic:spPr>
                </pic:pic>
              </a:graphicData>
            </a:graphic>
          </wp:inline>
        </w:drawing>
      </w:r>
    </w:p>
    <w:p w14:paraId="27B2853B" w14:textId="1C43B04A" w:rsidR="00F341EC" w:rsidRDefault="00063F39" w:rsidP="00F36DAA">
      <w:pPr>
        <w:pStyle w:val="Heading7"/>
      </w:pPr>
      <w:r>
        <w:t>Key i</w:t>
      </w:r>
      <w:r w:rsidRPr="009A09B9">
        <w:t>nclusion criteria</w:t>
      </w:r>
    </w:p>
    <w:p w14:paraId="06ADFC82" w14:textId="64FBEB97" w:rsidR="00F341EC" w:rsidRPr="00386BB2" w:rsidRDefault="00063F39" w:rsidP="00F36DAA">
      <w:pPr>
        <w:pStyle w:val="ListBullet"/>
      </w:pPr>
      <w:r>
        <w:rPr>
          <w:lang w:val="en-US"/>
        </w:rPr>
        <w:t>A</w:t>
      </w:r>
      <w:r w:rsidRPr="00386BB2">
        <w:rPr>
          <w:lang w:val="en-US"/>
        </w:rPr>
        <w:t>ge 18</w:t>
      </w:r>
      <w:r w:rsidR="00F36DAA">
        <w:rPr>
          <w:lang w:val="en-US"/>
        </w:rPr>
        <w:t> years and older</w:t>
      </w:r>
      <w:r w:rsidRPr="00386BB2">
        <w:rPr>
          <w:lang w:val="en-US"/>
        </w:rPr>
        <w:t xml:space="preserve"> (all sites) or aged 12</w:t>
      </w:r>
      <w:r w:rsidR="00F36DAA">
        <w:rPr>
          <w:lang w:val="en-US"/>
        </w:rPr>
        <w:t xml:space="preserve"> years and older </w:t>
      </w:r>
      <w:r w:rsidR="00805BE4">
        <w:rPr>
          <w:lang w:val="en-US"/>
        </w:rPr>
        <w:t>and</w:t>
      </w:r>
      <w:r w:rsidRPr="00386BB2">
        <w:rPr>
          <w:lang w:val="en-US"/>
        </w:rPr>
        <w:t xml:space="preserve"> </w:t>
      </w:r>
      <w:r w:rsidR="00805BE4">
        <w:rPr>
          <w:lang w:val="en-US"/>
        </w:rPr>
        <w:t xml:space="preserve">at least </w:t>
      </w:r>
      <w:r w:rsidRPr="00386BB2">
        <w:rPr>
          <w:lang w:val="en-US"/>
        </w:rPr>
        <w:t>35</w:t>
      </w:r>
      <w:r w:rsidR="00805BE4">
        <w:rPr>
          <w:lang w:val="en-US"/>
        </w:rPr>
        <w:t> </w:t>
      </w:r>
      <w:r w:rsidRPr="00386BB2">
        <w:rPr>
          <w:lang w:val="en-US"/>
        </w:rPr>
        <w:t>kg (North America and Dominican Republic)</w:t>
      </w:r>
      <w:r w:rsidR="005C49E4">
        <w:rPr>
          <w:lang w:val="en-US"/>
        </w:rPr>
        <w:t>.</w:t>
      </w:r>
    </w:p>
    <w:p w14:paraId="5BBCB30F" w14:textId="2F89FD36" w:rsidR="00F341EC" w:rsidRPr="00386BB2" w:rsidRDefault="00063F39" w:rsidP="00F36DAA">
      <w:pPr>
        <w:pStyle w:val="ListBullet"/>
      </w:pPr>
      <w:r>
        <w:rPr>
          <w:lang w:val="en-US"/>
        </w:rPr>
        <w:t>R</w:t>
      </w:r>
      <w:r w:rsidRPr="00386BB2">
        <w:rPr>
          <w:lang w:val="en-US"/>
        </w:rPr>
        <w:t xml:space="preserve">eceiving a stable failing ARV regimen for </w:t>
      </w:r>
      <w:r w:rsidR="00805BE4">
        <w:rPr>
          <w:lang w:val="en-US"/>
        </w:rPr>
        <w:t xml:space="preserve">more than </w:t>
      </w:r>
      <w:r w:rsidRPr="00386BB2">
        <w:rPr>
          <w:lang w:val="en-US"/>
        </w:rPr>
        <w:t>8 weeks before screening and willing to continue the regimen until Day 1 (or a failing regimen until Day 14 for Cohort 1)</w:t>
      </w:r>
      <w:r w:rsidR="005C49E4">
        <w:rPr>
          <w:lang w:val="en-US"/>
        </w:rPr>
        <w:t>.</w:t>
      </w:r>
    </w:p>
    <w:p w14:paraId="712E2A40" w14:textId="5BC3D609" w:rsidR="00F341EC" w:rsidRPr="00386BB2" w:rsidRDefault="00063F39" w:rsidP="00F36DAA">
      <w:pPr>
        <w:pStyle w:val="ListBullet"/>
      </w:pPr>
      <w:r w:rsidRPr="00386BB2">
        <w:rPr>
          <w:lang w:val="en-US"/>
        </w:rPr>
        <w:t>HIV</w:t>
      </w:r>
      <w:r w:rsidR="006D7271">
        <w:rPr>
          <w:lang w:val="en-US"/>
        </w:rPr>
        <w:noBreakHyphen/>
      </w:r>
      <w:r w:rsidRPr="007D7452">
        <w:rPr>
          <w:lang w:val="en-US"/>
        </w:rPr>
        <w:t xml:space="preserve">1 RNA </w:t>
      </w:r>
      <w:r w:rsidR="0036385B">
        <w:rPr>
          <w:lang w:val="en-US"/>
        </w:rPr>
        <w:t xml:space="preserve">of </w:t>
      </w:r>
      <w:r w:rsidRPr="007D7452">
        <w:rPr>
          <w:lang w:val="en-US"/>
        </w:rPr>
        <w:t>400</w:t>
      </w:r>
      <w:r w:rsidR="00EF50EA">
        <w:rPr>
          <w:lang w:val="en-US"/>
        </w:rPr>
        <w:t> </w:t>
      </w:r>
      <w:r w:rsidRPr="007D7452">
        <w:rPr>
          <w:lang w:val="en-US"/>
        </w:rPr>
        <w:t xml:space="preserve">copies/mL </w:t>
      </w:r>
      <w:r w:rsidR="00EF50EA">
        <w:rPr>
          <w:lang w:val="en-US"/>
        </w:rPr>
        <w:t xml:space="preserve">or higher </w:t>
      </w:r>
      <w:r w:rsidRPr="007D7452">
        <w:rPr>
          <w:lang w:val="en-US"/>
        </w:rPr>
        <w:t xml:space="preserve">at </w:t>
      </w:r>
      <w:r w:rsidRPr="00386BB2">
        <w:rPr>
          <w:lang w:val="en-US"/>
        </w:rPr>
        <w:t>screening</w:t>
      </w:r>
      <w:r w:rsidR="005C49E4">
        <w:rPr>
          <w:lang w:val="en-US"/>
        </w:rPr>
        <w:t>.</w:t>
      </w:r>
    </w:p>
    <w:p w14:paraId="1317D75B" w14:textId="02F6F3CF" w:rsidR="00F341EC" w:rsidRPr="00430A42" w:rsidRDefault="00063F39" w:rsidP="00F36DAA">
      <w:pPr>
        <w:pStyle w:val="ListBullet"/>
      </w:pPr>
      <w:r w:rsidRPr="00430A42">
        <w:rPr>
          <w:lang w:val="en-US"/>
        </w:rPr>
        <w:lastRenderedPageBreak/>
        <w:t xml:space="preserve">Resistance to </w:t>
      </w:r>
      <w:r w:rsidR="00EF50EA" w:rsidRPr="00430A42">
        <w:rPr>
          <w:lang w:val="en-US"/>
        </w:rPr>
        <w:t xml:space="preserve">at least </w:t>
      </w:r>
      <w:r w:rsidRPr="00430A42">
        <w:rPr>
          <w:lang w:val="en-US"/>
        </w:rPr>
        <w:t xml:space="preserve">2 ARVs from each of </w:t>
      </w:r>
      <w:r w:rsidR="00EF50EA" w:rsidRPr="00430A42">
        <w:rPr>
          <w:lang w:val="en-US"/>
        </w:rPr>
        <w:t xml:space="preserve">at least </w:t>
      </w:r>
      <w:r w:rsidRPr="00430A42">
        <w:rPr>
          <w:lang w:val="en-US"/>
        </w:rPr>
        <w:t>3 of the 4 main classes (resistance to emtricitabine or lamivudine with the M184V/I mutation not eligible)</w:t>
      </w:r>
      <w:r w:rsidR="005C49E4">
        <w:rPr>
          <w:lang w:val="en-US"/>
        </w:rPr>
        <w:t>.</w:t>
      </w:r>
    </w:p>
    <w:p w14:paraId="14AD8C83" w14:textId="7A7A9E05" w:rsidR="00F341EC" w:rsidRPr="009A09B9" w:rsidRDefault="00063F39" w:rsidP="00F36DAA">
      <w:pPr>
        <w:pStyle w:val="ListBullet"/>
      </w:pPr>
      <w:r w:rsidRPr="00386BB2">
        <w:rPr>
          <w:lang w:val="en-US"/>
        </w:rPr>
        <w:t xml:space="preserve">Had 2 </w:t>
      </w:r>
      <w:r w:rsidR="0026647B">
        <w:rPr>
          <w:lang w:val="en-US"/>
        </w:rPr>
        <w:t xml:space="preserve">or less </w:t>
      </w:r>
      <w:r w:rsidRPr="00386BB2">
        <w:rPr>
          <w:lang w:val="en-US"/>
        </w:rPr>
        <w:t>fully active ARVs remaining from the 4 main classes</w:t>
      </w:r>
      <w:r>
        <w:rPr>
          <w:lang w:val="en-US"/>
        </w:rPr>
        <w:t>.</w:t>
      </w:r>
    </w:p>
    <w:p w14:paraId="60F437E2" w14:textId="55769778" w:rsidR="00F341EC" w:rsidRDefault="00063F39" w:rsidP="00F36DAA">
      <w:pPr>
        <w:pStyle w:val="Heading7"/>
      </w:pPr>
      <w:r>
        <w:t>Key e</w:t>
      </w:r>
      <w:r w:rsidRPr="0056794F">
        <w:t>xclusion criteria</w:t>
      </w:r>
    </w:p>
    <w:p w14:paraId="1410BF15" w14:textId="568AD4F3" w:rsidR="00F341EC" w:rsidRPr="00386BB2" w:rsidRDefault="00063F39" w:rsidP="0026647B">
      <w:pPr>
        <w:pStyle w:val="ListBullet"/>
      </w:pPr>
      <w:r>
        <w:rPr>
          <w:lang w:val="en-US"/>
        </w:rPr>
        <w:t>W</w:t>
      </w:r>
      <w:r w:rsidRPr="00386BB2">
        <w:rPr>
          <w:lang w:val="en-US"/>
        </w:rPr>
        <w:t>ithin 30 days prior to screening: opportunistic illness requiring acute therapy; active, serious infections (other than HIV</w:t>
      </w:r>
      <w:r w:rsidR="006D7271">
        <w:rPr>
          <w:lang w:val="en-US"/>
        </w:rPr>
        <w:noBreakHyphen/>
      </w:r>
      <w:r w:rsidRPr="00386BB2">
        <w:rPr>
          <w:lang w:val="en-US"/>
        </w:rPr>
        <w:t>1 infection) requiring parenteral antibiotic or antifungals</w:t>
      </w:r>
      <w:r>
        <w:t xml:space="preserve">; </w:t>
      </w:r>
      <w:r w:rsidRPr="00386BB2">
        <w:rPr>
          <w:lang w:val="en-US"/>
        </w:rPr>
        <w:t>active tuberculosis</w:t>
      </w:r>
      <w:r>
        <w:t xml:space="preserve">; </w:t>
      </w:r>
      <w:r w:rsidRPr="00386BB2">
        <w:rPr>
          <w:lang w:val="en-US"/>
        </w:rPr>
        <w:t>acute hepatitis</w:t>
      </w:r>
      <w:r w:rsidR="005C49E4">
        <w:rPr>
          <w:lang w:val="en-US"/>
        </w:rPr>
        <w:t>.</w:t>
      </w:r>
    </w:p>
    <w:p w14:paraId="617F4445" w14:textId="2718463F" w:rsidR="00F341EC" w:rsidRPr="001610D6" w:rsidRDefault="00063F39" w:rsidP="0026647B">
      <w:pPr>
        <w:pStyle w:val="ListBullet"/>
        <w:rPr>
          <w:color w:val="000000"/>
          <w:lang w:val="en-US"/>
        </w:rPr>
      </w:pPr>
      <w:r w:rsidRPr="001610D6">
        <w:rPr>
          <w:lang w:val="en-US"/>
        </w:rPr>
        <w:t>Untreated or newly treated (</w:t>
      </w:r>
      <w:r w:rsidR="00E44877">
        <w:rPr>
          <w:lang w:val="en-US"/>
        </w:rPr>
        <w:t xml:space="preserve">less than </w:t>
      </w:r>
      <w:r w:rsidRPr="001610D6">
        <w:rPr>
          <w:lang w:val="en-US"/>
        </w:rPr>
        <w:t>3 months prior to screening) HBV infection</w:t>
      </w:r>
      <w:r w:rsidR="005C49E4">
        <w:rPr>
          <w:lang w:val="en-US"/>
        </w:rPr>
        <w:t>.</w:t>
      </w:r>
    </w:p>
    <w:p w14:paraId="6A6AFB62" w14:textId="694BB2CE" w:rsidR="00F341EC" w:rsidRDefault="00063F39" w:rsidP="0026647B">
      <w:pPr>
        <w:pStyle w:val="ListBullet"/>
        <w:rPr>
          <w:color w:val="000000"/>
          <w:lang w:val="en-US"/>
        </w:rPr>
      </w:pPr>
      <w:r w:rsidRPr="001610D6">
        <w:rPr>
          <w:color w:val="000000"/>
          <w:lang w:val="en-US"/>
        </w:rPr>
        <w:t xml:space="preserve">HCV </w:t>
      </w:r>
      <w:r w:rsidR="00F84864">
        <w:rPr>
          <w:color w:val="000000"/>
          <w:lang w:val="en-US"/>
        </w:rPr>
        <w:t>antibody</w:t>
      </w:r>
      <w:r w:rsidRPr="001610D6">
        <w:rPr>
          <w:color w:val="000000"/>
          <w:lang w:val="en-US"/>
        </w:rPr>
        <w:t xml:space="preserve"> positive and HCV RNA greater than </w:t>
      </w:r>
      <w:r w:rsidR="00E44877">
        <w:rPr>
          <w:color w:val="000000"/>
          <w:lang w:val="en-US"/>
        </w:rPr>
        <w:t>lower limit of quantification</w:t>
      </w:r>
      <w:r w:rsidR="005C49E4">
        <w:rPr>
          <w:color w:val="000000"/>
          <w:lang w:val="en-US"/>
        </w:rPr>
        <w:t>.</w:t>
      </w:r>
    </w:p>
    <w:p w14:paraId="253AC328" w14:textId="18177376" w:rsidR="00F341EC" w:rsidRDefault="00063F39" w:rsidP="0026647B">
      <w:pPr>
        <w:pStyle w:val="ListBullet"/>
        <w:rPr>
          <w:color w:val="000000"/>
          <w:lang w:val="en-US"/>
        </w:rPr>
      </w:pPr>
      <w:r>
        <w:rPr>
          <w:color w:val="000000"/>
          <w:lang w:val="en-US"/>
        </w:rPr>
        <w:t>H</w:t>
      </w:r>
      <w:r w:rsidRPr="001610D6">
        <w:rPr>
          <w:color w:val="000000"/>
          <w:lang w:val="en-US"/>
        </w:rPr>
        <w:t>istory of or current clinical decompensated liver cirrhosis</w:t>
      </w:r>
      <w:r w:rsidR="005C49E4">
        <w:rPr>
          <w:color w:val="000000"/>
          <w:lang w:val="en-US"/>
        </w:rPr>
        <w:t>.</w:t>
      </w:r>
    </w:p>
    <w:p w14:paraId="5A5DA63A" w14:textId="56B53B8D" w:rsidR="00F341EC" w:rsidRDefault="00063F39" w:rsidP="0026647B">
      <w:pPr>
        <w:pStyle w:val="ListBullet"/>
        <w:rPr>
          <w:color w:val="000000"/>
          <w:lang w:val="en-US"/>
        </w:rPr>
      </w:pPr>
      <w:r w:rsidRPr="001610D6">
        <w:rPr>
          <w:color w:val="000000"/>
          <w:lang w:val="en-US"/>
        </w:rPr>
        <w:t>Concomitant (or within 3 months prior to screening) immunosuppressant therapies, hydroxyurea, foscarnet, radiation, or cytotoxic chemotherapeutic agents without prior approval</w:t>
      </w:r>
      <w:r w:rsidR="005C49E4">
        <w:rPr>
          <w:color w:val="000000"/>
          <w:lang w:val="en-US"/>
        </w:rPr>
        <w:t>.</w:t>
      </w:r>
    </w:p>
    <w:p w14:paraId="55BEF0F6" w14:textId="01BA6738" w:rsidR="00F341EC" w:rsidRDefault="00063F39" w:rsidP="0026647B">
      <w:pPr>
        <w:pStyle w:val="ListBullet"/>
        <w:rPr>
          <w:color w:val="000000"/>
          <w:lang w:val="en-US"/>
        </w:rPr>
      </w:pPr>
      <w:r>
        <w:rPr>
          <w:color w:val="000000"/>
          <w:lang w:val="en-US"/>
        </w:rPr>
        <w:t>A</w:t>
      </w:r>
      <w:r w:rsidRPr="001610D6">
        <w:rPr>
          <w:color w:val="000000"/>
          <w:lang w:val="en-US"/>
        </w:rPr>
        <w:t>ctive malignancy requiring acute therapy (</w:t>
      </w:r>
      <w:r>
        <w:rPr>
          <w:color w:val="000000"/>
          <w:lang w:val="en-US"/>
        </w:rPr>
        <w:t xml:space="preserve">except </w:t>
      </w:r>
      <w:r w:rsidRPr="001610D6">
        <w:rPr>
          <w:color w:val="000000"/>
          <w:lang w:val="en-US"/>
        </w:rPr>
        <w:t>local cutaneous Kaposi’s sarcoma)</w:t>
      </w:r>
      <w:r w:rsidR="005C49E4">
        <w:rPr>
          <w:color w:val="000000"/>
          <w:lang w:val="en-US"/>
        </w:rPr>
        <w:t>.</w:t>
      </w:r>
    </w:p>
    <w:p w14:paraId="192EEACE" w14:textId="67167E66" w:rsidR="00F341EC" w:rsidRDefault="00063F39" w:rsidP="0026647B">
      <w:pPr>
        <w:pStyle w:val="ListBullet"/>
        <w:rPr>
          <w:color w:val="000000"/>
          <w:lang w:val="en-US"/>
        </w:rPr>
      </w:pPr>
      <w:r>
        <w:rPr>
          <w:color w:val="000000"/>
          <w:lang w:val="en-US"/>
        </w:rPr>
        <w:t>C</w:t>
      </w:r>
      <w:r w:rsidRPr="001610D6">
        <w:rPr>
          <w:color w:val="000000"/>
          <w:lang w:val="en-US"/>
        </w:rPr>
        <w:t>linically significant abnormal ECG at screening</w:t>
      </w:r>
      <w:r w:rsidR="005C49E4">
        <w:rPr>
          <w:color w:val="000000"/>
          <w:lang w:val="en-US"/>
        </w:rPr>
        <w:t>.</w:t>
      </w:r>
    </w:p>
    <w:p w14:paraId="37F2A7B8" w14:textId="02B78C37" w:rsidR="00F341EC" w:rsidRPr="006C7DBA" w:rsidRDefault="00063F39" w:rsidP="00596BF2">
      <w:pPr>
        <w:pStyle w:val="ListBullet"/>
      </w:pPr>
      <w:r w:rsidRPr="006C7DBA">
        <w:t xml:space="preserve">Laboratory values at screening: </w:t>
      </w:r>
      <w:r w:rsidR="00890F7E" w:rsidRPr="006C7DBA">
        <w:t>estimated glomerular filtration rate (</w:t>
      </w:r>
      <w:r w:rsidRPr="006C7DBA">
        <w:t>eGFR</w:t>
      </w:r>
      <w:r w:rsidR="00890F7E" w:rsidRPr="006C7DBA">
        <w:t>)</w:t>
      </w:r>
      <w:r w:rsidRPr="006C7DBA">
        <w:t xml:space="preserve"> </w:t>
      </w:r>
      <w:r w:rsidR="00890F7E" w:rsidRPr="006C7DBA">
        <w:t xml:space="preserve">below or equal to </w:t>
      </w:r>
      <w:r w:rsidRPr="006C7DBA">
        <w:t>50</w:t>
      </w:r>
      <w:r w:rsidR="00890F7E" w:rsidRPr="006C7DBA">
        <w:t> </w:t>
      </w:r>
      <w:r w:rsidRPr="006C7DBA">
        <w:t xml:space="preserve">mL/min; </w:t>
      </w:r>
      <w:r w:rsidR="00890F7E" w:rsidRPr="006C7DBA">
        <w:rPr>
          <w:szCs w:val="22"/>
        </w:rPr>
        <w:t>alanine aminotransferase</w:t>
      </w:r>
      <w:r w:rsidR="00890F7E" w:rsidRPr="006C7DBA">
        <w:t xml:space="preserve"> (</w:t>
      </w:r>
      <w:r w:rsidRPr="006C7DBA">
        <w:t>ALT</w:t>
      </w:r>
      <w:r w:rsidR="00890F7E" w:rsidRPr="006C7DBA">
        <w:t>)</w:t>
      </w:r>
      <w:r w:rsidRPr="006C7DBA">
        <w:t xml:space="preserve"> </w:t>
      </w:r>
      <w:r w:rsidR="00890F7E" w:rsidRPr="006C7DBA">
        <w:t>more than 5</w:t>
      </w:r>
      <w:r w:rsidR="00890F7E" w:rsidRPr="006C7DBA">
        <w:noBreakHyphen/>
        <w:t>fold upper level of normal; d</w:t>
      </w:r>
      <w:r w:rsidRPr="006C7DBA">
        <w:t xml:space="preserve">irect bilirubin </w:t>
      </w:r>
      <w:r w:rsidR="00890F7E" w:rsidRPr="006C7DBA">
        <w:t xml:space="preserve">more than </w:t>
      </w:r>
      <w:r w:rsidRPr="006C7DBA">
        <w:t>1.5</w:t>
      </w:r>
      <w:r w:rsidR="00890F7E" w:rsidRPr="006C7DBA">
        <w:noBreakHyphen/>
        <w:t>fold upper level of normal</w:t>
      </w:r>
      <w:r w:rsidRPr="006C7DBA">
        <w:t xml:space="preserve">; </w:t>
      </w:r>
      <w:r w:rsidR="00890F7E" w:rsidRPr="006C7DBA">
        <w:t>p</w:t>
      </w:r>
      <w:r w:rsidRPr="006C7DBA">
        <w:t xml:space="preserve">latelets </w:t>
      </w:r>
      <w:r w:rsidR="00890F7E" w:rsidRPr="006C7DBA">
        <w:t xml:space="preserve">below </w:t>
      </w:r>
      <w:r w:rsidRPr="006C7DBA">
        <w:t>50,000/mm</w:t>
      </w:r>
      <w:r w:rsidRPr="006C7DBA">
        <w:rPr>
          <w:vertAlign w:val="superscript"/>
        </w:rPr>
        <w:t>3</w:t>
      </w:r>
      <w:r w:rsidRPr="006C7DBA">
        <w:t xml:space="preserve">; </w:t>
      </w:r>
      <w:r w:rsidR="00890F7E" w:rsidRPr="006C7DBA">
        <w:t>h</w:t>
      </w:r>
      <w:r w:rsidRPr="006C7DBA">
        <w:t xml:space="preserve">aemoglobin </w:t>
      </w:r>
      <w:r w:rsidR="00890F7E" w:rsidRPr="006C7DBA">
        <w:t xml:space="preserve">below </w:t>
      </w:r>
      <w:r w:rsidRPr="006C7DBA">
        <w:t>8.0</w:t>
      </w:r>
      <w:r w:rsidR="006C7DBA" w:rsidRPr="006C7DBA">
        <w:t> </w:t>
      </w:r>
      <w:r w:rsidRPr="006C7DBA">
        <w:t>g/dL</w:t>
      </w:r>
      <w:r w:rsidR="006C7DBA" w:rsidRPr="006C7DBA">
        <w:t xml:space="preserve"> (4.96 mmol/L)</w:t>
      </w:r>
      <w:r w:rsidRPr="006C7DBA">
        <w:t>.</w:t>
      </w:r>
    </w:p>
    <w:p w14:paraId="5927BFA6" w14:textId="77777777" w:rsidR="00263E51" w:rsidRDefault="00063F39" w:rsidP="00263E51">
      <w:pPr>
        <w:pStyle w:val="Heading7"/>
      </w:pPr>
      <w:r w:rsidRPr="00B90994">
        <w:t>Randomisation</w:t>
      </w:r>
    </w:p>
    <w:p w14:paraId="7319113C" w14:textId="16C19689" w:rsidR="00F341EC" w:rsidRPr="00B90994" w:rsidRDefault="00063F39" w:rsidP="00B90994">
      <w:r>
        <w:t>Randomisatio</w:t>
      </w:r>
      <w:r w:rsidR="003A4339">
        <w:t>n</w:t>
      </w:r>
      <w:r w:rsidRPr="00B90994">
        <w:t xml:space="preserve"> was conducted using an </w:t>
      </w:r>
      <w:r w:rsidR="008B799E">
        <w:t>i</w:t>
      </w:r>
      <w:r w:rsidRPr="00B90994">
        <w:t xml:space="preserve">nteractive </w:t>
      </w:r>
      <w:r w:rsidR="008B799E">
        <w:t>w</w:t>
      </w:r>
      <w:r w:rsidRPr="00B90994">
        <w:t xml:space="preserve">eb </w:t>
      </w:r>
      <w:r w:rsidR="008B799E">
        <w:t>r</w:t>
      </w:r>
      <w:r w:rsidRPr="00B90994">
        <w:t xml:space="preserve">esponse </w:t>
      </w:r>
      <w:r w:rsidR="008B799E">
        <w:t>s</w:t>
      </w:r>
      <w:r w:rsidRPr="00B90994">
        <w:t xml:space="preserve">ystem on the day of the screening visit. The details of the randomisation method are not entirely </w:t>
      </w:r>
      <w:r w:rsidR="00D12658" w:rsidRPr="00B90994">
        <w:t>clear and</w:t>
      </w:r>
      <w:r w:rsidRPr="00B90994">
        <w:t xml:space="preserve"> may have involved block randomisation rather than simple randomisation.</w:t>
      </w:r>
    </w:p>
    <w:p w14:paraId="23B7315F" w14:textId="5839F45B" w:rsidR="00F341EC" w:rsidRDefault="00063F39" w:rsidP="00B90994">
      <w:r w:rsidRPr="00B90994">
        <w:t xml:space="preserve">Treatment assignments were blinded to the sponsor, participants, investigators, and study staff. Functional monotherapy of </w:t>
      </w:r>
      <w:r w:rsidR="003A4339">
        <w:t>lenacapavir</w:t>
      </w:r>
      <w:r w:rsidRPr="00B90994">
        <w:t xml:space="preserve"> was assessed while participants continued their failing regimen. After each participant completed the Functional Monotherapy Period, the participant’s treatment assignment was unblinded.</w:t>
      </w:r>
    </w:p>
    <w:p w14:paraId="45EDC5AE" w14:textId="1A67D188" w:rsidR="00F341EC" w:rsidRPr="00B90994" w:rsidRDefault="00063F39" w:rsidP="00263E51">
      <w:pPr>
        <w:pStyle w:val="Heading7"/>
      </w:pPr>
      <w:r w:rsidRPr="00B90994">
        <w:t>Treatments</w:t>
      </w:r>
    </w:p>
    <w:p w14:paraId="4DC57894" w14:textId="128AE5B9" w:rsidR="00F341EC" w:rsidRPr="00B90994" w:rsidRDefault="00063F39" w:rsidP="00B90994">
      <w:r w:rsidRPr="006C7DBA">
        <w:rPr>
          <w:rStyle w:val="Heading8Char"/>
        </w:rPr>
        <w:t>Cohort 1:</w:t>
      </w:r>
      <w:r w:rsidRPr="006C7DBA">
        <w:t xml:space="preserve"> Eligible participants with a</w:t>
      </w:r>
      <w:r w:rsidR="006C7DBA" w:rsidRPr="006C7DBA">
        <w:t xml:space="preserve"> less than </w:t>
      </w:r>
      <w:r w:rsidRPr="006C7DBA">
        <w:t>0.5 log</w:t>
      </w:r>
      <w:r w:rsidRPr="006C7DBA">
        <w:rPr>
          <w:vertAlign w:val="subscript"/>
        </w:rPr>
        <w:t>10</w:t>
      </w:r>
      <w:r w:rsidRPr="006C7DBA">
        <w:t xml:space="preserve"> HIV</w:t>
      </w:r>
      <w:r w:rsidR="006D7271" w:rsidRPr="006C7DBA">
        <w:noBreakHyphen/>
      </w:r>
      <w:r w:rsidRPr="006C7DBA">
        <w:t>1 RNA decline compared with the</w:t>
      </w:r>
      <w:r w:rsidRPr="002605A0">
        <w:t xml:space="preserve"> screening</w:t>
      </w:r>
      <w:r w:rsidRPr="00B90994">
        <w:t xml:space="preserve"> visit and HIV</w:t>
      </w:r>
      <w:r w:rsidR="006D7271">
        <w:noBreakHyphen/>
      </w:r>
      <w:r w:rsidRPr="00B90994">
        <w:t xml:space="preserve">1 RNA </w:t>
      </w:r>
      <w:r w:rsidR="003F68B4">
        <w:t>of</w:t>
      </w:r>
      <w:r w:rsidRPr="00B90994">
        <w:t xml:space="preserve"> 400 copies/mL </w:t>
      </w:r>
      <w:r w:rsidR="003F68B4">
        <w:t xml:space="preserve">or higher </w:t>
      </w:r>
      <w:r w:rsidRPr="00B90994">
        <w:t>at the cohort</w:t>
      </w:r>
      <w:r w:rsidR="006D7271">
        <w:noBreakHyphen/>
      </w:r>
      <w:r w:rsidRPr="00B90994">
        <w:t>selection visit were randomised in a 2:1 ratio into Cohort 1A or Cohort 1B.</w:t>
      </w:r>
    </w:p>
    <w:p w14:paraId="2BAFB3D6" w14:textId="4D5FA18B" w:rsidR="00F341EC" w:rsidRPr="00B90994" w:rsidRDefault="00063F39" w:rsidP="00B90994">
      <w:r w:rsidRPr="00281FAE">
        <w:rPr>
          <w:rStyle w:val="Heading8Char"/>
        </w:rPr>
        <w:t xml:space="preserve">Cohort 2: </w:t>
      </w:r>
      <w:r w:rsidRPr="00B90994">
        <w:t>Participants were enrolled into Cohort 2, if Cohort 1 had been fully enrolled or if they did not meet the criteria for Cohort 1 (</w:t>
      </w:r>
      <w:r w:rsidR="00240287">
        <w:t>that is</w:t>
      </w:r>
      <w:r w:rsidRPr="00B90994">
        <w:t>, HIV</w:t>
      </w:r>
      <w:r w:rsidR="006D7271">
        <w:noBreakHyphen/>
      </w:r>
      <w:r w:rsidRPr="00B90994">
        <w:t xml:space="preserve">1 RNA decline </w:t>
      </w:r>
      <w:r w:rsidR="00783CC0">
        <w:t xml:space="preserve">of </w:t>
      </w:r>
      <w:r w:rsidRPr="00B90994">
        <w:t>0.5 log</w:t>
      </w:r>
      <w:r w:rsidRPr="00ED7E7F">
        <w:rPr>
          <w:vertAlign w:val="subscript"/>
        </w:rPr>
        <w:t>10</w:t>
      </w:r>
      <w:r w:rsidR="00783CC0">
        <w:t> </w:t>
      </w:r>
      <w:r w:rsidRPr="00B90994">
        <w:t>copies/mL</w:t>
      </w:r>
      <w:r w:rsidR="00783CC0">
        <w:t xml:space="preserve"> or more</w:t>
      </w:r>
      <w:r w:rsidRPr="00B90994">
        <w:t xml:space="preserve"> compared with the screening visit or HIV</w:t>
      </w:r>
      <w:r w:rsidR="006D7271">
        <w:noBreakHyphen/>
      </w:r>
      <w:r w:rsidRPr="00B90994">
        <w:t xml:space="preserve">1 RNA </w:t>
      </w:r>
      <w:r w:rsidR="00783CC0">
        <w:t>less than</w:t>
      </w:r>
      <w:r w:rsidRPr="00B90994">
        <w:t xml:space="preserve"> 400</w:t>
      </w:r>
      <w:r w:rsidR="00783CC0">
        <w:t> </w:t>
      </w:r>
      <w:r w:rsidRPr="00B90994">
        <w:t>copies/mL at the cohort</w:t>
      </w:r>
      <w:r w:rsidR="006D7271">
        <w:noBreakHyphen/>
      </w:r>
      <w:r w:rsidRPr="00B90994">
        <w:t>selection visit).</w:t>
      </w:r>
    </w:p>
    <w:p w14:paraId="0E92EC11" w14:textId="343797AA" w:rsidR="00F341EC" w:rsidRDefault="00063F39" w:rsidP="00B90994">
      <w:r w:rsidRPr="00B90994">
        <w:t xml:space="preserve">Treatments for each cohort are shown </w:t>
      </w:r>
      <w:r w:rsidR="00783CC0">
        <w:t>below</w:t>
      </w:r>
      <w:r w:rsidRPr="00B90994">
        <w:t>.</w:t>
      </w:r>
    </w:p>
    <w:p w14:paraId="53C22F6C" w14:textId="10DC35B6" w:rsidR="00783CC0" w:rsidRDefault="00063F39" w:rsidP="00783CC0">
      <w:pPr>
        <w:pStyle w:val="TableTitle"/>
      </w:pPr>
      <w:r>
        <w:lastRenderedPageBreak/>
        <w:t xml:space="preserve">Table </w:t>
      </w:r>
      <w:r w:rsidR="00B3560F">
        <w:fldChar w:fldCharType="begin"/>
      </w:r>
      <w:r>
        <w:instrText xml:space="preserve"> SEQ Table \* ARABIC </w:instrText>
      </w:r>
      <w:r w:rsidR="00B3560F">
        <w:fldChar w:fldCharType="separate"/>
      </w:r>
      <w:r w:rsidR="000623A2">
        <w:rPr>
          <w:noProof/>
        </w:rPr>
        <w:t>5</w:t>
      </w:r>
      <w:r w:rsidR="00B3560F">
        <w:rPr>
          <w:noProof/>
        </w:rPr>
        <w:fldChar w:fldCharType="end"/>
      </w:r>
      <w:r>
        <w:t>: Study GS</w:t>
      </w:r>
      <w:r w:rsidR="006D7271">
        <w:noBreakHyphen/>
      </w:r>
      <w:r>
        <w:t>US</w:t>
      </w:r>
      <w:r w:rsidR="006D7271">
        <w:noBreakHyphen/>
      </w:r>
      <w:r>
        <w:t>200</w:t>
      </w:r>
      <w:r w:rsidR="006D7271">
        <w:noBreakHyphen/>
      </w:r>
      <w:r>
        <w:t>4623 (CAPELLA) Treatment by cohort</w:t>
      </w:r>
    </w:p>
    <w:tbl>
      <w:tblPr>
        <w:tblStyle w:val="TableTGAblue2023"/>
        <w:tblW w:w="8926" w:type="dxa"/>
        <w:tblLayout w:type="fixed"/>
        <w:tblLook w:val="04A0" w:firstRow="1" w:lastRow="0" w:firstColumn="1" w:lastColumn="0" w:noHBand="0" w:noVBand="1"/>
      </w:tblPr>
      <w:tblGrid>
        <w:gridCol w:w="1696"/>
        <w:gridCol w:w="2268"/>
        <w:gridCol w:w="2552"/>
        <w:gridCol w:w="2410"/>
      </w:tblGrid>
      <w:tr w:rsidR="00345E6F" w14:paraId="672F9A27" w14:textId="77777777" w:rsidTr="00345E6F">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263287"/>
              <w:left w:val="single" w:sz="4" w:space="0" w:color="263287"/>
              <w:bottom w:val="single" w:sz="4" w:space="0" w:color="263287"/>
              <w:right w:val="single" w:sz="4" w:space="0" w:color="263287"/>
            </w:tcBorders>
          </w:tcPr>
          <w:p w14:paraId="4D718C28" w14:textId="7268A810" w:rsidR="00783CC0" w:rsidRDefault="00783CC0" w:rsidP="00487DE5"/>
        </w:tc>
        <w:tc>
          <w:tcPr>
            <w:tcW w:w="2268" w:type="dxa"/>
            <w:tcBorders>
              <w:top w:val="single" w:sz="4" w:space="0" w:color="263287"/>
              <w:left w:val="single" w:sz="4" w:space="0" w:color="263287"/>
              <w:bottom w:val="single" w:sz="4" w:space="0" w:color="263287"/>
              <w:right w:val="single" w:sz="4" w:space="0" w:color="263287"/>
            </w:tcBorders>
            <w:vAlign w:val="center"/>
          </w:tcPr>
          <w:p w14:paraId="5624340D" w14:textId="24822E53" w:rsidR="00783CC0" w:rsidRDefault="00063F39" w:rsidP="00487DE5">
            <w:pPr>
              <w:jc w:val="center"/>
              <w:cnfStyle w:val="100000000000" w:firstRow="1" w:lastRow="0" w:firstColumn="0" w:lastColumn="0" w:oddVBand="0" w:evenVBand="0" w:oddHBand="0" w:evenHBand="0" w:firstRowFirstColumn="0" w:firstRowLastColumn="0" w:lastRowFirstColumn="0" w:lastRowLastColumn="0"/>
            </w:pPr>
            <w:r w:rsidRPr="00A066B4">
              <w:t>Cohort 1A (n</w:t>
            </w:r>
            <w:r w:rsidR="006E0142">
              <w:t> </w:t>
            </w:r>
            <w:r w:rsidRPr="00A066B4">
              <w:t>=</w:t>
            </w:r>
            <w:r w:rsidR="006E0142">
              <w:t> </w:t>
            </w:r>
            <w:r w:rsidRPr="00A066B4">
              <w:t>24</w:t>
            </w:r>
            <w:r w:rsidR="00487FEC" w:rsidRPr="00487FEC">
              <w:rPr>
                <w:vertAlign w:val="superscript"/>
              </w:rPr>
              <w:t>†</w:t>
            </w:r>
            <w:r w:rsidRPr="00A066B4">
              <w:t>)</w:t>
            </w:r>
          </w:p>
        </w:tc>
        <w:tc>
          <w:tcPr>
            <w:tcW w:w="2552" w:type="dxa"/>
            <w:tcBorders>
              <w:top w:val="single" w:sz="4" w:space="0" w:color="263287"/>
              <w:left w:val="single" w:sz="4" w:space="0" w:color="263287"/>
              <w:bottom w:val="single" w:sz="4" w:space="0" w:color="263287"/>
              <w:right w:val="single" w:sz="4" w:space="0" w:color="263287"/>
            </w:tcBorders>
            <w:vAlign w:val="center"/>
          </w:tcPr>
          <w:p w14:paraId="45EDAEFD" w14:textId="47CFB9B6" w:rsidR="00783CC0" w:rsidRDefault="00063F39" w:rsidP="00487DE5">
            <w:pPr>
              <w:jc w:val="center"/>
              <w:cnfStyle w:val="100000000000" w:firstRow="1" w:lastRow="0" w:firstColumn="0" w:lastColumn="0" w:oddVBand="0" w:evenVBand="0" w:oddHBand="0" w:evenHBand="0" w:firstRowFirstColumn="0" w:firstRowLastColumn="0" w:lastRowFirstColumn="0" w:lastRowLastColumn="0"/>
            </w:pPr>
            <w:r w:rsidRPr="00A066B4">
              <w:t>Cohort 1B (n</w:t>
            </w:r>
            <w:r w:rsidR="006E0142">
              <w:t> </w:t>
            </w:r>
            <w:r w:rsidRPr="00A066B4">
              <w:t>=</w:t>
            </w:r>
            <w:r w:rsidR="006E0142">
              <w:t> </w:t>
            </w:r>
            <w:r w:rsidRPr="00A066B4">
              <w:t>12</w:t>
            </w:r>
            <w:r w:rsidR="00487FEC" w:rsidRPr="00487FEC">
              <w:rPr>
                <w:vertAlign w:val="superscript"/>
              </w:rPr>
              <w:t>†</w:t>
            </w:r>
            <w:r w:rsidRPr="00A066B4">
              <w:t>)</w:t>
            </w:r>
          </w:p>
        </w:tc>
        <w:tc>
          <w:tcPr>
            <w:tcW w:w="2410" w:type="dxa"/>
            <w:tcBorders>
              <w:top w:val="single" w:sz="4" w:space="0" w:color="263287"/>
              <w:left w:val="single" w:sz="4" w:space="0" w:color="263287"/>
              <w:bottom w:val="single" w:sz="4" w:space="0" w:color="263287"/>
              <w:right w:val="single" w:sz="4" w:space="0" w:color="263287"/>
            </w:tcBorders>
            <w:vAlign w:val="center"/>
          </w:tcPr>
          <w:p w14:paraId="4A5EF8B3" w14:textId="30FDD8D5" w:rsidR="00783CC0" w:rsidRDefault="00063F39" w:rsidP="00487DE5">
            <w:pPr>
              <w:jc w:val="center"/>
              <w:cnfStyle w:val="100000000000" w:firstRow="1" w:lastRow="0" w:firstColumn="0" w:lastColumn="0" w:oddVBand="0" w:evenVBand="0" w:oddHBand="0" w:evenHBand="0" w:firstRowFirstColumn="0" w:firstRowLastColumn="0" w:lastRowFirstColumn="0" w:lastRowLastColumn="0"/>
            </w:pPr>
            <w:r w:rsidRPr="00A066B4">
              <w:t>Cohort 2 (n</w:t>
            </w:r>
            <w:r w:rsidR="006E0142">
              <w:t> </w:t>
            </w:r>
            <w:r w:rsidRPr="00A066B4">
              <w:t>=</w:t>
            </w:r>
            <w:r w:rsidR="006E0142">
              <w:t> </w:t>
            </w:r>
            <w:r w:rsidRPr="00A066B4">
              <w:t>36</w:t>
            </w:r>
            <w:r w:rsidR="00487FEC" w:rsidRPr="00487FEC">
              <w:rPr>
                <w:vertAlign w:val="superscript"/>
              </w:rPr>
              <w:t>†</w:t>
            </w:r>
            <w:r w:rsidRPr="00A066B4">
              <w:t>)</w:t>
            </w:r>
          </w:p>
        </w:tc>
      </w:tr>
      <w:tr w:rsidR="00345E6F" w14:paraId="605E654B"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263287"/>
              <w:left w:val="single" w:sz="4" w:space="0" w:color="263287"/>
              <w:bottom w:val="single" w:sz="4" w:space="0" w:color="263287"/>
              <w:right w:val="single" w:sz="4" w:space="0" w:color="263287"/>
            </w:tcBorders>
          </w:tcPr>
          <w:p w14:paraId="3948844A" w14:textId="22C86E6A" w:rsidR="00783CC0" w:rsidRDefault="00063F39" w:rsidP="00A066B4">
            <w:r w:rsidRPr="00A066B4">
              <w:t>Functional Monotherapy Period</w:t>
            </w:r>
          </w:p>
        </w:tc>
        <w:tc>
          <w:tcPr>
            <w:tcW w:w="2268" w:type="dxa"/>
            <w:tcBorders>
              <w:top w:val="single" w:sz="4" w:space="0" w:color="263287"/>
              <w:left w:val="single" w:sz="4" w:space="0" w:color="263287"/>
              <w:bottom w:val="single" w:sz="4" w:space="0" w:color="263287"/>
              <w:right w:val="single" w:sz="4" w:space="0" w:color="263287"/>
            </w:tcBorders>
            <w:vAlign w:val="center"/>
          </w:tcPr>
          <w:p w14:paraId="7BE7AC87" w14:textId="7E143B20" w:rsidR="00783CC0" w:rsidRPr="00A066B4" w:rsidRDefault="00063F39" w:rsidP="00A066B4">
            <w:pPr>
              <w:cnfStyle w:val="000000000000" w:firstRow="0" w:lastRow="0" w:firstColumn="0" w:lastColumn="0" w:oddVBand="0" w:evenVBand="0" w:oddHBand="0" w:evenHBand="0" w:firstRowFirstColumn="0" w:firstRowLastColumn="0" w:lastRowFirstColumn="0" w:lastRowLastColumn="0"/>
            </w:pPr>
            <w:r w:rsidRPr="00A066B4">
              <w:t xml:space="preserve">Oral </w:t>
            </w:r>
            <w:r w:rsidR="003A4339">
              <w:t>lenacapavir</w:t>
            </w:r>
            <w:r w:rsidRPr="00A066B4">
              <w:t xml:space="preserve"> 600</w:t>
            </w:r>
            <w:r>
              <w:t> </w:t>
            </w:r>
            <w:r w:rsidRPr="00A066B4">
              <w:t>mg on Days 1 and 2 and 300</w:t>
            </w:r>
            <w:r>
              <w:t> </w:t>
            </w:r>
            <w:r w:rsidRPr="00A066B4">
              <w:t>mg on Day 8 + failing regimen</w:t>
            </w:r>
          </w:p>
        </w:tc>
        <w:tc>
          <w:tcPr>
            <w:tcW w:w="2552" w:type="dxa"/>
            <w:tcBorders>
              <w:top w:val="single" w:sz="4" w:space="0" w:color="263287"/>
              <w:left w:val="single" w:sz="4" w:space="0" w:color="263287"/>
              <w:bottom w:val="single" w:sz="4" w:space="0" w:color="263287"/>
              <w:right w:val="single" w:sz="4" w:space="0" w:color="263287"/>
            </w:tcBorders>
            <w:vAlign w:val="center"/>
          </w:tcPr>
          <w:p w14:paraId="1BD52BF7" w14:textId="77777777" w:rsidR="00A066B4" w:rsidRPr="00A066B4" w:rsidRDefault="00063F39" w:rsidP="00A066B4">
            <w:pPr>
              <w:cnfStyle w:val="000000000000" w:firstRow="0" w:lastRow="0" w:firstColumn="0" w:lastColumn="0" w:oddVBand="0" w:evenVBand="0" w:oddHBand="0" w:evenHBand="0" w:firstRowFirstColumn="0" w:firstRowLastColumn="0" w:lastRowFirstColumn="0" w:lastRowLastColumn="0"/>
            </w:pPr>
            <w:r w:rsidRPr="00A066B4">
              <w:t>Placebo on Days 1, 2, and 8 + failing regimen</w:t>
            </w:r>
          </w:p>
          <w:p w14:paraId="01D2B3BA" w14:textId="77777777" w:rsidR="00783CC0" w:rsidRPr="00A066B4" w:rsidRDefault="00783CC0" w:rsidP="00A066B4">
            <w:pPr>
              <w:cnfStyle w:val="000000000000" w:firstRow="0" w:lastRow="0" w:firstColumn="0" w:lastColumn="0" w:oddVBand="0" w:evenVBand="0" w:oddHBand="0" w:evenHBand="0" w:firstRowFirstColumn="0" w:firstRowLastColumn="0" w:lastRowFirstColumn="0" w:lastRowLastColumn="0"/>
            </w:pPr>
          </w:p>
        </w:tc>
        <w:tc>
          <w:tcPr>
            <w:tcW w:w="2410" w:type="dxa"/>
            <w:tcBorders>
              <w:top w:val="single" w:sz="4" w:space="0" w:color="263287"/>
              <w:left w:val="single" w:sz="4" w:space="0" w:color="263287"/>
              <w:bottom w:val="single" w:sz="4" w:space="0" w:color="263287"/>
              <w:right w:val="single" w:sz="4" w:space="0" w:color="263287"/>
            </w:tcBorders>
            <w:vAlign w:val="center"/>
          </w:tcPr>
          <w:p w14:paraId="0B45A3A4" w14:textId="777EA6C1" w:rsidR="00783CC0" w:rsidRPr="00A066B4" w:rsidRDefault="00063F39" w:rsidP="00A066B4">
            <w:pPr>
              <w:cnfStyle w:val="000000000000" w:firstRow="0" w:lastRow="0" w:firstColumn="0" w:lastColumn="0" w:oddVBand="0" w:evenVBand="0" w:oddHBand="0" w:evenHBand="0" w:firstRowFirstColumn="0" w:firstRowLastColumn="0" w:lastRowFirstColumn="0" w:lastRowLastColumn="0"/>
            </w:pPr>
            <w:r>
              <w:noBreakHyphen/>
            </w:r>
            <w:r>
              <w:noBreakHyphen/>
            </w:r>
            <w:r>
              <w:noBreakHyphen/>
            </w:r>
          </w:p>
        </w:tc>
      </w:tr>
      <w:tr w:rsidR="00345E6F" w14:paraId="31ADD7A2"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263287"/>
              <w:left w:val="single" w:sz="4" w:space="0" w:color="263287"/>
              <w:bottom w:val="single" w:sz="4" w:space="0" w:color="263287"/>
              <w:right w:val="single" w:sz="4" w:space="0" w:color="263287"/>
            </w:tcBorders>
          </w:tcPr>
          <w:p w14:paraId="792C57AC" w14:textId="5D0701DE" w:rsidR="00783CC0" w:rsidRDefault="00063F39" w:rsidP="00A066B4">
            <w:r w:rsidRPr="00A066B4">
              <w:t>Oral Lead</w:t>
            </w:r>
            <w:r w:rsidR="006D7271">
              <w:noBreakHyphen/>
            </w:r>
            <w:r w:rsidRPr="00A066B4">
              <w:t>in Period</w:t>
            </w:r>
          </w:p>
        </w:tc>
        <w:tc>
          <w:tcPr>
            <w:tcW w:w="2268" w:type="dxa"/>
            <w:tcBorders>
              <w:top w:val="single" w:sz="4" w:space="0" w:color="263287"/>
              <w:left w:val="single" w:sz="4" w:space="0" w:color="263287"/>
              <w:bottom w:val="single" w:sz="4" w:space="0" w:color="263287"/>
              <w:right w:val="single" w:sz="4" w:space="0" w:color="263287"/>
            </w:tcBorders>
            <w:vAlign w:val="center"/>
          </w:tcPr>
          <w:p w14:paraId="0437ACF2" w14:textId="3023722C" w:rsidR="00783CC0" w:rsidRPr="00A066B4" w:rsidRDefault="00063F39" w:rsidP="00A066B4">
            <w:pPr>
              <w:cnfStyle w:val="000000000000" w:firstRow="0" w:lastRow="0" w:firstColumn="0" w:lastColumn="0" w:oddVBand="0" w:evenVBand="0" w:oddHBand="0" w:evenHBand="0" w:firstRowFirstColumn="0" w:firstRowLastColumn="0" w:lastRowFirstColumn="0" w:lastRowLastColumn="0"/>
            </w:pPr>
            <w:r>
              <w:noBreakHyphen/>
            </w:r>
            <w:r>
              <w:noBreakHyphen/>
            </w:r>
            <w:r>
              <w:noBreakHyphen/>
            </w:r>
          </w:p>
        </w:tc>
        <w:tc>
          <w:tcPr>
            <w:tcW w:w="2552" w:type="dxa"/>
            <w:tcBorders>
              <w:top w:val="single" w:sz="4" w:space="0" w:color="263287"/>
              <w:left w:val="single" w:sz="4" w:space="0" w:color="263287"/>
              <w:bottom w:val="single" w:sz="4" w:space="0" w:color="263287"/>
              <w:right w:val="single" w:sz="4" w:space="0" w:color="263287"/>
            </w:tcBorders>
            <w:vAlign w:val="center"/>
          </w:tcPr>
          <w:p w14:paraId="66F25FD5" w14:textId="6D2F7DF7" w:rsidR="00783CC0" w:rsidRPr="00A066B4" w:rsidRDefault="00063F39" w:rsidP="00A066B4">
            <w:pPr>
              <w:cnfStyle w:val="000000000000" w:firstRow="0" w:lastRow="0" w:firstColumn="0" w:lastColumn="0" w:oddVBand="0" w:evenVBand="0" w:oddHBand="0" w:evenHBand="0" w:firstRowFirstColumn="0" w:firstRowLastColumn="0" w:lastRowFirstColumn="0" w:lastRowLastColumn="0"/>
            </w:pPr>
            <w:r>
              <w:noBreakHyphen/>
            </w:r>
            <w:r>
              <w:noBreakHyphen/>
            </w:r>
            <w:r>
              <w:noBreakHyphen/>
            </w:r>
          </w:p>
        </w:tc>
        <w:tc>
          <w:tcPr>
            <w:tcW w:w="2410" w:type="dxa"/>
            <w:tcBorders>
              <w:top w:val="single" w:sz="4" w:space="0" w:color="263287"/>
              <w:left w:val="single" w:sz="4" w:space="0" w:color="263287"/>
              <w:bottom w:val="single" w:sz="4" w:space="0" w:color="263287"/>
              <w:right w:val="single" w:sz="4" w:space="0" w:color="263287"/>
            </w:tcBorders>
            <w:vAlign w:val="center"/>
          </w:tcPr>
          <w:p w14:paraId="7B5356C0" w14:textId="08D1B659" w:rsidR="00783CC0" w:rsidRPr="00A066B4" w:rsidRDefault="00063F39" w:rsidP="00A066B4">
            <w:pPr>
              <w:cnfStyle w:val="000000000000" w:firstRow="0" w:lastRow="0" w:firstColumn="0" w:lastColumn="0" w:oddVBand="0" w:evenVBand="0" w:oddHBand="0" w:evenHBand="0" w:firstRowFirstColumn="0" w:firstRowLastColumn="0" w:lastRowFirstColumn="0" w:lastRowLastColumn="0"/>
            </w:pPr>
            <w:r w:rsidRPr="00A066B4">
              <w:t xml:space="preserve">Oral </w:t>
            </w:r>
            <w:r w:rsidR="003A4339">
              <w:t>lenacapavir</w:t>
            </w:r>
            <w:r w:rsidRPr="00A066B4">
              <w:t xml:space="preserve"> 600</w:t>
            </w:r>
            <w:r>
              <w:t> </w:t>
            </w:r>
            <w:r w:rsidRPr="00A066B4">
              <w:t>mg on Days 1 and 2 and 300</w:t>
            </w:r>
            <w:r>
              <w:t> </w:t>
            </w:r>
            <w:r w:rsidRPr="00A066B4">
              <w:t>mg on Day 8 + OBR</w:t>
            </w:r>
          </w:p>
        </w:tc>
      </w:tr>
      <w:tr w:rsidR="00345E6F" w14:paraId="39BC54F5"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263287"/>
              <w:left w:val="single" w:sz="4" w:space="0" w:color="263287"/>
              <w:right w:val="single" w:sz="4" w:space="0" w:color="263287"/>
            </w:tcBorders>
          </w:tcPr>
          <w:p w14:paraId="2839B983" w14:textId="0EADBA4B" w:rsidR="00A066B4" w:rsidRDefault="00063F39" w:rsidP="00A066B4">
            <w:r w:rsidRPr="00A066B4">
              <w:t>Maintenance Period</w:t>
            </w:r>
          </w:p>
        </w:tc>
        <w:tc>
          <w:tcPr>
            <w:tcW w:w="2268" w:type="dxa"/>
            <w:tcBorders>
              <w:top w:val="single" w:sz="4" w:space="0" w:color="263287"/>
              <w:left w:val="single" w:sz="4" w:space="0" w:color="263287"/>
              <w:bottom w:val="single" w:sz="4" w:space="0" w:color="263287"/>
              <w:right w:val="single" w:sz="4" w:space="0" w:color="263287"/>
            </w:tcBorders>
            <w:vAlign w:val="center"/>
          </w:tcPr>
          <w:p w14:paraId="019A8312" w14:textId="458EF5A5" w:rsidR="00A066B4" w:rsidRPr="00A066B4" w:rsidRDefault="00063F39" w:rsidP="00A066B4">
            <w:pPr>
              <w:cnfStyle w:val="000000000000" w:firstRow="0" w:lastRow="0" w:firstColumn="0" w:lastColumn="0" w:oddVBand="0" w:evenVBand="0" w:oddHBand="0" w:evenHBand="0" w:firstRowFirstColumn="0" w:firstRowLastColumn="0" w:lastRowFirstColumn="0" w:lastRowLastColumn="0"/>
            </w:pPr>
            <w:r>
              <w:noBreakHyphen/>
            </w:r>
            <w:r>
              <w:noBreakHyphen/>
            </w:r>
            <w:r>
              <w:noBreakHyphen/>
            </w:r>
          </w:p>
        </w:tc>
        <w:tc>
          <w:tcPr>
            <w:tcW w:w="2552" w:type="dxa"/>
            <w:tcBorders>
              <w:top w:val="single" w:sz="4" w:space="0" w:color="263287"/>
              <w:left w:val="single" w:sz="4" w:space="0" w:color="263287"/>
              <w:bottom w:val="single" w:sz="4" w:space="0" w:color="263287"/>
              <w:right w:val="single" w:sz="4" w:space="0" w:color="263287"/>
            </w:tcBorders>
            <w:vAlign w:val="center"/>
          </w:tcPr>
          <w:p w14:paraId="1FA2E9D6" w14:textId="5AEEA284" w:rsidR="00A066B4" w:rsidRPr="00A066B4" w:rsidRDefault="00063F39" w:rsidP="00A066B4">
            <w:pPr>
              <w:cnfStyle w:val="000000000000" w:firstRow="0" w:lastRow="0" w:firstColumn="0" w:lastColumn="0" w:oddVBand="0" w:evenVBand="0" w:oddHBand="0" w:evenHBand="0" w:firstRowFirstColumn="0" w:firstRowLastColumn="0" w:lastRowFirstColumn="0" w:lastRowLastColumn="0"/>
            </w:pPr>
            <w:r w:rsidRPr="00A066B4">
              <w:t xml:space="preserve">Oral </w:t>
            </w:r>
            <w:r w:rsidR="003A4339">
              <w:t>lenacapavir</w:t>
            </w:r>
            <w:r w:rsidRPr="00A066B4">
              <w:t xml:space="preserve"> 600</w:t>
            </w:r>
            <w:r>
              <w:t> </w:t>
            </w:r>
            <w:r w:rsidRPr="00A066B4">
              <w:t>mg on Days 15 and 16 and 300</w:t>
            </w:r>
            <w:r>
              <w:t> </w:t>
            </w:r>
            <w:r w:rsidRPr="00A066B4">
              <w:t>mg on Day 22</w:t>
            </w:r>
          </w:p>
        </w:tc>
        <w:tc>
          <w:tcPr>
            <w:tcW w:w="2410" w:type="dxa"/>
            <w:tcBorders>
              <w:top w:val="single" w:sz="4" w:space="0" w:color="263287"/>
              <w:left w:val="single" w:sz="4" w:space="0" w:color="263287"/>
              <w:bottom w:val="single" w:sz="4" w:space="0" w:color="263287"/>
              <w:right w:val="single" w:sz="4" w:space="0" w:color="263287"/>
            </w:tcBorders>
            <w:vAlign w:val="center"/>
          </w:tcPr>
          <w:p w14:paraId="47F1753C" w14:textId="7AE8FC0C" w:rsidR="00A066B4" w:rsidRPr="00A066B4" w:rsidRDefault="00063F39" w:rsidP="00A066B4">
            <w:pPr>
              <w:cnfStyle w:val="000000000000" w:firstRow="0" w:lastRow="0" w:firstColumn="0" w:lastColumn="0" w:oddVBand="0" w:evenVBand="0" w:oddHBand="0" w:evenHBand="0" w:firstRowFirstColumn="0" w:firstRowLastColumn="0" w:lastRowFirstColumn="0" w:lastRowLastColumn="0"/>
            </w:pPr>
            <w:r>
              <w:noBreakHyphen/>
            </w:r>
            <w:r>
              <w:noBreakHyphen/>
            </w:r>
            <w:r>
              <w:noBreakHyphen/>
            </w:r>
          </w:p>
        </w:tc>
      </w:tr>
      <w:tr w:rsidR="00345E6F" w14:paraId="0BBEBD1A"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1696" w:type="dxa"/>
            <w:vMerge/>
            <w:tcBorders>
              <w:left w:val="single" w:sz="4" w:space="0" w:color="263287"/>
              <w:bottom w:val="single" w:sz="4" w:space="0" w:color="263287"/>
              <w:right w:val="single" w:sz="4" w:space="0" w:color="263287"/>
            </w:tcBorders>
          </w:tcPr>
          <w:p w14:paraId="427AA5DF" w14:textId="77777777" w:rsidR="00A066B4" w:rsidRPr="00A066B4" w:rsidRDefault="00A066B4" w:rsidP="00A066B4"/>
        </w:tc>
        <w:tc>
          <w:tcPr>
            <w:tcW w:w="2268" w:type="dxa"/>
            <w:tcBorders>
              <w:top w:val="single" w:sz="4" w:space="0" w:color="263287"/>
              <w:left w:val="single" w:sz="4" w:space="0" w:color="263287"/>
              <w:bottom w:val="single" w:sz="4" w:space="0" w:color="263287"/>
              <w:right w:val="single" w:sz="4" w:space="0" w:color="263287"/>
            </w:tcBorders>
            <w:vAlign w:val="center"/>
          </w:tcPr>
          <w:p w14:paraId="763A4356" w14:textId="41EB0980" w:rsidR="00A066B4" w:rsidRPr="00A066B4" w:rsidRDefault="00063F39" w:rsidP="00A066B4">
            <w:pPr>
              <w:cnfStyle w:val="000000000000" w:firstRow="0" w:lastRow="0" w:firstColumn="0" w:lastColumn="0" w:oddVBand="0" w:evenVBand="0" w:oddHBand="0" w:evenHBand="0" w:firstRowFirstColumn="0" w:firstRowLastColumn="0" w:lastRowFirstColumn="0" w:lastRowLastColumn="0"/>
            </w:pPr>
            <w:r w:rsidRPr="00A066B4">
              <w:t xml:space="preserve">SC </w:t>
            </w:r>
            <w:r w:rsidR="003A4339">
              <w:t>lenacapavir</w:t>
            </w:r>
            <w:r w:rsidRPr="00A066B4">
              <w:t xml:space="preserve"> injection 927</w:t>
            </w:r>
            <w:r>
              <w:t> </w:t>
            </w:r>
            <w:r w:rsidRPr="00A066B4">
              <w:t>mg on Day 1* SC and every 6</w:t>
            </w:r>
            <w:r>
              <w:t> </w:t>
            </w:r>
            <w:r w:rsidRPr="00A066B4">
              <w:t>months (26</w:t>
            </w:r>
            <w:r>
              <w:t> </w:t>
            </w:r>
            <w:r w:rsidRPr="00A066B4">
              <w:t>weeks) thereafter + OBR</w:t>
            </w:r>
          </w:p>
        </w:tc>
        <w:tc>
          <w:tcPr>
            <w:tcW w:w="2552" w:type="dxa"/>
            <w:tcBorders>
              <w:top w:val="single" w:sz="4" w:space="0" w:color="263287"/>
              <w:left w:val="single" w:sz="4" w:space="0" w:color="263287"/>
              <w:bottom w:val="single" w:sz="4" w:space="0" w:color="263287"/>
              <w:right w:val="single" w:sz="4" w:space="0" w:color="263287"/>
            </w:tcBorders>
            <w:vAlign w:val="center"/>
          </w:tcPr>
          <w:p w14:paraId="34362697" w14:textId="3504D550" w:rsidR="00A066B4" w:rsidRPr="00A066B4" w:rsidRDefault="00063F39" w:rsidP="00A066B4">
            <w:pPr>
              <w:cnfStyle w:val="000000000000" w:firstRow="0" w:lastRow="0" w:firstColumn="0" w:lastColumn="0" w:oddVBand="0" w:evenVBand="0" w:oddHBand="0" w:evenHBand="0" w:firstRowFirstColumn="0" w:firstRowLastColumn="0" w:lastRowFirstColumn="0" w:lastRowLastColumn="0"/>
            </w:pPr>
            <w:r w:rsidRPr="00A066B4">
              <w:t xml:space="preserve">SC </w:t>
            </w:r>
            <w:r w:rsidR="003A4339">
              <w:t>lenacapavir</w:t>
            </w:r>
            <w:r w:rsidRPr="00A066B4">
              <w:t xml:space="preserve"> injection 927</w:t>
            </w:r>
            <w:r>
              <w:t> </w:t>
            </w:r>
            <w:r w:rsidRPr="00A066B4">
              <w:t>mg on Day 1* SC and every 6</w:t>
            </w:r>
            <w:r>
              <w:t> </w:t>
            </w:r>
            <w:r w:rsidRPr="00A066B4">
              <w:t>months (26</w:t>
            </w:r>
            <w:r>
              <w:t> </w:t>
            </w:r>
            <w:r w:rsidRPr="00A066B4">
              <w:t>weeks) thereafter + OBR</w:t>
            </w:r>
          </w:p>
        </w:tc>
        <w:tc>
          <w:tcPr>
            <w:tcW w:w="2410" w:type="dxa"/>
            <w:tcBorders>
              <w:top w:val="single" w:sz="4" w:space="0" w:color="263287"/>
              <w:left w:val="single" w:sz="4" w:space="0" w:color="263287"/>
              <w:bottom w:val="single" w:sz="4" w:space="0" w:color="263287"/>
              <w:right w:val="single" w:sz="4" w:space="0" w:color="263287"/>
            </w:tcBorders>
            <w:vAlign w:val="center"/>
          </w:tcPr>
          <w:p w14:paraId="1C733B82" w14:textId="3F2AF46B" w:rsidR="00A066B4" w:rsidRPr="00A066B4" w:rsidRDefault="00063F39" w:rsidP="00A066B4">
            <w:pPr>
              <w:cnfStyle w:val="000000000000" w:firstRow="0" w:lastRow="0" w:firstColumn="0" w:lastColumn="0" w:oddVBand="0" w:evenVBand="0" w:oddHBand="0" w:evenHBand="0" w:firstRowFirstColumn="0" w:firstRowLastColumn="0" w:lastRowFirstColumn="0" w:lastRowLastColumn="0"/>
            </w:pPr>
            <w:r w:rsidRPr="00A066B4">
              <w:t xml:space="preserve">SC </w:t>
            </w:r>
            <w:r w:rsidR="003A4339">
              <w:t>lenacapavir</w:t>
            </w:r>
            <w:r w:rsidRPr="00A066B4">
              <w:t xml:space="preserve"> injection 927</w:t>
            </w:r>
            <w:r>
              <w:t> </w:t>
            </w:r>
            <w:r w:rsidRPr="00A066B4">
              <w:t>mg on Day 1 SC* and every 6</w:t>
            </w:r>
            <w:r>
              <w:t> </w:t>
            </w:r>
            <w:r w:rsidRPr="00A066B4">
              <w:t>months (26</w:t>
            </w:r>
            <w:r>
              <w:t> </w:t>
            </w:r>
            <w:r w:rsidRPr="00A066B4">
              <w:t>weeks) thereafter + OBR</w:t>
            </w:r>
          </w:p>
        </w:tc>
      </w:tr>
    </w:tbl>
    <w:p w14:paraId="1FB2301C" w14:textId="3B4AB84C" w:rsidR="00783CC0" w:rsidRDefault="00063F39" w:rsidP="00487FEC">
      <w:pPr>
        <w:pStyle w:val="TableDescription"/>
      </w:pPr>
      <w:r>
        <w:t>Abbreviations: n</w:t>
      </w:r>
      <w:r w:rsidR="00463708">
        <w:t> </w:t>
      </w:r>
      <w:r>
        <w:t>=</w:t>
      </w:r>
      <w:r w:rsidR="00463708">
        <w:t> </w:t>
      </w:r>
      <w:r>
        <w:t>number of participants; OBR</w:t>
      </w:r>
      <w:r w:rsidR="00463708">
        <w:t> </w:t>
      </w:r>
      <w:r>
        <w:t>=</w:t>
      </w:r>
      <w:r w:rsidR="00463708">
        <w:t> </w:t>
      </w:r>
      <w:r>
        <w:t>optimised background regimen; SC</w:t>
      </w:r>
      <w:r w:rsidR="00463708">
        <w:t> </w:t>
      </w:r>
      <w:r>
        <w:t>=</w:t>
      </w:r>
      <w:r w:rsidR="00463708">
        <w:t> </w:t>
      </w:r>
      <w:r>
        <w:t>subcutaneous.</w:t>
      </w:r>
    </w:p>
    <w:p w14:paraId="16656D2C" w14:textId="19EFFBB4" w:rsidR="00A066B4" w:rsidRPr="00487FEC" w:rsidRDefault="00063F39" w:rsidP="00487FEC">
      <w:pPr>
        <w:pStyle w:val="TableDescription"/>
        <w:rPr>
          <w:sz w:val="20"/>
          <w:szCs w:val="20"/>
        </w:rPr>
      </w:pPr>
      <w:r w:rsidRPr="00487FEC">
        <w:rPr>
          <w:sz w:val="20"/>
          <w:szCs w:val="20"/>
        </w:rPr>
        <w:t xml:space="preserve">*SC Day 1 was 14 days after the first dose of oral </w:t>
      </w:r>
      <w:r w:rsidR="003A4339">
        <w:rPr>
          <w:sz w:val="20"/>
          <w:szCs w:val="20"/>
        </w:rPr>
        <w:t>lenacapavir</w:t>
      </w:r>
    </w:p>
    <w:p w14:paraId="4C19E7D5" w14:textId="0962F91B" w:rsidR="00A066B4" w:rsidRPr="00C06864" w:rsidRDefault="00063F39" w:rsidP="00487FEC">
      <w:pPr>
        <w:pStyle w:val="TableDescription"/>
        <w:rPr>
          <w:sz w:val="20"/>
          <w:szCs w:val="20"/>
        </w:rPr>
      </w:pPr>
      <w:r w:rsidRPr="00487FEC">
        <w:rPr>
          <w:vertAlign w:val="superscript"/>
        </w:rPr>
        <w:t>†</w:t>
      </w:r>
      <w:r>
        <w:rPr>
          <w:sz w:val="20"/>
          <w:szCs w:val="20"/>
        </w:rPr>
        <w:t>Planned numbers</w:t>
      </w:r>
    </w:p>
    <w:p w14:paraId="221EE354" w14:textId="2E5B7CF9" w:rsidR="00F341EC" w:rsidRPr="00F01F61" w:rsidRDefault="00063F39" w:rsidP="00487FEC">
      <w:pPr>
        <w:rPr>
          <w:rFonts w:cs="TimesNewRomanPSMT"/>
          <w:lang w:val="en-US"/>
        </w:rPr>
      </w:pPr>
      <w:r w:rsidRPr="00DF08E7">
        <w:rPr>
          <w:rFonts w:cs="TimesNewRomanPSMT"/>
          <w:lang w:val="en-US"/>
        </w:rPr>
        <w:t>Participants were to be treated for at least 54</w:t>
      </w:r>
      <w:r w:rsidR="00487FEC">
        <w:rPr>
          <w:rFonts w:cs="TimesNewRomanPSMT"/>
          <w:lang w:val="en-US"/>
        </w:rPr>
        <w:t> </w:t>
      </w:r>
      <w:r w:rsidRPr="00DF08E7">
        <w:rPr>
          <w:rFonts w:cs="TimesNewRomanPSMT"/>
          <w:lang w:val="en-US"/>
        </w:rPr>
        <w:t>weeks</w:t>
      </w:r>
      <w:r>
        <w:rPr>
          <w:rFonts w:cs="TimesNewRomanPSMT"/>
          <w:lang w:val="en-US"/>
        </w:rPr>
        <w:t xml:space="preserve"> and, if successful, given the option to continue with the treatment of </w:t>
      </w:r>
      <w:r w:rsidRPr="00522377">
        <w:rPr>
          <w:rFonts w:cs="TimesNewRomanPSMT"/>
          <w:lang w:val="en-US"/>
        </w:rPr>
        <w:t xml:space="preserve">SC </w:t>
      </w:r>
      <w:r w:rsidR="003A4339">
        <w:rPr>
          <w:rFonts w:cs="TimesNewRomanPSMT"/>
          <w:lang w:val="en-US"/>
        </w:rPr>
        <w:t>lenacapavir</w:t>
      </w:r>
      <w:r>
        <w:rPr>
          <w:rFonts w:cs="TimesNewRomanPSMT"/>
          <w:lang w:val="en-US"/>
        </w:rPr>
        <w:t xml:space="preserve"> </w:t>
      </w:r>
      <w:r w:rsidRPr="00522377">
        <w:rPr>
          <w:rFonts w:cs="TimesNewRomanPSMT"/>
          <w:lang w:val="en-US"/>
        </w:rPr>
        <w:t>927</w:t>
      </w:r>
      <w:r w:rsidR="00487FEC">
        <w:rPr>
          <w:rFonts w:cs="TimesNewRomanPSMT"/>
          <w:lang w:val="en-US"/>
        </w:rPr>
        <w:t> </w:t>
      </w:r>
      <w:r w:rsidRPr="00522377">
        <w:rPr>
          <w:rFonts w:cs="TimesNewRomanPSMT"/>
          <w:lang w:val="en-US"/>
        </w:rPr>
        <w:t>mg every 6</w:t>
      </w:r>
      <w:r w:rsidR="00487FEC">
        <w:rPr>
          <w:rFonts w:cs="TimesNewRomanPSMT"/>
          <w:lang w:val="en-US"/>
        </w:rPr>
        <w:t> </w:t>
      </w:r>
      <w:r w:rsidRPr="00522377">
        <w:rPr>
          <w:rFonts w:cs="TimesNewRomanPSMT"/>
          <w:lang w:val="en-US"/>
        </w:rPr>
        <w:t>months (26</w:t>
      </w:r>
      <w:r w:rsidR="00487FEC">
        <w:rPr>
          <w:rFonts w:cs="TimesNewRomanPSMT"/>
          <w:lang w:val="en-US"/>
        </w:rPr>
        <w:t> </w:t>
      </w:r>
      <w:r w:rsidRPr="00522377">
        <w:rPr>
          <w:rFonts w:cs="TimesNewRomanPSMT"/>
          <w:lang w:val="en-US"/>
        </w:rPr>
        <w:t>weeks) while continuing their OBR</w:t>
      </w:r>
      <w:r>
        <w:rPr>
          <w:rFonts w:cs="TimesNewRomanPSMT"/>
          <w:lang w:val="en-US"/>
        </w:rPr>
        <w:t>.</w:t>
      </w:r>
    </w:p>
    <w:p w14:paraId="61E0E364" w14:textId="77777777" w:rsidR="00487FEC" w:rsidRDefault="00063F39" w:rsidP="00487FEC">
      <w:pPr>
        <w:pStyle w:val="Heading7"/>
      </w:pPr>
      <w:r w:rsidRPr="00A91C4E">
        <w:t>Baseline characteristics</w:t>
      </w:r>
    </w:p>
    <w:p w14:paraId="1603CB42" w14:textId="29E3D121" w:rsidR="00F341EC" w:rsidRPr="00705DEC" w:rsidRDefault="00063F39" w:rsidP="00487FEC">
      <w:r w:rsidRPr="009E129C">
        <w:rPr>
          <w:rFonts w:cs="TimesNewRomanPSMT"/>
          <w:color w:val="000000"/>
          <w:lang w:val="en-US"/>
        </w:rPr>
        <w:t xml:space="preserve">In Cohort 1, demographic baseline characteristics were generally similar between the </w:t>
      </w:r>
      <w:r w:rsidR="003A4339">
        <w:rPr>
          <w:rFonts w:cs="TimesNewRomanPSMT"/>
          <w:color w:val="000000"/>
          <w:lang w:val="en-US"/>
        </w:rPr>
        <w:t>lenacapavir</w:t>
      </w:r>
      <w:r>
        <w:rPr>
          <w:rFonts w:cs="TimesNewRomanPSMT"/>
          <w:color w:val="000000"/>
          <w:lang w:val="en-US"/>
        </w:rPr>
        <w:t xml:space="preserve"> </w:t>
      </w:r>
      <w:r w:rsidRPr="009E129C">
        <w:rPr>
          <w:rFonts w:cs="TimesNewRomanPSMT"/>
          <w:color w:val="000000"/>
          <w:lang w:val="en-US"/>
        </w:rPr>
        <w:t>and placebo group</w:t>
      </w:r>
      <w:r>
        <w:rPr>
          <w:rFonts w:cs="TimesNewRomanPSMT"/>
          <w:color w:val="000000"/>
          <w:lang w:val="en-US"/>
        </w:rPr>
        <w:t>s.</w:t>
      </w:r>
      <w:r w:rsidRPr="009E129C">
        <w:rPr>
          <w:rFonts w:cs="TimesNewRomanPSMT"/>
          <w:color w:val="000000"/>
          <w:lang w:val="en-US"/>
        </w:rPr>
        <w:t xml:space="preserve"> </w:t>
      </w:r>
      <w:proofErr w:type="gramStart"/>
      <w:r w:rsidRPr="009E129C">
        <w:rPr>
          <w:rFonts w:cs="TimesNewRomanPSMT"/>
          <w:color w:val="000000"/>
          <w:lang w:val="en-US"/>
        </w:rPr>
        <w:t>The majority of</w:t>
      </w:r>
      <w:proofErr w:type="gramEnd"/>
      <w:r w:rsidRPr="009E129C">
        <w:rPr>
          <w:rFonts w:cs="TimesNewRomanPSMT"/>
          <w:color w:val="000000"/>
          <w:lang w:val="en-US"/>
        </w:rPr>
        <w:t xml:space="preserve"> participants were male (72.2%), White (45.7%) or Black (45.7%). </w:t>
      </w:r>
      <w:r>
        <w:rPr>
          <w:rFonts w:cs="TimesNewRomanPSMT"/>
          <w:color w:val="000000"/>
          <w:lang w:val="en-US"/>
        </w:rPr>
        <w:t>The m</w:t>
      </w:r>
      <w:r w:rsidRPr="009E129C">
        <w:rPr>
          <w:rFonts w:cs="TimesNewRomanPSMT"/>
          <w:color w:val="000000"/>
          <w:lang w:val="en-US"/>
        </w:rPr>
        <w:t>edian age was 54 years (</w:t>
      </w:r>
      <w:r w:rsidR="00487FEC">
        <w:rPr>
          <w:rFonts w:cs="TimesNewRomanPSMT"/>
          <w:color w:val="000000"/>
          <w:lang w:val="en-US"/>
        </w:rPr>
        <w:t xml:space="preserve">range: </w:t>
      </w:r>
      <w:r w:rsidRPr="009E129C">
        <w:rPr>
          <w:rFonts w:cs="TimesNewRomanPSMT"/>
          <w:color w:val="000000"/>
          <w:lang w:val="en-US"/>
        </w:rPr>
        <w:t>24</w:t>
      </w:r>
      <w:r w:rsidR="006D7271">
        <w:rPr>
          <w:rFonts w:cs="TimesNewRomanPSMT"/>
          <w:color w:val="000000"/>
          <w:lang w:val="en-US"/>
        </w:rPr>
        <w:noBreakHyphen/>
      </w:r>
      <w:r w:rsidRPr="009E129C">
        <w:rPr>
          <w:rFonts w:cs="TimesNewRomanPSMT"/>
          <w:color w:val="000000"/>
          <w:lang w:val="en-US"/>
        </w:rPr>
        <w:t>71 years).</w:t>
      </w:r>
    </w:p>
    <w:p w14:paraId="2A99703B" w14:textId="15A73495" w:rsidR="00F341EC" w:rsidRDefault="00063F39" w:rsidP="00487FEC">
      <w:pPr>
        <w:rPr>
          <w:color w:val="000000"/>
          <w:lang w:val="en-US"/>
        </w:rPr>
      </w:pPr>
      <w:r>
        <w:rPr>
          <w:rFonts w:cs="TimesNewRomanPSMT"/>
          <w:color w:val="000000"/>
          <w:lang w:val="en-US"/>
        </w:rPr>
        <w:t>The b</w:t>
      </w:r>
      <w:r w:rsidRPr="009E129C">
        <w:rPr>
          <w:rFonts w:cs="TimesNewRomanPSMT"/>
          <w:color w:val="000000"/>
          <w:lang w:val="en-US"/>
        </w:rPr>
        <w:t xml:space="preserve">aseline disease characteristics were </w:t>
      </w:r>
      <w:r>
        <w:rPr>
          <w:rFonts w:cs="TimesNewRomanPSMT"/>
          <w:color w:val="000000"/>
          <w:lang w:val="en-US"/>
        </w:rPr>
        <w:t xml:space="preserve">generally </w:t>
      </w:r>
      <w:r w:rsidRPr="009E129C">
        <w:rPr>
          <w:rFonts w:cs="TimesNewRomanPSMT"/>
          <w:color w:val="000000"/>
          <w:lang w:val="en-US"/>
        </w:rPr>
        <w:t>consistent with the profil</w:t>
      </w:r>
      <w:r>
        <w:rPr>
          <w:rFonts w:cs="TimesNewRomanPSMT"/>
          <w:color w:val="000000"/>
          <w:lang w:val="en-US"/>
        </w:rPr>
        <w:t xml:space="preserve">e of the </w:t>
      </w:r>
      <w:r w:rsidR="00487FEC">
        <w:rPr>
          <w:rFonts w:cs="TimesNewRomanPSMT"/>
          <w:color w:val="000000"/>
          <w:lang w:val="en-US"/>
        </w:rPr>
        <w:t>heavily treatment experienced</w:t>
      </w:r>
      <w:r>
        <w:rPr>
          <w:rFonts w:cs="TimesNewRomanPSMT"/>
          <w:color w:val="000000"/>
          <w:lang w:val="en-US"/>
        </w:rPr>
        <w:t xml:space="preserve"> population, with a </w:t>
      </w:r>
      <w:r w:rsidRPr="009E129C">
        <w:rPr>
          <w:rFonts w:cs="TimesNewRomanPSMT"/>
          <w:color w:val="000000"/>
          <w:lang w:val="en-US"/>
        </w:rPr>
        <w:t>median number of prior ARV medications of 9</w:t>
      </w:r>
      <w:r w:rsidR="00487FEC">
        <w:rPr>
          <w:rFonts w:cs="TimesNewRomanPSMT"/>
          <w:color w:val="000000"/>
          <w:lang w:val="en-US"/>
        </w:rPr>
        <w:t> </w:t>
      </w:r>
      <w:r w:rsidRPr="009E129C">
        <w:rPr>
          <w:rFonts w:cs="TimesNewRomanPSMT"/>
          <w:color w:val="000000"/>
          <w:lang w:val="en-US"/>
        </w:rPr>
        <w:t>(</w:t>
      </w:r>
      <w:r w:rsidR="00487FEC">
        <w:rPr>
          <w:rFonts w:cs="TimesNewRomanPSMT"/>
          <w:color w:val="000000"/>
          <w:lang w:val="en-US"/>
        </w:rPr>
        <w:t xml:space="preserve">range: </w:t>
      </w:r>
      <w:r w:rsidRPr="009E129C">
        <w:rPr>
          <w:rFonts w:cs="TimesNewRomanPSMT"/>
          <w:color w:val="000000"/>
          <w:lang w:val="en-US"/>
        </w:rPr>
        <w:t>2</w:t>
      </w:r>
      <w:r w:rsidR="006D7271">
        <w:rPr>
          <w:rFonts w:cs="TimesNewRomanPSMT"/>
          <w:color w:val="000000"/>
          <w:lang w:val="en-US"/>
        </w:rPr>
        <w:noBreakHyphen/>
      </w:r>
      <w:r w:rsidRPr="009E129C">
        <w:rPr>
          <w:rFonts w:cs="TimesNewRomanPSMT"/>
          <w:color w:val="000000"/>
          <w:lang w:val="en-US"/>
        </w:rPr>
        <w:t>24), and 75% of participants with</w:t>
      </w:r>
      <w:r>
        <w:rPr>
          <w:rFonts w:cs="TimesNewRomanPSMT"/>
          <w:color w:val="000000"/>
          <w:lang w:val="en-US"/>
        </w:rPr>
        <w:t xml:space="preserve"> </w:t>
      </w:r>
      <w:r w:rsidRPr="009E129C">
        <w:rPr>
          <w:rFonts w:cs="TimesNewRomanPSMT"/>
          <w:color w:val="000000"/>
          <w:lang w:val="en-US"/>
        </w:rPr>
        <w:t xml:space="preserve">CD4 cell count </w:t>
      </w:r>
      <w:r w:rsidR="00487FEC">
        <w:rPr>
          <w:rFonts w:cs="TimesNewRomanPSMT"/>
          <w:color w:val="000000"/>
          <w:lang w:val="en-US"/>
        </w:rPr>
        <w:t xml:space="preserve">less than </w:t>
      </w:r>
      <w:r w:rsidRPr="009E129C">
        <w:rPr>
          <w:rFonts w:cs="TimesNewRomanPSMT"/>
          <w:color w:val="000000"/>
          <w:lang w:val="en-US"/>
        </w:rPr>
        <w:t>200</w:t>
      </w:r>
      <w:r w:rsidR="00487FEC">
        <w:rPr>
          <w:rFonts w:cs="TimesNewRomanPSMT"/>
          <w:color w:val="000000"/>
          <w:lang w:val="en-US"/>
        </w:rPr>
        <w:t> </w:t>
      </w:r>
      <w:r w:rsidRPr="009E129C">
        <w:rPr>
          <w:rFonts w:cs="TimesNewRomanPSMT"/>
          <w:color w:val="000000"/>
          <w:lang w:val="en-US"/>
        </w:rPr>
        <w:t>cells/μL</w:t>
      </w:r>
      <w:r w:rsidRPr="009E129C">
        <w:rPr>
          <w:color w:val="000000"/>
          <w:lang w:val="en-US"/>
        </w:rPr>
        <w:t>.</w:t>
      </w:r>
    </w:p>
    <w:p w14:paraId="5B734553" w14:textId="45A22DAF" w:rsidR="00F341EC" w:rsidRDefault="00063F39" w:rsidP="00487FEC">
      <w:pPr>
        <w:rPr>
          <w:color w:val="000000"/>
          <w:lang w:val="en-US"/>
        </w:rPr>
      </w:pPr>
      <w:r>
        <w:rPr>
          <w:color w:val="000000"/>
          <w:lang w:val="en-US"/>
        </w:rPr>
        <w:t>There were some d</w:t>
      </w:r>
      <w:r w:rsidRPr="009E129C">
        <w:rPr>
          <w:color w:val="000000"/>
          <w:lang w:val="en-US"/>
        </w:rPr>
        <w:t xml:space="preserve">ifferences </w:t>
      </w:r>
      <w:r>
        <w:rPr>
          <w:color w:val="000000"/>
          <w:lang w:val="en-US"/>
        </w:rPr>
        <w:t xml:space="preserve">observed </w:t>
      </w:r>
      <w:r w:rsidRPr="009E129C">
        <w:rPr>
          <w:color w:val="000000"/>
          <w:lang w:val="en-US"/>
        </w:rPr>
        <w:t xml:space="preserve">between the </w:t>
      </w:r>
      <w:r w:rsidR="003A4339">
        <w:rPr>
          <w:color w:val="000000"/>
          <w:lang w:val="en-US"/>
        </w:rPr>
        <w:t>lenacapavir</w:t>
      </w:r>
      <w:r w:rsidRPr="009E129C">
        <w:rPr>
          <w:color w:val="000000"/>
          <w:lang w:val="en-US"/>
        </w:rPr>
        <w:t xml:space="preserve"> and placebo groups in HIV</w:t>
      </w:r>
      <w:r w:rsidR="006D7271">
        <w:rPr>
          <w:color w:val="000000"/>
          <w:lang w:val="en-US"/>
        </w:rPr>
        <w:noBreakHyphen/>
      </w:r>
      <w:r w:rsidRPr="009E129C">
        <w:rPr>
          <w:color w:val="000000"/>
          <w:lang w:val="en-US"/>
        </w:rPr>
        <w:t>1 RNA</w:t>
      </w:r>
      <w:r>
        <w:rPr>
          <w:color w:val="000000"/>
          <w:lang w:val="en-US"/>
        </w:rPr>
        <w:t xml:space="preserve"> </w:t>
      </w:r>
      <w:r w:rsidRPr="009E129C">
        <w:rPr>
          <w:color w:val="000000"/>
          <w:lang w:val="en-US"/>
        </w:rPr>
        <w:t>(log</w:t>
      </w:r>
      <w:r w:rsidRPr="00ED7E7F">
        <w:rPr>
          <w:color w:val="000000"/>
          <w:vertAlign w:val="subscript"/>
          <w:lang w:val="en-US"/>
        </w:rPr>
        <w:t>10</w:t>
      </w:r>
      <w:r w:rsidRPr="009E129C">
        <w:rPr>
          <w:color w:val="000000"/>
          <w:lang w:val="en-US"/>
        </w:rPr>
        <w:t xml:space="preserve"> copies/mL), HIV</w:t>
      </w:r>
      <w:r w:rsidR="006D7271">
        <w:rPr>
          <w:color w:val="000000"/>
          <w:lang w:val="en-US"/>
        </w:rPr>
        <w:noBreakHyphen/>
      </w:r>
      <w:r w:rsidRPr="009E129C">
        <w:rPr>
          <w:color w:val="000000"/>
          <w:lang w:val="en-US"/>
        </w:rPr>
        <w:t>1 RNA categories, and CD4 cell counts and CD4 percentage</w:t>
      </w:r>
      <w:r w:rsidR="00487FEC">
        <w:rPr>
          <w:color w:val="000000"/>
          <w:lang w:val="en-US"/>
        </w:rPr>
        <w:t>,</w:t>
      </w:r>
      <w:r>
        <w:rPr>
          <w:color w:val="000000"/>
          <w:lang w:val="en-US"/>
        </w:rPr>
        <w:t xml:space="preserve"> with the patients assigned to placebo typically having less favorable disease markers on average.</w:t>
      </w:r>
    </w:p>
    <w:p w14:paraId="70375C56" w14:textId="35B55B9C" w:rsidR="00F341EC" w:rsidRDefault="00063F39" w:rsidP="00487FEC">
      <w:pPr>
        <w:rPr>
          <w:lang w:val="en-US"/>
        </w:rPr>
      </w:pPr>
      <w:r w:rsidRPr="006C7DBA">
        <w:rPr>
          <w:lang w:val="en-US"/>
        </w:rPr>
        <w:t xml:space="preserve">The most common prior ARV medications were as follows: INSTI (97.2%), NRTI (94.4%), NNRTI (88.9%), and </w:t>
      </w:r>
      <w:r w:rsidR="006C7DBA" w:rsidRPr="006C7DBA">
        <w:t>protease inhibitors</w:t>
      </w:r>
      <w:r w:rsidRPr="006C7DBA">
        <w:rPr>
          <w:lang w:val="en-US"/>
        </w:rPr>
        <w:t xml:space="preserve"> (83.3%). Known resistance proportions to 2 </w:t>
      </w:r>
      <w:r w:rsidR="00487FEC" w:rsidRPr="006C7DBA">
        <w:rPr>
          <w:lang w:val="en-US"/>
        </w:rPr>
        <w:t xml:space="preserve">or more </w:t>
      </w:r>
      <w:r w:rsidRPr="006C7DBA">
        <w:rPr>
          <w:lang w:val="en-US"/>
        </w:rPr>
        <w:t xml:space="preserve">drug classes were: NRTI (97.2%), NNRTI (94.4%), </w:t>
      </w:r>
      <w:r w:rsidR="006C7DBA" w:rsidRPr="006C7DBA">
        <w:t>protease inhibitors</w:t>
      </w:r>
      <w:r w:rsidR="006C7DBA" w:rsidRPr="006C7DBA">
        <w:rPr>
          <w:lang w:val="en-US"/>
        </w:rPr>
        <w:t xml:space="preserve"> </w:t>
      </w:r>
      <w:r w:rsidRPr="006C7DBA">
        <w:rPr>
          <w:lang w:val="en-US"/>
        </w:rPr>
        <w:t>(77.8%), and INSTI (75.0%).</w:t>
      </w:r>
    </w:p>
    <w:p w14:paraId="16DE519F" w14:textId="63EC3461" w:rsidR="00F341EC" w:rsidRPr="00ED3CC2" w:rsidRDefault="00063F39" w:rsidP="00487FEC">
      <w:pPr>
        <w:rPr>
          <w:rFonts w:cs="TimesNewRomanPSMT"/>
          <w:color w:val="000000"/>
          <w:lang w:val="en-US"/>
        </w:rPr>
      </w:pPr>
      <w:r>
        <w:rPr>
          <w:rFonts w:cs="TimesNewRomanPSMT"/>
          <w:color w:val="000000"/>
          <w:lang w:val="en-US"/>
        </w:rPr>
        <w:t>T</w:t>
      </w:r>
      <w:r w:rsidRPr="005A759A">
        <w:rPr>
          <w:rFonts w:cs="TimesNewRomanPSMT"/>
          <w:color w:val="000000"/>
          <w:lang w:val="en-US"/>
        </w:rPr>
        <w:t>he median number of ARVs in the failing regimen was 3 (range: 1 to 7)</w:t>
      </w:r>
      <w:r>
        <w:rPr>
          <w:rFonts w:cs="TimesNewRomanPSMT"/>
          <w:color w:val="000000"/>
          <w:lang w:val="en-US"/>
        </w:rPr>
        <w:t xml:space="preserve">. </w:t>
      </w:r>
      <w:r w:rsidRPr="005A759A">
        <w:rPr>
          <w:rFonts w:cs="TimesNewRomanPSMT"/>
          <w:color w:val="000000"/>
          <w:lang w:val="en-US"/>
        </w:rPr>
        <w:t>The median number of ARVs in the OBR was 4 (range: 2 to 7).</w:t>
      </w:r>
      <w:r w:rsidRPr="00ED3CC2">
        <w:rPr>
          <w:rFonts w:cs="TimesNewRomanPSMT"/>
          <w:color w:val="000000"/>
          <w:lang w:val="en-US"/>
        </w:rPr>
        <w:t xml:space="preserve"> </w:t>
      </w:r>
      <w:r w:rsidR="00487FEC">
        <w:rPr>
          <w:rFonts w:cs="TimesNewRomanPSMT"/>
          <w:color w:val="000000"/>
          <w:lang w:val="en-US"/>
        </w:rPr>
        <w:t>Six</w:t>
      </w:r>
      <w:r w:rsidRPr="005A759A">
        <w:rPr>
          <w:rFonts w:cs="TimesNewRomanPSMT"/>
          <w:color w:val="000000"/>
          <w:lang w:val="en-US"/>
        </w:rPr>
        <w:t xml:space="preserve"> of 36 (16.7%) participants continued their failing</w:t>
      </w:r>
      <w:r>
        <w:rPr>
          <w:rFonts w:cs="TimesNewRomanPSMT"/>
          <w:color w:val="000000"/>
          <w:lang w:val="en-US"/>
        </w:rPr>
        <w:t xml:space="preserve"> </w:t>
      </w:r>
      <w:r w:rsidRPr="005A759A">
        <w:rPr>
          <w:rFonts w:cs="TimesNewRomanPSMT"/>
          <w:color w:val="000000"/>
          <w:lang w:val="en-US"/>
        </w:rPr>
        <w:t>regimens as OBRs</w:t>
      </w:r>
      <w:r>
        <w:rPr>
          <w:rFonts w:cs="TimesNewRomanPSMT"/>
          <w:color w:val="000000"/>
          <w:lang w:val="en-US"/>
        </w:rPr>
        <w:t>.</w:t>
      </w:r>
      <w:r w:rsidRPr="00ED3CC2">
        <w:rPr>
          <w:rFonts w:cs="TimesNewRomanPSMT"/>
          <w:color w:val="000000"/>
          <w:lang w:val="en-US"/>
        </w:rPr>
        <w:t xml:space="preserve"> </w:t>
      </w:r>
      <w:r w:rsidRPr="005A759A">
        <w:rPr>
          <w:rFonts w:cs="TimesNewRomanPSMT"/>
          <w:color w:val="000000"/>
          <w:lang w:val="en-US"/>
        </w:rPr>
        <w:t xml:space="preserve">The </w:t>
      </w:r>
      <w:r>
        <w:rPr>
          <w:rFonts w:cs="TimesNewRomanPSMT"/>
          <w:color w:val="000000"/>
          <w:lang w:val="en-US"/>
        </w:rPr>
        <w:t xml:space="preserve">proportion </w:t>
      </w:r>
      <w:r w:rsidRPr="005A759A">
        <w:rPr>
          <w:rFonts w:cs="TimesNewRomanPSMT"/>
          <w:color w:val="000000"/>
          <w:lang w:val="en-US"/>
        </w:rPr>
        <w:t xml:space="preserve">of </w:t>
      </w:r>
      <w:r>
        <w:rPr>
          <w:rFonts w:cs="TimesNewRomanPSMT"/>
          <w:color w:val="000000"/>
          <w:lang w:val="en-US"/>
        </w:rPr>
        <w:t>patients</w:t>
      </w:r>
      <w:r w:rsidRPr="005A759A">
        <w:rPr>
          <w:rFonts w:cs="TimesNewRomanPSMT"/>
          <w:color w:val="000000"/>
          <w:lang w:val="en-US"/>
        </w:rPr>
        <w:t xml:space="preserve"> by the number of fully active agents OBR</w:t>
      </w:r>
      <w:r>
        <w:rPr>
          <w:rFonts w:cs="TimesNewRomanPSMT"/>
          <w:color w:val="000000"/>
          <w:lang w:val="en-US"/>
        </w:rPr>
        <w:t xml:space="preserve"> </w:t>
      </w:r>
      <w:r w:rsidRPr="005A759A">
        <w:rPr>
          <w:rFonts w:cs="TimesNewRomanPSMT"/>
          <w:color w:val="000000"/>
          <w:lang w:val="en-US"/>
        </w:rPr>
        <w:t>agents were: 16.7% (</w:t>
      </w:r>
      <w:r>
        <w:rPr>
          <w:rFonts w:cs="TimesNewRomanPSMT"/>
          <w:color w:val="000000"/>
          <w:lang w:val="en-US"/>
        </w:rPr>
        <w:t>no</w:t>
      </w:r>
      <w:r w:rsidRPr="005A759A">
        <w:rPr>
          <w:rFonts w:cs="TimesNewRomanPSMT"/>
          <w:color w:val="000000"/>
          <w:lang w:val="en-US"/>
        </w:rPr>
        <w:t xml:space="preserve"> fully active agent), 38.9% (1 fully active ARV agent), 25.0%</w:t>
      </w:r>
      <w:r>
        <w:rPr>
          <w:rFonts w:cs="TimesNewRomanPSMT"/>
          <w:color w:val="000000"/>
          <w:lang w:val="en-US"/>
        </w:rPr>
        <w:t xml:space="preserve"> </w:t>
      </w:r>
      <w:r w:rsidRPr="005A759A">
        <w:rPr>
          <w:rFonts w:cs="TimesNewRomanPSMT"/>
          <w:color w:val="000000"/>
          <w:lang w:val="en-US"/>
        </w:rPr>
        <w:t xml:space="preserve">(2 fully active ARV agents), and 19.4% (3 </w:t>
      </w:r>
      <w:r w:rsidR="00487FEC">
        <w:rPr>
          <w:rFonts w:cs="TimesNewRomanPSMT"/>
          <w:color w:val="000000"/>
          <w:lang w:val="en-US"/>
        </w:rPr>
        <w:t xml:space="preserve">or more </w:t>
      </w:r>
      <w:r w:rsidRPr="005A759A">
        <w:rPr>
          <w:rFonts w:cs="TimesNewRomanPSMT"/>
          <w:color w:val="000000"/>
          <w:lang w:val="en-US"/>
        </w:rPr>
        <w:t>fully active ARV agents).</w:t>
      </w:r>
    </w:p>
    <w:p w14:paraId="69EDF655" w14:textId="3EF9D854" w:rsidR="00F341EC" w:rsidRDefault="00063F39" w:rsidP="00487FEC">
      <w:pPr>
        <w:rPr>
          <w:rFonts w:cs="TimesNewRomanPSMT"/>
          <w:color w:val="000000"/>
          <w:lang w:val="en-US"/>
        </w:rPr>
      </w:pPr>
      <w:r w:rsidRPr="00FC4627">
        <w:rPr>
          <w:rFonts w:cs="TimesNewRomanPSMT"/>
          <w:color w:val="000000"/>
          <w:lang w:val="en-US"/>
        </w:rPr>
        <w:lastRenderedPageBreak/>
        <w:t xml:space="preserve">In Cohort 2, </w:t>
      </w:r>
      <w:proofErr w:type="gramStart"/>
      <w:r w:rsidRPr="00FC4627">
        <w:rPr>
          <w:rFonts w:cs="TimesNewRomanPSMT"/>
          <w:color w:val="000000"/>
          <w:lang w:val="en-US"/>
        </w:rPr>
        <w:t>the majority of</w:t>
      </w:r>
      <w:proofErr w:type="gramEnd"/>
      <w:r w:rsidRPr="00FC4627">
        <w:rPr>
          <w:rFonts w:cs="TimesNewRomanPSMT"/>
          <w:color w:val="000000"/>
          <w:lang w:val="en-US"/>
        </w:rPr>
        <w:t xml:space="preserve"> participants were male (77.8%), White (36.1%) or Asian (33.3%), an</w:t>
      </w:r>
      <w:r>
        <w:rPr>
          <w:rFonts w:cs="TimesNewRomanPSMT"/>
          <w:color w:val="000000"/>
          <w:lang w:val="en-US"/>
        </w:rPr>
        <w:t>d not Hispanic or Latino (86.1%</w:t>
      </w:r>
      <w:r w:rsidRPr="00FC4627">
        <w:rPr>
          <w:rFonts w:cs="TimesNewRomanPSMT"/>
          <w:color w:val="000000"/>
          <w:lang w:val="en-US"/>
        </w:rPr>
        <w:t xml:space="preserve">). </w:t>
      </w:r>
      <w:r>
        <w:rPr>
          <w:rFonts w:cs="TimesNewRomanPSMT"/>
          <w:color w:val="000000"/>
          <w:lang w:val="en-US"/>
        </w:rPr>
        <w:t>The m</w:t>
      </w:r>
      <w:r w:rsidRPr="00FC4627">
        <w:rPr>
          <w:rFonts w:cs="TimesNewRomanPSMT"/>
          <w:color w:val="000000"/>
          <w:lang w:val="en-US"/>
        </w:rPr>
        <w:t>edian age was 49 years (</w:t>
      </w:r>
      <w:r w:rsidR="00487FEC">
        <w:rPr>
          <w:rFonts w:cs="TimesNewRomanPSMT"/>
          <w:color w:val="000000"/>
          <w:lang w:val="en-US"/>
        </w:rPr>
        <w:t xml:space="preserve">range: </w:t>
      </w:r>
      <w:r w:rsidRPr="00FC4627">
        <w:rPr>
          <w:rFonts w:cs="TimesNewRomanPSMT"/>
          <w:color w:val="000000"/>
          <w:lang w:val="en-US"/>
        </w:rPr>
        <w:t>23</w:t>
      </w:r>
      <w:r w:rsidR="006D7271">
        <w:rPr>
          <w:rFonts w:cs="TimesNewRomanPSMT"/>
          <w:color w:val="000000"/>
          <w:lang w:val="en-US"/>
        </w:rPr>
        <w:noBreakHyphen/>
      </w:r>
      <w:r w:rsidRPr="00FC4627">
        <w:rPr>
          <w:rFonts w:cs="TimesNewRomanPSMT"/>
          <w:color w:val="000000"/>
          <w:lang w:val="en-US"/>
        </w:rPr>
        <w:t>78 years).</w:t>
      </w:r>
    </w:p>
    <w:p w14:paraId="69101635" w14:textId="07E198AC" w:rsidR="00F341EC" w:rsidRDefault="00063F39" w:rsidP="00487FEC">
      <w:pPr>
        <w:rPr>
          <w:rFonts w:cs="TimesNewRomanPSMT"/>
          <w:color w:val="000000"/>
          <w:lang w:val="en-US"/>
        </w:rPr>
      </w:pPr>
      <w:r w:rsidRPr="00FC4627">
        <w:rPr>
          <w:rFonts w:cs="TimesNewRomanPSMT"/>
          <w:color w:val="000000"/>
          <w:lang w:val="en-US"/>
        </w:rPr>
        <w:t>The baseline disease characteristics, prior ARVs, and resistance characteristics for Cohort 2 were</w:t>
      </w:r>
      <w:r>
        <w:rPr>
          <w:rFonts w:cs="TimesNewRomanPSMT"/>
          <w:color w:val="000000"/>
          <w:lang w:val="en-US"/>
        </w:rPr>
        <w:t xml:space="preserve"> generally </w:t>
      </w:r>
      <w:r w:rsidRPr="00FC4627">
        <w:rPr>
          <w:rFonts w:cs="TimesNewRomanPSMT"/>
          <w:color w:val="000000"/>
          <w:lang w:val="en-US"/>
        </w:rPr>
        <w:t xml:space="preserve">consistent with the profile of the </w:t>
      </w:r>
      <w:r w:rsidR="00B96BF9">
        <w:rPr>
          <w:rFonts w:cs="TimesNewRomanPSMT"/>
          <w:color w:val="000000"/>
          <w:lang w:val="en-US"/>
        </w:rPr>
        <w:t>heavily treatment experienced</w:t>
      </w:r>
      <w:r w:rsidRPr="00FC4627">
        <w:rPr>
          <w:rFonts w:cs="TimesNewRomanPSMT"/>
          <w:color w:val="000000"/>
          <w:lang w:val="en-US"/>
        </w:rPr>
        <w:t xml:space="preserve"> population</w:t>
      </w:r>
      <w:r w:rsidR="00B96BF9">
        <w:rPr>
          <w:rFonts w:cs="TimesNewRomanPSMT"/>
          <w:color w:val="000000"/>
          <w:lang w:val="en-US"/>
        </w:rPr>
        <w:t>.</w:t>
      </w:r>
    </w:p>
    <w:p w14:paraId="2930EEB5" w14:textId="77777777" w:rsidR="00F341EC" w:rsidRPr="002562BB" w:rsidRDefault="00063F39" w:rsidP="00F341EC">
      <w:pPr>
        <w:pStyle w:val="Heading6"/>
        <w:spacing w:line="240" w:lineRule="auto"/>
      </w:pPr>
      <w:r w:rsidRPr="002562BB">
        <w:t>Magnitude of the treatment effect and its clinical significance</w:t>
      </w:r>
    </w:p>
    <w:p w14:paraId="55305851" w14:textId="77777777" w:rsidR="00B96BF9" w:rsidRDefault="00063F39" w:rsidP="00B96BF9">
      <w:pPr>
        <w:pStyle w:val="Heading7"/>
      </w:pPr>
      <w:r w:rsidRPr="004D3B6E">
        <w:t>Primary endpoint</w:t>
      </w:r>
    </w:p>
    <w:p w14:paraId="55426E78" w14:textId="47364CC4" w:rsidR="00F341EC" w:rsidRDefault="00063F39" w:rsidP="00B96BF9">
      <w:r w:rsidRPr="00307773">
        <w:t>The proportion of participants in Cohort 1 achieving 0.5 log</w:t>
      </w:r>
      <w:r w:rsidRPr="00307773">
        <w:rPr>
          <w:vertAlign w:val="subscript"/>
        </w:rPr>
        <w:t>10</w:t>
      </w:r>
      <w:r w:rsidRPr="00307773">
        <w:t xml:space="preserve"> copies/ml or greater reduction</w:t>
      </w:r>
      <w:r w:rsidRPr="004D3B6E">
        <w:t xml:space="preserve"> from baseline in HIV</w:t>
      </w:r>
      <w:r w:rsidR="006D7271">
        <w:noBreakHyphen/>
      </w:r>
      <w:r w:rsidRPr="004D3B6E">
        <w:t>1 RNA at the end of Functional Monotherapy Period</w:t>
      </w:r>
      <w:r>
        <w:t xml:space="preserve"> is shown below.</w:t>
      </w:r>
    </w:p>
    <w:p w14:paraId="68331DE2" w14:textId="0F51429A" w:rsidR="00B96BF9" w:rsidRDefault="00063F39" w:rsidP="00B96BF9">
      <w:pPr>
        <w:pStyle w:val="TableTitle"/>
        <w:rPr>
          <w:rFonts w:asciiTheme="minorHAnsi" w:hAnsiTheme="minorHAnsi" w:cs="TimesNewRoman"/>
        </w:rPr>
      </w:pPr>
      <w:r>
        <w:t xml:space="preserve">Table </w:t>
      </w:r>
      <w:r w:rsidR="00B3560F">
        <w:fldChar w:fldCharType="begin"/>
      </w:r>
      <w:r>
        <w:instrText xml:space="preserve"> SEQ Table \* ARABIC </w:instrText>
      </w:r>
      <w:r w:rsidR="00B3560F">
        <w:fldChar w:fldCharType="separate"/>
      </w:r>
      <w:r w:rsidR="000623A2">
        <w:rPr>
          <w:noProof/>
        </w:rPr>
        <w:t>6</w:t>
      </w:r>
      <w:r w:rsidR="00B3560F">
        <w:rPr>
          <w:noProof/>
        </w:rPr>
        <w:fldChar w:fldCharType="end"/>
      </w:r>
      <w:r>
        <w:t>: Study GS</w:t>
      </w:r>
      <w:r w:rsidR="006D7271">
        <w:noBreakHyphen/>
      </w:r>
      <w:r>
        <w:t>US</w:t>
      </w:r>
      <w:r w:rsidR="006D7271">
        <w:noBreakHyphen/>
      </w:r>
      <w:r>
        <w:t>200</w:t>
      </w:r>
      <w:r w:rsidR="006D7271">
        <w:noBreakHyphen/>
      </w:r>
      <w:r>
        <w:t>4625 (CAPELLA) Primary endpoint results</w:t>
      </w:r>
    </w:p>
    <w:tbl>
      <w:tblPr>
        <w:tblStyle w:val="TableTGAblue2023"/>
        <w:tblW w:w="9060" w:type="dxa"/>
        <w:tblLayout w:type="fixed"/>
        <w:tblLook w:val="04A0" w:firstRow="1" w:lastRow="0" w:firstColumn="1" w:lastColumn="0" w:noHBand="0" w:noVBand="1"/>
      </w:tblPr>
      <w:tblGrid>
        <w:gridCol w:w="3397"/>
        <w:gridCol w:w="1556"/>
        <w:gridCol w:w="1416"/>
        <w:gridCol w:w="1139"/>
        <w:gridCol w:w="1552"/>
      </w:tblGrid>
      <w:tr w:rsidR="00345E6F" w14:paraId="1206FDF1" w14:textId="77777777" w:rsidTr="00345E6F">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263287"/>
              <w:left w:val="single" w:sz="4" w:space="0" w:color="263287"/>
              <w:bottom w:val="single" w:sz="4" w:space="0" w:color="263287"/>
              <w:right w:val="single" w:sz="4" w:space="0" w:color="263287"/>
            </w:tcBorders>
          </w:tcPr>
          <w:p w14:paraId="3E23B417" w14:textId="3B00086C" w:rsidR="00800C42" w:rsidRDefault="00800C42" w:rsidP="00AB0C28"/>
        </w:tc>
        <w:tc>
          <w:tcPr>
            <w:tcW w:w="2972" w:type="dxa"/>
            <w:gridSpan w:val="2"/>
            <w:tcBorders>
              <w:top w:val="single" w:sz="4" w:space="0" w:color="263287"/>
              <w:left w:val="single" w:sz="4" w:space="0" w:color="263287"/>
              <w:bottom w:val="single" w:sz="4" w:space="0" w:color="263287"/>
              <w:right w:val="single" w:sz="4" w:space="0" w:color="263287"/>
            </w:tcBorders>
          </w:tcPr>
          <w:p w14:paraId="7AC0A986" w14:textId="2F9222CB" w:rsidR="00800C42" w:rsidRDefault="00063F39" w:rsidP="00AB0C28">
            <w:pPr>
              <w:cnfStyle w:val="100000000000" w:firstRow="1" w:lastRow="0" w:firstColumn="0" w:lastColumn="0" w:oddVBand="0" w:evenVBand="0" w:oddHBand="0" w:evenHBand="0" w:firstRowFirstColumn="0" w:firstRowLastColumn="0" w:lastRowFirstColumn="0" w:lastRowLastColumn="0"/>
            </w:pPr>
            <w:r>
              <w:t>Cohort 1</w:t>
            </w:r>
          </w:p>
        </w:tc>
        <w:tc>
          <w:tcPr>
            <w:tcW w:w="2691" w:type="dxa"/>
            <w:gridSpan w:val="2"/>
            <w:tcBorders>
              <w:top w:val="single" w:sz="4" w:space="0" w:color="263287"/>
              <w:left w:val="single" w:sz="4" w:space="0" w:color="263287"/>
              <w:bottom w:val="single" w:sz="4" w:space="0" w:color="263287"/>
              <w:right w:val="single" w:sz="4" w:space="0" w:color="263287"/>
            </w:tcBorders>
          </w:tcPr>
          <w:p w14:paraId="4C346B58" w14:textId="60E96B20" w:rsidR="00800C42" w:rsidRDefault="00063F39" w:rsidP="00AB0C28">
            <w:pPr>
              <w:cnfStyle w:val="100000000000" w:firstRow="1" w:lastRow="0" w:firstColumn="0" w:lastColumn="0" w:oddVBand="0" w:evenVBand="0" w:oddHBand="0" w:evenHBand="0" w:firstRowFirstColumn="0" w:firstRowLastColumn="0" w:lastRowFirstColumn="0" w:lastRowLastColumn="0"/>
            </w:pPr>
            <w:r>
              <w:t>Lenacapavir versus Placebo</w:t>
            </w:r>
          </w:p>
        </w:tc>
      </w:tr>
      <w:tr w:rsidR="00345E6F" w14:paraId="080EA005"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263287"/>
              <w:left w:val="single" w:sz="4" w:space="0" w:color="263287"/>
              <w:bottom w:val="single" w:sz="4" w:space="0" w:color="263287"/>
              <w:right w:val="single" w:sz="4" w:space="0" w:color="263287"/>
            </w:tcBorders>
            <w:vAlign w:val="center"/>
          </w:tcPr>
          <w:p w14:paraId="3148BA67" w14:textId="77777777" w:rsidR="00800C42" w:rsidRDefault="00800C42" w:rsidP="00AB0C28"/>
        </w:tc>
        <w:tc>
          <w:tcPr>
            <w:tcW w:w="1556" w:type="dxa"/>
            <w:tcBorders>
              <w:top w:val="single" w:sz="4" w:space="0" w:color="263287"/>
              <w:left w:val="single" w:sz="4" w:space="0" w:color="263287"/>
              <w:bottom w:val="single" w:sz="4" w:space="0" w:color="263287"/>
              <w:right w:val="single" w:sz="4" w:space="0" w:color="263287"/>
            </w:tcBorders>
            <w:shd w:val="clear" w:color="auto" w:fill="DEEAF6"/>
          </w:tcPr>
          <w:p w14:paraId="4E23CF91" w14:textId="4BB2A3BE" w:rsidR="00800C42" w:rsidRPr="00AB0C28" w:rsidRDefault="00063F39" w:rsidP="00AB0C28">
            <w:pPr>
              <w:cnfStyle w:val="000000000000" w:firstRow="0" w:lastRow="0" w:firstColumn="0" w:lastColumn="0" w:oddVBand="0" w:evenVBand="0" w:oddHBand="0" w:evenHBand="0" w:firstRowFirstColumn="0" w:firstRowLastColumn="0" w:lastRowFirstColumn="0" w:lastRowLastColumn="0"/>
              <w:rPr>
                <w:sz w:val="20"/>
                <w:szCs w:val="20"/>
              </w:rPr>
            </w:pPr>
            <w:r w:rsidRPr="00AB0C28">
              <w:rPr>
                <w:sz w:val="20"/>
                <w:szCs w:val="20"/>
              </w:rPr>
              <w:t>Lenacapavir (N</w:t>
            </w:r>
            <w:r w:rsidR="00463708">
              <w:rPr>
                <w:sz w:val="20"/>
                <w:szCs w:val="20"/>
              </w:rPr>
              <w:t> </w:t>
            </w:r>
            <w:r w:rsidRPr="00AB0C28">
              <w:rPr>
                <w:sz w:val="20"/>
                <w:szCs w:val="20"/>
              </w:rPr>
              <w:t>=</w:t>
            </w:r>
            <w:r w:rsidR="00463708">
              <w:rPr>
                <w:sz w:val="20"/>
                <w:szCs w:val="20"/>
              </w:rPr>
              <w:t> </w:t>
            </w:r>
            <w:r w:rsidRPr="00AB0C28">
              <w:rPr>
                <w:sz w:val="20"/>
                <w:szCs w:val="20"/>
              </w:rPr>
              <w:t>24)</w:t>
            </w:r>
          </w:p>
        </w:tc>
        <w:tc>
          <w:tcPr>
            <w:tcW w:w="1416" w:type="dxa"/>
            <w:tcBorders>
              <w:top w:val="single" w:sz="4" w:space="0" w:color="263287"/>
              <w:left w:val="single" w:sz="4" w:space="0" w:color="263287"/>
              <w:bottom w:val="single" w:sz="4" w:space="0" w:color="263287"/>
              <w:right w:val="single" w:sz="4" w:space="0" w:color="263287"/>
            </w:tcBorders>
            <w:shd w:val="clear" w:color="auto" w:fill="DEEAF6"/>
          </w:tcPr>
          <w:p w14:paraId="33353EB2" w14:textId="77777777" w:rsidR="00AB0C28" w:rsidRDefault="00063F39" w:rsidP="00AB0C28">
            <w:pPr>
              <w:cnfStyle w:val="000000000000" w:firstRow="0" w:lastRow="0" w:firstColumn="0" w:lastColumn="0" w:oddVBand="0" w:evenVBand="0" w:oddHBand="0" w:evenHBand="0" w:firstRowFirstColumn="0" w:firstRowLastColumn="0" w:lastRowFirstColumn="0" w:lastRowLastColumn="0"/>
              <w:rPr>
                <w:sz w:val="20"/>
                <w:szCs w:val="20"/>
              </w:rPr>
            </w:pPr>
            <w:r w:rsidRPr="00AB0C28">
              <w:rPr>
                <w:sz w:val="20"/>
                <w:szCs w:val="20"/>
              </w:rPr>
              <w:t>Placebo</w:t>
            </w:r>
          </w:p>
          <w:p w14:paraId="4EDED8D3" w14:textId="0A998D97" w:rsidR="00800C42" w:rsidRPr="00AB0C28" w:rsidRDefault="00063F39" w:rsidP="00AB0C28">
            <w:pPr>
              <w:cnfStyle w:val="000000000000" w:firstRow="0" w:lastRow="0" w:firstColumn="0" w:lastColumn="0" w:oddVBand="0" w:evenVBand="0" w:oddHBand="0" w:evenHBand="0" w:firstRowFirstColumn="0" w:firstRowLastColumn="0" w:lastRowFirstColumn="0" w:lastRowLastColumn="0"/>
              <w:rPr>
                <w:sz w:val="20"/>
                <w:szCs w:val="20"/>
              </w:rPr>
            </w:pPr>
            <w:r w:rsidRPr="00AB0C28">
              <w:rPr>
                <w:sz w:val="20"/>
                <w:szCs w:val="20"/>
              </w:rPr>
              <w:t>(N</w:t>
            </w:r>
            <w:r w:rsidR="00463708">
              <w:rPr>
                <w:sz w:val="20"/>
                <w:szCs w:val="20"/>
              </w:rPr>
              <w:t> </w:t>
            </w:r>
            <w:r w:rsidRPr="00AB0C28">
              <w:rPr>
                <w:sz w:val="20"/>
                <w:szCs w:val="20"/>
              </w:rPr>
              <w:t>=</w:t>
            </w:r>
            <w:r w:rsidR="00463708">
              <w:rPr>
                <w:sz w:val="20"/>
                <w:szCs w:val="20"/>
              </w:rPr>
              <w:t> </w:t>
            </w:r>
            <w:r w:rsidRPr="00AB0C28">
              <w:rPr>
                <w:sz w:val="20"/>
                <w:szCs w:val="20"/>
              </w:rPr>
              <w:t xml:space="preserve">12) </w:t>
            </w:r>
          </w:p>
        </w:tc>
        <w:tc>
          <w:tcPr>
            <w:tcW w:w="1139" w:type="dxa"/>
            <w:tcBorders>
              <w:top w:val="single" w:sz="4" w:space="0" w:color="263287"/>
              <w:left w:val="single" w:sz="4" w:space="0" w:color="263287"/>
              <w:bottom w:val="single" w:sz="4" w:space="0" w:color="263287"/>
              <w:right w:val="single" w:sz="4" w:space="0" w:color="263287"/>
            </w:tcBorders>
            <w:shd w:val="clear" w:color="auto" w:fill="DEEAF6"/>
          </w:tcPr>
          <w:p w14:paraId="5630E6C0" w14:textId="599388ED" w:rsidR="00800C42" w:rsidRPr="00AB0C28" w:rsidRDefault="00063F39" w:rsidP="00AB0C28">
            <w:pPr>
              <w:cnfStyle w:val="000000000000" w:firstRow="0" w:lastRow="0" w:firstColumn="0" w:lastColumn="0" w:oddVBand="0" w:evenVBand="0" w:oddHBand="0" w:evenHBand="0" w:firstRowFirstColumn="0" w:firstRowLastColumn="0" w:lastRowFirstColumn="0" w:lastRowLastColumn="0"/>
              <w:rPr>
                <w:sz w:val="20"/>
                <w:szCs w:val="20"/>
              </w:rPr>
            </w:pPr>
            <w:r w:rsidRPr="00AB0C28">
              <w:rPr>
                <w:sz w:val="20"/>
                <w:szCs w:val="20"/>
              </w:rPr>
              <w:t>P value</w:t>
            </w:r>
          </w:p>
        </w:tc>
        <w:tc>
          <w:tcPr>
            <w:tcW w:w="1552" w:type="dxa"/>
            <w:tcBorders>
              <w:top w:val="single" w:sz="4" w:space="0" w:color="263287"/>
              <w:left w:val="single" w:sz="4" w:space="0" w:color="263287"/>
              <w:bottom w:val="single" w:sz="4" w:space="0" w:color="263287"/>
              <w:right w:val="single" w:sz="4" w:space="0" w:color="263287"/>
            </w:tcBorders>
            <w:shd w:val="clear" w:color="auto" w:fill="DEEAF6"/>
          </w:tcPr>
          <w:p w14:paraId="2D113442" w14:textId="4FC80B19" w:rsidR="00800C42" w:rsidRPr="00AB0C28" w:rsidRDefault="00063F39" w:rsidP="00AB0C28">
            <w:pPr>
              <w:cnfStyle w:val="000000000000" w:firstRow="0" w:lastRow="0" w:firstColumn="0" w:lastColumn="0" w:oddVBand="0" w:evenVBand="0" w:oddHBand="0" w:evenHBand="0" w:firstRowFirstColumn="0" w:firstRowLastColumn="0" w:lastRowFirstColumn="0" w:lastRowLastColumn="0"/>
              <w:rPr>
                <w:sz w:val="20"/>
                <w:szCs w:val="20"/>
              </w:rPr>
            </w:pPr>
            <w:r w:rsidRPr="00AB0C28">
              <w:rPr>
                <w:sz w:val="20"/>
                <w:szCs w:val="20"/>
              </w:rPr>
              <w:t xml:space="preserve">Proportional Difference (95% </w:t>
            </w:r>
            <w:r>
              <w:rPr>
                <w:sz w:val="20"/>
                <w:szCs w:val="20"/>
              </w:rPr>
              <w:t>CI</w:t>
            </w:r>
            <w:r w:rsidRPr="00AB0C28">
              <w:rPr>
                <w:sz w:val="20"/>
                <w:szCs w:val="20"/>
              </w:rPr>
              <w:t>)</w:t>
            </w:r>
          </w:p>
        </w:tc>
      </w:tr>
      <w:tr w:rsidR="00345E6F" w14:paraId="5F1ABC65"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263287"/>
              <w:left w:val="single" w:sz="4" w:space="0" w:color="263287"/>
              <w:bottom w:val="single" w:sz="4" w:space="0" w:color="263287"/>
              <w:right w:val="single" w:sz="4" w:space="0" w:color="263287"/>
            </w:tcBorders>
          </w:tcPr>
          <w:p w14:paraId="701DF998" w14:textId="7A84152D" w:rsidR="00AB0C28" w:rsidRPr="00AB0C28" w:rsidRDefault="00063F39" w:rsidP="00AB0C28">
            <w:pPr>
              <w:rPr>
                <w:i/>
                <w:iCs/>
              </w:rPr>
            </w:pPr>
            <w:r>
              <w:rPr>
                <w:i/>
                <w:iCs/>
              </w:rPr>
              <w:t>Number and proportion of participants achieving a reduction in HIV</w:t>
            </w:r>
            <w:r>
              <w:rPr>
                <w:i/>
                <w:iCs/>
              </w:rPr>
              <w:noBreakHyphen/>
              <w:t>1 RNA of at least 0.5 log</w:t>
            </w:r>
            <w:r w:rsidRPr="00AB0C28">
              <w:rPr>
                <w:i/>
                <w:iCs/>
                <w:vertAlign w:val="subscript"/>
              </w:rPr>
              <w:t>10</w:t>
            </w:r>
            <w:r>
              <w:rPr>
                <w:i/>
                <w:iCs/>
                <w:vertAlign w:val="subscript"/>
              </w:rPr>
              <w:t xml:space="preserve"> </w:t>
            </w:r>
            <w:r>
              <w:rPr>
                <w:i/>
                <w:iCs/>
              </w:rPr>
              <w:t>copies/mL from baseline</w:t>
            </w:r>
          </w:p>
        </w:tc>
        <w:tc>
          <w:tcPr>
            <w:tcW w:w="1556" w:type="dxa"/>
            <w:tcBorders>
              <w:top w:val="single" w:sz="4" w:space="0" w:color="263287"/>
              <w:left w:val="single" w:sz="4" w:space="0" w:color="263287"/>
              <w:bottom w:val="single" w:sz="4" w:space="0" w:color="263287"/>
              <w:right w:val="single" w:sz="4" w:space="0" w:color="263287"/>
            </w:tcBorders>
            <w:vAlign w:val="center"/>
          </w:tcPr>
          <w:p w14:paraId="48FD27D1" w14:textId="79E0F155" w:rsidR="00AB0C28" w:rsidRDefault="00063F39" w:rsidP="00AB0C28">
            <w:pPr>
              <w:cnfStyle w:val="000000000000" w:firstRow="0" w:lastRow="0" w:firstColumn="0" w:lastColumn="0" w:oddVBand="0" w:evenVBand="0" w:oddHBand="0" w:evenHBand="0" w:firstRowFirstColumn="0" w:firstRowLastColumn="0" w:lastRowFirstColumn="0" w:lastRowLastColumn="0"/>
            </w:pPr>
            <w:r>
              <w:t>21 (87.5%)</w:t>
            </w:r>
          </w:p>
        </w:tc>
        <w:tc>
          <w:tcPr>
            <w:tcW w:w="1416" w:type="dxa"/>
            <w:tcBorders>
              <w:top w:val="single" w:sz="4" w:space="0" w:color="263287"/>
              <w:left w:val="single" w:sz="4" w:space="0" w:color="263287"/>
              <w:bottom w:val="single" w:sz="4" w:space="0" w:color="263287"/>
              <w:right w:val="single" w:sz="4" w:space="0" w:color="263287"/>
            </w:tcBorders>
            <w:vAlign w:val="center"/>
          </w:tcPr>
          <w:p w14:paraId="32ED5079" w14:textId="4F0B16F7" w:rsidR="00AB0C28" w:rsidRDefault="00063F39" w:rsidP="00AB0C28">
            <w:pPr>
              <w:cnfStyle w:val="000000000000" w:firstRow="0" w:lastRow="0" w:firstColumn="0" w:lastColumn="0" w:oddVBand="0" w:evenVBand="0" w:oddHBand="0" w:evenHBand="0" w:firstRowFirstColumn="0" w:firstRowLastColumn="0" w:lastRowFirstColumn="0" w:lastRowLastColumn="0"/>
            </w:pPr>
            <w:r>
              <w:t>2 (16.7%)</w:t>
            </w:r>
          </w:p>
        </w:tc>
        <w:tc>
          <w:tcPr>
            <w:tcW w:w="1139" w:type="dxa"/>
            <w:tcBorders>
              <w:top w:val="single" w:sz="4" w:space="0" w:color="263287"/>
              <w:left w:val="single" w:sz="4" w:space="0" w:color="263287"/>
              <w:bottom w:val="single" w:sz="4" w:space="0" w:color="263287"/>
              <w:right w:val="single" w:sz="4" w:space="0" w:color="263287"/>
            </w:tcBorders>
            <w:vAlign w:val="center"/>
          </w:tcPr>
          <w:p w14:paraId="5534F9BD" w14:textId="7A85A2D0" w:rsidR="00AB0C28" w:rsidRDefault="00063F39" w:rsidP="00AB0C28">
            <w:pPr>
              <w:cnfStyle w:val="000000000000" w:firstRow="0" w:lastRow="0" w:firstColumn="0" w:lastColumn="0" w:oddVBand="0" w:evenVBand="0" w:oddHBand="0" w:evenHBand="0" w:firstRowFirstColumn="0" w:firstRowLastColumn="0" w:lastRowFirstColumn="0" w:lastRowLastColumn="0"/>
            </w:pPr>
            <w:r>
              <w:t>&lt;0.0001</w:t>
            </w:r>
          </w:p>
        </w:tc>
        <w:tc>
          <w:tcPr>
            <w:tcW w:w="1552" w:type="dxa"/>
            <w:tcBorders>
              <w:top w:val="single" w:sz="4" w:space="0" w:color="263287"/>
              <w:left w:val="single" w:sz="4" w:space="0" w:color="263287"/>
              <w:bottom w:val="single" w:sz="4" w:space="0" w:color="263287"/>
              <w:right w:val="single" w:sz="4" w:space="0" w:color="263287"/>
            </w:tcBorders>
            <w:vAlign w:val="center"/>
          </w:tcPr>
          <w:p w14:paraId="6C5DA1F2" w14:textId="4E1C0EA6" w:rsidR="00AB0C28" w:rsidRDefault="00063F39" w:rsidP="00AB0C28">
            <w:pPr>
              <w:cnfStyle w:val="000000000000" w:firstRow="0" w:lastRow="0" w:firstColumn="0" w:lastColumn="0" w:oddVBand="0" w:evenVBand="0" w:oddHBand="0" w:evenHBand="0" w:firstRowFirstColumn="0" w:firstRowLastColumn="0" w:lastRowFirstColumn="0" w:lastRowLastColumn="0"/>
            </w:pPr>
            <w:r>
              <w:t>71.8% (34.9% to 90.0%)</w:t>
            </w:r>
          </w:p>
        </w:tc>
      </w:tr>
    </w:tbl>
    <w:p w14:paraId="20CEF1EC" w14:textId="77777777" w:rsidR="00800C42" w:rsidRPr="00184E0B" w:rsidRDefault="00800C42" w:rsidP="00F341EC">
      <w:pPr>
        <w:spacing w:line="240" w:lineRule="auto"/>
        <w:rPr>
          <w:rFonts w:asciiTheme="minorHAnsi" w:hAnsiTheme="minorHAnsi" w:cs="TimesNewRoman"/>
        </w:rPr>
      </w:pPr>
    </w:p>
    <w:p w14:paraId="507776AD" w14:textId="416A53D0" w:rsidR="00F341EC" w:rsidRDefault="00063F39" w:rsidP="00B96BF9">
      <w:pPr>
        <w:pStyle w:val="Heading7"/>
        <w:rPr>
          <w:lang w:val="en-US"/>
        </w:rPr>
      </w:pPr>
      <w:r w:rsidRPr="00184E0B">
        <w:t>Primary endpoint</w:t>
      </w:r>
      <w:r w:rsidRPr="00184E0B">
        <w:rPr>
          <w:lang w:val="en-US"/>
        </w:rPr>
        <w:t xml:space="preserve"> sensitivity analyses</w:t>
      </w:r>
    </w:p>
    <w:p w14:paraId="1210B300" w14:textId="15BE84C8" w:rsidR="00F341EC" w:rsidRPr="00184E0B" w:rsidRDefault="00063F39" w:rsidP="00B96BF9">
      <w:pPr>
        <w:rPr>
          <w:lang w:val="en-US"/>
        </w:rPr>
      </w:pPr>
      <w:r w:rsidRPr="0020235D">
        <w:rPr>
          <w:lang w:val="en-US"/>
        </w:rPr>
        <w:t>Due to lower baseline HIV</w:t>
      </w:r>
      <w:r w:rsidR="006D7271">
        <w:rPr>
          <w:lang w:val="en-US"/>
        </w:rPr>
        <w:noBreakHyphen/>
      </w:r>
      <w:r w:rsidRPr="0020235D">
        <w:rPr>
          <w:lang w:val="en-US"/>
        </w:rPr>
        <w:t xml:space="preserve">1 RNA levels in </w:t>
      </w:r>
      <w:r>
        <w:rPr>
          <w:lang w:val="en-US"/>
        </w:rPr>
        <w:t xml:space="preserve">the </w:t>
      </w:r>
      <w:r w:rsidR="003A4339">
        <w:rPr>
          <w:lang w:val="en-US"/>
        </w:rPr>
        <w:t>lenacapavir</w:t>
      </w:r>
      <w:r w:rsidRPr="0020235D">
        <w:rPr>
          <w:lang w:val="en-US"/>
        </w:rPr>
        <w:t xml:space="preserve"> group compared to placebo, a </w:t>
      </w:r>
      <w:r w:rsidRPr="00953E25">
        <w:rPr>
          <w:lang w:val="en-US"/>
        </w:rPr>
        <w:t>post</w:t>
      </w:r>
      <w:r w:rsidR="006C7DBA" w:rsidRPr="00953E25">
        <w:rPr>
          <w:lang w:val="en-US"/>
        </w:rPr>
        <w:noBreakHyphen/>
      </w:r>
      <w:r w:rsidRPr="00953E25">
        <w:rPr>
          <w:lang w:val="en-US"/>
        </w:rPr>
        <w:t>hoc analysis of the primary efficacy endpoint with adjustment for baseline HIV</w:t>
      </w:r>
      <w:r w:rsidR="006D7271" w:rsidRPr="00953E25">
        <w:rPr>
          <w:lang w:val="en-US"/>
        </w:rPr>
        <w:noBreakHyphen/>
      </w:r>
      <w:r w:rsidRPr="00953E25">
        <w:rPr>
          <w:lang w:val="en-US"/>
        </w:rPr>
        <w:t>1 RNA</w:t>
      </w:r>
      <w:r w:rsidRPr="0020235D">
        <w:rPr>
          <w:lang w:val="en-US"/>
        </w:rPr>
        <w:t xml:space="preserve"> </w:t>
      </w:r>
      <w:r>
        <w:rPr>
          <w:lang w:val="en-US"/>
        </w:rPr>
        <w:t>(</w:t>
      </w:r>
      <w:r w:rsidRPr="0020235D">
        <w:rPr>
          <w:lang w:val="en-US"/>
        </w:rPr>
        <w:t>using</w:t>
      </w:r>
      <w:r>
        <w:rPr>
          <w:lang w:val="en-US"/>
        </w:rPr>
        <w:t xml:space="preserve"> </w:t>
      </w:r>
      <w:r w:rsidRPr="0020235D">
        <w:rPr>
          <w:lang w:val="en-US"/>
        </w:rPr>
        <w:t>rank analysis of covariance</w:t>
      </w:r>
      <w:r>
        <w:rPr>
          <w:lang w:val="en-US"/>
        </w:rPr>
        <w:t>)</w:t>
      </w:r>
      <w:r w:rsidRPr="0020235D">
        <w:rPr>
          <w:lang w:val="en-US"/>
        </w:rPr>
        <w:t xml:space="preserve"> </w:t>
      </w:r>
      <w:r>
        <w:rPr>
          <w:lang w:val="en-US"/>
        </w:rPr>
        <w:t>had the following result: 87.5% v</w:t>
      </w:r>
      <w:r w:rsidR="00B96BF9">
        <w:rPr>
          <w:lang w:val="en-US"/>
        </w:rPr>
        <w:t>ersus</w:t>
      </w:r>
      <w:r>
        <w:rPr>
          <w:lang w:val="en-US"/>
        </w:rPr>
        <w:t xml:space="preserve"> 16.7%, p</w:t>
      </w:r>
      <w:r w:rsidR="00463708">
        <w:rPr>
          <w:lang w:val="en-US"/>
        </w:rPr>
        <w:t> </w:t>
      </w:r>
      <w:r>
        <w:rPr>
          <w:lang w:val="en-US"/>
        </w:rPr>
        <w:t>=</w:t>
      </w:r>
      <w:r w:rsidR="00463708">
        <w:rPr>
          <w:lang w:val="en-US"/>
        </w:rPr>
        <w:t> </w:t>
      </w:r>
      <w:r>
        <w:rPr>
          <w:lang w:val="en-US"/>
        </w:rPr>
        <w:t>0.0003.</w:t>
      </w:r>
    </w:p>
    <w:p w14:paraId="25AFCCE9" w14:textId="559F9768" w:rsidR="00F341EC" w:rsidRDefault="00063F39" w:rsidP="00B96BF9">
      <w:pPr>
        <w:rPr>
          <w:color w:val="000000"/>
          <w:lang w:val="en-US"/>
        </w:rPr>
      </w:pPr>
      <w:r w:rsidRPr="00953E25">
        <w:rPr>
          <w:color w:val="000000"/>
          <w:lang w:val="en-US"/>
        </w:rPr>
        <w:t>To address a baseline CD4 cell count imbalance, post</w:t>
      </w:r>
      <w:r w:rsidR="00953E25" w:rsidRPr="00953E25">
        <w:rPr>
          <w:color w:val="000000"/>
          <w:lang w:val="en-US"/>
        </w:rPr>
        <w:noBreakHyphen/>
      </w:r>
      <w:r w:rsidRPr="00953E25">
        <w:rPr>
          <w:color w:val="000000"/>
          <w:lang w:val="en-US"/>
        </w:rPr>
        <w:t>hoc analyses in participants with</w:t>
      </w:r>
      <w:r w:rsidRPr="0020235D">
        <w:rPr>
          <w:color w:val="000000"/>
          <w:lang w:val="en-US"/>
        </w:rPr>
        <w:t xml:space="preserve"> comparable or clinically relevant CD4 cell counts</w:t>
      </w:r>
      <w:r>
        <w:rPr>
          <w:color w:val="000000"/>
          <w:lang w:val="en-US"/>
        </w:rPr>
        <w:t xml:space="preserve"> retained a </w:t>
      </w:r>
      <w:r w:rsidRPr="00234DBC">
        <w:rPr>
          <w:color w:val="000000"/>
          <w:lang w:val="en-US"/>
        </w:rPr>
        <w:t>statistically significant difference between groups</w:t>
      </w:r>
      <w:r>
        <w:rPr>
          <w:color w:val="000000"/>
          <w:lang w:val="en-US"/>
        </w:rPr>
        <w:t>:</w:t>
      </w:r>
    </w:p>
    <w:p w14:paraId="6454CC2D" w14:textId="08404634" w:rsidR="00F341EC" w:rsidRPr="00953E25" w:rsidRDefault="00063F39" w:rsidP="00B96BF9">
      <w:pPr>
        <w:pStyle w:val="ListBullet"/>
        <w:rPr>
          <w:lang w:val="en-US"/>
        </w:rPr>
      </w:pPr>
      <w:r w:rsidRPr="00184E0B">
        <w:t xml:space="preserve">Participants with the 12 lowest </w:t>
      </w:r>
      <w:r w:rsidRPr="00184E0B">
        <w:rPr>
          <w:lang w:val="en-US"/>
        </w:rPr>
        <w:t xml:space="preserve">baseline CD4 cell count </w:t>
      </w:r>
      <w:r w:rsidRPr="00184E0B">
        <w:t>counts in each group</w:t>
      </w:r>
      <w:r>
        <w:t xml:space="preserve"> (</w:t>
      </w:r>
      <w:r w:rsidRPr="00184E0B">
        <w:t>median 98.5</w:t>
      </w:r>
      <w:r w:rsidR="00B96BF9">
        <w:t> </w:t>
      </w:r>
      <w:r w:rsidRPr="00184E0B">
        <w:t>cells/μL</w:t>
      </w:r>
      <w:r>
        <w:t xml:space="preserve"> (</w:t>
      </w:r>
      <w:r w:rsidR="003A4339">
        <w:t>lenacapavir</w:t>
      </w:r>
      <w:r>
        <w:t xml:space="preserve">) and </w:t>
      </w:r>
      <w:r w:rsidRPr="00184E0B">
        <w:t>84.5</w:t>
      </w:r>
      <w:r w:rsidR="00B96BF9">
        <w:t> </w:t>
      </w:r>
      <w:r w:rsidRPr="00184E0B">
        <w:t>cells/μL</w:t>
      </w:r>
      <w:r>
        <w:t xml:space="preserve"> (placebo)</w:t>
      </w:r>
      <w:r w:rsidRPr="00184E0B">
        <w:t>)</w:t>
      </w:r>
      <w:r>
        <w:t xml:space="preserve">: </w:t>
      </w:r>
      <w:r w:rsidRPr="00184E0B">
        <w:rPr>
          <w:lang w:val="en-US"/>
        </w:rPr>
        <w:t>83.3% (10</w:t>
      </w:r>
      <w:r w:rsidR="00B96BF9">
        <w:rPr>
          <w:lang w:val="en-US"/>
        </w:rPr>
        <w:t xml:space="preserve"> of </w:t>
      </w:r>
      <w:r w:rsidRPr="00184E0B">
        <w:rPr>
          <w:lang w:val="en-US"/>
        </w:rPr>
        <w:t>12</w:t>
      </w:r>
      <w:r w:rsidR="00B96BF9">
        <w:rPr>
          <w:lang w:val="en-US"/>
        </w:rPr>
        <w:t xml:space="preserve"> participants</w:t>
      </w:r>
      <w:r w:rsidRPr="00184E0B">
        <w:rPr>
          <w:lang w:val="en-US"/>
        </w:rPr>
        <w:t xml:space="preserve">) </w:t>
      </w:r>
      <w:r w:rsidRPr="00953E25">
        <w:rPr>
          <w:lang w:val="en-US"/>
        </w:rPr>
        <w:t>v</w:t>
      </w:r>
      <w:r w:rsidR="00B96BF9" w:rsidRPr="00953E25">
        <w:rPr>
          <w:lang w:val="en-US"/>
        </w:rPr>
        <w:t>ersu</w:t>
      </w:r>
      <w:r w:rsidRPr="00953E25">
        <w:rPr>
          <w:lang w:val="en-US"/>
        </w:rPr>
        <w:t>s 16.7% (2</w:t>
      </w:r>
      <w:r w:rsidR="00B96BF9" w:rsidRPr="00953E25">
        <w:rPr>
          <w:lang w:val="en-US"/>
        </w:rPr>
        <w:t xml:space="preserve"> of </w:t>
      </w:r>
      <w:r w:rsidRPr="00953E25">
        <w:rPr>
          <w:lang w:val="en-US"/>
        </w:rPr>
        <w:t>12</w:t>
      </w:r>
      <w:r w:rsidR="00B96BF9" w:rsidRPr="00953E25">
        <w:rPr>
          <w:lang w:val="en-US"/>
        </w:rPr>
        <w:t xml:space="preserve"> participants</w:t>
      </w:r>
      <w:r w:rsidRPr="00953E25">
        <w:rPr>
          <w:lang w:val="en-US"/>
        </w:rPr>
        <w:t>); treatment difference: 66.7%</w:t>
      </w:r>
      <w:r w:rsidR="00953E25" w:rsidRPr="00953E25">
        <w:rPr>
          <w:lang w:val="en-US"/>
        </w:rPr>
        <w:t>;</w:t>
      </w:r>
      <w:r w:rsidRPr="00953E25">
        <w:rPr>
          <w:lang w:val="en-US"/>
        </w:rPr>
        <w:t xml:space="preserve"> 95% </w:t>
      </w:r>
      <w:r w:rsidR="00B96BF9" w:rsidRPr="00953E25">
        <w:rPr>
          <w:lang w:val="en-US"/>
        </w:rPr>
        <w:t>confidence interval (</w:t>
      </w:r>
      <w:r w:rsidRPr="00953E25">
        <w:rPr>
          <w:lang w:val="en-US"/>
        </w:rPr>
        <w:t>CI</w:t>
      </w:r>
      <w:r w:rsidR="00B96BF9" w:rsidRPr="00953E25">
        <w:rPr>
          <w:lang w:val="en-US"/>
        </w:rPr>
        <w:t>)</w:t>
      </w:r>
      <w:r w:rsidRPr="00953E25">
        <w:rPr>
          <w:lang w:val="en-US"/>
        </w:rPr>
        <w:t xml:space="preserve"> 25.2%, 90.5%</w:t>
      </w:r>
      <w:r w:rsidR="00953E25" w:rsidRPr="00953E25">
        <w:rPr>
          <w:lang w:val="en-US"/>
        </w:rPr>
        <w:t>;</w:t>
      </w:r>
      <w:r w:rsidRPr="00953E25">
        <w:rPr>
          <w:lang w:val="en-US"/>
        </w:rPr>
        <w:t xml:space="preserve"> p</w:t>
      </w:r>
      <w:r w:rsidR="00463708">
        <w:rPr>
          <w:lang w:val="en-US"/>
        </w:rPr>
        <w:t> </w:t>
      </w:r>
      <w:r w:rsidRPr="00953E25">
        <w:rPr>
          <w:lang w:val="en-US"/>
        </w:rPr>
        <w:t>=</w:t>
      </w:r>
      <w:r w:rsidR="00463708">
        <w:rPr>
          <w:lang w:val="en-US"/>
        </w:rPr>
        <w:t> </w:t>
      </w:r>
      <w:r w:rsidRPr="00953E25">
        <w:rPr>
          <w:lang w:val="en-US"/>
        </w:rPr>
        <w:t>0.0008.</w:t>
      </w:r>
    </w:p>
    <w:p w14:paraId="2429C9C5" w14:textId="2D05C1AB" w:rsidR="00F341EC" w:rsidRPr="001B6C99" w:rsidRDefault="00063F39" w:rsidP="00B96BF9">
      <w:pPr>
        <w:pStyle w:val="ListBullet"/>
        <w:rPr>
          <w:lang w:val="en-US"/>
        </w:rPr>
      </w:pPr>
      <w:r>
        <w:rPr>
          <w:lang w:val="en-US"/>
        </w:rPr>
        <w:t>B</w:t>
      </w:r>
      <w:r w:rsidRPr="001B6C99">
        <w:rPr>
          <w:lang w:val="en-US"/>
        </w:rPr>
        <w:t xml:space="preserve">aseline CD4 cell count </w:t>
      </w:r>
      <w:r w:rsidR="00B96BF9">
        <w:rPr>
          <w:lang w:val="en-US"/>
        </w:rPr>
        <w:t xml:space="preserve">under </w:t>
      </w:r>
      <w:r w:rsidRPr="001B6C99">
        <w:rPr>
          <w:lang w:val="en-US"/>
        </w:rPr>
        <w:t>200</w:t>
      </w:r>
      <w:r w:rsidR="00B96BF9">
        <w:rPr>
          <w:lang w:val="en-US"/>
        </w:rPr>
        <w:t> </w:t>
      </w:r>
      <w:r w:rsidRPr="001B6C99">
        <w:rPr>
          <w:lang w:val="en-US"/>
        </w:rPr>
        <w:t>cells/</w:t>
      </w:r>
      <w:r w:rsidRPr="00184E0B">
        <w:rPr>
          <w:lang w:val="en-US"/>
        </w:rPr>
        <w:t>μL</w:t>
      </w:r>
      <w:r>
        <w:rPr>
          <w:lang w:val="en-US"/>
        </w:rPr>
        <w:t xml:space="preserve">: </w:t>
      </w:r>
      <w:r w:rsidRPr="00184E0B">
        <w:rPr>
          <w:lang w:val="en-US"/>
        </w:rPr>
        <w:t>87</w:t>
      </w:r>
      <w:r w:rsidRPr="001B6C99">
        <w:rPr>
          <w:lang w:val="en-US"/>
        </w:rPr>
        <w:t>.5% (14</w:t>
      </w:r>
      <w:r w:rsidR="00B96BF9">
        <w:rPr>
          <w:lang w:val="en-US"/>
        </w:rPr>
        <w:t xml:space="preserve"> of </w:t>
      </w:r>
      <w:r w:rsidRPr="001B6C99">
        <w:rPr>
          <w:lang w:val="en-US"/>
        </w:rPr>
        <w:t>16</w:t>
      </w:r>
      <w:r w:rsidR="00B96BF9">
        <w:rPr>
          <w:lang w:val="en-US"/>
        </w:rPr>
        <w:t xml:space="preserve"> participants</w:t>
      </w:r>
      <w:r w:rsidRPr="001B6C99">
        <w:rPr>
          <w:lang w:val="en-US"/>
        </w:rPr>
        <w:t>) v</w:t>
      </w:r>
      <w:r w:rsidR="00B96BF9">
        <w:rPr>
          <w:lang w:val="en-US"/>
        </w:rPr>
        <w:t>ersu</w:t>
      </w:r>
      <w:r w:rsidRPr="001B6C99">
        <w:rPr>
          <w:lang w:val="en-US"/>
        </w:rPr>
        <w:t>s 9.1 (1</w:t>
      </w:r>
      <w:r w:rsidR="00B96BF9">
        <w:rPr>
          <w:lang w:val="en-US"/>
        </w:rPr>
        <w:t xml:space="preserve"> of </w:t>
      </w:r>
      <w:r w:rsidRPr="001B6C99">
        <w:rPr>
          <w:lang w:val="en-US"/>
        </w:rPr>
        <w:t>11</w:t>
      </w:r>
      <w:r w:rsidR="00B96BF9">
        <w:rPr>
          <w:lang w:val="en-US"/>
        </w:rPr>
        <w:t xml:space="preserve"> participants</w:t>
      </w:r>
      <w:r w:rsidRPr="001B6C99">
        <w:rPr>
          <w:lang w:val="en-US"/>
        </w:rPr>
        <w:t>); treatment difference: 78.4%</w:t>
      </w:r>
      <w:r w:rsidR="00167840">
        <w:rPr>
          <w:lang w:val="en-US"/>
        </w:rPr>
        <w:t xml:space="preserve"> (</w:t>
      </w:r>
      <w:r w:rsidRPr="001B6C99">
        <w:rPr>
          <w:lang w:val="en-US"/>
        </w:rPr>
        <w:t>95% CI: 39%, 95%</w:t>
      </w:r>
      <w:r w:rsidR="002646A7">
        <w:rPr>
          <w:lang w:val="en-US"/>
        </w:rPr>
        <w:t>;</w:t>
      </w:r>
      <w:r w:rsidRPr="001B6C99">
        <w:rPr>
          <w:lang w:val="en-US"/>
        </w:rPr>
        <w:t xml:space="preserve"> p</w:t>
      </w:r>
      <w:r w:rsidR="00167840">
        <w:rPr>
          <w:lang w:val="en-US"/>
        </w:rPr>
        <w:t> </w:t>
      </w:r>
      <w:r w:rsidRPr="001B6C99">
        <w:rPr>
          <w:lang w:val="en-US"/>
        </w:rPr>
        <w:t>&lt;</w:t>
      </w:r>
      <w:r w:rsidR="00167840">
        <w:rPr>
          <w:lang w:val="en-US"/>
        </w:rPr>
        <w:t> </w:t>
      </w:r>
      <w:r w:rsidRPr="001B6C99">
        <w:rPr>
          <w:lang w:val="en-US"/>
        </w:rPr>
        <w:t>0.0001</w:t>
      </w:r>
      <w:r>
        <w:rPr>
          <w:lang w:val="en-US"/>
        </w:rPr>
        <w:t>.</w:t>
      </w:r>
    </w:p>
    <w:p w14:paraId="49A5691B" w14:textId="365F05D4" w:rsidR="00B96BF9" w:rsidRDefault="00063F39" w:rsidP="00B96BF9">
      <w:pPr>
        <w:pStyle w:val="Heading7"/>
        <w:rPr>
          <w:lang w:val="en-US"/>
        </w:rPr>
      </w:pPr>
      <w:r w:rsidRPr="00184E0B">
        <w:t>Primary endpoint</w:t>
      </w:r>
      <w:r w:rsidRPr="00184E0B">
        <w:rPr>
          <w:lang w:val="en-US"/>
        </w:rPr>
        <w:t xml:space="preserve"> </w:t>
      </w:r>
      <w:r>
        <w:rPr>
          <w:lang w:val="en-US"/>
        </w:rPr>
        <w:t>per protocol</w:t>
      </w:r>
      <w:r w:rsidRPr="00184E0B">
        <w:rPr>
          <w:lang w:val="en-US"/>
        </w:rPr>
        <w:t xml:space="preserve"> </w:t>
      </w:r>
      <w:r>
        <w:rPr>
          <w:lang w:val="en-US"/>
        </w:rPr>
        <w:t>a</w:t>
      </w:r>
      <w:r w:rsidRPr="00184E0B">
        <w:rPr>
          <w:lang w:val="en-US"/>
        </w:rPr>
        <w:t xml:space="preserve">nalysis </w:t>
      </w:r>
      <w:r>
        <w:rPr>
          <w:lang w:val="en-US"/>
        </w:rPr>
        <w:t>s</w:t>
      </w:r>
      <w:r w:rsidRPr="00184E0B">
        <w:rPr>
          <w:lang w:val="en-US"/>
        </w:rPr>
        <w:t>et results</w:t>
      </w:r>
    </w:p>
    <w:p w14:paraId="722E41DC" w14:textId="2B89CB63" w:rsidR="00F341EC" w:rsidRDefault="00063F39" w:rsidP="00B96BF9">
      <w:pPr>
        <w:rPr>
          <w:lang w:val="en-US"/>
        </w:rPr>
      </w:pPr>
      <w:r w:rsidRPr="00184E0B">
        <w:t>Primary endpoint</w:t>
      </w:r>
      <w:r w:rsidRPr="00184E0B">
        <w:rPr>
          <w:lang w:val="en-US"/>
        </w:rPr>
        <w:t xml:space="preserve"> </w:t>
      </w:r>
      <w:r>
        <w:rPr>
          <w:lang w:val="en-US"/>
        </w:rPr>
        <w:t>per protocol</w:t>
      </w:r>
      <w:r w:rsidRPr="00184E0B">
        <w:rPr>
          <w:lang w:val="en-US"/>
        </w:rPr>
        <w:t xml:space="preserve"> results</w:t>
      </w:r>
      <w:r>
        <w:rPr>
          <w:lang w:val="en-US"/>
        </w:rPr>
        <w:t xml:space="preserve"> were similar compared to the </w:t>
      </w:r>
      <w:r w:rsidR="00953E25">
        <w:rPr>
          <w:lang w:val="en-US"/>
        </w:rPr>
        <w:t>full analysis set</w:t>
      </w:r>
      <w:r>
        <w:rPr>
          <w:lang w:val="en-US"/>
        </w:rPr>
        <w:t xml:space="preserve">: </w:t>
      </w:r>
      <w:r w:rsidRPr="0020235D">
        <w:rPr>
          <w:lang w:val="en-US"/>
        </w:rPr>
        <w:t>87.5%</w:t>
      </w:r>
      <w:r>
        <w:rPr>
          <w:lang w:val="en-US"/>
        </w:rPr>
        <w:t xml:space="preserve"> (21 of 24 participants)</w:t>
      </w:r>
      <w:r w:rsidRPr="0020235D">
        <w:rPr>
          <w:lang w:val="en-US"/>
        </w:rPr>
        <w:t xml:space="preserve"> v</w:t>
      </w:r>
      <w:r>
        <w:rPr>
          <w:lang w:val="en-US"/>
        </w:rPr>
        <w:t>ersu</w:t>
      </w:r>
      <w:r w:rsidRPr="0020235D">
        <w:rPr>
          <w:lang w:val="en-US"/>
        </w:rPr>
        <w:t>s 9.1%</w:t>
      </w:r>
      <w:r>
        <w:rPr>
          <w:lang w:val="en-US"/>
        </w:rPr>
        <w:t xml:space="preserve"> (1 of 11 participants)</w:t>
      </w:r>
      <w:r w:rsidRPr="0020235D">
        <w:rPr>
          <w:lang w:val="en-US"/>
        </w:rPr>
        <w:t xml:space="preserve">; </w:t>
      </w:r>
      <w:r>
        <w:rPr>
          <w:lang w:val="en-US"/>
        </w:rPr>
        <w:t>treatment difference: 78.4%</w:t>
      </w:r>
      <w:r w:rsidR="002646A7">
        <w:rPr>
          <w:lang w:val="en-US"/>
        </w:rPr>
        <w:t xml:space="preserve"> (</w:t>
      </w:r>
      <w:r>
        <w:rPr>
          <w:lang w:val="en-US"/>
        </w:rPr>
        <w:t>95% CI: 44.6%, 93.9%</w:t>
      </w:r>
      <w:r w:rsidR="002646A7">
        <w:rPr>
          <w:lang w:val="en-US"/>
        </w:rPr>
        <w:t>;</w:t>
      </w:r>
      <w:r>
        <w:rPr>
          <w:lang w:val="en-US"/>
        </w:rPr>
        <w:t xml:space="preserve"> </w:t>
      </w:r>
      <w:r w:rsidRPr="0020235D">
        <w:rPr>
          <w:lang w:val="en-US"/>
        </w:rPr>
        <w:t>p</w:t>
      </w:r>
      <w:r w:rsidR="002646A7">
        <w:rPr>
          <w:lang w:val="en-US"/>
        </w:rPr>
        <w:t> </w:t>
      </w:r>
      <w:r w:rsidRPr="0020235D">
        <w:rPr>
          <w:lang w:val="en-US"/>
        </w:rPr>
        <w:t>&lt;</w:t>
      </w:r>
      <w:r w:rsidR="002646A7">
        <w:rPr>
          <w:lang w:val="en-US"/>
        </w:rPr>
        <w:t> </w:t>
      </w:r>
      <w:r w:rsidRPr="0020235D">
        <w:rPr>
          <w:lang w:val="en-US"/>
        </w:rPr>
        <w:t>0.0001</w:t>
      </w:r>
      <w:r w:rsidR="002646A7">
        <w:rPr>
          <w:lang w:val="en-US"/>
        </w:rPr>
        <w:t>)</w:t>
      </w:r>
      <w:r w:rsidRPr="0020235D">
        <w:rPr>
          <w:lang w:val="en-US"/>
        </w:rPr>
        <w:t>.</w:t>
      </w:r>
    </w:p>
    <w:p w14:paraId="64989E11" w14:textId="21401095" w:rsidR="00B96BF9" w:rsidRDefault="00063F39" w:rsidP="00B96BF9">
      <w:pPr>
        <w:pStyle w:val="Heading7"/>
      </w:pPr>
      <w:r w:rsidRPr="004D3B6E">
        <w:t>Secondary endpoint</w:t>
      </w:r>
      <w:r>
        <w:t>s</w:t>
      </w:r>
    </w:p>
    <w:p w14:paraId="73A19712" w14:textId="6BA33B27" w:rsidR="00F341EC" w:rsidRDefault="00063F39" w:rsidP="00B96BF9">
      <w:pPr>
        <w:rPr>
          <w:rFonts w:cs="TimesNewRoman"/>
        </w:rPr>
      </w:pPr>
      <w:r w:rsidRPr="00F76312">
        <w:rPr>
          <w:rFonts w:cs="TimesNewRoman"/>
        </w:rPr>
        <w:t>The secondary endpoint was the proportion of participants in Cohort 1 with plasma HIV</w:t>
      </w:r>
      <w:r w:rsidR="006D7271" w:rsidRPr="00F76312">
        <w:rPr>
          <w:rFonts w:cs="TimesNewRoman"/>
        </w:rPr>
        <w:noBreakHyphen/>
      </w:r>
      <w:r w:rsidRPr="00F76312">
        <w:rPr>
          <w:rFonts w:cs="TimesNewRoman"/>
        </w:rPr>
        <w:t xml:space="preserve">1 RNA </w:t>
      </w:r>
      <w:r w:rsidR="00B96BF9" w:rsidRPr="00F76312">
        <w:rPr>
          <w:rFonts w:cs="TimesNewRoman"/>
        </w:rPr>
        <w:t xml:space="preserve">under </w:t>
      </w:r>
      <w:r w:rsidRPr="00F76312">
        <w:rPr>
          <w:rFonts w:cs="TimesNewRoman"/>
        </w:rPr>
        <w:t>50</w:t>
      </w:r>
      <w:r w:rsidR="00B96BF9" w:rsidRPr="00F76312">
        <w:rPr>
          <w:rFonts w:cs="TimesNewRoman"/>
        </w:rPr>
        <w:t> </w:t>
      </w:r>
      <w:r w:rsidRPr="00F76312">
        <w:rPr>
          <w:rFonts w:cs="TimesNewRoman"/>
        </w:rPr>
        <w:t xml:space="preserve">copies/mL and </w:t>
      </w:r>
      <w:r w:rsidR="00F7089A" w:rsidRPr="00F76312">
        <w:rPr>
          <w:rFonts w:cs="TimesNewRoman"/>
        </w:rPr>
        <w:t xml:space="preserve">under </w:t>
      </w:r>
      <w:r w:rsidRPr="00F76312">
        <w:rPr>
          <w:rFonts w:cs="TimesNewRoman"/>
        </w:rPr>
        <w:t>200</w:t>
      </w:r>
      <w:r w:rsidR="00F7089A" w:rsidRPr="00F76312">
        <w:rPr>
          <w:rFonts w:cs="TimesNewRoman"/>
        </w:rPr>
        <w:t> </w:t>
      </w:r>
      <w:r w:rsidRPr="00F76312">
        <w:rPr>
          <w:rFonts w:cs="TimesNewRoman"/>
        </w:rPr>
        <w:t>copies/mL at Week 26 and Week 52 of treatment, based on the U</w:t>
      </w:r>
      <w:r w:rsidR="00F76312" w:rsidRPr="00F76312">
        <w:rPr>
          <w:rFonts w:cs="TimesNewRoman"/>
        </w:rPr>
        <w:t>nited States (U</w:t>
      </w:r>
      <w:r w:rsidRPr="00F76312">
        <w:rPr>
          <w:rFonts w:cs="TimesNewRoman"/>
        </w:rPr>
        <w:t>S</w:t>
      </w:r>
      <w:r w:rsidR="00F76312" w:rsidRPr="00F76312">
        <w:rPr>
          <w:rFonts w:cs="TimesNewRoman"/>
        </w:rPr>
        <w:t>)</w:t>
      </w:r>
      <w:r w:rsidRPr="00F76312">
        <w:rPr>
          <w:rFonts w:cs="TimesNewRoman"/>
        </w:rPr>
        <w:t xml:space="preserve"> </w:t>
      </w:r>
      <w:r w:rsidR="00F76312" w:rsidRPr="00F76312">
        <w:rPr>
          <w:rFonts w:cs="TimesNewRoman"/>
        </w:rPr>
        <w:t>Food and Drug Administration (</w:t>
      </w:r>
      <w:r w:rsidRPr="00F76312">
        <w:rPr>
          <w:rFonts w:cs="TimesNewRoman"/>
        </w:rPr>
        <w:t>FDA</w:t>
      </w:r>
      <w:r w:rsidR="00F76312" w:rsidRPr="00F76312">
        <w:rPr>
          <w:rFonts w:cs="TimesNewRoman"/>
        </w:rPr>
        <w:t>)</w:t>
      </w:r>
      <w:r w:rsidR="006D7271" w:rsidRPr="00F76312">
        <w:rPr>
          <w:rFonts w:cs="TimesNewRoman"/>
        </w:rPr>
        <w:noBreakHyphen/>
      </w:r>
      <w:r w:rsidRPr="00F76312">
        <w:rPr>
          <w:rFonts w:cs="TimesNewRoman"/>
        </w:rPr>
        <w:t>defined snapshot algorithm.</w:t>
      </w:r>
      <w:r>
        <w:rPr>
          <w:rStyle w:val="FootnoteReference"/>
          <w:rFonts w:cs="TimesNewRoman"/>
        </w:rPr>
        <w:footnoteReference w:id="12"/>
      </w:r>
    </w:p>
    <w:p w14:paraId="192D7B03" w14:textId="3289B5C7" w:rsidR="00F341EC" w:rsidRDefault="00063F39" w:rsidP="00B96BF9">
      <w:pPr>
        <w:rPr>
          <w:rFonts w:cs="TimesNewRoman"/>
        </w:rPr>
      </w:pPr>
      <w:r>
        <w:rPr>
          <w:rFonts w:cs="TimesNewRoman"/>
        </w:rPr>
        <w:lastRenderedPageBreak/>
        <w:t xml:space="preserve">At Week 26, the </w:t>
      </w:r>
      <w:r w:rsidRPr="00052302">
        <w:rPr>
          <w:rFonts w:cs="TimesNewRoman"/>
        </w:rPr>
        <w:t>proportion</w:t>
      </w:r>
      <w:r w:rsidR="00206803">
        <w:rPr>
          <w:rFonts w:cs="TimesNewRoman"/>
        </w:rPr>
        <w:t>s</w:t>
      </w:r>
      <w:r w:rsidRPr="00052302">
        <w:rPr>
          <w:rFonts w:cs="TimesNewRoman"/>
        </w:rPr>
        <w:t xml:space="preserve"> of participants in </w:t>
      </w:r>
      <w:r>
        <w:rPr>
          <w:rFonts w:cs="TimesNewRoman"/>
        </w:rPr>
        <w:t>C</w:t>
      </w:r>
      <w:r w:rsidRPr="00052302">
        <w:rPr>
          <w:rFonts w:cs="TimesNewRoman"/>
        </w:rPr>
        <w:t xml:space="preserve">ohort </w:t>
      </w:r>
      <w:r>
        <w:rPr>
          <w:rFonts w:cs="TimesNewRoman"/>
        </w:rPr>
        <w:t>1</w:t>
      </w:r>
      <w:r w:rsidRPr="00052302">
        <w:rPr>
          <w:rFonts w:cs="TimesNewRoman"/>
        </w:rPr>
        <w:t xml:space="preserve"> with HIV</w:t>
      </w:r>
      <w:r w:rsidR="006D7271">
        <w:rPr>
          <w:rFonts w:cs="TimesNewRoman"/>
        </w:rPr>
        <w:noBreakHyphen/>
      </w:r>
      <w:r w:rsidRPr="00052302">
        <w:rPr>
          <w:rFonts w:cs="TimesNewRoman"/>
        </w:rPr>
        <w:t>1 RNA</w:t>
      </w:r>
      <w:r>
        <w:rPr>
          <w:rFonts w:cs="TimesNewRoman"/>
        </w:rPr>
        <w:t xml:space="preserve"> </w:t>
      </w:r>
      <w:r w:rsidR="00F7089A">
        <w:rPr>
          <w:rFonts w:cs="TimesNewRoman"/>
        </w:rPr>
        <w:t xml:space="preserve">under </w:t>
      </w:r>
      <w:r w:rsidR="00F7089A" w:rsidRPr="004D3B6E">
        <w:rPr>
          <w:rFonts w:cs="TimesNewRoman"/>
        </w:rPr>
        <w:t>50</w:t>
      </w:r>
      <w:r w:rsidR="00F7089A">
        <w:rPr>
          <w:rFonts w:cs="TimesNewRoman"/>
        </w:rPr>
        <w:t> </w:t>
      </w:r>
      <w:r w:rsidR="00F7089A" w:rsidRPr="004D3B6E">
        <w:rPr>
          <w:rFonts w:cs="TimesNewRoman"/>
        </w:rPr>
        <w:t>copies/mL</w:t>
      </w:r>
      <w:r w:rsidR="00F7089A">
        <w:rPr>
          <w:rFonts w:cs="TimesNewRoman"/>
        </w:rPr>
        <w:t xml:space="preserve"> </w:t>
      </w:r>
      <w:r w:rsidRPr="00052302">
        <w:rPr>
          <w:rFonts w:cs="TimesNewRoman"/>
        </w:rPr>
        <w:t xml:space="preserve">and </w:t>
      </w:r>
      <w:r w:rsidR="00206803">
        <w:rPr>
          <w:rFonts w:cs="TimesNewRoman"/>
        </w:rPr>
        <w:t xml:space="preserve">under </w:t>
      </w:r>
      <w:r w:rsidRPr="00052302">
        <w:rPr>
          <w:rFonts w:cs="TimesNewRoman"/>
        </w:rPr>
        <w:t>200</w:t>
      </w:r>
      <w:r w:rsidR="00206803">
        <w:rPr>
          <w:rFonts w:cs="TimesNewRoman"/>
        </w:rPr>
        <w:t> </w:t>
      </w:r>
      <w:r w:rsidRPr="00052302">
        <w:rPr>
          <w:rFonts w:cs="TimesNewRoman"/>
        </w:rPr>
        <w:t>copies/mL were 80.6% (29</w:t>
      </w:r>
      <w:r w:rsidR="00206803">
        <w:rPr>
          <w:rFonts w:cs="TimesNewRoman"/>
        </w:rPr>
        <w:t xml:space="preserve"> of </w:t>
      </w:r>
      <w:r w:rsidRPr="00052302">
        <w:rPr>
          <w:rFonts w:cs="TimesNewRoman"/>
        </w:rPr>
        <w:t>36</w:t>
      </w:r>
      <w:r w:rsidR="00206803">
        <w:rPr>
          <w:rFonts w:cs="TimesNewRoman"/>
        </w:rPr>
        <w:t xml:space="preserve"> participants</w:t>
      </w:r>
      <w:r w:rsidRPr="00052302">
        <w:rPr>
          <w:rFonts w:cs="TimesNewRoman"/>
        </w:rPr>
        <w:t>) and 88.9% (32</w:t>
      </w:r>
      <w:r w:rsidR="00206803">
        <w:rPr>
          <w:rFonts w:cs="TimesNewRoman"/>
        </w:rPr>
        <w:t xml:space="preserve"> of </w:t>
      </w:r>
      <w:r w:rsidRPr="00052302">
        <w:rPr>
          <w:rFonts w:cs="TimesNewRoman"/>
        </w:rPr>
        <w:t>36</w:t>
      </w:r>
      <w:r w:rsidR="00206803">
        <w:rPr>
          <w:rFonts w:cs="TimesNewRoman"/>
        </w:rPr>
        <w:t xml:space="preserve"> participants</w:t>
      </w:r>
      <w:r w:rsidRPr="00052302">
        <w:rPr>
          <w:rFonts w:cs="TimesNewRoman"/>
        </w:rPr>
        <w:t xml:space="preserve">), </w:t>
      </w:r>
      <w:r w:rsidRPr="00206803">
        <w:rPr>
          <w:rFonts w:cs="TimesNewRoman"/>
        </w:rPr>
        <w:t>respectively (</w:t>
      </w:r>
      <w:r w:rsidR="000623A2">
        <w:rPr>
          <w:rFonts w:cs="TimesNewRoman"/>
        </w:rPr>
        <w:fldChar w:fldCharType="begin"/>
      </w:r>
      <w:r w:rsidR="000623A2">
        <w:rPr>
          <w:rFonts w:cs="TimesNewRoman"/>
        </w:rPr>
        <w:instrText xml:space="preserve"> REF _Ref156900928 \h </w:instrText>
      </w:r>
      <w:r w:rsidR="000623A2">
        <w:rPr>
          <w:rFonts w:cs="TimesNewRoman"/>
        </w:rPr>
      </w:r>
      <w:r w:rsidR="000623A2">
        <w:rPr>
          <w:rFonts w:cs="TimesNewRoman"/>
        </w:rPr>
        <w:fldChar w:fldCharType="separate"/>
      </w:r>
      <w:r w:rsidR="000623A2">
        <w:t xml:space="preserve">Table </w:t>
      </w:r>
      <w:r w:rsidR="000623A2">
        <w:rPr>
          <w:noProof/>
        </w:rPr>
        <w:t>7</w:t>
      </w:r>
      <w:r w:rsidR="000623A2">
        <w:rPr>
          <w:rFonts w:cs="TimesNewRoman"/>
        </w:rPr>
        <w:fldChar w:fldCharType="end"/>
      </w:r>
      <w:r w:rsidRPr="00206803">
        <w:rPr>
          <w:rFonts w:cs="TimesNewRoman"/>
        </w:rPr>
        <w:t>)</w:t>
      </w:r>
    </w:p>
    <w:p w14:paraId="00D4E41B" w14:textId="364E91AF" w:rsidR="00F341EC" w:rsidRDefault="00063F39" w:rsidP="00B96BF9">
      <w:pPr>
        <w:rPr>
          <w:rFonts w:cs="TimesNewRoman"/>
        </w:rPr>
      </w:pPr>
      <w:r>
        <w:rPr>
          <w:rFonts w:cs="TimesNewRoman"/>
        </w:rPr>
        <w:t xml:space="preserve">At Week 52, the </w:t>
      </w:r>
      <w:r w:rsidRPr="00052302">
        <w:rPr>
          <w:rFonts w:cs="TimesNewRoman"/>
        </w:rPr>
        <w:t>proportion</w:t>
      </w:r>
      <w:r w:rsidR="00206803">
        <w:rPr>
          <w:rFonts w:cs="TimesNewRoman"/>
        </w:rPr>
        <w:t>s</w:t>
      </w:r>
      <w:r w:rsidRPr="00052302">
        <w:rPr>
          <w:rFonts w:cs="TimesNewRoman"/>
        </w:rPr>
        <w:t xml:space="preserve"> of participants in </w:t>
      </w:r>
      <w:r>
        <w:rPr>
          <w:rFonts w:cs="TimesNewRoman"/>
        </w:rPr>
        <w:t>C</w:t>
      </w:r>
      <w:r w:rsidRPr="00052302">
        <w:rPr>
          <w:rFonts w:cs="TimesNewRoman"/>
        </w:rPr>
        <w:t xml:space="preserve">ohort </w:t>
      </w:r>
      <w:r>
        <w:rPr>
          <w:rFonts w:cs="TimesNewRoman"/>
        </w:rPr>
        <w:t>1</w:t>
      </w:r>
      <w:r w:rsidRPr="00052302">
        <w:rPr>
          <w:rFonts w:cs="TimesNewRoman"/>
        </w:rPr>
        <w:t xml:space="preserve"> with HIV</w:t>
      </w:r>
      <w:r w:rsidR="006D7271">
        <w:rPr>
          <w:rFonts w:cs="TimesNewRoman"/>
        </w:rPr>
        <w:noBreakHyphen/>
      </w:r>
      <w:r w:rsidRPr="00052302">
        <w:rPr>
          <w:rFonts w:cs="TimesNewRoman"/>
        </w:rPr>
        <w:t>1 RNA</w:t>
      </w:r>
      <w:r>
        <w:rPr>
          <w:rFonts w:cs="TimesNewRoman"/>
        </w:rPr>
        <w:t xml:space="preserve"> </w:t>
      </w:r>
      <w:r w:rsidR="00206803">
        <w:rPr>
          <w:rFonts w:cs="TimesNewRoman"/>
        </w:rPr>
        <w:t xml:space="preserve">under </w:t>
      </w:r>
      <w:r w:rsidRPr="00052302">
        <w:rPr>
          <w:rFonts w:cs="TimesNewRoman"/>
        </w:rPr>
        <w:t>50</w:t>
      </w:r>
      <w:r w:rsidR="00206803">
        <w:rPr>
          <w:rFonts w:cs="TimesNewRoman"/>
        </w:rPr>
        <w:t> </w:t>
      </w:r>
      <w:r w:rsidR="00206803" w:rsidRPr="004D3B6E">
        <w:rPr>
          <w:rFonts w:cs="TimesNewRoman"/>
        </w:rPr>
        <w:t>copies/mL</w:t>
      </w:r>
      <w:r w:rsidR="00206803" w:rsidRPr="00052302">
        <w:rPr>
          <w:rFonts w:cs="TimesNewRoman"/>
        </w:rPr>
        <w:t xml:space="preserve"> </w:t>
      </w:r>
      <w:r w:rsidRPr="00052302">
        <w:rPr>
          <w:rFonts w:cs="TimesNewRoman"/>
        </w:rPr>
        <w:t xml:space="preserve">and </w:t>
      </w:r>
      <w:r w:rsidR="00206803">
        <w:rPr>
          <w:rFonts w:cs="TimesNewRoman"/>
        </w:rPr>
        <w:t xml:space="preserve">under </w:t>
      </w:r>
      <w:r w:rsidRPr="00052302">
        <w:rPr>
          <w:rFonts w:cs="TimesNewRoman"/>
        </w:rPr>
        <w:t>200</w:t>
      </w:r>
      <w:r w:rsidR="00206803">
        <w:rPr>
          <w:rFonts w:cs="TimesNewRoman"/>
        </w:rPr>
        <w:t> </w:t>
      </w:r>
      <w:r w:rsidRPr="00052302">
        <w:rPr>
          <w:rFonts w:cs="TimesNewRoman"/>
        </w:rPr>
        <w:t>copies/mL were 8</w:t>
      </w:r>
      <w:r>
        <w:rPr>
          <w:rFonts w:cs="TimesNewRoman"/>
        </w:rPr>
        <w:t>3.3</w:t>
      </w:r>
      <w:r w:rsidRPr="00052302">
        <w:rPr>
          <w:rFonts w:cs="TimesNewRoman"/>
        </w:rPr>
        <w:t>% (</w:t>
      </w:r>
      <w:r>
        <w:rPr>
          <w:rFonts w:cs="TimesNewRoman"/>
        </w:rPr>
        <w:t>30</w:t>
      </w:r>
      <w:r w:rsidR="00206803">
        <w:rPr>
          <w:rFonts w:cs="TimesNewRoman"/>
        </w:rPr>
        <w:t xml:space="preserve"> of </w:t>
      </w:r>
      <w:r w:rsidRPr="00052302">
        <w:rPr>
          <w:rFonts w:cs="TimesNewRoman"/>
        </w:rPr>
        <w:t>36</w:t>
      </w:r>
      <w:r w:rsidR="00206803">
        <w:rPr>
          <w:rFonts w:cs="TimesNewRoman"/>
        </w:rPr>
        <w:t xml:space="preserve"> participants</w:t>
      </w:r>
      <w:r w:rsidRPr="00052302">
        <w:rPr>
          <w:rFonts w:cs="TimesNewRoman"/>
        </w:rPr>
        <w:t xml:space="preserve">) and </w:t>
      </w:r>
      <w:r>
        <w:rPr>
          <w:rFonts w:cs="TimesNewRoman"/>
        </w:rPr>
        <w:t>86.1</w:t>
      </w:r>
      <w:r w:rsidRPr="00052302">
        <w:rPr>
          <w:rFonts w:cs="TimesNewRoman"/>
        </w:rPr>
        <w:t>% (3</w:t>
      </w:r>
      <w:r>
        <w:rPr>
          <w:rFonts w:cs="TimesNewRoman"/>
        </w:rPr>
        <w:t>1</w:t>
      </w:r>
      <w:r w:rsidR="00206803">
        <w:rPr>
          <w:rFonts w:cs="TimesNewRoman"/>
        </w:rPr>
        <w:t xml:space="preserve"> of </w:t>
      </w:r>
      <w:r w:rsidRPr="00052302">
        <w:rPr>
          <w:rFonts w:cs="TimesNewRoman"/>
        </w:rPr>
        <w:t>36</w:t>
      </w:r>
      <w:r w:rsidR="00206803">
        <w:rPr>
          <w:rFonts w:cs="TimesNewRoman"/>
        </w:rPr>
        <w:t xml:space="preserve"> participants</w:t>
      </w:r>
      <w:r w:rsidRPr="00052302">
        <w:rPr>
          <w:rFonts w:cs="TimesNewRoman"/>
        </w:rPr>
        <w:t>), respectively</w:t>
      </w:r>
      <w:r>
        <w:rPr>
          <w:rFonts w:cs="TimesNewRoman"/>
        </w:rPr>
        <w:t xml:space="preserve"> (</w:t>
      </w:r>
      <w:r>
        <w:rPr>
          <w:rFonts w:cs="TimesNewRoman"/>
        </w:rPr>
        <w:fldChar w:fldCharType="begin"/>
      </w:r>
      <w:r>
        <w:rPr>
          <w:rFonts w:cs="TimesNewRoman"/>
        </w:rPr>
        <w:instrText xml:space="preserve"> REF _Ref123304202 \h  \* MERGEFORMAT </w:instrText>
      </w:r>
      <w:r>
        <w:rPr>
          <w:rFonts w:cs="TimesNewRoman"/>
        </w:rPr>
      </w:r>
      <w:r w:rsidR="006250B8">
        <w:rPr>
          <w:rFonts w:cs="TimesNewRoman"/>
        </w:rPr>
        <w:fldChar w:fldCharType="separate"/>
      </w:r>
      <w:r>
        <w:rPr>
          <w:rFonts w:cs="TimesNewRoman"/>
        </w:rPr>
        <w:fldChar w:fldCharType="end"/>
      </w:r>
      <w:r w:rsidR="000623A2">
        <w:rPr>
          <w:rFonts w:cs="TimesNewRoman"/>
        </w:rPr>
        <w:fldChar w:fldCharType="begin"/>
      </w:r>
      <w:r w:rsidR="000623A2">
        <w:rPr>
          <w:rFonts w:cs="TimesNewRoman"/>
        </w:rPr>
        <w:instrText xml:space="preserve"> REF _Ref156900946 \h </w:instrText>
      </w:r>
      <w:r w:rsidR="000623A2">
        <w:rPr>
          <w:rFonts w:cs="TimesNewRoman"/>
        </w:rPr>
      </w:r>
      <w:r w:rsidR="000623A2">
        <w:rPr>
          <w:rFonts w:cs="TimesNewRoman"/>
        </w:rPr>
        <w:fldChar w:fldCharType="separate"/>
      </w:r>
      <w:r w:rsidR="000623A2">
        <w:t xml:space="preserve">Table </w:t>
      </w:r>
      <w:r w:rsidR="000623A2">
        <w:rPr>
          <w:noProof/>
        </w:rPr>
        <w:t>8</w:t>
      </w:r>
      <w:r w:rsidR="000623A2">
        <w:rPr>
          <w:rFonts w:cs="TimesNewRoman"/>
        </w:rPr>
        <w:fldChar w:fldCharType="end"/>
      </w:r>
      <w:r>
        <w:rPr>
          <w:rFonts w:cs="TimesNewRoman"/>
        </w:rPr>
        <w:t>).</w:t>
      </w:r>
    </w:p>
    <w:p w14:paraId="400F2AFB" w14:textId="02424914" w:rsidR="00206803" w:rsidRDefault="00063F39" w:rsidP="00206803">
      <w:pPr>
        <w:pStyle w:val="TableTitle"/>
        <w:rPr>
          <w:rFonts w:cs="TimesNewRoman"/>
        </w:rPr>
      </w:pPr>
      <w:bookmarkStart w:id="61" w:name="_Ref156900928"/>
      <w:r>
        <w:t xml:space="preserve">Table </w:t>
      </w:r>
      <w:r w:rsidR="00B3560F">
        <w:fldChar w:fldCharType="begin"/>
      </w:r>
      <w:r>
        <w:instrText xml:space="preserve"> SEQ Table \* ARABIC </w:instrText>
      </w:r>
      <w:r w:rsidR="00B3560F">
        <w:fldChar w:fldCharType="separate"/>
      </w:r>
      <w:r w:rsidR="000623A2">
        <w:rPr>
          <w:noProof/>
        </w:rPr>
        <w:t>7</w:t>
      </w:r>
      <w:r w:rsidR="00B3560F">
        <w:rPr>
          <w:noProof/>
        </w:rPr>
        <w:fldChar w:fldCharType="end"/>
      </w:r>
      <w:bookmarkEnd w:id="61"/>
      <w:r>
        <w:t>: Study G</w:t>
      </w:r>
      <w:r w:rsidR="004E6CB7">
        <w:t>S</w:t>
      </w:r>
      <w:r w:rsidR="006D7271">
        <w:noBreakHyphen/>
      </w:r>
      <w:r>
        <w:t>US</w:t>
      </w:r>
      <w:r w:rsidR="006D7271">
        <w:noBreakHyphen/>
      </w:r>
      <w:r>
        <w:t>200</w:t>
      </w:r>
      <w:r w:rsidR="006D7271">
        <w:noBreakHyphen/>
      </w:r>
      <w:r>
        <w:t>4625 (CAPELLA) Main secondary endpoint results at Week 26</w:t>
      </w:r>
    </w:p>
    <w:p w14:paraId="7D9D8E8D" w14:textId="49F3F549" w:rsidR="00CE0FC7" w:rsidRDefault="00CE0FC7" w:rsidP="00F341EC">
      <w:pPr>
        <w:spacing w:line="240" w:lineRule="auto"/>
        <w:rPr>
          <w:rFonts w:asciiTheme="minorHAnsi" w:hAnsiTheme="minorHAnsi" w:cs="TimesNewRoman"/>
        </w:rPr>
      </w:pPr>
      <w:r>
        <w:rPr>
          <w:noProof/>
        </w:rPr>
        <w:drawing>
          <wp:inline distT="0" distB="0" distL="0" distR="0" wp14:anchorId="2F15C345" wp14:editId="03BF8D6A">
            <wp:extent cx="5759450" cy="1851025"/>
            <wp:effectExtent l="0" t="0" r="0" b="0"/>
            <wp:docPr id="2" name="Picture 2" descr="These results are for HIV‑1 RNA cutoff at 50 copies/mL (upper panel) and 200 copies/mL (lower panel). There are 6 column headings: blank; cohort 1 on lenacapavir, placebo then lenacapavir, and all lenacapavir; cohort 2; total. Rows show number of participants as number and per cent and 95% confidence interval. Similar  results for HIV‑1 RNA cutoff at 200 copie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se results are for HIV‑1 RNA cutoff at 50 copies/mL (upper panel) and 200 copies/mL (lower panel). There are 6 column headings: blank; cohort 1 on lenacapavir, placebo then lenacapavir, and all lenacapavir; cohort 2; total. Rows show number of participants as number and per cent and 95% confidence interval. Similar  results for HIV‑1 RNA cutoff at 200 copies/mL."/>
                    <pic:cNvPicPr/>
                  </pic:nvPicPr>
                  <pic:blipFill>
                    <a:blip r:embed="rId29"/>
                    <a:stretch>
                      <a:fillRect/>
                    </a:stretch>
                  </pic:blipFill>
                  <pic:spPr>
                    <a:xfrm>
                      <a:off x="0" y="0"/>
                      <a:ext cx="5759450" cy="1851025"/>
                    </a:xfrm>
                    <a:prstGeom prst="rect">
                      <a:avLst/>
                    </a:prstGeom>
                  </pic:spPr>
                </pic:pic>
              </a:graphicData>
            </a:graphic>
          </wp:inline>
        </w:drawing>
      </w:r>
    </w:p>
    <w:p w14:paraId="1C2EBD32" w14:textId="77777777" w:rsidR="00644E55" w:rsidRDefault="00644E55" w:rsidP="00F341EC">
      <w:pPr>
        <w:spacing w:line="240" w:lineRule="auto"/>
        <w:rPr>
          <w:rFonts w:asciiTheme="minorHAnsi" w:hAnsiTheme="minorHAnsi" w:cs="TimesNewRoman"/>
        </w:rPr>
      </w:pPr>
    </w:p>
    <w:p w14:paraId="5B158E57" w14:textId="1EEC6408" w:rsidR="00206803" w:rsidRDefault="00063F39" w:rsidP="00206803">
      <w:pPr>
        <w:pStyle w:val="TableTitle"/>
        <w:rPr>
          <w:rFonts w:asciiTheme="minorHAnsi" w:hAnsiTheme="minorHAnsi" w:cs="TimesNewRoman"/>
        </w:rPr>
      </w:pPr>
      <w:bookmarkStart w:id="62" w:name="_Ref156900946"/>
      <w:r>
        <w:t xml:space="preserve">Table </w:t>
      </w:r>
      <w:r w:rsidR="00B3560F">
        <w:fldChar w:fldCharType="begin"/>
      </w:r>
      <w:r>
        <w:instrText xml:space="preserve"> SEQ Table \* ARABIC </w:instrText>
      </w:r>
      <w:r w:rsidR="00B3560F">
        <w:fldChar w:fldCharType="separate"/>
      </w:r>
      <w:r w:rsidR="000623A2">
        <w:rPr>
          <w:noProof/>
        </w:rPr>
        <w:t>8</w:t>
      </w:r>
      <w:r w:rsidR="00B3560F">
        <w:rPr>
          <w:noProof/>
        </w:rPr>
        <w:fldChar w:fldCharType="end"/>
      </w:r>
      <w:bookmarkEnd w:id="62"/>
      <w:r>
        <w:t>: Study GS</w:t>
      </w:r>
      <w:r w:rsidR="006D7271">
        <w:noBreakHyphen/>
      </w:r>
      <w:r>
        <w:t>US</w:t>
      </w:r>
      <w:r w:rsidR="006D7271">
        <w:noBreakHyphen/>
      </w:r>
      <w:r>
        <w:t>200</w:t>
      </w:r>
      <w:r w:rsidR="006D7271">
        <w:noBreakHyphen/>
      </w:r>
      <w:r>
        <w:t>4625 (CAPELLA) Main secondar</w:t>
      </w:r>
      <w:r w:rsidR="003A4339">
        <w:t>y</w:t>
      </w:r>
      <w:r>
        <w:t xml:space="preserve"> endpoint results at Week 52</w:t>
      </w:r>
    </w:p>
    <w:p w14:paraId="6240220F" w14:textId="275C0484" w:rsidR="00644E55" w:rsidRDefault="00644E55" w:rsidP="00F341EC">
      <w:pPr>
        <w:spacing w:line="240" w:lineRule="auto"/>
        <w:rPr>
          <w:rFonts w:asciiTheme="minorHAnsi" w:hAnsiTheme="minorHAnsi" w:cs="TimesNewRoman"/>
        </w:rPr>
      </w:pPr>
      <w:r>
        <w:rPr>
          <w:noProof/>
        </w:rPr>
        <w:drawing>
          <wp:inline distT="0" distB="0" distL="0" distR="0" wp14:anchorId="102603F7" wp14:editId="7DF774E9">
            <wp:extent cx="5759450" cy="2364105"/>
            <wp:effectExtent l="0" t="0" r="0" b="0"/>
            <wp:docPr id="10" name="Picture 10" descr="These results are for HIV‑1 RNA cutoff at 50 copies/mL (upper panel) and  200 copies/mL (lower panel). There are 6 columns with headings: blank; cohort 1 on lenacapavir, placebo then lenacapavir, and all lenacapavir; cohort 2; total. Rows show number of participants as number and per cent and 95% confide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se results are for HIV‑1 RNA cutoff at 50 copies/mL (upper panel) and  200 copies/mL (lower panel). There are 6 columns with headings: blank; cohort 1 on lenacapavir, placebo then lenacapavir, and all lenacapavir; cohort 2; total. Rows show number of participants as number and per cent and 95% confidence interval."/>
                    <pic:cNvPicPr/>
                  </pic:nvPicPr>
                  <pic:blipFill>
                    <a:blip r:embed="rId30"/>
                    <a:stretch>
                      <a:fillRect/>
                    </a:stretch>
                  </pic:blipFill>
                  <pic:spPr>
                    <a:xfrm>
                      <a:off x="0" y="0"/>
                      <a:ext cx="5759450" cy="2364105"/>
                    </a:xfrm>
                    <a:prstGeom prst="rect">
                      <a:avLst/>
                    </a:prstGeom>
                  </pic:spPr>
                </pic:pic>
              </a:graphicData>
            </a:graphic>
          </wp:inline>
        </w:drawing>
      </w:r>
    </w:p>
    <w:p w14:paraId="0857F2C9" w14:textId="77777777" w:rsidR="00206803" w:rsidRDefault="00063F39" w:rsidP="00206803">
      <w:pPr>
        <w:pStyle w:val="Heading7"/>
        <w:rPr>
          <w:lang w:val="en-US"/>
        </w:rPr>
      </w:pPr>
      <w:bookmarkStart w:id="63" w:name="_Ref123681616"/>
      <w:r w:rsidRPr="00407FC1">
        <w:rPr>
          <w:lang w:val="en-US"/>
        </w:rPr>
        <w:t>Subgroup analyses</w:t>
      </w:r>
    </w:p>
    <w:p w14:paraId="3109C231" w14:textId="5CABAF16" w:rsidR="00206803" w:rsidRDefault="00063F39" w:rsidP="00206803">
      <w:pPr>
        <w:rPr>
          <w:rFonts w:cs="TimesNewRomanPSMT"/>
          <w:color w:val="000000"/>
          <w:lang w:val="en-US"/>
        </w:rPr>
      </w:pPr>
      <w:r w:rsidRPr="00407FC1">
        <w:rPr>
          <w:rFonts w:cs="TimesNewRomanPSMT"/>
          <w:color w:val="000000"/>
          <w:lang w:val="en-US"/>
        </w:rPr>
        <w:t xml:space="preserve">The proportion of participants with HIV 1 RNA </w:t>
      </w:r>
      <w:r>
        <w:rPr>
          <w:rFonts w:cs="TimesNewRomanPSMT"/>
          <w:color w:val="000000"/>
          <w:lang w:val="en-US"/>
        </w:rPr>
        <w:t>under</w:t>
      </w:r>
      <w:r w:rsidRPr="00407FC1">
        <w:rPr>
          <w:rFonts w:cs="TimesNewRomanPSMT"/>
          <w:color w:val="000000"/>
          <w:lang w:val="en-US"/>
        </w:rPr>
        <w:t xml:space="preserve"> 50</w:t>
      </w:r>
      <w:r>
        <w:rPr>
          <w:rFonts w:cs="TimesNewRomanPSMT"/>
          <w:color w:val="000000"/>
          <w:lang w:val="en-US"/>
        </w:rPr>
        <w:t> </w:t>
      </w:r>
      <w:r w:rsidRPr="00407FC1">
        <w:rPr>
          <w:rFonts w:cs="TimesNewRomanPSMT"/>
          <w:color w:val="000000"/>
          <w:lang w:val="en-US"/>
        </w:rPr>
        <w:t>copies/mL at Week 26 using the US</w:t>
      </w:r>
      <w:r>
        <w:rPr>
          <w:rFonts w:cs="TimesNewRomanPSMT"/>
          <w:color w:val="000000"/>
          <w:lang w:val="en-US"/>
        </w:rPr>
        <w:t xml:space="preserve"> </w:t>
      </w:r>
      <w:r w:rsidRPr="00407FC1">
        <w:rPr>
          <w:rFonts w:cs="TimesNewRomanPSMT"/>
          <w:color w:val="000000"/>
          <w:lang w:val="en-US"/>
        </w:rPr>
        <w:t>FDA</w:t>
      </w:r>
      <w:r w:rsidR="006D7271">
        <w:rPr>
          <w:rFonts w:cs="TimesNewRomanPSMT"/>
          <w:color w:val="000000"/>
          <w:lang w:val="en-US"/>
        </w:rPr>
        <w:noBreakHyphen/>
      </w:r>
      <w:r w:rsidRPr="00407FC1">
        <w:rPr>
          <w:rFonts w:cs="TimesNewRomanPSMT"/>
          <w:color w:val="000000"/>
          <w:lang w:val="en-US"/>
        </w:rPr>
        <w:t xml:space="preserve">defined snapshot algorithm based on the </w:t>
      </w:r>
      <w:r w:rsidR="00953E25">
        <w:rPr>
          <w:rFonts w:cs="TimesNewRomanPSMT"/>
          <w:color w:val="000000"/>
          <w:lang w:val="en-US"/>
        </w:rPr>
        <w:t>full analysis set</w:t>
      </w:r>
      <w:r w:rsidRPr="00AA63BA">
        <w:rPr>
          <w:rFonts w:cs="TimesNewRomanPSMT"/>
          <w:color w:val="000000"/>
          <w:lang w:val="en-US"/>
        </w:rPr>
        <w:t xml:space="preserve"> was numerically higher in participants aged </w:t>
      </w:r>
      <w:r>
        <w:rPr>
          <w:rFonts w:cs="TimesNewRomanPSMT"/>
          <w:color w:val="000000"/>
          <w:lang w:val="en-US"/>
        </w:rPr>
        <w:t>under</w:t>
      </w:r>
      <w:r w:rsidRPr="00AA63BA">
        <w:rPr>
          <w:rFonts w:cs="TimesNewRomanPSMT"/>
          <w:color w:val="000000"/>
          <w:lang w:val="en-US"/>
        </w:rPr>
        <w:t xml:space="preserve"> 50 years, in female </w:t>
      </w:r>
      <w:r>
        <w:rPr>
          <w:rFonts w:cs="TimesNewRomanPSMT"/>
          <w:color w:val="000000"/>
          <w:lang w:val="en-US"/>
        </w:rPr>
        <w:t>patients</w:t>
      </w:r>
      <w:r w:rsidRPr="00AA63BA">
        <w:rPr>
          <w:rFonts w:cs="TimesNewRomanPSMT"/>
          <w:color w:val="000000"/>
          <w:lang w:val="en-US"/>
        </w:rPr>
        <w:t xml:space="preserve">, </w:t>
      </w:r>
      <w:r>
        <w:rPr>
          <w:rFonts w:cs="TimesNewRomanPSMT"/>
          <w:color w:val="000000"/>
          <w:lang w:val="en-US"/>
        </w:rPr>
        <w:t>patients</w:t>
      </w:r>
      <w:r w:rsidRPr="00AA63BA">
        <w:rPr>
          <w:rFonts w:cs="TimesNewRomanPSMT"/>
          <w:color w:val="000000"/>
          <w:lang w:val="en-US"/>
        </w:rPr>
        <w:t xml:space="preserve"> with baseline CD4 cell count </w:t>
      </w:r>
      <w:r>
        <w:rPr>
          <w:rFonts w:cs="TimesNewRomanPSMT"/>
          <w:color w:val="000000"/>
          <w:lang w:val="en-US"/>
        </w:rPr>
        <w:t>of</w:t>
      </w:r>
      <w:r w:rsidRPr="00AA63BA">
        <w:rPr>
          <w:rFonts w:cs="TimesNewRomanPSMT"/>
          <w:color w:val="000000"/>
          <w:lang w:val="en-US"/>
        </w:rPr>
        <w:t xml:space="preserve"> 200</w:t>
      </w:r>
      <w:r>
        <w:rPr>
          <w:rFonts w:cs="TimesNewRomanPSMT"/>
          <w:color w:val="000000"/>
          <w:lang w:val="en-US"/>
        </w:rPr>
        <w:t> </w:t>
      </w:r>
      <w:r w:rsidRPr="00AA63BA">
        <w:rPr>
          <w:rFonts w:cs="TimesNewRomanPSMT"/>
          <w:color w:val="000000"/>
          <w:lang w:val="en-US"/>
        </w:rPr>
        <w:t>cells/μL</w:t>
      </w:r>
      <w:r>
        <w:rPr>
          <w:rFonts w:cs="TimesNewRomanPSMT"/>
          <w:color w:val="000000"/>
          <w:lang w:val="en-US"/>
        </w:rPr>
        <w:t xml:space="preserve"> or more</w:t>
      </w:r>
      <w:r w:rsidRPr="00AA63BA">
        <w:rPr>
          <w:rFonts w:cs="TimesNewRomanPSMT"/>
          <w:color w:val="000000"/>
          <w:lang w:val="en-US"/>
        </w:rPr>
        <w:t xml:space="preserve">, and </w:t>
      </w:r>
      <w:r>
        <w:rPr>
          <w:rFonts w:cs="TimesNewRomanPSMT"/>
          <w:color w:val="000000"/>
          <w:lang w:val="en-US"/>
        </w:rPr>
        <w:t>patients</w:t>
      </w:r>
      <w:r w:rsidRPr="00AA63BA">
        <w:rPr>
          <w:rFonts w:cs="TimesNewRomanPSMT"/>
          <w:color w:val="000000"/>
          <w:lang w:val="en-US"/>
        </w:rPr>
        <w:t xml:space="preserve"> with baseline viral load </w:t>
      </w:r>
      <w:r>
        <w:rPr>
          <w:rFonts w:cs="TimesNewRomanPSMT"/>
          <w:color w:val="000000"/>
          <w:lang w:val="en-US"/>
        </w:rPr>
        <w:t xml:space="preserve">of </w:t>
      </w:r>
      <w:r w:rsidRPr="00AA63BA">
        <w:rPr>
          <w:rFonts w:cs="TimesNewRomanPSMT"/>
          <w:color w:val="000000"/>
          <w:lang w:val="en-US"/>
        </w:rPr>
        <w:t>100,000</w:t>
      </w:r>
      <w:r>
        <w:rPr>
          <w:rFonts w:cs="TimesNewRomanPSMT"/>
          <w:color w:val="000000"/>
          <w:lang w:val="en-US"/>
        </w:rPr>
        <w:t> </w:t>
      </w:r>
      <w:r w:rsidRPr="00AA63BA">
        <w:rPr>
          <w:rFonts w:cs="TimesNewRomanPSMT"/>
          <w:color w:val="000000"/>
          <w:lang w:val="en-US"/>
        </w:rPr>
        <w:t>copies/mL</w:t>
      </w:r>
      <w:r>
        <w:rPr>
          <w:rFonts w:cs="TimesNewRomanPSMT"/>
          <w:color w:val="000000"/>
          <w:lang w:val="en-US"/>
        </w:rPr>
        <w:t xml:space="preserve"> or less</w:t>
      </w:r>
      <w:r w:rsidRPr="00407FC1">
        <w:rPr>
          <w:rFonts w:cs="TimesNewRomanPSMT"/>
          <w:color w:val="000000"/>
          <w:lang w:val="en-US"/>
        </w:rPr>
        <w:t>.</w:t>
      </w:r>
    </w:p>
    <w:p w14:paraId="5E6B9BFA" w14:textId="74EC97D4" w:rsidR="00206803" w:rsidRDefault="00063F39" w:rsidP="00206803">
      <w:pPr>
        <w:rPr>
          <w:rFonts w:cs="TimesNewRomanPSMT"/>
          <w:color w:val="000000"/>
          <w:lang w:val="en-US"/>
        </w:rPr>
      </w:pPr>
      <w:r w:rsidRPr="00356674">
        <w:rPr>
          <w:rFonts w:cs="TimesNewRomanPSMT"/>
          <w:color w:val="000000"/>
          <w:lang w:val="en-US"/>
        </w:rPr>
        <w:t xml:space="preserve">At Week 52, the proportion was numerically higher in </w:t>
      </w:r>
      <w:r w:rsidRPr="00356674">
        <w:t>patients that were female, non</w:t>
      </w:r>
      <w:r w:rsidR="006D7271">
        <w:noBreakHyphen/>
      </w:r>
      <w:r w:rsidRPr="00356674">
        <w:t xml:space="preserve">black, and </w:t>
      </w:r>
      <w:r w:rsidRPr="00356674">
        <w:rPr>
          <w:rFonts w:cs="TimesNewRomanPSMT"/>
          <w:color w:val="000000"/>
          <w:lang w:val="en-US"/>
        </w:rPr>
        <w:t xml:space="preserve">patients with baseline CD4 cell count </w:t>
      </w:r>
      <w:r>
        <w:rPr>
          <w:rFonts w:cs="TimesNewRomanPSMT"/>
          <w:color w:val="000000"/>
          <w:lang w:val="en-US"/>
        </w:rPr>
        <w:t>of</w:t>
      </w:r>
      <w:r w:rsidRPr="00356674">
        <w:rPr>
          <w:rFonts w:cs="TimesNewRomanPSMT"/>
          <w:color w:val="000000"/>
          <w:lang w:val="en-US"/>
        </w:rPr>
        <w:t xml:space="preserve"> 200</w:t>
      </w:r>
      <w:r w:rsidR="00530247">
        <w:rPr>
          <w:rFonts w:cs="TimesNewRomanPSMT"/>
          <w:color w:val="000000"/>
          <w:lang w:val="en-US"/>
        </w:rPr>
        <w:t> </w:t>
      </w:r>
      <w:r w:rsidRPr="00356674">
        <w:rPr>
          <w:rFonts w:cs="TimesNewRomanPSMT"/>
          <w:color w:val="000000"/>
          <w:lang w:val="en-US"/>
        </w:rPr>
        <w:t>cells/μL</w:t>
      </w:r>
      <w:r>
        <w:rPr>
          <w:rFonts w:cs="TimesNewRomanPSMT"/>
          <w:color w:val="000000"/>
          <w:lang w:val="en-US"/>
        </w:rPr>
        <w:t xml:space="preserve"> or more</w:t>
      </w:r>
      <w:r w:rsidRPr="00356674">
        <w:rPr>
          <w:rFonts w:cs="TimesNewRomanPSMT"/>
          <w:color w:val="000000"/>
          <w:lang w:val="en-US"/>
        </w:rPr>
        <w:t xml:space="preserve">, and patients with baseline viral load </w:t>
      </w:r>
      <w:r>
        <w:rPr>
          <w:rFonts w:cs="TimesNewRomanPSMT"/>
          <w:color w:val="000000"/>
          <w:lang w:val="en-US"/>
        </w:rPr>
        <w:t>of</w:t>
      </w:r>
      <w:r w:rsidRPr="00356674">
        <w:rPr>
          <w:rFonts w:cs="TimesNewRomanPSMT"/>
          <w:color w:val="000000"/>
          <w:lang w:val="en-US"/>
        </w:rPr>
        <w:t xml:space="preserve"> 100,000</w:t>
      </w:r>
      <w:r w:rsidR="00530247">
        <w:rPr>
          <w:rFonts w:cs="TimesNewRomanPSMT"/>
          <w:color w:val="000000"/>
          <w:lang w:val="en-US"/>
        </w:rPr>
        <w:t> </w:t>
      </w:r>
      <w:r w:rsidRPr="00356674">
        <w:rPr>
          <w:rFonts w:cs="TimesNewRomanPSMT"/>
          <w:color w:val="000000"/>
          <w:lang w:val="en-US"/>
        </w:rPr>
        <w:t>copies/mL</w:t>
      </w:r>
      <w:r>
        <w:rPr>
          <w:rFonts w:cs="TimesNewRomanPSMT"/>
          <w:color w:val="000000"/>
          <w:lang w:val="en-US"/>
        </w:rPr>
        <w:t xml:space="preserve"> or less</w:t>
      </w:r>
      <w:r w:rsidRPr="00356674">
        <w:rPr>
          <w:rFonts w:cs="TimesNewRomanPSMT"/>
          <w:color w:val="000000"/>
          <w:lang w:val="en-US"/>
        </w:rPr>
        <w:t>.</w:t>
      </w:r>
    </w:p>
    <w:p w14:paraId="729E6C8D" w14:textId="316266B7" w:rsidR="00F341EC" w:rsidRPr="00DE7368" w:rsidRDefault="00063F39" w:rsidP="00F341EC">
      <w:pPr>
        <w:pStyle w:val="Heading5"/>
      </w:pPr>
      <w:bookmarkStart w:id="64" w:name="_Toc290888504"/>
      <w:bookmarkStart w:id="65" w:name="_Toc416353720"/>
      <w:bookmarkEnd w:id="63"/>
      <w:r w:rsidRPr="00300796">
        <w:t>Study</w:t>
      </w:r>
      <w:bookmarkEnd w:id="64"/>
      <w:r w:rsidRPr="00300796">
        <w:t xml:space="preserve"> </w:t>
      </w:r>
      <w:bookmarkEnd w:id="65"/>
      <w:r>
        <w:t>GS</w:t>
      </w:r>
      <w:r w:rsidR="006D7271">
        <w:noBreakHyphen/>
      </w:r>
      <w:r>
        <w:t>US</w:t>
      </w:r>
      <w:r w:rsidR="006D7271">
        <w:noBreakHyphen/>
      </w:r>
      <w:r>
        <w:t>200</w:t>
      </w:r>
      <w:r w:rsidR="006D7271">
        <w:noBreakHyphen/>
      </w:r>
      <w:r>
        <w:t>4334</w:t>
      </w:r>
      <w:bookmarkStart w:id="66" w:name="_Toc290888505"/>
      <w:bookmarkStart w:id="67" w:name="_Toc416353721"/>
      <w:r w:rsidR="00E64694">
        <w:t xml:space="preserve"> </w:t>
      </w:r>
      <w:r w:rsidR="00E64694" w:rsidRPr="00FF24BD">
        <w:t>(CALIBRATE</w:t>
      </w:r>
      <w:r w:rsidR="00E64694">
        <w:t>)</w:t>
      </w:r>
    </w:p>
    <w:p w14:paraId="42B75BC7" w14:textId="77777777" w:rsidR="00F341EC" w:rsidRDefault="00063F39" w:rsidP="00F341EC">
      <w:pPr>
        <w:pStyle w:val="Heading6"/>
        <w:spacing w:line="240" w:lineRule="auto"/>
      </w:pPr>
      <w:r w:rsidRPr="00126B56">
        <w:t>Design</w:t>
      </w:r>
    </w:p>
    <w:p w14:paraId="0F48B331" w14:textId="6D89A45B" w:rsidR="00F341EC" w:rsidRPr="00E64694" w:rsidRDefault="00063F39" w:rsidP="00E64694">
      <w:r w:rsidRPr="00E64694">
        <w:t>Study GS</w:t>
      </w:r>
      <w:r w:rsidR="006D7271">
        <w:noBreakHyphen/>
      </w:r>
      <w:r w:rsidRPr="00E64694">
        <w:t>US</w:t>
      </w:r>
      <w:r w:rsidR="006D7271">
        <w:noBreakHyphen/>
      </w:r>
      <w:r w:rsidRPr="00E64694">
        <w:t>200</w:t>
      </w:r>
      <w:r w:rsidR="006D7271">
        <w:noBreakHyphen/>
      </w:r>
      <w:r w:rsidRPr="00E64694">
        <w:t>4334 is a Phase II, ongoing, randomised, open</w:t>
      </w:r>
      <w:r w:rsidR="006D7271">
        <w:noBreakHyphen/>
      </w:r>
      <w:r w:rsidRPr="00E64694">
        <w:t>label, multi</w:t>
      </w:r>
      <w:r w:rsidR="006D7271">
        <w:noBreakHyphen/>
      </w:r>
      <w:r w:rsidRPr="00E64694">
        <w:t>centre (41 centres in 2 countries), parallel</w:t>
      </w:r>
      <w:r w:rsidR="006D7271">
        <w:noBreakHyphen/>
      </w:r>
      <w:r w:rsidRPr="00E64694">
        <w:t>group, active</w:t>
      </w:r>
      <w:r w:rsidR="006D7271">
        <w:noBreakHyphen/>
      </w:r>
      <w:r w:rsidRPr="00E64694">
        <w:t xml:space="preserve">controlled study to assess the efficacy and safety of </w:t>
      </w:r>
      <w:r w:rsidRPr="00E64694">
        <w:lastRenderedPageBreak/>
        <w:t>GS</w:t>
      </w:r>
      <w:r w:rsidR="006D7271">
        <w:noBreakHyphen/>
      </w:r>
      <w:r w:rsidRPr="00E64694">
        <w:t>6207 (lenacapavir) in combination with other retroviral agents in 182 adult treatment</w:t>
      </w:r>
      <w:r w:rsidR="006D7271">
        <w:noBreakHyphen/>
      </w:r>
      <w:r w:rsidRPr="00E64694">
        <w:t>naïve people with HIV aged 18 years and older.</w:t>
      </w:r>
    </w:p>
    <w:p w14:paraId="730F26BB" w14:textId="3A1E6107" w:rsidR="00F341EC" w:rsidRPr="00E64694" w:rsidRDefault="00063F39" w:rsidP="00E64694">
      <w:r w:rsidRPr="00E64694">
        <w:t>Treatment</w:t>
      </w:r>
      <w:r w:rsidR="006D7271">
        <w:noBreakHyphen/>
      </w:r>
      <w:r w:rsidRPr="00E64694">
        <w:t>na</w:t>
      </w:r>
      <w:r w:rsidR="00E64694" w:rsidRPr="00E64694">
        <w:t>i</w:t>
      </w:r>
      <w:r w:rsidRPr="00E64694">
        <w:t xml:space="preserve">ve </w:t>
      </w:r>
      <w:r w:rsidR="00E64694" w:rsidRPr="00E64694">
        <w:t xml:space="preserve">people with HIV </w:t>
      </w:r>
      <w:r w:rsidRPr="00E64694">
        <w:t>who met all eligibility criteria were randomised in a 2:2:2:1 ratio to 1 of the 4 treatment groups (</w:t>
      </w:r>
      <w:r w:rsidR="000623A2">
        <w:fldChar w:fldCharType="begin"/>
      </w:r>
      <w:r w:rsidR="000623A2">
        <w:instrText xml:space="preserve"> REF _Ref156900987 \h </w:instrText>
      </w:r>
      <w:r w:rsidR="000623A2">
        <w:fldChar w:fldCharType="separate"/>
      </w:r>
      <w:r w:rsidR="000623A2">
        <w:t xml:space="preserve">Figure </w:t>
      </w:r>
      <w:r w:rsidR="000623A2">
        <w:rPr>
          <w:noProof/>
        </w:rPr>
        <w:t>4</w:t>
      </w:r>
      <w:r w:rsidR="000623A2">
        <w:fldChar w:fldCharType="end"/>
      </w:r>
      <w:r w:rsidRPr="00E64694">
        <w:t>). Randomisation was stratified by HIV</w:t>
      </w:r>
      <w:r w:rsidR="006D7271">
        <w:noBreakHyphen/>
      </w:r>
      <w:r w:rsidRPr="00E64694">
        <w:t>1 RNA level (100,000</w:t>
      </w:r>
      <w:r w:rsidR="00E64694" w:rsidRPr="00E64694">
        <w:t> </w:t>
      </w:r>
      <w:r w:rsidRPr="00E64694">
        <w:t>copies/mL</w:t>
      </w:r>
      <w:r w:rsidR="00E64694" w:rsidRPr="00E64694">
        <w:t xml:space="preserve"> and less,</w:t>
      </w:r>
      <w:r w:rsidRPr="00E64694">
        <w:t xml:space="preserve"> or </w:t>
      </w:r>
      <w:r w:rsidR="00E64694" w:rsidRPr="00E64694">
        <w:t xml:space="preserve">over </w:t>
      </w:r>
      <w:r w:rsidRPr="00E64694">
        <w:t>100,000</w:t>
      </w:r>
      <w:r w:rsidR="00E64694" w:rsidRPr="00E64694">
        <w:t> </w:t>
      </w:r>
      <w:r w:rsidRPr="00E64694">
        <w:t>copies/mL) at screening.</w:t>
      </w:r>
    </w:p>
    <w:p w14:paraId="274DBC29" w14:textId="5283AF1C" w:rsidR="00F341EC" w:rsidRPr="00E64694" w:rsidRDefault="00063F39" w:rsidP="00E64694">
      <w:r w:rsidRPr="00E64694">
        <w:t>The study was conducted from 22 Nov</w:t>
      </w:r>
      <w:r w:rsidR="00E64694" w:rsidRPr="00E64694">
        <w:t>ember</w:t>
      </w:r>
      <w:r w:rsidRPr="00E64694">
        <w:t xml:space="preserve"> 2019 to 26 Mar</w:t>
      </w:r>
      <w:r w:rsidR="00E64694" w:rsidRPr="00E64694">
        <w:t>ch</w:t>
      </w:r>
      <w:r w:rsidRPr="00E64694">
        <w:t xml:space="preserve"> 2021 (last patient observation for interim report).</w:t>
      </w:r>
    </w:p>
    <w:p w14:paraId="6C383DD8" w14:textId="156E4535" w:rsidR="00F341EC" w:rsidRPr="00E64694" w:rsidRDefault="00063F39" w:rsidP="00E64694">
      <w:r w:rsidRPr="00E64694">
        <w:t>The primary objective was to evaluate efficacy of lenacapavir</w:t>
      </w:r>
      <w:r w:rsidR="006D7271">
        <w:noBreakHyphen/>
      </w:r>
      <w:r w:rsidRPr="00E64694">
        <w:t xml:space="preserve">containing regimens in </w:t>
      </w:r>
      <w:r w:rsidR="00E64694" w:rsidRPr="00E64694">
        <w:t>people with HIV</w:t>
      </w:r>
      <w:r w:rsidRPr="00E64694">
        <w:t xml:space="preserve"> determined by proportion of participants with HIV</w:t>
      </w:r>
      <w:r w:rsidR="006D7271">
        <w:noBreakHyphen/>
      </w:r>
      <w:r w:rsidRPr="00E64694">
        <w:t>1 RNA</w:t>
      </w:r>
      <w:r w:rsidR="00E64694" w:rsidRPr="00E64694">
        <w:t xml:space="preserve"> less than </w:t>
      </w:r>
      <w:r w:rsidRPr="00E64694">
        <w:t>50</w:t>
      </w:r>
      <w:r w:rsidR="00E64694" w:rsidRPr="00E64694">
        <w:t> </w:t>
      </w:r>
      <w:r w:rsidRPr="00E64694">
        <w:t>copies/m</w:t>
      </w:r>
      <w:r w:rsidR="00E64694" w:rsidRPr="00E64694">
        <w:t>L</w:t>
      </w:r>
      <w:r w:rsidRPr="00E64694">
        <w:t xml:space="preserve"> at Week 54.</w:t>
      </w:r>
    </w:p>
    <w:p w14:paraId="0D3E8715" w14:textId="77777777" w:rsidR="00E64694" w:rsidRPr="00E64694" w:rsidRDefault="00063F39" w:rsidP="00E64694">
      <w:pPr>
        <w:pStyle w:val="Heading7"/>
      </w:pPr>
      <w:r w:rsidRPr="00E64694">
        <w:t>Key</w:t>
      </w:r>
      <w:r w:rsidR="00F341EC" w:rsidRPr="00E64694">
        <w:t xml:space="preserve"> inclusion criteria</w:t>
      </w:r>
    </w:p>
    <w:p w14:paraId="7CA1CCD9" w14:textId="77777777" w:rsidR="00E64694" w:rsidRDefault="00063F39" w:rsidP="00E64694">
      <w:pPr>
        <w:pStyle w:val="ListBullet"/>
      </w:pPr>
      <w:r>
        <w:t>A</w:t>
      </w:r>
      <w:r w:rsidR="00F341EC" w:rsidRPr="00E64694">
        <w:t>ge 18 years</w:t>
      </w:r>
      <w:r>
        <w:t xml:space="preserve"> and older</w:t>
      </w:r>
    </w:p>
    <w:p w14:paraId="2238FD5C" w14:textId="17451427" w:rsidR="00E64694" w:rsidRDefault="00063F39" w:rsidP="00E64694">
      <w:pPr>
        <w:pStyle w:val="ListBullet"/>
      </w:pPr>
      <w:r w:rsidRPr="00E64694">
        <w:t xml:space="preserve">ARV </w:t>
      </w:r>
      <w:r>
        <w:t>naïve</w:t>
      </w:r>
    </w:p>
    <w:p w14:paraId="71DC50A2" w14:textId="3CCA12F9" w:rsidR="00E64694" w:rsidRDefault="00063F39" w:rsidP="00E64694">
      <w:pPr>
        <w:pStyle w:val="ListBullet"/>
      </w:pPr>
      <w:r w:rsidRPr="00E64694">
        <w:t>plasma HIV</w:t>
      </w:r>
      <w:r w:rsidR="006D7271">
        <w:noBreakHyphen/>
      </w:r>
      <w:r w:rsidRPr="00E64694">
        <w:t xml:space="preserve">1 RNA </w:t>
      </w:r>
      <w:r>
        <w:t xml:space="preserve">of </w:t>
      </w:r>
      <w:r w:rsidRPr="00E64694">
        <w:t xml:space="preserve">200 copies/mL </w:t>
      </w:r>
      <w:r>
        <w:t>and greater</w:t>
      </w:r>
    </w:p>
    <w:p w14:paraId="081BA157" w14:textId="56F40C30" w:rsidR="00E64694" w:rsidRDefault="00063F39" w:rsidP="00E64694">
      <w:pPr>
        <w:pStyle w:val="ListBullet"/>
      </w:pPr>
      <w:r>
        <w:t>plasma</w:t>
      </w:r>
      <w:r w:rsidR="00F341EC" w:rsidRPr="00E64694">
        <w:t xml:space="preserve"> CD4 cell count </w:t>
      </w:r>
      <w:r>
        <w:t xml:space="preserve">of </w:t>
      </w:r>
      <w:r w:rsidR="00F341EC" w:rsidRPr="00E64694">
        <w:t>200 cells/μL</w:t>
      </w:r>
      <w:r>
        <w:t xml:space="preserve"> and greater</w:t>
      </w:r>
    </w:p>
    <w:p w14:paraId="44A97636" w14:textId="2A44EF70" w:rsidR="00F341EC" w:rsidRPr="00E64694" w:rsidRDefault="00063F39" w:rsidP="00E64694">
      <w:pPr>
        <w:pStyle w:val="ListBullet"/>
      </w:pPr>
      <w:r w:rsidRPr="00E64694">
        <w:t>negative serum pregnancy test.</w:t>
      </w:r>
    </w:p>
    <w:p w14:paraId="4BFAC710" w14:textId="77777777" w:rsidR="00E64694" w:rsidRPr="00E64694" w:rsidRDefault="00063F39" w:rsidP="00E64694">
      <w:pPr>
        <w:pStyle w:val="Heading7"/>
      </w:pPr>
      <w:r w:rsidRPr="00E64694">
        <w:t>Key</w:t>
      </w:r>
      <w:r w:rsidR="00F341EC" w:rsidRPr="00E64694">
        <w:t xml:space="preserve"> exclusion criteria</w:t>
      </w:r>
    </w:p>
    <w:p w14:paraId="126FBC9C" w14:textId="23D76B67" w:rsidR="00E64694" w:rsidRDefault="005C49E4" w:rsidP="00E64694">
      <w:pPr>
        <w:pStyle w:val="ListBullet"/>
      </w:pPr>
      <w:r>
        <w:t>O</w:t>
      </w:r>
      <w:r w:rsidR="00063F39" w:rsidRPr="00E64694">
        <w:t>pportunistic illness requiring acute therapy, active serious infections, acute hepatitis within 30 days prior to screening</w:t>
      </w:r>
    </w:p>
    <w:p w14:paraId="2A13AF38" w14:textId="33D1FE89" w:rsidR="00E64694" w:rsidRDefault="00063F39" w:rsidP="00E64694">
      <w:pPr>
        <w:pStyle w:val="ListBullet"/>
      </w:pPr>
      <w:r w:rsidRPr="00E64694">
        <w:t xml:space="preserve">active </w:t>
      </w:r>
      <w:r>
        <w:t>tuberculosis</w:t>
      </w:r>
    </w:p>
    <w:p w14:paraId="39254389" w14:textId="77777777" w:rsidR="00B86A91" w:rsidRDefault="00063F39" w:rsidP="00E64694">
      <w:pPr>
        <w:pStyle w:val="ListBullet"/>
      </w:pPr>
      <w:r w:rsidRPr="00E64694">
        <w:t>HBV infection</w:t>
      </w:r>
    </w:p>
    <w:p w14:paraId="1D18ED6F" w14:textId="77777777" w:rsidR="00B86A91" w:rsidRDefault="00063F39" w:rsidP="00E64694">
      <w:pPr>
        <w:pStyle w:val="ListBullet"/>
      </w:pPr>
      <w:r w:rsidRPr="00E64694">
        <w:t xml:space="preserve">HCV antibody positive and HCV RNA </w:t>
      </w:r>
      <w:r>
        <w:t>greater than lower limit of quantification</w:t>
      </w:r>
    </w:p>
    <w:p w14:paraId="644CA580" w14:textId="77777777" w:rsidR="00B86A91" w:rsidRDefault="00063F39" w:rsidP="00E64694">
      <w:pPr>
        <w:pStyle w:val="ListBullet"/>
      </w:pPr>
      <w:r w:rsidRPr="00E64694">
        <w:t>history of or current clinical decompensated liver cirrhosis</w:t>
      </w:r>
    </w:p>
    <w:p w14:paraId="5C2BAB42" w14:textId="77777777" w:rsidR="00B86A91" w:rsidRDefault="00063F39" w:rsidP="00E64694">
      <w:pPr>
        <w:pStyle w:val="ListBullet"/>
      </w:pPr>
      <w:r w:rsidRPr="00E64694">
        <w:t>immunosuppressant therapies</w:t>
      </w:r>
    </w:p>
    <w:p w14:paraId="40CD3686" w14:textId="77777777" w:rsidR="00B86A91" w:rsidRDefault="00063F39" w:rsidP="00E64694">
      <w:pPr>
        <w:pStyle w:val="ListBullet"/>
      </w:pPr>
      <w:r w:rsidRPr="00E64694">
        <w:t>acute therapy for malignancy (except local cutaneous Kaposi sarcoma)</w:t>
      </w:r>
    </w:p>
    <w:p w14:paraId="4E4BBCED" w14:textId="77777777" w:rsidR="00B86A91" w:rsidRDefault="00063F39" w:rsidP="00E64694">
      <w:pPr>
        <w:pStyle w:val="ListBullet"/>
      </w:pPr>
      <w:r w:rsidRPr="00E64694">
        <w:t>abnormal ECG or certain laboratory values</w:t>
      </w:r>
    </w:p>
    <w:p w14:paraId="59C62F50" w14:textId="5D664F6C" w:rsidR="00B86A91" w:rsidRDefault="00063F39" w:rsidP="00E64694">
      <w:pPr>
        <w:pStyle w:val="ListBullet"/>
      </w:pPr>
      <w:r w:rsidRPr="00E64694">
        <w:t xml:space="preserve">prior </w:t>
      </w:r>
      <w:r w:rsidR="003A4339">
        <w:t>lenacapavir</w:t>
      </w:r>
      <w:r w:rsidRPr="00E64694">
        <w:t xml:space="preserve"> use/exposure</w:t>
      </w:r>
    </w:p>
    <w:p w14:paraId="3428E171" w14:textId="4799223A" w:rsidR="00F341EC" w:rsidRDefault="00063F39" w:rsidP="00E64694">
      <w:pPr>
        <w:pStyle w:val="ListBullet"/>
      </w:pPr>
      <w:r w:rsidRPr="00E64694">
        <w:t>use or planned use of exclusionary medications.</w:t>
      </w:r>
    </w:p>
    <w:p w14:paraId="58C2EF53" w14:textId="5C7A1FB4" w:rsidR="00B86A91" w:rsidRDefault="00063F39" w:rsidP="00D346C7">
      <w:pPr>
        <w:pStyle w:val="FigureTitle"/>
        <w:keepNext/>
      </w:pPr>
      <w:bookmarkStart w:id="68" w:name="_Ref149291499"/>
      <w:r>
        <w:lastRenderedPageBreak/>
        <w:t xml:space="preserve">Figure </w:t>
      </w:r>
      <w:r w:rsidR="006250B8">
        <w:fldChar w:fldCharType="begin"/>
      </w:r>
      <w:r w:rsidR="006250B8">
        <w:instrText xml:space="preserve"> SEQ Figure \* ARABIC </w:instrText>
      </w:r>
      <w:r w:rsidR="006250B8">
        <w:fldChar w:fldCharType="separate"/>
      </w:r>
      <w:r w:rsidR="000623A2">
        <w:rPr>
          <w:noProof/>
        </w:rPr>
        <w:t>5</w:t>
      </w:r>
      <w:r w:rsidR="006250B8">
        <w:rPr>
          <w:noProof/>
        </w:rPr>
        <w:fldChar w:fldCharType="end"/>
      </w:r>
      <w:bookmarkEnd w:id="68"/>
      <w:r>
        <w:t>: Study GS</w:t>
      </w:r>
      <w:r w:rsidR="006D7271">
        <w:noBreakHyphen/>
      </w:r>
      <w:r>
        <w:t>US</w:t>
      </w:r>
      <w:r w:rsidR="006D7271">
        <w:noBreakHyphen/>
      </w:r>
      <w:r>
        <w:t>200</w:t>
      </w:r>
      <w:r w:rsidR="006D7271">
        <w:noBreakHyphen/>
      </w:r>
      <w:r>
        <w:t xml:space="preserve">4334 </w:t>
      </w:r>
      <w:r w:rsidR="000623A2">
        <w:t xml:space="preserve">(CALIBRATE) </w:t>
      </w:r>
      <w:r>
        <w:t>Study design schema</w:t>
      </w:r>
    </w:p>
    <w:p w14:paraId="1F5D6E24" w14:textId="0325D0B3" w:rsidR="00F341EC" w:rsidRDefault="00063F39" w:rsidP="005C49E4">
      <w:pPr>
        <w:rPr>
          <w:rFonts w:ascii="Calibri" w:hAnsi="Calibri" w:cs="Calibri"/>
          <w:sz w:val="20"/>
          <w:lang w:val="en-US"/>
        </w:rPr>
      </w:pPr>
      <w:r>
        <w:rPr>
          <w:noProof/>
        </w:rPr>
        <w:drawing>
          <wp:inline distT="0" distB="0" distL="0" distR="0" wp14:anchorId="55FF40BF" wp14:editId="3C63CFDB">
            <wp:extent cx="5759450" cy="2820035"/>
            <wp:effectExtent l="0" t="0" r="0" b="0"/>
            <wp:docPr id="3" name="Picture 3" descr="Schema for 175 treatment naive participants into 4 groups. Baseline, induction and maintenance to We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hema for 175 treatment naive participants into 4 groups. Baseline, induction and maintenance to Week 80."/>
                    <pic:cNvPicPr/>
                  </pic:nvPicPr>
                  <pic:blipFill>
                    <a:blip r:embed="rId31"/>
                    <a:stretch>
                      <a:fillRect/>
                    </a:stretch>
                  </pic:blipFill>
                  <pic:spPr>
                    <a:xfrm>
                      <a:off x="0" y="0"/>
                      <a:ext cx="5759450" cy="2820035"/>
                    </a:xfrm>
                    <a:prstGeom prst="rect">
                      <a:avLst/>
                    </a:prstGeom>
                  </pic:spPr>
                </pic:pic>
              </a:graphicData>
            </a:graphic>
          </wp:inline>
        </w:drawing>
      </w:r>
    </w:p>
    <w:bookmarkEnd w:id="66"/>
    <w:bookmarkEnd w:id="67"/>
    <w:p w14:paraId="72FA7CD8" w14:textId="77777777" w:rsidR="00B86A91" w:rsidRDefault="00063F39" w:rsidP="00B86A91">
      <w:pPr>
        <w:pStyle w:val="Heading7"/>
        <w:rPr>
          <w:lang w:eastAsia="ja-JP"/>
        </w:rPr>
      </w:pPr>
      <w:r w:rsidRPr="0070553F">
        <w:rPr>
          <w:lang w:eastAsia="ja-JP"/>
        </w:rPr>
        <w:t>Study treatments</w:t>
      </w:r>
    </w:p>
    <w:p w14:paraId="4E06E18C" w14:textId="0FFF5E32" w:rsidR="00F341EC" w:rsidRDefault="00063F39" w:rsidP="00F341EC">
      <w:pPr>
        <w:spacing w:line="240" w:lineRule="auto"/>
        <w:rPr>
          <w:lang w:eastAsia="ja-JP"/>
        </w:rPr>
      </w:pPr>
      <w:r>
        <w:rPr>
          <w:lang w:eastAsia="ja-JP"/>
        </w:rPr>
        <w:t>The study treatments</w:t>
      </w:r>
      <w:r w:rsidRPr="00E47E52">
        <w:rPr>
          <w:lang w:eastAsia="ja-JP"/>
        </w:rPr>
        <w:t xml:space="preserve"> are summ</w:t>
      </w:r>
      <w:r w:rsidRPr="0070553F">
        <w:rPr>
          <w:lang w:eastAsia="ja-JP"/>
        </w:rPr>
        <w:t xml:space="preserve">arised in </w:t>
      </w:r>
      <w:r>
        <w:rPr>
          <w:lang w:eastAsia="ja-JP"/>
        </w:rPr>
        <w:t xml:space="preserve">the table </w:t>
      </w:r>
      <w:r w:rsidRPr="0070553F">
        <w:rPr>
          <w:lang w:eastAsia="ja-JP"/>
        </w:rPr>
        <w:t>below</w:t>
      </w:r>
      <w:r>
        <w:rPr>
          <w:lang w:eastAsia="ja-JP"/>
        </w:rPr>
        <w:t>.</w:t>
      </w:r>
    </w:p>
    <w:p w14:paraId="52CD5B63" w14:textId="0CE0ADB5" w:rsidR="00B86A91" w:rsidRDefault="00063F39" w:rsidP="00B86A91">
      <w:pPr>
        <w:pStyle w:val="TableTitle"/>
      </w:pPr>
      <w:r>
        <w:t xml:space="preserve">Table </w:t>
      </w:r>
      <w:r w:rsidR="00B3560F">
        <w:fldChar w:fldCharType="begin"/>
      </w:r>
      <w:r>
        <w:instrText xml:space="preserve"> SEQ Table \* ARABIC </w:instrText>
      </w:r>
      <w:r w:rsidR="00B3560F">
        <w:fldChar w:fldCharType="separate"/>
      </w:r>
      <w:r w:rsidR="000623A2">
        <w:rPr>
          <w:noProof/>
        </w:rPr>
        <w:t>9</w:t>
      </w:r>
      <w:r w:rsidR="00B3560F">
        <w:rPr>
          <w:noProof/>
        </w:rPr>
        <w:fldChar w:fldCharType="end"/>
      </w:r>
      <w:r>
        <w:t>: Study GS</w:t>
      </w:r>
      <w:r w:rsidR="006D7271">
        <w:noBreakHyphen/>
      </w:r>
      <w:r>
        <w:t>US</w:t>
      </w:r>
      <w:r w:rsidR="006D7271">
        <w:noBreakHyphen/>
      </w:r>
      <w:r>
        <w:t>200</w:t>
      </w:r>
      <w:r w:rsidR="006D7271">
        <w:noBreakHyphen/>
      </w:r>
      <w:r>
        <w:t>4334 Study treatments</w:t>
      </w:r>
    </w:p>
    <w:p w14:paraId="077EA210" w14:textId="2798A508" w:rsidR="00BE2069" w:rsidRDefault="00063F39" w:rsidP="005C49E4">
      <w:pPr>
        <w:rPr>
          <w:lang w:eastAsia="ja-JP"/>
        </w:rPr>
      </w:pPr>
      <w:r>
        <w:rPr>
          <w:noProof/>
        </w:rPr>
        <w:drawing>
          <wp:inline distT="0" distB="0" distL="0" distR="0" wp14:anchorId="5C29D0AF" wp14:editId="7F2D57F4">
            <wp:extent cx="5759450" cy="5233670"/>
            <wp:effectExtent l="0" t="0" r="0" b="5080"/>
            <wp:docPr id="5" name="Picture 5" descr="First column has rows for treatment groups 1, 2, 3 and 4. Second column is time period and includes Induction (Day 1 through Week 27) then Maintenance (to Week 80) for Groups 1 and 2. Third column details the study treatments. Not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rst column has rows for treatment groups 1, 2, 3 and 4. Second column is time period and includes Induction (Day 1 through Week 27) then Maintenance (to Week 80) for Groups 1 and 2. Third column details the study treatments. Notes below."/>
                    <pic:cNvPicPr/>
                  </pic:nvPicPr>
                  <pic:blipFill>
                    <a:blip r:embed="rId32"/>
                    <a:stretch>
                      <a:fillRect/>
                    </a:stretch>
                  </pic:blipFill>
                  <pic:spPr>
                    <a:xfrm>
                      <a:off x="0" y="0"/>
                      <a:ext cx="5759450" cy="5233670"/>
                    </a:xfrm>
                    <a:prstGeom prst="rect">
                      <a:avLst/>
                    </a:prstGeom>
                  </pic:spPr>
                </pic:pic>
              </a:graphicData>
            </a:graphic>
          </wp:inline>
        </w:drawing>
      </w:r>
    </w:p>
    <w:p w14:paraId="539B7FE4" w14:textId="626341AA" w:rsidR="00F341EC" w:rsidRDefault="00063F39" w:rsidP="00B86A91">
      <w:pPr>
        <w:rPr>
          <w:lang w:val="en-US"/>
        </w:rPr>
      </w:pPr>
      <w:r>
        <w:rPr>
          <w:lang w:val="en-US"/>
        </w:rPr>
        <w:lastRenderedPageBreak/>
        <w:t>Participants we</w:t>
      </w:r>
      <w:r w:rsidRPr="004E0DD2">
        <w:rPr>
          <w:lang w:val="en-US"/>
        </w:rPr>
        <w:t>re treated for at least 80</w:t>
      </w:r>
      <w:r w:rsidR="00B86A91">
        <w:rPr>
          <w:lang w:val="en-US"/>
        </w:rPr>
        <w:t> </w:t>
      </w:r>
      <w:r w:rsidRPr="004E0DD2">
        <w:rPr>
          <w:lang w:val="en-US"/>
        </w:rPr>
        <w:t>weeks</w:t>
      </w:r>
      <w:r w:rsidRPr="009D1F4E">
        <w:rPr>
          <w:lang w:val="en-US"/>
        </w:rPr>
        <w:t>. At Week</w:t>
      </w:r>
      <w:r w:rsidR="00B86A91">
        <w:rPr>
          <w:lang w:val="en-US"/>
        </w:rPr>
        <w:t> </w:t>
      </w:r>
      <w:r w:rsidRPr="009D1F4E">
        <w:rPr>
          <w:lang w:val="en-US"/>
        </w:rPr>
        <w:t>80,</w:t>
      </w:r>
      <w:r>
        <w:rPr>
          <w:lang w:val="en-US"/>
        </w:rPr>
        <w:t xml:space="preserve"> </w:t>
      </w:r>
      <w:r w:rsidRPr="009D1F4E">
        <w:rPr>
          <w:lang w:val="en-US"/>
        </w:rPr>
        <w:t>participants in Treatment Group 4 will complete the study. Participants willing to continue the</w:t>
      </w:r>
      <w:r>
        <w:rPr>
          <w:lang w:val="en-US"/>
        </w:rPr>
        <w:t xml:space="preserve"> </w:t>
      </w:r>
      <w:r w:rsidRPr="009D1F4E">
        <w:rPr>
          <w:lang w:val="en-US"/>
        </w:rPr>
        <w:t>study beyond Week</w:t>
      </w:r>
      <w:r w:rsidR="00B86A91">
        <w:rPr>
          <w:lang w:val="en-US"/>
        </w:rPr>
        <w:t> </w:t>
      </w:r>
      <w:r w:rsidRPr="009D1F4E">
        <w:rPr>
          <w:lang w:val="en-US"/>
        </w:rPr>
        <w:t xml:space="preserve">80 in Treatment Groups 1 and 2 will continue to receive SC </w:t>
      </w:r>
      <w:r w:rsidR="003A4339">
        <w:rPr>
          <w:lang w:val="en-US"/>
        </w:rPr>
        <w:t>lenacapavir</w:t>
      </w:r>
      <w:r w:rsidRPr="009D1F4E">
        <w:rPr>
          <w:lang w:val="en-US"/>
        </w:rPr>
        <w:t xml:space="preserve"> 927</w:t>
      </w:r>
      <w:r w:rsidR="00B86A91">
        <w:rPr>
          <w:lang w:val="en-US"/>
        </w:rPr>
        <w:t> </w:t>
      </w:r>
      <w:r w:rsidRPr="009D1F4E">
        <w:rPr>
          <w:lang w:val="en-US"/>
        </w:rPr>
        <w:t>mg</w:t>
      </w:r>
      <w:r>
        <w:rPr>
          <w:lang w:val="en-US"/>
        </w:rPr>
        <w:t xml:space="preserve"> </w:t>
      </w:r>
      <w:r w:rsidRPr="009D1F4E">
        <w:rPr>
          <w:lang w:val="en-US"/>
        </w:rPr>
        <w:t>every 6</w:t>
      </w:r>
      <w:r w:rsidR="00B86A91">
        <w:rPr>
          <w:lang w:val="en-US"/>
        </w:rPr>
        <w:t> </w:t>
      </w:r>
      <w:r w:rsidRPr="009D1F4E">
        <w:rPr>
          <w:lang w:val="en-US"/>
        </w:rPr>
        <w:t>months (26</w:t>
      </w:r>
      <w:r w:rsidR="00B86A91">
        <w:rPr>
          <w:lang w:val="en-US"/>
        </w:rPr>
        <w:t> </w:t>
      </w:r>
      <w:r w:rsidRPr="009D1F4E">
        <w:rPr>
          <w:lang w:val="en-US"/>
        </w:rPr>
        <w:t>weeks) from Week</w:t>
      </w:r>
      <w:r w:rsidR="00B86A91">
        <w:rPr>
          <w:lang w:val="en-US"/>
        </w:rPr>
        <w:t> </w:t>
      </w:r>
      <w:r w:rsidRPr="009D1F4E">
        <w:rPr>
          <w:lang w:val="en-US"/>
        </w:rPr>
        <w:t>80 onwards and participants in Treatment Group 3 will</w:t>
      </w:r>
      <w:r>
        <w:rPr>
          <w:lang w:val="en-US"/>
        </w:rPr>
        <w:t xml:space="preserve"> </w:t>
      </w:r>
      <w:r w:rsidRPr="009D1F4E">
        <w:rPr>
          <w:lang w:val="en-US"/>
        </w:rPr>
        <w:t xml:space="preserve">continue to receive oral </w:t>
      </w:r>
      <w:r w:rsidR="003A4339">
        <w:rPr>
          <w:lang w:val="en-US"/>
        </w:rPr>
        <w:t>lenacapavir</w:t>
      </w:r>
      <w:r w:rsidRPr="009D1F4E">
        <w:rPr>
          <w:lang w:val="en-US"/>
        </w:rPr>
        <w:t xml:space="preserve"> 50</w:t>
      </w:r>
      <w:r w:rsidR="00B86A91">
        <w:rPr>
          <w:lang w:val="en-US"/>
        </w:rPr>
        <w:t> </w:t>
      </w:r>
      <w:r w:rsidRPr="009D1F4E">
        <w:rPr>
          <w:lang w:val="en-US"/>
        </w:rPr>
        <w:t>mg (daily) from Week</w:t>
      </w:r>
      <w:r w:rsidR="00B86A91">
        <w:rPr>
          <w:lang w:val="en-US"/>
        </w:rPr>
        <w:t> </w:t>
      </w:r>
      <w:r w:rsidRPr="009D1F4E">
        <w:rPr>
          <w:lang w:val="en-US"/>
        </w:rPr>
        <w:t>80</w:t>
      </w:r>
      <w:r>
        <w:rPr>
          <w:lang w:val="en-US"/>
        </w:rPr>
        <w:t>.</w:t>
      </w:r>
    </w:p>
    <w:p w14:paraId="0F862A4B" w14:textId="7103979A" w:rsidR="00F341EC" w:rsidRPr="00B86A91" w:rsidRDefault="00063F39" w:rsidP="00B86A91">
      <w:pPr>
        <w:rPr>
          <w:lang w:val="en-US"/>
        </w:rPr>
      </w:pPr>
      <w:r w:rsidRPr="00B86A91">
        <w:rPr>
          <w:lang w:val="en-US"/>
        </w:rPr>
        <w:t xml:space="preserve">The baseline demographic characteristics were similar across the treatment groups. Most patients were male (93.4%) and cisgender (92.3%). </w:t>
      </w:r>
      <w:r w:rsidR="00B86A91" w:rsidRPr="00B86A91">
        <w:rPr>
          <w:lang w:val="en-US"/>
        </w:rPr>
        <w:t xml:space="preserve">Participants included people who were </w:t>
      </w:r>
      <w:r w:rsidRPr="00B86A91">
        <w:rPr>
          <w:lang w:val="en-US"/>
        </w:rPr>
        <w:t xml:space="preserve">Black </w:t>
      </w:r>
      <w:r w:rsidR="00B86A91" w:rsidRPr="00B86A91">
        <w:rPr>
          <w:lang w:val="en-US"/>
        </w:rPr>
        <w:t xml:space="preserve">(52.2%) </w:t>
      </w:r>
      <w:r w:rsidRPr="00B86A91">
        <w:rPr>
          <w:lang w:val="en-US"/>
        </w:rPr>
        <w:t>and Hispanic</w:t>
      </w:r>
      <w:r w:rsidR="00B86A91" w:rsidRPr="00B86A91">
        <w:rPr>
          <w:lang w:val="en-US"/>
        </w:rPr>
        <w:t xml:space="preserve"> (45%)</w:t>
      </w:r>
      <w:r w:rsidRPr="00B86A91">
        <w:rPr>
          <w:lang w:val="en-US"/>
        </w:rPr>
        <w:t>. The median age was 29 years (</w:t>
      </w:r>
      <w:r w:rsidR="00B86A91" w:rsidRPr="00B86A91">
        <w:rPr>
          <w:lang w:val="en-US"/>
        </w:rPr>
        <w:t xml:space="preserve">range: </w:t>
      </w:r>
      <w:r w:rsidRPr="00B86A91">
        <w:rPr>
          <w:lang w:val="en-US"/>
        </w:rPr>
        <w:t>19</w:t>
      </w:r>
      <w:r w:rsidR="006D7271">
        <w:rPr>
          <w:lang w:val="en-US"/>
        </w:rPr>
        <w:noBreakHyphen/>
      </w:r>
      <w:r w:rsidRPr="00B86A91">
        <w:rPr>
          <w:lang w:val="en-US"/>
        </w:rPr>
        <w:t>72 years).</w:t>
      </w:r>
    </w:p>
    <w:p w14:paraId="29113845" w14:textId="1C958A4C" w:rsidR="00F341EC" w:rsidRPr="00B86A91" w:rsidRDefault="00063F39" w:rsidP="00B86A91">
      <w:pPr>
        <w:rPr>
          <w:lang w:val="en-US"/>
        </w:rPr>
      </w:pPr>
      <w:r w:rsidRPr="003351D8">
        <w:rPr>
          <w:lang w:val="en-US"/>
        </w:rPr>
        <w:t xml:space="preserve">The baseline disease characteristics were similar across the treatment groups. The </w:t>
      </w:r>
      <w:r w:rsidR="00D12658" w:rsidRPr="003351D8">
        <w:rPr>
          <w:lang w:val="en-US"/>
        </w:rPr>
        <w:t>median baseline</w:t>
      </w:r>
      <w:r w:rsidRPr="003351D8">
        <w:rPr>
          <w:lang w:val="en-US"/>
        </w:rPr>
        <w:t xml:space="preserve"> HIV</w:t>
      </w:r>
      <w:r w:rsidR="006D7271" w:rsidRPr="003351D8">
        <w:rPr>
          <w:lang w:val="en-US"/>
        </w:rPr>
        <w:noBreakHyphen/>
      </w:r>
      <w:r w:rsidRPr="003351D8">
        <w:rPr>
          <w:lang w:val="en-US"/>
        </w:rPr>
        <w:t>1 RNA value was 4.37 (</w:t>
      </w:r>
      <w:r w:rsidR="003351D8" w:rsidRPr="003351D8">
        <w:rPr>
          <w:lang w:val="en-US"/>
        </w:rPr>
        <w:t xml:space="preserve">first quartile </w:t>
      </w:r>
      <w:r w:rsidRPr="003351D8">
        <w:rPr>
          <w:lang w:val="en-US"/>
        </w:rPr>
        <w:t>3.86</w:t>
      </w:r>
      <w:r w:rsidR="003351D8" w:rsidRPr="003351D8">
        <w:rPr>
          <w:lang w:val="en-US"/>
        </w:rPr>
        <w:t>; third quartile</w:t>
      </w:r>
      <w:r w:rsidRPr="003351D8">
        <w:rPr>
          <w:lang w:val="en-US"/>
        </w:rPr>
        <w:t xml:space="preserve"> 4.74) log</w:t>
      </w:r>
      <w:r w:rsidRPr="003351D8">
        <w:rPr>
          <w:vertAlign w:val="subscript"/>
          <w:lang w:val="en-US"/>
        </w:rPr>
        <w:t>10</w:t>
      </w:r>
      <w:r w:rsidR="00B86A91" w:rsidRPr="003351D8">
        <w:rPr>
          <w:lang w:val="en-US"/>
        </w:rPr>
        <w:t> </w:t>
      </w:r>
      <w:r w:rsidRPr="003351D8">
        <w:rPr>
          <w:lang w:val="en-US"/>
        </w:rPr>
        <w:t>copies/mL</w:t>
      </w:r>
      <w:r w:rsidR="00B86A91" w:rsidRPr="003351D8">
        <w:rPr>
          <w:lang w:val="en-US"/>
        </w:rPr>
        <w:t>,</w:t>
      </w:r>
      <w:r w:rsidRPr="003351D8">
        <w:rPr>
          <w:lang w:val="en-US"/>
        </w:rPr>
        <w:t xml:space="preserve"> and the median baseline CD4 cell count was 437 (</w:t>
      </w:r>
      <w:r w:rsidR="003351D8" w:rsidRPr="003351D8">
        <w:rPr>
          <w:lang w:val="en-US"/>
        </w:rPr>
        <w:t xml:space="preserve">first quartile </w:t>
      </w:r>
      <w:r w:rsidRPr="003351D8">
        <w:rPr>
          <w:lang w:val="en-US"/>
        </w:rPr>
        <w:t>332</w:t>
      </w:r>
      <w:r w:rsidR="003351D8" w:rsidRPr="003351D8">
        <w:rPr>
          <w:lang w:val="en-US"/>
        </w:rPr>
        <w:t>; third quartile</w:t>
      </w:r>
      <w:r w:rsidRPr="003351D8">
        <w:rPr>
          <w:lang w:val="en-US"/>
        </w:rPr>
        <w:t xml:space="preserve"> 599) cells/μL.</w:t>
      </w:r>
      <w:r w:rsidRPr="00B86A91">
        <w:rPr>
          <w:lang w:val="en-US"/>
        </w:rPr>
        <w:t xml:space="preserve"> Most of the 182 patients had HIV</w:t>
      </w:r>
      <w:r w:rsidR="006D7271">
        <w:rPr>
          <w:lang w:val="en-US"/>
        </w:rPr>
        <w:noBreakHyphen/>
      </w:r>
      <w:r w:rsidRPr="00B86A91">
        <w:rPr>
          <w:lang w:val="en-US"/>
        </w:rPr>
        <w:t xml:space="preserve">1 RNA </w:t>
      </w:r>
      <w:r w:rsidR="00B72D6A">
        <w:rPr>
          <w:lang w:val="en-US"/>
        </w:rPr>
        <w:t>of</w:t>
      </w:r>
      <w:r w:rsidRPr="00B86A91">
        <w:rPr>
          <w:lang w:val="en-US"/>
        </w:rPr>
        <w:t xml:space="preserve"> 100,000 copies/mL </w:t>
      </w:r>
      <w:r w:rsidR="00B72D6A">
        <w:rPr>
          <w:lang w:val="en-US"/>
        </w:rPr>
        <w:t xml:space="preserve">and less </w:t>
      </w:r>
      <w:r w:rsidRPr="00B86A91">
        <w:rPr>
          <w:lang w:val="en-US"/>
        </w:rPr>
        <w:t xml:space="preserve">(85.2%) and a CD4 cell count range of </w:t>
      </w:r>
      <w:r w:rsidR="00B72D6A">
        <w:rPr>
          <w:lang w:val="en-US"/>
        </w:rPr>
        <w:t>at least</w:t>
      </w:r>
      <w:r w:rsidRPr="00B86A91">
        <w:rPr>
          <w:lang w:val="en-US"/>
        </w:rPr>
        <w:t xml:space="preserve"> 350</w:t>
      </w:r>
      <w:r w:rsidR="00B72D6A">
        <w:rPr>
          <w:lang w:val="en-US"/>
        </w:rPr>
        <w:t> </w:t>
      </w:r>
      <w:r w:rsidR="00B72D6A" w:rsidRPr="00B86A91">
        <w:rPr>
          <w:lang w:val="en-US"/>
        </w:rPr>
        <w:t xml:space="preserve">cells/μL </w:t>
      </w:r>
      <w:r w:rsidR="00B72D6A">
        <w:rPr>
          <w:lang w:val="en-US"/>
        </w:rPr>
        <w:t xml:space="preserve">up to </w:t>
      </w:r>
      <w:r w:rsidRPr="00B86A91">
        <w:rPr>
          <w:lang w:val="en-US"/>
        </w:rPr>
        <w:t>500</w:t>
      </w:r>
      <w:r w:rsidR="00B72D6A">
        <w:rPr>
          <w:lang w:val="en-US"/>
        </w:rPr>
        <w:t> </w:t>
      </w:r>
      <w:r w:rsidRPr="00B86A91">
        <w:rPr>
          <w:lang w:val="en-US"/>
        </w:rPr>
        <w:t>cells/μL (31.9%) or 500</w:t>
      </w:r>
      <w:r w:rsidR="00B72D6A">
        <w:rPr>
          <w:lang w:val="en-US"/>
        </w:rPr>
        <w:t> </w:t>
      </w:r>
      <w:r w:rsidRPr="00B86A91">
        <w:rPr>
          <w:lang w:val="en-US"/>
        </w:rPr>
        <w:t xml:space="preserve">cells/μL </w:t>
      </w:r>
      <w:r w:rsidR="00B72D6A">
        <w:rPr>
          <w:lang w:val="en-US"/>
        </w:rPr>
        <w:t xml:space="preserve">and above </w:t>
      </w:r>
      <w:r w:rsidRPr="00B86A91">
        <w:rPr>
          <w:lang w:val="en-US"/>
        </w:rPr>
        <w:t>(37.4%).</w:t>
      </w:r>
    </w:p>
    <w:p w14:paraId="14A86B50" w14:textId="2475530D" w:rsidR="00F341EC" w:rsidRDefault="00063F39" w:rsidP="00B86A91">
      <w:pPr>
        <w:rPr>
          <w:lang w:val="en-US"/>
        </w:rPr>
      </w:pPr>
      <w:r>
        <w:rPr>
          <w:lang w:val="en-US"/>
        </w:rPr>
        <w:t xml:space="preserve">Of the </w:t>
      </w:r>
      <w:r w:rsidRPr="006306B1">
        <w:rPr>
          <w:lang w:val="en-US"/>
        </w:rPr>
        <w:t xml:space="preserve">249 participants </w:t>
      </w:r>
      <w:r>
        <w:rPr>
          <w:lang w:val="en-US"/>
        </w:rPr>
        <w:t xml:space="preserve">who </w:t>
      </w:r>
      <w:r w:rsidRPr="006306B1">
        <w:rPr>
          <w:lang w:val="en-US"/>
        </w:rPr>
        <w:t xml:space="preserve">were screened, 183 were randomised and 182 received at least one dose of study drug. Incidence of premature discontinuation was numerically higher in </w:t>
      </w:r>
      <w:r>
        <w:rPr>
          <w:lang w:val="en-US"/>
        </w:rPr>
        <w:t xml:space="preserve">the </w:t>
      </w:r>
      <w:r w:rsidRPr="006306B1">
        <w:rPr>
          <w:lang w:val="en-US"/>
        </w:rPr>
        <w:t xml:space="preserve">SC </w:t>
      </w:r>
      <w:r w:rsidR="003A4339">
        <w:rPr>
          <w:lang w:val="en-US"/>
        </w:rPr>
        <w:t>lenacapavir</w:t>
      </w:r>
      <w:r w:rsidRPr="006306B1">
        <w:rPr>
          <w:lang w:val="en-US"/>
        </w:rPr>
        <w:t xml:space="preserve"> total group (13.3%; 14</w:t>
      </w:r>
      <w:r>
        <w:rPr>
          <w:lang w:val="en-US"/>
        </w:rPr>
        <w:t xml:space="preserve"> of </w:t>
      </w:r>
      <w:r w:rsidRPr="006306B1">
        <w:rPr>
          <w:lang w:val="en-US"/>
        </w:rPr>
        <w:t>105</w:t>
      </w:r>
      <w:r>
        <w:rPr>
          <w:lang w:val="en-US"/>
        </w:rPr>
        <w:t xml:space="preserve"> participants</w:t>
      </w:r>
      <w:r w:rsidRPr="006306B1">
        <w:rPr>
          <w:lang w:val="en-US"/>
        </w:rPr>
        <w:t>)</w:t>
      </w:r>
      <w:r>
        <w:rPr>
          <w:lang w:val="en-US"/>
        </w:rPr>
        <w:t xml:space="preserve"> and </w:t>
      </w:r>
      <w:r w:rsidRPr="006306B1">
        <w:rPr>
          <w:lang w:val="en-US"/>
        </w:rPr>
        <w:t xml:space="preserve">oral </w:t>
      </w:r>
      <w:r w:rsidR="003A4339">
        <w:rPr>
          <w:lang w:val="en-US"/>
        </w:rPr>
        <w:t>lenacapavir</w:t>
      </w:r>
      <w:r w:rsidRPr="006306B1">
        <w:rPr>
          <w:lang w:val="en-US"/>
        </w:rPr>
        <w:t xml:space="preserve"> </w:t>
      </w:r>
      <w:r>
        <w:rPr>
          <w:lang w:val="en-US"/>
        </w:rPr>
        <w:t xml:space="preserve">group </w:t>
      </w:r>
      <w:r w:rsidRPr="006306B1">
        <w:rPr>
          <w:lang w:val="en-US"/>
        </w:rPr>
        <w:t>(5.8%; 3</w:t>
      </w:r>
      <w:r>
        <w:rPr>
          <w:lang w:val="en-US"/>
        </w:rPr>
        <w:t xml:space="preserve"> of </w:t>
      </w:r>
      <w:r w:rsidRPr="006306B1">
        <w:rPr>
          <w:lang w:val="en-US"/>
        </w:rPr>
        <w:t>52</w:t>
      </w:r>
      <w:r>
        <w:rPr>
          <w:lang w:val="en-US"/>
        </w:rPr>
        <w:t xml:space="preserve"> participants</w:t>
      </w:r>
      <w:r w:rsidRPr="006306B1">
        <w:rPr>
          <w:lang w:val="en-US"/>
        </w:rPr>
        <w:t xml:space="preserve">) compared to the reference </w:t>
      </w:r>
      <w:r>
        <w:rPr>
          <w:lang w:val="en-US"/>
        </w:rPr>
        <w:t>bictegravir/emtricitabine/tenofovir alafenamide</w:t>
      </w:r>
      <w:r w:rsidRPr="006306B1">
        <w:rPr>
          <w:lang w:val="en-US"/>
        </w:rPr>
        <w:t xml:space="preserve"> group (0%)</w:t>
      </w:r>
      <w:r>
        <w:rPr>
          <w:lang w:val="en-US"/>
        </w:rPr>
        <w:t>.</w:t>
      </w:r>
    </w:p>
    <w:p w14:paraId="1C29910A" w14:textId="77777777" w:rsidR="00F341EC" w:rsidRPr="002562BB" w:rsidRDefault="00063F39" w:rsidP="00F341EC">
      <w:pPr>
        <w:pStyle w:val="Heading6"/>
        <w:spacing w:line="240" w:lineRule="auto"/>
      </w:pPr>
      <w:r w:rsidRPr="002562BB">
        <w:t>Magnitude of the treatment effect and its clinical significance</w:t>
      </w:r>
    </w:p>
    <w:p w14:paraId="63F1C2F3" w14:textId="31E0DEE5" w:rsidR="00D7242B" w:rsidRDefault="00063F39" w:rsidP="00D7242B">
      <w:pPr>
        <w:pStyle w:val="Heading7"/>
      </w:pPr>
      <w:r>
        <w:t>E</w:t>
      </w:r>
      <w:r w:rsidR="00F341EC" w:rsidRPr="004D3B6E">
        <w:t>ndpoint</w:t>
      </w:r>
      <w:r>
        <w:t>s</w:t>
      </w:r>
    </w:p>
    <w:p w14:paraId="135A5CA1" w14:textId="77777777" w:rsidR="003351D8" w:rsidRDefault="00063F39" w:rsidP="003351D8">
      <w:pPr>
        <w:rPr>
          <w:lang w:val="en-US"/>
        </w:rPr>
      </w:pPr>
      <w:r>
        <w:rPr>
          <w:rFonts w:cs="TimesNewRoman"/>
        </w:rPr>
        <w:t>The primary endpoint was the</w:t>
      </w:r>
      <w:r w:rsidR="00F341EC" w:rsidRPr="004D3B6E">
        <w:rPr>
          <w:rFonts w:cs="TimesNewRoman"/>
        </w:rPr>
        <w:t xml:space="preserve"> </w:t>
      </w:r>
      <w:r w:rsidR="00F341EC">
        <w:rPr>
          <w:lang w:val="en-US"/>
        </w:rPr>
        <w:t>proportion of patients with HIV</w:t>
      </w:r>
      <w:r w:rsidR="006D7271">
        <w:rPr>
          <w:lang w:val="en-US"/>
        </w:rPr>
        <w:noBreakHyphen/>
      </w:r>
      <w:r w:rsidR="00F341EC">
        <w:rPr>
          <w:lang w:val="en-US"/>
        </w:rPr>
        <w:t xml:space="preserve">1 RNA </w:t>
      </w:r>
      <w:r>
        <w:rPr>
          <w:lang w:val="en-US"/>
        </w:rPr>
        <w:t xml:space="preserve">less than </w:t>
      </w:r>
      <w:r w:rsidR="00F341EC">
        <w:rPr>
          <w:lang w:val="en-US"/>
        </w:rPr>
        <w:t>50</w:t>
      </w:r>
      <w:r>
        <w:rPr>
          <w:lang w:val="en-US"/>
        </w:rPr>
        <w:t> </w:t>
      </w:r>
      <w:r w:rsidR="00F341EC">
        <w:rPr>
          <w:lang w:val="en-US"/>
        </w:rPr>
        <w:t>copies/mL at Week 54 (US FDA</w:t>
      </w:r>
      <w:r w:rsidR="006D7271">
        <w:rPr>
          <w:lang w:val="en-US"/>
        </w:rPr>
        <w:noBreakHyphen/>
      </w:r>
      <w:r w:rsidR="00F341EC">
        <w:rPr>
          <w:lang w:val="en-US"/>
        </w:rPr>
        <w:t xml:space="preserve">defined snapshot algorithm). The results </w:t>
      </w:r>
      <w:r w:rsidR="00F341EC" w:rsidRPr="00CD577A">
        <w:rPr>
          <w:lang w:val="en-US"/>
        </w:rPr>
        <w:t xml:space="preserve">were similar </w:t>
      </w:r>
      <w:r w:rsidR="00F341EC">
        <w:rPr>
          <w:lang w:val="en-US"/>
        </w:rPr>
        <w:t xml:space="preserve">(and not statistically significantly different) </w:t>
      </w:r>
      <w:r w:rsidR="00F341EC" w:rsidRPr="00CD577A">
        <w:rPr>
          <w:lang w:val="en-US"/>
        </w:rPr>
        <w:t>in each treatment group</w:t>
      </w:r>
      <w:r>
        <w:rPr>
          <w:lang w:val="en-US"/>
        </w:rPr>
        <w:t>:</w:t>
      </w:r>
    </w:p>
    <w:p w14:paraId="7E87EA6C" w14:textId="78EBC30B" w:rsidR="003351D8" w:rsidRPr="00F02AA8" w:rsidRDefault="00063F39" w:rsidP="003351D8">
      <w:pPr>
        <w:pStyle w:val="ListBullet"/>
        <w:rPr>
          <w:lang w:val="en-US"/>
        </w:rPr>
      </w:pPr>
      <w:r w:rsidRPr="00F02AA8">
        <w:rPr>
          <w:lang w:val="en-US"/>
        </w:rPr>
        <w:t xml:space="preserve">90.4% SC </w:t>
      </w:r>
      <w:proofErr w:type="spellStart"/>
      <w:r w:rsidR="003A4339" w:rsidRPr="00F02AA8">
        <w:rPr>
          <w:lang w:val="en-US"/>
        </w:rPr>
        <w:t>lenacapavir</w:t>
      </w:r>
      <w:proofErr w:type="spellEnd"/>
      <w:r w:rsidRPr="00F02AA8">
        <w:rPr>
          <w:lang w:val="en-US"/>
        </w:rPr>
        <w:t xml:space="preserve"> + [</w:t>
      </w:r>
      <w:r w:rsidR="00D346C7" w:rsidRPr="00F02AA8">
        <w:rPr>
          <w:lang w:val="en-US"/>
        </w:rPr>
        <w:t>emtricitabine/tenofovir alafenamide</w:t>
      </w:r>
      <w:r w:rsidR="00F02AA8" w:rsidRPr="00F02AA8">
        <w:rPr>
          <w:lang w:val="en-US"/>
        </w:rPr>
        <w:t xml:space="preserve"> →</w:t>
      </w:r>
      <w:r w:rsidR="00D346C7" w:rsidRPr="00F02AA8">
        <w:rPr>
          <w:lang w:val="en-US"/>
        </w:rPr>
        <w:t xml:space="preserve"> tenofovir alafenamide (see </w:t>
      </w:r>
      <w:r w:rsidR="00D346C7" w:rsidRPr="00F02AA8">
        <w:rPr>
          <w:lang w:val="en-US"/>
        </w:rPr>
        <w:fldChar w:fldCharType="begin"/>
      </w:r>
      <w:r w:rsidR="00D346C7" w:rsidRPr="00F02AA8">
        <w:rPr>
          <w:lang w:val="en-US"/>
        </w:rPr>
        <w:instrText xml:space="preserve"> REF _Ref149291499 \h </w:instrText>
      </w:r>
      <w:r w:rsidR="00F02AA8">
        <w:rPr>
          <w:lang w:val="en-US"/>
        </w:rPr>
        <w:instrText xml:space="preserve"> \* MERGEFORMAT </w:instrText>
      </w:r>
      <w:r w:rsidR="00D346C7" w:rsidRPr="00F02AA8">
        <w:rPr>
          <w:lang w:val="en-US"/>
        </w:rPr>
      </w:r>
      <w:r w:rsidR="00D346C7" w:rsidRPr="00F02AA8">
        <w:rPr>
          <w:lang w:val="en-US"/>
        </w:rPr>
        <w:fldChar w:fldCharType="separate"/>
      </w:r>
      <w:r w:rsidR="000623A2">
        <w:t xml:space="preserve">Figure </w:t>
      </w:r>
      <w:r w:rsidR="000623A2">
        <w:rPr>
          <w:noProof/>
        </w:rPr>
        <w:t>5</w:t>
      </w:r>
      <w:r w:rsidR="00D346C7" w:rsidRPr="00F02AA8">
        <w:rPr>
          <w:lang w:val="en-US"/>
        </w:rPr>
        <w:fldChar w:fldCharType="end"/>
      </w:r>
      <w:r w:rsidR="00F02AA8" w:rsidRPr="00F02AA8">
        <w:rPr>
          <w:lang w:val="en-US"/>
        </w:rPr>
        <w:t>)</w:t>
      </w:r>
    </w:p>
    <w:p w14:paraId="4662BEAB" w14:textId="39C26BB4" w:rsidR="003351D8" w:rsidRPr="00F02AA8" w:rsidRDefault="00063F39" w:rsidP="003351D8">
      <w:pPr>
        <w:pStyle w:val="ListBullet"/>
        <w:rPr>
          <w:lang w:val="en-US"/>
        </w:rPr>
      </w:pPr>
      <w:r w:rsidRPr="00F02AA8">
        <w:rPr>
          <w:lang w:val="en-US"/>
        </w:rPr>
        <w:t xml:space="preserve">84.9% for SC </w:t>
      </w:r>
      <w:r w:rsidR="003A4339" w:rsidRPr="00F02AA8">
        <w:rPr>
          <w:lang w:val="en-US"/>
        </w:rPr>
        <w:t>lenacapavir</w:t>
      </w:r>
      <w:r w:rsidRPr="00F02AA8">
        <w:rPr>
          <w:lang w:val="en-US"/>
        </w:rPr>
        <w:t xml:space="preserve"> + [</w:t>
      </w:r>
      <w:r w:rsidR="00D346C7" w:rsidRPr="00F02AA8">
        <w:rPr>
          <w:lang w:val="en-US"/>
        </w:rPr>
        <w:t xml:space="preserve">emtricitabine/tenofovir alafenamide </w:t>
      </w:r>
      <w:r w:rsidR="00F02AA8" w:rsidRPr="00F02AA8">
        <w:rPr>
          <w:lang w:val="en-US"/>
        </w:rPr>
        <w:t>→</w:t>
      </w:r>
      <w:r w:rsidRPr="00F02AA8">
        <w:rPr>
          <w:lang w:val="en-US"/>
        </w:rPr>
        <w:t xml:space="preserve"> </w:t>
      </w:r>
      <w:r w:rsidR="00D346C7" w:rsidRPr="00F02AA8">
        <w:rPr>
          <w:lang w:val="en-US"/>
        </w:rPr>
        <w:t>bictegravir</w:t>
      </w:r>
      <w:r w:rsidRPr="00F02AA8">
        <w:rPr>
          <w:lang w:val="en-US"/>
        </w:rPr>
        <w:t>]</w:t>
      </w:r>
    </w:p>
    <w:p w14:paraId="68042EB4" w14:textId="3F076196" w:rsidR="003351D8" w:rsidRPr="00F02AA8" w:rsidRDefault="00063F39" w:rsidP="003351D8">
      <w:pPr>
        <w:pStyle w:val="ListBullet"/>
        <w:rPr>
          <w:lang w:val="en-US"/>
        </w:rPr>
      </w:pPr>
      <w:r w:rsidRPr="00F02AA8">
        <w:rPr>
          <w:lang w:val="en-US"/>
        </w:rPr>
        <w:t xml:space="preserve">84.6% for Oral </w:t>
      </w:r>
      <w:r w:rsidR="003A4339" w:rsidRPr="00F02AA8">
        <w:rPr>
          <w:lang w:val="en-US"/>
        </w:rPr>
        <w:t>lenacapavir</w:t>
      </w:r>
      <w:r w:rsidRPr="00F02AA8">
        <w:rPr>
          <w:lang w:val="en-US"/>
        </w:rPr>
        <w:t xml:space="preserve"> + </w:t>
      </w:r>
      <w:r w:rsidR="00D346C7" w:rsidRPr="00F02AA8">
        <w:rPr>
          <w:lang w:val="en-US"/>
        </w:rPr>
        <w:t>emtricitabine/tenofovir alafenamide</w:t>
      </w:r>
    </w:p>
    <w:p w14:paraId="454E9E97" w14:textId="77777777" w:rsidR="003351D8" w:rsidRPr="00F02AA8" w:rsidRDefault="00063F39" w:rsidP="003351D8">
      <w:pPr>
        <w:pStyle w:val="ListBullet"/>
        <w:rPr>
          <w:lang w:val="en-US"/>
        </w:rPr>
      </w:pPr>
      <w:r w:rsidRPr="00F02AA8">
        <w:rPr>
          <w:lang w:val="en-US"/>
        </w:rPr>
        <w:t xml:space="preserve">92.0% for </w:t>
      </w:r>
      <w:r w:rsidR="002874EE" w:rsidRPr="00F02AA8">
        <w:rPr>
          <w:lang w:val="en-US"/>
        </w:rPr>
        <w:t>bictegravir/emtricitabine/tenofovir alafenamide</w:t>
      </w:r>
    </w:p>
    <w:p w14:paraId="05F1143F" w14:textId="77777777" w:rsidR="003351D8" w:rsidRPr="00F02AA8" w:rsidRDefault="00063F39" w:rsidP="003351D8">
      <w:pPr>
        <w:pStyle w:val="ListBullet"/>
        <w:rPr>
          <w:lang w:val="en-US"/>
        </w:rPr>
      </w:pPr>
      <w:r w:rsidRPr="00F02AA8">
        <w:rPr>
          <w:lang w:val="en-US"/>
        </w:rPr>
        <w:t xml:space="preserve">87.6% for SC </w:t>
      </w:r>
      <w:r w:rsidR="003A4339" w:rsidRPr="00F02AA8">
        <w:rPr>
          <w:lang w:val="en-US"/>
        </w:rPr>
        <w:t>lenacapavir</w:t>
      </w:r>
      <w:r w:rsidRPr="00F02AA8">
        <w:rPr>
          <w:lang w:val="en-US"/>
        </w:rPr>
        <w:t xml:space="preserve"> total</w:t>
      </w:r>
    </w:p>
    <w:p w14:paraId="01ADF039" w14:textId="097659C2" w:rsidR="00F341EC" w:rsidRPr="00F02AA8" w:rsidRDefault="00063F39" w:rsidP="003351D8">
      <w:pPr>
        <w:pStyle w:val="ListBullet"/>
        <w:rPr>
          <w:lang w:val="en-US"/>
        </w:rPr>
      </w:pPr>
      <w:r w:rsidRPr="00F02AA8">
        <w:rPr>
          <w:lang w:val="en-US"/>
        </w:rPr>
        <w:t xml:space="preserve">86.6% for </w:t>
      </w:r>
      <w:r w:rsidR="003A4339" w:rsidRPr="00F02AA8">
        <w:rPr>
          <w:lang w:val="en-US"/>
        </w:rPr>
        <w:t>lenacapavir</w:t>
      </w:r>
      <w:r w:rsidRPr="00F02AA8">
        <w:rPr>
          <w:lang w:val="en-US"/>
        </w:rPr>
        <w:t xml:space="preserve"> total.</w:t>
      </w:r>
    </w:p>
    <w:p w14:paraId="08E5680B" w14:textId="4A8BC07A" w:rsidR="00F341EC" w:rsidRDefault="00063F39" w:rsidP="00F341EC">
      <w:pPr>
        <w:spacing w:line="240" w:lineRule="auto"/>
        <w:rPr>
          <w:lang w:val="en-US"/>
        </w:rPr>
      </w:pPr>
      <w:r>
        <w:rPr>
          <w:lang w:val="en-US"/>
        </w:rPr>
        <w:t>The secondary endpoints of this study were the proportion of participants with HIV</w:t>
      </w:r>
      <w:r w:rsidR="006D7271">
        <w:rPr>
          <w:lang w:val="en-US"/>
        </w:rPr>
        <w:noBreakHyphen/>
      </w:r>
      <w:r>
        <w:rPr>
          <w:lang w:val="en-US"/>
        </w:rPr>
        <w:t xml:space="preserve">1 RNA </w:t>
      </w:r>
      <w:r w:rsidR="00D7242B">
        <w:rPr>
          <w:lang w:val="en-US"/>
        </w:rPr>
        <w:t>less than</w:t>
      </w:r>
      <w:r>
        <w:rPr>
          <w:lang w:val="en-US"/>
        </w:rPr>
        <w:t xml:space="preserve"> 50</w:t>
      </w:r>
      <w:r w:rsidR="00D7242B">
        <w:rPr>
          <w:lang w:val="en-US"/>
        </w:rPr>
        <w:t> </w:t>
      </w:r>
      <w:r>
        <w:rPr>
          <w:lang w:val="en-US"/>
        </w:rPr>
        <w:t>copies/mL at Weeks 28, 38, and 80 as determined by the US FDA</w:t>
      </w:r>
      <w:r w:rsidR="006D7271">
        <w:rPr>
          <w:lang w:val="en-US"/>
        </w:rPr>
        <w:noBreakHyphen/>
      </w:r>
      <w:r>
        <w:rPr>
          <w:lang w:val="en-US"/>
        </w:rPr>
        <w:t xml:space="preserve">defined snapshot </w:t>
      </w:r>
      <w:r w:rsidRPr="00D81F69">
        <w:rPr>
          <w:lang w:val="en-US"/>
        </w:rPr>
        <w:t>algorithm and the change from baseline in log</w:t>
      </w:r>
      <w:r w:rsidRPr="00D81F69">
        <w:rPr>
          <w:sz w:val="16"/>
          <w:szCs w:val="16"/>
          <w:lang w:val="en-US"/>
        </w:rPr>
        <w:t xml:space="preserve">10 </w:t>
      </w:r>
      <w:r w:rsidRPr="00D81F69">
        <w:rPr>
          <w:lang w:val="en-US"/>
        </w:rPr>
        <w:t>HIV</w:t>
      </w:r>
      <w:r w:rsidR="006D7271" w:rsidRPr="00D81F69">
        <w:rPr>
          <w:lang w:val="en-US"/>
        </w:rPr>
        <w:noBreakHyphen/>
      </w:r>
      <w:r w:rsidRPr="00D81F69">
        <w:rPr>
          <w:lang w:val="en-US"/>
        </w:rPr>
        <w:t>1 RNA and in CD4 cell count at Weeks 28,</w:t>
      </w:r>
      <w:r>
        <w:rPr>
          <w:lang w:val="en-US"/>
        </w:rPr>
        <w:t xml:space="preserve"> 38, 54, and 80. The</w:t>
      </w:r>
      <w:r w:rsidR="00D7242B">
        <w:rPr>
          <w:lang w:val="en-US"/>
        </w:rPr>
        <w:t>se results</w:t>
      </w:r>
      <w:r>
        <w:rPr>
          <w:lang w:val="en-US"/>
        </w:rPr>
        <w:t xml:space="preserve"> were generally supportive of the primary endpoint results.</w:t>
      </w:r>
    </w:p>
    <w:p w14:paraId="53F3AD18" w14:textId="37B09EB9" w:rsidR="00D7242B" w:rsidRDefault="00063F39" w:rsidP="00D7242B">
      <w:pPr>
        <w:pStyle w:val="TableTitle"/>
      </w:pPr>
      <w:r>
        <w:lastRenderedPageBreak/>
        <w:t xml:space="preserve">Table </w:t>
      </w:r>
      <w:r w:rsidR="00B3560F">
        <w:fldChar w:fldCharType="begin"/>
      </w:r>
      <w:r>
        <w:instrText xml:space="preserve"> SEQ Table \* ARABIC </w:instrText>
      </w:r>
      <w:r w:rsidR="00B3560F">
        <w:fldChar w:fldCharType="separate"/>
      </w:r>
      <w:r w:rsidR="000623A2">
        <w:rPr>
          <w:noProof/>
        </w:rPr>
        <w:t>10</w:t>
      </w:r>
      <w:r w:rsidR="00B3560F">
        <w:rPr>
          <w:noProof/>
        </w:rPr>
        <w:fldChar w:fldCharType="end"/>
      </w:r>
      <w:r>
        <w:t>: Study GS</w:t>
      </w:r>
      <w:r w:rsidR="006D7271">
        <w:noBreakHyphen/>
      </w:r>
      <w:r>
        <w:t>US</w:t>
      </w:r>
      <w:r w:rsidR="006D7271">
        <w:noBreakHyphen/>
      </w:r>
      <w:r>
        <w:t>200</w:t>
      </w:r>
      <w:r w:rsidR="006D7271">
        <w:noBreakHyphen/>
      </w:r>
      <w:r>
        <w:t>4334 Primary endpoint results:</w:t>
      </w:r>
      <w:r w:rsidRPr="00D7242B">
        <w:t xml:space="preserve"> Virology </w:t>
      </w:r>
      <w:r>
        <w:t>o</w:t>
      </w:r>
      <w:r w:rsidRPr="00D7242B">
        <w:t>utcome at Week 54 (HIV</w:t>
      </w:r>
      <w:r w:rsidR="006D7271">
        <w:noBreakHyphen/>
      </w:r>
      <w:r w:rsidRPr="00D7242B">
        <w:t xml:space="preserve">1 RNA </w:t>
      </w:r>
      <w:r>
        <w:t>c</w:t>
      </w:r>
      <w:r w:rsidRPr="00D7242B">
        <w:t>ut</w:t>
      </w:r>
      <w:r w:rsidR="006D7271">
        <w:noBreakHyphen/>
      </w:r>
      <w:r w:rsidRPr="00D7242B">
        <w:t xml:space="preserve">off at 50 copies/mL, </w:t>
      </w:r>
      <w:r>
        <w:t>s</w:t>
      </w:r>
      <w:r w:rsidRPr="00D7242B">
        <w:t xml:space="preserve">napshot </w:t>
      </w:r>
      <w:r>
        <w:t>a</w:t>
      </w:r>
      <w:r w:rsidRPr="00D7242B">
        <w:t>lgorithm) (</w:t>
      </w:r>
      <w:r>
        <w:t>f</w:t>
      </w:r>
      <w:r w:rsidRPr="00D7242B">
        <w:t xml:space="preserve">ull </w:t>
      </w:r>
      <w:r>
        <w:t>a</w:t>
      </w:r>
      <w:r w:rsidRPr="00D7242B">
        <w:t xml:space="preserve">nalysis </w:t>
      </w:r>
      <w:r>
        <w:t>s</w:t>
      </w:r>
      <w:r w:rsidRPr="00D7242B">
        <w:t>et)</w:t>
      </w:r>
    </w:p>
    <w:p w14:paraId="14A57F4D" w14:textId="7D76BAD4" w:rsidR="00267834" w:rsidRPr="001C1C49" w:rsidRDefault="00063F39" w:rsidP="005C49E4">
      <w:pPr>
        <w:rPr>
          <w:lang w:val="en-US"/>
        </w:rPr>
      </w:pPr>
      <w:r>
        <w:rPr>
          <w:noProof/>
        </w:rPr>
        <w:drawing>
          <wp:inline distT="0" distB="0" distL="0" distR="0" wp14:anchorId="33A9C6F8" wp14:editId="1342EE7D">
            <wp:extent cx="5759450" cy="3599815"/>
            <wp:effectExtent l="0" t="0" r="0" b="635"/>
            <wp:docPr id="7" name="Picture 7" descr="Table of virology outcomes showing number of participants (and per cent) below 50 copies/mL; over 50 copies/mL; missing Week 54 data. Reasons for discontinuations are gi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of virology outcomes showing number of participants (and per cent) below 50 copies/mL; over 50 copies/mL; missing Week 54 data. Reasons for discontinuations are given.  "/>
                    <pic:cNvPicPr/>
                  </pic:nvPicPr>
                  <pic:blipFill>
                    <a:blip r:embed="rId33"/>
                    <a:stretch>
                      <a:fillRect/>
                    </a:stretch>
                  </pic:blipFill>
                  <pic:spPr>
                    <a:xfrm>
                      <a:off x="0" y="0"/>
                      <a:ext cx="5759450" cy="3599815"/>
                    </a:xfrm>
                    <a:prstGeom prst="rect">
                      <a:avLst/>
                    </a:prstGeom>
                  </pic:spPr>
                </pic:pic>
              </a:graphicData>
            </a:graphic>
          </wp:inline>
        </w:drawing>
      </w:r>
    </w:p>
    <w:p w14:paraId="3A7A862D" w14:textId="4AB7401B" w:rsidR="00F341EC" w:rsidRDefault="00063F39" w:rsidP="00F341EC">
      <w:pPr>
        <w:spacing w:line="240" w:lineRule="auto"/>
        <w:rPr>
          <w:lang w:val="en-US"/>
        </w:rPr>
      </w:pPr>
      <w:r w:rsidRPr="00E24953">
        <w:rPr>
          <w:lang w:val="en-US"/>
        </w:rPr>
        <w:t xml:space="preserve">The </w:t>
      </w:r>
      <w:r>
        <w:rPr>
          <w:lang w:val="en-US"/>
        </w:rPr>
        <w:t xml:space="preserve">proportion </w:t>
      </w:r>
      <w:r w:rsidRPr="00E24953">
        <w:rPr>
          <w:lang w:val="en-US"/>
        </w:rPr>
        <w:t xml:space="preserve">of </w:t>
      </w:r>
      <w:r>
        <w:rPr>
          <w:lang w:val="en-US"/>
        </w:rPr>
        <w:t>patients</w:t>
      </w:r>
      <w:r w:rsidRPr="00E24953">
        <w:rPr>
          <w:lang w:val="en-US"/>
        </w:rPr>
        <w:t xml:space="preserve"> in the subgroups by age (</w:t>
      </w:r>
      <w:r w:rsidR="00D7242B">
        <w:rPr>
          <w:lang w:val="en-US"/>
        </w:rPr>
        <w:t xml:space="preserve">younger than 50 years, or </w:t>
      </w:r>
      <w:r w:rsidRPr="00E24953">
        <w:rPr>
          <w:lang w:val="en-US"/>
        </w:rPr>
        <w:t>50 years</w:t>
      </w:r>
      <w:r w:rsidR="00D7242B">
        <w:rPr>
          <w:lang w:val="en-US"/>
        </w:rPr>
        <w:t xml:space="preserve"> and older</w:t>
      </w:r>
      <w:r w:rsidRPr="00E24953">
        <w:rPr>
          <w:lang w:val="en-US"/>
        </w:rPr>
        <w:t>), sex (male and female), and race (Black and non</w:t>
      </w:r>
      <w:r w:rsidR="006D7271">
        <w:rPr>
          <w:lang w:val="en-US"/>
        </w:rPr>
        <w:noBreakHyphen/>
      </w:r>
      <w:r w:rsidRPr="00E24953">
        <w:rPr>
          <w:lang w:val="en-US"/>
        </w:rPr>
        <w:t>Black) with HIV</w:t>
      </w:r>
      <w:r w:rsidR="006D7271">
        <w:rPr>
          <w:lang w:val="en-US"/>
        </w:rPr>
        <w:noBreakHyphen/>
      </w:r>
      <w:r w:rsidRPr="00E24953">
        <w:rPr>
          <w:lang w:val="en-US"/>
        </w:rPr>
        <w:t xml:space="preserve">1 RNA </w:t>
      </w:r>
      <w:r w:rsidR="00D7242B">
        <w:rPr>
          <w:lang w:val="en-US"/>
        </w:rPr>
        <w:t>less than</w:t>
      </w:r>
      <w:r w:rsidRPr="00E24953">
        <w:rPr>
          <w:lang w:val="en-US"/>
        </w:rPr>
        <w:t xml:space="preserve"> 50</w:t>
      </w:r>
      <w:r w:rsidR="00D7242B">
        <w:rPr>
          <w:lang w:val="en-US"/>
        </w:rPr>
        <w:t> </w:t>
      </w:r>
      <w:r w:rsidRPr="00E24953">
        <w:rPr>
          <w:lang w:val="en-US"/>
        </w:rPr>
        <w:t>copies/mL at Week 28 using the US FDA</w:t>
      </w:r>
      <w:r w:rsidR="006D7271">
        <w:rPr>
          <w:lang w:val="en-US"/>
        </w:rPr>
        <w:noBreakHyphen/>
      </w:r>
      <w:r w:rsidRPr="00E24953">
        <w:rPr>
          <w:lang w:val="en-US"/>
        </w:rPr>
        <w:t xml:space="preserve">defined snapshot algorithm were </w:t>
      </w:r>
      <w:proofErr w:type="gramStart"/>
      <w:r w:rsidRPr="00E24953">
        <w:rPr>
          <w:lang w:val="en-US"/>
        </w:rPr>
        <w:t>similar to</w:t>
      </w:r>
      <w:proofErr w:type="gramEnd"/>
      <w:r w:rsidRPr="00E24953">
        <w:rPr>
          <w:lang w:val="en-US"/>
        </w:rPr>
        <w:t xml:space="preserve"> the overall results. However, the small size and imbalance of participant numbers within each subgroup preclude </w:t>
      </w:r>
      <w:r>
        <w:rPr>
          <w:lang w:val="en-US"/>
        </w:rPr>
        <w:t>definite</w:t>
      </w:r>
      <w:r w:rsidRPr="00E24953">
        <w:rPr>
          <w:lang w:val="en-US"/>
        </w:rPr>
        <w:t xml:space="preserve"> conclusions</w:t>
      </w:r>
      <w:r>
        <w:rPr>
          <w:lang w:val="en-US"/>
        </w:rPr>
        <w:t>.</w:t>
      </w:r>
    </w:p>
    <w:p w14:paraId="339E5FB5" w14:textId="151BD8FF" w:rsidR="00F341EC" w:rsidRDefault="00063F39" w:rsidP="00F341EC">
      <w:pPr>
        <w:pStyle w:val="Heading4"/>
        <w:spacing w:line="240" w:lineRule="auto"/>
      </w:pPr>
      <w:bookmarkStart w:id="69" w:name="_Toc157422735"/>
      <w:r w:rsidRPr="00AA53F4">
        <w:t>Safety</w:t>
      </w:r>
      <w:bookmarkEnd w:id="69"/>
    </w:p>
    <w:p w14:paraId="2E445B60" w14:textId="77777777" w:rsidR="00B3560F" w:rsidRPr="00B3560F" w:rsidRDefault="00063F39" w:rsidP="00B3560F">
      <w:pPr>
        <w:pStyle w:val="Heading5"/>
      </w:pPr>
      <w:r w:rsidRPr="00B3560F">
        <w:t>Exposure</w:t>
      </w:r>
    </w:p>
    <w:p w14:paraId="0F722F78" w14:textId="75032512" w:rsidR="00B3560F" w:rsidRPr="00B3560F" w:rsidRDefault="00063F39" w:rsidP="00B3560F">
      <w:r w:rsidRPr="00B3560F">
        <w:rPr>
          <w:i/>
          <w:iCs/>
        </w:rPr>
        <w:t>Pivotal Study GS</w:t>
      </w:r>
      <w:r w:rsidR="006D7271">
        <w:rPr>
          <w:i/>
          <w:iCs/>
        </w:rPr>
        <w:noBreakHyphen/>
      </w:r>
      <w:r w:rsidRPr="00B3560F">
        <w:rPr>
          <w:i/>
          <w:iCs/>
        </w:rPr>
        <w:t>US</w:t>
      </w:r>
      <w:r w:rsidR="006D7271">
        <w:rPr>
          <w:i/>
          <w:iCs/>
        </w:rPr>
        <w:noBreakHyphen/>
      </w:r>
      <w:r w:rsidRPr="00B3560F">
        <w:rPr>
          <w:i/>
          <w:iCs/>
        </w:rPr>
        <w:t>200</w:t>
      </w:r>
      <w:r w:rsidR="006D7271">
        <w:rPr>
          <w:i/>
          <w:iCs/>
        </w:rPr>
        <w:noBreakHyphen/>
      </w:r>
      <w:r w:rsidRPr="00B3560F">
        <w:rPr>
          <w:i/>
          <w:iCs/>
        </w:rPr>
        <w:t>4625 (CAPELLA):</w:t>
      </w:r>
      <w:r w:rsidRPr="00B3560F">
        <w:t xml:space="preserve"> </w:t>
      </w:r>
      <w:r w:rsidR="0032587F">
        <w:t>By week 52,</w:t>
      </w:r>
      <w:r w:rsidR="00447800">
        <w:t xml:space="preserve"> </w:t>
      </w:r>
      <w:r w:rsidR="00B4420C" w:rsidRPr="00BD3744">
        <w:t>a</w:t>
      </w:r>
      <w:r w:rsidRPr="00B3560F">
        <w:t xml:space="preserve"> total of 72 Cohort 1 and 2 patients received oral </w:t>
      </w:r>
      <w:r w:rsidR="003A4339">
        <w:t>lenacapavir</w:t>
      </w:r>
      <w:r w:rsidRPr="00B3560F">
        <w:t xml:space="preserve">: 72 received SC </w:t>
      </w:r>
      <w:r w:rsidR="003A4339">
        <w:t>lenacapavir</w:t>
      </w:r>
      <w:r w:rsidRPr="00B3560F">
        <w:t xml:space="preserve"> on Day 1, 70 (Cohort 1 and 2: 36 and 34 patients, respectively) received a second dose at Week 26, and 36 patients (34 and 2 patients) received a </w:t>
      </w:r>
      <w:r w:rsidRPr="00F02AA8">
        <w:t xml:space="preserve">third dose at Week 52. The median duration was 484 </w:t>
      </w:r>
      <w:r w:rsidR="00F02AA8" w:rsidRPr="00F02AA8">
        <w:t xml:space="preserve">days </w:t>
      </w:r>
      <w:r w:rsidRPr="00F02AA8">
        <w:t>(</w:t>
      </w:r>
      <w:r w:rsidR="00F02AA8" w:rsidRPr="00F02AA8">
        <w:t xml:space="preserve">first quartile </w:t>
      </w:r>
      <w:r w:rsidRPr="00F02AA8">
        <w:t>411</w:t>
      </w:r>
      <w:r w:rsidR="00F02AA8" w:rsidRPr="00F02AA8">
        <w:t>; third quartile</w:t>
      </w:r>
      <w:r w:rsidRPr="00F02AA8">
        <w:t xml:space="preserve"> 559) and 317 </w:t>
      </w:r>
      <w:r w:rsidR="00F02AA8" w:rsidRPr="00F02AA8">
        <w:t xml:space="preserve">days </w:t>
      </w:r>
      <w:r w:rsidRPr="00F02AA8">
        <w:t>(</w:t>
      </w:r>
      <w:r w:rsidR="00F02AA8" w:rsidRPr="00F02AA8">
        <w:t xml:space="preserve">first quartile </w:t>
      </w:r>
      <w:r w:rsidRPr="00F02AA8">
        <w:t>267</w:t>
      </w:r>
      <w:r w:rsidR="00F02AA8" w:rsidRPr="00F02AA8">
        <w:t>; third quartile</w:t>
      </w:r>
      <w:r w:rsidRPr="00F02AA8">
        <w:t xml:space="preserve"> 352) for Cohorts 1 and 2</w:t>
      </w:r>
      <w:r w:rsidR="00F02AA8" w:rsidRPr="00F02AA8">
        <w:t>, respectively</w:t>
      </w:r>
      <w:r w:rsidRPr="00F02AA8">
        <w:t>.</w:t>
      </w:r>
    </w:p>
    <w:p w14:paraId="2A93CDE9" w14:textId="23A7B088" w:rsidR="00B3560F" w:rsidRPr="00B3560F" w:rsidRDefault="00063F39" w:rsidP="00B3560F">
      <w:r w:rsidRPr="00B3560F">
        <w:rPr>
          <w:i/>
          <w:iCs/>
        </w:rPr>
        <w:t>Study GS</w:t>
      </w:r>
      <w:r w:rsidR="006D7271">
        <w:rPr>
          <w:i/>
          <w:iCs/>
        </w:rPr>
        <w:noBreakHyphen/>
      </w:r>
      <w:r w:rsidRPr="00B3560F">
        <w:rPr>
          <w:i/>
          <w:iCs/>
        </w:rPr>
        <w:t>US</w:t>
      </w:r>
      <w:r w:rsidR="006D7271">
        <w:rPr>
          <w:i/>
          <w:iCs/>
        </w:rPr>
        <w:noBreakHyphen/>
      </w:r>
      <w:r w:rsidRPr="00B3560F">
        <w:rPr>
          <w:i/>
          <w:iCs/>
        </w:rPr>
        <w:t>200</w:t>
      </w:r>
      <w:r w:rsidR="006D7271">
        <w:rPr>
          <w:i/>
          <w:iCs/>
        </w:rPr>
        <w:noBreakHyphen/>
      </w:r>
      <w:r w:rsidRPr="00B3560F">
        <w:rPr>
          <w:i/>
          <w:iCs/>
        </w:rPr>
        <w:t xml:space="preserve">4334: </w:t>
      </w:r>
      <w:r w:rsidRPr="00B3560F">
        <w:t xml:space="preserve">By Week 54, 89.2% of patients in the </w:t>
      </w:r>
      <w:r w:rsidR="003A4339">
        <w:t>lenacapavir</w:t>
      </w:r>
      <w:r w:rsidRPr="00B3560F">
        <w:t xml:space="preserve"> total group (140 of 157 participants) and 96.0% in the bictegravir/emtricitabine/tenofovir alafenamide group (24 of 25 participants) had been exposed to study drug for at least 54 weeks.</w:t>
      </w:r>
    </w:p>
    <w:p w14:paraId="6B89852C" w14:textId="55F9B30A" w:rsidR="00B3560F" w:rsidRDefault="00063F39" w:rsidP="00B3560F">
      <w:r w:rsidRPr="00B3560F">
        <w:t xml:space="preserve">With regard to exposure of </w:t>
      </w:r>
      <w:r>
        <w:t xml:space="preserve">at least </w:t>
      </w:r>
      <w:r w:rsidRPr="00B3560F">
        <w:t xml:space="preserve">12 months, only approximately 176 patients have been exposed to </w:t>
      </w:r>
      <w:r w:rsidR="003A4339">
        <w:t>lenacapavir</w:t>
      </w:r>
      <w:r w:rsidRPr="00B3560F">
        <w:t>, and only 36 of th</w:t>
      </w:r>
      <w:r>
        <w:t>ese participants were</w:t>
      </w:r>
      <w:r w:rsidRPr="00B3560F">
        <w:t xml:space="preserve"> in the actual target population.</w:t>
      </w:r>
    </w:p>
    <w:p w14:paraId="034F29C8" w14:textId="0C607587" w:rsidR="00B3560F" w:rsidRPr="00B3560F" w:rsidRDefault="00063F39" w:rsidP="00B3560F">
      <w:r w:rsidRPr="00B3560F">
        <w:t>There were no paediatric safety (or efficacy) data.</w:t>
      </w:r>
    </w:p>
    <w:p w14:paraId="0F0291BC" w14:textId="51E88B76" w:rsidR="00B3560F" w:rsidRPr="00B3560F" w:rsidRDefault="00063F39" w:rsidP="00B3560F">
      <w:r w:rsidRPr="00B3560F">
        <w:t xml:space="preserve">In the Phase </w:t>
      </w:r>
      <w:r w:rsidR="00786A59">
        <w:t>I</w:t>
      </w:r>
      <w:r w:rsidRPr="00B3560F">
        <w:t xml:space="preserve"> studies, 365 healthy participants received </w:t>
      </w:r>
      <w:r>
        <w:t>l</w:t>
      </w:r>
      <w:r w:rsidRPr="00B3560F">
        <w:t>enacapavir (short</w:t>
      </w:r>
      <w:r w:rsidR="006D7271">
        <w:noBreakHyphen/>
      </w:r>
      <w:r w:rsidRPr="00B3560F">
        <w:t>term).</w:t>
      </w:r>
    </w:p>
    <w:p w14:paraId="709D95FD" w14:textId="77777777" w:rsidR="00B3560F" w:rsidRPr="00B3560F" w:rsidRDefault="00063F39" w:rsidP="00B3560F">
      <w:pPr>
        <w:pStyle w:val="Heading5"/>
      </w:pPr>
      <w:r w:rsidRPr="00B3560F">
        <w:lastRenderedPageBreak/>
        <w:t>Adverse event overview</w:t>
      </w:r>
    </w:p>
    <w:p w14:paraId="52845077" w14:textId="50F720DF" w:rsidR="00B3560F" w:rsidRPr="00B3560F" w:rsidRDefault="00063F39" w:rsidP="002874EE">
      <w:pPr>
        <w:pStyle w:val="Heading6"/>
      </w:pPr>
      <w:r w:rsidRPr="00B3560F">
        <w:t>Study GS</w:t>
      </w:r>
      <w:r w:rsidR="006D7271">
        <w:noBreakHyphen/>
      </w:r>
      <w:r w:rsidRPr="00B3560F">
        <w:t>US</w:t>
      </w:r>
      <w:r w:rsidR="006D7271">
        <w:noBreakHyphen/>
      </w:r>
      <w:r w:rsidRPr="00B3560F">
        <w:t>200</w:t>
      </w:r>
      <w:r w:rsidR="006D7271">
        <w:noBreakHyphen/>
      </w:r>
      <w:r w:rsidRPr="00B3560F">
        <w:t>4334</w:t>
      </w:r>
    </w:p>
    <w:p w14:paraId="390FCA76" w14:textId="309E224E" w:rsidR="00B3560F" w:rsidRPr="00B3560F" w:rsidRDefault="00063F39" w:rsidP="00B3560F">
      <w:r w:rsidRPr="00B3560F">
        <w:t xml:space="preserve">The proportion of participants who had any AE by Week 28 was similar in the </w:t>
      </w:r>
      <w:r w:rsidR="003A4339">
        <w:t>lenacapavir</w:t>
      </w:r>
      <w:r w:rsidRPr="00B3560F">
        <w:t xml:space="preserve"> total (86.6%; 136</w:t>
      </w:r>
      <w:r w:rsidR="002874EE">
        <w:t xml:space="preserve"> of </w:t>
      </w:r>
      <w:r w:rsidRPr="00B3560F">
        <w:t>157</w:t>
      </w:r>
      <w:r w:rsidR="002874EE">
        <w:t xml:space="preserve"> participants</w:t>
      </w:r>
      <w:r w:rsidRPr="00B3560F">
        <w:t xml:space="preserve">) and </w:t>
      </w:r>
      <w:r w:rsidR="002874EE">
        <w:rPr>
          <w:lang w:val="en-US"/>
        </w:rPr>
        <w:t>bictegravir/emtricitabine/tenofovir alafenamide</w:t>
      </w:r>
      <w:r w:rsidR="002874EE" w:rsidRPr="00B3560F">
        <w:t xml:space="preserve"> </w:t>
      </w:r>
      <w:r w:rsidRPr="00B3560F">
        <w:t>(84.0%; 21</w:t>
      </w:r>
      <w:r w:rsidR="002874EE">
        <w:t xml:space="preserve"> of </w:t>
      </w:r>
      <w:r w:rsidRPr="00B3560F">
        <w:t>25</w:t>
      </w:r>
      <w:r w:rsidR="002874EE">
        <w:t xml:space="preserve"> participants</w:t>
      </w:r>
      <w:r w:rsidRPr="00B3560F">
        <w:t xml:space="preserve">) groups. The percentages of participants with Grade 3 or higher AEs were also similar between the </w:t>
      </w:r>
      <w:r w:rsidR="003A4339">
        <w:t>lenacapavir</w:t>
      </w:r>
      <w:r w:rsidRPr="00B3560F">
        <w:t xml:space="preserve"> total (7%; 11</w:t>
      </w:r>
      <w:r w:rsidR="00BF6B00">
        <w:t xml:space="preserve"> of </w:t>
      </w:r>
      <w:r w:rsidRPr="00B3560F">
        <w:t>157</w:t>
      </w:r>
      <w:r w:rsidR="00BF6B00">
        <w:t xml:space="preserve"> participant</w:t>
      </w:r>
      <w:r w:rsidR="00CA2F64">
        <w:t>s</w:t>
      </w:r>
      <w:r w:rsidRPr="00B3560F">
        <w:t xml:space="preserve">) and </w:t>
      </w:r>
      <w:r w:rsidR="002874EE">
        <w:rPr>
          <w:lang w:val="en-US"/>
        </w:rPr>
        <w:t>bictegravir/emtricitabine/tenofovir alafenamide</w:t>
      </w:r>
      <w:r w:rsidR="002874EE" w:rsidRPr="00B3560F">
        <w:t xml:space="preserve"> </w:t>
      </w:r>
      <w:r w:rsidRPr="00B3560F">
        <w:t>(5.1%; 8</w:t>
      </w:r>
      <w:r w:rsidR="00BF6B00">
        <w:t xml:space="preserve"> of </w:t>
      </w:r>
      <w:r w:rsidRPr="00B3560F">
        <w:t>25</w:t>
      </w:r>
      <w:r w:rsidR="00BF6B00">
        <w:t xml:space="preserve"> participants</w:t>
      </w:r>
      <w:r w:rsidRPr="00B3560F">
        <w:t xml:space="preserve">) groups. Serious AEs occurred only in the </w:t>
      </w:r>
      <w:r w:rsidR="003A4339">
        <w:t>lenacapavir</w:t>
      </w:r>
      <w:r w:rsidRPr="00B3560F">
        <w:t xml:space="preserve"> total group (5.1%, 8 participants), but none were considered related to study drug.</w:t>
      </w:r>
    </w:p>
    <w:p w14:paraId="2DD6D38E" w14:textId="7F30B30E" w:rsidR="00B3560F" w:rsidRPr="00B3560F" w:rsidRDefault="00063F39" w:rsidP="00B3560F">
      <w:r w:rsidRPr="00B3560F">
        <w:t xml:space="preserve">The 3 most commonly reported AEs (reported in </w:t>
      </w:r>
      <w:r w:rsidR="00BF6B00">
        <w:t>at least</w:t>
      </w:r>
      <w:r w:rsidRPr="00B3560F">
        <w:t xml:space="preserve"> 5% of participants overall) by treatment group were as follows:</w:t>
      </w:r>
    </w:p>
    <w:p w14:paraId="257EBB64" w14:textId="6DAE0DF2" w:rsidR="00B3560F" w:rsidRPr="00B3560F" w:rsidRDefault="00063F39" w:rsidP="00BF6B00">
      <w:pPr>
        <w:pStyle w:val="ListBullet"/>
      </w:pPr>
      <w:r>
        <w:t>lenacapavir</w:t>
      </w:r>
      <w:r w:rsidRPr="00B3560F">
        <w:t xml:space="preserve"> total (n</w:t>
      </w:r>
      <w:r w:rsidR="00463708">
        <w:t> </w:t>
      </w:r>
      <w:r w:rsidRPr="00B3560F">
        <w:t>=</w:t>
      </w:r>
      <w:r w:rsidR="00463708">
        <w:t> </w:t>
      </w:r>
      <w:r w:rsidRPr="00B3560F">
        <w:t>157), excluding ISRs: headache (11.5%), nausea (10.8%), and lymphadenopathy (7.6%)</w:t>
      </w:r>
    </w:p>
    <w:p w14:paraId="09E7A5C7" w14:textId="1A730F1E" w:rsidR="00B3560F" w:rsidRPr="00B3560F" w:rsidRDefault="00063F39" w:rsidP="00BF6B00">
      <w:pPr>
        <w:pStyle w:val="ListBullet"/>
      </w:pPr>
      <w:r w:rsidRPr="00B3560F">
        <w:t xml:space="preserve">SC </w:t>
      </w:r>
      <w:r w:rsidR="003A4339">
        <w:t>lenacapavir</w:t>
      </w:r>
      <w:r w:rsidRPr="00B3560F">
        <w:t xml:space="preserve"> total (n</w:t>
      </w:r>
      <w:r w:rsidR="00463708">
        <w:t> </w:t>
      </w:r>
      <w:r w:rsidRPr="00B3560F">
        <w:t>=</w:t>
      </w:r>
      <w:r w:rsidR="00463708">
        <w:t> </w:t>
      </w:r>
      <w:r w:rsidRPr="00B3560F">
        <w:t>105), only ISRs: injection site swelling (22.9%), injection site erythema (21.0%), and injection site pain (each 21.0%)</w:t>
      </w:r>
    </w:p>
    <w:p w14:paraId="16CF6A7C" w14:textId="6533056A" w:rsidR="00B3560F" w:rsidRPr="00B3560F" w:rsidRDefault="00063F39" w:rsidP="00BF6B00">
      <w:pPr>
        <w:pStyle w:val="ListBullet"/>
      </w:pPr>
      <w:r w:rsidRPr="00B3560F">
        <w:t xml:space="preserve">Oral </w:t>
      </w:r>
      <w:r w:rsidR="003A4339">
        <w:t>lenacapavir</w:t>
      </w:r>
      <w:r w:rsidRPr="00B3560F">
        <w:t xml:space="preserve"> + </w:t>
      </w:r>
      <w:r w:rsidR="00DD0BA0">
        <w:t>emtricitabine/tenofovir alafenamide</w:t>
      </w:r>
      <w:r w:rsidRPr="00B3560F">
        <w:t xml:space="preserve"> (n</w:t>
      </w:r>
      <w:r w:rsidR="00463708">
        <w:t> </w:t>
      </w:r>
      <w:r w:rsidRPr="00B3560F">
        <w:t>=</w:t>
      </w:r>
      <w:r w:rsidR="00463708">
        <w:t> </w:t>
      </w:r>
      <w:r w:rsidRPr="00B3560F">
        <w:t>52): headache (13.5%), nausea, lymphadenopathy, diarrhea, back pain, and urinary tract infection (each 7.7%)</w:t>
      </w:r>
    </w:p>
    <w:p w14:paraId="2E34CA73" w14:textId="1842C6AE" w:rsidR="00B3560F" w:rsidRPr="00B3560F" w:rsidRDefault="00063F39" w:rsidP="00BF6B00">
      <w:pPr>
        <w:pStyle w:val="ListBullet"/>
      </w:pPr>
      <w:r>
        <w:rPr>
          <w:lang w:val="en-US"/>
        </w:rPr>
        <w:t>bictegravir/emtricitabine/tenofovir alafenamide</w:t>
      </w:r>
      <w:r w:rsidRPr="00B3560F">
        <w:t xml:space="preserve"> (n</w:t>
      </w:r>
      <w:r w:rsidR="00463708">
        <w:t> </w:t>
      </w:r>
      <w:r w:rsidRPr="00B3560F">
        <w:t>=</w:t>
      </w:r>
      <w:r w:rsidR="00463708">
        <w:t> </w:t>
      </w:r>
      <w:r w:rsidRPr="00B3560F">
        <w:t>25): syphilis, insomnia, and weight increased (each 12.0%).</w:t>
      </w:r>
    </w:p>
    <w:p w14:paraId="3A47687B" w14:textId="2D455B68" w:rsidR="00B3560F" w:rsidRPr="00B3560F" w:rsidRDefault="00063F39" w:rsidP="00B3560F">
      <w:r w:rsidRPr="00B3560F">
        <w:t xml:space="preserve">Similar percentages of participants in the </w:t>
      </w:r>
      <w:r w:rsidR="003A4339">
        <w:t>lenacapavir</w:t>
      </w:r>
      <w:r w:rsidRPr="00B3560F">
        <w:t xml:space="preserve"> total (n</w:t>
      </w:r>
      <w:r w:rsidR="00463708">
        <w:t> </w:t>
      </w:r>
      <w:r w:rsidRPr="00B3560F">
        <w:t>=</w:t>
      </w:r>
      <w:r w:rsidR="00463708">
        <w:t> </w:t>
      </w:r>
      <w:r w:rsidRPr="00B3560F">
        <w:t xml:space="preserve">157) and </w:t>
      </w:r>
      <w:r w:rsidR="002874EE">
        <w:rPr>
          <w:lang w:val="en-US"/>
        </w:rPr>
        <w:t>bictegravir/emtricitabine/tenofovir alafenamide</w:t>
      </w:r>
      <w:r w:rsidR="002874EE" w:rsidRPr="00B3560F">
        <w:t xml:space="preserve"> </w:t>
      </w:r>
      <w:r w:rsidRPr="00B3560F">
        <w:t>(n</w:t>
      </w:r>
      <w:r w:rsidR="00463708">
        <w:t> </w:t>
      </w:r>
      <w:r w:rsidRPr="00B3560F">
        <w:t>=</w:t>
      </w:r>
      <w:r w:rsidR="00463708">
        <w:t> </w:t>
      </w:r>
      <w:r w:rsidRPr="00B3560F">
        <w:t>25) groups had any AE by Week 54 (</w:t>
      </w:r>
      <w:r w:rsidR="003A4339">
        <w:t>lenacapavir</w:t>
      </w:r>
      <w:r w:rsidRPr="00B3560F">
        <w:t xml:space="preserve"> total 87.9%; </w:t>
      </w:r>
      <w:r w:rsidR="002874EE">
        <w:rPr>
          <w:lang w:val="en-US"/>
        </w:rPr>
        <w:t>bictegravir/emtricitabine/tenofovir alafenamide</w:t>
      </w:r>
      <w:r w:rsidR="002874EE" w:rsidRPr="00B3560F">
        <w:t xml:space="preserve"> </w:t>
      </w:r>
      <w:r w:rsidRPr="00B3560F">
        <w:t xml:space="preserve">84.0%). The percentages of participants with Grade 3 or higher AEs were also similar between the </w:t>
      </w:r>
      <w:r w:rsidR="003A4339">
        <w:t>lenacapavir</w:t>
      </w:r>
      <w:r w:rsidRPr="00B3560F">
        <w:t xml:space="preserve"> total and </w:t>
      </w:r>
      <w:r w:rsidR="002874EE">
        <w:rPr>
          <w:lang w:val="en-US"/>
        </w:rPr>
        <w:t>bictegravir/emtricitabine/tenofovir alafenamide</w:t>
      </w:r>
      <w:r w:rsidR="002874EE" w:rsidRPr="00B3560F">
        <w:t xml:space="preserve"> </w:t>
      </w:r>
      <w:r w:rsidRPr="00B3560F">
        <w:t>groups (</w:t>
      </w:r>
      <w:r w:rsidR="003A4339">
        <w:t>lenacapavir</w:t>
      </w:r>
      <w:r w:rsidRPr="00B3560F">
        <w:t xml:space="preserve"> total 8.3%; </w:t>
      </w:r>
      <w:r w:rsidR="002874EE">
        <w:rPr>
          <w:lang w:val="en-US"/>
        </w:rPr>
        <w:t>bictegravir/emtricitabine/tenofovir alafenamide</w:t>
      </w:r>
      <w:r w:rsidR="002874EE" w:rsidRPr="00B3560F">
        <w:t xml:space="preserve"> </w:t>
      </w:r>
      <w:r w:rsidRPr="00B3560F">
        <w:t>8.0%).</w:t>
      </w:r>
    </w:p>
    <w:p w14:paraId="60801431" w14:textId="77777777" w:rsidR="00B3560F" w:rsidRPr="00B3560F" w:rsidRDefault="00063F39" w:rsidP="00BF6B00">
      <w:pPr>
        <w:pStyle w:val="Heading5"/>
      </w:pPr>
      <w:r w:rsidRPr="00B3560F">
        <w:t>Treatment related adverse event (adverse drug reaction) overview</w:t>
      </w:r>
    </w:p>
    <w:p w14:paraId="7DAAA522" w14:textId="77777777" w:rsidR="009C04AB" w:rsidRPr="00B3560F" w:rsidRDefault="00063F39" w:rsidP="009C04AB">
      <w:pPr>
        <w:pStyle w:val="Heading6"/>
      </w:pPr>
      <w:r w:rsidRPr="00B3560F">
        <w:t>Pivotal Study GS</w:t>
      </w:r>
      <w:r>
        <w:noBreakHyphen/>
      </w:r>
      <w:r w:rsidRPr="00B3560F">
        <w:t>US</w:t>
      </w:r>
      <w:r>
        <w:noBreakHyphen/>
      </w:r>
      <w:r w:rsidRPr="00B3560F">
        <w:t>200</w:t>
      </w:r>
      <w:r>
        <w:noBreakHyphen/>
      </w:r>
      <w:r w:rsidRPr="00B3560F">
        <w:t>4625 (CAPELLA)</w:t>
      </w:r>
    </w:p>
    <w:p w14:paraId="168E0822" w14:textId="46EF0652" w:rsidR="009C04AB" w:rsidRDefault="00063F39" w:rsidP="009C04AB">
      <w:r w:rsidRPr="00B3560F">
        <w:rPr>
          <w:i/>
          <w:iCs/>
        </w:rPr>
        <w:t>Functional Monotherapy Period:</w:t>
      </w:r>
      <w:r w:rsidRPr="00B3560F">
        <w:t xml:space="preserve"> </w:t>
      </w:r>
      <w:r>
        <w:t>F</w:t>
      </w:r>
      <w:r w:rsidRPr="00B3560F">
        <w:t xml:space="preserve">or Cohort 1, the percentages of participants who experienced </w:t>
      </w:r>
      <w:r w:rsidRPr="00F02AA8">
        <w:t>adverse events (AEs) were slightly higher in the lenacapavir group (37.5%; 9 of 24 participants)</w:t>
      </w:r>
      <w:r w:rsidRPr="00B3560F">
        <w:t xml:space="preserve"> </w:t>
      </w:r>
      <w:r w:rsidRPr="00575437">
        <w:t xml:space="preserve">compared to placebo (25.0%; 3 of 12 participants); see </w:t>
      </w:r>
      <w:r w:rsidR="000623A2">
        <w:fldChar w:fldCharType="begin"/>
      </w:r>
      <w:r w:rsidR="000623A2">
        <w:instrText xml:space="preserve"> REF _Ref156901032 \h </w:instrText>
      </w:r>
      <w:r w:rsidR="000623A2">
        <w:fldChar w:fldCharType="separate"/>
      </w:r>
      <w:r w:rsidR="000623A2">
        <w:t xml:space="preserve">Table </w:t>
      </w:r>
      <w:r w:rsidR="000623A2">
        <w:rPr>
          <w:noProof/>
        </w:rPr>
        <w:t>11</w:t>
      </w:r>
      <w:r w:rsidR="000623A2">
        <w:fldChar w:fldCharType="end"/>
      </w:r>
      <w:r w:rsidRPr="00575437">
        <w:t>, which uses MedDRA Preferred</w:t>
      </w:r>
      <w:r>
        <w:t xml:space="preserve"> Terms</w:t>
      </w:r>
      <w:r w:rsidRPr="00B3560F">
        <w:t>.</w:t>
      </w:r>
      <w:r>
        <w:rPr>
          <w:rStyle w:val="FootnoteReference"/>
        </w:rPr>
        <w:footnoteReference w:id="13"/>
      </w:r>
    </w:p>
    <w:p w14:paraId="61DAC0B7" w14:textId="421DCBBC" w:rsidR="009C04AB" w:rsidRPr="00B3560F" w:rsidRDefault="00063F39" w:rsidP="009C04AB">
      <w:pPr>
        <w:pStyle w:val="TableTitle"/>
      </w:pPr>
      <w:bookmarkStart w:id="70" w:name="_Ref156901032"/>
      <w:r>
        <w:lastRenderedPageBreak/>
        <w:t xml:space="preserve">Table </w:t>
      </w:r>
      <w:r w:rsidR="006250B8">
        <w:fldChar w:fldCharType="begin"/>
      </w:r>
      <w:r w:rsidR="006250B8">
        <w:instrText xml:space="preserve"> SEQ Table \* ARABIC </w:instrText>
      </w:r>
      <w:r w:rsidR="006250B8">
        <w:fldChar w:fldCharType="separate"/>
      </w:r>
      <w:r w:rsidR="000623A2">
        <w:rPr>
          <w:noProof/>
        </w:rPr>
        <w:t>11</w:t>
      </w:r>
      <w:r w:rsidR="006250B8">
        <w:rPr>
          <w:noProof/>
        </w:rPr>
        <w:fldChar w:fldCharType="end"/>
      </w:r>
      <w:bookmarkEnd w:id="70"/>
      <w:r>
        <w:t>: Study GS</w:t>
      </w:r>
      <w:r>
        <w:noBreakHyphen/>
        <w:t>US</w:t>
      </w:r>
      <w:r>
        <w:noBreakHyphen/>
        <w:t>200</w:t>
      </w:r>
      <w:r>
        <w:noBreakHyphen/>
        <w:t>4625 (CAPELLA) Cohort 1 treatment</w:t>
      </w:r>
      <w:r>
        <w:noBreakHyphen/>
        <w:t>emergent adverse events by preferred term in at least 5% of participants (Functional Monotherapy Period) (safety analysis set)</w:t>
      </w:r>
    </w:p>
    <w:p w14:paraId="20200772" w14:textId="77777777" w:rsidR="009C04AB" w:rsidRPr="00B3560F" w:rsidRDefault="00063F39" w:rsidP="009C04AB">
      <w:r w:rsidRPr="00B3560F">
        <w:rPr>
          <w:noProof/>
        </w:rPr>
        <w:drawing>
          <wp:inline distT="0" distB="0" distL="0" distR="0" wp14:anchorId="09C3F573" wp14:editId="0B554A7A">
            <wp:extent cx="5676181" cy="1596840"/>
            <wp:effectExtent l="0" t="0" r="1270" b="3810"/>
            <wp:docPr id="83" name="Picture 83" descr="Column 1 is TEAEs of nausea, diarrhoea, abscess on limb, neck pain, thrombocytopenia, vomiting. Column 2 is lenacapavir (24 subjects) and Column 3 is placebo (12 subjects). Number of subjects with each TEAE with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olumn 1 is TEAEs of nausea, diarrhoea, abscess on limb, neck pain, thrombocytopenia, vomiting. Column 2 is lenacapavir (24 subjects) and Column 3 is placebo (12 subjects). Number of subjects with each TEAE with per cent."/>
                    <pic:cNvPicPr>
                      <a:picLocks noChangeAspect="1" noChangeArrowheads="1"/>
                    </pic:cNvPicPr>
                  </pic:nvPicPr>
                  <pic:blipFill>
                    <a:blip r:embed="rId34">
                      <a:extLst>
                        <a:ext uri="{28A0092B-C50C-407E-A947-70E740481C1C}">
                          <a14:useLocalDpi xmlns:a14="http://schemas.microsoft.com/office/drawing/2010/main" val="0"/>
                        </a:ext>
                      </a:extLst>
                    </a:blip>
                    <a:srcRect b="32372"/>
                    <a:stretch>
                      <a:fillRect/>
                    </a:stretch>
                  </pic:blipFill>
                  <pic:spPr bwMode="auto">
                    <a:xfrm>
                      <a:off x="0" y="0"/>
                      <a:ext cx="5796841" cy="1630785"/>
                    </a:xfrm>
                    <a:prstGeom prst="rect">
                      <a:avLst/>
                    </a:prstGeom>
                    <a:noFill/>
                    <a:ln>
                      <a:noFill/>
                    </a:ln>
                    <a:extLst>
                      <a:ext uri="{53640926-AAD7-44D8-BBD7-CCE9431645EC}">
                        <a14:shadowObscured xmlns:a14="http://schemas.microsoft.com/office/drawing/2010/main"/>
                      </a:ext>
                    </a:extLst>
                  </pic:spPr>
                </pic:pic>
              </a:graphicData>
            </a:graphic>
          </wp:inline>
        </w:drawing>
      </w:r>
    </w:p>
    <w:p w14:paraId="07CA6786" w14:textId="77777777" w:rsidR="009C04AB" w:rsidRPr="00BF6B00" w:rsidRDefault="00063F39" w:rsidP="009C04AB">
      <w:pPr>
        <w:rPr>
          <w:i/>
          <w:iCs/>
        </w:rPr>
      </w:pPr>
      <w:r w:rsidRPr="00BF6B00">
        <w:rPr>
          <w:i/>
          <w:iCs/>
        </w:rPr>
        <w:t>Week 26 analysis</w:t>
      </w:r>
    </w:p>
    <w:p w14:paraId="7AF2419D" w14:textId="77777777" w:rsidR="009C04AB" w:rsidRPr="00B3560F" w:rsidRDefault="00063F39" w:rsidP="009C04AB">
      <w:pPr>
        <w:pStyle w:val="ListBullet"/>
      </w:pPr>
      <w:r>
        <w:t>The majority (</w:t>
      </w:r>
      <w:r w:rsidRPr="00B3560F">
        <w:t>91.7%</w:t>
      </w:r>
      <w:r>
        <w:t xml:space="preserve">; </w:t>
      </w:r>
      <w:r w:rsidRPr="00B3560F">
        <w:t>66</w:t>
      </w:r>
      <w:r>
        <w:t xml:space="preserve"> of </w:t>
      </w:r>
      <w:r w:rsidRPr="00B3560F">
        <w:t xml:space="preserve">72) of patients who received </w:t>
      </w:r>
      <w:r>
        <w:t>lenacapavir</w:t>
      </w:r>
      <w:r w:rsidRPr="00B3560F">
        <w:t xml:space="preserve"> in Cohorts 1 and 2 experienced AEs.</w:t>
      </w:r>
    </w:p>
    <w:p w14:paraId="3ACC1E3E" w14:textId="77777777" w:rsidR="009C04AB" w:rsidRPr="00575437" w:rsidRDefault="00063F39" w:rsidP="009C04AB">
      <w:pPr>
        <w:pStyle w:val="ListBullet"/>
      </w:pPr>
      <w:r w:rsidRPr="00B3560F">
        <w:t>A</w:t>
      </w:r>
      <w:r>
        <w:t>dverse events</w:t>
      </w:r>
      <w:r w:rsidRPr="00B3560F">
        <w:t xml:space="preserve"> (most Grade 1 or 2)</w:t>
      </w:r>
      <w:r>
        <w:rPr>
          <w:rStyle w:val="FootnoteReference"/>
        </w:rPr>
        <w:footnoteReference w:id="14"/>
      </w:r>
      <w:r w:rsidRPr="00B3560F">
        <w:t xml:space="preserve"> reported in </w:t>
      </w:r>
      <w:r>
        <w:t>at least</w:t>
      </w:r>
      <w:r w:rsidRPr="00B3560F">
        <w:t xml:space="preserve"> 5% </w:t>
      </w:r>
      <w:r>
        <w:t xml:space="preserve">of participants </w:t>
      </w:r>
      <w:r w:rsidRPr="00B3560F">
        <w:t xml:space="preserve">were all </w:t>
      </w:r>
      <w:r w:rsidRPr="00575437">
        <w:t>injection site reactions (ISRs) including injection site swelling (29.2%; 21 of 72), injection site erythema (26.4%; 19 of 72) and injection site pain (25.0%; 18 of 72).</w:t>
      </w:r>
    </w:p>
    <w:p w14:paraId="43B11441" w14:textId="77777777" w:rsidR="009C04AB" w:rsidRPr="00575437" w:rsidRDefault="00063F39" w:rsidP="009C04AB">
      <w:pPr>
        <w:pStyle w:val="ListBullet"/>
      </w:pPr>
      <w:r w:rsidRPr="00575437">
        <w:t>Grade 3 or higher AEs were experienced by 13.9% in Cohort 1 and 22.2% in Cohort 2.</w:t>
      </w:r>
    </w:p>
    <w:p w14:paraId="7B62D262" w14:textId="77777777" w:rsidR="009C04AB" w:rsidRPr="00575437" w:rsidRDefault="00063F39" w:rsidP="009C04AB">
      <w:pPr>
        <w:rPr>
          <w:i/>
          <w:iCs/>
        </w:rPr>
      </w:pPr>
      <w:r w:rsidRPr="00575437">
        <w:rPr>
          <w:i/>
          <w:iCs/>
        </w:rPr>
        <w:t>Week 52 analysis</w:t>
      </w:r>
    </w:p>
    <w:p w14:paraId="192DF277" w14:textId="77777777" w:rsidR="009C04AB" w:rsidRPr="00575437" w:rsidRDefault="00063F39" w:rsidP="009C04AB">
      <w:pPr>
        <w:pStyle w:val="ListBullet"/>
      </w:pPr>
      <w:r w:rsidRPr="00575437">
        <w:t>The majority (93.1%; 67 of 72) of patients who received lenacapavir in Cohorts 1 and 2 experienced at least one AE. Three additional patients had Grade 3 or higher AEs and 16 new terms of Grade 3 or higher AEs were reported.</w:t>
      </w:r>
    </w:p>
    <w:p w14:paraId="12BB7242" w14:textId="77777777" w:rsidR="009C04AB" w:rsidRPr="00B3560F" w:rsidRDefault="00063F39" w:rsidP="009C04AB">
      <w:pPr>
        <w:pStyle w:val="ListBullet"/>
      </w:pPr>
      <w:r w:rsidRPr="00575437">
        <w:t>The most common treatment</w:t>
      </w:r>
      <w:r w:rsidRPr="00575437">
        <w:noBreakHyphen/>
        <w:t>emergent adverse events (TEAEs) reported were ISRs</w:t>
      </w:r>
      <w:r w:rsidRPr="00B3560F">
        <w:t xml:space="preserve"> including injection site pain (37.5%), swelling (33.3%), erythema (27.8%) and nodule (25.0%). Typically, ISRs occurred most after the first SC dose and less following the second and third SC doses at Week 26 and 52.</w:t>
      </w:r>
    </w:p>
    <w:p w14:paraId="2C939004" w14:textId="13A0A4D7" w:rsidR="00B3560F" w:rsidRPr="00B3560F" w:rsidRDefault="00063F39" w:rsidP="00BF6B00">
      <w:pPr>
        <w:pStyle w:val="Heading6"/>
      </w:pPr>
      <w:r w:rsidRPr="00B3560F">
        <w:t>Pivotal Study GS</w:t>
      </w:r>
      <w:r w:rsidR="006D7271">
        <w:noBreakHyphen/>
      </w:r>
      <w:r w:rsidRPr="00B3560F">
        <w:t>US</w:t>
      </w:r>
      <w:r w:rsidR="006D7271">
        <w:noBreakHyphen/>
      </w:r>
      <w:r w:rsidRPr="00B3560F">
        <w:t>200</w:t>
      </w:r>
      <w:r w:rsidR="006D7271">
        <w:noBreakHyphen/>
      </w:r>
      <w:r w:rsidRPr="00B3560F">
        <w:t>4625 (CAPELLA)</w:t>
      </w:r>
    </w:p>
    <w:p w14:paraId="62B7F861" w14:textId="77777777" w:rsidR="00BF6B00" w:rsidRDefault="00063F39" w:rsidP="00307773">
      <w:pPr>
        <w:keepNext/>
        <w:rPr>
          <w:i/>
          <w:iCs/>
        </w:rPr>
      </w:pPr>
      <w:r w:rsidRPr="00BF6B00">
        <w:rPr>
          <w:i/>
          <w:iCs/>
        </w:rPr>
        <w:t>Functional Monotherapy Period</w:t>
      </w:r>
    </w:p>
    <w:p w14:paraId="3408B8BA" w14:textId="0551745F" w:rsidR="00B3560F" w:rsidRPr="00B3560F" w:rsidRDefault="00063F39" w:rsidP="00B3560F">
      <w:r w:rsidRPr="00B3560F">
        <w:t xml:space="preserve">The proportion </w:t>
      </w:r>
      <w:r w:rsidR="00BF6B00">
        <w:t xml:space="preserve">of participants </w:t>
      </w:r>
      <w:r w:rsidRPr="00B3560F">
        <w:t>with treatment</w:t>
      </w:r>
      <w:r w:rsidR="006D7271">
        <w:noBreakHyphen/>
      </w:r>
      <w:r w:rsidRPr="00B3560F">
        <w:t xml:space="preserve">related AEs was higher in the </w:t>
      </w:r>
      <w:r w:rsidR="003A4339">
        <w:t>lenacapavir</w:t>
      </w:r>
      <w:r w:rsidRPr="00B3560F">
        <w:t xml:space="preserve"> group (16.7%, 4</w:t>
      </w:r>
      <w:r w:rsidR="00BF6B00">
        <w:t xml:space="preserve"> of </w:t>
      </w:r>
      <w:r w:rsidRPr="00B3560F">
        <w:t>24</w:t>
      </w:r>
      <w:r w:rsidR="00BF6B00">
        <w:t xml:space="preserve"> participants</w:t>
      </w:r>
      <w:r w:rsidRPr="00B3560F">
        <w:t>) compared to placebo (8.3%, 1</w:t>
      </w:r>
      <w:r w:rsidR="00BF6B00">
        <w:t xml:space="preserve"> of </w:t>
      </w:r>
      <w:r w:rsidRPr="00B3560F">
        <w:t>12</w:t>
      </w:r>
      <w:r w:rsidR="00BF6B00">
        <w:t xml:space="preserve"> participants</w:t>
      </w:r>
      <w:r w:rsidRPr="00B3560F">
        <w:t>).</w:t>
      </w:r>
    </w:p>
    <w:p w14:paraId="4DA39827" w14:textId="46C084AB" w:rsidR="00B3560F" w:rsidRPr="00BF6B00" w:rsidRDefault="00063F39" w:rsidP="00B3560F">
      <w:pPr>
        <w:rPr>
          <w:i/>
          <w:iCs/>
        </w:rPr>
      </w:pPr>
      <w:r w:rsidRPr="00BF6B00">
        <w:rPr>
          <w:i/>
          <w:iCs/>
        </w:rPr>
        <w:t>Week 26 analysis</w:t>
      </w:r>
    </w:p>
    <w:p w14:paraId="1810EF2E" w14:textId="4F24A18C" w:rsidR="00B3560F" w:rsidRPr="00B3560F" w:rsidRDefault="00063F39" w:rsidP="00BF6B00">
      <w:pPr>
        <w:pStyle w:val="ListBullet"/>
      </w:pPr>
      <w:r>
        <w:t xml:space="preserve">Of the </w:t>
      </w:r>
      <w:r w:rsidRPr="00B3560F">
        <w:t>91.7% (66</w:t>
      </w:r>
      <w:r w:rsidR="00BF6B00">
        <w:t xml:space="preserve"> of </w:t>
      </w:r>
      <w:r w:rsidRPr="00B3560F">
        <w:t>72</w:t>
      </w:r>
      <w:r w:rsidR="00BF6B00">
        <w:t xml:space="preserve"> participants</w:t>
      </w:r>
      <w:r w:rsidRPr="00B3560F">
        <w:t xml:space="preserve">) </w:t>
      </w:r>
      <w:r>
        <w:t xml:space="preserve">who </w:t>
      </w:r>
      <w:r w:rsidRPr="00B3560F">
        <w:t>experienced treatment</w:t>
      </w:r>
      <w:r w:rsidR="006D7271">
        <w:noBreakHyphen/>
      </w:r>
      <w:r w:rsidRPr="00B3560F">
        <w:t>related AEs</w:t>
      </w:r>
      <w:r>
        <w:t xml:space="preserve">, </w:t>
      </w:r>
      <w:r w:rsidRPr="00B3560F">
        <w:t xml:space="preserve">ISRs </w:t>
      </w:r>
      <w:r>
        <w:t xml:space="preserve">was </w:t>
      </w:r>
      <w:r w:rsidRPr="00B3560F">
        <w:t>reported most commonly.</w:t>
      </w:r>
    </w:p>
    <w:p w14:paraId="5CB47779" w14:textId="351A2F36" w:rsidR="00B3560F" w:rsidRPr="00B3560F" w:rsidRDefault="00063F39" w:rsidP="00BF6B00">
      <w:pPr>
        <w:pStyle w:val="ListBullet"/>
      </w:pPr>
      <w:r>
        <w:t>Three</w:t>
      </w:r>
      <w:r w:rsidRPr="00B3560F">
        <w:t xml:space="preserve"> patients had Grade 3 ISRs attributed to enfuvirtide. </w:t>
      </w:r>
      <w:r w:rsidR="00CC58AF">
        <w:t>Four</w:t>
      </w:r>
      <w:r w:rsidRPr="00B3560F">
        <w:t xml:space="preserve"> patients had Grade 3 or higher AEs considered related to study drug: rash and abdominal abscess, injection site swelling and injection site erythema, injection site pain, and hepatic function abnormal (1 participant each).</w:t>
      </w:r>
    </w:p>
    <w:p w14:paraId="58F3E595" w14:textId="77777777" w:rsidR="00BF6B00" w:rsidRPr="00BF6B00" w:rsidRDefault="00063F39" w:rsidP="005C49E4">
      <w:pPr>
        <w:pageBreakBefore/>
        <w:rPr>
          <w:i/>
          <w:iCs/>
        </w:rPr>
      </w:pPr>
      <w:r w:rsidRPr="00BF6B00">
        <w:rPr>
          <w:i/>
          <w:iCs/>
        </w:rPr>
        <w:lastRenderedPageBreak/>
        <w:t>Week 52 analysis</w:t>
      </w:r>
    </w:p>
    <w:p w14:paraId="12584CE7" w14:textId="56C4B8CC" w:rsidR="00B3560F" w:rsidRDefault="00063F39" w:rsidP="00CC58AF">
      <w:pPr>
        <w:pStyle w:val="ListBullet"/>
      </w:pPr>
      <w:r>
        <w:t>Two</w:t>
      </w:r>
      <w:r w:rsidR="006D7271">
        <w:noBreakHyphen/>
      </w:r>
      <w:r>
        <w:t>thirds (</w:t>
      </w:r>
      <w:r w:rsidRPr="00B3560F">
        <w:t>66.7%</w:t>
      </w:r>
      <w:r>
        <w:t xml:space="preserve">; </w:t>
      </w:r>
      <w:r w:rsidRPr="00B3560F">
        <w:t>48</w:t>
      </w:r>
      <w:r>
        <w:t xml:space="preserve"> of </w:t>
      </w:r>
      <w:r w:rsidRPr="00B3560F">
        <w:t>72</w:t>
      </w:r>
      <w:r>
        <w:t xml:space="preserve"> participants</w:t>
      </w:r>
      <w:r w:rsidRPr="00B3560F">
        <w:t>) experienced treatment</w:t>
      </w:r>
      <w:r w:rsidR="006D7271">
        <w:noBreakHyphen/>
      </w:r>
      <w:r w:rsidRPr="00B3560F">
        <w:t xml:space="preserve">related AEs (lower than </w:t>
      </w:r>
      <w:proofErr w:type="spellStart"/>
      <w:r w:rsidRPr="00B3560F">
        <w:t>at</w:t>
      </w:r>
      <w:proofErr w:type="spellEnd"/>
      <w:r w:rsidRPr="00B3560F">
        <w:t xml:space="preserve"> Week 26 due to reduction in ISRs with time). </w:t>
      </w:r>
      <w:r>
        <w:t>The m</w:t>
      </w:r>
      <w:r w:rsidRPr="00B3560F">
        <w:t>ost common</w:t>
      </w:r>
      <w:r>
        <w:t xml:space="preserve"> events </w:t>
      </w:r>
      <w:r w:rsidR="00D12658">
        <w:t>were</w:t>
      </w:r>
      <w:r w:rsidRPr="00B3560F">
        <w:t xml:space="preserve"> injection site pain and injection site swelling (30.6%), injection site erythema (25.0%), and injection site nodule (23.6%).</w:t>
      </w:r>
    </w:p>
    <w:p w14:paraId="61D94B8E" w14:textId="1A67F833" w:rsidR="00CC58AF" w:rsidRDefault="00063F39" w:rsidP="00CC58AF">
      <w:pPr>
        <w:pStyle w:val="Heading6"/>
      </w:pPr>
      <w:r w:rsidRPr="00B3560F">
        <w:t>Study GS</w:t>
      </w:r>
      <w:r w:rsidR="006D7271">
        <w:noBreakHyphen/>
      </w:r>
      <w:r w:rsidRPr="00B3560F">
        <w:t>US</w:t>
      </w:r>
      <w:r w:rsidR="006D7271">
        <w:noBreakHyphen/>
      </w:r>
      <w:r w:rsidRPr="00B3560F">
        <w:t>200</w:t>
      </w:r>
      <w:r w:rsidR="006D7271">
        <w:noBreakHyphen/>
      </w:r>
      <w:r w:rsidRPr="00B3560F">
        <w:t>4334</w:t>
      </w:r>
    </w:p>
    <w:p w14:paraId="45EFA7A6" w14:textId="666ACD11" w:rsidR="0002168B" w:rsidRPr="00A1430F" w:rsidRDefault="0002168B" w:rsidP="00B3560F">
      <w:pPr>
        <w:rPr>
          <w:i/>
          <w:iCs/>
        </w:rPr>
      </w:pPr>
      <w:r w:rsidRPr="00A1430F">
        <w:rPr>
          <w:i/>
          <w:iCs/>
        </w:rPr>
        <w:t>Week</w:t>
      </w:r>
      <w:r w:rsidR="00A1430F" w:rsidRPr="00A1430F">
        <w:rPr>
          <w:i/>
          <w:iCs/>
        </w:rPr>
        <w:t xml:space="preserve"> 54 analysis</w:t>
      </w:r>
    </w:p>
    <w:p w14:paraId="608AFBA1" w14:textId="0396A975" w:rsidR="00B3560F" w:rsidRPr="00B3560F" w:rsidRDefault="00063F39" w:rsidP="00B3560F">
      <w:r w:rsidRPr="00DD0BA0">
        <w:t>A</w:t>
      </w:r>
      <w:r w:rsidR="00CC58AF" w:rsidRPr="00DD0BA0">
        <w:t>dverse events</w:t>
      </w:r>
      <w:r w:rsidRPr="00DD0BA0">
        <w:t xml:space="preserve"> related to the study drug occurred more frequently in the SC </w:t>
      </w:r>
      <w:r w:rsidR="003A4339" w:rsidRPr="00DD0BA0">
        <w:t>lenacapavir</w:t>
      </w:r>
      <w:r w:rsidRPr="00DD0BA0">
        <w:t xml:space="preserve"> total group (compared to Oral </w:t>
      </w:r>
      <w:r w:rsidR="003A4339" w:rsidRPr="00DD0BA0">
        <w:t>lenacapavir</w:t>
      </w:r>
      <w:r w:rsidRPr="00DD0BA0">
        <w:t xml:space="preserve"> + emtricitabine/tenofovir alafenamide; or </w:t>
      </w:r>
      <w:r w:rsidR="002874EE" w:rsidRPr="00DD0BA0">
        <w:rPr>
          <w:lang w:val="en-US"/>
        </w:rPr>
        <w:t>bictegravir/emtricitabine/tenofovir alafenamide</w:t>
      </w:r>
      <w:r w:rsidRPr="00DD0BA0">
        <w:t xml:space="preserve">) and consisted mainly of ISRs (SC </w:t>
      </w:r>
      <w:r w:rsidR="003A4339" w:rsidRPr="00DD0BA0">
        <w:t>lenacapavir</w:t>
      </w:r>
      <w:r w:rsidRPr="00DD0BA0">
        <w:t xml:space="preserve"> total 58.1% [61</w:t>
      </w:r>
      <w:r w:rsidR="0017056C" w:rsidRPr="00DD0BA0">
        <w:t xml:space="preserve"> of </w:t>
      </w:r>
      <w:r w:rsidRPr="00DD0BA0">
        <w:t>105</w:t>
      </w:r>
      <w:r w:rsidR="0017056C" w:rsidRPr="00DD0BA0">
        <w:t xml:space="preserve"> participants</w:t>
      </w:r>
      <w:r w:rsidRPr="00DD0BA0">
        <w:t xml:space="preserve">], Oral </w:t>
      </w:r>
      <w:r w:rsidR="003A4339" w:rsidRPr="00DD0BA0">
        <w:t>lenacapavir</w:t>
      </w:r>
      <w:r w:rsidRPr="00DD0BA0">
        <w:t xml:space="preserve"> + </w:t>
      </w:r>
      <w:r w:rsidR="00DD0BA0" w:rsidRPr="00DD0BA0">
        <w:rPr>
          <w:lang w:val="en-US"/>
        </w:rPr>
        <w:t>emtricitabine/tenofovir alafenamide</w:t>
      </w:r>
      <w:r w:rsidR="00DD0BA0" w:rsidRPr="00DD0BA0">
        <w:t xml:space="preserve"> </w:t>
      </w:r>
      <w:r w:rsidRPr="00DD0BA0">
        <w:t>15.4% [8</w:t>
      </w:r>
      <w:r w:rsidR="0017056C" w:rsidRPr="00DD0BA0">
        <w:t xml:space="preserve"> of </w:t>
      </w:r>
      <w:r w:rsidRPr="00DD0BA0">
        <w:t>52</w:t>
      </w:r>
      <w:r w:rsidR="0017056C" w:rsidRPr="00DD0BA0">
        <w:t xml:space="preserve"> participants</w:t>
      </w:r>
      <w:r w:rsidRPr="00DD0BA0">
        <w:t xml:space="preserve">], and </w:t>
      </w:r>
      <w:r w:rsidR="00BF6B00" w:rsidRPr="00DD0BA0">
        <w:rPr>
          <w:lang w:val="en-US"/>
        </w:rPr>
        <w:t>bictegravir/emtricitabine/tenofovir alafenamide</w:t>
      </w:r>
      <w:r w:rsidRPr="00DD0BA0">
        <w:t xml:space="preserve"> 16.0% [4</w:t>
      </w:r>
      <w:r w:rsidR="0017056C" w:rsidRPr="00DD0BA0">
        <w:t xml:space="preserve"> of </w:t>
      </w:r>
      <w:r w:rsidRPr="00DD0BA0">
        <w:t>25</w:t>
      </w:r>
      <w:r w:rsidR="0017056C" w:rsidRPr="00DD0BA0">
        <w:t xml:space="preserve"> participants</w:t>
      </w:r>
      <w:r w:rsidRPr="00DD0BA0">
        <w:t xml:space="preserve">]). For </w:t>
      </w:r>
      <w:r w:rsidR="003A4339" w:rsidRPr="00DD0BA0">
        <w:t>lenacapavir</w:t>
      </w:r>
      <w:r w:rsidRPr="00DD0BA0">
        <w:t xml:space="preserve"> total, 34.4% (54</w:t>
      </w:r>
      <w:r w:rsidR="0017056C" w:rsidRPr="00DD0BA0">
        <w:t xml:space="preserve"> of </w:t>
      </w:r>
      <w:r w:rsidRPr="00DD0BA0">
        <w:t>157</w:t>
      </w:r>
      <w:r w:rsidR="0017056C" w:rsidRPr="00DD0BA0">
        <w:t xml:space="preserve"> participants</w:t>
      </w:r>
      <w:r w:rsidRPr="00DD0BA0">
        <w:t>) had treatment</w:t>
      </w:r>
      <w:r w:rsidR="006D7271" w:rsidRPr="00DD0BA0">
        <w:noBreakHyphen/>
      </w:r>
      <w:r w:rsidRPr="00DD0BA0">
        <w:t>related AEs.</w:t>
      </w:r>
    </w:p>
    <w:p w14:paraId="4EE434CA" w14:textId="68546652" w:rsidR="00B3560F" w:rsidRPr="00B3560F" w:rsidRDefault="00063F39" w:rsidP="00B3560F">
      <w:r w:rsidRPr="00B3560F">
        <w:t xml:space="preserve">In the SC </w:t>
      </w:r>
      <w:r w:rsidR="003A4339">
        <w:t>lenacapavir</w:t>
      </w:r>
      <w:r w:rsidRPr="00B3560F">
        <w:t xml:space="preserve"> group, 44.8% </w:t>
      </w:r>
      <w:r w:rsidR="0017056C">
        <w:t xml:space="preserve">of participants </w:t>
      </w:r>
      <w:r w:rsidRPr="00B3560F">
        <w:t>(47</w:t>
      </w:r>
      <w:r w:rsidR="0017056C">
        <w:t xml:space="preserve"> of </w:t>
      </w:r>
      <w:r w:rsidRPr="00B3560F">
        <w:t>105) had treatment</w:t>
      </w:r>
      <w:r w:rsidR="006D7271">
        <w:noBreakHyphen/>
      </w:r>
      <w:r w:rsidRPr="00B3560F">
        <w:t>related AEs, mainly due to ISRs including injection site swelling (18.1%; 19</w:t>
      </w:r>
      <w:r w:rsidR="0017056C">
        <w:t xml:space="preserve"> of </w:t>
      </w:r>
      <w:r w:rsidRPr="00B3560F">
        <w:t>105), erythema (16.2%; 17</w:t>
      </w:r>
      <w:r w:rsidR="0017056C">
        <w:t xml:space="preserve"> of </w:t>
      </w:r>
      <w:r w:rsidRPr="00B3560F">
        <w:t xml:space="preserve">105), </w:t>
      </w:r>
      <w:r w:rsidR="0017056C">
        <w:t xml:space="preserve">and </w:t>
      </w:r>
      <w:r w:rsidRPr="00B3560F">
        <w:t>pain (15.2%; 16</w:t>
      </w:r>
      <w:r w:rsidR="0017056C">
        <w:t xml:space="preserve"> of </w:t>
      </w:r>
      <w:r w:rsidRPr="00B3560F">
        <w:t>105). Treatment</w:t>
      </w:r>
      <w:r w:rsidR="006D7271">
        <w:noBreakHyphen/>
      </w:r>
      <w:r w:rsidRPr="00B3560F">
        <w:t>related AEs excluding ISRs included nausea (4.5%</w:t>
      </w:r>
      <w:r w:rsidR="0017056C">
        <w:t>;</w:t>
      </w:r>
      <w:r w:rsidRPr="00B3560F">
        <w:t xml:space="preserve"> 7</w:t>
      </w:r>
      <w:r w:rsidR="0017056C">
        <w:t xml:space="preserve"> of </w:t>
      </w:r>
      <w:r w:rsidRPr="00B3560F">
        <w:t>157), diarrhoea (2.5%</w:t>
      </w:r>
      <w:r w:rsidR="0017056C">
        <w:t>;</w:t>
      </w:r>
      <w:r w:rsidRPr="00B3560F">
        <w:t xml:space="preserve"> 4</w:t>
      </w:r>
      <w:r w:rsidR="0017056C">
        <w:t xml:space="preserve"> of </w:t>
      </w:r>
      <w:r w:rsidRPr="00B3560F">
        <w:t>157), fatigue, and headache (each 1.9%</w:t>
      </w:r>
      <w:r w:rsidR="0017056C">
        <w:t>;</w:t>
      </w:r>
      <w:r w:rsidRPr="00B3560F">
        <w:t xml:space="preserve"> 3</w:t>
      </w:r>
      <w:r w:rsidR="0017056C">
        <w:t xml:space="preserve"> of </w:t>
      </w:r>
      <w:r w:rsidRPr="00B3560F">
        <w:t>157).</w:t>
      </w:r>
    </w:p>
    <w:p w14:paraId="23CA1967" w14:textId="55ABC568" w:rsidR="00B3560F" w:rsidRPr="00B3560F" w:rsidRDefault="00063F39" w:rsidP="00B3560F">
      <w:r w:rsidRPr="00DD0BA0">
        <w:t>Treatment</w:t>
      </w:r>
      <w:r w:rsidR="006D7271" w:rsidRPr="00DD0BA0">
        <w:noBreakHyphen/>
      </w:r>
      <w:r w:rsidRPr="00DD0BA0">
        <w:t xml:space="preserve">related AEs in the Oral </w:t>
      </w:r>
      <w:r w:rsidR="003A4339" w:rsidRPr="00DD0BA0">
        <w:t>lenacapavir</w:t>
      </w:r>
      <w:r w:rsidRPr="00DD0BA0">
        <w:t xml:space="preserve"> + </w:t>
      </w:r>
      <w:r w:rsidR="00DD0BA0" w:rsidRPr="00DD0BA0">
        <w:t xml:space="preserve">emtricitabine/tenofovir alafenamide </w:t>
      </w:r>
      <w:r w:rsidRPr="00DD0BA0">
        <w:t>(13.5%; 7</w:t>
      </w:r>
      <w:r w:rsidR="00D52745">
        <w:t xml:space="preserve"> of </w:t>
      </w:r>
      <w:r w:rsidRPr="00B3560F">
        <w:t>52</w:t>
      </w:r>
      <w:r w:rsidR="00D52745">
        <w:t xml:space="preserve"> participants</w:t>
      </w:r>
      <w:r w:rsidRPr="00B3560F">
        <w:t>) included nausea (3.8%</w:t>
      </w:r>
      <w:r w:rsidR="00D52745">
        <w:t xml:space="preserve">; </w:t>
      </w:r>
      <w:r w:rsidRPr="00B3560F">
        <w:t>2</w:t>
      </w:r>
      <w:r w:rsidR="00D52745">
        <w:t xml:space="preserve"> of </w:t>
      </w:r>
      <w:r w:rsidRPr="00B3560F">
        <w:t>52), diarrhoea (3.8%</w:t>
      </w:r>
      <w:r w:rsidR="00D52745">
        <w:t>;</w:t>
      </w:r>
      <w:r w:rsidRPr="00B3560F">
        <w:t xml:space="preserve"> 2</w:t>
      </w:r>
      <w:r w:rsidR="00D52745">
        <w:t xml:space="preserve"> of </w:t>
      </w:r>
      <w:r w:rsidRPr="00B3560F">
        <w:t>52), fatigue, headache, dyspepsia, flatulence, vomiting, weight increased, overdose, and hot flush (each 1.9%</w:t>
      </w:r>
      <w:r w:rsidR="00D52745">
        <w:t>;</w:t>
      </w:r>
      <w:r w:rsidRPr="00B3560F">
        <w:t xml:space="preserve"> </w:t>
      </w:r>
      <w:r w:rsidR="00D52745">
        <w:t>one</w:t>
      </w:r>
      <w:r w:rsidRPr="00B3560F">
        <w:t xml:space="preserve"> patient).</w:t>
      </w:r>
    </w:p>
    <w:p w14:paraId="1B3D4D1A" w14:textId="46E75578" w:rsidR="00B3560F" w:rsidRPr="00B3560F" w:rsidRDefault="00063F39" w:rsidP="00B3560F">
      <w:r w:rsidRPr="00B3560F">
        <w:t xml:space="preserve">With the exception of </w:t>
      </w:r>
      <w:r w:rsidR="00D52745">
        <w:t>one</w:t>
      </w:r>
      <w:r w:rsidRPr="00B3560F">
        <w:t xml:space="preserve"> patient (1.0%</w:t>
      </w:r>
      <w:r w:rsidR="00D52745">
        <w:t xml:space="preserve">; </w:t>
      </w:r>
      <w:r w:rsidRPr="00B3560F">
        <w:t>1</w:t>
      </w:r>
      <w:r w:rsidR="00D52745">
        <w:t xml:space="preserve"> of </w:t>
      </w:r>
      <w:r w:rsidRPr="00B3560F">
        <w:t>105</w:t>
      </w:r>
      <w:r w:rsidR="00D52745">
        <w:t xml:space="preserve"> participants</w:t>
      </w:r>
      <w:r w:rsidRPr="00B3560F">
        <w:t xml:space="preserve">) in the SC </w:t>
      </w:r>
      <w:r w:rsidR="003A4339">
        <w:t>lenacapavir</w:t>
      </w:r>
      <w:r w:rsidRPr="00B3560F">
        <w:t xml:space="preserve"> total group with a Grade 3 AE related to study drug (injection site nodule), none of these </w:t>
      </w:r>
      <w:r w:rsidR="00D52745">
        <w:t xml:space="preserve">events </w:t>
      </w:r>
      <w:r w:rsidRPr="00B3560F">
        <w:t>were Grade 3 or higher.</w:t>
      </w:r>
    </w:p>
    <w:p w14:paraId="7FDB8FBB" w14:textId="77777777" w:rsidR="00B3560F" w:rsidRPr="00B3560F" w:rsidRDefault="00063F39" w:rsidP="00D52745">
      <w:pPr>
        <w:pStyle w:val="Heading5"/>
      </w:pPr>
      <w:r w:rsidRPr="00B3560F">
        <w:t>Deaths</w:t>
      </w:r>
    </w:p>
    <w:p w14:paraId="2525E475" w14:textId="042B369F" w:rsidR="00B3560F" w:rsidRPr="00B3560F" w:rsidRDefault="00063F39" w:rsidP="00D52745">
      <w:pPr>
        <w:pStyle w:val="Heading6"/>
      </w:pPr>
      <w:r w:rsidRPr="00B3560F">
        <w:t>Pivotal Study GS</w:t>
      </w:r>
      <w:r w:rsidR="006D7271">
        <w:noBreakHyphen/>
      </w:r>
      <w:r w:rsidRPr="00B3560F">
        <w:t>US</w:t>
      </w:r>
      <w:r w:rsidR="006D7271">
        <w:noBreakHyphen/>
      </w:r>
      <w:r w:rsidRPr="00B3560F">
        <w:t>200</w:t>
      </w:r>
      <w:r w:rsidR="006D7271">
        <w:noBreakHyphen/>
      </w:r>
      <w:r w:rsidRPr="00B3560F">
        <w:t>4625 (CAPELLA)</w:t>
      </w:r>
    </w:p>
    <w:p w14:paraId="09DBE8D1" w14:textId="77777777" w:rsidR="00D52745" w:rsidRDefault="00063F39" w:rsidP="00B3560F">
      <w:pPr>
        <w:rPr>
          <w:i/>
          <w:iCs/>
        </w:rPr>
      </w:pPr>
      <w:r w:rsidRPr="00D52745">
        <w:rPr>
          <w:i/>
          <w:iCs/>
        </w:rPr>
        <w:t>Functional Monotherapy Period</w:t>
      </w:r>
    </w:p>
    <w:p w14:paraId="39BA2928" w14:textId="1615C7FF" w:rsidR="00B3560F" w:rsidRPr="00B3560F" w:rsidRDefault="00063F39" w:rsidP="00B3560F">
      <w:r w:rsidRPr="00B3560F">
        <w:t xml:space="preserve">No death </w:t>
      </w:r>
      <w:r w:rsidR="0022021B">
        <w:t>was</w:t>
      </w:r>
      <w:r w:rsidRPr="00B3560F">
        <w:t xml:space="preserve"> reported in either the </w:t>
      </w:r>
      <w:r w:rsidR="003A4339">
        <w:t>lenacapavir</w:t>
      </w:r>
      <w:r w:rsidRPr="00B3560F">
        <w:t xml:space="preserve"> or placebo group.</w:t>
      </w:r>
    </w:p>
    <w:p w14:paraId="329B3C29" w14:textId="77777777" w:rsidR="00D52745" w:rsidRDefault="00063F39" w:rsidP="00307773">
      <w:pPr>
        <w:keepNext/>
        <w:rPr>
          <w:i/>
          <w:iCs/>
        </w:rPr>
      </w:pPr>
      <w:r w:rsidRPr="00D52745">
        <w:rPr>
          <w:i/>
          <w:iCs/>
        </w:rPr>
        <w:t>Week 26 analysis</w:t>
      </w:r>
    </w:p>
    <w:p w14:paraId="35C9B667" w14:textId="6C831EAE" w:rsidR="00B3560F" w:rsidRPr="00B3560F" w:rsidRDefault="00063F39" w:rsidP="00B3560F">
      <w:r>
        <w:t xml:space="preserve">One </w:t>
      </w:r>
      <w:r w:rsidRPr="00B3560F">
        <w:t xml:space="preserve">patient in Cohort 2 died </w:t>
      </w:r>
      <w:r>
        <w:t xml:space="preserve">during </w:t>
      </w:r>
      <w:r w:rsidRPr="00B3560F">
        <w:t xml:space="preserve">in the study, experiencing an AE of cancer, </w:t>
      </w:r>
      <w:r>
        <w:t xml:space="preserve">which was considered </w:t>
      </w:r>
      <w:r w:rsidRPr="00B3560F">
        <w:t xml:space="preserve">not related to </w:t>
      </w:r>
      <w:r>
        <w:t xml:space="preserve">the </w:t>
      </w:r>
      <w:r w:rsidRPr="00B3560F">
        <w:t>study drug.</w:t>
      </w:r>
    </w:p>
    <w:p w14:paraId="2C95E6D6" w14:textId="77777777" w:rsidR="00D52745" w:rsidRDefault="00063F39" w:rsidP="00B3560F">
      <w:pPr>
        <w:rPr>
          <w:i/>
          <w:iCs/>
        </w:rPr>
      </w:pPr>
      <w:r w:rsidRPr="00D52745">
        <w:rPr>
          <w:i/>
          <w:iCs/>
        </w:rPr>
        <w:t>Week 52 analysis</w:t>
      </w:r>
    </w:p>
    <w:p w14:paraId="16676337" w14:textId="19EC73F4" w:rsidR="00B3560F" w:rsidRPr="00B3560F" w:rsidRDefault="00063F39" w:rsidP="00B3560F">
      <w:r>
        <w:t>There were n</w:t>
      </w:r>
      <w:r w:rsidRPr="00B3560F">
        <w:t>o additional deaths beyond Week 26.</w:t>
      </w:r>
    </w:p>
    <w:p w14:paraId="1755E7A3" w14:textId="6840309C" w:rsidR="00B3560F" w:rsidRPr="00B3560F" w:rsidRDefault="00063F39" w:rsidP="00D52745">
      <w:pPr>
        <w:pStyle w:val="Heading6"/>
      </w:pPr>
      <w:r w:rsidRPr="0022021B">
        <w:t>Study GS</w:t>
      </w:r>
      <w:r w:rsidR="006D7271" w:rsidRPr="0022021B">
        <w:noBreakHyphen/>
      </w:r>
      <w:r w:rsidRPr="0022021B">
        <w:t>US</w:t>
      </w:r>
      <w:r w:rsidR="006D7271" w:rsidRPr="0022021B">
        <w:noBreakHyphen/>
      </w:r>
      <w:r w:rsidRPr="0022021B">
        <w:t>200</w:t>
      </w:r>
      <w:r w:rsidR="006D7271" w:rsidRPr="0022021B">
        <w:noBreakHyphen/>
      </w:r>
      <w:r w:rsidRPr="0022021B">
        <w:t>4334</w:t>
      </w:r>
    </w:p>
    <w:p w14:paraId="3915E9E0" w14:textId="78DE88FA" w:rsidR="00D52745" w:rsidRDefault="00063F39" w:rsidP="00B3560F">
      <w:r w:rsidRPr="00B3560F">
        <w:t>No death w</w:t>
      </w:r>
      <w:r>
        <w:t>as</w:t>
      </w:r>
      <w:r w:rsidRPr="00B3560F">
        <w:t xml:space="preserve"> reported in </w:t>
      </w:r>
      <w:r>
        <w:t>this study.</w:t>
      </w:r>
    </w:p>
    <w:p w14:paraId="55A40399" w14:textId="18C42D98" w:rsidR="00B3560F" w:rsidRPr="00B3560F" w:rsidRDefault="00063F39" w:rsidP="005C49E4">
      <w:pPr>
        <w:pStyle w:val="Heading5"/>
        <w:pageBreakBefore/>
      </w:pPr>
      <w:r w:rsidRPr="00B3560F">
        <w:lastRenderedPageBreak/>
        <w:t>Serious adverse events</w:t>
      </w:r>
    </w:p>
    <w:p w14:paraId="102AE4F1" w14:textId="760BADA8" w:rsidR="00B3560F" w:rsidRPr="00B3560F" w:rsidRDefault="00063F39" w:rsidP="00D52745">
      <w:pPr>
        <w:pStyle w:val="Heading6"/>
      </w:pPr>
      <w:r w:rsidRPr="00B3560F">
        <w:t>Pivotal Study GS</w:t>
      </w:r>
      <w:r w:rsidR="006D7271">
        <w:noBreakHyphen/>
      </w:r>
      <w:r w:rsidRPr="00B3560F">
        <w:t>US</w:t>
      </w:r>
      <w:r w:rsidR="006D7271">
        <w:noBreakHyphen/>
      </w:r>
      <w:r w:rsidRPr="00B3560F">
        <w:t>200</w:t>
      </w:r>
      <w:r w:rsidR="006D7271">
        <w:noBreakHyphen/>
      </w:r>
      <w:r w:rsidRPr="00B3560F">
        <w:t>4625 (CAPELLA)</w:t>
      </w:r>
    </w:p>
    <w:p w14:paraId="4F124F21" w14:textId="77777777" w:rsidR="00D52745" w:rsidRPr="00D52745" w:rsidRDefault="00063F39" w:rsidP="00B3560F">
      <w:pPr>
        <w:rPr>
          <w:i/>
          <w:iCs/>
        </w:rPr>
      </w:pPr>
      <w:r w:rsidRPr="00D52745">
        <w:rPr>
          <w:i/>
          <w:iCs/>
        </w:rPr>
        <w:t>Functional Monotherapy Period</w:t>
      </w:r>
    </w:p>
    <w:p w14:paraId="589DBBA7" w14:textId="532E78D5" w:rsidR="00B3560F" w:rsidRPr="00B3560F" w:rsidRDefault="00063F39" w:rsidP="00B3560F">
      <w:r w:rsidRPr="00B3560F">
        <w:t>No serious adverse events (SAEs) or AEs leading to discontinuation of study drug, or Grade 3 or higher AEs</w:t>
      </w:r>
      <w:r w:rsidR="00D52745">
        <w:t>,</w:t>
      </w:r>
      <w:r w:rsidRPr="00B3560F">
        <w:t xml:space="preserve"> were reported in either the </w:t>
      </w:r>
      <w:r w:rsidR="003A4339">
        <w:t>lenacapavir</w:t>
      </w:r>
      <w:r w:rsidRPr="00B3560F">
        <w:t xml:space="preserve"> or placebo group.</w:t>
      </w:r>
    </w:p>
    <w:p w14:paraId="0954D5C8" w14:textId="77777777" w:rsidR="00D52745" w:rsidRPr="00D52745" w:rsidRDefault="00063F39" w:rsidP="00B3560F">
      <w:pPr>
        <w:rPr>
          <w:i/>
          <w:iCs/>
        </w:rPr>
      </w:pPr>
      <w:r w:rsidRPr="00D52745">
        <w:rPr>
          <w:i/>
          <w:iCs/>
        </w:rPr>
        <w:t>Week 26 analysis</w:t>
      </w:r>
    </w:p>
    <w:p w14:paraId="3634E829" w14:textId="4BFABD50" w:rsidR="00B3560F" w:rsidRPr="00B3560F" w:rsidRDefault="00063F39" w:rsidP="00B3560F">
      <w:r>
        <w:t>Four</w:t>
      </w:r>
      <w:r w:rsidRPr="00B3560F">
        <w:t xml:space="preserve"> patients (5.6%) (2 in each cohort) experienced SAEs. None of the SAEs were reported in more than 1 patient and all SAEs were considered not related to study drug.</w:t>
      </w:r>
    </w:p>
    <w:p w14:paraId="6CBD5B0D" w14:textId="77777777" w:rsidR="00D52745" w:rsidRPr="00D52745" w:rsidRDefault="00063F39" w:rsidP="00B3560F">
      <w:pPr>
        <w:rPr>
          <w:i/>
          <w:iCs/>
        </w:rPr>
      </w:pPr>
      <w:r w:rsidRPr="00D52745">
        <w:rPr>
          <w:i/>
          <w:iCs/>
        </w:rPr>
        <w:t>Week 52 analysis</w:t>
      </w:r>
    </w:p>
    <w:p w14:paraId="26BB355A" w14:textId="02B1471E" w:rsidR="00B3560F" w:rsidRPr="00B3560F" w:rsidRDefault="00063F39" w:rsidP="00B3560F">
      <w:r w:rsidRPr="009C04AB">
        <w:t>Four additional participants experienced SAEs: 2 with COVID</w:t>
      </w:r>
      <w:r w:rsidR="006D7271" w:rsidRPr="009C04AB">
        <w:noBreakHyphen/>
      </w:r>
      <w:r w:rsidRPr="009C04AB">
        <w:t>19; 1 with septic shock, renal</w:t>
      </w:r>
      <w:r w:rsidRPr="00B3560F">
        <w:t xml:space="preserve"> impairment, shock</w:t>
      </w:r>
      <w:r>
        <w:t>;</w:t>
      </w:r>
      <w:r w:rsidRPr="00B3560F">
        <w:t xml:space="preserve"> 1 with pneumonia. </w:t>
      </w:r>
      <w:r>
        <w:t>Two</w:t>
      </w:r>
      <w:r w:rsidRPr="00B3560F">
        <w:t xml:space="preserve"> patients who previously experienced SAEs experienced additional SAEs of anal squamous cell carcinoma, impaired healing, anal cancer (1 patient), and angina pectoris (1 patient).</w:t>
      </w:r>
    </w:p>
    <w:p w14:paraId="293F2787" w14:textId="7DAE904F" w:rsidR="00D52745" w:rsidRDefault="00063F39" w:rsidP="00B3560F">
      <w:pPr>
        <w:rPr>
          <w:rStyle w:val="Heading6Char"/>
          <w:rFonts w:eastAsiaTheme="minorHAnsi"/>
        </w:rPr>
      </w:pPr>
      <w:r w:rsidRPr="00D52745">
        <w:rPr>
          <w:rStyle w:val="Heading6Char"/>
          <w:rFonts w:eastAsiaTheme="minorHAnsi"/>
        </w:rPr>
        <w:t>Study GS</w:t>
      </w:r>
      <w:r w:rsidR="006D7271">
        <w:rPr>
          <w:rStyle w:val="Heading6Char"/>
          <w:rFonts w:eastAsiaTheme="minorHAnsi"/>
        </w:rPr>
        <w:noBreakHyphen/>
      </w:r>
      <w:r w:rsidRPr="00D52745">
        <w:rPr>
          <w:rStyle w:val="Heading6Char"/>
          <w:rFonts w:eastAsiaTheme="minorHAnsi"/>
        </w:rPr>
        <w:t>US</w:t>
      </w:r>
      <w:r w:rsidR="006D7271">
        <w:rPr>
          <w:rStyle w:val="Heading6Char"/>
          <w:rFonts w:eastAsiaTheme="minorHAnsi"/>
        </w:rPr>
        <w:noBreakHyphen/>
      </w:r>
      <w:r w:rsidRPr="00D52745">
        <w:rPr>
          <w:rStyle w:val="Heading6Char"/>
          <w:rFonts w:eastAsiaTheme="minorHAnsi"/>
        </w:rPr>
        <w:t>200</w:t>
      </w:r>
      <w:r w:rsidR="006D7271">
        <w:rPr>
          <w:rStyle w:val="Heading6Char"/>
          <w:rFonts w:eastAsiaTheme="minorHAnsi"/>
        </w:rPr>
        <w:noBreakHyphen/>
      </w:r>
      <w:r w:rsidRPr="00D52745">
        <w:rPr>
          <w:rStyle w:val="Heading6Char"/>
          <w:rFonts w:eastAsiaTheme="minorHAnsi"/>
        </w:rPr>
        <w:t>4334</w:t>
      </w:r>
    </w:p>
    <w:p w14:paraId="76FA89F8" w14:textId="1956B500" w:rsidR="00B3560F" w:rsidRPr="00B3560F" w:rsidRDefault="00063F39" w:rsidP="00B3560F">
      <w:r w:rsidRPr="00B3560F">
        <w:t xml:space="preserve">By Week 28, SAEs occurred in 5.1% </w:t>
      </w:r>
      <w:r w:rsidR="00D52745">
        <w:t xml:space="preserve">of participants </w:t>
      </w:r>
      <w:r w:rsidRPr="00B3560F">
        <w:t>(8</w:t>
      </w:r>
      <w:r w:rsidR="00D52745">
        <w:t xml:space="preserve"> of </w:t>
      </w:r>
      <w:r w:rsidRPr="00B3560F">
        <w:t>157) (</w:t>
      </w:r>
      <w:r w:rsidR="003A4339">
        <w:t>lenacapavir</w:t>
      </w:r>
      <w:r w:rsidRPr="00B3560F">
        <w:t xml:space="preserve"> total) group and no patient in the </w:t>
      </w:r>
      <w:r w:rsidR="00BF6B00">
        <w:rPr>
          <w:lang w:val="en-US"/>
        </w:rPr>
        <w:t>bictegravir/emtricitabine/tenofovir alafenamide</w:t>
      </w:r>
      <w:r w:rsidR="00BF6B00" w:rsidRPr="00B3560F">
        <w:t xml:space="preserve"> </w:t>
      </w:r>
      <w:r w:rsidRPr="00B3560F">
        <w:t xml:space="preserve">group. None were considered related to the study drugs. By Week 52, SAEs had occurred in 6.4% </w:t>
      </w:r>
      <w:r w:rsidR="00D52745">
        <w:t xml:space="preserve">of participants </w:t>
      </w:r>
      <w:r w:rsidRPr="00B3560F">
        <w:t>(10</w:t>
      </w:r>
      <w:r w:rsidR="00D52745">
        <w:t xml:space="preserve"> of </w:t>
      </w:r>
      <w:r w:rsidRPr="00B3560F">
        <w:t>157). None were considered related to the study drugs.</w:t>
      </w:r>
    </w:p>
    <w:p w14:paraId="048BEBDA" w14:textId="77777777" w:rsidR="00B3560F" w:rsidRPr="00B3560F" w:rsidRDefault="00063F39" w:rsidP="00D52745">
      <w:pPr>
        <w:pStyle w:val="Heading5"/>
      </w:pPr>
      <w:r w:rsidRPr="00B3560F">
        <w:t>Discontinuations</w:t>
      </w:r>
    </w:p>
    <w:p w14:paraId="45B2961A" w14:textId="777CFD10" w:rsidR="00D52745" w:rsidRDefault="00063F39" w:rsidP="00D52745">
      <w:pPr>
        <w:pStyle w:val="Heading6"/>
      </w:pPr>
      <w:r w:rsidRPr="00B3560F">
        <w:t>Pivotal Study GS</w:t>
      </w:r>
      <w:r w:rsidR="006D7271">
        <w:noBreakHyphen/>
      </w:r>
      <w:r w:rsidRPr="00B3560F">
        <w:t>US</w:t>
      </w:r>
      <w:r w:rsidR="006D7271">
        <w:noBreakHyphen/>
      </w:r>
      <w:r w:rsidRPr="00B3560F">
        <w:t>200</w:t>
      </w:r>
      <w:r w:rsidR="006D7271">
        <w:noBreakHyphen/>
      </w:r>
      <w:r w:rsidRPr="00B3560F">
        <w:t>4625 (CAPELLA)</w:t>
      </w:r>
    </w:p>
    <w:p w14:paraId="06E3CE4F" w14:textId="174087E5" w:rsidR="00B3560F" w:rsidRPr="00B3560F" w:rsidRDefault="00063F39" w:rsidP="00B3560F">
      <w:r w:rsidRPr="00B3560F">
        <w:t>There were no discontinuations due to AEs in the Functional Monotherapy Period or by Week</w:t>
      </w:r>
      <w:r w:rsidR="00D52745">
        <w:t> </w:t>
      </w:r>
      <w:r w:rsidRPr="00B3560F">
        <w:t xml:space="preserve">26. </w:t>
      </w:r>
      <w:r w:rsidR="00D52745">
        <w:t>One</w:t>
      </w:r>
      <w:r w:rsidRPr="00B3560F">
        <w:t xml:space="preserve"> patient (1.4%) discontinued the study drug due to an AE after Week 26.</w:t>
      </w:r>
    </w:p>
    <w:p w14:paraId="65D9D265" w14:textId="47B991C6" w:rsidR="00D52745" w:rsidRDefault="00063F39" w:rsidP="00D52745">
      <w:pPr>
        <w:pStyle w:val="Heading6"/>
      </w:pPr>
      <w:r w:rsidRPr="00B3560F">
        <w:t>Study GS</w:t>
      </w:r>
      <w:r w:rsidR="006D7271">
        <w:noBreakHyphen/>
      </w:r>
      <w:r w:rsidRPr="00B3560F">
        <w:t>US</w:t>
      </w:r>
      <w:r w:rsidR="006D7271">
        <w:noBreakHyphen/>
      </w:r>
      <w:r w:rsidRPr="00B3560F">
        <w:t>200</w:t>
      </w:r>
      <w:r w:rsidR="006D7271">
        <w:noBreakHyphen/>
      </w:r>
      <w:r w:rsidRPr="00B3560F">
        <w:t>4334</w:t>
      </w:r>
    </w:p>
    <w:p w14:paraId="6C6E6472" w14:textId="298C8E93" w:rsidR="00B3560F" w:rsidRPr="00B3560F" w:rsidRDefault="00063F39" w:rsidP="00B3560F">
      <w:r w:rsidRPr="00B3560F">
        <w:t xml:space="preserve">Adverse events that led to a premature discontinuation of the study drug occurred in 3 participants (2.9%) in the SC </w:t>
      </w:r>
      <w:r w:rsidR="003A4339">
        <w:t>lenacapavir</w:t>
      </w:r>
      <w:r w:rsidRPr="00B3560F">
        <w:t xml:space="preserve"> total group and no participants in the other treatment groups.</w:t>
      </w:r>
    </w:p>
    <w:p w14:paraId="621048A5" w14:textId="77777777" w:rsidR="00B3560F" w:rsidRPr="00B3560F" w:rsidRDefault="00063F39" w:rsidP="00D52745">
      <w:pPr>
        <w:pStyle w:val="Heading5"/>
      </w:pPr>
      <w:r w:rsidRPr="00B3560F">
        <w:t>Adverse events of special interest</w:t>
      </w:r>
    </w:p>
    <w:p w14:paraId="25BFDD0D" w14:textId="488C2DE3" w:rsidR="00B3560F" w:rsidRPr="00B3560F" w:rsidRDefault="00063F39" w:rsidP="00B3560F">
      <w:bookmarkStart w:id="71" w:name="_Toc272414669"/>
      <w:bookmarkStart w:id="72" w:name="_Toc290888533"/>
      <w:bookmarkStart w:id="73" w:name="_Toc416353749"/>
      <w:bookmarkStart w:id="74" w:name="_Toc421005292"/>
      <w:bookmarkStart w:id="75" w:name="_Toc432079169"/>
      <w:bookmarkStart w:id="76" w:name="_Toc432080742"/>
      <w:r w:rsidRPr="005C55D1">
        <w:rPr>
          <w:rStyle w:val="Heading7Char"/>
        </w:rPr>
        <w:t>Liver function</w:t>
      </w:r>
      <w:bookmarkEnd w:id="71"/>
      <w:bookmarkEnd w:id="72"/>
      <w:bookmarkEnd w:id="73"/>
      <w:bookmarkEnd w:id="74"/>
      <w:r w:rsidRPr="005C55D1">
        <w:rPr>
          <w:rStyle w:val="Heading7Char"/>
        </w:rPr>
        <w:t xml:space="preserve"> and liver toxicity</w:t>
      </w:r>
      <w:bookmarkEnd w:id="75"/>
      <w:bookmarkEnd w:id="76"/>
      <w:r w:rsidRPr="005C55D1">
        <w:rPr>
          <w:rStyle w:val="Heading7Char"/>
        </w:rPr>
        <w:t>:</w:t>
      </w:r>
      <w:bookmarkStart w:id="77" w:name="_Toc272414670"/>
      <w:bookmarkStart w:id="78" w:name="_Toc290888534"/>
      <w:bookmarkStart w:id="79" w:name="_Toc416353750"/>
      <w:bookmarkStart w:id="80" w:name="_Toc421005293"/>
      <w:bookmarkStart w:id="81" w:name="_Toc432079170"/>
      <w:bookmarkStart w:id="82" w:name="_Toc432080743"/>
      <w:r w:rsidRPr="005C55D1">
        <w:rPr>
          <w:rStyle w:val="Heading7Char"/>
        </w:rPr>
        <w:t xml:space="preserve"> </w:t>
      </w:r>
      <w:r w:rsidRPr="005C55D1">
        <w:t xml:space="preserve">There were no clinically relevant changes from baseline in ALT, </w:t>
      </w:r>
      <w:r w:rsidR="009C04AB" w:rsidRPr="005C55D1">
        <w:t>aspartate aminotransferase (</w:t>
      </w:r>
      <w:r w:rsidRPr="005C55D1">
        <w:t>AST</w:t>
      </w:r>
      <w:r w:rsidR="009C04AB" w:rsidRPr="005C55D1">
        <w:t>)</w:t>
      </w:r>
      <w:r w:rsidRPr="005C55D1">
        <w:t xml:space="preserve"> or </w:t>
      </w:r>
      <w:r w:rsidR="005C55D1" w:rsidRPr="005C55D1">
        <w:t>alkaline phosphatase</w:t>
      </w:r>
      <w:r w:rsidRPr="005C55D1">
        <w:t>. In study GS</w:t>
      </w:r>
      <w:r w:rsidR="006D7271" w:rsidRPr="005C55D1">
        <w:noBreakHyphen/>
      </w:r>
      <w:r w:rsidRPr="005C55D1">
        <w:t>US</w:t>
      </w:r>
      <w:r w:rsidR="006D7271" w:rsidRPr="005C55D1">
        <w:noBreakHyphen/>
      </w:r>
      <w:r w:rsidRPr="005C55D1">
        <w:t>200</w:t>
      </w:r>
      <w:r w:rsidR="006D7271" w:rsidRPr="005C55D1">
        <w:noBreakHyphen/>
      </w:r>
      <w:r w:rsidRPr="005C55D1">
        <w:t>4334, Grade 3 or</w:t>
      </w:r>
      <w:r w:rsidRPr="00B3560F">
        <w:t xml:space="preserve"> higher laboratory abnormalities in the </w:t>
      </w:r>
      <w:r w:rsidR="003A4339">
        <w:t>lenacapavir</w:t>
      </w:r>
      <w:r w:rsidRPr="00B3560F">
        <w:t xml:space="preserve"> total group included high ALT (1.3%</w:t>
      </w:r>
      <w:r w:rsidR="00817917">
        <w:t>;</w:t>
      </w:r>
      <w:r w:rsidRPr="00B3560F">
        <w:t xml:space="preserve"> 2</w:t>
      </w:r>
      <w:r w:rsidR="00817917">
        <w:t xml:space="preserve"> of </w:t>
      </w:r>
      <w:r w:rsidRPr="00B3560F">
        <w:t>157</w:t>
      </w:r>
      <w:r w:rsidR="00817917">
        <w:t xml:space="preserve"> participants</w:t>
      </w:r>
      <w:r w:rsidRPr="00B3560F">
        <w:t>), high AST (2.5%</w:t>
      </w:r>
      <w:r w:rsidR="00817917">
        <w:t>;</w:t>
      </w:r>
      <w:r w:rsidRPr="00B3560F">
        <w:t xml:space="preserve"> 4</w:t>
      </w:r>
      <w:r w:rsidR="00817917">
        <w:t xml:space="preserve"> of </w:t>
      </w:r>
      <w:r w:rsidRPr="00B3560F">
        <w:t>157</w:t>
      </w:r>
      <w:r w:rsidR="00817917">
        <w:t xml:space="preserve"> participants</w:t>
      </w:r>
      <w:r w:rsidRPr="00B3560F">
        <w:t>) and hyperbilirubinemia (0.6%</w:t>
      </w:r>
      <w:r w:rsidR="00817917">
        <w:t xml:space="preserve">; </w:t>
      </w:r>
      <w:r w:rsidRPr="00B3560F">
        <w:t>1</w:t>
      </w:r>
      <w:r w:rsidR="00817917">
        <w:t xml:space="preserve"> of </w:t>
      </w:r>
      <w:r w:rsidRPr="00B3560F">
        <w:t>157</w:t>
      </w:r>
      <w:r w:rsidR="00817917">
        <w:t xml:space="preserve"> participants</w:t>
      </w:r>
      <w:r w:rsidRPr="00B3560F">
        <w:t>). For all participants, Grade 3 or higher laboratory abnormalities either improved or returned to normal.</w:t>
      </w:r>
    </w:p>
    <w:p w14:paraId="4C8FFFE8" w14:textId="77777777" w:rsidR="00B3560F" w:rsidRPr="00B3560F" w:rsidRDefault="00063F39" w:rsidP="00B3560F">
      <w:r w:rsidRPr="00B3560F">
        <w:t>In CAPELLA, one participant (2.8%) experienced a Grade 3 increase in ALT and a Grade 4 increase in AST, reported as an AE of immune reconstitution inflammatory syndrome (IRIS), even though potentially related to HBV infection.</w:t>
      </w:r>
    </w:p>
    <w:p w14:paraId="4B594C5C" w14:textId="6C9EE5F0" w:rsidR="00B3560F" w:rsidRPr="00B3560F" w:rsidRDefault="00063F39" w:rsidP="00B3560F">
      <w:r w:rsidRPr="00D52745">
        <w:rPr>
          <w:rStyle w:val="Heading7Char"/>
        </w:rPr>
        <w:t>Renal function</w:t>
      </w:r>
      <w:bookmarkEnd w:id="77"/>
      <w:bookmarkEnd w:id="78"/>
      <w:bookmarkEnd w:id="79"/>
      <w:bookmarkEnd w:id="80"/>
      <w:r w:rsidRPr="00D52745">
        <w:rPr>
          <w:rStyle w:val="Heading7Char"/>
        </w:rPr>
        <w:t xml:space="preserve"> and renal toxicity</w:t>
      </w:r>
      <w:bookmarkEnd w:id="81"/>
      <w:bookmarkEnd w:id="82"/>
      <w:r w:rsidRPr="00D52745">
        <w:rPr>
          <w:rStyle w:val="Heading7Char"/>
        </w:rPr>
        <w:t xml:space="preserve">: </w:t>
      </w:r>
      <w:bookmarkStart w:id="83" w:name="_Toc272414671"/>
      <w:bookmarkStart w:id="84" w:name="_Toc290888535"/>
      <w:bookmarkStart w:id="85" w:name="_Toc416353751"/>
      <w:bookmarkStart w:id="86" w:name="_Toc421005294"/>
      <w:bookmarkStart w:id="87" w:name="_Toc432079171"/>
      <w:bookmarkStart w:id="88" w:name="_Toc432080744"/>
      <w:r w:rsidRPr="00B3560F">
        <w:t xml:space="preserve">There were no clinically relevant changes in serum creatinine </w:t>
      </w:r>
      <w:r w:rsidRPr="005C55D1">
        <w:t>and eGFR. In CAPELLA: Grade 3 increased creatinine (6.9%; 5</w:t>
      </w:r>
      <w:r w:rsidR="00817917" w:rsidRPr="005C55D1">
        <w:t xml:space="preserve"> of </w:t>
      </w:r>
      <w:r w:rsidRPr="005C55D1">
        <w:t>72</w:t>
      </w:r>
      <w:r w:rsidR="00817917" w:rsidRPr="005C55D1">
        <w:t xml:space="preserve"> participants</w:t>
      </w:r>
      <w:r w:rsidRPr="005C55D1">
        <w:t>), Grade 3 low</w:t>
      </w:r>
      <w:r w:rsidRPr="00B3560F">
        <w:t xml:space="preserve"> creatinine clearance or eGFR (9.7%</w:t>
      </w:r>
      <w:r w:rsidR="00817917">
        <w:t>;</w:t>
      </w:r>
      <w:r w:rsidRPr="00B3560F">
        <w:t xml:space="preserve"> 9</w:t>
      </w:r>
      <w:r w:rsidR="00817917">
        <w:t xml:space="preserve"> of </w:t>
      </w:r>
      <w:r w:rsidRPr="00B3560F">
        <w:t>72) and Grade 4 increased creatinine (1.4%</w:t>
      </w:r>
      <w:r w:rsidR="00817917">
        <w:t xml:space="preserve">; </w:t>
      </w:r>
      <w:r w:rsidRPr="00B3560F">
        <w:t>1</w:t>
      </w:r>
      <w:r w:rsidR="00817917">
        <w:t xml:space="preserve"> of </w:t>
      </w:r>
      <w:r w:rsidRPr="00B3560F">
        <w:t>72) either improved or returned to normal for most patients. In GS</w:t>
      </w:r>
      <w:r w:rsidR="006D7271">
        <w:noBreakHyphen/>
      </w:r>
      <w:r w:rsidRPr="00B3560F">
        <w:t>US</w:t>
      </w:r>
      <w:r w:rsidR="006D7271">
        <w:noBreakHyphen/>
      </w:r>
      <w:r w:rsidRPr="00B3560F">
        <w:t>200</w:t>
      </w:r>
      <w:r w:rsidR="006D7271">
        <w:noBreakHyphen/>
      </w:r>
      <w:r w:rsidRPr="00B3560F">
        <w:t xml:space="preserve">4334, the following occurred: Grade 3 high creatinine </w:t>
      </w:r>
      <w:r w:rsidR="00817917">
        <w:t xml:space="preserve">in </w:t>
      </w:r>
      <w:r w:rsidRPr="00B3560F">
        <w:t>1.9%</w:t>
      </w:r>
      <w:r w:rsidR="007900BC">
        <w:t xml:space="preserve"> </w:t>
      </w:r>
      <w:r w:rsidR="00817917">
        <w:t>(</w:t>
      </w:r>
      <w:r w:rsidRPr="00B3560F">
        <w:t>3</w:t>
      </w:r>
      <w:r w:rsidR="00817917">
        <w:t xml:space="preserve"> of </w:t>
      </w:r>
      <w:r w:rsidRPr="00B3560F">
        <w:t>157</w:t>
      </w:r>
      <w:r w:rsidR="00817917">
        <w:t xml:space="preserve"> participants</w:t>
      </w:r>
      <w:r w:rsidRPr="00B3560F">
        <w:t>) and 4% (1</w:t>
      </w:r>
      <w:r w:rsidR="00817917">
        <w:t xml:space="preserve"> of </w:t>
      </w:r>
      <w:r w:rsidRPr="00B3560F">
        <w:t>25</w:t>
      </w:r>
      <w:r w:rsidR="00817917">
        <w:t xml:space="preserve"> participants</w:t>
      </w:r>
      <w:r w:rsidRPr="00B3560F">
        <w:t xml:space="preserve">) </w:t>
      </w:r>
      <w:r w:rsidRPr="00B3560F">
        <w:lastRenderedPageBreak/>
        <w:t xml:space="preserve">in the </w:t>
      </w:r>
      <w:r w:rsidR="003A4339">
        <w:t>lenacapavir</w:t>
      </w:r>
      <w:r w:rsidRPr="00B3560F">
        <w:t xml:space="preserve"> total and </w:t>
      </w:r>
      <w:r w:rsidR="00BF6B00">
        <w:rPr>
          <w:lang w:val="en-US"/>
        </w:rPr>
        <w:t>bictegravir/emtricitabine/tenofovir alafenamide</w:t>
      </w:r>
      <w:r w:rsidR="00BF6B00" w:rsidRPr="00B3560F">
        <w:t xml:space="preserve"> </w:t>
      </w:r>
      <w:r w:rsidRPr="00B3560F">
        <w:t>groups, respectively</w:t>
      </w:r>
      <w:r w:rsidR="00817917">
        <w:t>;</w:t>
      </w:r>
      <w:r w:rsidRPr="00B3560F">
        <w:t xml:space="preserve"> low creatinine clearance or eGFR </w:t>
      </w:r>
      <w:r w:rsidR="00817917">
        <w:t xml:space="preserve">in </w:t>
      </w:r>
      <w:r w:rsidRPr="00B3560F">
        <w:t>3.8% (6</w:t>
      </w:r>
      <w:r w:rsidR="00817917">
        <w:t xml:space="preserve"> of </w:t>
      </w:r>
      <w:r w:rsidRPr="00B3560F">
        <w:t>157</w:t>
      </w:r>
      <w:r w:rsidR="00817917">
        <w:t xml:space="preserve"> participants</w:t>
      </w:r>
      <w:r w:rsidRPr="00B3560F">
        <w:t>) and 8% (2</w:t>
      </w:r>
      <w:r w:rsidR="00817917">
        <w:t xml:space="preserve"> of </w:t>
      </w:r>
      <w:r w:rsidRPr="00B3560F">
        <w:t xml:space="preserve">25), </w:t>
      </w:r>
      <w:r w:rsidR="00817917" w:rsidRPr="00B3560F">
        <w:t xml:space="preserve">in the </w:t>
      </w:r>
      <w:r w:rsidR="00817917">
        <w:t>lenacapavir</w:t>
      </w:r>
      <w:r w:rsidR="00817917" w:rsidRPr="00B3560F">
        <w:t xml:space="preserve"> total and </w:t>
      </w:r>
      <w:r w:rsidR="00817917">
        <w:rPr>
          <w:lang w:val="en-US"/>
        </w:rPr>
        <w:t>bictegravir/emtricitabine/tenofovir alafenamide</w:t>
      </w:r>
      <w:r w:rsidR="00817917" w:rsidRPr="00B3560F">
        <w:t xml:space="preserve"> groups, </w:t>
      </w:r>
      <w:r w:rsidRPr="00B3560F">
        <w:t>respectively.</w:t>
      </w:r>
    </w:p>
    <w:p w14:paraId="3BD34089" w14:textId="77777777" w:rsidR="00B3560F" w:rsidRPr="00B3560F" w:rsidRDefault="00063F39" w:rsidP="00B3560F">
      <w:bookmarkStart w:id="89" w:name="_Toc272414672"/>
      <w:bookmarkStart w:id="90" w:name="_Toc290888536"/>
      <w:bookmarkStart w:id="91" w:name="_Toc416353752"/>
      <w:bookmarkStart w:id="92" w:name="_Toc421005295"/>
      <w:bookmarkStart w:id="93" w:name="_Toc432079172"/>
      <w:bookmarkStart w:id="94" w:name="_Toc432080745"/>
      <w:bookmarkEnd w:id="83"/>
      <w:bookmarkEnd w:id="84"/>
      <w:bookmarkEnd w:id="85"/>
      <w:bookmarkEnd w:id="86"/>
      <w:bookmarkEnd w:id="87"/>
      <w:bookmarkEnd w:id="88"/>
      <w:r w:rsidRPr="00D52745">
        <w:rPr>
          <w:rStyle w:val="Heading7Char"/>
        </w:rPr>
        <w:t>Haematology</w:t>
      </w:r>
      <w:bookmarkEnd w:id="89"/>
      <w:bookmarkEnd w:id="90"/>
      <w:bookmarkEnd w:id="91"/>
      <w:bookmarkEnd w:id="92"/>
      <w:r w:rsidRPr="00D52745">
        <w:rPr>
          <w:rStyle w:val="Heading7Char"/>
        </w:rPr>
        <w:t xml:space="preserve"> and haematological toxicity</w:t>
      </w:r>
      <w:bookmarkEnd w:id="93"/>
      <w:bookmarkEnd w:id="94"/>
      <w:r w:rsidRPr="00D52745">
        <w:rPr>
          <w:rStyle w:val="Heading7Char"/>
        </w:rPr>
        <w:t xml:space="preserve">: </w:t>
      </w:r>
      <w:bookmarkStart w:id="95" w:name="_Toc272414674"/>
      <w:bookmarkStart w:id="96" w:name="_Toc290888538"/>
      <w:bookmarkStart w:id="97" w:name="_Toc416353753"/>
      <w:bookmarkStart w:id="98" w:name="_Toc421005296"/>
      <w:bookmarkStart w:id="99" w:name="_Toc432079173"/>
      <w:bookmarkStart w:id="100" w:name="_Toc432080746"/>
      <w:r w:rsidRPr="00B3560F">
        <w:t>No clinically relevant changes were reported.</w:t>
      </w:r>
    </w:p>
    <w:p w14:paraId="325F9CD0" w14:textId="77777777" w:rsidR="00B3560F" w:rsidRPr="00B3560F" w:rsidRDefault="00063F39" w:rsidP="00B3560F">
      <w:bookmarkStart w:id="101" w:name="_Toc272414675"/>
      <w:bookmarkStart w:id="102" w:name="_Toc290888539"/>
      <w:bookmarkStart w:id="103" w:name="_Toc416353754"/>
      <w:bookmarkStart w:id="104" w:name="_Toc421005297"/>
      <w:bookmarkStart w:id="105" w:name="_Toc432079174"/>
      <w:bookmarkStart w:id="106" w:name="_Toc432080747"/>
      <w:bookmarkEnd w:id="95"/>
      <w:bookmarkEnd w:id="96"/>
      <w:bookmarkEnd w:id="97"/>
      <w:bookmarkEnd w:id="98"/>
      <w:bookmarkEnd w:id="99"/>
      <w:bookmarkEnd w:id="100"/>
      <w:r w:rsidRPr="00D52745">
        <w:rPr>
          <w:rStyle w:val="Heading7Char"/>
        </w:rPr>
        <w:t>Electrocardiograph</w:t>
      </w:r>
      <w:bookmarkEnd w:id="101"/>
      <w:bookmarkEnd w:id="102"/>
      <w:bookmarkEnd w:id="103"/>
      <w:bookmarkEnd w:id="104"/>
      <w:r w:rsidRPr="00D52745">
        <w:rPr>
          <w:rStyle w:val="Heading7Char"/>
        </w:rPr>
        <w:t xml:space="preserve"> findings and cardiovascular safety</w:t>
      </w:r>
      <w:bookmarkEnd w:id="105"/>
      <w:bookmarkEnd w:id="106"/>
      <w:r w:rsidRPr="00D52745">
        <w:rPr>
          <w:rStyle w:val="Heading7Char"/>
        </w:rPr>
        <w:t>:</w:t>
      </w:r>
      <w:bookmarkStart w:id="107" w:name="_Toc272414676"/>
      <w:bookmarkStart w:id="108" w:name="_Toc290888540"/>
      <w:bookmarkStart w:id="109" w:name="_Toc416353755"/>
      <w:bookmarkStart w:id="110" w:name="_Toc421005298"/>
      <w:bookmarkStart w:id="111" w:name="_Toc432079175"/>
      <w:bookmarkStart w:id="112" w:name="_Toc432080748"/>
      <w:r w:rsidRPr="00D52745">
        <w:rPr>
          <w:rStyle w:val="Heading7Char"/>
        </w:rPr>
        <w:t xml:space="preserve"> </w:t>
      </w:r>
      <w:r w:rsidRPr="00B3560F">
        <w:t>No clinically relevant changes in ECG were reported.</w:t>
      </w:r>
    </w:p>
    <w:p w14:paraId="190FB7A0" w14:textId="3F44B34B" w:rsidR="00B3560F" w:rsidRPr="00B3560F" w:rsidRDefault="00063F39" w:rsidP="00B3560F">
      <w:bookmarkStart w:id="113" w:name="_Toc432079176"/>
      <w:bookmarkStart w:id="114" w:name="_Toc432080749"/>
      <w:bookmarkEnd w:id="107"/>
      <w:bookmarkEnd w:id="108"/>
      <w:bookmarkEnd w:id="109"/>
      <w:bookmarkEnd w:id="110"/>
      <w:bookmarkEnd w:id="111"/>
      <w:bookmarkEnd w:id="112"/>
      <w:r w:rsidRPr="00F02AA8">
        <w:rPr>
          <w:rStyle w:val="Heading7Char"/>
        </w:rPr>
        <w:t>Immunogenicity and immunological events</w:t>
      </w:r>
      <w:bookmarkEnd w:id="113"/>
      <w:bookmarkEnd w:id="114"/>
      <w:r w:rsidRPr="00F02AA8">
        <w:rPr>
          <w:rStyle w:val="Heading7Char"/>
        </w:rPr>
        <w:t>:</w:t>
      </w:r>
      <w:bookmarkStart w:id="115" w:name="_Toc432079177"/>
      <w:bookmarkStart w:id="116" w:name="_Toc432080750"/>
      <w:r w:rsidRPr="00F02AA8">
        <w:rPr>
          <w:rStyle w:val="Heading7Char"/>
        </w:rPr>
        <w:t xml:space="preserve"> </w:t>
      </w:r>
      <w:r w:rsidRPr="00F02AA8">
        <w:t>No AEs matching P</w:t>
      </w:r>
      <w:r w:rsidR="00F02AA8" w:rsidRPr="00F02AA8">
        <w:t xml:space="preserve">referred Terms </w:t>
      </w:r>
      <w:r w:rsidRPr="00F02AA8">
        <w:t xml:space="preserve">in a relevant </w:t>
      </w:r>
      <w:r w:rsidR="00F02AA8" w:rsidRPr="00F02AA8">
        <w:t>Standardised MedDRA Query</w:t>
      </w:r>
      <w:r w:rsidRPr="00F02AA8">
        <w:t xml:space="preserve"> were SAEs and none resulted in study drug discontinuation.</w:t>
      </w:r>
    </w:p>
    <w:p w14:paraId="0B04235C" w14:textId="69729C97" w:rsidR="00B3560F" w:rsidRPr="00B3560F" w:rsidRDefault="00063F39" w:rsidP="00B3560F">
      <w:r w:rsidRPr="00D52745">
        <w:rPr>
          <w:rStyle w:val="Heading7Char"/>
        </w:rPr>
        <w:t>Serious skin reactions</w:t>
      </w:r>
      <w:bookmarkStart w:id="117" w:name="_Toc272414678"/>
      <w:bookmarkStart w:id="118" w:name="_Toc290888542"/>
      <w:bookmarkStart w:id="119" w:name="_Toc416353757"/>
      <w:bookmarkStart w:id="120" w:name="_Toc421005300"/>
      <w:bookmarkStart w:id="121" w:name="_Toc432079178"/>
      <w:bookmarkStart w:id="122" w:name="_Toc432080751"/>
      <w:bookmarkEnd w:id="115"/>
      <w:bookmarkEnd w:id="116"/>
      <w:r w:rsidRPr="00D52745">
        <w:rPr>
          <w:rStyle w:val="Heading7Char"/>
        </w:rPr>
        <w:t>:</w:t>
      </w:r>
      <w:r w:rsidRPr="00B3560F">
        <w:t xml:space="preserve"> Mild rash and injections site reactions were reported, but </w:t>
      </w:r>
      <w:r w:rsidR="00817917">
        <w:t xml:space="preserve">there were </w:t>
      </w:r>
      <w:r w:rsidRPr="00B3560F">
        <w:t>no reports of any serious skin reactions.</w:t>
      </w:r>
      <w:bookmarkEnd w:id="117"/>
      <w:bookmarkEnd w:id="118"/>
      <w:bookmarkEnd w:id="119"/>
      <w:bookmarkEnd w:id="120"/>
      <w:bookmarkEnd w:id="121"/>
      <w:bookmarkEnd w:id="122"/>
    </w:p>
    <w:p w14:paraId="38CD36AC" w14:textId="7DAC6BEA" w:rsidR="00B3560F" w:rsidRPr="00B3560F" w:rsidRDefault="00063F39" w:rsidP="00B3560F">
      <w:r w:rsidRPr="00D52745">
        <w:rPr>
          <w:rStyle w:val="Heading7Char"/>
        </w:rPr>
        <w:t xml:space="preserve">Other clinical chemistry: </w:t>
      </w:r>
      <w:r w:rsidRPr="00B3560F">
        <w:t>Most participants in the Functional Monotherapy Period of CAPELLA, 75.0% (18</w:t>
      </w:r>
      <w:r w:rsidR="00817917">
        <w:t xml:space="preserve"> of </w:t>
      </w:r>
      <w:r w:rsidRPr="00B3560F">
        <w:t>24</w:t>
      </w:r>
      <w:r w:rsidR="00817917">
        <w:t xml:space="preserve"> participants</w:t>
      </w:r>
      <w:r w:rsidRPr="00B3560F">
        <w:t>) (</w:t>
      </w:r>
      <w:r w:rsidR="003A4339">
        <w:t>lenacapavir</w:t>
      </w:r>
      <w:r w:rsidRPr="00B3560F">
        <w:t>) and 75.0% (9</w:t>
      </w:r>
      <w:r w:rsidR="00817917">
        <w:t xml:space="preserve"> of </w:t>
      </w:r>
      <w:r w:rsidRPr="00B3560F">
        <w:t>12</w:t>
      </w:r>
      <w:r w:rsidR="00817917">
        <w:t xml:space="preserve"> participants</w:t>
      </w:r>
      <w:r w:rsidRPr="00B3560F">
        <w:t xml:space="preserve">) (placebo) had at least one graded laboratory abnormality (most were Grade 1 or 2). Grade 3 abnormalities occurred in 12.5% in the </w:t>
      </w:r>
      <w:r w:rsidR="003A4339">
        <w:t>lenacapavir</w:t>
      </w:r>
      <w:r w:rsidRPr="00B3560F">
        <w:t xml:space="preserve"> group (increased creatinine, hyperglyc</w:t>
      </w:r>
      <w:r w:rsidR="00CA2F64">
        <w:t>a</w:t>
      </w:r>
      <w:r w:rsidRPr="00B3560F">
        <w:t>emia [non</w:t>
      </w:r>
      <w:r w:rsidR="006D7271">
        <w:noBreakHyphen/>
      </w:r>
      <w:r w:rsidRPr="00B3560F">
        <w:t xml:space="preserve">fasting], and increased lipase) and in 0% for placebo. No Grade 4 abnormalities occurred. In the Week 26 and </w:t>
      </w:r>
      <w:r w:rsidR="00817917">
        <w:t xml:space="preserve">Week </w:t>
      </w:r>
      <w:r w:rsidRPr="00B3560F">
        <w:t>52 analyses, 91.7%</w:t>
      </w:r>
      <w:r w:rsidR="00817917">
        <w:t xml:space="preserve"> (</w:t>
      </w:r>
      <w:r w:rsidRPr="00B3560F">
        <w:t>66</w:t>
      </w:r>
      <w:r w:rsidR="00817917">
        <w:t xml:space="preserve"> of </w:t>
      </w:r>
      <w:r w:rsidRPr="00B3560F">
        <w:t>72</w:t>
      </w:r>
      <w:r w:rsidR="00817917">
        <w:t xml:space="preserve"> participants)</w:t>
      </w:r>
      <w:r w:rsidRPr="00B3560F">
        <w:t xml:space="preserve"> and 97.2% (70</w:t>
      </w:r>
      <w:r w:rsidR="00817917">
        <w:t xml:space="preserve"> of </w:t>
      </w:r>
      <w:r w:rsidRPr="00B3560F">
        <w:t>72) had at least one graded laboratory abnormality (most were Grade 1 or 2).</w:t>
      </w:r>
    </w:p>
    <w:p w14:paraId="33B72B71" w14:textId="0D8D4B53" w:rsidR="00B3560F" w:rsidRPr="005C55D1" w:rsidRDefault="00063F39" w:rsidP="00B3560F">
      <w:r w:rsidRPr="005C55D1">
        <w:t xml:space="preserve">None of the abnormalities were considered clinically relevant. All were transient, improved on subsequent visits despite continued study drug exposure, or patients had underlying conditions such as diabetes. No Grade 3 or higher increase in creatine kinase or </w:t>
      </w:r>
      <w:r w:rsidR="005C55D1" w:rsidRPr="005C55D1">
        <w:t>creatine kinase</w:t>
      </w:r>
      <w:r w:rsidR="006D7271" w:rsidRPr="005C55D1">
        <w:noBreakHyphen/>
      </w:r>
      <w:r w:rsidRPr="005C55D1">
        <w:t>associated AEs such as rhabdomyolysis occurred.</w:t>
      </w:r>
    </w:p>
    <w:p w14:paraId="150A686B" w14:textId="18E13F7D" w:rsidR="00B3560F" w:rsidRPr="00B3560F" w:rsidRDefault="00063F39" w:rsidP="00B3560F">
      <w:r w:rsidRPr="005C55D1">
        <w:t>Study GS</w:t>
      </w:r>
      <w:r w:rsidR="006D7271" w:rsidRPr="005C55D1">
        <w:noBreakHyphen/>
      </w:r>
      <w:r w:rsidRPr="005C55D1">
        <w:t>US</w:t>
      </w:r>
      <w:r w:rsidR="006D7271" w:rsidRPr="005C55D1">
        <w:noBreakHyphen/>
      </w:r>
      <w:r w:rsidRPr="005C55D1">
        <w:t>200</w:t>
      </w:r>
      <w:r w:rsidR="006D7271" w:rsidRPr="005C55D1">
        <w:noBreakHyphen/>
      </w:r>
      <w:r w:rsidRPr="005C55D1">
        <w:t xml:space="preserve">4334 showed a similar pattern, but in the Phase </w:t>
      </w:r>
      <w:r w:rsidR="00817917" w:rsidRPr="005C55D1">
        <w:t>I</w:t>
      </w:r>
      <w:r w:rsidRPr="005C55D1">
        <w:t xml:space="preserve"> Study GS</w:t>
      </w:r>
      <w:r w:rsidR="006D7271" w:rsidRPr="005C55D1">
        <w:noBreakHyphen/>
      </w:r>
      <w:r w:rsidRPr="005C55D1">
        <w:t>US</w:t>
      </w:r>
      <w:r w:rsidR="006D7271" w:rsidRPr="005C55D1">
        <w:noBreakHyphen/>
      </w:r>
      <w:r w:rsidRPr="005C55D1">
        <w:t>200</w:t>
      </w:r>
      <w:r w:rsidR="006D7271" w:rsidRPr="005C55D1">
        <w:noBreakHyphen/>
      </w:r>
      <w:r w:rsidRPr="005C55D1">
        <w:t xml:space="preserve">4329, there was one </w:t>
      </w:r>
      <w:r w:rsidR="005C55D1" w:rsidRPr="005C55D1">
        <w:t xml:space="preserve">creatine kinase </w:t>
      </w:r>
      <w:r w:rsidRPr="005C55D1">
        <w:t xml:space="preserve">Grade 4 event in an </w:t>
      </w:r>
      <w:r w:rsidR="00151CEB">
        <w:t>intravenous</w:t>
      </w:r>
      <w:r w:rsidRPr="005C55D1">
        <w:t xml:space="preserve"> </w:t>
      </w:r>
      <w:r w:rsidR="003A4339" w:rsidRPr="005C55D1">
        <w:t>lenacapavir</w:t>
      </w:r>
      <w:r w:rsidRPr="005C55D1">
        <w:t xml:space="preserve"> group participant who had a rhabdomyolysis SAE considered related to study drug.</w:t>
      </w:r>
    </w:p>
    <w:p w14:paraId="4B548698" w14:textId="77777777" w:rsidR="00B3560F" w:rsidRPr="00B3560F" w:rsidRDefault="00063F39" w:rsidP="00817917">
      <w:pPr>
        <w:pStyle w:val="Heading5"/>
      </w:pPr>
      <w:r w:rsidRPr="00B3560F">
        <w:t>Resistance</w:t>
      </w:r>
    </w:p>
    <w:p w14:paraId="04BC5821" w14:textId="12A4F99E" w:rsidR="00B3560F" w:rsidRPr="00B3560F" w:rsidRDefault="00063F39" w:rsidP="00B3560F">
      <w:r w:rsidRPr="00B3560F">
        <w:t xml:space="preserve">In CAPELLA, 29% </w:t>
      </w:r>
      <w:r w:rsidR="00817917">
        <w:t xml:space="preserve">of patients </w:t>
      </w:r>
      <w:r w:rsidRPr="00B3560F">
        <w:t>(21</w:t>
      </w:r>
      <w:r w:rsidR="00817917">
        <w:t xml:space="preserve"> of </w:t>
      </w:r>
      <w:r w:rsidRPr="00B3560F">
        <w:t>72) met the criteria for resistance analyses through Week 52 (HIV</w:t>
      </w:r>
      <w:r w:rsidR="006D7271">
        <w:noBreakHyphen/>
      </w:r>
      <w:r w:rsidRPr="00B3560F">
        <w:t xml:space="preserve">1 RNA </w:t>
      </w:r>
      <w:r w:rsidR="00867F07">
        <w:t xml:space="preserve">at least </w:t>
      </w:r>
      <w:r w:rsidRPr="00B3560F">
        <w:t>50</w:t>
      </w:r>
      <w:r w:rsidR="00867F07">
        <w:t> </w:t>
      </w:r>
      <w:r w:rsidRPr="00B3560F">
        <w:t>copies/mL at confirmed virologic failure [suboptimal virologic response at Week 4, virologic rebound, or viraemia at last visit]). These patients were analysed for lenacapavir</w:t>
      </w:r>
      <w:r w:rsidR="006D7271">
        <w:noBreakHyphen/>
      </w:r>
      <w:r w:rsidRPr="00B3560F">
        <w:t>associated mutation emergence:</w:t>
      </w:r>
    </w:p>
    <w:p w14:paraId="488D9479" w14:textId="147D5E7D" w:rsidR="00B3560F" w:rsidRPr="00B3560F" w:rsidRDefault="00063F39" w:rsidP="00817917">
      <w:pPr>
        <w:pStyle w:val="ListBullet"/>
      </w:pPr>
      <w:r w:rsidRPr="00B3560F">
        <w:t>11.1% (8</w:t>
      </w:r>
      <w:r w:rsidR="00867F07">
        <w:t xml:space="preserve"> of </w:t>
      </w:r>
      <w:r w:rsidRPr="00B3560F">
        <w:t xml:space="preserve">72) had </w:t>
      </w:r>
      <w:r w:rsidR="00867F07">
        <w:t>l</w:t>
      </w:r>
      <w:r w:rsidRPr="00B3560F">
        <w:t>enacapavir</w:t>
      </w:r>
      <w:r w:rsidR="006D7271">
        <w:noBreakHyphen/>
      </w:r>
      <w:r w:rsidRPr="00B3560F">
        <w:t>associated capsid mutations</w:t>
      </w:r>
    </w:p>
    <w:p w14:paraId="7A85BF6B" w14:textId="4479E316" w:rsidR="00B3560F" w:rsidRPr="00DE785B" w:rsidRDefault="00063F39" w:rsidP="00817917">
      <w:pPr>
        <w:pStyle w:val="ListBullet"/>
      </w:pPr>
      <w:r w:rsidRPr="00DE785B">
        <w:t>8.3% (6</w:t>
      </w:r>
      <w:r w:rsidR="00867F07" w:rsidRPr="00DE785B">
        <w:t xml:space="preserve"> of </w:t>
      </w:r>
      <w:r w:rsidRPr="00DE785B">
        <w:t xml:space="preserve">72) had a M66I </w:t>
      </w:r>
      <w:r w:rsidR="00DE785B" w:rsidRPr="00DE785B">
        <w:t>capsid</w:t>
      </w:r>
      <w:r w:rsidRPr="00DE785B">
        <w:t xml:space="preserve"> mutation (alone or in combination with other lenacapavir</w:t>
      </w:r>
      <w:r w:rsidR="006D7271" w:rsidRPr="00DE785B">
        <w:noBreakHyphen/>
      </w:r>
      <w:r w:rsidRPr="00DE785B">
        <w:t xml:space="preserve">associated capsid mutations including N74D, Q67Q/H/K/N, K70K/N/R/S, T107T/C, and T107A). One patient had a K70H CA mutation emerging along with T107T/N, and one patient had emergence of both Q67H and K70R in </w:t>
      </w:r>
      <w:r w:rsidR="00DE785B" w:rsidRPr="00DE785B">
        <w:t>capsid</w:t>
      </w:r>
      <w:r w:rsidRPr="00DE785B">
        <w:t>.</w:t>
      </w:r>
    </w:p>
    <w:p w14:paraId="780D676D" w14:textId="77777777" w:rsidR="00B3560F" w:rsidRPr="00B3560F" w:rsidRDefault="00063F39" w:rsidP="00B3560F">
      <w:r w:rsidRPr="00B3560F">
        <w:t>There were no emergent resistance mutations to components of the OBR.</w:t>
      </w:r>
    </w:p>
    <w:p w14:paraId="3545AEAB" w14:textId="418F4A20" w:rsidR="00B3560F" w:rsidRPr="00B3560F" w:rsidRDefault="00063F39" w:rsidP="00B3560F">
      <w:bookmarkStart w:id="123" w:name="_Toc241374322"/>
      <w:bookmarkStart w:id="124" w:name="_Ref272331212"/>
      <w:bookmarkStart w:id="125" w:name="_Toc272414687"/>
      <w:bookmarkStart w:id="126" w:name="_Toc290888551"/>
      <w:bookmarkStart w:id="127" w:name="_Toc416353766"/>
      <w:bookmarkStart w:id="128" w:name="_Toc421005309"/>
      <w:bookmarkStart w:id="129" w:name="_Toc432079180"/>
      <w:bookmarkStart w:id="130" w:name="_Toc432080753"/>
      <w:r w:rsidRPr="00B3560F">
        <w:t>In Study GS</w:t>
      </w:r>
      <w:r w:rsidR="006D7271">
        <w:noBreakHyphen/>
      </w:r>
      <w:r w:rsidRPr="00B3560F">
        <w:t>US</w:t>
      </w:r>
      <w:r w:rsidR="006D7271">
        <w:noBreakHyphen/>
      </w:r>
      <w:r w:rsidRPr="00B3560F">
        <w:t>200</w:t>
      </w:r>
      <w:r w:rsidR="006D7271">
        <w:noBreakHyphen/>
      </w:r>
      <w:r w:rsidRPr="00B3560F">
        <w:t xml:space="preserve">4334 until Week 54, 1.3% </w:t>
      </w:r>
      <w:r w:rsidR="00867F07">
        <w:t xml:space="preserve">of participants </w:t>
      </w:r>
      <w:r w:rsidRPr="00B3560F">
        <w:t>(2</w:t>
      </w:r>
      <w:r w:rsidR="00867F07">
        <w:t xml:space="preserve"> of </w:t>
      </w:r>
      <w:r w:rsidRPr="00B3560F">
        <w:t xml:space="preserve">157) who received oral or SC </w:t>
      </w:r>
      <w:r w:rsidR="003A4339">
        <w:t>lenacapavir</w:t>
      </w:r>
      <w:r w:rsidRPr="00B3560F">
        <w:t xml:space="preserve"> had </w:t>
      </w:r>
      <w:r w:rsidR="00867F07">
        <w:t>l</w:t>
      </w:r>
      <w:r w:rsidRPr="00B3560F">
        <w:t>enacapavir</w:t>
      </w:r>
      <w:r w:rsidR="006D7271">
        <w:noBreakHyphen/>
      </w:r>
      <w:r w:rsidRPr="00B3560F">
        <w:t>associated mutation (Q67H, Q67H + K70R), but the much lower proportion compared to CAPELLA is likely due to the treatment</w:t>
      </w:r>
      <w:r w:rsidR="006D7271">
        <w:noBreakHyphen/>
      </w:r>
      <w:r w:rsidRPr="00B3560F">
        <w:t>na</w:t>
      </w:r>
      <w:r w:rsidR="00867F07">
        <w:t>i</w:t>
      </w:r>
      <w:r w:rsidRPr="00B3560F">
        <w:t>ve population.</w:t>
      </w:r>
    </w:p>
    <w:p w14:paraId="4D4AA984" w14:textId="77777777" w:rsidR="00B3560F" w:rsidRPr="00B3560F" w:rsidRDefault="00063F39" w:rsidP="00817917">
      <w:pPr>
        <w:pStyle w:val="Heading5"/>
      </w:pPr>
      <w:r w:rsidRPr="00B3560F">
        <w:t>Safety in special populations</w:t>
      </w:r>
      <w:bookmarkEnd w:id="123"/>
      <w:bookmarkEnd w:id="124"/>
      <w:bookmarkEnd w:id="125"/>
      <w:bookmarkEnd w:id="126"/>
      <w:bookmarkEnd w:id="127"/>
      <w:bookmarkEnd w:id="128"/>
      <w:bookmarkEnd w:id="129"/>
      <w:bookmarkEnd w:id="130"/>
    </w:p>
    <w:p w14:paraId="44560D29" w14:textId="54A0480F" w:rsidR="00B3560F" w:rsidRPr="00B3560F" w:rsidRDefault="00063F39" w:rsidP="00B3560F">
      <w:bookmarkStart w:id="131" w:name="_Toc241374324"/>
      <w:bookmarkStart w:id="132" w:name="_Ref272331214"/>
      <w:bookmarkStart w:id="133" w:name="_Toc272414688"/>
      <w:bookmarkStart w:id="134" w:name="_Toc290888552"/>
      <w:bookmarkStart w:id="135" w:name="_Toc416353767"/>
      <w:bookmarkStart w:id="136" w:name="_Toc421005310"/>
      <w:bookmarkStart w:id="137" w:name="_Toc432079181"/>
      <w:bookmarkStart w:id="138" w:name="_Toc432080754"/>
      <w:r w:rsidRPr="00817917">
        <w:rPr>
          <w:rStyle w:val="Heading7Char"/>
        </w:rPr>
        <w:t xml:space="preserve">Age, sex, ethnicity: </w:t>
      </w:r>
      <w:r w:rsidRPr="00B3560F">
        <w:t xml:space="preserve">In CAPELLA, TEAEs in the All </w:t>
      </w:r>
      <w:r w:rsidR="00AF628C">
        <w:t>L</w:t>
      </w:r>
      <w:r w:rsidR="003A4339">
        <w:t>enacapavir</w:t>
      </w:r>
      <w:r w:rsidRPr="00B3560F">
        <w:t xml:space="preserve"> Analysis was not affected by age </w:t>
      </w:r>
      <w:r w:rsidRPr="00DE785B">
        <w:t>(</w:t>
      </w:r>
      <w:r w:rsidR="00AF628C" w:rsidRPr="00DE785B">
        <w:t>under</w:t>
      </w:r>
      <w:r w:rsidRPr="00DE785B">
        <w:t xml:space="preserve"> 50</w:t>
      </w:r>
      <w:r w:rsidR="00AF628C" w:rsidRPr="00DE785B">
        <w:t> years; 50 years and older</w:t>
      </w:r>
      <w:r w:rsidRPr="00DE785B">
        <w:t>), sex, race (Black and non</w:t>
      </w:r>
      <w:r w:rsidR="006D7271" w:rsidRPr="00DE785B">
        <w:noBreakHyphen/>
      </w:r>
      <w:r w:rsidRPr="00DE785B">
        <w:t>Black) and region (US and non</w:t>
      </w:r>
      <w:r w:rsidR="006D7271" w:rsidRPr="00DE785B">
        <w:noBreakHyphen/>
      </w:r>
      <w:r w:rsidRPr="00DE785B">
        <w:t>US), but the interpretation was limited by small sample sizes in some subgroups.</w:t>
      </w:r>
    </w:p>
    <w:p w14:paraId="3443C06D" w14:textId="23188F74" w:rsidR="00B3560F" w:rsidRPr="00B3560F" w:rsidRDefault="00063F39" w:rsidP="00B3560F">
      <w:r w:rsidRPr="00817917">
        <w:rPr>
          <w:rStyle w:val="Heading7Char"/>
        </w:rPr>
        <w:lastRenderedPageBreak/>
        <w:t>Pregnancy and lactation:</w:t>
      </w:r>
      <w:r w:rsidRPr="00B3560F">
        <w:t xml:space="preserve"> Pregnant and lactating women were excluded from all lenacapavir clinical studies. Animal studies do not indicate direct or indirect harmful effects with regard to pregnancy, embryonal and fetal development, parturition, or postnatal development. No pregnancies were reported in the submitted studies. Safety of lenacapavir in lactating women has not been evaluated.</w:t>
      </w:r>
    </w:p>
    <w:p w14:paraId="2639E9F8" w14:textId="2C28071C" w:rsidR="00B3560F" w:rsidRPr="00B3560F" w:rsidRDefault="00063F39" w:rsidP="00817917">
      <w:pPr>
        <w:pStyle w:val="Heading5"/>
      </w:pPr>
      <w:r w:rsidRPr="00B3560F">
        <w:t>Safety related to drug</w:t>
      </w:r>
      <w:r w:rsidR="006D7271">
        <w:noBreakHyphen/>
      </w:r>
      <w:r w:rsidRPr="00B3560F">
        <w:t>drug interactions and other interactions</w:t>
      </w:r>
      <w:bookmarkEnd w:id="131"/>
      <w:bookmarkEnd w:id="132"/>
      <w:bookmarkEnd w:id="133"/>
      <w:bookmarkEnd w:id="134"/>
      <w:bookmarkEnd w:id="135"/>
      <w:bookmarkEnd w:id="136"/>
      <w:bookmarkEnd w:id="137"/>
      <w:bookmarkEnd w:id="138"/>
    </w:p>
    <w:p w14:paraId="16D196CE" w14:textId="4C081272" w:rsidR="00B3560F" w:rsidRPr="00B3560F" w:rsidRDefault="00063F39" w:rsidP="00B3560F">
      <w:bookmarkStart w:id="139" w:name="_Toc241374326"/>
      <w:bookmarkStart w:id="140" w:name="_Ref272333048"/>
      <w:bookmarkStart w:id="141" w:name="_Toc272414679"/>
      <w:bookmarkStart w:id="142" w:name="_Toc290888543"/>
      <w:bookmarkStart w:id="143" w:name="_Toc416353758"/>
      <w:bookmarkStart w:id="144" w:name="_Toc421005301"/>
      <w:bookmarkStart w:id="145" w:name="_Toc432079182"/>
      <w:bookmarkStart w:id="146" w:name="_Toc432080755"/>
      <w:r w:rsidRPr="00817917">
        <w:rPr>
          <w:rStyle w:val="Heading7Char"/>
        </w:rPr>
        <w:t xml:space="preserve">Hormonal contraceptives: </w:t>
      </w:r>
      <w:r w:rsidRPr="00B3560F">
        <w:t xml:space="preserve">No formal </w:t>
      </w:r>
      <w:r w:rsidR="00AF628C">
        <w:t>drug</w:t>
      </w:r>
      <w:r w:rsidR="006D7271">
        <w:noBreakHyphen/>
      </w:r>
      <w:r w:rsidR="00AF628C">
        <w:t>drug interaction (</w:t>
      </w:r>
      <w:r w:rsidRPr="00B3560F">
        <w:t>DDI</w:t>
      </w:r>
      <w:r w:rsidR="00AF628C">
        <w:t>)</w:t>
      </w:r>
      <w:r w:rsidRPr="00B3560F">
        <w:t xml:space="preserve"> studies between </w:t>
      </w:r>
      <w:r w:rsidR="003A4339">
        <w:t>lenacapavir</w:t>
      </w:r>
      <w:r w:rsidRPr="00B3560F">
        <w:t xml:space="preserve"> and hormonal contraceptives have been conducted.</w:t>
      </w:r>
    </w:p>
    <w:p w14:paraId="019309CC" w14:textId="76CDB67C" w:rsidR="00B3560F" w:rsidRPr="00B3560F" w:rsidRDefault="00063F39" w:rsidP="00B3560F">
      <w:r w:rsidRPr="00307773">
        <w:rPr>
          <w:rStyle w:val="Heading7Char"/>
        </w:rPr>
        <w:t xml:space="preserve">Safety in DDI </w:t>
      </w:r>
      <w:r w:rsidR="00AF628C" w:rsidRPr="00307773">
        <w:rPr>
          <w:rStyle w:val="Heading7Char"/>
        </w:rPr>
        <w:t xml:space="preserve">in </w:t>
      </w:r>
      <w:r w:rsidRPr="00307773">
        <w:rPr>
          <w:rStyle w:val="Heading7Char"/>
        </w:rPr>
        <w:t>Study GS</w:t>
      </w:r>
      <w:r w:rsidR="006D7271" w:rsidRPr="00307773">
        <w:rPr>
          <w:rStyle w:val="Heading7Char"/>
        </w:rPr>
        <w:noBreakHyphen/>
      </w:r>
      <w:r w:rsidRPr="00307773">
        <w:rPr>
          <w:rStyle w:val="Heading7Char"/>
        </w:rPr>
        <w:t>US</w:t>
      </w:r>
      <w:r w:rsidR="006D7271" w:rsidRPr="00307773">
        <w:rPr>
          <w:rStyle w:val="Heading7Char"/>
        </w:rPr>
        <w:noBreakHyphen/>
      </w:r>
      <w:r w:rsidRPr="00307773">
        <w:rPr>
          <w:rStyle w:val="Heading7Char"/>
        </w:rPr>
        <w:t>200</w:t>
      </w:r>
      <w:r w:rsidR="006D7271" w:rsidRPr="00307773">
        <w:rPr>
          <w:rStyle w:val="Heading7Char"/>
        </w:rPr>
        <w:noBreakHyphen/>
      </w:r>
      <w:r w:rsidRPr="00307773">
        <w:rPr>
          <w:rStyle w:val="Heading7Char"/>
        </w:rPr>
        <w:t>4333:</w:t>
      </w:r>
      <w:r w:rsidRPr="00B3560F">
        <w:t xml:space="preserve"> The study investigated some potential </w:t>
      </w:r>
      <w:r w:rsidR="003A4339">
        <w:t>lenacapavir</w:t>
      </w:r>
      <w:r w:rsidRPr="00B3560F">
        <w:t xml:space="preserve"> DDIs using a wide range of probe drugs. Most of the AEs, across all treatment cohorts, were Grade 1 or Grade 2 in severity and no Grade 4 AEs were reported. Grade 3 AEs were experienced by:</w:t>
      </w:r>
    </w:p>
    <w:p w14:paraId="00EB89FD" w14:textId="108B795E" w:rsidR="00B3560F" w:rsidRPr="00B3560F" w:rsidRDefault="00063F39" w:rsidP="00AF628C">
      <w:pPr>
        <w:pStyle w:val="ListBullet"/>
      </w:pPr>
      <w:r w:rsidRPr="00DE785B">
        <w:t xml:space="preserve">1 participant (3%) who was administered </w:t>
      </w:r>
      <w:r w:rsidR="00DE785B" w:rsidRPr="00DE785B">
        <w:t>rosuvastatin</w:t>
      </w:r>
      <w:r w:rsidRPr="00DE785B">
        <w:t>+</w:t>
      </w:r>
      <w:r w:rsidR="003A4339" w:rsidRPr="00DE785B">
        <w:t>lenacapavir</w:t>
      </w:r>
      <w:r w:rsidRPr="00DE785B">
        <w:t xml:space="preserve"> in Cohort 11 (AE of</w:t>
      </w:r>
      <w:r w:rsidRPr="00B3560F">
        <w:t xml:space="preserve"> transaminases increased, considered related to </w:t>
      </w:r>
      <w:r w:rsidR="003A4339">
        <w:t>lenacapavir</w:t>
      </w:r>
      <w:r w:rsidRPr="00B3560F">
        <w:t xml:space="preserve">; this participant had a Grade 1 laboratory abnormality of ALT increased prior to receiving </w:t>
      </w:r>
      <w:r w:rsidR="003A4339">
        <w:t>lenacapavir</w:t>
      </w:r>
      <w:r w:rsidRPr="00B3560F">
        <w:t>)</w:t>
      </w:r>
    </w:p>
    <w:p w14:paraId="67196F33" w14:textId="2B8CEEFA" w:rsidR="00B3560F" w:rsidRPr="00430A42" w:rsidRDefault="00063F39" w:rsidP="00AF628C">
      <w:pPr>
        <w:pStyle w:val="ListBullet"/>
      </w:pPr>
      <w:r w:rsidRPr="00430A42">
        <w:t xml:space="preserve">8 participants (32%) receiving </w:t>
      </w:r>
      <w:r w:rsidR="00430A42" w:rsidRPr="00430A42">
        <w:t>atazanavir</w:t>
      </w:r>
      <w:r w:rsidRPr="00430A42">
        <w:t>/</w:t>
      </w:r>
      <w:r w:rsidR="00486698" w:rsidRPr="00430A42">
        <w:t xml:space="preserve"> cobicistat </w:t>
      </w:r>
      <w:r w:rsidRPr="00430A42">
        <w:t xml:space="preserve">in Cohort 7 and 5 participants (20%) receiving </w:t>
      </w:r>
      <w:r w:rsidR="00430A42" w:rsidRPr="00430A42">
        <w:t>atazanavir</w:t>
      </w:r>
      <w:r w:rsidRPr="00430A42">
        <w:t>/</w:t>
      </w:r>
      <w:r w:rsidR="00430A42" w:rsidRPr="00430A42">
        <w:t xml:space="preserve"> cobicistat </w:t>
      </w:r>
      <w:r w:rsidRPr="00430A42">
        <w:t>+</w:t>
      </w:r>
      <w:r w:rsidR="00430A42" w:rsidRPr="00430A42">
        <w:t> </w:t>
      </w:r>
      <w:r w:rsidR="003A4339" w:rsidRPr="00430A42">
        <w:t>lenacapavir</w:t>
      </w:r>
      <w:r w:rsidRPr="00430A42">
        <w:t xml:space="preserve"> in Cohort 7. Most of the Grade 3 AEs in Cohort 7 were hyperbilirubinemia and were considered to be related to </w:t>
      </w:r>
      <w:r w:rsidR="00430A42" w:rsidRPr="00430A42">
        <w:t>atazanavir</w:t>
      </w:r>
      <w:r w:rsidRPr="00430A42">
        <w:t>/</w:t>
      </w:r>
      <w:r w:rsidR="00430A42" w:rsidRPr="00430A42">
        <w:t>cobicistat</w:t>
      </w:r>
      <w:r w:rsidRPr="00430A42">
        <w:t>.</w:t>
      </w:r>
    </w:p>
    <w:p w14:paraId="55CBD705" w14:textId="4D15ECDF" w:rsidR="00B3560F" w:rsidRPr="00B3560F" w:rsidRDefault="00063F39" w:rsidP="00B3560F">
      <w:r>
        <w:t>Eight</w:t>
      </w:r>
      <w:r w:rsidRPr="00B3560F">
        <w:t xml:space="preserve"> participants had AEs that led to premature discontinuation of study drug (3 permanently), of which only </w:t>
      </w:r>
      <w:r>
        <w:t>one</w:t>
      </w:r>
      <w:r w:rsidRPr="00B3560F">
        <w:t xml:space="preserve"> AE was considered related to </w:t>
      </w:r>
      <w:r w:rsidR="003A4339">
        <w:t>lenacapavir</w:t>
      </w:r>
      <w:r w:rsidRPr="00B3560F">
        <w:t xml:space="preserve"> treatment (Grade 3 AE of transaminases increased); the other 7 participants had AEs that were either related to study drugs other than </w:t>
      </w:r>
      <w:r w:rsidR="003A4339">
        <w:t>lenacapavir</w:t>
      </w:r>
      <w:r w:rsidRPr="00B3560F">
        <w:t xml:space="preserve"> or not related to any study drug. No SAEs or deaths were reported during the study.</w:t>
      </w:r>
    </w:p>
    <w:p w14:paraId="0804C418" w14:textId="77777777" w:rsidR="00B3560F" w:rsidRPr="00B3560F" w:rsidRDefault="00063F39" w:rsidP="00817917">
      <w:pPr>
        <w:pStyle w:val="Heading5"/>
      </w:pPr>
      <w:bookmarkStart w:id="147" w:name="_Toc115168936"/>
      <w:r w:rsidRPr="00B3560F">
        <w:t>Post marketing experience</w:t>
      </w:r>
      <w:bookmarkEnd w:id="139"/>
      <w:bookmarkEnd w:id="140"/>
      <w:bookmarkEnd w:id="141"/>
      <w:bookmarkEnd w:id="142"/>
      <w:bookmarkEnd w:id="143"/>
      <w:bookmarkEnd w:id="144"/>
      <w:bookmarkEnd w:id="145"/>
      <w:bookmarkEnd w:id="146"/>
      <w:bookmarkEnd w:id="147"/>
    </w:p>
    <w:p w14:paraId="39E38810" w14:textId="77777777" w:rsidR="00B3560F" w:rsidRPr="00B3560F" w:rsidRDefault="00063F39" w:rsidP="00B3560F">
      <w:r w:rsidRPr="00B3560F">
        <w:t>No data available.</w:t>
      </w:r>
    </w:p>
    <w:p w14:paraId="2858B006" w14:textId="77777777" w:rsidR="00C22214" w:rsidRDefault="00063F39" w:rsidP="00C22214">
      <w:pPr>
        <w:pStyle w:val="Heading3"/>
        <w:rPr>
          <w:lang w:eastAsia="en-AU"/>
        </w:rPr>
      </w:pPr>
      <w:bookmarkStart w:id="148" w:name="_Toc314842514"/>
      <w:bookmarkStart w:id="149" w:name="_Toc103679298"/>
      <w:bookmarkStart w:id="150" w:name="_Toc157422736"/>
      <w:r>
        <w:rPr>
          <w:lang w:eastAsia="en-AU"/>
        </w:rPr>
        <w:t>Risk management plan</w:t>
      </w:r>
      <w:bookmarkEnd w:id="148"/>
      <w:bookmarkEnd w:id="149"/>
      <w:bookmarkEnd w:id="150"/>
    </w:p>
    <w:p w14:paraId="39F3CD1D" w14:textId="42442389" w:rsidR="0072003B" w:rsidRPr="00BD5DBD" w:rsidRDefault="00063F39" w:rsidP="00C22214">
      <w:pPr>
        <w:rPr>
          <w:szCs w:val="22"/>
        </w:rPr>
      </w:pPr>
      <w:bookmarkStart w:id="151" w:name="_Toc247691531"/>
      <w:bookmarkStart w:id="152" w:name="_Toc314842515"/>
      <w:r w:rsidRPr="00BD5DBD">
        <w:rPr>
          <w:szCs w:val="22"/>
        </w:rPr>
        <w:t xml:space="preserve">The summary of safety concerns and their associated risk monitoring and mitigation strategies are </w:t>
      </w:r>
      <w:r w:rsidR="00370E5A">
        <w:rPr>
          <w:szCs w:val="22"/>
        </w:rPr>
        <w:t>presented</w:t>
      </w:r>
      <w:r w:rsidRPr="00BD5DBD">
        <w:rPr>
          <w:szCs w:val="22"/>
        </w:rPr>
        <w:t xml:space="preserve"> in</w:t>
      </w:r>
      <w:r w:rsidR="000623A2">
        <w:rPr>
          <w:szCs w:val="22"/>
        </w:rPr>
        <w:t xml:space="preserve"> </w:t>
      </w:r>
      <w:r w:rsidR="000623A2">
        <w:rPr>
          <w:szCs w:val="22"/>
        </w:rPr>
        <w:fldChar w:fldCharType="begin"/>
      </w:r>
      <w:r w:rsidR="000623A2">
        <w:rPr>
          <w:szCs w:val="22"/>
        </w:rPr>
        <w:instrText xml:space="preserve"> REF _Ref156900629 \h </w:instrText>
      </w:r>
      <w:r w:rsidR="000623A2">
        <w:rPr>
          <w:szCs w:val="22"/>
        </w:rPr>
      </w:r>
      <w:r w:rsidR="000623A2">
        <w:rPr>
          <w:szCs w:val="22"/>
        </w:rPr>
        <w:fldChar w:fldCharType="separate"/>
      </w:r>
      <w:r w:rsidR="000623A2">
        <w:t xml:space="preserve">Table </w:t>
      </w:r>
      <w:r w:rsidR="000623A2">
        <w:rPr>
          <w:noProof/>
        </w:rPr>
        <w:t>12</w:t>
      </w:r>
      <w:r w:rsidR="000623A2">
        <w:rPr>
          <w:szCs w:val="22"/>
        </w:rPr>
        <w:fldChar w:fldCharType="end"/>
      </w:r>
      <w:r w:rsidR="008C49C6" w:rsidRPr="003B149C">
        <w:rPr>
          <w:szCs w:val="22"/>
        </w:rPr>
        <w:t>.</w:t>
      </w:r>
      <w:r w:rsidRPr="00BD5DBD">
        <w:rPr>
          <w:szCs w:val="22"/>
        </w:rPr>
        <w:t xml:space="preserve"> The TGA</w:t>
      </w:r>
      <w:r w:rsidR="00C07551" w:rsidRPr="00BD5DBD">
        <w:rPr>
          <w:szCs w:val="22"/>
        </w:rPr>
        <w:t xml:space="preserve"> may</w:t>
      </w:r>
      <w:r w:rsidRPr="00BD5DBD">
        <w:rPr>
          <w:szCs w:val="22"/>
        </w:rPr>
        <w:t xml:space="preserve"> request an updated </w:t>
      </w:r>
      <w:r w:rsidR="006F1F7E">
        <w:rPr>
          <w:szCs w:val="22"/>
        </w:rPr>
        <w:t>risk management plan (</w:t>
      </w:r>
      <w:r w:rsidRPr="00BD5DBD">
        <w:rPr>
          <w:szCs w:val="22"/>
        </w:rPr>
        <w:t>RMP</w:t>
      </w:r>
      <w:r w:rsidR="006F1F7E">
        <w:rPr>
          <w:szCs w:val="22"/>
        </w:rPr>
        <w:t>)</w:t>
      </w:r>
      <w:r w:rsidRPr="00BD5DBD">
        <w:rPr>
          <w:szCs w:val="22"/>
        </w:rPr>
        <w:t xml:space="preserve"> at any stage of a product's life</w:t>
      </w:r>
      <w:r w:rsidR="006D7271">
        <w:rPr>
          <w:szCs w:val="22"/>
        </w:rPr>
        <w:noBreakHyphen/>
      </w:r>
      <w:r w:rsidRPr="00BD5DBD">
        <w:rPr>
          <w:szCs w:val="22"/>
        </w:rPr>
        <w:t>cycle, during both the pre</w:t>
      </w:r>
      <w:r w:rsidR="006D7271">
        <w:rPr>
          <w:szCs w:val="22"/>
        </w:rPr>
        <w:noBreakHyphen/>
      </w:r>
      <w:r w:rsidRPr="00BD5DBD">
        <w:rPr>
          <w:szCs w:val="22"/>
        </w:rPr>
        <w:t>approval and post</w:t>
      </w:r>
      <w:r w:rsidR="006D7271">
        <w:rPr>
          <w:szCs w:val="22"/>
        </w:rPr>
        <w:noBreakHyphen/>
      </w:r>
      <w:r w:rsidRPr="00BD5DBD">
        <w:rPr>
          <w:szCs w:val="22"/>
        </w:rPr>
        <w:t>approval phases.</w:t>
      </w:r>
    </w:p>
    <w:p w14:paraId="59503BCD" w14:textId="3DF8C251" w:rsidR="000623A2" w:rsidRDefault="000623A2" w:rsidP="000623A2">
      <w:pPr>
        <w:pStyle w:val="TableTitle"/>
      </w:pPr>
      <w:bookmarkStart w:id="153" w:name="_Ref156900629"/>
      <w:r>
        <w:t xml:space="preserve">Table </w:t>
      </w:r>
      <w:r w:rsidR="006250B8">
        <w:fldChar w:fldCharType="begin"/>
      </w:r>
      <w:r w:rsidR="006250B8">
        <w:instrText xml:space="preserve"> SEQ Table \* ARABIC </w:instrText>
      </w:r>
      <w:r w:rsidR="006250B8">
        <w:fldChar w:fldCharType="separate"/>
      </w:r>
      <w:r>
        <w:rPr>
          <w:noProof/>
        </w:rPr>
        <w:t>12</w:t>
      </w:r>
      <w:r w:rsidR="006250B8">
        <w:rPr>
          <w:noProof/>
        </w:rPr>
        <w:fldChar w:fldCharType="end"/>
      </w:r>
      <w:bookmarkEnd w:id="153"/>
      <w:r>
        <w:t>: Summary of safety concerns</w:t>
      </w:r>
    </w:p>
    <w:tbl>
      <w:tblPr>
        <w:tblStyle w:val="TableTGAblue2023"/>
        <w:tblW w:w="9060" w:type="dxa"/>
        <w:tblLayout w:type="fixed"/>
        <w:tblLook w:val="04A0" w:firstRow="1" w:lastRow="0" w:firstColumn="1" w:lastColumn="0" w:noHBand="0" w:noVBand="1"/>
      </w:tblPr>
      <w:tblGrid>
        <w:gridCol w:w="1836"/>
        <w:gridCol w:w="1987"/>
        <w:gridCol w:w="1130"/>
        <w:gridCol w:w="1416"/>
        <w:gridCol w:w="1281"/>
        <w:gridCol w:w="1410"/>
      </w:tblGrid>
      <w:tr w:rsidR="00345E6F" w14:paraId="48C75B3F" w14:textId="77777777" w:rsidTr="00345E6F">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823" w:type="dxa"/>
            <w:gridSpan w:val="2"/>
            <w:vMerge w:val="restart"/>
            <w:tcBorders>
              <w:top w:val="single" w:sz="4" w:space="0" w:color="263287"/>
              <w:left w:val="single" w:sz="4" w:space="0" w:color="263287"/>
              <w:bottom w:val="single" w:sz="4" w:space="0" w:color="263287"/>
              <w:right w:val="single" w:sz="4" w:space="0" w:color="263287"/>
            </w:tcBorders>
            <w:hideMark/>
          </w:tcPr>
          <w:p w14:paraId="314F4167" w14:textId="77777777" w:rsidR="00525747" w:rsidRDefault="00063F39">
            <w:r>
              <w:t>Safety concern</w:t>
            </w:r>
          </w:p>
        </w:tc>
        <w:tc>
          <w:tcPr>
            <w:tcW w:w="2546" w:type="dxa"/>
            <w:gridSpan w:val="2"/>
            <w:tcBorders>
              <w:top w:val="single" w:sz="4" w:space="0" w:color="263287"/>
              <w:left w:val="single" w:sz="4" w:space="0" w:color="263287"/>
              <w:bottom w:val="single" w:sz="4" w:space="0" w:color="263287"/>
              <w:right w:val="single" w:sz="4" w:space="0" w:color="263287"/>
            </w:tcBorders>
            <w:hideMark/>
          </w:tcPr>
          <w:p w14:paraId="488CCE94" w14:textId="77777777" w:rsidR="00525747" w:rsidRDefault="00063F39">
            <w:pPr>
              <w:cnfStyle w:val="100000000000" w:firstRow="1" w:lastRow="0" w:firstColumn="0" w:lastColumn="0" w:oddVBand="0" w:evenVBand="0" w:oddHBand="0" w:evenHBand="0" w:firstRowFirstColumn="0" w:firstRowLastColumn="0" w:lastRowFirstColumn="0" w:lastRowLastColumn="0"/>
            </w:pPr>
            <w:r>
              <w:t>Pharmacovigilance</w:t>
            </w:r>
          </w:p>
        </w:tc>
        <w:tc>
          <w:tcPr>
            <w:tcW w:w="2691" w:type="dxa"/>
            <w:gridSpan w:val="2"/>
            <w:tcBorders>
              <w:top w:val="single" w:sz="4" w:space="0" w:color="263287"/>
              <w:left w:val="single" w:sz="4" w:space="0" w:color="263287"/>
              <w:bottom w:val="single" w:sz="4" w:space="0" w:color="263287"/>
              <w:right w:val="single" w:sz="4" w:space="0" w:color="263287"/>
            </w:tcBorders>
            <w:hideMark/>
          </w:tcPr>
          <w:p w14:paraId="5CDDEC84" w14:textId="77777777" w:rsidR="00525747" w:rsidRDefault="00063F39">
            <w:pPr>
              <w:cnfStyle w:val="100000000000" w:firstRow="1" w:lastRow="0" w:firstColumn="0" w:lastColumn="0" w:oddVBand="0" w:evenVBand="0" w:oddHBand="0" w:evenHBand="0" w:firstRowFirstColumn="0" w:firstRowLastColumn="0" w:lastRowFirstColumn="0" w:lastRowLastColumn="0"/>
            </w:pPr>
            <w:r>
              <w:t>Risk minimisation</w:t>
            </w:r>
          </w:p>
        </w:tc>
      </w:tr>
      <w:tr w:rsidR="00345E6F" w14:paraId="45C26F99"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3823" w:type="dxa"/>
            <w:gridSpan w:val="2"/>
            <w:vMerge/>
            <w:tcBorders>
              <w:top w:val="single" w:sz="4" w:space="0" w:color="263287"/>
              <w:left w:val="single" w:sz="4" w:space="0" w:color="263287"/>
              <w:bottom w:val="single" w:sz="4" w:space="0" w:color="263287"/>
              <w:right w:val="single" w:sz="4" w:space="0" w:color="263287"/>
            </w:tcBorders>
            <w:vAlign w:val="center"/>
            <w:hideMark/>
          </w:tcPr>
          <w:p w14:paraId="23044AD1" w14:textId="77777777" w:rsidR="00525747" w:rsidRDefault="00525747">
            <w:pPr>
              <w:spacing w:before="0" w:after="0"/>
              <w:ind w:left="0"/>
              <w:rPr>
                <w:b/>
                <w:color w:val="263287"/>
              </w:rPr>
            </w:pPr>
          </w:p>
        </w:tc>
        <w:tc>
          <w:tcPr>
            <w:tcW w:w="1130" w:type="dxa"/>
            <w:tcBorders>
              <w:top w:val="single" w:sz="4" w:space="0" w:color="263287"/>
              <w:left w:val="single" w:sz="4" w:space="0" w:color="263287"/>
              <w:bottom w:val="single" w:sz="4" w:space="0" w:color="263287"/>
              <w:right w:val="single" w:sz="4" w:space="0" w:color="263287"/>
            </w:tcBorders>
            <w:shd w:val="clear" w:color="auto" w:fill="DEEAF6"/>
            <w:hideMark/>
          </w:tcPr>
          <w:p w14:paraId="76B6FFFA" w14:textId="77777777" w:rsidR="00525747" w:rsidRDefault="00063F39">
            <w:pPr>
              <w:cnfStyle w:val="000000000000" w:firstRow="0" w:lastRow="0" w:firstColumn="0" w:lastColumn="0" w:oddVBand="0" w:evenVBand="0" w:oddHBand="0" w:evenHBand="0" w:firstRowFirstColumn="0" w:firstRowLastColumn="0" w:lastRowFirstColumn="0" w:lastRowLastColumn="0"/>
            </w:pPr>
            <w:r>
              <w:t>Routine</w:t>
            </w:r>
          </w:p>
        </w:tc>
        <w:tc>
          <w:tcPr>
            <w:tcW w:w="1416" w:type="dxa"/>
            <w:tcBorders>
              <w:top w:val="single" w:sz="4" w:space="0" w:color="263287"/>
              <w:left w:val="single" w:sz="4" w:space="0" w:color="263287"/>
              <w:bottom w:val="single" w:sz="4" w:space="0" w:color="263287"/>
              <w:right w:val="single" w:sz="4" w:space="0" w:color="263287"/>
            </w:tcBorders>
            <w:shd w:val="clear" w:color="auto" w:fill="DEEAF6"/>
            <w:hideMark/>
          </w:tcPr>
          <w:p w14:paraId="658701AB" w14:textId="77777777" w:rsidR="00525747" w:rsidRDefault="00063F39">
            <w:pPr>
              <w:cnfStyle w:val="000000000000" w:firstRow="0" w:lastRow="0" w:firstColumn="0" w:lastColumn="0" w:oddVBand="0" w:evenVBand="0" w:oddHBand="0" w:evenHBand="0" w:firstRowFirstColumn="0" w:firstRowLastColumn="0" w:lastRowFirstColumn="0" w:lastRowLastColumn="0"/>
            </w:pPr>
            <w:r>
              <w:t>Additional</w:t>
            </w:r>
          </w:p>
        </w:tc>
        <w:tc>
          <w:tcPr>
            <w:tcW w:w="1281" w:type="dxa"/>
            <w:tcBorders>
              <w:top w:val="single" w:sz="4" w:space="0" w:color="263287"/>
              <w:left w:val="single" w:sz="4" w:space="0" w:color="263287"/>
              <w:bottom w:val="single" w:sz="4" w:space="0" w:color="263287"/>
              <w:right w:val="single" w:sz="4" w:space="0" w:color="263287"/>
            </w:tcBorders>
            <w:shd w:val="clear" w:color="auto" w:fill="DEEAF6"/>
            <w:hideMark/>
          </w:tcPr>
          <w:p w14:paraId="0757F409" w14:textId="77777777" w:rsidR="00525747" w:rsidRDefault="00063F39">
            <w:pPr>
              <w:cnfStyle w:val="000000000000" w:firstRow="0" w:lastRow="0" w:firstColumn="0" w:lastColumn="0" w:oddVBand="0" w:evenVBand="0" w:oddHBand="0" w:evenHBand="0" w:firstRowFirstColumn="0" w:firstRowLastColumn="0" w:lastRowFirstColumn="0" w:lastRowLastColumn="0"/>
            </w:pPr>
            <w:r>
              <w:t>Routine</w:t>
            </w:r>
          </w:p>
        </w:tc>
        <w:tc>
          <w:tcPr>
            <w:tcW w:w="1410" w:type="dxa"/>
            <w:tcBorders>
              <w:top w:val="single" w:sz="4" w:space="0" w:color="263287"/>
              <w:left w:val="single" w:sz="4" w:space="0" w:color="263287"/>
              <w:bottom w:val="single" w:sz="4" w:space="0" w:color="263287"/>
              <w:right w:val="single" w:sz="4" w:space="0" w:color="263287"/>
            </w:tcBorders>
            <w:shd w:val="clear" w:color="auto" w:fill="DEEAF6"/>
            <w:hideMark/>
          </w:tcPr>
          <w:p w14:paraId="5439BADC" w14:textId="77777777" w:rsidR="00525747" w:rsidRDefault="00063F39">
            <w:pPr>
              <w:cnfStyle w:val="000000000000" w:firstRow="0" w:lastRow="0" w:firstColumn="0" w:lastColumn="0" w:oddVBand="0" w:evenVBand="0" w:oddHBand="0" w:evenHBand="0" w:firstRowFirstColumn="0" w:firstRowLastColumn="0" w:lastRowFirstColumn="0" w:lastRowLastColumn="0"/>
            </w:pPr>
            <w:r>
              <w:t>Additional</w:t>
            </w:r>
          </w:p>
        </w:tc>
      </w:tr>
      <w:tr w:rsidR="00345E6F" w14:paraId="74B7648C"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263287"/>
              <w:left w:val="single" w:sz="4" w:space="0" w:color="263287"/>
              <w:bottom w:val="single" w:sz="4" w:space="0" w:color="263287"/>
              <w:right w:val="single" w:sz="4" w:space="0" w:color="263287"/>
            </w:tcBorders>
            <w:hideMark/>
          </w:tcPr>
          <w:p w14:paraId="4F402D14" w14:textId="77777777" w:rsidR="00525747" w:rsidRDefault="00063F39" w:rsidP="001E6666">
            <w:r>
              <w:t>Important identified risks</w:t>
            </w:r>
          </w:p>
        </w:tc>
        <w:tc>
          <w:tcPr>
            <w:tcW w:w="1987" w:type="dxa"/>
            <w:tcBorders>
              <w:top w:val="single" w:sz="4" w:space="0" w:color="263287"/>
              <w:left w:val="single" w:sz="4" w:space="0" w:color="263287"/>
              <w:bottom w:val="single" w:sz="4" w:space="0" w:color="263287"/>
              <w:right w:val="single" w:sz="4" w:space="0" w:color="263287"/>
            </w:tcBorders>
            <w:hideMark/>
          </w:tcPr>
          <w:p w14:paraId="6C0E32B4" w14:textId="77777777" w:rsidR="00525747" w:rsidRPr="001E6666" w:rsidRDefault="00063F39" w:rsidP="001E6666">
            <w:pPr>
              <w:cnfStyle w:val="000000000000" w:firstRow="0" w:lastRow="0" w:firstColumn="0" w:lastColumn="0" w:oddVBand="0" w:evenVBand="0" w:oddHBand="0" w:evenHBand="0" w:firstRowFirstColumn="0" w:firstRowLastColumn="0" w:lastRowFirstColumn="0" w:lastRowLastColumn="0"/>
              <w:rPr>
                <w:i/>
                <w:iCs/>
              </w:rPr>
            </w:pPr>
            <w:r w:rsidRPr="001E6666">
              <w:rPr>
                <w:i/>
                <w:iCs/>
              </w:rPr>
              <w:t>Nil</w:t>
            </w:r>
          </w:p>
        </w:tc>
        <w:tc>
          <w:tcPr>
            <w:tcW w:w="1130" w:type="dxa"/>
            <w:tcBorders>
              <w:top w:val="single" w:sz="4" w:space="0" w:color="263287"/>
              <w:left w:val="single" w:sz="4" w:space="0" w:color="263287"/>
              <w:bottom w:val="single" w:sz="4" w:space="0" w:color="263287"/>
              <w:right w:val="single" w:sz="4" w:space="0" w:color="263287"/>
            </w:tcBorders>
            <w:vAlign w:val="center"/>
          </w:tcPr>
          <w:p w14:paraId="77BC0671" w14:textId="77777777" w:rsidR="00525747" w:rsidRDefault="00525747" w:rsidP="001E6666">
            <w:pPr>
              <w:jc w:val="center"/>
              <w:cnfStyle w:val="000000000000" w:firstRow="0" w:lastRow="0" w:firstColumn="0" w:lastColumn="0" w:oddVBand="0" w:evenVBand="0" w:oddHBand="0" w:evenHBand="0" w:firstRowFirstColumn="0" w:firstRowLastColumn="0" w:lastRowFirstColumn="0" w:lastRowLastColumn="0"/>
            </w:pPr>
          </w:p>
        </w:tc>
        <w:tc>
          <w:tcPr>
            <w:tcW w:w="1416" w:type="dxa"/>
            <w:tcBorders>
              <w:top w:val="single" w:sz="4" w:space="0" w:color="263287"/>
              <w:left w:val="single" w:sz="4" w:space="0" w:color="263287"/>
              <w:bottom w:val="single" w:sz="4" w:space="0" w:color="263287"/>
              <w:right w:val="single" w:sz="4" w:space="0" w:color="263287"/>
            </w:tcBorders>
            <w:vAlign w:val="center"/>
          </w:tcPr>
          <w:p w14:paraId="0350225A" w14:textId="77777777" w:rsidR="00525747" w:rsidRDefault="00525747" w:rsidP="001E6666">
            <w:pPr>
              <w:jc w:val="center"/>
              <w:cnfStyle w:val="000000000000" w:firstRow="0" w:lastRow="0" w:firstColumn="0" w:lastColumn="0" w:oddVBand="0" w:evenVBand="0" w:oddHBand="0" w:evenHBand="0" w:firstRowFirstColumn="0" w:firstRowLastColumn="0" w:lastRowFirstColumn="0" w:lastRowLastColumn="0"/>
            </w:pPr>
          </w:p>
        </w:tc>
        <w:tc>
          <w:tcPr>
            <w:tcW w:w="1281" w:type="dxa"/>
            <w:tcBorders>
              <w:top w:val="single" w:sz="4" w:space="0" w:color="263287"/>
              <w:left w:val="single" w:sz="4" w:space="0" w:color="263287"/>
              <w:bottom w:val="single" w:sz="4" w:space="0" w:color="263287"/>
              <w:right w:val="single" w:sz="4" w:space="0" w:color="263287"/>
            </w:tcBorders>
            <w:vAlign w:val="center"/>
          </w:tcPr>
          <w:p w14:paraId="34428F91" w14:textId="77777777" w:rsidR="00525747" w:rsidRDefault="00525747" w:rsidP="001E6666">
            <w:pPr>
              <w:jc w:val="center"/>
              <w:cnfStyle w:val="000000000000" w:firstRow="0" w:lastRow="0" w:firstColumn="0" w:lastColumn="0" w:oddVBand="0" w:evenVBand="0" w:oddHBand="0" w:evenHBand="0" w:firstRowFirstColumn="0" w:firstRowLastColumn="0" w:lastRowFirstColumn="0" w:lastRowLastColumn="0"/>
            </w:pPr>
          </w:p>
        </w:tc>
        <w:tc>
          <w:tcPr>
            <w:tcW w:w="1410" w:type="dxa"/>
            <w:tcBorders>
              <w:top w:val="single" w:sz="4" w:space="0" w:color="263287"/>
              <w:left w:val="single" w:sz="4" w:space="0" w:color="263287"/>
              <w:bottom w:val="single" w:sz="4" w:space="0" w:color="263287"/>
              <w:right w:val="single" w:sz="4" w:space="0" w:color="263287"/>
            </w:tcBorders>
            <w:vAlign w:val="center"/>
          </w:tcPr>
          <w:p w14:paraId="788A8258" w14:textId="77777777" w:rsidR="00525747" w:rsidRDefault="00525747" w:rsidP="001E6666">
            <w:pPr>
              <w:jc w:val="center"/>
              <w:cnfStyle w:val="000000000000" w:firstRow="0" w:lastRow="0" w:firstColumn="0" w:lastColumn="0" w:oddVBand="0" w:evenVBand="0" w:oddHBand="0" w:evenHBand="0" w:firstRowFirstColumn="0" w:firstRowLastColumn="0" w:lastRowFirstColumn="0" w:lastRowLastColumn="0"/>
            </w:pPr>
          </w:p>
        </w:tc>
      </w:tr>
      <w:tr w:rsidR="00345E6F" w14:paraId="738E10B0"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263287"/>
              <w:left w:val="single" w:sz="4" w:space="0" w:color="263287"/>
              <w:bottom w:val="single" w:sz="4" w:space="0" w:color="263287"/>
              <w:right w:val="single" w:sz="4" w:space="0" w:color="263287"/>
            </w:tcBorders>
            <w:hideMark/>
          </w:tcPr>
          <w:p w14:paraId="3A99555B" w14:textId="77777777" w:rsidR="00525747" w:rsidRDefault="00063F39" w:rsidP="001E6666">
            <w:r>
              <w:t>Important potential risks</w:t>
            </w:r>
          </w:p>
        </w:tc>
        <w:tc>
          <w:tcPr>
            <w:tcW w:w="1987" w:type="dxa"/>
            <w:tcBorders>
              <w:top w:val="single" w:sz="4" w:space="0" w:color="263287"/>
              <w:left w:val="single" w:sz="4" w:space="0" w:color="263287"/>
              <w:bottom w:val="single" w:sz="4" w:space="0" w:color="263287"/>
              <w:right w:val="single" w:sz="4" w:space="0" w:color="263287"/>
            </w:tcBorders>
          </w:tcPr>
          <w:p w14:paraId="276C5FB3" w14:textId="01953EDE" w:rsidR="00525747" w:rsidRDefault="00063F39" w:rsidP="001E6666">
            <w:pPr>
              <w:cnfStyle w:val="000000000000" w:firstRow="0" w:lastRow="0" w:firstColumn="0" w:lastColumn="0" w:oddVBand="0" w:evenVBand="0" w:oddHBand="0" w:evenHBand="0" w:firstRowFirstColumn="0" w:firstRowLastColumn="0" w:lastRowFirstColumn="0" w:lastRowLastColumn="0"/>
            </w:pPr>
            <w:r w:rsidRPr="001E6666">
              <w:t>Viral resistance due to unintended monotherapy</w:t>
            </w:r>
          </w:p>
        </w:tc>
        <w:tc>
          <w:tcPr>
            <w:tcW w:w="1130" w:type="dxa"/>
            <w:tcBorders>
              <w:top w:val="single" w:sz="4" w:space="0" w:color="263287"/>
              <w:left w:val="single" w:sz="4" w:space="0" w:color="263287"/>
              <w:bottom w:val="single" w:sz="4" w:space="0" w:color="263287"/>
              <w:right w:val="single" w:sz="4" w:space="0" w:color="263287"/>
            </w:tcBorders>
            <w:vAlign w:val="center"/>
            <w:hideMark/>
          </w:tcPr>
          <w:p w14:paraId="03A00F20" w14:textId="0F9F19C9" w:rsidR="00525747" w:rsidRDefault="00063F39" w:rsidP="001E6666">
            <w:pPr>
              <w:jc w:val="center"/>
              <w:cnfStyle w:val="000000000000" w:firstRow="0" w:lastRow="0" w:firstColumn="0" w:lastColumn="0" w:oddVBand="0" w:evenVBand="0" w:oddHBand="0" w:evenHBand="0" w:firstRowFirstColumn="0" w:firstRowLastColumn="0" w:lastRowFirstColumn="0" w:lastRowLastColumn="0"/>
            </w:pPr>
            <w:r w:rsidRPr="001E6666">
              <w:rPr>
                <w:rFonts w:ascii="Wingdings" w:eastAsia="Wingdings" w:hAnsi="Wingdings" w:cs="Wingdings"/>
              </w:rPr>
              <w:sym w:font="Wingdings" w:char="F0FC"/>
            </w:r>
          </w:p>
        </w:tc>
        <w:tc>
          <w:tcPr>
            <w:tcW w:w="1416" w:type="dxa"/>
            <w:tcBorders>
              <w:top w:val="single" w:sz="4" w:space="0" w:color="263287"/>
              <w:left w:val="single" w:sz="4" w:space="0" w:color="263287"/>
              <w:bottom w:val="single" w:sz="4" w:space="0" w:color="263287"/>
              <w:right w:val="single" w:sz="4" w:space="0" w:color="263287"/>
            </w:tcBorders>
            <w:vAlign w:val="center"/>
            <w:hideMark/>
          </w:tcPr>
          <w:p w14:paraId="2E7101D6" w14:textId="5F18FFBA" w:rsidR="00525747" w:rsidRDefault="00063F39" w:rsidP="001E6666">
            <w:pPr>
              <w:jc w:val="center"/>
              <w:cnfStyle w:val="000000000000" w:firstRow="0" w:lastRow="0" w:firstColumn="0" w:lastColumn="0" w:oddVBand="0" w:evenVBand="0" w:oddHBand="0" w:evenHBand="0" w:firstRowFirstColumn="0" w:firstRowLastColumn="0" w:lastRowFirstColumn="0" w:lastRowLastColumn="0"/>
            </w:pPr>
            <w:r>
              <w:noBreakHyphen/>
            </w:r>
          </w:p>
        </w:tc>
        <w:tc>
          <w:tcPr>
            <w:tcW w:w="1281" w:type="dxa"/>
            <w:tcBorders>
              <w:top w:val="single" w:sz="4" w:space="0" w:color="263287"/>
              <w:left w:val="single" w:sz="4" w:space="0" w:color="263287"/>
              <w:bottom w:val="single" w:sz="4" w:space="0" w:color="263287"/>
              <w:right w:val="single" w:sz="4" w:space="0" w:color="263287"/>
            </w:tcBorders>
            <w:vAlign w:val="center"/>
            <w:hideMark/>
          </w:tcPr>
          <w:p w14:paraId="406045F6" w14:textId="77777777" w:rsidR="00525747" w:rsidRDefault="00063F39" w:rsidP="001E6666">
            <w:pPr>
              <w:jc w:val="center"/>
              <w:cnfStyle w:val="000000000000" w:firstRow="0" w:lastRow="0" w:firstColumn="0" w:lastColumn="0" w:oddVBand="0" w:evenVBand="0" w:oddHBand="0" w:evenHBand="0" w:firstRowFirstColumn="0" w:firstRowLastColumn="0" w:lastRowFirstColumn="0" w:lastRowLastColumn="0"/>
            </w:pPr>
            <w:r w:rsidRPr="001E6666">
              <w:rPr>
                <w:rFonts w:ascii="Wingdings" w:eastAsia="Wingdings" w:hAnsi="Wingdings" w:cs="Wingdings"/>
              </w:rPr>
              <w:sym w:font="Wingdings" w:char="F0FC"/>
            </w:r>
          </w:p>
        </w:tc>
        <w:tc>
          <w:tcPr>
            <w:tcW w:w="1410" w:type="dxa"/>
            <w:tcBorders>
              <w:top w:val="single" w:sz="4" w:space="0" w:color="263287"/>
              <w:left w:val="single" w:sz="4" w:space="0" w:color="263287"/>
              <w:bottom w:val="single" w:sz="4" w:space="0" w:color="263287"/>
              <w:right w:val="single" w:sz="4" w:space="0" w:color="263287"/>
            </w:tcBorders>
            <w:vAlign w:val="center"/>
            <w:hideMark/>
          </w:tcPr>
          <w:p w14:paraId="4868B254" w14:textId="65942A8E" w:rsidR="00525747" w:rsidRDefault="00063F39" w:rsidP="001E6666">
            <w:pPr>
              <w:jc w:val="center"/>
              <w:cnfStyle w:val="000000000000" w:firstRow="0" w:lastRow="0" w:firstColumn="0" w:lastColumn="0" w:oddVBand="0" w:evenVBand="0" w:oddHBand="0" w:evenHBand="0" w:firstRowFirstColumn="0" w:firstRowLastColumn="0" w:lastRowFirstColumn="0" w:lastRowLastColumn="0"/>
            </w:pPr>
            <w:r>
              <w:noBreakHyphen/>
            </w:r>
          </w:p>
        </w:tc>
      </w:tr>
      <w:tr w:rsidR="00345E6F" w14:paraId="1A5A4C44"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1836" w:type="dxa"/>
            <w:vMerge w:val="restart"/>
            <w:tcBorders>
              <w:top w:val="single" w:sz="4" w:space="0" w:color="263287"/>
              <w:left w:val="single" w:sz="4" w:space="0" w:color="263287"/>
              <w:right w:val="single" w:sz="4" w:space="0" w:color="263287"/>
            </w:tcBorders>
            <w:hideMark/>
          </w:tcPr>
          <w:p w14:paraId="380ACA6F" w14:textId="77777777" w:rsidR="0053564A" w:rsidRDefault="00063F39" w:rsidP="001E6666">
            <w:r>
              <w:t>Missing information</w:t>
            </w:r>
          </w:p>
        </w:tc>
        <w:tc>
          <w:tcPr>
            <w:tcW w:w="1987" w:type="dxa"/>
            <w:tcBorders>
              <w:top w:val="single" w:sz="4" w:space="0" w:color="263287"/>
              <w:left w:val="single" w:sz="4" w:space="0" w:color="263287"/>
              <w:bottom w:val="single" w:sz="4" w:space="0" w:color="263287"/>
              <w:right w:val="single" w:sz="4" w:space="0" w:color="263287"/>
            </w:tcBorders>
          </w:tcPr>
          <w:p w14:paraId="1104D46D" w14:textId="038C0995" w:rsidR="0053564A" w:rsidRDefault="00063F39" w:rsidP="001E6666">
            <w:pPr>
              <w:cnfStyle w:val="000000000000" w:firstRow="0" w:lastRow="0" w:firstColumn="0" w:lastColumn="0" w:oddVBand="0" w:evenVBand="0" w:oddHBand="0" w:evenHBand="0" w:firstRowFirstColumn="0" w:firstRowLastColumn="0" w:lastRowFirstColumn="0" w:lastRowLastColumn="0"/>
            </w:pPr>
            <w:r w:rsidRPr="001E6666">
              <w:t>Long</w:t>
            </w:r>
            <w:r w:rsidR="006D7271">
              <w:noBreakHyphen/>
            </w:r>
            <w:r w:rsidRPr="001E6666">
              <w:t>term safety information</w:t>
            </w:r>
          </w:p>
        </w:tc>
        <w:tc>
          <w:tcPr>
            <w:tcW w:w="1130" w:type="dxa"/>
            <w:tcBorders>
              <w:top w:val="single" w:sz="4" w:space="0" w:color="263287"/>
              <w:left w:val="single" w:sz="4" w:space="0" w:color="263287"/>
              <w:bottom w:val="single" w:sz="4" w:space="0" w:color="263287"/>
              <w:right w:val="single" w:sz="4" w:space="0" w:color="263287"/>
            </w:tcBorders>
            <w:vAlign w:val="center"/>
            <w:hideMark/>
          </w:tcPr>
          <w:p w14:paraId="015613BF" w14:textId="2D87081B" w:rsidR="0053564A" w:rsidRDefault="00063F39" w:rsidP="001E6666">
            <w:pPr>
              <w:jc w:val="center"/>
              <w:cnfStyle w:val="000000000000" w:firstRow="0" w:lastRow="0" w:firstColumn="0" w:lastColumn="0" w:oddVBand="0" w:evenVBand="0" w:oddHBand="0" w:evenHBand="0" w:firstRowFirstColumn="0" w:firstRowLastColumn="0" w:lastRowFirstColumn="0" w:lastRowLastColumn="0"/>
            </w:pPr>
            <w:r w:rsidRPr="001E6666">
              <w:rPr>
                <w:rFonts w:ascii="Wingdings" w:eastAsia="Wingdings" w:hAnsi="Wingdings" w:cs="Wingdings"/>
              </w:rPr>
              <w:sym w:font="Wingdings" w:char="F0FC"/>
            </w:r>
          </w:p>
        </w:tc>
        <w:tc>
          <w:tcPr>
            <w:tcW w:w="1416" w:type="dxa"/>
            <w:tcBorders>
              <w:top w:val="single" w:sz="4" w:space="0" w:color="263287"/>
              <w:left w:val="single" w:sz="4" w:space="0" w:color="263287"/>
              <w:bottom w:val="single" w:sz="4" w:space="0" w:color="263287"/>
              <w:right w:val="single" w:sz="4" w:space="0" w:color="263287"/>
            </w:tcBorders>
            <w:vAlign w:val="center"/>
            <w:hideMark/>
          </w:tcPr>
          <w:p w14:paraId="5E403810" w14:textId="7977B08E" w:rsidR="0053564A" w:rsidRDefault="00063F39" w:rsidP="001E6666">
            <w:pPr>
              <w:jc w:val="center"/>
              <w:cnfStyle w:val="000000000000" w:firstRow="0" w:lastRow="0" w:firstColumn="0" w:lastColumn="0" w:oddVBand="0" w:evenVBand="0" w:oddHBand="0" w:evenHBand="0" w:firstRowFirstColumn="0" w:firstRowLastColumn="0" w:lastRowFirstColumn="0" w:lastRowLastColumn="0"/>
            </w:pPr>
            <w:r w:rsidRPr="001E6666">
              <w:rPr>
                <w:rFonts w:ascii="Wingdings" w:eastAsia="Wingdings" w:hAnsi="Wingdings" w:cs="Wingdings"/>
              </w:rPr>
              <w:sym w:font="Wingdings" w:char="F0FC"/>
            </w:r>
            <w:r>
              <w:t>†</w:t>
            </w:r>
          </w:p>
        </w:tc>
        <w:tc>
          <w:tcPr>
            <w:tcW w:w="1281" w:type="dxa"/>
            <w:tcBorders>
              <w:top w:val="single" w:sz="4" w:space="0" w:color="263287"/>
              <w:left w:val="single" w:sz="4" w:space="0" w:color="263287"/>
              <w:bottom w:val="single" w:sz="4" w:space="0" w:color="263287"/>
              <w:right w:val="single" w:sz="4" w:space="0" w:color="263287"/>
            </w:tcBorders>
            <w:vAlign w:val="center"/>
            <w:hideMark/>
          </w:tcPr>
          <w:p w14:paraId="60B3A80F" w14:textId="0B5A838C" w:rsidR="0053564A" w:rsidRDefault="00063F39" w:rsidP="001E6666">
            <w:pPr>
              <w:jc w:val="center"/>
              <w:cnfStyle w:val="000000000000" w:firstRow="0" w:lastRow="0" w:firstColumn="0" w:lastColumn="0" w:oddVBand="0" w:evenVBand="0" w:oddHBand="0" w:evenHBand="0" w:firstRowFirstColumn="0" w:firstRowLastColumn="0" w:lastRowFirstColumn="0" w:lastRowLastColumn="0"/>
            </w:pPr>
            <w:r>
              <w:noBreakHyphen/>
            </w:r>
          </w:p>
        </w:tc>
        <w:tc>
          <w:tcPr>
            <w:tcW w:w="1410" w:type="dxa"/>
            <w:tcBorders>
              <w:top w:val="single" w:sz="4" w:space="0" w:color="263287"/>
              <w:left w:val="single" w:sz="4" w:space="0" w:color="263287"/>
              <w:bottom w:val="single" w:sz="4" w:space="0" w:color="263287"/>
              <w:right w:val="single" w:sz="4" w:space="0" w:color="263287"/>
            </w:tcBorders>
            <w:vAlign w:val="center"/>
            <w:hideMark/>
          </w:tcPr>
          <w:p w14:paraId="6743427B" w14:textId="713AE71B" w:rsidR="0053564A" w:rsidRDefault="00063F39" w:rsidP="001E6666">
            <w:pPr>
              <w:jc w:val="center"/>
              <w:cnfStyle w:val="000000000000" w:firstRow="0" w:lastRow="0" w:firstColumn="0" w:lastColumn="0" w:oddVBand="0" w:evenVBand="0" w:oddHBand="0" w:evenHBand="0" w:firstRowFirstColumn="0" w:firstRowLastColumn="0" w:lastRowFirstColumn="0" w:lastRowLastColumn="0"/>
            </w:pPr>
            <w:r>
              <w:noBreakHyphen/>
            </w:r>
          </w:p>
        </w:tc>
      </w:tr>
      <w:tr w:rsidR="00345E6F" w14:paraId="22AFAF60"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1836" w:type="dxa"/>
            <w:vMerge/>
            <w:tcBorders>
              <w:left w:val="single" w:sz="4" w:space="0" w:color="263287"/>
              <w:right w:val="single" w:sz="4" w:space="0" w:color="263287"/>
            </w:tcBorders>
          </w:tcPr>
          <w:p w14:paraId="5B3AB4C2" w14:textId="77777777" w:rsidR="0053564A" w:rsidRDefault="0053564A" w:rsidP="001E6666"/>
        </w:tc>
        <w:tc>
          <w:tcPr>
            <w:tcW w:w="1987" w:type="dxa"/>
            <w:tcBorders>
              <w:top w:val="single" w:sz="4" w:space="0" w:color="263287"/>
              <w:left w:val="single" w:sz="4" w:space="0" w:color="263287"/>
              <w:bottom w:val="single" w:sz="4" w:space="0" w:color="263287"/>
              <w:right w:val="single" w:sz="4" w:space="0" w:color="263287"/>
            </w:tcBorders>
          </w:tcPr>
          <w:p w14:paraId="763563F2" w14:textId="3B31297E" w:rsidR="0053564A" w:rsidRDefault="00063F39" w:rsidP="001E6666">
            <w:pPr>
              <w:cnfStyle w:val="000000000000" w:firstRow="0" w:lastRow="0" w:firstColumn="0" w:lastColumn="0" w:oddVBand="0" w:evenVBand="0" w:oddHBand="0" w:evenHBand="0" w:firstRowFirstColumn="0" w:firstRowLastColumn="0" w:lastRowFirstColumn="0" w:lastRowLastColumn="0"/>
            </w:pPr>
            <w:r w:rsidRPr="001E6666">
              <w:t>Safety in pregnancy and lactation</w:t>
            </w:r>
          </w:p>
        </w:tc>
        <w:tc>
          <w:tcPr>
            <w:tcW w:w="1130" w:type="dxa"/>
            <w:tcBorders>
              <w:top w:val="single" w:sz="4" w:space="0" w:color="263287"/>
              <w:left w:val="single" w:sz="4" w:space="0" w:color="263287"/>
              <w:bottom w:val="single" w:sz="4" w:space="0" w:color="263287"/>
              <w:right w:val="single" w:sz="4" w:space="0" w:color="263287"/>
            </w:tcBorders>
            <w:vAlign w:val="center"/>
          </w:tcPr>
          <w:p w14:paraId="79482336" w14:textId="3743FADC" w:rsidR="0053564A" w:rsidRPr="001E6666" w:rsidRDefault="00063F39" w:rsidP="001E6666">
            <w:pPr>
              <w:jc w:val="center"/>
              <w:cnfStyle w:val="000000000000" w:firstRow="0" w:lastRow="0" w:firstColumn="0" w:lastColumn="0" w:oddVBand="0" w:evenVBand="0" w:oddHBand="0" w:evenHBand="0" w:firstRowFirstColumn="0" w:firstRowLastColumn="0" w:lastRowFirstColumn="0" w:lastRowLastColumn="0"/>
            </w:pPr>
            <w:r w:rsidRPr="001E6666">
              <w:rPr>
                <w:rFonts w:ascii="Wingdings" w:eastAsia="Wingdings" w:hAnsi="Wingdings" w:cs="Wingdings"/>
              </w:rPr>
              <w:sym w:font="Wingdings" w:char="F0FC"/>
            </w:r>
            <w:r>
              <w:t>*</w:t>
            </w:r>
          </w:p>
        </w:tc>
        <w:tc>
          <w:tcPr>
            <w:tcW w:w="1416" w:type="dxa"/>
            <w:tcBorders>
              <w:top w:val="single" w:sz="4" w:space="0" w:color="263287"/>
              <w:left w:val="single" w:sz="4" w:space="0" w:color="263287"/>
              <w:bottom w:val="single" w:sz="4" w:space="0" w:color="263287"/>
              <w:right w:val="single" w:sz="4" w:space="0" w:color="263287"/>
            </w:tcBorders>
            <w:vAlign w:val="center"/>
          </w:tcPr>
          <w:p w14:paraId="5F7BC8D3" w14:textId="63C1EFCE" w:rsidR="0053564A" w:rsidRDefault="00063F39" w:rsidP="001E6666">
            <w:pPr>
              <w:jc w:val="center"/>
              <w:cnfStyle w:val="000000000000" w:firstRow="0" w:lastRow="0" w:firstColumn="0" w:lastColumn="0" w:oddVBand="0" w:evenVBand="0" w:oddHBand="0" w:evenHBand="0" w:firstRowFirstColumn="0" w:firstRowLastColumn="0" w:lastRowFirstColumn="0" w:lastRowLastColumn="0"/>
            </w:pPr>
            <w:r w:rsidRPr="001E6666">
              <w:rPr>
                <w:rFonts w:ascii="Wingdings" w:eastAsia="Wingdings" w:hAnsi="Wingdings" w:cs="Wingdings"/>
              </w:rPr>
              <w:sym w:font="Wingdings" w:char="F0FC"/>
            </w:r>
            <w:r>
              <w:t>‡</w:t>
            </w:r>
          </w:p>
        </w:tc>
        <w:tc>
          <w:tcPr>
            <w:tcW w:w="1281" w:type="dxa"/>
            <w:tcBorders>
              <w:top w:val="single" w:sz="4" w:space="0" w:color="263287"/>
              <w:left w:val="single" w:sz="4" w:space="0" w:color="263287"/>
              <w:bottom w:val="single" w:sz="4" w:space="0" w:color="263287"/>
              <w:right w:val="single" w:sz="4" w:space="0" w:color="263287"/>
            </w:tcBorders>
            <w:vAlign w:val="center"/>
          </w:tcPr>
          <w:p w14:paraId="2AD42A62" w14:textId="18B6B04E" w:rsidR="0053564A" w:rsidRPr="001E6666" w:rsidRDefault="00063F39" w:rsidP="001E6666">
            <w:pPr>
              <w:jc w:val="center"/>
              <w:cnfStyle w:val="000000000000" w:firstRow="0" w:lastRow="0" w:firstColumn="0" w:lastColumn="0" w:oddVBand="0" w:evenVBand="0" w:oddHBand="0" w:evenHBand="0" w:firstRowFirstColumn="0" w:firstRowLastColumn="0" w:lastRowFirstColumn="0" w:lastRowLastColumn="0"/>
            </w:pPr>
            <w:r w:rsidRPr="001E6666">
              <w:rPr>
                <w:rFonts w:ascii="Wingdings" w:eastAsia="Wingdings" w:hAnsi="Wingdings" w:cs="Wingdings"/>
              </w:rPr>
              <w:sym w:font="Wingdings" w:char="F0FC"/>
            </w:r>
          </w:p>
        </w:tc>
        <w:tc>
          <w:tcPr>
            <w:tcW w:w="1410" w:type="dxa"/>
            <w:tcBorders>
              <w:top w:val="single" w:sz="4" w:space="0" w:color="263287"/>
              <w:left w:val="single" w:sz="4" w:space="0" w:color="263287"/>
              <w:bottom w:val="single" w:sz="4" w:space="0" w:color="263287"/>
              <w:right w:val="single" w:sz="4" w:space="0" w:color="263287"/>
            </w:tcBorders>
            <w:vAlign w:val="center"/>
          </w:tcPr>
          <w:p w14:paraId="286AC260" w14:textId="3026A589" w:rsidR="0053564A" w:rsidRDefault="00063F39" w:rsidP="001E6666">
            <w:pPr>
              <w:jc w:val="center"/>
              <w:cnfStyle w:val="000000000000" w:firstRow="0" w:lastRow="0" w:firstColumn="0" w:lastColumn="0" w:oddVBand="0" w:evenVBand="0" w:oddHBand="0" w:evenHBand="0" w:firstRowFirstColumn="0" w:firstRowLastColumn="0" w:lastRowFirstColumn="0" w:lastRowLastColumn="0"/>
            </w:pPr>
            <w:r>
              <w:noBreakHyphen/>
            </w:r>
          </w:p>
        </w:tc>
      </w:tr>
      <w:tr w:rsidR="00345E6F" w14:paraId="21E86E46" w14:textId="77777777" w:rsidTr="00345E6F">
        <w:trPr>
          <w:trHeight w:val="386"/>
        </w:trPr>
        <w:tc>
          <w:tcPr>
            <w:cnfStyle w:val="001000000000" w:firstRow="0" w:lastRow="0" w:firstColumn="1" w:lastColumn="0" w:oddVBand="0" w:evenVBand="0" w:oddHBand="0" w:evenHBand="0" w:firstRowFirstColumn="0" w:firstRowLastColumn="0" w:lastRowFirstColumn="0" w:lastRowLastColumn="0"/>
            <w:tcW w:w="1836" w:type="dxa"/>
            <w:vMerge/>
            <w:tcBorders>
              <w:left w:val="single" w:sz="4" w:space="0" w:color="263287"/>
              <w:bottom w:val="single" w:sz="4" w:space="0" w:color="263287"/>
              <w:right w:val="single" w:sz="4" w:space="0" w:color="263287"/>
            </w:tcBorders>
          </w:tcPr>
          <w:p w14:paraId="60DAD12C" w14:textId="77777777" w:rsidR="0053564A" w:rsidRDefault="0053564A" w:rsidP="001E6666"/>
        </w:tc>
        <w:tc>
          <w:tcPr>
            <w:tcW w:w="1987" w:type="dxa"/>
            <w:tcBorders>
              <w:top w:val="single" w:sz="4" w:space="0" w:color="263287"/>
              <w:left w:val="single" w:sz="4" w:space="0" w:color="263287"/>
              <w:bottom w:val="single" w:sz="4" w:space="0" w:color="263287"/>
              <w:right w:val="single" w:sz="4" w:space="0" w:color="263287"/>
            </w:tcBorders>
          </w:tcPr>
          <w:p w14:paraId="45977FB8" w14:textId="681198D1" w:rsidR="0053564A" w:rsidRDefault="00063F39" w:rsidP="001E6666">
            <w:pPr>
              <w:cnfStyle w:val="000000000000" w:firstRow="0" w:lastRow="0" w:firstColumn="0" w:lastColumn="0" w:oddVBand="0" w:evenVBand="0" w:oddHBand="0" w:evenHBand="0" w:firstRowFirstColumn="0" w:firstRowLastColumn="0" w:lastRowFirstColumn="0" w:lastRowLastColumn="0"/>
            </w:pPr>
            <w:r w:rsidRPr="001E6666">
              <w:t>Safety in patients less than 18 years of age</w:t>
            </w:r>
          </w:p>
        </w:tc>
        <w:tc>
          <w:tcPr>
            <w:tcW w:w="1130" w:type="dxa"/>
            <w:tcBorders>
              <w:top w:val="single" w:sz="4" w:space="0" w:color="263287"/>
              <w:left w:val="single" w:sz="4" w:space="0" w:color="263287"/>
              <w:bottom w:val="single" w:sz="4" w:space="0" w:color="263287"/>
              <w:right w:val="single" w:sz="4" w:space="0" w:color="263287"/>
            </w:tcBorders>
            <w:vAlign w:val="center"/>
          </w:tcPr>
          <w:p w14:paraId="600B7D8C" w14:textId="304ED165" w:rsidR="0053564A" w:rsidRPr="001E6666" w:rsidRDefault="00063F39" w:rsidP="001E6666">
            <w:pPr>
              <w:jc w:val="center"/>
              <w:cnfStyle w:val="000000000000" w:firstRow="0" w:lastRow="0" w:firstColumn="0" w:lastColumn="0" w:oddVBand="0" w:evenVBand="0" w:oddHBand="0" w:evenHBand="0" w:firstRowFirstColumn="0" w:firstRowLastColumn="0" w:lastRowFirstColumn="0" w:lastRowLastColumn="0"/>
            </w:pPr>
            <w:r w:rsidRPr="001E6666">
              <w:rPr>
                <w:rFonts w:ascii="Wingdings" w:eastAsia="Wingdings" w:hAnsi="Wingdings" w:cs="Wingdings"/>
              </w:rPr>
              <w:sym w:font="Wingdings" w:char="F0FC"/>
            </w:r>
          </w:p>
        </w:tc>
        <w:tc>
          <w:tcPr>
            <w:tcW w:w="1416" w:type="dxa"/>
            <w:tcBorders>
              <w:top w:val="single" w:sz="4" w:space="0" w:color="263287"/>
              <w:left w:val="single" w:sz="4" w:space="0" w:color="263287"/>
              <w:bottom w:val="single" w:sz="4" w:space="0" w:color="263287"/>
              <w:right w:val="single" w:sz="4" w:space="0" w:color="263287"/>
            </w:tcBorders>
            <w:vAlign w:val="center"/>
          </w:tcPr>
          <w:p w14:paraId="33DC5D8B" w14:textId="4D7B0EA9" w:rsidR="0053564A" w:rsidRDefault="00063F39" w:rsidP="001E6666">
            <w:pPr>
              <w:jc w:val="center"/>
              <w:cnfStyle w:val="000000000000" w:firstRow="0" w:lastRow="0" w:firstColumn="0" w:lastColumn="0" w:oddVBand="0" w:evenVBand="0" w:oddHBand="0" w:evenHBand="0" w:firstRowFirstColumn="0" w:firstRowLastColumn="0" w:lastRowFirstColumn="0" w:lastRowLastColumn="0"/>
            </w:pPr>
            <w:r w:rsidRPr="001E6666">
              <w:rPr>
                <w:rFonts w:ascii="Wingdings" w:eastAsia="Wingdings" w:hAnsi="Wingdings" w:cs="Wingdings"/>
              </w:rPr>
              <w:sym w:font="Wingdings" w:char="F0FC"/>
            </w:r>
            <w:r>
              <w:t>§</w:t>
            </w:r>
          </w:p>
        </w:tc>
        <w:tc>
          <w:tcPr>
            <w:tcW w:w="1281" w:type="dxa"/>
            <w:tcBorders>
              <w:top w:val="single" w:sz="4" w:space="0" w:color="263287"/>
              <w:left w:val="single" w:sz="4" w:space="0" w:color="263287"/>
              <w:bottom w:val="single" w:sz="4" w:space="0" w:color="263287"/>
              <w:right w:val="single" w:sz="4" w:space="0" w:color="263287"/>
            </w:tcBorders>
            <w:vAlign w:val="center"/>
          </w:tcPr>
          <w:p w14:paraId="27FD76BD" w14:textId="2C3C19CE" w:rsidR="0053564A" w:rsidRPr="001E6666" w:rsidRDefault="00063F39" w:rsidP="001E6666">
            <w:pPr>
              <w:jc w:val="center"/>
              <w:cnfStyle w:val="000000000000" w:firstRow="0" w:lastRow="0" w:firstColumn="0" w:lastColumn="0" w:oddVBand="0" w:evenVBand="0" w:oddHBand="0" w:evenHBand="0" w:firstRowFirstColumn="0" w:firstRowLastColumn="0" w:lastRowFirstColumn="0" w:lastRowLastColumn="0"/>
            </w:pPr>
            <w:r w:rsidRPr="001E6666">
              <w:rPr>
                <w:rFonts w:ascii="Wingdings" w:eastAsia="Wingdings" w:hAnsi="Wingdings" w:cs="Wingdings"/>
              </w:rPr>
              <w:sym w:font="Wingdings" w:char="F0FC"/>
            </w:r>
          </w:p>
        </w:tc>
        <w:tc>
          <w:tcPr>
            <w:tcW w:w="1410" w:type="dxa"/>
            <w:tcBorders>
              <w:top w:val="single" w:sz="4" w:space="0" w:color="263287"/>
              <w:left w:val="single" w:sz="4" w:space="0" w:color="263287"/>
              <w:bottom w:val="single" w:sz="4" w:space="0" w:color="263287"/>
              <w:right w:val="single" w:sz="4" w:space="0" w:color="263287"/>
            </w:tcBorders>
            <w:vAlign w:val="center"/>
          </w:tcPr>
          <w:p w14:paraId="41C0F0F3" w14:textId="5A2F4F39" w:rsidR="0053564A" w:rsidRDefault="00063F39" w:rsidP="001E6666">
            <w:pPr>
              <w:jc w:val="center"/>
              <w:cnfStyle w:val="000000000000" w:firstRow="0" w:lastRow="0" w:firstColumn="0" w:lastColumn="0" w:oddVBand="0" w:evenVBand="0" w:oddHBand="0" w:evenHBand="0" w:firstRowFirstColumn="0" w:firstRowLastColumn="0" w:lastRowFirstColumn="0" w:lastRowLastColumn="0"/>
            </w:pPr>
            <w:r>
              <w:noBreakHyphen/>
            </w:r>
          </w:p>
        </w:tc>
      </w:tr>
    </w:tbl>
    <w:p w14:paraId="41A3A616" w14:textId="31178CF4" w:rsidR="002222E4" w:rsidRPr="00745F89" w:rsidRDefault="00063F39" w:rsidP="001E6666">
      <w:pPr>
        <w:pStyle w:val="TableDescription"/>
      </w:pPr>
      <w:r>
        <w:rPr>
          <w:rFonts w:asciiTheme="majorHAnsi" w:hAnsiTheme="majorHAnsi"/>
        </w:rPr>
        <w:t>*</w:t>
      </w:r>
      <w:r w:rsidRPr="00745F89">
        <w:t>Follow</w:t>
      </w:r>
      <w:r w:rsidR="006D7271">
        <w:noBreakHyphen/>
      </w:r>
      <w:r w:rsidRPr="00745F89">
        <w:t>up questionnaire (</w:t>
      </w:r>
      <w:r w:rsidR="00FF4DEB" w:rsidRPr="00FF4DEB">
        <w:t>Australia</w:t>
      </w:r>
      <w:r w:rsidR="00EB2EA5">
        <w:t>-</w:t>
      </w:r>
      <w:r w:rsidR="00FF4DEB" w:rsidRPr="00FF4DEB">
        <w:t xml:space="preserve">specific annex </w:t>
      </w:r>
      <w:r w:rsidR="00EB2EA5">
        <w:t>(</w:t>
      </w:r>
      <w:r w:rsidRPr="00745F89">
        <w:t>ASA</w:t>
      </w:r>
      <w:r w:rsidR="00EB2EA5">
        <w:t>)</w:t>
      </w:r>
      <w:r w:rsidRPr="00745F89">
        <w:t xml:space="preserve"> only)</w:t>
      </w:r>
    </w:p>
    <w:p w14:paraId="3E276B84" w14:textId="31C407FE" w:rsidR="002222E4" w:rsidRPr="00745F89" w:rsidRDefault="00063F39" w:rsidP="001E6666">
      <w:pPr>
        <w:pStyle w:val="TableDescription"/>
      </w:pPr>
      <w:r>
        <w:t xml:space="preserve">† </w:t>
      </w:r>
      <w:r w:rsidRPr="00745F89">
        <w:t>Studies</w:t>
      </w:r>
      <w:r>
        <w:t xml:space="preserve"> </w:t>
      </w:r>
      <w:r w:rsidRPr="00745F89">
        <w:t>GS</w:t>
      </w:r>
      <w:r w:rsidR="006D7271">
        <w:noBreakHyphen/>
      </w:r>
      <w:r w:rsidRPr="00745F89">
        <w:t>US</w:t>
      </w:r>
      <w:r w:rsidR="006D7271">
        <w:noBreakHyphen/>
      </w:r>
      <w:r w:rsidRPr="00745F89">
        <w:t>200</w:t>
      </w:r>
      <w:r w:rsidR="006D7271">
        <w:noBreakHyphen/>
      </w:r>
      <w:r w:rsidRPr="00745F89">
        <w:t>4625 and GS</w:t>
      </w:r>
      <w:r w:rsidR="006D7271">
        <w:noBreakHyphen/>
      </w:r>
      <w:r w:rsidRPr="00745F89">
        <w:t>US</w:t>
      </w:r>
      <w:r w:rsidR="006D7271">
        <w:noBreakHyphen/>
      </w:r>
      <w:r w:rsidRPr="00745F89">
        <w:t>200</w:t>
      </w:r>
      <w:r w:rsidR="006D7271">
        <w:noBreakHyphen/>
      </w:r>
      <w:r w:rsidRPr="00745F89">
        <w:t>4334</w:t>
      </w:r>
    </w:p>
    <w:p w14:paraId="09547269" w14:textId="5991ECBE" w:rsidR="002222E4" w:rsidRPr="00745F89" w:rsidRDefault="00063F39" w:rsidP="001E6666">
      <w:pPr>
        <w:pStyle w:val="TableDescription"/>
      </w:pPr>
      <w:r>
        <w:t xml:space="preserve">‡ </w:t>
      </w:r>
      <w:r w:rsidRPr="00745F89">
        <w:t>Antiretroviral pregnancy registry</w:t>
      </w:r>
    </w:p>
    <w:p w14:paraId="07B5D641" w14:textId="7C312137" w:rsidR="002222E4" w:rsidRPr="00745F89" w:rsidRDefault="00063F39" w:rsidP="001E6666">
      <w:pPr>
        <w:pStyle w:val="TableDescription"/>
      </w:pPr>
      <w:r>
        <w:t>§</w:t>
      </w:r>
      <w:r w:rsidRPr="00745F89">
        <w:t xml:space="preserve"> Planned Study GS</w:t>
      </w:r>
      <w:r w:rsidR="006D7271">
        <w:noBreakHyphen/>
      </w:r>
      <w:r w:rsidRPr="00745F89">
        <w:t>US</w:t>
      </w:r>
      <w:r w:rsidR="006D7271">
        <w:noBreakHyphen/>
      </w:r>
      <w:r w:rsidRPr="00745F89">
        <w:t>563</w:t>
      </w:r>
      <w:r w:rsidR="006D7271">
        <w:noBreakHyphen/>
      </w:r>
      <w:r w:rsidRPr="00745F89">
        <w:t>5958</w:t>
      </w:r>
    </w:p>
    <w:p w14:paraId="6CB86607" w14:textId="77777777" w:rsidR="00A231A4" w:rsidRPr="00457DAC" w:rsidRDefault="00A231A4" w:rsidP="00A231A4">
      <w:pPr>
        <w:pStyle w:val="Standard"/>
        <w:spacing w:after="0" w:line="240" w:lineRule="auto"/>
        <w:rPr>
          <w:kern w:val="0"/>
        </w:rPr>
      </w:pPr>
      <w:bookmarkStart w:id="154" w:name="_Toc103679299"/>
    </w:p>
    <w:p w14:paraId="792F04A3" w14:textId="77777777" w:rsidR="00A231A4" w:rsidRPr="00745F89" w:rsidRDefault="00063F39" w:rsidP="00A231A4">
      <w:pPr>
        <w:pStyle w:val="Bulletlist"/>
        <w:numPr>
          <w:ilvl w:val="0"/>
          <w:numId w:val="0"/>
        </w:numPr>
        <w:spacing w:line="240" w:lineRule="auto"/>
        <w:rPr>
          <w:sz w:val="22"/>
          <w:szCs w:val="22"/>
        </w:rPr>
      </w:pPr>
      <w:r w:rsidRPr="00745F89">
        <w:rPr>
          <w:sz w:val="22"/>
          <w:szCs w:val="22"/>
        </w:rPr>
        <w:t xml:space="preserve">The safety specification is satisfactory from an RMP perspective. </w:t>
      </w:r>
      <w:r w:rsidRPr="00745F89">
        <w:rPr>
          <w:kern w:val="0"/>
          <w:sz w:val="22"/>
          <w:szCs w:val="22"/>
        </w:rPr>
        <w:t>Routine and additional pharmacovigilance activities are proposed.</w:t>
      </w:r>
    </w:p>
    <w:p w14:paraId="5EEC8A2B" w14:textId="1A66CF93" w:rsidR="00A231A4" w:rsidRPr="00745F89" w:rsidRDefault="00063F39" w:rsidP="00A231A4">
      <w:pPr>
        <w:pStyle w:val="Bulletlist"/>
        <w:numPr>
          <w:ilvl w:val="0"/>
          <w:numId w:val="0"/>
        </w:numPr>
        <w:spacing w:line="240" w:lineRule="auto"/>
        <w:rPr>
          <w:kern w:val="0"/>
          <w:sz w:val="22"/>
          <w:szCs w:val="22"/>
        </w:rPr>
      </w:pPr>
      <w:r w:rsidRPr="00745F89">
        <w:rPr>
          <w:kern w:val="0"/>
          <w:sz w:val="22"/>
          <w:szCs w:val="22"/>
        </w:rPr>
        <w:t>Routine pharmacovigilance activities include a follow</w:t>
      </w:r>
      <w:r w:rsidR="006D7271">
        <w:rPr>
          <w:kern w:val="0"/>
          <w:sz w:val="22"/>
          <w:szCs w:val="22"/>
        </w:rPr>
        <w:noBreakHyphen/>
      </w:r>
      <w:r w:rsidRPr="00745F89">
        <w:rPr>
          <w:kern w:val="0"/>
          <w:sz w:val="22"/>
          <w:szCs w:val="22"/>
        </w:rPr>
        <w:t xml:space="preserve">up questionnaire for pregnancy (ASA only). Additional pharmacovigilance activities include </w:t>
      </w:r>
      <w:r w:rsidR="009D1A4A">
        <w:rPr>
          <w:kern w:val="0"/>
          <w:sz w:val="22"/>
          <w:szCs w:val="22"/>
        </w:rPr>
        <w:t>2</w:t>
      </w:r>
      <w:r w:rsidRPr="00745F89">
        <w:rPr>
          <w:kern w:val="0"/>
          <w:sz w:val="22"/>
          <w:szCs w:val="22"/>
        </w:rPr>
        <w:t xml:space="preserve"> studies (GS</w:t>
      </w:r>
      <w:r w:rsidR="006D7271">
        <w:rPr>
          <w:kern w:val="0"/>
          <w:sz w:val="22"/>
          <w:szCs w:val="22"/>
        </w:rPr>
        <w:noBreakHyphen/>
      </w:r>
      <w:r w:rsidRPr="00745F89">
        <w:rPr>
          <w:kern w:val="0"/>
          <w:sz w:val="22"/>
          <w:szCs w:val="22"/>
        </w:rPr>
        <w:t>US</w:t>
      </w:r>
      <w:r w:rsidR="006D7271">
        <w:rPr>
          <w:kern w:val="0"/>
          <w:sz w:val="22"/>
          <w:szCs w:val="22"/>
        </w:rPr>
        <w:noBreakHyphen/>
      </w:r>
      <w:r w:rsidRPr="00745F89">
        <w:rPr>
          <w:kern w:val="0"/>
          <w:sz w:val="22"/>
          <w:szCs w:val="22"/>
        </w:rPr>
        <w:t>200</w:t>
      </w:r>
      <w:r w:rsidR="006D7271">
        <w:rPr>
          <w:kern w:val="0"/>
          <w:sz w:val="22"/>
          <w:szCs w:val="22"/>
        </w:rPr>
        <w:noBreakHyphen/>
      </w:r>
      <w:r w:rsidRPr="00745F89">
        <w:rPr>
          <w:kern w:val="0"/>
          <w:sz w:val="22"/>
          <w:szCs w:val="22"/>
        </w:rPr>
        <w:t>4625 and GS</w:t>
      </w:r>
      <w:r w:rsidR="006D7271">
        <w:rPr>
          <w:kern w:val="0"/>
          <w:sz w:val="22"/>
          <w:szCs w:val="22"/>
        </w:rPr>
        <w:noBreakHyphen/>
      </w:r>
      <w:r w:rsidRPr="00745F89">
        <w:rPr>
          <w:kern w:val="0"/>
          <w:sz w:val="22"/>
          <w:szCs w:val="22"/>
        </w:rPr>
        <w:t>US</w:t>
      </w:r>
      <w:r w:rsidR="006D7271">
        <w:rPr>
          <w:kern w:val="0"/>
          <w:sz w:val="22"/>
          <w:szCs w:val="22"/>
        </w:rPr>
        <w:noBreakHyphen/>
      </w:r>
      <w:r w:rsidRPr="00745F89">
        <w:rPr>
          <w:kern w:val="0"/>
          <w:sz w:val="22"/>
          <w:szCs w:val="22"/>
        </w:rPr>
        <w:t>200</w:t>
      </w:r>
      <w:r w:rsidR="006D7271">
        <w:rPr>
          <w:kern w:val="0"/>
          <w:sz w:val="22"/>
          <w:szCs w:val="22"/>
        </w:rPr>
        <w:noBreakHyphen/>
      </w:r>
      <w:r w:rsidRPr="00745F89">
        <w:rPr>
          <w:kern w:val="0"/>
          <w:sz w:val="22"/>
          <w:szCs w:val="22"/>
        </w:rPr>
        <w:t>4334) that will provide information regarding long term safety and a planned study (GS</w:t>
      </w:r>
      <w:r w:rsidR="006D7271">
        <w:rPr>
          <w:kern w:val="0"/>
          <w:sz w:val="22"/>
          <w:szCs w:val="22"/>
        </w:rPr>
        <w:noBreakHyphen/>
      </w:r>
      <w:r w:rsidRPr="00745F89">
        <w:rPr>
          <w:kern w:val="0"/>
          <w:sz w:val="22"/>
          <w:szCs w:val="22"/>
        </w:rPr>
        <w:t>US</w:t>
      </w:r>
      <w:r w:rsidR="006D7271">
        <w:rPr>
          <w:kern w:val="0"/>
          <w:sz w:val="22"/>
          <w:szCs w:val="22"/>
        </w:rPr>
        <w:noBreakHyphen/>
      </w:r>
      <w:r w:rsidRPr="00745F89">
        <w:rPr>
          <w:kern w:val="0"/>
          <w:sz w:val="22"/>
          <w:szCs w:val="22"/>
        </w:rPr>
        <w:t>563</w:t>
      </w:r>
      <w:r w:rsidR="006D7271">
        <w:rPr>
          <w:kern w:val="0"/>
          <w:sz w:val="22"/>
          <w:szCs w:val="22"/>
        </w:rPr>
        <w:noBreakHyphen/>
      </w:r>
      <w:r w:rsidRPr="00745F89">
        <w:rPr>
          <w:kern w:val="0"/>
          <w:sz w:val="22"/>
          <w:szCs w:val="22"/>
        </w:rPr>
        <w:t xml:space="preserve">5958) that will provide further information regarding safety in patients 18 years </w:t>
      </w:r>
      <w:r w:rsidR="006B384D">
        <w:rPr>
          <w:kern w:val="0"/>
          <w:sz w:val="22"/>
          <w:szCs w:val="22"/>
        </w:rPr>
        <w:t>and younger</w:t>
      </w:r>
      <w:r w:rsidRPr="00745F89">
        <w:rPr>
          <w:kern w:val="0"/>
          <w:sz w:val="22"/>
          <w:szCs w:val="22"/>
        </w:rPr>
        <w:t>. In addition, there is an antiretroviral pregnancy register. This is acceptable.</w:t>
      </w:r>
    </w:p>
    <w:p w14:paraId="6DDA39AA" w14:textId="25A744A6" w:rsidR="00A231A4" w:rsidRDefault="00063F39" w:rsidP="00A231A4">
      <w:pPr>
        <w:pStyle w:val="Bulletlist"/>
        <w:numPr>
          <w:ilvl w:val="0"/>
          <w:numId w:val="0"/>
        </w:numPr>
        <w:spacing w:line="240" w:lineRule="auto"/>
        <w:rPr>
          <w:kern w:val="0"/>
          <w:sz w:val="22"/>
          <w:szCs w:val="22"/>
        </w:rPr>
      </w:pPr>
      <w:r w:rsidRPr="00745F89">
        <w:rPr>
          <w:kern w:val="0"/>
          <w:sz w:val="22"/>
          <w:szCs w:val="22"/>
        </w:rPr>
        <w:t>Routine risk minimisation activities only are proposed. This is acceptable as patients will be under specialist supervision, the dosing and administration is uncomplicated and the side effects manageable with routine risk minimisation activities.</w:t>
      </w:r>
    </w:p>
    <w:p w14:paraId="3D9149F0" w14:textId="04087B15" w:rsidR="00197B7D" w:rsidRDefault="00063F39" w:rsidP="00197B7D">
      <w:r>
        <w:t xml:space="preserve">The RMP evaluation recommended conditions of registration relating to the </w:t>
      </w:r>
      <w:r w:rsidR="00D30344">
        <w:t xml:space="preserve">versions of the </w:t>
      </w:r>
      <w:r>
        <w:t>risk management plan, requirement for periodic safety update reports, and inclusion of the medicine in the Black Triangle Scheme.</w:t>
      </w:r>
    </w:p>
    <w:p w14:paraId="74A4F87F" w14:textId="3112671F" w:rsidR="00C22214" w:rsidRDefault="00063F39" w:rsidP="00C22214">
      <w:pPr>
        <w:pStyle w:val="Heading3"/>
      </w:pPr>
      <w:bookmarkStart w:id="155" w:name="_Toc157422737"/>
      <w:r>
        <w:t>Risk</w:t>
      </w:r>
      <w:r w:rsidR="006D7271">
        <w:noBreakHyphen/>
      </w:r>
      <w:r>
        <w:t>benefit analysis</w:t>
      </w:r>
      <w:bookmarkEnd w:id="151"/>
      <w:bookmarkEnd w:id="152"/>
      <w:bookmarkEnd w:id="154"/>
      <w:bookmarkEnd w:id="155"/>
    </w:p>
    <w:p w14:paraId="77DE2655" w14:textId="576CD555" w:rsidR="00C22214" w:rsidRDefault="00063F39" w:rsidP="00C22214">
      <w:pPr>
        <w:pStyle w:val="Heading4"/>
      </w:pPr>
      <w:bookmarkStart w:id="156" w:name="_Toc98931932"/>
      <w:bookmarkStart w:id="157" w:name="_Toc157422738"/>
      <w:r>
        <w:t>Delegate’s considerations</w:t>
      </w:r>
      <w:bookmarkEnd w:id="156"/>
      <w:bookmarkEnd w:id="157"/>
    </w:p>
    <w:p w14:paraId="3FBD2F84" w14:textId="77777777" w:rsidR="00D147D8" w:rsidRPr="00D147D8" w:rsidRDefault="00063F39" w:rsidP="00D147D8">
      <w:pPr>
        <w:pStyle w:val="Heading5"/>
      </w:pPr>
      <w:r w:rsidRPr="00D147D8">
        <w:t>Efficacy</w:t>
      </w:r>
    </w:p>
    <w:p w14:paraId="57D4B65D" w14:textId="509004C6" w:rsidR="00D147D8" w:rsidRPr="00D147D8" w:rsidRDefault="00063F39" w:rsidP="00D147D8">
      <w:r w:rsidRPr="00D147D8">
        <w:t xml:space="preserve">In CAPELLA, lenacapavir led to a rapid and clinically relevant decline in viral load when added to a failing regimen in </w:t>
      </w:r>
      <w:r>
        <w:t>h</w:t>
      </w:r>
      <w:r w:rsidRPr="007D3EF5">
        <w:rPr>
          <w:lang w:eastAsia="ja-JP"/>
        </w:rPr>
        <w:t>eavily treatment experienced people with HIV</w:t>
      </w:r>
      <w:r w:rsidRPr="00D147D8">
        <w:t>.</w:t>
      </w:r>
    </w:p>
    <w:p w14:paraId="1664FEB4" w14:textId="143F39D1" w:rsidR="00D147D8" w:rsidRPr="00D147D8" w:rsidRDefault="00063F39" w:rsidP="00D147D8">
      <w:r w:rsidRPr="00D147D8">
        <w:t xml:space="preserve">With regard to the primary endpoint, the proportion of participants in Cohort 1 achieving </w:t>
      </w:r>
      <w:r>
        <w:t xml:space="preserve">at least </w:t>
      </w:r>
      <w:r w:rsidRPr="00D147D8">
        <w:t>0.5</w:t>
      </w:r>
      <w:r>
        <w:t> </w:t>
      </w:r>
      <w:r w:rsidRPr="00D147D8">
        <w:t>log</w:t>
      </w:r>
      <w:r w:rsidRPr="00ED7E7F">
        <w:rPr>
          <w:vertAlign w:val="subscript"/>
        </w:rPr>
        <w:t>10</w:t>
      </w:r>
      <w:r w:rsidRPr="00D147D8">
        <w:t xml:space="preserve"> copies/ml reduction from baseline in HIV</w:t>
      </w:r>
      <w:r w:rsidR="006D7271">
        <w:noBreakHyphen/>
      </w:r>
      <w:r w:rsidRPr="00D147D8">
        <w:t>1 RNA at the end of Functional Monotherapy Period was 87.5% (</w:t>
      </w:r>
      <w:r w:rsidR="003A4339">
        <w:t>lenacapavir</w:t>
      </w:r>
      <w:r w:rsidRPr="00D147D8">
        <w:t>) v</w:t>
      </w:r>
      <w:r>
        <w:t>ersus</w:t>
      </w:r>
      <w:r w:rsidRPr="00D147D8">
        <w:t xml:space="preserve"> 16.7% (placebo)</w:t>
      </w:r>
      <w:r>
        <w:t xml:space="preserve"> (</w:t>
      </w:r>
      <w:r w:rsidRPr="00D147D8">
        <w:t>p</w:t>
      </w:r>
      <w:r w:rsidR="00C467F0">
        <w:t> </w:t>
      </w:r>
      <w:r w:rsidRPr="00D147D8">
        <w:t>&lt;</w:t>
      </w:r>
      <w:r w:rsidR="00C467F0">
        <w:t> </w:t>
      </w:r>
      <w:r w:rsidRPr="00D147D8">
        <w:t>0.0001).</w:t>
      </w:r>
    </w:p>
    <w:p w14:paraId="3B8C0EF7" w14:textId="1E0F21E4" w:rsidR="00D147D8" w:rsidRPr="00D147D8" w:rsidRDefault="00063F39" w:rsidP="00D147D8">
      <w:r w:rsidRPr="00D147D8">
        <w:t>Efficacy was also observed in patients with a potentially suboptimal OBR (</w:t>
      </w:r>
      <w:r>
        <w:t xml:space="preserve">for example, </w:t>
      </w:r>
      <w:r w:rsidRPr="00D147D8">
        <w:t>low overall susceptibility score, n</w:t>
      </w:r>
      <w:r w:rsidR="00C467F0">
        <w:t>il</w:t>
      </w:r>
      <w:r w:rsidRPr="00D147D8">
        <w:t xml:space="preserve"> or </w:t>
      </w:r>
      <w:r w:rsidR="00C467F0">
        <w:t>one</w:t>
      </w:r>
      <w:r w:rsidRPr="00D147D8">
        <w:t xml:space="preserve"> fully active agent, INSTI resistance, no dolutegravir or darunavir) indicating a clinically meaningful contribution of lenacapavir.</w:t>
      </w:r>
    </w:p>
    <w:p w14:paraId="0726EFD4" w14:textId="37677E6C" w:rsidR="00D147D8" w:rsidRPr="00D147D8" w:rsidRDefault="00063F39" w:rsidP="00D147D8">
      <w:r w:rsidRPr="00D147D8">
        <w:t>The secondary endpoint results were generally consistent with the primary endpoint showing clinically meaningful improvements in CD4 cell counts and reductions in viral load. At Week 26, the proportion of participants in Cohort 1 with HIV</w:t>
      </w:r>
      <w:r w:rsidR="006D7271">
        <w:noBreakHyphen/>
      </w:r>
      <w:r w:rsidRPr="00D147D8">
        <w:t xml:space="preserve">1 RNA </w:t>
      </w:r>
      <w:r>
        <w:t xml:space="preserve">less than </w:t>
      </w:r>
      <w:r w:rsidRPr="00D147D8">
        <w:t>50</w:t>
      </w:r>
      <w:r>
        <w:t> </w:t>
      </w:r>
      <w:r w:rsidRPr="00D147D8">
        <w:t xml:space="preserve">copies/mL and </w:t>
      </w:r>
      <w:r>
        <w:t xml:space="preserve">less than </w:t>
      </w:r>
      <w:r w:rsidRPr="00D147D8">
        <w:lastRenderedPageBreak/>
        <w:t>200</w:t>
      </w:r>
      <w:r>
        <w:t> </w:t>
      </w:r>
      <w:r w:rsidRPr="00D147D8">
        <w:t>copies/mL were 80.6% (29</w:t>
      </w:r>
      <w:r>
        <w:t xml:space="preserve"> of </w:t>
      </w:r>
      <w:r w:rsidRPr="00D147D8">
        <w:t>36</w:t>
      </w:r>
      <w:r>
        <w:t xml:space="preserve"> participants</w:t>
      </w:r>
      <w:r w:rsidRPr="00D147D8">
        <w:t>) and 88.9% (32</w:t>
      </w:r>
      <w:r>
        <w:t xml:space="preserve"> of </w:t>
      </w:r>
      <w:r w:rsidRPr="00D147D8">
        <w:t>36</w:t>
      </w:r>
      <w:r>
        <w:t xml:space="preserve"> participants</w:t>
      </w:r>
      <w:r w:rsidRPr="00D147D8">
        <w:t>), respectively. At Week 52, the proportion of participants in Cohort 1 with HIV</w:t>
      </w:r>
      <w:r w:rsidR="006D7271">
        <w:noBreakHyphen/>
      </w:r>
      <w:r w:rsidRPr="00D147D8">
        <w:t xml:space="preserve">1 RNA </w:t>
      </w:r>
      <w:r>
        <w:t xml:space="preserve">less than </w:t>
      </w:r>
      <w:r w:rsidRPr="00D147D8">
        <w:t>50</w:t>
      </w:r>
      <w:r>
        <w:t> </w:t>
      </w:r>
      <w:r w:rsidRPr="00D147D8">
        <w:t xml:space="preserve">copies/mL and </w:t>
      </w:r>
      <w:r>
        <w:t xml:space="preserve">less than </w:t>
      </w:r>
      <w:r w:rsidRPr="00D147D8">
        <w:t>200</w:t>
      </w:r>
      <w:r>
        <w:t> </w:t>
      </w:r>
      <w:r w:rsidRPr="00D147D8">
        <w:t>copies/mL were 83.3% (30</w:t>
      </w:r>
      <w:r>
        <w:t xml:space="preserve"> of </w:t>
      </w:r>
      <w:r w:rsidRPr="00D147D8">
        <w:t>36</w:t>
      </w:r>
      <w:r>
        <w:t xml:space="preserve"> participants</w:t>
      </w:r>
      <w:r w:rsidRPr="00D147D8">
        <w:t>) and 86.1% (31</w:t>
      </w:r>
      <w:r>
        <w:t xml:space="preserve"> of </w:t>
      </w:r>
      <w:r w:rsidRPr="00D147D8">
        <w:t>36</w:t>
      </w:r>
      <w:r>
        <w:t xml:space="preserve"> participants</w:t>
      </w:r>
      <w:r w:rsidRPr="00D147D8">
        <w:t>), respectively. Efficacy data beyond Week 52 are not available.</w:t>
      </w:r>
    </w:p>
    <w:p w14:paraId="7BCB402D" w14:textId="7D400EBF" w:rsidR="00D147D8" w:rsidRPr="00D147D8" w:rsidRDefault="00063F39" w:rsidP="00D147D8">
      <w:r w:rsidRPr="00D147D8">
        <w:t>The results were generally robust and consistent in the primary</w:t>
      </w:r>
      <w:r w:rsidR="00953E25">
        <w:t xml:space="preserve"> full analysis set</w:t>
      </w:r>
      <w:r w:rsidRPr="00D147D8">
        <w:t xml:space="preserve"> and in the sensitivity analyses.</w:t>
      </w:r>
    </w:p>
    <w:p w14:paraId="3F69E5F9" w14:textId="62A55D4B" w:rsidR="00D147D8" w:rsidRPr="00D147D8" w:rsidRDefault="00063F39" w:rsidP="00D147D8">
      <w:r w:rsidRPr="00D147D8">
        <w:t>Lenacapavir showed anti</w:t>
      </w:r>
      <w:r w:rsidR="006D7271">
        <w:noBreakHyphen/>
      </w:r>
      <w:r w:rsidRPr="00D147D8">
        <w:t xml:space="preserve">viral activity in </w:t>
      </w:r>
      <w:r w:rsidR="002B7E58">
        <w:t>h</w:t>
      </w:r>
      <w:r w:rsidRPr="007D3EF5">
        <w:rPr>
          <w:lang w:eastAsia="ja-JP"/>
        </w:rPr>
        <w:t xml:space="preserve">eavily treatment experienced </w:t>
      </w:r>
      <w:r w:rsidRPr="00D147D8">
        <w:t>patients with MDR with no current evidence for cross</w:t>
      </w:r>
      <w:r w:rsidR="006D7271">
        <w:noBreakHyphen/>
      </w:r>
      <w:r w:rsidRPr="00D147D8">
        <w:t>resistance.</w:t>
      </w:r>
    </w:p>
    <w:p w14:paraId="5CA86363" w14:textId="53DCD157" w:rsidR="00D147D8" w:rsidRPr="00D147D8" w:rsidRDefault="00063F39" w:rsidP="00D147D8">
      <w:r w:rsidRPr="00D147D8">
        <w:t>Supportive evidence of efficacy was provided by the ongoing Study GS</w:t>
      </w:r>
      <w:r w:rsidR="006D7271">
        <w:noBreakHyphen/>
      </w:r>
      <w:r w:rsidRPr="00D147D8">
        <w:t>US</w:t>
      </w:r>
      <w:r w:rsidR="006D7271">
        <w:noBreakHyphen/>
      </w:r>
      <w:r w:rsidRPr="00D147D8">
        <w:t>200</w:t>
      </w:r>
      <w:r w:rsidR="006D7271">
        <w:noBreakHyphen/>
      </w:r>
      <w:r w:rsidRPr="00D147D8">
        <w:t>4334 in adult treatment</w:t>
      </w:r>
      <w:r w:rsidR="006D7271">
        <w:noBreakHyphen/>
      </w:r>
      <w:r w:rsidRPr="00D147D8">
        <w:t>na</w:t>
      </w:r>
      <w:r w:rsidR="002B7E58">
        <w:t>i</w:t>
      </w:r>
      <w:r w:rsidRPr="00D147D8">
        <w:t xml:space="preserve">ve </w:t>
      </w:r>
      <w:r w:rsidR="002B7E58">
        <w:t>people with HIV</w:t>
      </w:r>
      <w:r w:rsidRPr="00D147D8">
        <w:t xml:space="preserve">, </w:t>
      </w:r>
      <w:r w:rsidR="002B7E58">
        <w:t xml:space="preserve">that is, </w:t>
      </w:r>
      <w:r w:rsidRPr="00D147D8">
        <w:t>not conducted in the target population for the proposed indication.</w:t>
      </w:r>
    </w:p>
    <w:p w14:paraId="42F9B650" w14:textId="77777777" w:rsidR="00D147D8" w:rsidRPr="00D147D8" w:rsidRDefault="00063F39" w:rsidP="00D147D8">
      <w:r w:rsidRPr="00D147D8">
        <w:t>The validity of the rather favourable results from the trial program (in particular the efficacy results in the ongoing CAPELLA trial) has to be carefully considered due to quite a number of limitations outlined further below.</w:t>
      </w:r>
    </w:p>
    <w:p w14:paraId="00D403BE" w14:textId="77777777" w:rsidR="00D147D8" w:rsidRPr="00D147D8" w:rsidRDefault="00063F39" w:rsidP="00D147D8">
      <w:pPr>
        <w:pStyle w:val="Heading5"/>
      </w:pPr>
      <w:r w:rsidRPr="00D147D8">
        <w:t>Safety</w:t>
      </w:r>
    </w:p>
    <w:p w14:paraId="60A039FB" w14:textId="6E6321B5" w:rsidR="00D147D8" w:rsidRPr="00D147D8" w:rsidRDefault="00063F39" w:rsidP="00D147D8">
      <w:r w:rsidRPr="00D147D8">
        <w:t xml:space="preserve">From the available data, the overall safety profile of </w:t>
      </w:r>
      <w:r w:rsidR="003A4339">
        <w:t>lenacapavir</w:t>
      </w:r>
      <w:r w:rsidRPr="00D147D8">
        <w:t xml:space="preserve"> appears favourable, but the total number of exposed patients (in particular in the target population) and the total exposure time is rather small. Based on this, uncommon adverse reactions are unlikely to emerge.</w:t>
      </w:r>
    </w:p>
    <w:p w14:paraId="7DDD4798" w14:textId="6D3E8E7D" w:rsidR="00D147D8" w:rsidRPr="00D147D8" w:rsidRDefault="00063F39" w:rsidP="00D147D8">
      <w:r w:rsidRPr="00D147D8">
        <w:t>Lenacapavir is a first</w:t>
      </w:r>
      <w:r w:rsidR="006D7271">
        <w:noBreakHyphen/>
      </w:r>
      <w:r w:rsidRPr="00D147D8">
        <w:t>in</w:t>
      </w:r>
      <w:r w:rsidR="006D7271">
        <w:noBreakHyphen/>
      </w:r>
      <w:r w:rsidRPr="00D147D8">
        <w:t>class new chemical entity and there is no experience with other products in this class that may be able to inform the safety profile.</w:t>
      </w:r>
    </w:p>
    <w:p w14:paraId="2D108FBA" w14:textId="1016602B" w:rsidR="00D147D8" w:rsidRPr="00D147D8" w:rsidRDefault="00063F39" w:rsidP="00D147D8">
      <w:r w:rsidRPr="00D147D8">
        <w:t>The most common AEs reported in the lenacapavir</w:t>
      </w:r>
      <w:r w:rsidR="006D7271">
        <w:noBreakHyphen/>
      </w:r>
      <w:r w:rsidRPr="00D147D8">
        <w:t>treated patients were injection site reactions (ISRs) including injection site pain, swelling, erythema and nodule. The incidence reported ISRs was highest after the first SC dose and lower following the second and third SC doses at Week 26 and 52.</w:t>
      </w:r>
    </w:p>
    <w:p w14:paraId="6F668FA2" w14:textId="1C8CE233" w:rsidR="00D147D8" w:rsidRPr="00D147D8" w:rsidRDefault="00063F39" w:rsidP="00D147D8">
      <w:r w:rsidRPr="00D147D8">
        <w:t>Common non</w:t>
      </w:r>
      <w:r w:rsidR="006D7271">
        <w:noBreakHyphen/>
      </w:r>
      <w:r w:rsidRPr="00D147D8">
        <w:t xml:space="preserve">ISR AEs were headache, </w:t>
      </w:r>
      <w:proofErr w:type="gramStart"/>
      <w:r w:rsidRPr="00D147D8">
        <w:t>nausea</w:t>
      </w:r>
      <w:proofErr w:type="gramEnd"/>
      <w:r w:rsidRPr="00D147D8">
        <w:t xml:space="preserve"> and lymphadenopathy. In CAPELLA, 37.5% v</w:t>
      </w:r>
      <w:r w:rsidR="00437B87">
        <w:t>ersus</w:t>
      </w:r>
      <w:r w:rsidRPr="00D147D8">
        <w:t xml:space="preserve"> 25% of patients had a TEAE in the placebo</w:t>
      </w:r>
      <w:r w:rsidR="006D7271">
        <w:noBreakHyphen/>
      </w:r>
      <w:r w:rsidRPr="00D147D8">
        <w:t xml:space="preserve">controlled phase. </w:t>
      </w:r>
      <w:r w:rsidR="00437B87">
        <w:t xml:space="preserve">Nausea was reported by </w:t>
      </w:r>
      <w:r w:rsidRPr="00D147D8">
        <w:t>12.5% (3</w:t>
      </w:r>
      <w:r w:rsidR="00437B87">
        <w:t xml:space="preserve"> of </w:t>
      </w:r>
      <w:r w:rsidRPr="00D147D8">
        <w:t>24</w:t>
      </w:r>
      <w:r w:rsidR="00437B87">
        <w:t xml:space="preserve"> participants, </w:t>
      </w:r>
      <w:r w:rsidRPr="00D147D8">
        <w:t xml:space="preserve">compared to none </w:t>
      </w:r>
      <w:r w:rsidR="00437B87">
        <w:t>o</w:t>
      </w:r>
      <w:r w:rsidRPr="00D147D8">
        <w:t>n placebo. It may be assumed that this is in relation to the oral formulation and may not be applicable to the SC formulation, but in the supportive Study GS</w:t>
      </w:r>
      <w:r w:rsidR="006D7271">
        <w:noBreakHyphen/>
      </w:r>
      <w:r w:rsidRPr="00D147D8">
        <w:t>US</w:t>
      </w:r>
      <w:r w:rsidR="006D7271">
        <w:noBreakHyphen/>
      </w:r>
      <w:r w:rsidRPr="00D147D8">
        <w:t>200</w:t>
      </w:r>
      <w:r w:rsidR="006D7271">
        <w:noBreakHyphen/>
      </w:r>
      <w:r w:rsidRPr="00D147D8">
        <w:t xml:space="preserve">4334 nausea occurred in 14.3% (SC </w:t>
      </w:r>
      <w:r w:rsidR="003A4339">
        <w:t>lenacapavir</w:t>
      </w:r>
      <w:r w:rsidRPr="00D147D8">
        <w:t>) v</w:t>
      </w:r>
      <w:r w:rsidR="00437B87">
        <w:t>ersu</w:t>
      </w:r>
      <w:r w:rsidRPr="00D147D8">
        <w:t>s 10.8% (</w:t>
      </w:r>
      <w:r w:rsidR="003A4339">
        <w:t>lenacapavir</w:t>
      </w:r>
      <w:r w:rsidRPr="00D147D8">
        <w:t xml:space="preserve"> total) v</w:t>
      </w:r>
      <w:r w:rsidR="00437B87">
        <w:t>ersu</w:t>
      </w:r>
      <w:r w:rsidRPr="00D147D8">
        <w:t>s 4% (</w:t>
      </w:r>
      <w:r w:rsidR="00437B87" w:rsidRPr="00B3560F">
        <w:t>bictegravir/emtricitabine/tenofovir alafenamide</w:t>
      </w:r>
      <w:r w:rsidRPr="00D147D8">
        <w:t>).</w:t>
      </w:r>
    </w:p>
    <w:p w14:paraId="4CA13B7A" w14:textId="77777777" w:rsidR="00D147D8" w:rsidRPr="00D147D8" w:rsidRDefault="00063F39" w:rsidP="00D147D8">
      <w:r w:rsidRPr="00DE785B">
        <w:t>One participant (2.8%) experienced a Grade 3 increase in ALT and a Grade 4 increase in AST,</w:t>
      </w:r>
      <w:r w:rsidRPr="00D147D8">
        <w:t xml:space="preserve"> </w:t>
      </w:r>
      <w:r w:rsidRPr="00DE785B">
        <w:t>reported as an AE of immune reconstitution inflammatory syndrome (IRIS), even though</w:t>
      </w:r>
      <w:r w:rsidRPr="00D147D8">
        <w:t xml:space="preserve"> potentially related to HBV infection.</w:t>
      </w:r>
    </w:p>
    <w:p w14:paraId="60739A73" w14:textId="69C4D1DD" w:rsidR="00D147D8" w:rsidRPr="00D147D8" w:rsidRDefault="00063F39" w:rsidP="00D147D8">
      <w:r w:rsidRPr="00D147D8">
        <w:t xml:space="preserve">In </w:t>
      </w:r>
      <w:r w:rsidR="00437B87">
        <w:t xml:space="preserve">the </w:t>
      </w:r>
      <w:r w:rsidRPr="00D147D8">
        <w:t xml:space="preserve">Phase </w:t>
      </w:r>
      <w:r w:rsidR="00786A59">
        <w:t>I</w:t>
      </w:r>
      <w:r w:rsidRPr="00D147D8">
        <w:t xml:space="preserve"> Study GS</w:t>
      </w:r>
      <w:r w:rsidR="006D7271">
        <w:noBreakHyphen/>
      </w:r>
      <w:r w:rsidRPr="00D147D8">
        <w:t>US</w:t>
      </w:r>
      <w:r w:rsidR="006D7271">
        <w:noBreakHyphen/>
      </w:r>
      <w:r w:rsidRPr="00D147D8">
        <w:t>200</w:t>
      </w:r>
      <w:r w:rsidR="006D7271">
        <w:noBreakHyphen/>
      </w:r>
      <w:r w:rsidRPr="00D147D8">
        <w:t xml:space="preserve">4329, there was one </w:t>
      </w:r>
      <w:r w:rsidR="00476997">
        <w:t>creatine kinase</w:t>
      </w:r>
      <w:r w:rsidRPr="00D147D8">
        <w:t xml:space="preserve"> Grade 4 event in an </w:t>
      </w:r>
      <w:r w:rsidR="00151CEB">
        <w:t>intravenous</w:t>
      </w:r>
      <w:r w:rsidRPr="00D147D8">
        <w:t xml:space="preserve"> </w:t>
      </w:r>
      <w:r w:rsidR="003A4339">
        <w:t>lenacapavir</w:t>
      </w:r>
      <w:r w:rsidRPr="00D147D8">
        <w:t xml:space="preserve"> group participant who had a rhabdomyolysis SAE considered related to study drug by the sponsor.</w:t>
      </w:r>
    </w:p>
    <w:p w14:paraId="4DF91388" w14:textId="64FA4510" w:rsidR="00D147D8" w:rsidRPr="00D147D8" w:rsidRDefault="00063F39" w:rsidP="00D147D8">
      <w:r w:rsidRPr="00D147D8">
        <w:t xml:space="preserve">The safety profile of lenacapavir, and in particular the TEAEs of unclear aetiology need to be monitored with pharmacovigilance activities and reported in </w:t>
      </w:r>
      <w:r w:rsidR="00437B87">
        <w:t>periodic safety update reports</w:t>
      </w:r>
      <w:r w:rsidRPr="00D147D8">
        <w:t>.</w:t>
      </w:r>
    </w:p>
    <w:p w14:paraId="676F1581" w14:textId="40B717A1" w:rsidR="00D147D8" w:rsidRPr="00D147D8" w:rsidRDefault="00063F39" w:rsidP="00D147D8">
      <w:r w:rsidRPr="00D147D8">
        <w:t>Routine pharmacovigilance activities include a follow</w:t>
      </w:r>
      <w:r w:rsidR="006D7271">
        <w:noBreakHyphen/>
      </w:r>
      <w:r w:rsidRPr="00D147D8">
        <w:t xml:space="preserve">up questionnaire for pregnancy. Additional pharmacovigilance activities include the </w:t>
      </w:r>
      <w:r w:rsidR="009D1A4A">
        <w:t>2</w:t>
      </w:r>
      <w:r w:rsidRPr="00D147D8">
        <w:t xml:space="preserve"> efficacy studies (GS</w:t>
      </w:r>
      <w:r w:rsidR="006D7271">
        <w:noBreakHyphen/>
      </w:r>
      <w:r w:rsidRPr="00D147D8">
        <w:t>US</w:t>
      </w:r>
      <w:r w:rsidR="006D7271">
        <w:noBreakHyphen/>
      </w:r>
      <w:r w:rsidRPr="00D147D8">
        <w:t>200</w:t>
      </w:r>
      <w:r w:rsidR="006D7271">
        <w:noBreakHyphen/>
      </w:r>
      <w:r w:rsidRPr="00D147D8">
        <w:t>4625 (CAPELLA) and GS</w:t>
      </w:r>
      <w:r w:rsidR="006D7271">
        <w:noBreakHyphen/>
      </w:r>
      <w:r w:rsidRPr="00D147D8">
        <w:t>US</w:t>
      </w:r>
      <w:r w:rsidR="006D7271">
        <w:noBreakHyphen/>
      </w:r>
      <w:r w:rsidRPr="00D147D8">
        <w:t>200</w:t>
      </w:r>
      <w:r w:rsidR="006D7271">
        <w:noBreakHyphen/>
      </w:r>
      <w:r w:rsidRPr="00D147D8">
        <w:t>4334) that will provide information regarding long term safety, a planned study (GS</w:t>
      </w:r>
      <w:r w:rsidR="006D7271">
        <w:noBreakHyphen/>
      </w:r>
      <w:r w:rsidRPr="00D147D8">
        <w:t>US</w:t>
      </w:r>
      <w:r w:rsidR="006D7271">
        <w:noBreakHyphen/>
      </w:r>
      <w:r w:rsidRPr="00D147D8">
        <w:t>563</w:t>
      </w:r>
      <w:r w:rsidR="006D7271">
        <w:noBreakHyphen/>
      </w:r>
      <w:r w:rsidRPr="00D147D8">
        <w:t xml:space="preserve">5958) that will provide further information regarding safety in patients aged 18 years </w:t>
      </w:r>
      <w:r w:rsidR="002B3C42">
        <w:t>and younger</w:t>
      </w:r>
      <w:r w:rsidRPr="00D147D8">
        <w:t>, and an antiretroviral pregnancy register.</w:t>
      </w:r>
    </w:p>
    <w:p w14:paraId="2B98F28C" w14:textId="77777777" w:rsidR="00D147D8" w:rsidRPr="00D147D8" w:rsidRDefault="00063F39" w:rsidP="00D147D8">
      <w:pPr>
        <w:pStyle w:val="Heading5"/>
      </w:pPr>
      <w:r w:rsidRPr="00D147D8">
        <w:lastRenderedPageBreak/>
        <w:t>Resistance</w:t>
      </w:r>
    </w:p>
    <w:p w14:paraId="259DA1EE" w14:textId="52147294" w:rsidR="00D147D8" w:rsidRPr="00D147D8" w:rsidRDefault="00063F39" w:rsidP="00D147D8">
      <w:r w:rsidRPr="00D147D8">
        <w:t>In CAPELLA, 29% (21</w:t>
      </w:r>
      <w:r w:rsidR="000E44E5">
        <w:t xml:space="preserve"> of </w:t>
      </w:r>
      <w:r w:rsidRPr="00D147D8">
        <w:t>72) of patients met the criteria for resistance analyses: 11.1% (8</w:t>
      </w:r>
      <w:r w:rsidR="000E44E5">
        <w:t xml:space="preserve"> of </w:t>
      </w:r>
      <w:r w:rsidRPr="00D147D8">
        <w:t xml:space="preserve">72) had </w:t>
      </w:r>
      <w:r w:rsidR="000E44E5">
        <w:t>l</w:t>
      </w:r>
      <w:r w:rsidRPr="00D147D8">
        <w:t>enacapavir</w:t>
      </w:r>
      <w:r w:rsidR="006D7271">
        <w:noBreakHyphen/>
      </w:r>
      <w:r w:rsidRPr="00D147D8">
        <w:t xml:space="preserve">associated capsid mutations. </w:t>
      </w:r>
      <w:r w:rsidR="000E44E5">
        <w:t xml:space="preserve">Of these, </w:t>
      </w:r>
      <w:r w:rsidRPr="00D147D8">
        <w:t>8.3 % (6</w:t>
      </w:r>
      <w:r w:rsidR="000E44E5">
        <w:t xml:space="preserve"> of </w:t>
      </w:r>
      <w:r w:rsidRPr="00D147D8">
        <w:t>72) had a M66I CA mutation (alone or in combination with other lenacapavir</w:t>
      </w:r>
      <w:r w:rsidR="006D7271">
        <w:noBreakHyphen/>
      </w:r>
      <w:r w:rsidRPr="00D147D8">
        <w:t>associated capsid mutations including N74D, Q67Q/H/K/N, K70K/N/R/S, T107T/C, and T107A). One patient had a K70H CA mutation emerging along with T107T/N, and one patient had emergence of both Q67H and K70R in CA. There were no emergent resistance mutations to components of the OBR.</w:t>
      </w:r>
    </w:p>
    <w:p w14:paraId="2B59DC5D" w14:textId="4A0133AA" w:rsidR="00D147D8" w:rsidRPr="00D147D8" w:rsidRDefault="00063F39" w:rsidP="00D147D8">
      <w:r w:rsidRPr="00D147D8">
        <w:t>In Study GS</w:t>
      </w:r>
      <w:r w:rsidR="006D7271">
        <w:noBreakHyphen/>
      </w:r>
      <w:r w:rsidRPr="00D147D8">
        <w:t>US</w:t>
      </w:r>
      <w:r w:rsidR="006D7271">
        <w:noBreakHyphen/>
      </w:r>
      <w:r w:rsidRPr="00D147D8">
        <w:t>200</w:t>
      </w:r>
      <w:r w:rsidR="006D7271">
        <w:noBreakHyphen/>
      </w:r>
      <w:r w:rsidRPr="00D147D8">
        <w:t>4334 until Week 54, 1.3% (2</w:t>
      </w:r>
      <w:r w:rsidR="000E44E5">
        <w:t xml:space="preserve"> of </w:t>
      </w:r>
      <w:r w:rsidRPr="00D147D8">
        <w:t xml:space="preserve">157) of participants who received oral or SC </w:t>
      </w:r>
      <w:r w:rsidR="000E44E5">
        <w:t>lenacapavir</w:t>
      </w:r>
      <w:r w:rsidRPr="00D147D8">
        <w:t xml:space="preserve"> had </w:t>
      </w:r>
      <w:r w:rsidR="000E44E5">
        <w:t>l</w:t>
      </w:r>
      <w:r w:rsidRPr="00D147D8">
        <w:t>enacapavir</w:t>
      </w:r>
      <w:r w:rsidR="006D7271">
        <w:noBreakHyphen/>
      </w:r>
      <w:r w:rsidRPr="00D147D8">
        <w:t>associated mutation (Q67H, Q67H + K70R), but the much lower proportion compared to CAPELLA is likely due to the treatment</w:t>
      </w:r>
      <w:r w:rsidR="006D7271">
        <w:noBreakHyphen/>
      </w:r>
      <w:r w:rsidRPr="00D147D8">
        <w:t>na</w:t>
      </w:r>
      <w:r w:rsidR="000E44E5">
        <w:t>i</w:t>
      </w:r>
      <w:r w:rsidRPr="00D147D8">
        <w:t>ve population.</w:t>
      </w:r>
    </w:p>
    <w:p w14:paraId="31679867" w14:textId="77777777" w:rsidR="00D147D8" w:rsidRPr="00D147D8" w:rsidRDefault="00063F39" w:rsidP="00D147D8">
      <w:pPr>
        <w:pStyle w:val="Heading5"/>
      </w:pPr>
      <w:r w:rsidRPr="00D147D8">
        <w:t>Clinical practice and patient considerations</w:t>
      </w:r>
    </w:p>
    <w:p w14:paraId="6E4E7F3B" w14:textId="33EB6664" w:rsidR="00D147D8" w:rsidRPr="00D147D8" w:rsidRDefault="00063F39" w:rsidP="00D147D8">
      <w:r w:rsidRPr="00D147D8">
        <w:t>A simple dosing regimen is more likely to facilitate compliance. A 6</w:t>
      </w:r>
      <w:r w:rsidR="006D7271">
        <w:noBreakHyphen/>
      </w:r>
      <w:r w:rsidRPr="00D147D8">
        <w:t>monthly regimen compared to daily dosing may contribute to this.</w:t>
      </w:r>
    </w:p>
    <w:p w14:paraId="5473F624" w14:textId="3DE1599F" w:rsidR="00D147D8" w:rsidRPr="00D147D8" w:rsidRDefault="00063F39" w:rsidP="00D147D8">
      <w:r w:rsidRPr="00D147D8">
        <w:t>S</w:t>
      </w:r>
      <w:r w:rsidR="000E44E5">
        <w:t>unlenca</w:t>
      </w:r>
      <w:r w:rsidRPr="00D147D8">
        <w:t xml:space="preserve">, if registered, would provide an additional option in the armamentarium to treat </w:t>
      </w:r>
      <w:r w:rsidR="000E44E5">
        <w:t>people with HIV</w:t>
      </w:r>
      <w:r w:rsidRPr="00D147D8">
        <w:t xml:space="preserve"> who have a </w:t>
      </w:r>
      <w:r w:rsidR="000E44E5">
        <w:t>multidrug resistant</w:t>
      </w:r>
      <w:r w:rsidRPr="00D147D8">
        <w:t xml:space="preserve"> HIV</w:t>
      </w:r>
      <w:r w:rsidR="006D7271">
        <w:noBreakHyphen/>
      </w:r>
      <w:r w:rsidRPr="00D147D8">
        <w:t>1 infection.</w:t>
      </w:r>
    </w:p>
    <w:p w14:paraId="7FB698B8" w14:textId="77777777" w:rsidR="00D147D8" w:rsidRPr="00D147D8" w:rsidRDefault="00063F39" w:rsidP="00D147D8">
      <w:pPr>
        <w:pStyle w:val="Heading5"/>
      </w:pPr>
      <w:r w:rsidRPr="00D147D8">
        <w:t>Deficiencies of the data</w:t>
      </w:r>
    </w:p>
    <w:p w14:paraId="1B0DBC4A" w14:textId="77777777" w:rsidR="00D147D8" w:rsidRPr="00D147D8" w:rsidRDefault="00063F39" w:rsidP="00D147D8">
      <w:r w:rsidRPr="00D147D8">
        <w:t>The validity of the rather favourable results from the trial program (in particular the efficacy results in the ongoing CAPELLA trial) has to be carefully considered due to quite a number of limitations.</w:t>
      </w:r>
    </w:p>
    <w:p w14:paraId="78FD16A8" w14:textId="0CEF25A7" w:rsidR="00D147D8" w:rsidRPr="00D147D8" w:rsidRDefault="00063F39" w:rsidP="00D147D8">
      <w:r w:rsidRPr="000E44E5">
        <w:rPr>
          <w:rStyle w:val="Heading7Char"/>
        </w:rPr>
        <w:t xml:space="preserve">Single pivotal trial: </w:t>
      </w:r>
      <w:r w:rsidRPr="00D147D8">
        <w:t xml:space="preserve">The clinical trial program only consisted of one study in the target population, namely the pivotal CAPELLA trial in </w:t>
      </w:r>
      <w:r w:rsidR="000E44E5">
        <w:t>people with HIV</w:t>
      </w:r>
      <w:r w:rsidRPr="00D147D8">
        <w:t xml:space="preserve"> aged </w:t>
      </w:r>
      <w:r w:rsidR="000E44E5">
        <w:t>1</w:t>
      </w:r>
      <w:r w:rsidRPr="00D147D8">
        <w:t xml:space="preserve">8 years </w:t>
      </w:r>
      <w:r w:rsidR="000E44E5">
        <w:t xml:space="preserve">and older </w:t>
      </w:r>
      <w:r w:rsidRPr="00D147D8">
        <w:t xml:space="preserve">with </w:t>
      </w:r>
      <w:r w:rsidR="000E44E5">
        <w:t>multidrug resistance infection</w:t>
      </w:r>
      <w:r w:rsidRPr="00D147D8">
        <w:t>. A second study in the target population would have been advantageous.</w:t>
      </w:r>
    </w:p>
    <w:p w14:paraId="205B1894" w14:textId="1A9A914A" w:rsidR="00D147D8" w:rsidRPr="00D147D8" w:rsidRDefault="00063F39" w:rsidP="00D147D8">
      <w:r w:rsidRPr="000E44E5">
        <w:rPr>
          <w:rStyle w:val="Heading7Char"/>
        </w:rPr>
        <w:t xml:space="preserve">Target population: </w:t>
      </w:r>
      <w:r w:rsidRPr="00D147D8">
        <w:t>Only the CAPELLA study enrolled patients in the target population. Given the different baseline characteristics of ART</w:t>
      </w:r>
      <w:r w:rsidR="006D7271">
        <w:noBreakHyphen/>
      </w:r>
      <w:r w:rsidRPr="00D147D8">
        <w:t>na</w:t>
      </w:r>
      <w:r w:rsidR="000E44E5">
        <w:t>i</w:t>
      </w:r>
      <w:r w:rsidRPr="00D147D8">
        <w:t xml:space="preserve">ve </w:t>
      </w:r>
      <w:r w:rsidR="000E44E5">
        <w:t>people with HIV</w:t>
      </w:r>
      <w:r w:rsidRPr="00D147D8">
        <w:t xml:space="preserve"> in Study GS</w:t>
      </w:r>
      <w:r w:rsidR="006D7271">
        <w:noBreakHyphen/>
      </w:r>
      <w:r w:rsidRPr="00D147D8">
        <w:t>US</w:t>
      </w:r>
      <w:r w:rsidR="006D7271">
        <w:noBreakHyphen/>
      </w:r>
      <w:r w:rsidRPr="00D147D8">
        <w:t>200</w:t>
      </w:r>
      <w:r w:rsidR="006D7271">
        <w:noBreakHyphen/>
      </w:r>
      <w:r w:rsidRPr="00D147D8">
        <w:t>4334, the efficacy data are only supportive. The same applies to the safety data observed in ART</w:t>
      </w:r>
      <w:r w:rsidR="006D7271">
        <w:noBreakHyphen/>
      </w:r>
      <w:r w:rsidRPr="00D147D8">
        <w:t>na</w:t>
      </w:r>
      <w:r w:rsidR="000E44E5">
        <w:t>i</w:t>
      </w:r>
      <w:r w:rsidRPr="00D147D8">
        <w:t xml:space="preserve">ve </w:t>
      </w:r>
      <w:r w:rsidR="000E44E5">
        <w:t>people with HIV</w:t>
      </w:r>
      <w:r w:rsidRPr="00D147D8">
        <w:t xml:space="preserve"> in study GS</w:t>
      </w:r>
      <w:r w:rsidR="006D7271">
        <w:noBreakHyphen/>
      </w:r>
      <w:r w:rsidRPr="00D147D8">
        <w:t>US</w:t>
      </w:r>
      <w:r w:rsidR="006D7271">
        <w:noBreakHyphen/>
      </w:r>
      <w:r w:rsidRPr="00D147D8">
        <w:t>200</w:t>
      </w:r>
      <w:r w:rsidR="006D7271">
        <w:noBreakHyphen/>
      </w:r>
      <w:r w:rsidRPr="00D147D8">
        <w:t>4334 and pooled studies GS</w:t>
      </w:r>
      <w:r w:rsidR="006D7271">
        <w:noBreakHyphen/>
      </w:r>
      <w:r w:rsidRPr="00D147D8">
        <w:t>US</w:t>
      </w:r>
      <w:r w:rsidR="006D7271">
        <w:noBreakHyphen/>
      </w:r>
      <w:r w:rsidRPr="00D147D8">
        <w:t>200</w:t>
      </w:r>
      <w:r w:rsidR="006D7271">
        <w:noBreakHyphen/>
      </w:r>
      <w:r w:rsidRPr="00D147D8">
        <w:t>4538 and GS</w:t>
      </w:r>
      <w:r w:rsidR="006D7271">
        <w:noBreakHyphen/>
      </w:r>
      <w:r w:rsidRPr="00D147D8">
        <w:t>US</w:t>
      </w:r>
      <w:r w:rsidR="006D7271">
        <w:noBreakHyphen/>
      </w:r>
      <w:r w:rsidRPr="00D147D8">
        <w:t>200</w:t>
      </w:r>
      <w:r w:rsidR="006D7271">
        <w:noBreakHyphen/>
      </w:r>
      <w:r w:rsidRPr="00D147D8">
        <w:t>5709 in healthy subjects, as the</w:t>
      </w:r>
      <w:r w:rsidR="000E44E5">
        <w:t>se studies</w:t>
      </w:r>
      <w:r w:rsidRPr="00D147D8">
        <w:t xml:space="preserve"> were not conducted in the target patient population.</w:t>
      </w:r>
    </w:p>
    <w:p w14:paraId="61CAAED2" w14:textId="66FCF66B" w:rsidR="00D147D8" w:rsidRPr="00D147D8" w:rsidRDefault="00063F39" w:rsidP="00D147D8">
      <w:r w:rsidRPr="000E44E5">
        <w:rPr>
          <w:rStyle w:val="Heading7Char"/>
        </w:rPr>
        <w:t xml:space="preserve">Sample size: </w:t>
      </w:r>
      <w:r w:rsidRPr="00D147D8">
        <w:t>A larger sample size in the pivotal trial would have been advantageous, especially given potential imbalances in the cohorts (</w:t>
      </w:r>
      <w:r w:rsidR="000E44E5">
        <w:t xml:space="preserve">for example, </w:t>
      </w:r>
      <w:r w:rsidRPr="00D147D8">
        <w:t xml:space="preserve">with regard to baseline disease </w:t>
      </w:r>
      <w:r w:rsidRPr="00DE785B">
        <w:t>characteristics) which may have introduced biases, even though the relevant post</w:t>
      </w:r>
      <w:r w:rsidR="00953E25" w:rsidRPr="00DE785B">
        <w:noBreakHyphen/>
      </w:r>
      <w:r w:rsidRPr="00DE785B">
        <w:t>hoc analyses</w:t>
      </w:r>
      <w:r w:rsidRPr="00D147D8">
        <w:t xml:space="preserve"> did not provide evidence for this.</w:t>
      </w:r>
    </w:p>
    <w:p w14:paraId="37A18BF3" w14:textId="24087FA9" w:rsidR="00D147D8" w:rsidRPr="00D147D8" w:rsidRDefault="00063F39" w:rsidP="00D147D8">
      <w:r w:rsidRPr="00D147D8">
        <w:t>The total number of exposed patients (in particular in the target population) and the total exposure time was rather small. Based on this, uncommon adverse reactions are unlikely to emerge. No clinically meaningful conclusions can be made with regard to safety in certain subgroups or certain special populations.</w:t>
      </w:r>
    </w:p>
    <w:p w14:paraId="4B82C510" w14:textId="3F8A6835" w:rsidR="00D147D8" w:rsidRPr="00D147D8" w:rsidRDefault="00063F39" w:rsidP="00D147D8">
      <w:r w:rsidRPr="00D147D8">
        <w:t>It is noted that the final clinical study reports for Studies GS</w:t>
      </w:r>
      <w:r w:rsidR="006D7271">
        <w:noBreakHyphen/>
      </w:r>
      <w:r w:rsidRPr="00D147D8">
        <w:t>US</w:t>
      </w:r>
      <w:r w:rsidR="006D7271">
        <w:noBreakHyphen/>
      </w:r>
      <w:r w:rsidRPr="00D147D8">
        <w:t>200</w:t>
      </w:r>
      <w:r w:rsidR="006D7271">
        <w:noBreakHyphen/>
      </w:r>
      <w:r w:rsidRPr="00D147D8">
        <w:t>4625 (CAPELLA) and GS</w:t>
      </w:r>
      <w:r w:rsidR="006D7271">
        <w:noBreakHyphen/>
      </w:r>
      <w:r w:rsidRPr="00D147D8">
        <w:t>US</w:t>
      </w:r>
      <w:r w:rsidR="006D7271">
        <w:noBreakHyphen/>
      </w:r>
      <w:r w:rsidRPr="00D147D8">
        <w:t>200</w:t>
      </w:r>
      <w:r w:rsidR="006D7271">
        <w:noBreakHyphen/>
      </w:r>
      <w:r w:rsidRPr="00D147D8">
        <w:t>4334 will contain a safety</w:t>
      </w:r>
      <w:r w:rsidR="006D7271">
        <w:noBreakHyphen/>
      </w:r>
      <w:r w:rsidRPr="00D147D8">
        <w:t>exposure analysis,</w:t>
      </w:r>
      <w:r w:rsidR="000E44E5">
        <w:t xml:space="preserve"> for example, </w:t>
      </w:r>
      <w:r w:rsidRPr="00D147D8">
        <w:t>to assess safety in patients with moderate to severe renal and hepatic impairment.</w:t>
      </w:r>
    </w:p>
    <w:p w14:paraId="72CEE434" w14:textId="68F02E84" w:rsidR="00D147D8" w:rsidRPr="00D147D8" w:rsidRDefault="00063F39" w:rsidP="00D147D8">
      <w:r w:rsidRPr="000E44E5">
        <w:rPr>
          <w:rStyle w:val="Heading7Char"/>
        </w:rPr>
        <w:t>Ongoing trials and longer</w:t>
      </w:r>
      <w:r w:rsidR="006D7271">
        <w:rPr>
          <w:rStyle w:val="Heading7Char"/>
        </w:rPr>
        <w:noBreakHyphen/>
      </w:r>
      <w:r w:rsidRPr="000E44E5">
        <w:rPr>
          <w:rStyle w:val="Heading7Char"/>
        </w:rPr>
        <w:t xml:space="preserve">term efficacy and safety: </w:t>
      </w:r>
      <w:r w:rsidR="000E44E5">
        <w:t>T</w:t>
      </w:r>
      <w:r w:rsidRPr="00D147D8">
        <w:t xml:space="preserve">he pivotal and the supportive </w:t>
      </w:r>
      <w:r w:rsidR="000E44E5">
        <w:t xml:space="preserve">studies </w:t>
      </w:r>
      <w:r w:rsidRPr="00D147D8">
        <w:t>are still ongoing. Only Week 52</w:t>
      </w:r>
      <w:r w:rsidR="000E44E5">
        <w:t xml:space="preserve"> and Week </w:t>
      </w:r>
      <w:r w:rsidRPr="00D147D8">
        <w:t>54 results</w:t>
      </w:r>
      <w:r w:rsidR="000E44E5">
        <w:t>, respectively,</w:t>
      </w:r>
      <w:r w:rsidRPr="00D147D8">
        <w:t xml:space="preserve"> were available in the dossier. Longer</w:t>
      </w:r>
      <w:r w:rsidR="006D7271">
        <w:noBreakHyphen/>
      </w:r>
      <w:r w:rsidRPr="00D147D8">
        <w:t>term data would be useful to determine whether the favo</w:t>
      </w:r>
      <w:r w:rsidR="000E44E5">
        <w:t>u</w:t>
      </w:r>
      <w:r w:rsidRPr="00D147D8">
        <w:t>rable efficacy is sustained, and to add data to the safety database.</w:t>
      </w:r>
    </w:p>
    <w:p w14:paraId="0615A697" w14:textId="5BB6190A" w:rsidR="00D147D8" w:rsidRPr="00D147D8" w:rsidRDefault="00063F39" w:rsidP="00D147D8">
      <w:r w:rsidRPr="000E44E5">
        <w:rPr>
          <w:rStyle w:val="Heading7Char"/>
        </w:rPr>
        <w:lastRenderedPageBreak/>
        <w:t xml:space="preserve">Paediatric population: </w:t>
      </w:r>
      <w:r w:rsidRPr="00D147D8">
        <w:t xml:space="preserve">No paediatric data were submitted in </w:t>
      </w:r>
      <w:r w:rsidR="000E44E5">
        <w:t xml:space="preserve">the </w:t>
      </w:r>
      <w:r w:rsidRPr="00D147D8">
        <w:t xml:space="preserve">current dossier. No patients under the age of 18 years were part of the clinical studies (including the clinical pharmacology studies), even though CAPELLA allowed patients aged 12 years and above, but </w:t>
      </w:r>
      <w:r w:rsidR="000E44E5">
        <w:t>no participant aged 12 to 17 years was</w:t>
      </w:r>
      <w:r w:rsidRPr="00D147D8">
        <w:t xml:space="preserve"> enrolled.</w:t>
      </w:r>
    </w:p>
    <w:p w14:paraId="18152888" w14:textId="77777777" w:rsidR="00B96279" w:rsidRDefault="00063F39" w:rsidP="00D147D8">
      <w:r w:rsidRPr="00D147D8">
        <w:t>There is an agreed Paediatric Investigation Plan for the EMA (referenced in the RMP submitted in Australia) which includes:</w:t>
      </w:r>
    </w:p>
    <w:p w14:paraId="5A8AB746" w14:textId="77777777" w:rsidR="00B96279" w:rsidRDefault="00063F39" w:rsidP="00B96279">
      <w:pPr>
        <w:pStyle w:val="ListBullet"/>
      </w:pPr>
      <w:r w:rsidRPr="00D147D8">
        <w:t>the development of an oral formulation for use in patients from 2</w:t>
      </w:r>
      <w:r>
        <w:t> years</w:t>
      </w:r>
      <w:r w:rsidRPr="00D147D8">
        <w:t xml:space="preserve"> to less than 12 years</w:t>
      </w:r>
    </w:p>
    <w:p w14:paraId="62EE8B14" w14:textId="35FBDB59" w:rsidR="00B96279" w:rsidRDefault="00063F39" w:rsidP="00B96279">
      <w:pPr>
        <w:pStyle w:val="ListBullet"/>
      </w:pPr>
      <w:r w:rsidRPr="00D147D8">
        <w:t>a dedicated clinical study (GS</w:t>
      </w:r>
      <w:r w:rsidR="006D7271">
        <w:noBreakHyphen/>
      </w:r>
      <w:r w:rsidRPr="00D147D8">
        <w:t>US</w:t>
      </w:r>
      <w:r w:rsidR="006D7271">
        <w:noBreakHyphen/>
      </w:r>
      <w:r w:rsidRPr="00D147D8">
        <w:t>563</w:t>
      </w:r>
      <w:r w:rsidR="006D7271">
        <w:noBreakHyphen/>
      </w:r>
      <w:r w:rsidRPr="00D147D8">
        <w:t xml:space="preserve">5958) in patients from 2 </w:t>
      </w:r>
      <w:r>
        <w:t xml:space="preserve">years </w:t>
      </w:r>
      <w:r w:rsidRPr="00D147D8">
        <w:t>to less than 18 years of age with HIV infection, who are virologically suppressed</w:t>
      </w:r>
    </w:p>
    <w:p w14:paraId="6A8DC788" w14:textId="0F7347B0" w:rsidR="00B96279" w:rsidRDefault="00063F39" w:rsidP="00B96279">
      <w:pPr>
        <w:pStyle w:val="ListBullet"/>
      </w:pPr>
      <w:r w:rsidRPr="00D147D8">
        <w:t xml:space="preserve">the development of a population </w:t>
      </w:r>
      <w:r>
        <w:t>pharmacokinetics</w:t>
      </w:r>
      <w:r w:rsidRPr="00D147D8">
        <w:t xml:space="preserve"> model in the adult population to predict </w:t>
      </w:r>
      <w:r w:rsidRPr="00DE785B">
        <w:t>lenacapavir exposures in h</w:t>
      </w:r>
      <w:r w:rsidRPr="00DE785B">
        <w:rPr>
          <w:lang w:eastAsia="ja-JP"/>
        </w:rPr>
        <w:t>eavily treatment experienced people with HIV</w:t>
      </w:r>
      <w:r w:rsidR="009D1A4A">
        <w:rPr>
          <w:lang w:eastAsia="ja-JP"/>
        </w:rPr>
        <w:t>,</w:t>
      </w:r>
      <w:r w:rsidRPr="00DE785B">
        <w:t xml:space="preserve"> and</w:t>
      </w:r>
      <w:r w:rsidR="00DE785B" w:rsidRPr="00DE785B">
        <w:t xml:space="preserve"> </w:t>
      </w:r>
      <w:r w:rsidR="009D1A4A">
        <w:t xml:space="preserve">in </w:t>
      </w:r>
      <w:r w:rsidR="00DE785B" w:rsidRPr="00DE785B">
        <w:t>virologically suppressed</w:t>
      </w:r>
      <w:r w:rsidRPr="00DE785B">
        <w:t xml:space="preserve"> paediatric subjects from 2 years to less than 18 years of age to support</w:t>
      </w:r>
      <w:r w:rsidRPr="00D147D8">
        <w:t xml:space="preserve"> </w:t>
      </w:r>
      <w:r w:rsidR="003A4339">
        <w:t>lenacapavir</w:t>
      </w:r>
      <w:r w:rsidRPr="00D147D8">
        <w:t xml:space="preserve"> paediatric dosing</w:t>
      </w:r>
    </w:p>
    <w:p w14:paraId="07A4A089" w14:textId="0E78546B" w:rsidR="00D147D8" w:rsidRPr="00D147D8" w:rsidRDefault="00063F39" w:rsidP="00B96279">
      <w:pPr>
        <w:pStyle w:val="ListBullet"/>
      </w:pPr>
      <w:r w:rsidRPr="00D147D8">
        <w:t>an analysis of similarity in exposure</w:t>
      </w:r>
      <w:r w:rsidR="006D7271">
        <w:noBreakHyphen/>
      </w:r>
      <w:r w:rsidRPr="00D147D8">
        <w:t>response relationship to support the extrapolation of efficacy of lenacapavir in children and adolescents from 6</w:t>
      </w:r>
      <w:r w:rsidR="00B96279">
        <w:t xml:space="preserve"> years</w:t>
      </w:r>
      <w:r w:rsidRPr="00D147D8">
        <w:t xml:space="preserve"> to less than 18 years of age.</w:t>
      </w:r>
    </w:p>
    <w:p w14:paraId="51AF6BA7" w14:textId="5073925A" w:rsidR="00D147D8" w:rsidRPr="00D147D8" w:rsidRDefault="00063F39" w:rsidP="00D147D8">
      <w:r w:rsidRPr="00D147D8">
        <w:t>The popPK study CTRA</w:t>
      </w:r>
      <w:r w:rsidR="006D7271">
        <w:noBreakHyphen/>
      </w:r>
      <w:r w:rsidRPr="00D147D8">
        <w:t>2021</w:t>
      </w:r>
      <w:r w:rsidR="006D7271">
        <w:noBreakHyphen/>
      </w:r>
      <w:r w:rsidRPr="00D147D8">
        <w:t xml:space="preserve">1054 undertook simulations of </w:t>
      </w:r>
      <w:r w:rsidR="003A4339">
        <w:t>lenacapavir</w:t>
      </w:r>
      <w:r w:rsidRPr="00D147D8">
        <w:t xml:space="preserve"> exposure in patients aged 12</w:t>
      </w:r>
      <w:r w:rsidR="00B96279">
        <w:t> years up to 18 </w:t>
      </w:r>
      <w:r w:rsidRPr="00D147D8">
        <w:t xml:space="preserve">years and weighing </w:t>
      </w:r>
      <w:r w:rsidR="00B96279">
        <w:t xml:space="preserve">at least </w:t>
      </w:r>
      <w:r w:rsidRPr="00D147D8">
        <w:t>35</w:t>
      </w:r>
      <w:r w:rsidR="00B96279">
        <w:t> </w:t>
      </w:r>
      <w:proofErr w:type="gramStart"/>
      <w:r w:rsidRPr="00D147D8">
        <w:t>kg, and</w:t>
      </w:r>
      <w:proofErr w:type="gramEnd"/>
      <w:r w:rsidRPr="00D147D8">
        <w:t xml:space="preserve"> concluded that the simulated paediatric exposures were sufficiently similar to corresponding adult exposures. The popPK source studies did not contain any clinical paediatric PK data, and the results could not have been compared to actual PK data. The simulations appear to have used </w:t>
      </w:r>
      <w:r w:rsidR="00B96279">
        <w:t xml:space="preserve">the American </w:t>
      </w:r>
      <w:r w:rsidRPr="00D147D8">
        <w:t>National Health and Nutrition Examination Survey (NHANES) data, but it is not clear which variables were used to inform the simulation (</w:t>
      </w:r>
      <w:r w:rsidR="00B96279">
        <w:t xml:space="preserve">for example, </w:t>
      </w:r>
      <w:r w:rsidRPr="00D147D8">
        <w:t>weight).</w:t>
      </w:r>
    </w:p>
    <w:p w14:paraId="51C1D53C" w14:textId="77777777" w:rsidR="00D147D8" w:rsidRPr="00D147D8" w:rsidRDefault="00063F39" w:rsidP="00D147D8">
      <w:r w:rsidRPr="00D147D8">
        <w:t>No specific justification for the proposed paediatric indication has been provided other than a justification based on the popPK study results. It appears that factors other than simulated PK results were not considered. No clinical efficacy or safety data (including developmental data) are available.</w:t>
      </w:r>
    </w:p>
    <w:p w14:paraId="141E4A66" w14:textId="4973E8A1" w:rsidR="00D147D8" w:rsidRPr="00D147D8" w:rsidRDefault="00063F39" w:rsidP="00D147D8">
      <w:r w:rsidRPr="000E44E5">
        <w:rPr>
          <w:rStyle w:val="Heading7Char"/>
        </w:rPr>
        <w:t xml:space="preserve">Patients aged 65 years or older: </w:t>
      </w:r>
      <w:r w:rsidRPr="00D147D8">
        <w:t>Only limited clinical data are available and conclusions on a potential age</w:t>
      </w:r>
      <w:r w:rsidR="006D7271">
        <w:noBreakHyphen/>
      </w:r>
      <w:r w:rsidRPr="00D147D8">
        <w:t>related risk of adverse events cannot be made at this stage.</w:t>
      </w:r>
    </w:p>
    <w:p w14:paraId="6918D83C" w14:textId="77777777" w:rsidR="00D147D8" w:rsidRPr="00D147D8" w:rsidRDefault="00063F39" w:rsidP="00D147D8">
      <w:r w:rsidRPr="000E44E5">
        <w:rPr>
          <w:rStyle w:val="Heading7Char"/>
        </w:rPr>
        <w:t xml:space="preserve">Pregnant/lactating women: </w:t>
      </w:r>
      <w:r w:rsidRPr="00D147D8">
        <w:t>No clinical data are available.</w:t>
      </w:r>
    </w:p>
    <w:p w14:paraId="792C63F0" w14:textId="4645A96A" w:rsidR="00D147D8" w:rsidRPr="00D147D8" w:rsidRDefault="00063F39" w:rsidP="00D147D8">
      <w:r w:rsidRPr="000E44E5">
        <w:rPr>
          <w:rStyle w:val="Heading7Char"/>
        </w:rPr>
        <w:t>Other:</w:t>
      </w:r>
      <w:r w:rsidRPr="00D147D8">
        <w:t xml:space="preserve"> Data on co</w:t>
      </w:r>
      <w:r w:rsidR="006D7271">
        <w:noBreakHyphen/>
      </w:r>
      <w:r w:rsidRPr="00D147D8">
        <w:t>infection status (</w:t>
      </w:r>
      <w:r w:rsidR="00B96279">
        <w:t xml:space="preserve">for example, with </w:t>
      </w:r>
      <w:r w:rsidRPr="00D147D8">
        <w:t xml:space="preserve">HCV) appear not to have been captured. No formal </w:t>
      </w:r>
      <w:r w:rsidR="00B96279">
        <w:t>drug</w:t>
      </w:r>
      <w:r w:rsidR="006D7271">
        <w:noBreakHyphen/>
      </w:r>
      <w:r w:rsidR="00B96279">
        <w:t>drug interaction</w:t>
      </w:r>
      <w:r w:rsidRPr="00D147D8">
        <w:t xml:space="preserve"> studies with hormonal contraceptives have been conducted. No formal clinical studies for withdrawal or rebound effects of lenacapavir were conducted. The effect of lenacapavir on ability to drive/operate machinery has not been evaluated.</w:t>
      </w:r>
    </w:p>
    <w:p w14:paraId="3916F296" w14:textId="77777777" w:rsidR="00C22214" w:rsidRDefault="00063F39" w:rsidP="00C22214">
      <w:pPr>
        <w:pStyle w:val="Heading4"/>
      </w:pPr>
      <w:bookmarkStart w:id="158" w:name="_Toc98931933"/>
      <w:bookmarkStart w:id="159" w:name="_Toc157422739"/>
      <w:r w:rsidRPr="00D23139">
        <w:t>Proposed action</w:t>
      </w:r>
      <w:bookmarkEnd w:id="158"/>
      <w:bookmarkEnd w:id="159"/>
    </w:p>
    <w:p w14:paraId="0160F3EF" w14:textId="130B3196" w:rsidR="00D147D8" w:rsidRDefault="00063F39" w:rsidP="00D147D8">
      <w:r>
        <w:t>L</w:t>
      </w:r>
      <w:r w:rsidRPr="001438E1">
        <w:t xml:space="preserve">enacapavir </w:t>
      </w:r>
      <w:r>
        <w:t xml:space="preserve">has demonstrated efficacy in heavily treatment experienced people with HIV with multidrug </w:t>
      </w:r>
      <w:r w:rsidR="00D12658">
        <w:t>resistance and</w:t>
      </w:r>
      <w:r>
        <w:t xml:space="preserve"> appears to have a reasonable safety profile. There are various limitations including the small sample size and lack of longer</w:t>
      </w:r>
      <w:r w:rsidR="006D7271">
        <w:noBreakHyphen/>
      </w:r>
      <w:r>
        <w:t>term data.</w:t>
      </w:r>
    </w:p>
    <w:p w14:paraId="7F7AC501" w14:textId="77777777" w:rsidR="00D147D8" w:rsidRDefault="00063F39" w:rsidP="00D147D8">
      <w:r w:rsidRPr="00933B25">
        <w:t>While a decision is yet to be made, at this stage I am inclined to approve the registration of the product, but only for a more restrictive indication.</w:t>
      </w:r>
    </w:p>
    <w:p w14:paraId="5B525A59" w14:textId="222AF5D3" w:rsidR="00D147D8" w:rsidRPr="00D147D8" w:rsidRDefault="00063F39" w:rsidP="00D147D8">
      <w:r>
        <w:t>At this stage, there are insufficient data available to justify a HIV</w:t>
      </w:r>
      <w:r w:rsidR="006D7271">
        <w:noBreakHyphen/>
      </w:r>
      <w:r>
        <w:t xml:space="preserve">1 indication of Sunlenca in a population aged below 18 years, in particular for </w:t>
      </w:r>
      <w:r w:rsidRPr="006754A2">
        <w:t>a first</w:t>
      </w:r>
      <w:r w:rsidR="006D7271">
        <w:noBreakHyphen/>
      </w:r>
      <w:r w:rsidRPr="006754A2">
        <w:t>in</w:t>
      </w:r>
      <w:r w:rsidR="006D7271">
        <w:noBreakHyphen/>
      </w:r>
      <w:r w:rsidRPr="006754A2">
        <w:t xml:space="preserve">class new chemical entity </w:t>
      </w:r>
      <w:r>
        <w:t>in the context of a single pivotal study which is ongoing and included no paediatric patients. It is noted that the sponsor is undertaking a study in paediatric patients which will inform the efficacy and safety in children.</w:t>
      </w:r>
    </w:p>
    <w:p w14:paraId="318CFABC" w14:textId="77777777" w:rsidR="00C22214" w:rsidRPr="00F73346" w:rsidRDefault="00063F39" w:rsidP="00C22214">
      <w:pPr>
        <w:pStyle w:val="Heading4"/>
      </w:pPr>
      <w:bookmarkStart w:id="160" w:name="_Toc98931936"/>
      <w:bookmarkStart w:id="161" w:name="_Toc247691532"/>
      <w:bookmarkStart w:id="162" w:name="_Toc314842516"/>
      <w:bookmarkStart w:id="163" w:name="_Toc157422740"/>
      <w:r w:rsidRPr="00F73346">
        <w:lastRenderedPageBreak/>
        <w:t>Advisory Committee considerations</w:t>
      </w:r>
      <w:bookmarkEnd w:id="160"/>
      <w:bookmarkEnd w:id="163"/>
    </w:p>
    <w:p w14:paraId="087BB9CB" w14:textId="792AB035" w:rsidR="00C22214" w:rsidRPr="00BD5DBD" w:rsidRDefault="00063F39" w:rsidP="00C22214">
      <w:pPr>
        <w:rPr>
          <w:bCs/>
          <w:szCs w:val="22"/>
        </w:rPr>
      </w:pPr>
      <w:r w:rsidRPr="00BD5DBD">
        <w:rPr>
          <w:bCs/>
          <w:szCs w:val="22"/>
        </w:rPr>
        <w:t xml:space="preserve">The </w:t>
      </w:r>
      <w:hyperlink r:id="rId35" w:history="1">
        <w:r w:rsidR="000623A2">
          <w:rPr>
            <w:rStyle w:val="Hyperlink"/>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063F39" w:rsidP="00C22214">
      <w:pPr>
        <w:pStyle w:val="Heading5"/>
      </w:pPr>
      <w:r w:rsidRPr="00F73346">
        <w:t>Specific advice to the Delegate</w:t>
      </w:r>
    </w:p>
    <w:p w14:paraId="3D3B6C79" w14:textId="77777777" w:rsidR="0022537E" w:rsidRPr="00AD2210" w:rsidRDefault="00063F39" w:rsidP="0022537E">
      <w:pPr>
        <w:pStyle w:val="Numberbullet0"/>
        <w:numPr>
          <w:ilvl w:val="0"/>
          <w:numId w:val="14"/>
        </w:numPr>
        <w:rPr>
          <w:b/>
          <w:bCs/>
          <w:i/>
          <w:iCs/>
          <w:color w:val="auto"/>
        </w:rPr>
      </w:pPr>
      <w:r w:rsidRPr="00AD2210">
        <w:rPr>
          <w:b/>
          <w:bCs/>
          <w:i/>
          <w:iCs/>
          <w:color w:val="auto"/>
        </w:rPr>
        <w:t>Can the ACM comment on whether there are sufficient data to register Sunlenca?</w:t>
      </w:r>
    </w:p>
    <w:p w14:paraId="2BBD3B52" w14:textId="77777777" w:rsidR="0022537E" w:rsidRDefault="00063F39" w:rsidP="0022537E">
      <w:r w:rsidRPr="005D1DE9">
        <w:t>The ACM advised that the efficacy and safety data are sufficient to introduce the medicine to meet unmet need for heavily treatment experienced adults.</w:t>
      </w:r>
    </w:p>
    <w:p w14:paraId="159978B5" w14:textId="600D3855" w:rsidR="0022537E" w:rsidRPr="005D1DE9" w:rsidRDefault="00063F39" w:rsidP="0022537E">
      <w:r>
        <w:t>Efficacy was demonstrated in the p</w:t>
      </w:r>
      <w:r w:rsidRPr="005D1DE9">
        <w:t xml:space="preserve">ivotal </w:t>
      </w:r>
      <w:r>
        <w:t>study in patients with multidrug resistant HIV</w:t>
      </w:r>
      <w:r w:rsidR="006D7271">
        <w:noBreakHyphen/>
      </w:r>
      <w:r>
        <w:t xml:space="preserve">1 </w:t>
      </w:r>
      <w:r w:rsidRPr="005D1DE9">
        <w:t>and</w:t>
      </w:r>
      <w:r>
        <w:t xml:space="preserve"> in the </w:t>
      </w:r>
      <w:r w:rsidRPr="005D1DE9">
        <w:t>supporting study in na</w:t>
      </w:r>
      <w:r w:rsidR="00E412E3">
        <w:t>i</w:t>
      </w:r>
      <w:r w:rsidRPr="005D1DE9">
        <w:t>ve p</w:t>
      </w:r>
      <w:r>
        <w:t>atients. The ACM noted the s</w:t>
      </w:r>
      <w:r w:rsidRPr="005D1DE9">
        <w:t>mall cohort and limited follow</w:t>
      </w:r>
      <w:r w:rsidR="006D7271">
        <w:noBreakHyphen/>
      </w:r>
      <w:r w:rsidRPr="005D1DE9">
        <w:t>up (</w:t>
      </w:r>
      <w:r w:rsidR="00133F85">
        <w:t xml:space="preserve">approximately </w:t>
      </w:r>
      <w:r w:rsidRPr="005D1DE9">
        <w:t>1</w:t>
      </w:r>
      <w:r w:rsidR="00133F85">
        <w:t> </w:t>
      </w:r>
      <w:r w:rsidRPr="005D1DE9">
        <w:t>year).</w:t>
      </w:r>
    </w:p>
    <w:p w14:paraId="3BB868E8" w14:textId="4F0D413A" w:rsidR="0022537E" w:rsidRPr="005D1DE9" w:rsidRDefault="00063F39" w:rsidP="0022537E">
      <w:r w:rsidRPr="005D1DE9">
        <w:t xml:space="preserve">The ACM noted that the </w:t>
      </w:r>
      <w:r>
        <w:t xml:space="preserve">proposed </w:t>
      </w:r>
      <w:r w:rsidRPr="005D1DE9">
        <w:t xml:space="preserve">dosing protocol in the Product Information </w:t>
      </w:r>
      <w:r>
        <w:t xml:space="preserve">(prior to sponsor revision) </w:t>
      </w:r>
      <w:r w:rsidRPr="005D1DE9">
        <w:t>was not tested in the pivotal study but appears to be a practical approach that is unlikely to affect efficacy.</w:t>
      </w:r>
      <w:r>
        <w:t xml:space="preserve"> However, t</w:t>
      </w:r>
      <w:r w:rsidRPr="00942B39">
        <w:t>h</w:t>
      </w:r>
      <w:r>
        <w:t xml:space="preserve">is </w:t>
      </w:r>
      <w:r w:rsidRPr="00942B39">
        <w:t xml:space="preserve">proposed dosing schedule for Sunlenca </w:t>
      </w:r>
      <w:r>
        <w:t>did</w:t>
      </w:r>
      <w:r w:rsidRPr="00942B39">
        <w:t xml:space="preserve"> not have an oral lead</w:t>
      </w:r>
      <w:r w:rsidR="006D7271">
        <w:noBreakHyphen/>
      </w:r>
      <w:r w:rsidRPr="00942B39">
        <w:t>in period prior to administration of the long</w:t>
      </w:r>
      <w:r w:rsidR="006D7271">
        <w:noBreakHyphen/>
      </w:r>
      <w:r w:rsidRPr="00942B39">
        <w:t>acting injection. A potential advantage of the dosing regimen used in the pivotal clinical trial is the ability to assess tolerability to Sunlenca during the oral lead</w:t>
      </w:r>
      <w:r w:rsidR="006D7271">
        <w:noBreakHyphen/>
      </w:r>
      <w:r w:rsidRPr="00942B39">
        <w:t xml:space="preserve">in period. If not tolerated, treatment cessation of Sunlenca would be possible prior to </w:t>
      </w:r>
      <w:r>
        <w:t xml:space="preserve">administration of </w:t>
      </w:r>
      <w:r w:rsidRPr="00942B39">
        <w:t>the long</w:t>
      </w:r>
      <w:r w:rsidR="006D7271">
        <w:noBreakHyphen/>
      </w:r>
      <w:r w:rsidRPr="00942B39">
        <w:t xml:space="preserve">acting injection. This may be important in the context of a long pharmacokinetic tail, and in the context of </w:t>
      </w:r>
      <w:r>
        <w:t xml:space="preserve">preventing the development of </w:t>
      </w:r>
      <w:r w:rsidRPr="00942B39">
        <w:t>resistance.</w:t>
      </w:r>
    </w:p>
    <w:p w14:paraId="2C9D6C1E" w14:textId="7D00D188" w:rsidR="0022537E" w:rsidRPr="00AD2210" w:rsidRDefault="00063F39" w:rsidP="0022537E">
      <w:pPr>
        <w:pStyle w:val="Numberbullet0"/>
        <w:numPr>
          <w:ilvl w:val="0"/>
          <w:numId w:val="13"/>
        </w:numPr>
        <w:rPr>
          <w:b/>
          <w:bCs/>
          <w:i/>
          <w:iCs/>
          <w:color w:val="auto"/>
        </w:rPr>
      </w:pPr>
      <w:r w:rsidRPr="00AD2210">
        <w:rPr>
          <w:b/>
          <w:bCs/>
          <w:i/>
          <w:iCs/>
          <w:color w:val="auto"/>
        </w:rPr>
        <w:t>Can the ACM comment on the sponsor</w:t>
      </w:r>
      <w:r w:rsidR="006D7271">
        <w:rPr>
          <w:b/>
          <w:bCs/>
          <w:i/>
          <w:iCs/>
          <w:color w:val="auto"/>
        </w:rPr>
        <w:noBreakHyphen/>
      </w:r>
      <w:r w:rsidRPr="00AD2210">
        <w:rPr>
          <w:b/>
          <w:bCs/>
          <w:i/>
          <w:iCs/>
          <w:color w:val="auto"/>
        </w:rPr>
        <w:t>proposed indication wording including the proposed paediatric indication?</w:t>
      </w:r>
    </w:p>
    <w:p w14:paraId="2E497A97" w14:textId="449B6898" w:rsidR="0022537E" w:rsidRDefault="00063F39" w:rsidP="0022537E">
      <w:r>
        <w:t>The ACM noted that while the study plan for CAPELLA allowed for patients aged 12</w:t>
      </w:r>
      <w:r w:rsidR="005C3F36">
        <w:t xml:space="preserve"> to </w:t>
      </w:r>
      <w:r>
        <w:t>17 years, none of the recruited 72 patients were in this age group.</w:t>
      </w:r>
    </w:p>
    <w:p w14:paraId="53F0B577" w14:textId="77777777" w:rsidR="0022537E" w:rsidRDefault="00063F39" w:rsidP="0022537E">
      <w:r>
        <w:t xml:space="preserve">The ACM was uncertain that the population pharmacokinetics model of the </w:t>
      </w:r>
      <w:r w:rsidRPr="00985C8E">
        <w:t xml:space="preserve">slow release </w:t>
      </w:r>
      <w:r>
        <w:t xml:space="preserve">of lenacapavir </w:t>
      </w:r>
      <w:r w:rsidRPr="00985C8E">
        <w:t xml:space="preserve">from the site of subcutaneous administration (peak plasma concentrations occurring 77 to 84 days postdose in adults) could be extrapolated to </w:t>
      </w:r>
      <w:r>
        <w:t>adolescents.</w:t>
      </w:r>
    </w:p>
    <w:p w14:paraId="546E826D" w14:textId="3CE0F59A" w:rsidR="0022537E" w:rsidRPr="00985C8E" w:rsidRDefault="00063F39" w:rsidP="0022537E">
      <w:r w:rsidRPr="00985C8E">
        <w:t xml:space="preserve">The ACM noted that the </w:t>
      </w:r>
      <w:r w:rsidR="00DF7A46">
        <w:t>European Medicines Agency</w:t>
      </w:r>
      <w:r w:rsidRPr="00985C8E">
        <w:t xml:space="preserve"> approval includes a Paediatric Investigation Plan, which includes:</w:t>
      </w:r>
    </w:p>
    <w:p w14:paraId="2E8E7487" w14:textId="3B97DCBB" w:rsidR="0022537E" w:rsidRPr="00AD2210" w:rsidRDefault="00063F39" w:rsidP="0022537E">
      <w:pPr>
        <w:pStyle w:val="ListBullet"/>
        <w:rPr>
          <w:color w:val="auto"/>
        </w:rPr>
      </w:pPr>
      <w:r w:rsidRPr="00AD2210">
        <w:rPr>
          <w:color w:val="auto"/>
        </w:rPr>
        <w:t>the development of an oral formulation for use in patients from 2</w:t>
      </w:r>
      <w:r w:rsidR="00B26E2B">
        <w:rPr>
          <w:color w:val="auto"/>
        </w:rPr>
        <w:t xml:space="preserve"> years </w:t>
      </w:r>
      <w:r w:rsidRPr="00AD2210">
        <w:rPr>
          <w:color w:val="auto"/>
        </w:rPr>
        <w:t>to less than 12</w:t>
      </w:r>
      <w:r w:rsidR="00B26E2B">
        <w:rPr>
          <w:color w:val="auto"/>
        </w:rPr>
        <w:t> </w:t>
      </w:r>
      <w:r w:rsidRPr="00AD2210">
        <w:rPr>
          <w:color w:val="auto"/>
        </w:rPr>
        <w:t>years</w:t>
      </w:r>
    </w:p>
    <w:p w14:paraId="2A192C39" w14:textId="60ABAC55" w:rsidR="0022537E" w:rsidRDefault="00063F39" w:rsidP="0022537E">
      <w:pPr>
        <w:pStyle w:val="ListBullet"/>
        <w:rPr>
          <w:color w:val="auto"/>
        </w:rPr>
      </w:pPr>
      <w:r w:rsidRPr="00AD2210">
        <w:rPr>
          <w:color w:val="auto"/>
        </w:rPr>
        <w:t>a dedicated clinical study (GS</w:t>
      </w:r>
      <w:r w:rsidR="006D7271">
        <w:rPr>
          <w:color w:val="auto"/>
        </w:rPr>
        <w:noBreakHyphen/>
      </w:r>
      <w:r w:rsidRPr="00AD2210">
        <w:rPr>
          <w:color w:val="auto"/>
        </w:rPr>
        <w:t>US</w:t>
      </w:r>
      <w:r w:rsidR="006D7271">
        <w:rPr>
          <w:color w:val="auto"/>
        </w:rPr>
        <w:noBreakHyphen/>
      </w:r>
      <w:r w:rsidRPr="00AD2210">
        <w:rPr>
          <w:color w:val="auto"/>
        </w:rPr>
        <w:t>563</w:t>
      </w:r>
      <w:r w:rsidR="006D7271">
        <w:rPr>
          <w:color w:val="auto"/>
        </w:rPr>
        <w:noBreakHyphen/>
      </w:r>
      <w:r w:rsidRPr="00AD2210">
        <w:rPr>
          <w:color w:val="auto"/>
        </w:rPr>
        <w:t>5958) in patients from 2</w:t>
      </w:r>
      <w:r w:rsidR="00B26E2B">
        <w:rPr>
          <w:color w:val="auto"/>
        </w:rPr>
        <w:t> years</w:t>
      </w:r>
      <w:r w:rsidRPr="00AD2210">
        <w:rPr>
          <w:color w:val="auto"/>
        </w:rPr>
        <w:t xml:space="preserve"> to less than 18</w:t>
      </w:r>
      <w:r w:rsidR="00B26E2B">
        <w:rPr>
          <w:color w:val="auto"/>
        </w:rPr>
        <w:t> </w:t>
      </w:r>
      <w:r w:rsidRPr="00AD2210">
        <w:rPr>
          <w:color w:val="auto"/>
        </w:rPr>
        <w:t>years of age with HIV infection, who are virologically suppressed.</w:t>
      </w:r>
    </w:p>
    <w:p w14:paraId="22C23DA2" w14:textId="38589033" w:rsidR="0022537E" w:rsidRPr="00CF5BB4" w:rsidRDefault="00063F39" w:rsidP="0022537E">
      <w:r>
        <w:t>The Delegate informed the ACM that subsequent to the pre</w:t>
      </w:r>
      <w:r w:rsidR="006D7271">
        <w:noBreakHyphen/>
      </w:r>
      <w:r>
        <w:t>ACM response the sponsor had agreed to remove paediatric use from the proposed indication.</w:t>
      </w:r>
    </w:p>
    <w:p w14:paraId="10C328CD" w14:textId="77777777" w:rsidR="0022537E" w:rsidRPr="009D1AC9" w:rsidRDefault="00063F39" w:rsidP="0022537E">
      <w:pPr>
        <w:pStyle w:val="Numberbullet0"/>
        <w:numPr>
          <w:ilvl w:val="0"/>
          <w:numId w:val="13"/>
        </w:numPr>
        <w:rPr>
          <w:b/>
          <w:bCs/>
          <w:i/>
          <w:iCs/>
          <w:color w:val="auto"/>
        </w:rPr>
      </w:pPr>
      <w:r w:rsidRPr="009D1AC9">
        <w:rPr>
          <w:b/>
          <w:bCs/>
          <w:i/>
          <w:iCs/>
          <w:color w:val="auto"/>
        </w:rPr>
        <w:t>The committee is also requested to provide advice on any other issues that it thinks may be relevant to a decision on whether or not to approve this application.</w:t>
      </w:r>
    </w:p>
    <w:p w14:paraId="2A00F5C0" w14:textId="77777777" w:rsidR="0022537E" w:rsidRDefault="00063F39" w:rsidP="0022537E">
      <w:r>
        <w:t>The ACM noted that the Product Information directs that Sunlenca should be prescribed by physicians experienced in the treatment of HIV. The ACM supported this approach.</w:t>
      </w:r>
    </w:p>
    <w:p w14:paraId="5291EA2A" w14:textId="77777777" w:rsidR="00C22214" w:rsidRPr="00F73346" w:rsidRDefault="00063F39" w:rsidP="00C22214">
      <w:pPr>
        <w:pStyle w:val="Heading5"/>
      </w:pPr>
      <w:r w:rsidRPr="00F73346">
        <w:t>Conclusion</w:t>
      </w:r>
    </w:p>
    <w:p w14:paraId="7ED0A746" w14:textId="08904690" w:rsidR="00A02311" w:rsidRPr="00D822E0" w:rsidRDefault="00063F39" w:rsidP="00A02311">
      <w:r w:rsidRPr="00D822E0">
        <w:t>The ACM considered this product to have an overall positive benefit</w:t>
      </w:r>
      <w:r w:rsidR="006D7271">
        <w:noBreakHyphen/>
      </w:r>
      <w:r w:rsidRPr="00D822E0">
        <w:t>risk profile for the indication:</w:t>
      </w:r>
    </w:p>
    <w:p w14:paraId="08F3780C" w14:textId="6DD7B680" w:rsidR="0022537E" w:rsidRPr="0022537E" w:rsidRDefault="00063F39" w:rsidP="00A02311">
      <w:pPr>
        <w:ind w:left="720"/>
      </w:pPr>
      <w:r w:rsidRPr="009D1AC9">
        <w:rPr>
          <w:i/>
          <w:iCs/>
        </w:rPr>
        <w:lastRenderedPageBreak/>
        <w:t>S</w:t>
      </w:r>
      <w:r>
        <w:rPr>
          <w:i/>
          <w:iCs/>
        </w:rPr>
        <w:t>unlenca</w:t>
      </w:r>
      <w:r w:rsidRPr="009D1AC9">
        <w:rPr>
          <w:i/>
          <w:iCs/>
        </w:rPr>
        <w:t>, in combination with other antiretroviral(s), is indicated for the treatment of human immunodeficiency virus type 1 (HIV</w:t>
      </w:r>
      <w:r w:rsidR="006D7271">
        <w:rPr>
          <w:i/>
          <w:iCs/>
        </w:rPr>
        <w:noBreakHyphen/>
      </w:r>
      <w:r w:rsidRPr="009D1AC9">
        <w:rPr>
          <w:i/>
          <w:iCs/>
        </w:rPr>
        <w:t>1) infection in adults weighing at least 35 kg with multidrug resistant HIV</w:t>
      </w:r>
      <w:r w:rsidR="006D7271">
        <w:rPr>
          <w:i/>
          <w:iCs/>
        </w:rPr>
        <w:noBreakHyphen/>
      </w:r>
      <w:r w:rsidRPr="009D1AC9">
        <w:rPr>
          <w:i/>
          <w:iCs/>
        </w:rPr>
        <w:t>1 infection failing their current antiretroviral regimen due to resistance, intolerance, or safety considerations.</w:t>
      </w:r>
    </w:p>
    <w:p w14:paraId="307F236C" w14:textId="77777777" w:rsidR="00C22214" w:rsidRPr="002E238E" w:rsidRDefault="00063F39" w:rsidP="00C22214">
      <w:pPr>
        <w:pStyle w:val="Heading2"/>
      </w:pPr>
      <w:bookmarkStart w:id="164" w:name="_Toc103679300"/>
      <w:bookmarkStart w:id="165" w:name="_Toc157422741"/>
      <w:r>
        <w:t>Outcome</w:t>
      </w:r>
      <w:bookmarkEnd w:id="161"/>
      <w:bookmarkEnd w:id="162"/>
      <w:bookmarkEnd w:id="164"/>
      <w:bookmarkEnd w:id="165"/>
    </w:p>
    <w:p w14:paraId="0BACA496" w14:textId="77777777" w:rsidR="00FF24BD" w:rsidRDefault="00063F39" w:rsidP="00AF628C">
      <w:r w:rsidRPr="00BD5DBD">
        <w:t xml:space="preserve">Based on a review of quality, safety, and efficacy, the TGA approved the registration of </w:t>
      </w:r>
      <w:r>
        <w:t>Sunlenca</w:t>
      </w:r>
      <w:r w:rsidRPr="00BD5DBD">
        <w:t xml:space="preserve"> (</w:t>
      </w:r>
      <w:r>
        <w:t>lenacapavir sodium</w:t>
      </w:r>
      <w:r w:rsidRPr="00BD5DBD">
        <w:t xml:space="preserve">) </w:t>
      </w:r>
      <w:r>
        <w:t xml:space="preserve">as 309 mg/mL solution for injection in vials, and as 300 mg tablets in blister packs, </w:t>
      </w:r>
      <w:r w:rsidRPr="00BD5DBD">
        <w:t>indicated for:</w:t>
      </w:r>
    </w:p>
    <w:p w14:paraId="3B245AB5" w14:textId="4631C59C" w:rsidR="00C22214" w:rsidRPr="00BD5DBD" w:rsidRDefault="00063F39" w:rsidP="00FF24BD">
      <w:pPr>
        <w:spacing w:after="480"/>
        <w:ind w:left="720"/>
        <w:rPr>
          <w:szCs w:val="22"/>
        </w:rPr>
      </w:pPr>
      <w:r>
        <w:rPr>
          <w:i/>
          <w:iCs/>
          <w:sz w:val="23"/>
          <w:szCs w:val="23"/>
        </w:rPr>
        <w:t>Sunlenca, in combination with other antiretrovirals, is indicated for the treatment of adults with multidrug resistant HIV</w:t>
      </w:r>
      <w:r w:rsidR="006D7271">
        <w:rPr>
          <w:i/>
          <w:iCs/>
          <w:sz w:val="23"/>
          <w:szCs w:val="23"/>
        </w:rPr>
        <w:noBreakHyphen/>
      </w:r>
      <w:r>
        <w:rPr>
          <w:i/>
          <w:iCs/>
          <w:sz w:val="23"/>
          <w:szCs w:val="23"/>
        </w:rPr>
        <w:t>1 infection for whom it is otherwise not possible to construct a suppressive anti</w:t>
      </w:r>
      <w:r w:rsidR="006D7271">
        <w:rPr>
          <w:i/>
          <w:iCs/>
          <w:sz w:val="23"/>
          <w:szCs w:val="23"/>
        </w:rPr>
        <w:noBreakHyphen/>
      </w:r>
      <w:r>
        <w:rPr>
          <w:i/>
          <w:iCs/>
          <w:sz w:val="23"/>
          <w:szCs w:val="23"/>
        </w:rPr>
        <w:t>viral regimen.</w:t>
      </w:r>
    </w:p>
    <w:p w14:paraId="0D732DA4" w14:textId="77777777" w:rsidR="00854D98" w:rsidRPr="00FF24BD" w:rsidRDefault="00063F39" w:rsidP="00854D98">
      <w:pPr>
        <w:pStyle w:val="Heading3"/>
      </w:pPr>
      <w:bookmarkStart w:id="166" w:name="_Toc103679301"/>
      <w:bookmarkStart w:id="167" w:name="_Toc157422742"/>
      <w:r w:rsidRPr="00FF24BD">
        <w:t>Specific conditions of registration applying to these goods</w:t>
      </w:r>
      <w:bookmarkEnd w:id="166"/>
      <w:bookmarkEnd w:id="167"/>
    </w:p>
    <w:p w14:paraId="4DD5C405" w14:textId="01F5B34E" w:rsidR="00954900" w:rsidRPr="00FF24BD" w:rsidRDefault="00063F39" w:rsidP="0017056C">
      <w:pPr>
        <w:pStyle w:val="ListBullet"/>
      </w:pPr>
      <w:r w:rsidRPr="00FF24BD">
        <w:t>S</w:t>
      </w:r>
      <w:r w:rsidR="00DE386B" w:rsidRPr="00FF24BD">
        <w:t>unlenca</w:t>
      </w:r>
      <w:r w:rsidRPr="00FF24BD">
        <w:t xml:space="preserve"> (lenacapavir sodium) is to be included in the Black Triangle Scheme. The PI and CMI for S</w:t>
      </w:r>
      <w:r w:rsidR="005A705D" w:rsidRPr="00FF24BD">
        <w:t>unlenca</w:t>
      </w:r>
      <w:r w:rsidRPr="00FF24BD">
        <w:t xml:space="preserve"> must include the black triangle symbol and mandatory accompanying text for </w:t>
      </w:r>
      <w:r w:rsidR="005A705D" w:rsidRPr="00FF24BD">
        <w:t>5 </w:t>
      </w:r>
      <w:r w:rsidRPr="00FF24BD">
        <w:t>years, which starts from the date that the sponsor notifies the TGA of supply of the product.</w:t>
      </w:r>
    </w:p>
    <w:p w14:paraId="1CCDC843" w14:textId="53B29469" w:rsidR="00954900" w:rsidRPr="00FF24BD" w:rsidRDefault="00063F39" w:rsidP="0017056C">
      <w:pPr>
        <w:pStyle w:val="ListBullet"/>
      </w:pPr>
      <w:r w:rsidRPr="00FF24BD">
        <w:t>The S</w:t>
      </w:r>
      <w:r w:rsidR="005A705D" w:rsidRPr="00FF24BD">
        <w:t>unlenca</w:t>
      </w:r>
      <w:r w:rsidRPr="00FF24BD">
        <w:t xml:space="preserve"> EU</w:t>
      </w:r>
      <w:r w:rsidR="009D1A4A">
        <w:t xml:space="preserve"> </w:t>
      </w:r>
      <w:r w:rsidRPr="00FF24BD">
        <w:t>Risk Management Plan (version 0.1, dated 19 July 2021, data lock point 1</w:t>
      </w:r>
      <w:r w:rsidR="009D1A4A">
        <w:t> </w:t>
      </w:r>
      <w:r w:rsidRPr="00FF24BD">
        <w:t>April 2021), with Australia</w:t>
      </w:r>
      <w:r w:rsidR="006D7271">
        <w:noBreakHyphen/>
      </w:r>
      <w:r w:rsidR="00FF24BD" w:rsidRPr="00FF24BD">
        <w:t>s</w:t>
      </w:r>
      <w:r w:rsidRPr="00FF24BD">
        <w:t xml:space="preserve">pecific </w:t>
      </w:r>
      <w:r w:rsidR="00FF24BD" w:rsidRPr="00FF24BD">
        <w:t>a</w:t>
      </w:r>
      <w:r w:rsidRPr="00FF24BD">
        <w:t>nnex (version 0.2, dated June 2022), included with submission PM</w:t>
      </w:r>
      <w:r w:rsidR="006D7271">
        <w:noBreakHyphen/>
      </w:r>
      <w:r w:rsidRPr="00FF24BD">
        <w:t>2022</w:t>
      </w:r>
      <w:r w:rsidR="006D7271">
        <w:noBreakHyphen/>
      </w:r>
      <w:r w:rsidRPr="00FF24BD">
        <w:t>00982</w:t>
      </w:r>
      <w:r w:rsidR="006D7271">
        <w:noBreakHyphen/>
      </w:r>
      <w:r w:rsidRPr="00FF24BD">
        <w:t>1</w:t>
      </w:r>
      <w:r w:rsidR="006D7271">
        <w:noBreakHyphen/>
      </w:r>
      <w:r w:rsidRPr="00FF24BD">
        <w:t>2, and any subsequent revisions, as agreed with the TGA will be implemented in Australia.</w:t>
      </w:r>
    </w:p>
    <w:p w14:paraId="1D888104" w14:textId="18A2EF0A" w:rsidR="00954900" w:rsidRPr="00FF24BD" w:rsidRDefault="00063F39" w:rsidP="0017056C">
      <w:pPr>
        <w:ind w:left="360"/>
      </w:pPr>
      <w:r w:rsidRPr="00FF24BD">
        <w:t>An obligatory component of risk management plans is routine pharmacovigilance. Routine pharmacovigilance includes the submission of periodic safety update reports (PSURs).</w:t>
      </w:r>
    </w:p>
    <w:p w14:paraId="18CA45A8" w14:textId="5E044D77" w:rsidR="00954900" w:rsidRPr="00FF24BD" w:rsidRDefault="00063F39" w:rsidP="0017056C">
      <w:pPr>
        <w:ind w:left="360"/>
      </w:pPr>
      <w:r w:rsidRPr="00FF24BD">
        <w:t xml:space="preserve">Reports are to be provided in line with the current published list of EU reference dates and frequency of submission of PSURs until the period covered by such reports is not less than </w:t>
      </w:r>
      <w:r w:rsidR="00FF24BD" w:rsidRPr="00FF24BD">
        <w:t>3</w:t>
      </w:r>
      <w:r w:rsidRPr="00FF24BD">
        <w:t xml:space="preserve"> years from the date of th</w:t>
      </w:r>
      <w:r w:rsidR="00FF24BD" w:rsidRPr="00FF24BD">
        <w:t>e</w:t>
      </w:r>
      <w:r w:rsidRPr="00FF24BD">
        <w:t xml:space="preserve"> approval letter.</w:t>
      </w:r>
    </w:p>
    <w:p w14:paraId="22DEF149" w14:textId="46EC8C71" w:rsidR="00954900" w:rsidRPr="00FF24BD" w:rsidRDefault="00063F39" w:rsidP="0017056C">
      <w:pPr>
        <w:ind w:left="360"/>
      </w:pPr>
      <w:r w:rsidRPr="00FF24BD">
        <w:t xml:space="preserve">The reports are to at least meet the requirements for PSURs as described in the European Medicines Agency’s Guideline on </w:t>
      </w:r>
      <w:r w:rsidR="00FF24BD" w:rsidRPr="00FF24BD">
        <w:t>G</w:t>
      </w:r>
      <w:r w:rsidRPr="00FF24BD">
        <w:t xml:space="preserve">ood </w:t>
      </w:r>
      <w:r w:rsidR="00FF24BD" w:rsidRPr="00FF24BD">
        <w:t>P</w:t>
      </w:r>
      <w:r w:rsidRPr="00FF24BD">
        <w:t xml:space="preserve">harmacovigilance </w:t>
      </w:r>
      <w:r w:rsidR="00FF24BD" w:rsidRPr="00FF24BD">
        <w:t>P</w:t>
      </w:r>
      <w:r w:rsidRPr="00FF24BD">
        <w:t>ractices (GVP) Module VII</w:t>
      </w:r>
      <w:r w:rsidR="006D7271">
        <w:noBreakHyphen/>
      </w:r>
      <w:r w:rsidRPr="00FF24BD">
        <w:t>periodic safety update report (Rev</w:t>
      </w:r>
      <w:r w:rsidR="00FF24BD" w:rsidRPr="00FF24BD">
        <w:t>ision</w:t>
      </w:r>
      <w:r w:rsidRPr="00FF24BD">
        <w:t xml:space="preserve"> 1), Part VII.B Structures and processes. Note that submission of a PSUR does not constitute an application to vary the registration.</w:t>
      </w:r>
    </w:p>
    <w:p w14:paraId="5DDB3A49" w14:textId="7E3F4F3F" w:rsidR="00954900" w:rsidRPr="00FF24BD" w:rsidRDefault="00063F39" w:rsidP="0017056C">
      <w:pPr>
        <w:pStyle w:val="ListBullet"/>
      </w:pPr>
      <w:r w:rsidRPr="00FF24BD">
        <w:t>The final clinical study report for Study GS</w:t>
      </w:r>
      <w:r w:rsidR="006D7271">
        <w:noBreakHyphen/>
      </w:r>
      <w:r w:rsidRPr="00FF24BD">
        <w:t>US</w:t>
      </w:r>
      <w:r w:rsidR="006D7271">
        <w:noBreakHyphen/>
      </w:r>
      <w:r w:rsidRPr="00FF24BD">
        <w:t>200</w:t>
      </w:r>
      <w:r w:rsidR="006D7271">
        <w:noBreakHyphen/>
      </w:r>
      <w:r w:rsidRPr="00FF24BD">
        <w:t>4625 (CAPELLA) should be submitted to the TGA, once available.</w:t>
      </w:r>
    </w:p>
    <w:p w14:paraId="5076889B" w14:textId="00806E44" w:rsidR="00954900" w:rsidRPr="00954900" w:rsidRDefault="00063F39" w:rsidP="0017056C">
      <w:pPr>
        <w:pStyle w:val="ListBullet"/>
      </w:pPr>
      <w:r w:rsidRPr="00FF24BD">
        <w:t>The final clinical study report for Study GS</w:t>
      </w:r>
      <w:r w:rsidR="006D7271">
        <w:noBreakHyphen/>
      </w:r>
      <w:r w:rsidRPr="00FF24BD">
        <w:t>US</w:t>
      </w:r>
      <w:r w:rsidR="006D7271">
        <w:noBreakHyphen/>
      </w:r>
      <w:r w:rsidRPr="00FF24BD">
        <w:t>200</w:t>
      </w:r>
      <w:r w:rsidR="006D7271">
        <w:noBreakHyphen/>
      </w:r>
      <w:r w:rsidRPr="00FF24BD">
        <w:t>4334 (CALIBRATE) should be submitted to the TGA, once available.</w:t>
      </w:r>
    </w:p>
    <w:p w14:paraId="451DC3FC" w14:textId="77777777" w:rsidR="00C22214" w:rsidRDefault="00063F39" w:rsidP="00C22214">
      <w:pPr>
        <w:pStyle w:val="Heading2"/>
      </w:pPr>
      <w:bookmarkStart w:id="168" w:name="_Toc103679303"/>
      <w:bookmarkStart w:id="169" w:name="_Toc157422743"/>
      <w:r>
        <w:t>Attachment 1. Product Information</w:t>
      </w:r>
      <w:bookmarkEnd w:id="168"/>
      <w:bookmarkEnd w:id="169"/>
    </w:p>
    <w:p w14:paraId="21F47164" w14:textId="7F23E3A5" w:rsidR="00C22214" w:rsidRPr="00BD5DBD" w:rsidRDefault="00063F39" w:rsidP="00C22214">
      <w:pPr>
        <w:rPr>
          <w:szCs w:val="22"/>
        </w:rPr>
      </w:pPr>
      <w:r w:rsidRPr="00BD5DBD">
        <w:rPr>
          <w:szCs w:val="22"/>
        </w:rPr>
        <w:t xml:space="preserve">The PI for </w:t>
      </w:r>
      <w:r w:rsidR="00FF24BD">
        <w:rPr>
          <w:szCs w:val="22"/>
        </w:rPr>
        <w:t>Sunlenca</w:t>
      </w:r>
      <w:r w:rsidRPr="00BD5DBD">
        <w:rPr>
          <w:szCs w:val="22"/>
        </w:rPr>
        <w:t xml:space="preserve"> approved with the submission which is described in this AusPAR is at Attachment 1. For the most recent PI, please refer to the TGA </w:t>
      </w:r>
      <w:hyperlink r:id="rId36" w:history="1">
        <w:r w:rsidRPr="00BD5DBD">
          <w:rPr>
            <w:rStyle w:val="Hyperlink"/>
            <w:szCs w:val="22"/>
          </w:rPr>
          <w:t>PI/CMI search facility.</w:t>
        </w:r>
      </w:hyperlink>
    </w:p>
    <w:p w14:paraId="40740B65" w14:textId="77777777" w:rsidR="00C22214" w:rsidRPr="008B4DA3" w:rsidRDefault="00063F39"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37"/>
          <w:footerReference w:type="default" r:id="rId3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345E6F" w14:paraId="3C0C07BF" w14:textId="77777777" w:rsidTr="007452E8">
        <w:trPr>
          <w:trHeight w:hRule="exact" w:val="565"/>
          <w:jc w:val="center"/>
        </w:trPr>
        <w:tc>
          <w:tcPr>
            <w:tcW w:w="9145" w:type="dxa"/>
          </w:tcPr>
          <w:bookmarkEnd w:id="2"/>
          <w:bookmarkEnd w:id="3"/>
          <w:p w14:paraId="7E090B86" w14:textId="77777777" w:rsidR="00F02AEC" w:rsidRPr="00215D48" w:rsidRDefault="00063F39" w:rsidP="007452E8">
            <w:pPr>
              <w:pStyle w:val="TGASignoff"/>
            </w:pPr>
            <w:r w:rsidRPr="00215D48">
              <w:lastRenderedPageBreak/>
              <w:t>Therapeutic Goods Administration</w:t>
            </w:r>
          </w:p>
        </w:tc>
      </w:tr>
      <w:tr w:rsidR="00345E6F" w14:paraId="70F47EA1" w14:textId="77777777" w:rsidTr="007452E8">
        <w:trPr>
          <w:trHeight w:val="963"/>
          <w:jc w:val="center"/>
        </w:trPr>
        <w:tc>
          <w:tcPr>
            <w:tcW w:w="9145" w:type="dxa"/>
            <w:tcMar>
              <w:top w:w="28" w:type="dxa"/>
            </w:tcMar>
          </w:tcPr>
          <w:p w14:paraId="3491EBCD" w14:textId="77777777" w:rsidR="00F02AEC" w:rsidRPr="00215D48" w:rsidRDefault="00063F39" w:rsidP="007452E8">
            <w:pPr>
              <w:pStyle w:val="Address"/>
              <w:jc w:val="center"/>
            </w:pPr>
            <w:r w:rsidRPr="00215D48">
              <w:t>PO Box 100 Woden ACT 2606 Australia</w:t>
            </w:r>
          </w:p>
          <w:p w14:paraId="5D0FE0E7" w14:textId="0FD4C519" w:rsidR="00F02AEC" w:rsidRDefault="00063F39">
            <w:pPr>
              <w:pStyle w:val="Address"/>
              <w:jc w:val="center"/>
              <w:rPr>
                <w:sz w:val="22"/>
                <w:szCs w:val="22"/>
              </w:rPr>
            </w:pPr>
            <w:r w:rsidRPr="00215D48">
              <w:t xml:space="preserve">Email: </w:t>
            </w:r>
            <w:hyperlink r:id="rId39"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61E5DB55" w:rsidR="00F02AEC" w:rsidRPr="00215D48" w:rsidRDefault="006250B8">
            <w:pPr>
              <w:pStyle w:val="Address"/>
              <w:jc w:val="center"/>
              <w:rPr>
                <w:rStyle w:val="Hyperlink"/>
                <w:b/>
                <w:color w:val="auto"/>
                <w:sz w:val="22"/>
              </w:rPr>
            </w:pPr>
            <w:hyperlink r:id="rId40" w:history="1">
              <w:r w:rsidR="00837005" w:rsidRPr="00C4721A">
                <w:rPr>
                  <w:rStyle w:val="Hyperlink"/>
                  <w:b/>
                </w:rPr>
                <w:t>https://www.tga.gov.au</w:t>
              </w:r>
            </w:hyperlink>
          </w:p>
        </w:tc>
      </w:tr>
      <w:tr w:rsidR="00345E6F" w14:paraId="2AD74347" w14:textId="77777777" w:rsidTr="007452E8">
        <w:trPr>
          <w:trHeight w:val="251"/>
          <w:jc w:val="center"/>
        </w:trPr>
        <w:tc>
          <w:tcPr>
            <w:tcW w:w="9145" w:type="dxa"/>
            <w:tcMar>
              <w:top w:w="28" w:type="dxa"/>
            </w:tcMar>
          </w:tcPr>
          <w:p w14:paraId="6EAAD5C1" w14:textId="77777777" w:rsidR="00F02AEC" w:rsidRPr="00215D48" w:rsidRDefault="00063F39" w:rsidP="007452E8">
            <w:pPr>
              <w:pStyle w:val="Address"/>
              <w:jc w:val="center"/>
            </w:pPr>
            <w:r w:rsidRPr="00215D48">
              <w:t>Reference/Publication #</w:t>
            </w:r>
          </w:p>
        </w:tc>
      </w:tr>
    </w:tbl>
    <w:p w14:paraId="788B80FD" w14:textId="77777777" w:rsidR="007452E8" w:rsidRDefault="007452E8"/>
    <w:sectPr w:rsidR="007452E8" w:rsidSect="007452E8">
      <w:headerReference w:type="first" r:id="rId41"/>
      <w:footerReference w:type="first" r:id="rId4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8D0B1" w14:textId="77777777" w:rsidR="00DE4A45" w:rsidRDefault="00DE4A45">
      <w:pPr>
        <w:spacing w:after="0" w:line="240" w:lineRule="auto"/>
      </w:pPr>
      <w:r>
        <w:separator/>
      </w:r>
    </w:p>
  </w:endnote>
  <w:endnote w:type="continuationSeparator" w:id="0">
    <w:p w14:paraId="7B099A97" w14:textId="77777777" w:rsidR="00DE4A45" w:rsidRDefault="00DE4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Wingdings 3">
    <w:altName w:val="Symbol"/>
    <w:panose1 w:val="050401020108070707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345E6F"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063F39"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063F39"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6250B8">
                <w:fldChar w:fldCharType="begin"/>
              </w:r>
              <w:r w:rsidR="006250B8">
                <w:instrText xml:space="preserve"> NUMPAGES  </w:instrText>
              </w:r>
              <w:r w:rsidR="006250B8">
                <w:fldChar w:fldCharType="separate"/>
              </w:r>
              <w:r>
                <w:rPr>
                  <w:noProof/>
                </w:rPr>
                <w:t>2</w:t>
              </w:r>
              <w:r w:rsidR="006250B8">
                <w:rPr>
                  <w:noProof/>
                </w:rPr>
                <w:fldChar w:fldCharType="end"/>
              </w:r>
            </w:p>
          </w:sdtContent>
        </w:sdt>
      </w:tc>
    </w:tr>
    <w:tr w:rsidR="00345E6F" w14:paraId="280F09C8" w14:textId="77777777" w:rsidTr="007452E8">
      <w:trPr>
        <w:trHeight w:val="263"/>
      </w:trPr>
      <w:tc>
        <w:tcPr>
          <w:tcW w:w="4360" w:type="dxa"/>
        </w:tcPr>
        <w:p w14:paraId="673F06D3" w14:textId="77777777" w:rsidR="007452E8" w:rsidRPr="00257138" w:rsidRDefault="00063F39"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063F39"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345E6F" w14:paraId="6266BC33" w14:textId="77777777" w:rsidTr="007452E8">
      <w:trPr>
        <w:trHeight w:val="423"/>
      </w:trPr>
      <w:tc>
        <w:tcPr>
          <w:tcW w:w="7338" w:type="dxa"/>
          <w:tcBorders>
            <w:top w:val="single" w:sz="4" w:space="0" w:color="auto"/>
          </w:tcBorders>
        </w:tcPr>
        <w:p w14:paraId="3C421323" w14:textId="4FD36837" w:rsidR="007452E8" w:rsidRPr="004A3084" w:rsidRDefault="00063F39" w:rsidP="007452E8">
          <w:pPr>
            <w:pStyle w:val="Footer"/>
          </w:pPr>
          <w:r w:rsidRPr="00487162">
            <w:t>AusPA</w:t>
          </w:r>
          <w:r>
            <w:t xml:space="preserve">R </w:t>
          </w:r>
          <w:r w:rsidR="006D7271">
            <w:noBreakHyphen/>
          </w:r>
          <w:r>
            <w:t xml:space="preserve"> </w:t>
          </w:r>
          <w:r w:rsidR="00CE5901">
            <w:t>Sunlenca</w:t>
          </w:r>
          <w:r>
            <w:t xml:space="preserve"> </w:t>
          </w:r>
          <w:r w:rsidR="00CE5901">
            <w:t>–</w:t>
          </w:r>
          <w:r w:rsidRPr="00460036">
            <w:t xml:space="preserve"> </w:t>
          </w:r>
          <w:r w:rsidR="00CE5901">
            <w:t>lenacapavir</w:t>
          </w:r>
          <w:r w:rsidR="00FF5F94">
            <w:t xml:space="preserve"> sodium</w:t>
          </w:r>
          <w:r w:rsidR="00CE5901">
            <w:t xml:space="preserve"> </w:t>
          </w:r>
          <w:r w:rsidR="00AC4279">
            <w:t>–</w:t>
          </w:r>
          <w:r>
            <w:t xml:space="preserve"> </w:t>
          </w:r>
          <w:r w:rsidR="00AC4279">
            <w:t>Gilead Sciences Pty Ltd</w:t>
          </w:r>
          <w:r>
            <w:t xml:space="preserve"> </w:t>
          </w:r>
          <w:r w:rsidR="006D7271">
            <w:noBreakHyphen/>
          </w:r>
          <w:r>
            <w:t xml:space="preserve"> PM</w:t>
          </w:r>
          <w:r w:rsidR="006D7271">
            <w:noBreakHyphen/>
          </w:r>
          <w:r>
            <w:t>202</w:t>
          </w:r>
          <w:r w:rsidR="00AC4279">
            <w:t>2</w:t>
          </w:r>
          <w:r w:rsidR="006D7271">
            <w:noBreakHyphen/>
          </w:r>
          <w:r w:rsidR="00AC4279">
            <w:t>00982</w:t>
          </w:r>
          <w:r w:rsidR="006D7271">
            <w:noBreakHyphen/>
          </w:r>
          <w:r w:rsidR="00AC4279">
            <w:t>1</w:t>
          </w:r>
          <w:r w:rsidR="006D7271">
            <w:noBreakHyphen/>
          </w:r>
          <w:r w:rsidR="00AC4279">
            <w:t>2</w:t>
          </w:r>
          <w:r>
            <w:br/>
          </w:r>
          <w:r w:rsidR="00D004A9">
            <w:t>Final – 23 January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063F39"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6D6B44">
                <w:fldChar w:fldCharType="begin"/>
              </w:r>
              <w:r>
                <w:instrText xml:space="preserve"> NUMPAGES  </w:instrText>
              </w:r>
              <w:r w:rsidR="006D6B44">
                <w:fldChar w:fldCharType="separate"/>
              </w:r>
              <w:r w:rsidR="006D6B44">
                <w:rPr>
                  <w:noProof/>
                </w:rPr>
                <w:t>17</w:t>
              </w:r>
              <w:r w:rsidR="006D6B44">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00D52" w14:textId="77777777" w:rsidR="00DE4A45" w:rsidRDefault="00DE4A45" w:rsidP="00F02AEC">
      <w:pPr>
        <w:spacing w:after="0" w:line="240" w:lineRule="auto"/>
      </w:pPr>
      <w:r>
        <w:separator/>
      </w:r>
    </w:p>
  </w:footnote>
  <w:footnote w:type="continuationSeparator" w:id="0">
    <w:p w14:paraId="5C26EBD1" w14:textId="77777777" w:rsidR="00DE4A45" w:rsidRDefault="00DE4A45" w:rsidP="00F02AEC">
      <w:pPr>
        <w:spacing w:after="0" w:line="240" w:lineRule="auto"/>
      </w:pPr>
      <w:r>
        <w:continuationSeparator/>
      </w:r>
    </w:p>
  </w:footnote>
  <w:footnote w:type="continuationNotice" w:id="1">
    <w:p w14:paraId="7399D364" w14:textId="77777777" w:rsidR="00DE4A45" w:rsidRDefault="00DE4A45">
      <w:pPr>
        <w:spacing w:after="0" w:line="240" w:lineRule="auto"/>
      </w:pPr>
    </w:p>
  </w:footnote>
  <w:footnote w:id="2">
    <w:p w14:paraId="68402A9B" w14:textId="60286C39" w:rsidR="007452E8" w:rsidRPr="00A93DC6" w:rsidRDefault="00063F39">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3">
    <w:p w14:paraId="47BB5531" w14:textId="5AB78A63" w:rsidR="00953B72" w:rsidRDefault="00063F39">
      <w:pPr>
        <w:pStyle w:val="FootnoteText"/>
      </w:pPr>
      <w:r>
        <w:rPr>
          <w:rStyle w:val="FootnoteReference"/>
        </w:rPr>
        <w:footnoteRef/>
      </w:r>
      <w:r>
        <w:t xml:space="preserve"> </w:t>
      </w:r>
      <w:r w:rsidR="00D12658">
        <w:t xml:space="preserve">Accessed October 2023 at </w:t>
      </w:r>
      <w:hyperlink r:id="rId1" w:history="1">
        <w:r>
          <w:rPr>
            <w:rStyle w:val="Hyperlink"/>
          </w:rPr>
          <w:t>HIV | Kirby Institute (unsw.edu.au)</w:t>
        </w:r>
      </w:hyperlink>
    </w:p>
  </w:footnote>
  <w:footnote w:id="4">
    <w:p w14:paraId="36FD36C4" w14:textId="5FA2F3E2" w:rsidR="004C38D2" w:rsidRDefault="00063F39">
      <w:pPr>
        <w:pStyle w:val="FootnoteText"/>
      </w:pPr>
      <w:r>
        <w:rPr>
          <w:rStyle w:val="FootnoteReference"/>
        </w:rPr>
        <w:footnoteRef/>
      </w:r>
      <w:r>
        <w:t xml:space="preserve"> In this report the ‘</w:t>
      </w:r>
      <w:r w:rsidRPr="00C133A3">
        <w:t>Delegate</w:t>
      </w:r>
      <w:r>
        <w:t>’</w:t>
      </w:r>
      <w:r w:rsidRPr="00C133A3">
        <w:t xml:space="preserve"> </w:t>
      </w:r>
      <w:r>
        <w:t xml:space="preserve">is the </w:t>
      </w:r>
      <w:r w:rsidRPr="00C133A3">
        <w:t xml:space="preserve">Delegate of the Secretary of the Department of Health and Aged Care who approved the </w:t>
      </w:r>
      <w:r>
        <w:t>medicine</w:t>
      </w:r>
      <w:r w:rsidRPr="00C133A3">
        <w:t xml:space="preserve"> under section 25 of the Act.</w:t>
      </w:r>
    </w:p>
  </w:footnote>
  <w:footnote w:id="5">
    <w:p w14:paraId="6A3BF173" w14:textId="155DA935" w:rsidR="003B7522" w:rsidRPr="00591B33" w:rsidRDefault="00063F39" w:rsidP="00591B33">
      <w:pPr>
        <w:pStyle w:val="FootnoteText"/>
      </w:pPr>
      <w:r w:rsidRPr="00307773">
        <w:rPr>
          <w:rStyle w:val="FootnoteReference"/>
        </w:rPr>
        <w:footnoteRef/>
      </w:r>
      <w:r w:rsidRPr="00591B33">
        <w:t xml:space="preserve"> </w:t>
      </w:r>
      <w:r w:rsidR="00591B33" w:rsidRPr="00591B33">
        <w:t xml:space="preserve">The </w:t>
      </w:r>
      <w:r w:rsidR="00591B33" w:rsidRPr="00307773">
        <w:t xml:space="preserve">Biopharmaceutics Classification System (BCS) </w:t>
      </w:r>
      <w:r w:rsidR="00591B33" w:rsidRPr="00C173E0">
        <w:t>is a</w:t>
      </w:r>
      <w:r w:rsidR="00591B33" w:rsidRPr="00591B33">
        <w:t xml:space="preserve"> guidance for predicting intestinal drug absorption provided by the US Food and Drug Administration. According to the BCS, drug substances are classified as follows: Class I: high permeability, high solubility; Class II: high permeability, low solubility; Class III: low permeability, high solubility; Class IV: low permeability, low solubility.</w:t>
      </w:r>
    </w:p>
  </w:footnote>
  <w:footnote w:id="6">
    <w:p w14:paraId="76AA572A" w14:textId="66829E06" w:rsidR="00ED3EFB" w:rsidRDefault="00063F39" w:rsidP="0030545F">
      <w:pPr>
        <w:pStyle w:val="FootnoteText"/>
      </w:pPr>
      <w:r>
        <w:rPr>
          <w:rStyle w:val="FootnoteReference"/>
        </w:rPr>
        <w:footnoteRef/>
      </w:r>
      <w:r>
        <w:t xml:space="preserve"> European Medicines Agency. ICH guideline M3(R2) on non-clinical safety studies for the conduct of human clinical trials and marketing authorisation for pharmaceuticals. EMA/CPMP/ICH/286/1995</w:t>
      </w:r>
      <w:r w:rsidR="00CA3ABB">
        <w:t>.</w:t>
      </w:r>
    </w:p>
  </w:footnote>
  <w:footnote w:id="7">
    <w:p w14:paraId="5152848C" w14:textId="5EECBCE1" w:rsidR="00CE4AA8" w:rsidRDefault="00063F39" w:rsidP="00D34ADC">
      <w:pPr>
        <w:pStyle w:val="FootnoteText"/>
      </w:pPr>
      <w:r>
        <w:rPr>
          <w:rStyle w:val="FootnoteReference"/>
        </w:rPr>
        <w:footnoteRef/>
      </w:r>
      <w:r>
        <w:t xml:space="preserve"> </w:t>
      </w:r>
      <w:r w:rsidR="00D34ADC">
        <w:t xml:space="preserve">Cytochrome P450 (CYP) enzymes: CYPs are the major enzymes involved in drug metabolism, accounting for a large part of the total metabolism. Most drugs undergo deactivation by CYPs, either directly or by facilitated excretion from the body. Also, many substances are bioactivated by CYPs to form their active compounds. 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rsidR="00D34ADC">
        <w:t>interactions, since</w:t>
      </w:r>
      <w:proofErr w:type="gramEnd"/>
      <w:r w:rsidR="00D34ADC">
        <w:t xml:space="preserve"> changes in CYP enzyme activity may affect the metabolism and clearance of various drugs. Such drug interactions are especially important to </w:t>
      </w:r>
      <w:proofErr w:type="gramStart"/>
      <w:r w:rsidR="00D34ADC">
        <w:t>take into account</w:t>
      </w:r>
      <w:proofErr w:type="gramEnd"/>
      <w:r w:rsidR="00D34ADC">
        <w:t xml:space="preserve"> when using drugs of vital importance to the patient, drugs with important side-effects and drugs with small therapeutic windows, but any drug may be subject to an altered plasma concentration due to altered drug metabolism</w:t>
      </w:r>
      <w:r>
        <w:t>.</w:t>
      </w:r>
    </w:p>
  </w:footnote>
  <w:footnote w:id="8">
    <w:p w14:paraId="377F79C8" w14:textId="35A8796F" w:rsidR="00CE4AA8" w:rsidRPr="00486698" w:rsidRDefault="00063F39" w:rsidP="007016B0">
      <w:pPr>
        <w:pStyle w:val="FootnoteText"/>
      </w:pPr>
      <w:r w:rsidRPr="007016B0">
        <w:rPr>
          <w:rStyle w:val="FootnoteReference"/>
        </w:rPr>
        <w:footnoteRef/>
      </w:r>
      <w:r w:rsidRPr="007016B0">
        <w:rPr>
          <w:vertAlign w:val="superscript"/>
        </w:rPr>
        <w:t xml:space="preserve"> </w:t>
      </w:r>
      <w:r w:rsidRPr="00486698">
        <w:t xml:space="preserve">UGT </w:t>
      </w:r>
      <w:r w:rsidR="000C614F" w:rsidRPr="00486698">
        <w:t>(Uridine diphosphate glucuronosyltransferase), OATP (organic anion transporting polypeptide)</w:t>
      </w:r>
      <w:r w:rsidR="007016B0" w:rsidRPr="00486698">
        <w:t>,</w:t>
      </w:r>
      <w:r w:rsidR="000C614F" w:rsidRPr="00486698">
        <w:t xml:space="preserve"> OAT (organic anion transporter), OCT (organic cation transporter)</w:t>
      </w:r>
      <w:r w:rsidR="00486698" w:rsidRPr="00486698">
        <w:t xml:space="preserve">, </w:t>
      </w:r>
      <w:r w:rsidR="000C614F" w:rsidRPr="00486698">
        <w:t>MATE (multidrug and toxin extrusion protein)</w:t>
      </w:r>
      <w:r w:rsidR="00486698" w:rsidRPr="00486698">
        <w:t>, and BCRP (breast cancer resistance protein)</w:t>
      </w:r>
      <w:r w:rsidR="000C614F" w:rsidRPr="00486698">
        <w:t xml:space="preserve"> are </w:t>
      </w:r>
      <w:r w:rsidR="007016B0" w:rsidRPr="00486698">
        <w:t xml:space="preserve">examples of </w:t>
      </w:r>
      <w:r w:rsidR="000C614F" w:rsidRPr="00486698">
        <w:t xml:space="preserve">enzymes or </w:t>
      </w:r>
      <w:r w:rsidR="007016B0" w:rsidRPr="00486698">
        <w:t>transporters involved in drug metabolism.</w:t>
      </w:r>
    </w:p>
  </w:footnote>
  <w:footnote w:id="9">
    <w:p w14:paraId="0587ECA4" w14:textId="0F08B037" w:rsidR="00BF20C4" w:rsidRDefault="00063F39">
      <w:pPr>
        <w:pStyle w:val="FootnoteText"/>
      </w:pPr>
      <w:r>
        <w:rPr>
          <w:rStyle w:val="FootnoteReference"/>
        </w:rPr>
        <w:footnoteRef/>
      </w:r>
      <w:r>
        <w:t xml:space="preserve"> Definition of the Australian category </w:t>
      </w:r>
      <w:r w:rsidR="00FD7171">
        <w:t xml:space="preserve">B1 </w:t>
      </w:r>
      <w:r>
        <w:t>for prescribing medicines in pregnancy</w:t>
      </w:r>
      <w:r w:rsidR="00FD7171">
        <w:t xml:space="preserve">: </w:t>
      </w:r>
      <w:r>
        <w:rPr>
          <w:color w:val="313131"/>
        </w:rPr>
        <w:t>Drugs which have been taken by only a limited number of pregnant women and women of childbearing age, without an increase in the frequency of malformation or other direct or indirect harmful effects on the human fetus having been observed.</w:t>
      </w:r>
      <w:r w:rsidR="00FD7171">
        <w:rPr>
          <w:color w:val="313131"/>
        </w:rPr>
        <w:t xml:space="preserve"> </w:t>
      </w:r>
      <w:r>
        <w:rPr>
          <w:color w:val="313131"/>
        </w:rPr>
        <w:t>Studies in animals have not shown evidence of an increased occurrence of fetal damage.</w:t>
      </w:r>
    </w:p>
  </w:footnote>
  <w:footnote w:id="10">
    <w:p w14:paraId="2AEA918B" w14:textId="3F1F8894" w:rsidR="00122C5A" w:rsidRDefault="00063F39">
      <w:pPr>
        <w:pStyle w:val="FootnoteText"/>
      </w:pPr>
      <w:r>
        <w:rPr>
          <w:rStyle w:val="FootnoteReference"/>
        </w:rPr>
        <w:footnoteRef/>
      </w:r>
      <w:r>
        <w:t xml:space="preserve"> Apparent volume of distribution during the terminal phase after non-intravenous administration.</w:t>
      </w:r>
    </w:p>
  </w:footnote>
  <w:footnote w:id="11">
    <w:p w14:paraId="5497CE0B" w14:textId="72967D9C" w:rsidR="00651E6C" w:rsidRDefault="00063F39">
      <w:pPr>
        <w:pStyle w:val="FootnoteText"/>
      </w:pPr>
      <w:r>
        <w:rPr>
          <w:rStyle w:val="FootnoteReference"/>
        </w:rPr>
        <w:footnoteRef/>
      </w:r>
      <w:r>
        <w:t xml:space="preserve"> The QT interval is the time from the start of the QRS wave complex to the end of the corresponding T wave on an electrocardiogram. </w:t>
      </w:r>
      <w:r w:rsidRPr="00540D49">
        <w:t xml:space="preserve">The </w:t>
      </w:r>
      <w:r w:rsidRPr="00307773">
        <w:t>corrected QT interval (QTc)</w:t>
      </w:r>
      <w:r w:rsidRPr="00540D49">
        <w:t xml:space="preserve"> estimates</w:t>
      </w:r>
      <w:r>
        <w:t xml:space="preserve"> the QT interval at a standard heart rate. This allows comparison of QT values over time at different heart rates and improves detection of patients at increased risk of arrhythmias.</w:t>
      </w:r>
    </w:p>
  </w:footnote>
  <w:footnote w:id="12">
    <w:p w14:paraId="2CBF15C2" w14:textId="6780EEE7" w:rsidR="00D7242B" w:rsidRDefault="00063F39">
      <w:pPr>
        <w:pStyle w:val="FootnoteText"/>
      </w:pPr>
      <w:r>
        <w:rPr>
          <w:rStyle w:val="FootnoteReference"/>
        </w:rPr>
        <w:footnoteRef/>
      </w:r>
      <w:r>
        <w:t xml:space="preserve"> </w:t>
      </w:r>
      <w:hyperlink r:id="rId2" w:history="1">
        <w:r w:rsidR="00F76312">
          <w:rPr>
            <w:rStyle w:val="Hyperlink"/>
          </w:rPr>
          <w:t>Human Immunodeficiency Virus-1 Infection: Developing Antiretroviral Drugs for Treatment Guidance for Industry (fda.gov)</w:t>
        </w:r>
      </w:hyperlink>
    </w:p>
  </w:footnote>
  <w:footnote w:id="13">
    <w:p w14:paraId="18D8FFEC" w14:textId="77777777" w:rsidR="009C04AB" w:rsidRDefault="00063F39" w:rsidP="009C04AB">
      <w:pPr>
        <w:pStyle w:val="FootnoteText"/>
      </w:pPr>
      <w:r>
        <w:rPr>
          <w:rStyle w:val="FootnoteReference"/>
        </w:rPr>
        <w:footnoteRef/>
      </w:r>
      <w:r>
        <w:t xml:space="preserve"> The Medical Dictionary for Regulatory Activities (MedDRA) is a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w:t>
      </w:r>
      <w:proofErr w:type="gramStart"/>
      <w:r>
        <w:t>documentation</w:t>
      </w:r>
      <w:proofErr w:type="gramEnd"/>
      <w:r>
        <w:t xml:space="preserve"> and safety monitoring of medicinal products through all phases of the development cycle (that is, from clinical trials to post-marketing surveillance).</w:t>
      </w:r>
    </w:p>
    <w:p w14:paraId="57DEBB67" w14:textId="77777777" w:rsidR="009C04AB" w:rsidRDefault="00063F39" w:rsidP="009C04AB">
      <w:pPr>
        <w:pStyle w:val="FootnoteText"/>
      </w:pPr>
      <w:r>
        <w:t xml:space="preserve">‘Preferred Terms’ are single concepts for symptoms, signs, disease diagnoses, therapeutic indications, investigations, surgical or medical procedures, and medical, </w:t>
      </w:r>
      <w:proofErr w:type="gramStart"/>
      <w:r>
        <w:t>social</w:t>
      </w:r>
      <w:proofErr w:type="gramEnd"/>
      <w:r>
        <w:t xml:space="preserve"> or family history characteristics. There are over 20,000 Preferred Terms.</w:t>
      </w:r>
    </w:p>
  </w:footnote>
  <w:footnote w:id="14">
    <w:p w14:paraId="16C840E0" w14:textId="6A3E4EBD" w:rsidR="009C04AB" w:rsidRPr="00DD0BA0" w:rsidRDefault="00063F39" w:rsidP="009C04AB">
      <w:pPr>
        <w:autoSpaceDE w:val="0"/>
        <w:autoSpaceDN w:val="0"/>
        <w:adjustRightInd w:val="0"/>
        <w:spacing w:after="0" w:line="240" w:lineRule="auto"/>
        <w:rPr>
          <w:rStyle w:val="FootnoteTextChar"/>
        </w:rPr>
      </w:pPr>
      <w:r>
        <w:rPr>
          <w:rStyle w:val="FootnoteReference"/>
        </w:rPr>
        <w:footnoteRef/>
      </w:r>
      <w:r>
        <w:t xml:space="preserve"> </w:t>
      </w:r>
      <w:r w:rsidRPr="00DD0BA0">
        <w:rPr>
          <w:rStyle w:val="FootnoteTextChar"/>
        </w:rPr>
        <w:t>Severity grades were defined by the US National Institutes of Health Division of AIDS Table for Grading the Severity of Adult and Pediatric Adverse Events (corrected Version 2.1, July 2017). In general: Grade 1</w:t>
      </w:r>
      <w:r w:rsidR="00E2627B">
        <w:rPr>
          <w:rStyle w:val="FootnoteTextChar"/>
        </w:rPr>
        <w:t> </w:t>
      </w:r>
      <w:r w:rsidRPr="00DD0BA0">
        <w:rPr>
          <w:rStyle w:val="FootnoteTextChar"/>
        </w:rPr>
        <w:t>=</w:t>
      </w:r>
      <w:r w:rsidR="00E2627B">
        <w:rPr>
          <w:rStyle w:val="FootnoteTextChar"/>
        </w:rPr>
        <w:t> </w:t>
      </w:r>
      <w:r w:rsidRPr="00DD0BA0">
        <w:rPr>
          <w:rStyle w:val="FootnoteTextChar"/>
        </w:rPr>
        <w:t>mild event; Grade 2</w:t>
      </w:r>
      <w:r w:rsidR="00E2627B">
        <w:rPr>
          <w:rStyle w:val="FootnoteTextChar"/>
        </w:rPr>
        <w:t> </w:t>
      </w:r>
      <w:r w:rsidRPr="00DD0BA0">
        <w:rPr>
          <w:rStyle w:val="FootnoteTextChar"/>
        </w:rPr>
        <w:t>=</w:t>
      </w:r>
      <w:r w:rsidR="00E2627B">
        <w:rPr>
          <w:rStyle w:val="FootnoteTextChar"/>
        </w:rPr>
        <w:t> </w:t>
      </w:r>
      <w:r w:rsidRPr="00DD0BA0">
        <w:rPr>
          <w:rStyle w:val="FootnoteTextChar"/>
        </w:rPr>
        <w:t>moderate event; Grade 3</w:t>
      </w:r>
      <w:r w:rsidR="00E2627B">
        <w:rPr>
          <w:rStyle w:val="FootnoteTextChar"/>
        </w:rPr>
        <w:t> </w:t>
      </w:r>
      <w:r w:rsidRPr="00DD0BA0">
        <w:rPr>
          <w:rStyle w:val="FootnoteTextChar"/>
        </w:rPr>
        <w:t>=</w:t>
      </w:r>
      <w:r w:rsidR="00E2627B">
        <w:rPr>
          <w:rStyle w:val="FootnoteTextChar"/>
        </w:rPr>
        <w:t> </w:t>
      </w:r>
      <w:r w:rsidRPr="00DD0BA0">
        <w:rPr>
          <w:rStyle w:val="FootnoteTextChar"/>
        </w:rPr>
        <w:t>severe event; Grade 4</w:t>
      </w:r>
      <w:r w:rsidR="00E2627B">
        <w:rPr>
          <w:rStyle w:val="FootnoteTextChar"/>
        </w:rPr>
        <w:t> </w:t>
      </w:r>
      <w:r w:rsidRPr="00DD0BA0">
        <w:rPr>
          <w:rStyle w:val="FootnoteTextChar"/>
        </w:rPr>
        <w:t>=</w:t>
      </w:r>
      <w:r w:rsidR="00E2627B">
        <w:rPr>
          <w:rStyle w:val="FootnoteTextChar"/>
        </w:rPr>
        <w:t> </w:t>
      </w:r>
      <w:r w:rsidRPr="00DD0BA0">
        <w:rPr>
          <w:rStyle w:val="FootnoteTextChar"/>
        </w:rPr>
        <w:t>potentially life-threatening event; Grade 5</w:t>
      </w:r>
      <w:r w:rsidR="00E2627B">
        <w:rPr>
          <w:rStyle w:val="FootnoteTextChar"/>
        </w:rPr>
        <w:t> </w:t>
      </w:r>
      <w:r w:rsidRPr="00DD0BA0">
        <w:rPr>
          <w:rStyle w:val="FootnoteTextChar"/>
        </w:rPr>
        <w:t>=</w:t>
      </w:r>
      <w:r w:rsidR="00E2627B">
        <w:rPr>
          <w:rStyle w:val="FootnoteTextChar"/>
        </w:rPr>
        <w:t> </w:t>
      </w:r>
      <w:r w:rsidRPr="00DD0BA0">
        <w:rPr>
          <w:rStyle w:val="FootnoteTextChar"/>
        </w:rPr>
        <w:t>death.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345E6F" w14:paraId="3E15C3BC" w14:textId="77777777" w:rsidTr="007452E8">
      <w:trPr>
        <w:trHeight w:hRule="exact" w:val="8845"/>
      </w:trPr>
      <w:tc>
        <w:tcPr>
          <w:tcW w:w="11964" w:type="dxa"/>
          <w:vAlign w:val="center"/>
        </w:tcPr>
        <w:p w14:paraId="6FDE4BFB" w14:textId="77777777" w:rsidR="007452E8" w:rsidRPr="002B29B2" w:rsidRDefault="006250B8" w:rsidP="007452E8">
          <w:pPr>
            <w:ind w:left="-57"/>
            <w:rPr>
              <w:noProof/>
            </w:rPr>
          </w:pPr>
          <w:sdt>
            <w:sdtPr>
              <w:rPr>
                <w:noProof/>
              </w:rPr>
              <w:id w:val="1926993388"/>
              <w:showingPlcHdr/>
              <w:picture/>
            </w:sdtPr>
            <w:sdtEndPr/>
            <w:sdtContent>
              <w:r w:rsidR="00837005" w:rsidRPr="00F71E1E">
                <w:rPr>
                  <w:noProof/>
                  <w:lang w:val="en-GB" w:eastAsia="en-GB"/>
                </w:rPr>
                <w:drawing>
                  <wp:inline distT="0" distB="0" distL="0" distR="0" wp14:anchorId="07C543F2" wp14:editId="35CC48D9">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 cstate="prin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063F39" w:rsidP="007452E8">
    <w:pPr>
      <w:rPr>
        <w:noProof/>
      </w:rPr>
    </w:pPr>
    <w:r>
      <w:rPr>
        <w:noProof/>
        <w:lang w:val="en-GB" w:eastAsia="en-GB"/>
      </w:rPr>
      <w:drawing>
        <wp:anchor distT="0" distB="0" distL="114300" distR="114300" simplePos="0" relativeHeight="251659264" behindDoc="0" locked="0" layoutInCell="1" allowOverlap="1" wp14:anchorId="79136D91" wp14:editId="795F517A">
          <wp:simplePos x="0" y="0"/>
          <wp:positionH relativeFrom="column">
            <wp:posOffset>-400050</wp:posOffset>
          </wp:positionH>
          <wp:positionV relativeFrom="paragraph">
            <wp:posOffset>-116205</wp:posOffset>
          </wp:positionV>
          <wp:extent cx="2676525" cy="621665"/>
          <wp:effectExtent l="0" t="0" r="9525"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58C5B49F" wp14:editId="33AF28FB">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063F39"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8CD"/>
    <w:multiLevelType w:val="hybridMultilevel"/>
    <w:tmpl w:val="F07C7BCA"/>
    <w:lvl w:ilvl="0" w:tplc="2B409990">
      <w:start w:val="1"/>
      <w:numFmt w:val="bullet"/>
      <w:pStyle w:val="Bulletlist"/>
      <w:lvlText w:val=""/>
      <w:lvlJc w:val="left"/>
      <w:pPr>
        <w:ind w:left="720" w:hanging="360"/>
      </w:pPr>
      <w:rPr>
        <w:rFonts w:ascii="Symbol" w:hAnsi="Symbol" w:hint="default"/>
      </w:rPr>
    </w:lvl>
    <w:lvl w:ilvl="1" w:tplc="94EE008C">
      <w:start w:val="1"/>
      <w:numFmt w:val="bullet"/>
      <w:lvlText w:val="o"/>
      <w:lvlJc w:val="left"/>
      <w:pPr>
        <w:ind w:left="1440" w:hanging="360"/>
      </w:pPr>
      <w:rPr>
        <w:rFonts w:ascii="Courier New" w:hAnsi="Courier New" w:cs="Courier New" w:hint="default"/>
      </w:rPr>
    </w:lvl>
    <w:lvl w:ilvl="2" w:tplc="68A06114" w:tentative="1">
      <w:start w:val="1"/>
      <w:numFmt w:val="bullet"/>
      <w:lvlText w:val=""/>
      <w:lvlJc w:val="left"/>
      <w:pPr>
        <w:ind w:left="2160" w:hanging="360"/>
      </w:pPr>
      <w:rPr>
        <w:rFonts w:ascii="Wingdings" w:hAnsi="Wingdings" w:hint="default"/>
      </w:rPr>
    </w:lvl>
    <w:lvl w:ilvl="3" w:tplc="9B9AD522" w:tentative="1">
      <w:start w:val="1"/>
      <w:numFmt w:val="bullet"/>
      <w:lvlText w:val=""/>
      <w:lvlJc w:val="left"/>
      <w:pPr>
        <w:ind w:left="2880" w:hanging="360"/>
      </w:pPr>
      <w:rPr>
        <w:rFonts w:ascii="Symbol" w:hAnsi="Symbol" w:hint="default"/>
      </w:rPr>
    </w:lvl>
    <w:lvl w:ilvl="4" w:tplc="0C1E25F8" w:tentative="1">
      <w:start w:val="1"/>
      <w:numFmt w:val="bullet"/>
      <w:lvlText w:val="o"/>
      <w:lvlJc w:val="left"/>
      <w:pPr>
        <w:ind w:left="3600" w:hanging="360"/>
      </w:pPr>
      <w:rPr>
        <w:rFonts w:ascii="Courier New" w:hAnsi="Courier New" w:cs="Courier New" w:hint="default"/>
      </w:rPr>
    </w:lvl>
    <w:lvl w:ilvl="5" w:tplc="000C0B16" w:tentative="1">
      <w:start w:val="1"/>
      <w:numFmt w:val="bullet"/>
      <w:lvlText w:val=""/>
      <w:lvlJc w:val="left"/>
      <w:pPr>
        <w:ind w:left="4320" w:hanging="360"/>
      </w:pPr>
      <w:rPr>
        <w:rFonts w:ascii="Wingdings" w:hAnsi="Wingdings" w:hint="default"/>
      </w:rPr>
    </w:lvl>
    <w:lvl w:ilvl="6" w:tplc="C434A67A" w:tentative="1">
      <w:start w:val="1"/>
      <w:numFmt w:val="bullet"/>
      <w:lvlText w:val=""/>
      <w:lvlJc w:val="left"/>
      <w:pPr>
        <w:ind w:left="5040" w:hanging="360"/>
      </w:pPr>
      <w:rPr>
        <w:rFonts w:ascii="Symbol" w:hAnsi="Symbol" w:hint="default"/>
      </w:rPr>
    </w:lvl>
    <w:lvl w:ilvl="7" w:tplc="0AD4E96A" w:tentative="1">
      <w:start w:val="1"/>
      <w:numFmt w:val="bullet"/>
      <w:lvlText w:val="o"/>
      <w:lvlJc w:val="left"/>
      <w:pPr>
        <w:ind w:left="5760" w:hanging="360"/>
      </w:pPr>
      <w:rPr>
        <w:rFonts w:ascii="Courier New" w:hAnsi="Courier New" w:cs="Courier New" w:hint="default"/>
      </w:rPr>
    </w:lvl>
    <w:lvl w:ilvl="8" w:tplc="45762E78"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0356538"/>
    <w:multiLevelType w:val="hybridMultilevel"/>
    <w:tmpl w:val="348ADF6E"/>
    <w:lvl w:ilvl="0" w:tplc="21F2C64A">
      <w:start w:val="1"/>
      <w:numFmt w:val="bullet"/>
      <w:lvlText w:val=""/>
      <w:lvlJc w:val="left"/>
      <w:pPr>
        <w:ind w:left="720" w:hanging="360"/>
      </w:pPr>
      <w:rPr>
        <w:rFonts w:ascii="Symbol" w:hAnsi="Symbol" w:hint="default"/>
      </w:rPr>
    </w:lvl>
    <w:lvl w:ilvl="1" w:tplc="A22AB110">
      <w:start w:val="1"/>
      <w:numFmt w:val="bullet"/>
      <w:lvlText w:val="o"/>
      <w:lvlJc w:val="left"/>
      <w:pPr>
        <w:ind w:left="1440" w:hanging="360"/>
      </w:pPr>
      <w:rPr>
        <w:rFonts w:ascii="Courier New" w:hAnsi="Courier New" w:cs="Courier New" w:hint="default"/>
      </w:rPr>
    </w:lvl>
    <w:lvl w:ilvl="2" w:tplc="62DE5DB0" w:tentative="1">
      <w:start w:val="1"/>
      <w:numFmt w:val="bullet"/>
      <w:lvlText w:val=""/>
      <w:lvlJc w:val="left"/>
      <w:pPr>
        <w:ind w:left="2160" w:hanging="360"/>
      </w:pPr>
      <w:rPr>
        <w:rFonts w:ascii="Wingdings" w:hAnsi="Wingdings" w:hint="default"/>
      </w:rPr>
    </w:lvl>
    <w:lvl w:ilvl="3" w:tplc="B05E809A" w:tentative="1">
      <w:start w:val="1"/>
      <w:numFmt w:val="bullet"/>
      <w:lvlText w:val=""/>
      <w:lvlJc w:val="left"/>
      <w:pPr>
        <w:ind w:left="2880" w:hanging="360"/>
      </w:pPr>
      <w:rPr>
        <w:rFonts w:ascii="Symbol" w:hAnsi="Symbol" w:hint="default"/>
      </w:rPr>
    </w:lvl>
    <w:lvl w:ilvl="4" w:tplc="1D96732C" w:tentative="1">
      <w:start w:val="1"/>
      <w:numFmt w:val="bullet"/>
      <w:lvlText w:val="o"/>
      <w:lvlJc w:val="left"/>
      <w:pPr>
        <w:ind w:left="3600" w:hanging="360"/>
      </w:pPr>
      <w:rPr>
        <w:rFonts w:ascii="Courier New" w:hAnsi="Courier New" w:cs="Courier New" w:hint="default"/>
      </w:rPr>
    </w:lvl>
    <w:lvl w:ilvl="5" w:tplc="C500364C" w:tentative="1">
      <w:start w:val="1"/>
      <w:numFmt w:val="bullet"/>
      <w:lvlText w:val=""/>
      <w:lvlJc w:val="left"/>
      <w:pPr>
        <w:ind w:left="4320" w:hanging="360"/>
      </w:pPr>
      <w:rPr>
        <w:rFonts w:ascii="Wingdings" w:hAnsi="Wingdings" w:hint="default"/>
      </w:rPr>
    </w:lvl>
    <w:lvl w:ilvl="6" w:tplc="6DF6D6BE" w:tentative="1">
      <w:start w:val="1"/>
      <w:numFmt w:val="bullet"/>
      <w:lvlText w:val=""/>
      <w:lvlJc w:val="left"/>
      <w:pPr>
        <w:ind w:left="5040" w:hanging="360"/>
      </w:pPr>
      <w:rPr>
        <w:rFonts w:ascii="Symbol" w:hAnsi="Symbol" w:hint="default"/>
      </w:rPr>
    </w:lvl>
    <w:lvl w:ilvl="7" w:tplc="CB201800" w:tentative="1">
      <w:start w:val="1"/>
      <w:numFmt w:val="bullet"/>
      <w:lvlText w:val="o"/>
      <w:lvlJc w:val="left"/>
      <w:pPr>
        <w:ind w:left="5760" w:hanging="360"/>
      </w:pPr>
      <w:rPr>
        <w:rFonts w:ascii="Courier New" w:hAnsi="Courier New" w:cs="Courier New" w:hint="default"/>
      </w:rPr>
    </w:lvl>
    <w:lvl w:ilvl="8" w:tplc="F5BAA468" w:tentative="1">
      <w:start w:val="1"/>
      <w:numFmt w:val="bullet"/>
      <w:lvlText w:val=""/>
      <w:lvlJc w:val="left"/>
      <w:pPr>
        <w:ind w:left="6480" w:hanging="360"/>
      </w:pPr>
      <w:rPr>
        <w:rFonts w:ascii="Wingdings" w:hAnsi="Wingdings" w:hint="default"/>
      </w:rPr>
    </w:lvl>
  </w:abstractNum>
  <w:abstractNum w:abstractNumId="3" w15:restartNumberingAfterBreak="0">
    <w:nsid w:val="163F187C"/>
    <w:multiLevelType w:val="hybridMultilevel"/>
    <w:tmpl w:val="20409048"/>
    <w:lvl w:ilvl="0" w:tplc="2E8AF09C">
      <w:start w:val="4"/>
      <w:numFmt w:val="bullet"/>
      <w:pStyle w:val="ListBullet3"/>
      <w:lvlText w:val="▪"/>
      <w:lvlJc w:val="left"/>
      <w:pPr>
        <w:ind w:left="1571" w:hanging="360"/>
      </w:pPr>
      <w:rPr>
        <w:rFonts w:ascii="Arial" w:eastAsia="Cambria" w:hAnsi="Arial" w:hint="default"/>
      </w:rPr>
    </w:lvl>
    <w:lvl w:ilvl="1" w:tplc="4B5C7076" w:tentative="1">
      <w:start w:val="1"/>
      <w:numFmt w:val="bullet"/>
      <w:lvlText w:val="o"/>
      <w:lvlJc w:val="left"/>
      <w:pPr>
        <w:ind w:left="2291" w:hanging="360"/>
      </w:pPr>
      <w:rPr>
        <w:rFonts w:ascii="Courier New" w:hAnsi="Courier New" w:cs="Courier New" w:hint="default"/>
      </w:rPr>
    </w:lvl>
    <w:lvl w:ilvl="2" w:tplc="FE4EC094" w:tentative="1">
      <w:start w:val="1"/>
      <w:numFmt w:val="bullet"/>
      <w:lvlText w:val=""/>
      <w:lvlJc w:val="left"/>
      <w:pPr>
        <w:ind w:left="3011" w:hanging="360"/>
      </w:pPr>
      <w:rPr>
        <w:rFonts w:ascii="Wingdings" w:hAnsi="Wingdings" w:hint="default"/>
      </w:rPr>
    </w:lvl>
    <w:lvl w:ilvl="3" w:tplc="9B92E0A8" w:tentative="1">
      <w:start w:val="1"/>
      <w:numFmt w:val="bullet"/>
      <w:lvlText w:val=""/>
      <w:lvlJc w:val="left"/>
      <w:pPr>
        <w:ind w:left="3731" w:hanging="360"/>
      </w:pPr>
      <w:rPr>
        <w:rFonts w:ascii="Symbol" w:hAnsi="Symbol" w:hint="default"/>
      </w:rPr>
    </w:lvl>
    <w:lvl w:ilvl="4" w:tplc="423686AA" w:tentative="1">
      <w:start w:val="1"/>
      <w:numFmt w:val="bullet"/>
      <w:lvlText w:val="o"/>
      <w:lvlJc w:val="left"/>
      <w:pPr>
        <w:ind w:left="4451" w:hanging="360"/>
      </w:pPr>
      <w:rPr>
        <w:rFonts w:ascii="Courier New" w:hAnsi="Courier New" w:cs="Courier New" w:hint="default"/>
      </w:rPr>
    </w:lvl>
    <w:lvl w:ilvl="5" w:tplc="C9D0E0A4" w:tentative="1">
      <w:start w:val="1"/>
      <w:numFmt w:val="bullet"/>
      <w:lvlText w:val=""/>
      <w:lvlJc w:val="left"/>
      <w:pPr>
        <w:ind w:left="5171" w:hanging="360"/>
      </w:pPr>
      <w:rPr>
        <w:rFonts w:ascii="Wingdings" w:hAnsi="Wingdings" w:hint="default"/>
      </w:rPr>
    </w:lvl>
    <w:lvl w:ilvl="6" w:tplc="98321F0A" w:tentative="1">
      <w:start w:val="1"/>
      <w:numFmt w:val="bullet"/>
      <w:lvlText w:val=""/>
      <w:lvlJc w:val="left"/>
      <w:pPr>
        <w:ind w:left="5891" w:hanging="360"/>
      </w:pPr>
      <w:rPr>
        <w:rFonts w:ascii="Symbol" w:hAnsi="Symbol" w:hint="default"/>
      </w:rPr>
    </w:lvl>
    <w:lvl w:ilvl="7" w:tplc="2BDE2A8E" w:tentative="1">
      <w:start w:val="1"/>
      <w:numFmt w:val="bullet"/>
      <w:lvlText w:val="o"/>
      <w:lvlJc w:val="left"/>
      <w:pPr>
        <w:ind w:left="6611" w:hanging="360"/>
      </w:pPr>
      <w:rPr>
        <w:rFonts w:ascii="Courier New" w:hAnsi="Courier New" w:cs="Courier New" w:hint="default"/>
      </w:rPr>
    </w:lvl>
    <w:lvl w:ilvl="8" w:tplc="D098F626"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2D670AC8"/>
    <w:multiLevelType w:val="hybridMultilevel"/>
    <w:tmpl w:val="7B587218"/>
    <w:lvl w:ilvl="0" w:tplc="3F0C09B4">
      <w:start w:val="1"/>
      <w:numFmt w:val="bullet"/>
      <w:lvlText w:val=""/>
      <w:lvlJc w:val="left"/>
      <w:pPr>
        <w:ind w:left="720" w:hanging="360"/>
      </w:pPr>
      <w:rPr>
        <w:rFonts w:ascii="Symbol" w:hAnsi="Symbol" w:hint="default"/>
      </w:rPr>
    </w:lvl>
    <w:lvl w:ilvl="1" w:tplc="9CDAF1FE" w:tentative="1">
      <w:start w:val="1"/>
      <w:numFmt w:val="bullet"/>
      <w:lvlText w:val="o"/>
      <w:lvlJc w:val="left"/>
      <w:pPr>
        <w:ind w:left="1440" w:hanging="360"/>
      </w:pPr>
      <w:rPr>
        <w:rFonts w:ascii="Courier New" w:hAnsi="Courier New" w:cs="Courier New" w:hint="default"/>
      </w:rPr>
    </w:lvl>
    <w:lvl w:ilvl="2" w:tplc="1E9E0824" w:tentative="1">
      <w:start w:val="1"/>
      <w:numFmt w:val="bullet"/>
      <w:lvlText w:val=""/>
      <w:lvlJc w:val="left"/>
      <w:pPr>
        <w:ind w:left="2160" w:hanging="360"/>
      </w:pPr>
      <w:rPr>
        <w:rFonts w:ascii="Wingdings" w:hAnsi="Wingdings" w:hint="default"/>
      </w:rPr>
    </w:lvl>
    <w:lvl w:ilvl="3" w:tplc="D1424670" w:tentative="1">
      <w:start w:val="1"/>
      <w:numFmt w:val="bullet"/>
      <w:lvlText w:val=""/>
      <w:lvlJc w:val="left"/>
      <w:pPr>
        <w:ind w:left="2880" w:hanging="360"/>
      </w:pPr>
      <w:rPr>
        <w:rFonts w:ascii="Symbol" w:hAnsi="Symbol" w:hint="default"/>
      </w:rPr>
    </w:lvl>
    <w:lvl w:ilvl="4" w:tplc="CA04A04C" w:tentative="1">
      <w:start w:val="1"/>
      <w:numFmt w:val="bullet"/>
      <w:lvlText w:val="o"/>
      <w:lvlJc w:val="left"/>
      <w:pPr>
        <w:ind w:left="3600" w:hanging="360"/>
      </w:pPr>
      <w:rPr>
        <w:rFonts w:ascii="Courier New" w:hAnsi="Courier New" w:cs="Courier New" w:hint="default"/>
      </w:rPr>
    </w:lvl>
    <w:lvl w:ilvl="5" w:tplc="155858FE" w:tentative="1">
      <w:start w:val="1"/>
      <w:numFmt w:val="bullet"/>
      <w:lvlText w:val=""/>
      <w:lvlJc w:val="left"/>
      <w:pPr>
        <w:ind w:left="4320" w:hanging="360"/>
      </w:pPr>
      <w:rPr>
        <w:rFonts w:ascii="Wingdings" w:hAnsi="Wingdings" w:hint="default"/>
      </w:rPr>
    </w:lvl>
    <w:lvl w:ilvl="6" w:tplc="73C252B4" w:tentative="1">
      <w:start w:val="1"/>
      <w:numFmt w:val="bullet"/>
      <w:lvlText w:val=""/>
      <w:lvlJc w:val="left"/>
      <w:pPr>
        <w:ind w:left="5040" w:hanging="360"/>
      </w:pPr>
      <w:rPr>
        <w:rFonts w:ascii="Symbol" w:hAnsi="Symbol" w:hint="default"/>
      </w:rPr>
    </w:lvl>
    <w:lvl w:ilvl="7" w:tplc="5986D58A" w:tentative="1">
      <w:start w:val="1"/>
      <w:numFmt w:val="bullet"/>
      <w:lvlText w:val="o"/>
      <w:lvlJc w:val="left"/>
      <w:pPr>
        <w:ind w:left="5760" w:hanging="360"/>
      </w:pPr>
      <w:rPr>
        <w:rFonts w:ascii="Courier New" w:hAnsi="Courier New" w:cs="Courier New" w:hint="default"/>
      </w:rPr>
    </w:lvl>
    <w:lvl w:ilvl="8" w:tplc="992A5B7A" w:tentative="1">
      <w:start w:val="1"/>
      <w:numFmt w:val="bullet"/>
      <w:lvlText w:val=""/>
      <w:lvlJc w:val="left"/>
      <w:pPr>
        <w:ind w:left="6480" w:hanging="360"/>
      </w:pPr>
      <w:rPr>
        <w:rFonts w:ascii="Wingdings" w:hAnsi="Wingdings" w:hint="default"/>
      </w:rPr>
    </w:lvl>
  </w:abstractNum>
  <w:abstractNum w:abstractNumId="7" w15:restartNumberingAfterBreak="0">
    <w:nsid w:val="42B85CBC"/>
    <w:multiLevelType w:val="hybridMultilevel"/>
    <w:tmpl w:val="A0F66472"/>
    <w:lvl w:ilvl="0" w:tplc="10A4E11E">
      <w:start w:val="1"/>
      <w:numFmt w:val="bullet"/>
      <w:lvlText w:val=""/>
      <w:lvlJc w:val="left"/>
      <w:pPr>
        <w:ind w:left="360" w:hanging="360"/>
      </w:pPr>
      <w:rPr>
        <w:rFonts w:ascii="Symbol" w:hAnsi="Symbol" w:hint="default"/>
      </w:rPr>
    </w:lvl>
    <w:lvl w:ilvl="1" w:tplc="BF44332C" w:tentative="1">
      <w:start w:val="1"/>
      <w:numFmt w:val="bullet"/>
      <w:lvlText w:val="o"/>
      <w:lvlJc w:val="left"/>
      <w:pPr>
        <w:ind w:left="1080" w:hanging="360"/>
      </w:pPr>
      <w:rPr>
        <w:rFonts w:ascii="Courier New" w:hAnsi="Courier New" w:cs="Courier New" w:hint="default"/>
      </w:rPr>
    </w:lvl>
    <w:lvl w:ilvl="2" w:tplc="907EC9E2" w:tentative="1">
      <w:start w:val="1"/>
      <w:numFmt w:val="bullet"/>
      <w:lvlText w:val=""/>
      <w:lvlJc w:val="left"/>
      <w:pPr>
        <w:ind w:left="1800" w:hanging="360"/>
      </w:pPr>
      <w:rPr>
        <w:rFonts w:ascii="Wingdings" w:hAnsi="Wingdings" w:hint="default"/>
      </w:rPr>
    </w:lvl>
    <w:lvl w:ilvl="3" w:tplc="6AE0B5F8" w:tentative="1">
      <w:start w:val="1"/>
      <w:numFmt w:val="bullet"/>
      <w:lvlText w:val=""/>
      <w:lvlJc w:val="left"/>
      <w:pPr>
        <w:ind w:left="2520" w:hanging="360"/>
      </w:pPr>
      <w:rPr>
        <w:rFonts w:ascii="Symbol" w:hAnsi="Symbol" w:hint="default"/>
      </w:rPr>
    </w:lvl>
    <w:lvl w:ilvl="4" w:tplc="93AA6E60" w:tentative="1">
      <w:start w:val="1"/>
      <w:numFmt w:val="bullet"/>
      <w:lvlText w:val="o"/>
      <w:lvlJc w:val="left"/>
      <w:pPr>
        <w:ind w:left="3240" w:hanging="360"/>
      </w:pPr>
      <w:rPr>
        <w:rFonts w:ascii="Courier New" w:hAnsi="Courier New" w:cs="Courier New" w:hint="default"/>
      </w:rPr>
    </w:lvl>
    <w:lvl w:ilvl="5" w:tplc="DA9880CE" w:tentative="1">
      <w:start w:val="1"/>
      <w:numFmt w:val="bullet"/>
      <w:lvlText w:val=""/>
      <w:lvlJc w:val="left"/>
      <w:pPr>
        <w:ind w:left="3960" w:hanging="360"/>
      </w:pPr>
      <w:rPr>
        <w:rFonts w:ascii="Wingdings" w:hAnsi="Wingdings" w:hint="default"/>
      </w:rPr>
    </w:lvl>
    <w:lvl w:ilvl="6" w:tplc="F4867B4C" w:tentative="1">
      <w:start w:val="1"/>
      <w:numFmt w:val="bullet"/>
      <w:lvlText w:val=""/>
      <w:lvlJc w:val="left"/>
      <w:pPr>
        <w:ind w:left="4680" w:hanging="360"/>
      </w:pPr>
      <w:rPr>
        <w:rFonts w:ascii="Symbol" w:hAnsi="Symbol" w:hint="default"/>
      </w:rPr>
    </w:lvl>
    <w:lvl w:ilvl="7" w:tplc="8DB016C4" w:tentative="1">
      <w:start w:val="1"/>
      <w:numFmt w:val="bullet"/>
      <w:lvlText w:val="o"/>
      <w:lvlJc w:val="left"/>
      <w:pPr>
        <w:ind w:left="5400" w:hanging="360"/>
      </w:pPr>
      <w:rPr>
        <w:rFonts w:ascii="Courier New" w:hAnsi="Courier New" w:cs="Courier New" w:hint="default"/>
      </w:rPr>
    </w:lvl>
    <w:lvl w:ilvl="8" w:tplc="C7FA5334" w:tentative="1">
      <w:start w:val="1"/>
      <w:numFmt w:val="bullet"/>
      <w:lvlText w:val=""/>
      <w:lvlJc w:val="left"/>
      <w:pPr>
        <w:ind w:left="6120" w:hanging="360"/>
      </w:pPr>
      <w:rPr>
        <w:rFonts w:ascii="Wingdings" w:hAnsi="Wingdings" w:hint="default"/>
      </w:rPr>
    </w:lvl>
  </w:abstractNum>
  <w:abstractNum w:abstractNumId="8" w15:restartNumberingAfterBreak="0">
    <w:nsid w:val="45F74B3B"/>
    <w:multiLevelType w:val="hybridMultilevel"/>
    <w:tmpl w:val="ACC6D1BE"/>
    <w:lvl w:ilvl="0" w:tplc="43C448CA">
      <w:start w:val="1"/>
      <w:numFmt w:val="bullet"/>
      <w:lvlText w:val=""/>
      <w:lvlJc w:val="left"/>
      <w:pPr>
        <w:ind w:left="360" w:hanging="360"/>
      </w:pPr>
      <w:rPr>
        <w:rFonts w:ascii="Symbol" w:hAnsi="Symbol" w:hint="default"/>
      </w:rPr>
    </w:lvl>
    <w:lvl w:ilvl="1" w:tplc="E140D846" w:tentative="1">
      <w:start w:val="1"/>
      <w:numFmt w:val="bullet"/>
      <w:lvlText w:val="o"/>
      <w:lvlJc w:val="left"/>
      <w:pPr>
        <w:ind w:left="1080" w:hanging="360"/>
      </w:pPr>
      <w:rPr>
        <w:rFonts w:ascii="Courier New" w:hAnsi="Courier New" w:cs="Courier New" w:hint="default"/>
      </w:rPr>
    </w:lvl>
    <w:lvl w:ilvl="2" w:tplc="963CFF64" w:tentative="1">
      <w:start w:val="1"/>
      <w:numFmt w:val="bullet"/>
      <w:lvlText w:val=""/>
      <w:lvlJc w:val="left"/>
      <w:pPr>
        <w:ind w:left="1800" w:hanging="360"/>
      </w:pPr>
      <w:rPr>
        <w:rFonts w:ascii="Wingdings" w:hAnsi="Wingdings" w:hint="default"/>
      </w:rPr>
    </w:lvl>
    <w:lvl w:ilvl="3" w:tplc="3378F9E2" w:tentative="1">
      <w:start w:val="1"/>
      <w:numFmt w:val="bullet"/>
      <w:lvlText w:val=""/>
      <w:lvlJc w:val="left"/>
      <w:pPr>
        <w:ind w:left="2520" w:hanging="360"/>
      </w:pPr>
      <w:rPr>
        <w:rFonts w:ascii="Symbol" w:hAnsi="Symbol" w:hint="default"/>
      </w:rPr>
    </w:lvl>
    <w:lvl w:ilvl="4" w:tplc="F9B074B6" w:tentative="1">
      <w:start w:val="1"/>
      <w:numFmt w:val="bullet"/>
      <w:lvlText w:val="o"/>
      <w:lvlJc w:val="left"/>
      <w:pPr>
        <w:ind w:left="3240" w:hanging="360"/>
      </w:pPr>
      <w:rPr>
        <w:rFonts w:ascii="Courier New" w:hAnsi="Courier New" w:cs="Courier New" w:hint="default"/>
      </w:rPr>
    </w:lvl>
    <w:lvl w:ilvl="5" w:tplc="EB7225E4" w:tentative="1">
      <w:start w:val="1"/>
      <w:numFmt w:val="bullet"/>
      <w:lvlText w:val=""/>
      <w:lvlJc w:val="left"/>
      <w:pPr>
        <w:ind w:left="3960" w:hanging="360"/>
      </w:pPr>
      <w:rPr>
        <w:rFonts w:ascii="Wingdings" w:hAnsi="Wingdings" w:hint="default"/>
      </w:rPr>
    </w:lvl>
    <w:lvl w:ilvl="6" w:tplc="E376A300" w:tentative="1">
      <w:start w:val="1"/>
      <w:numFmt w:val="bullet"/>
      <w:lvlText w:val=""/>
      <w:lvlJc w:val="left"/>
      <w:pPr>
        <w:ind w:left="4680" w:hanging="360"/>
      </w:pPr>
      <w:rPr>
        <w:rFonts w:ascii="Symbol" w:hAnsi="Symbol" w:hint="default"/>
      </w:rPr>
    </w:lvl>
    <w:lvl w:ilvl="7" w:tplc="D7127EC6" w:tentative="1">
      <w:start w:val="1"/>
      <w:numFmt w:val="bullet"/>
      <w:lvlText w:val="o"/>
      <w:lvlJc w:val="left"/>
      <w:pPr>
        <w:ind w:left="5400" w:hanging="360"/>
      </w:pPr>
      <w:rPr>
        <w:rFonts w:ascii="Courier New" w:hAnsi="Courier New" w:cs="Courier New" w:hint="default"/>
      </w:rPr>
    </w:lvl>
    <w:lvl w:ilvl="8" w:tplc="16B0ADE2" w:tentative="1">
      <w:start w:val="1"/>
      <w:numFmt w:val="bullet"/>
      <w:lvlText w:val=""/>
      <w:lvlJc w:val="left"/>
      <w:pPr>
        <w:ind w:left="6120" w:hanging="360"/>
      </w:pPr>
      <w:rPr>
        <w:rFonts w:ascii="Wingdings" w:hAnsi="Wingdings" w:hint="default"/>
      </w:rPr>
    </w:lvl>
  </w:abstractNum>
  <w:abstractNum w:abstractNumId="9" w15:restartNumberingAfterBreak="0">
    <w:nsid w:val="489B15D7"/>
    <w:multiLevelType w:val="hybridMultilevel"/>
    <w:tmpl w:val="3D2E60CC"/>
    <w:lvl w:ilvl="0" w:tplc="5FE415E2">
      <w:start w:val="1"/>
      <w:numFmt w:val="bullet"/>
      <w:pStyle w:val="Bulletpoint"/>
      <w:lvlText w:val=""/>
      <w:lvlJc w:val="left"/>
      <w:pPr>
        <w:tabs>
          <w:tab w:val="num" w:pos="369"/>
        </w:tabs>
        <w:ind w:left="369" w:hanging="227"/>
      </w:pPr>
      <w:rPr>
        <w:rFonts w:ascii="Symbol" w:hAnsi="Symbol" w:hint="default"/>
        <w:position w:val="0"/>
        <w:sz w:val="22"/>
        <w:szCs w:val="22"/>
      </w:rPr>
    </w:lvl>
    <w:lvl w:ilvl="1" w:tplc="F418EA6A" w:tentative="1">
      <w:start w:val="1"/>
      <w:numFmt w:val="bullet"/>
      <w:lvlText w:val="o"/>
      <w:lvlJc w:val="left"/>
      <w:pPr>
        <w:tabs>
          <w:tab w:val="num" w:pos="1440"/>
        </w:tabs>
        <w:ind w:left="1440" w:hanging="360"/>
      </w:pPr>
      <w:rPr>
        <w:rFonts w:ascii="Courier New" w:hAnsi="Courier New" w:cs="Symbol" w:hint="default"/>
      </w:rPr>
    </w:lvl>
    <w:lvl w:ilvl="2" w:tplc="739CB9D4" w:tentative="1">
      <w:start w:val="1"/>
      <w:numFmt w:val="bullet"/>
      <w:lvlText w:val=""/>
      <w:lvlJc w:val="left"/>
      <w:pPr>
        <w:tabs>
          <w:tab w:val="num" w:pos="2160"/>
        </w:tabs>
        <w:ind w:left="2160" w:hanging="360"/>
      </w:pPr>
      <w:rPr>
        <w:rFonts w:ascii="Wingdings" w:hAnsi="Wingdings" w:hint="default"/>
      </w:rPr>
    </w:lvl>
    <w:lvl w:ilvl="3" w:tplc="7D1C1C4E" w:tentative="1">
      <w:start w:val="1"/>
      <w:numFmt w:val="bullet"/>
      <w:lvlText w:val=""/>
      <w:lvlJc w:val="left"/>
      <w:pPr>
        <w:tabs>
          <w:tab w:val="num" w:pos="2880"/>
        </w:tabs>
        <w:ind w:left="2880" w:hanging="360"/>
      </w:pPr>
      <w:rPr>
        <w:rFonts w:ascii="Symbol" w:hAnsi="Symbol" w:hint="default"/>
      </w:rPr>
    </w:lvl>
    <w:lvl w:ilvl="4" w:tplc="2E863C00" w:tentative="1">
      <w:start w:val="1"/>
      <w:numFmt w:val="bullet"/>
      <w:lvlText w:val="o"/>
      <w:lvlJc w:val="left"/>
      <w:pPr>
        <w:tabs>
          <w:tab w:val="num" w:pos="3600"/>
        </w:tabs>
        <w:ind w:left="3600" w:hanging="360"/>
      </w:pPr>
      <w:rPr>
        <w:rFonts w:ascii="Courier New" w:hAnsi="Courier New" w:cs="Symbol" w:hint="default"/>
      </w:rPr>
    </w:lvl>
    <w:lvl w:ilvl="5" w:tplc="5E5AFE9E" w:tentative="1">
      <w:start w:val="1"/>
      <w:numFmt w:val="bullet"/>
      <w:lvlText w:val=""/>
      <w:lvlJc w:val="left"/>
      <w:pPr>
        <w:tabs>
          <w:tab w:val="num" w:pos="4320"/>
        </w:tabs>
        <w:ind w:left="4320" w:hanging="360"/>
      </w:pPr>
      <w:rPr>
        <w:rFonts w:ascii="Wingdings" w:hAnsi="Wingdings" w:hint="default"/>
      </w:rPr>
    </w:lvl>
    <w:lvl w:ilvl="6" w:tplc="B636EA9C" w:tentative="1">
      <w:start w:val="1"/>
      <w:numFmt w:val="bullet"/>
      <w:lvlText w:val=""/>
      <w:lvlJc w:val="left"/>
      <w:pPr>
        <w:tabs>
          <w:tab w:val="num" w:pos="5040"/>
        </w:tabs>
        <w:ind w:left="5040" w:hanging="360"/>
      </w:pPr>
      <w:rPr>
        <w:rFonts w:ascii="Symbol" w:hAnsi="Symbol" w:hint="default"/>
      </w:rPr>
    </w:lvl>
    <w:lvl w:ilvl="7" w:tplc="F7423E48" w:tentative="1">
      <w:start w:val="1"/>
      <w:numFmt w:val="bullet"/>
      <w:lvlText w:val="o"/>
      <w:lvlJc w:val="left"/>
      <w:pPr>
        <w:tabs>
          <w:tab w:val="num" w:pos="5760"/>
        </w:tabs>
        <w:ind w:left="5760" w:hanging="360"/>
      </w:pPr>
      <w:rPr>
        <w:rFonts w:ascii="Courier New" w:hAnsi="Courier New" w:cs="Symbol" w:hint="default"/>
      </w:rPr>
    </w:lvl>
    <w:lvl w:ilvl="8" w:tplc="E11ED6F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5E284F"/>
    <w:multiLevelType w:val="hybridMultilevel"/>
    <w:tmpl w:val="1D0CB9FC"/>
    <w:lvl w:ilvl="0" w:tplc="4976BCDC">
      <w:start w:val="1"/>
      <w:numFmt w:val="bullet"/>
      <w:lvlText w:val=""/>
      <w:lvlJc w:val="left"/>
      <w:pPr>
        <w:ind w:left="360" w:hanging="360"/>
      </w:pPr>
      <w:rPr>
        <w:rFonts w:ascii="Symbol" w:hAnsi="Symbol" w:hint="default"/>
      </w:rPr>
    </w:lvl>
    <w:lvl w:ilvl="1" w:tplc="E8189958" w:tentative="1">
      <w:start w:val="1"/>
      <w:numFmt w:val="bullet"/>
      <w:lvlText w:val="o"/>
      <w:lvlJc w:val="left"/>
      <w:pPr>
        <w:ind w:left="1080" w:hanging="360"/>
      </w:pPr>
      <w:rPr>
        <w:rFonts w:ascii="Courier New" w:hAnsi="Courier New" w:cs="Courier New" w:hint="default"/>
      </w:rPr>
    </w:lvl>
    <w:lvl w:ilvl="2" w:tplc="2B4C5B36" w:tentative="1">
      <w:start w:val="1"/>
      <w:numFmt w:val="bullet"/>
      <w:lvlText w:val=""/>
      <w:lvlJc w:val="left"/>
      <w:pPr>
        <w:ind w:left="1800" w:hanging="360"/>
      </w:pPr>
      <w:rPr>
        <w:rFonts w:ascii="Wingdings" w:hAnsi="Wingdings" w:hint="default"/>
      </w:rPr>
    </w:lvl>
    <w:lvl w:ilvl="3" w:tplc="BDF60D68" w:tentative="1">
      <w:start w:val="1"/>
      <w:numFmt w:val="bullet"/>
      <w:lvlText w:val=""/>
      <w:lvlJc w:val="left"/>
      <w:pPr>
        <w:ind w:left="2520" w:hanging="360"/>
      </w:pPr>
      <w:rPr>
        <w:rFonts w:ascii="Symbol" w:hAnsi="Symbol" w:hint="default"/>
      </w:rPr>
    </w:lvl>
    <w:lvl w:ilvl="4" w:tplc="8AE4F928" w:tentative="1">
      <w:start w:val="1"/>
      <w:numFmt w:val="bullet"/>
      <w:lvlText w:val="o"/>
      <w:lvlJc w:val="left"/>
      <w:pPr>
        <w:ind w:left="3240" w:hanging="360"/>
      </w:pPr>
      <w:rPr>
        <w:rFonts w:ascii="Courier New" w:hAnsi="Courier New" w:cs="Courier New" w:hint="default"/>
      </w:rPr>
    </w:lvl>
    <w:lvl w:ilvl="5" w:tplc="02D86146" w:tentative="1">
      <w:start w:val="1"/>
      <w:numFmt w:val="bullet"/>
      <w:lvlText w:val=""/>
      <w:lvlJc w:val="left"/>
      <w:pPr>
        <w:ind w:left="3960" w:hanging="360"/>
      </w:pPr>
      <w:rPr>
        <w:rFonts w:ascii="Wingdings" w:hAnsi="Wingdings" w:hint="default"/>
      </w:rPr>
    </w:lvl>
    <w:lvl w:ilvl="6" w:tplc="54665646" w:tentative="1">
      <w:start w:val="1"/>
      <w:numFmt w:val="bullet"/>
      <w:lvlText w:val=""/>
      <w:lvlJc w:val="left"/>
      <w:pPr>
        <w:ind w:left="4680" w:hanging="360"/>
      </w:pPr>
      <w:rPr>
        <w:rFonts w:ascii="Symbol" w:hAnsi="Symbol" w:hint="default"/>
      </w:rPr>
    </w:lvl>
    <w:lvl w:ilvl="7" w:tplc="2C365C38" w:tentative="1">
      <w:start w:val="1"/>
      <w:numFmt w:val="bullet"/>
      <w:lvlText w:val="o"/>
      <w:lvlJc w:val="left"/>
      <w:pPr>
        <w:ind w:left="5400" w:hanging="360"/>
      </w:pPr>
      <w:rPr>
        <w:rFonts w:ascii="Courier New" w:hAnsi="Courier New" w:cs="Courier New" w:hint="default"/>
      </w:rPr>
    </w:lvl>
    <w:lvl w:ilvl="8" w:tplc="27B0FC26" w:tentative="1">
      <w:start w:val="1"/>
      <w:numFmt w:val="bullet"/>
      <w:lvlText w:val=""/>
      <w:lvlJc w:val="left"/>
      <w:pPr>
        <w:ind w:left="6120" w:hanging="360"/>
      </w:pPr>
      <w:rPr>
        <w:rFonts w:ascii="Wingdings" w:hAnsi="Wingdings" w:hint="default"/>
      </w:rPr>
    </w:lvl>
  </w:abstractNum>
  <w:abstractNum w:abstractNumId="11"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2" w15:restartNumberingAfterBreak="0">
    <w:nsid w:val="50336B0D"/>
    <w:multiLevelType w:val="hybridMultilevel"/>
    <w:tmpl w:val="5D54CD1A"/>
    <w:lvl w:ilvl="0" w:tplc="8E8E6D6C">
      <w:start w:val="1"/>
      <w:numFmt w:val="lowerRoman"/>
      <w:pStyle w:val="Numberbullet3"/>
      <w:lvlText w:val="%1."/>
      <w:lvlJc w:val="right"/>
      <w:pPr>
        <w:ind w:left="720" w:hanging="360"/>
      </w:pPr>
    </w:lvl>
    <w:lvl w:ilvl="1" w:tplc="233AEAF0" w:tentative="1">
      <w:start w:val="1"/>
      <w:numFmt w:val="lowerLetter"/>
      <w:lvlText w:val="%2."/>
      <w:lvlJc w:val="left"/>
      <w:pPr>
        <w:ind w:left="1440" w:hanging="360"/>
      </w:pPr>
    </w:lvl>
    <w:lvl w:ilvl="2" w:tplc="97B227F4" w:tentative="1">
      <w:start w:val="1"/>
      <w:numFmt w:val="lowerRoman"/>
      <w:lvlText w:val="%3."/>
      <w:lvlJc w:val="right"/>
      <w:pPr>
        <w:ind w:left="2160" w:hanging="180"/>
      </w:pPr>
    </w:lvl>
    <w:lvl w:ilvl="3" w:tplc="1040D2E8" w:tentative="1">
      <w:start w:val="1"/>
      <w:numFmt w:val="decimal"/>
      <w:lvlText w:val="%4."/>
      <w:lvlJc w:val="left"/>
      <w:pPr>
        <w:ind w:left="2880" w:hanging="360"/>
      </w:pPr>
    </w:lvl>
    <w:lvl w:ilvl="4" w:tplc="B9162D34" w:tentative="1">
      <w:start w:val="1"/>
      <w:numFmt w:val="lowerLetter"/>
      <w:lvlText w:val="%5."/>
      <w:lvlJc w:val="left"/>
      <w:pPr>
        <w:ind w:left="3600" w:hanging="360"/>
      </w:pPr>
    </w:lvl>
    <w:lvl w:ilvl="5" w:tplc="A0045E0E" w:tentative="1">
      <w:start w:val="1"/>
      <w:numFmt w:val="lowerRoman"/>
      <w:lvlText w:val="%6."/>
      <w:lvlJc w:val="right"/>
      <w:pPr>
        <w:ind w:left="4320" w:hanging="180"/>
      </w:pPr>
    </w:lvl>
    <w:lvl w:ilvl="6" w:tplc="A784E2CE" w:tentative="1">
      <w:start w:val="1"/>
      <w:numFmt w:val="decimal"/>
      <w:lvlText w:val="%7."/>
      <w:lvlJc w:val="left"/>
      <w:pPr>
        <w:ind w:left="5040" w:hanging="360"/>
      </w:pPr>
    </w:lvl>
    <w:lvl w:ilvl="7" w:tplc="BB148FFC" w:tentative="1">
      <w:start w:val="1"/>
      <w:numFmt w:val="lowerLetter"/>
      <w:lvlText w:val="%8."/>
      <w:lvlJc w:val="left"/>
      <w:pPr>
        <w:ind w:left="5760" w:hanging="360"/>
      </w:pPr>
    </w:lvl>
    <w:lvl w:ilvl="8" w:tplc="59160434" w:tentative="1">
      <w:start w:val="1"/>
      <w:numFmt w:val="lowerRoman"/>
      <w:lvlText w:val="%9."/>
      <w:lvlJc w:val="right"/>
      <w:pPr>
        <w:ind w:left="6480" w:hanging="180"/>
      </w:pPr>
    </w:lvl>
  </w:abstractNum>
  <w:abstractNum w:abstractNumId="13" w15:restartNumberingAfterBreak="0">
    <w:nsid w:val="52F13EFF"/>
    <w:multiLevelType w:val="hybridMultilevel"/>
    <w:tmpl w:val="15EC7D20"/>
    <w:lvl w:ilvl="0" w:tplc="6F90679E">
      <w:start w:val="1"/>
      <w:numFmt w:val="bullet"/>
      <w:lvlText w:val=""/>
      <w:lvlJc w:val="left"/>
      <w:pPr>
        <w:ind w:left="720" w:hanging="360"/>
      </w:pPr>
      <w:rPr>
        <w:rFonts w:ascii="Symbol" w:hAnsi="Symbol" w:hint="default"/>
      </w:rPr>
    </w:lvl>
    <w:lvl w:ilvl="1" w:tplc="B8C4F128" w:tentative="1">
      <w:start w:val="1"/>
      <w:numFmt w:val="bullet"/>
      <w:lvlText w:val="o"/>
      <w:lvlJc w:val="left"/>
      <w:pPr>
        <w:ind w:left="1440" w:hanging="360"/>
      </w:pPr>
      <w:rPr>
        <w:rFonts w:ascii="Courier New" w:hAnsi="Courier New" w:cs="Courier New" w:hint="default"/>
      </w:rPr>
    </w:lvl>
    <w:lvl w:ilvl="2" w:tplc="24180B18" w:tentative="1">
      <w:start w:val="1"/>
      <w:numFmt w:val="bullet"/>
      <w:lvlText w:val=""/>
      <w:lvlJc w:val="left"/>
      <w:pPr>
        <w:ind w:left="2160" w:hanging="360"/>
      </w:pPr>
      <w:rPr>
        <w:rFonts w:ascii="Wingdings" w:hAnsi="Wingdings" w:hint="default"/>
      </w:rPr>
    </w:lvl>
    <w:lvl w:ilvl="3" w:tplc="E9A8535E" w:tentative="1">
      <w:start w:val="1"/>
      <w:numFmt w:val="bullet"/>
      <w:lvlText w:val=""/>
      <w:lvlJc w:val="left"/>
      <w:pPr>
        <w:ind w:left="2880" w:hanging="360"/>
      </w:pPr>
      <w:rPr>
        <w:rFonts w:ascii="Symbol" w:hAnsi="Symbol" w:hint="default"/>
      </w:rPr>
    </w:lvl>
    <w:lvl w:ilvl="4" w:tplc="D8D285C6" w:tentative="1">
      <w:start w:val="1"/>
      <w:numFmt w:val="bullet"/>
      <w:lvlText w:val="o"/>
      <w:lvlJc w:val="left"/>
      <w:pPr>
        <w:ind w:left="3600" w:hanging="360"/>
      </w:pPr>
      <w:rPr>
        <w:rFonts w:ascii="Courier New" w:hAnsi="Courier New" w:cs="Courier New" w:hint="default"/>
      </w:rPr>
    </w:lvl>
    <w:lvl w:ilvl="5" w:tplc="5D60CA30" w:tentative="1">
      <w:start w:val="1"/>
      <w:numFmt w:val="bullet"/>
      <w:lvlText w:val=""/>
      <w:lvlJc w:val="left"/>
      <w:pPr>
        <w:ind w:left="4320" w:hanging="360"/>
      </w:pPr>
      <w:rPr>
        <w:rFonts w:ascii="Wingdings" w:hAnsi="Wingdings" w:hint="default"/>
      </w:rPr>
    </w:lvl>
    <w:lvl w:ilvl="6" w:tplc="0C961A40" w:tentative="1">
      <w:start w:val="1"/>
      <w:numFmt w:val="bullet"/>
      <w:lvlText w:val=""/>
      <w:lvlJc w:val="left"/>
      <w:pPr>
        <w:ind w:left="5040" w:hanging="360"/>
      </w:pPr>
      <w:rPr>
        <w:rFonts w:ascii="Symbol" w:hAnsi="Symbol" w:hint="default"/>
      </w:rPr>
    </w:lvl>
    <w:lvl w:ilvl="7" w:tplc="90F6926E" w:tentative="1">
      <w:start w:val="1"/>
      <w:numFmt w:val="bullet"/>
      <w:lvlText w:val="o"/>
      <w:lvlJc w:val="left"/>
      <w:pPr>
        <w:ind w:left="5760" w:hanging="360"/>
      </w:pPr>
      <w:rPr>
        <w:rFonts w:ascii="Courier New" w:hAnsi="Courier New" w:cs="Courier New" w:hint="default"/>
      </w:rPr>
    </w:lvl>
    <w:lvl w:ilvl="8" w:tplc="FA24FDAA" w:tentative="1">
      <w:start w:val="1"/>
      <w:numFmt w:val="bullet"/>
      <w:lvlText w:val=""/>
      <w:lvlJc w:val="left"/>
      <w:pPr>
        <w:ind w:left="6480" w:hanging="360"/>
      </w:pPr>
      <w:rPr>
        <w:rFonts w:ascii="Wingdings" w:hAnsi="Wingdings" w:hint="default"/>
      </w:rPr>
    </w:lvl>
  </w:abstractNum>
  <w:abstractNum w:abstractNumId="14" w15:restartNumberingAfterBreak="0">
    <w:nsid w:val="5CBE2948"/>
    <w:multiLevelType w:val="hybridMultilevel"/>
    <w:tmpl w:val="CA34B98A"/>
    <w:lvl w:ilvl="0" w:tplc="D812E8DE">
      <w:start w:val="1"/>
      <w:numFmt w:val="bullet"/>
      <w:lvlText w:val=""/>
      <w:lvlJc w:val="left"/>
      <w:pPr>
        <w:ind w:left="720" w:hanging="360"/>
      </w:pPr>
      <w:rPr>
        <w:rFonts w:ascii="Symbol" w:hAnsi="Symbol" w:hint="default"/>
      </w:rPr>
    </w:lvl>
    <w:lvl w:ilvl="1" w:tplc="3E9441E0" w:tentative="1">
      <w:start w:val="1"/>
      <w:numFmt w:val="bullet"/>
      <w:lvlText w:val="o"/>
      <w:lvlJc w:val="left"/>
      <w:pPr>
        <w:ind w:left="1440" w:hanging="360"/>
      </w:pPr>
      <w:rPr>
        <w:rFonts w:ascii="Courier New" w:hAnsi="Courier New" w:cs="Courier New" w:hint="default"/>
      </w:rPr>
    </w:lvl>
    <w:lvl w:ilvl="2" w:tplc="931620E0" w:tentative="1">
      <w:start w:val="1"/>
      <w:numFmt w:val="bullet"/>
      <w:lvlText w:val=""/>
      <w:lvlJc w:val="left"/>
      <w:pPr>
        <w:ind w:left="2160" w:hanging="360"/>
      </w:pPr>
      <w:rPr>
        <w:rFonts w:ascii="Wingdings" w:hAnsi="Wingdings" w:hint="default"/>
      </w:rPr>
    </w:lvl>
    <w:lvl w:ilvl="3" w:tplc="766ED6A0" w:tentative="1">
      <w:start w:val="1"/>
      <w:numFmt w:val="bullet"/>
      <w:lvlText w:val=""/>
      <w:lvlJc w:val="left"/>
      <w:pPr>
        <w:ind w:left="2880" w:hanging="360"/>
      </w:pPr>
      <w:rPr>
        <w:rFonts w:ascii="Symbol" w:hAnsi="Symbol" w:hint="default"/>
      </w:rPr>
    </w:lvl>
    <w:lvl w:ilvl="4" w:tplc="55703448" w:tentative="1">
      <w:start w:val="1"/>
      <w:numFmt w:val="bullet"/>
      <w:lvlText w:val="o"/>
      <w:lvlJc w:val="left"/>
      <w:pPr>
        <w:ind w:left="3600" w:hanging="360"/>
      </w:pPr>
      <w:rPr>
        <w:rFonts w:ascii="Courier New" w:hAnsi="Courier New" w:cs="Courier New" w:hint="default"/>
      </w:rPr>
    </w:lvl>
    <w:lvl w:ilvl="5" w:tplc="F4A4C270" w:tentative="1">
      <w:start w:val="1"/>
      <w:numFmt w:val="bullet"/>
      <w:lvlText w:val=""/>
      <w:lvlJc w:val="left"/>
      <w:pPr>
        <w:ind w:left="4320" w:hanging="360"/>
      </w:pPr>
      <w:rPr>
        <w:rFonts w:ascii="Wingdings" w:hAnsi="Wingdings" w:hint="default"/>
      </w:rPr>
    </w:lvl>
    <w:lvl w:ilvl="6" w:tplc="E5A44E64" w:tentative="1">
      <w:start w:val="1"/>
      <w:numFmt w:val="bullet"/>
      <w:lvlText w:val=""/>
      <w:lvlJc w:val="left"/>
      <w:pPr>
        <w:ind w:left="5040" w:hanging="360"/>
      </w:pPr>
      <w:rPr>
        <w:rFonts w:ascii="Symbol" w:hAnsi="Symbol" w:hint="default"/>
      </w:rPr>
    </w:lvl>
    <w:lvl w:ilvl="7" w:tplc="E37C872A" w:tentative="1">
      <w:start w:val="1"/>
      <w:numFmt w:val="bullet"/>
      <w:lvlText w:val="o"/>
      <w:lvlJc w:val="left"/>
      <w:pPr>
        <w:ind w:left="5760" w:hanging="360"/>
      </w:pPr>
      <w:rPr>
        <w:rFonts w:ascii="Courier New" w:hAnsi="Courier New" w:cs="Courier New" w:hint="default"/>
      </w:rPr>
    </w:lvl>
    <w:lvl w:ilvl="8" w:tplc="DF94D416" w:tentative="1">
      <w:start w:val="1"/>
      <w:numFmt w:val="bullet"/>
      <w:lvlText w:val=""/>
      <w:lvlJc w:val="left"/>
      <w:pPr>
        <w:ind w:left="6480" w:hanging="360"/>
      </w:pPr>
      <w:rPr>
        <w:rFonts w:ascii="Wingdings" w:hAnsi="Wingdings" w:hint="default"/>
      </w:rPr>
    </w:lvl>
  </w:abstractNum>
  <w:abstractNum w:abstractNumId="15" w15:restartNumberingAfterBreak="0">
    <w:nsid w:val="5FB3182D"/>
    <w:multiLevelType w:val="hybridMultilevel"/>
    <w:tmpl w:val="37F083F4"/>
    <w:lvl w:ilvl="0" w:tplc="B136E2D8">
      <w:start w:val="1"/>
      <w:numFmt w:val="bullet"/>
      <w:lvlText w:val=""/>
      <w:lvlJc w:val="left"/>
      <w:pPr>
        <w:ind w:left="720" w:hanging="360"/>
      </w:pPr>
      <w:rPr>
        <w:rFonts w:ascii="Symbol" w:hAnsi="Symbol" w:hint="default"/>
      </w:rPr>
    </w:lvl>
    <w:lvl w:ilvl="1" w:tplc="09FEC82A" w:tentative="1">
      <w:start w:val="1"/>
      <w:numFmt w:val="bullet"/>
      <w:lvlText w:val="o"/>
      <w:lvlJc w:val="left"/>
      <w:pPr>
        <w:ind w:left="1440" w:hanging="360"/>
      </w:pPr>
      <w:rPr>
        <w:rFonts w:ascii="Courier New" w:hAnsi="Courier New" w:cs="Courier New" w:hint="default"/>
      </w:rPr>
    </w:lvl>
    <w:lvl w:ilvl="2" w:tplc="94A2B27E" w:tentative="1">
      <w:start w:val="1"/>
      <w:numFmt w:val="bullet"/>
      <w:lvlText w:val=""/>
      <w:lvlJc w:val="left"/>
      <w:pPr>
        <w:ind w:left="2160" w:hanging="360"/>
      </w:pPr>
      <w:rPr>
        <w:rFonts w:ascii="Wingdings" w:hAnsi="Wingdings" w:hint="default"/>
      </w:rPr>
    </w:lvl>
    <w:lvl w:ilvl="3" w:tplc="24FE8036" w:tentative="1">
      <w:start w:val="1"/>
      <w:numFmt w:val="bullet"/>
      <w:lvlText w:val=""/>
      <w:lvlJc w:val="left"/>
      <w:pPr>
        <w:ind w:left="2880" w:hanging="360"/>
      </w:pPr>
      <w:rPr>
        <w:rFonts w:ascii="Symbol" w:hAnsi="Symbol" w:hint="default"/>
      </w:rPr>
    </w:lvl>
    <w:lvl w:ilvl="4" w:tplc="0234C952" w:tentative="1">
      <w:start w:val="1"/>
      <w:numFmt w:val="bullet"/>
      <w:lvlText w:val="o"/>
      <w:lvlJc w:val="left"/>
      <w:pPr>
        <w:ind w:left="3600" w:hanging="360"/>
      </w:pPr>
      <w:rPr>
        <w:rFonts w:ascii="Courier New" w:hAnsi="Courier New" w:cs="Courier New" w:hint="default"/>
      </w:rPr>
    </w:lvl>
    <w:lvl w:ilvl="5" w:tplc="F282F532" w:tentative="1">
      <w:start w:val="1"/>
      <w:numFmt w:val="bullet"/>
      <w:lvlText w:val=""/>
      <w:lvlJc w:val="left"/>
      <w:pPr>
        <w:ind w:left="4320" w:hanging="360"/>
      </w:pPr>
      <w:rPr>
        <w:rFonts w:ascii="Wingdings" w:hAnsi="Wingdings" w:hint="default"/>
      </w:rPr>
    </w:lvl>
    <w:lvl w:ilvl="6" w:tplc="1A963C4C" w:tentative="1">
      <w:start w:val="1"/>
      <w:numFmt w:val="bullet"/>
      <w:lvlText w:val=""/>
      <w:lvlJc w:val="left"/>
      <w:pPr>
        <w:ind w:left="5040" w:hanging="360"/>
      </w:pPr>
      <w:rPr>
        <w:rFonts w:ascii="Symbol" w:hAnsi="Symbol" w:hint="default"/>
      </w:rPr>
    </w:lvl>
    <w:lvl w:ilvl="7" w:tplc="93DC0BF0" w:tentative="1">
      <w:start w:val="1"/>
      <w:numFmt w:val="bullet"/>
      <w:lvlText w:val="o"/>
      <w:lvlJc w:val="left"/>
      <w:pPr>
        <w:ind w:left="5760" w:hanging="360"/>
      </w:pPr>
      <w:rPr>
        <w:rFonts w:ascii="Courier New" w:hAnsi="Courier New" w:cs="Courier New" w:hint="default"/>
      </w:rPr>
    </w:lvl>
    <w:lvl w:ilvl="8" w:tplc="5AF833CC" w:tentative="1">
      <w:start w:val="1"/>
      <w:numFmt w:val="bullet"/>
      <w:lvlText w:val=""/>
      <w:lvlJc w:val="left"/>
      <w:pPr>
        <w:ind w:left="6480" w:hanging="360"/>
      </w:pPr>
      <w:rPr>
        <w:rFonts w:ascii="Wingdings" w:hAnsi="Wingdings" w:hint="default"/>
      </w:rPr>
    </w:lvl>
  </w:abstractNum>
  <w:abstractNum w:abstractNumId="16" w15:restartNumberingAfterBreak="0">
    <w:nsid w:val="642A6562"/>
    <w:multiLevelType w:val="hybridMultilevel"/>
    <w:tmpl w:val="47CCE00E"/>
    <w:lvl w:ilvl="0" w:tplc="BCC08632">
      <w:start w:val="1"/>
      <w:numFmt w:val="bullet"/>
      <w:lvlText w:val=""/>
      <w:lvlJc w:val="left"/>
      <w:pPr>
        <w:ind w:left="720" w:hanging="360"/>
      </w:pPr>
      <w:rPr>
        <w:rFonts w:ascii="Symbol" w:hAnsi="Symbol" w:hint="default"/>
      </w:rPr>
    </w:lvl>
    <w:lvl w:ilvl="1" w:tplc="C276AC28" w:tentative="1">
      <w:start w:val="1"/>
      <w:numFmt w:val="bullet"/>
      <w:lvlText w:val="o"/>
      <w:lvlJc w:val="left"/>
      <w:pPr>
        <w:ind w:left="1440" w:hanging="360"/>
      </w:pPr>
      <w:rPr>
        <w:rFonts w:ascii="Courier New" w:hAnsi="Courier New" w:cs="Courier New" w:hint="default"/>
      </w:rPr>
    </w:lvl>
    <w:lvl w:ilvl="2" w:tplc="15FCADC2" w:tentative="1">
      <w:start w:val="1"/>
      <w:numFmt w:val="bullet"/>
      <w:lvlText w:val=""/>
      <w:lvlJc w:val="left"/>
      <w:pPr>
        <w:ind w:left="2160" w:hanging="360"/>
      </w:pPr>
      <w:rPr>
        <w:rFonts w:ascii="Wingdings" w:hAnsi="Wingdings" w:hint="default"/>
      </w:rPr>
    </w:lvl>
    <w:lvl w:ilvl="3" w:tplc="7F381B2C" w:tentative="1">
      <w:start w:val="1"/>
      <w:numFmt w:val="bullet"/>
      <w:lvlText w:val=""/>
      <w:lvlJc w:val="left"/>
      <w:pPr>
        <w:ind w:left="2880" w:hanging="360"/>
      </w:pPr>
      <w:rPr>
        <w:rFonts w:ascii="Symbol" w:hAnsi="Symbol" w:hint="default"/>
      </w:rPr>
    </w:lvl>
    <w:lvl w:ilvl="4" w:tplc="DE40F07A" w:tentative="1">
      <w:start w:val="1"/>
      <w:numFmt w:val="bullet"/>
      <w:lvlText w:val="o"/>
      <w:lvlJc w:val="left"/>
      <w:pPr>
        <w:ind w:left="3600" w:hanging="360"/>
      </w:pPr>
      <w:rPr>
        <w:rFonts w:ascii="Courier New" w:hAnsi="Courier New" w:cs="Courier New" w:hint="default"/>
      </w:rPr>
    </w:lvl>
    <w:lvl w:ilvl="5" w:tplc="065AE802" w:tentative="1">
      <w:start w:val="1"/>
      <w:numFmt w:val="bullet"/>
      <w:lvlText w:val=""/>
      <w:lvlJc w:val="left"/>
      <w:pPr>
        <w:ind w:left="4320" w:hanging="360"/>
      </w:pPr>
      <w:rPr>
        <w:rFonts w:ascii="Wingdings" w:hAnsi="Wingdings" w:hint="default"/>
      </w:rPr>
    </w:lvl>
    <w:lvl w:ilvl="6" w:tplc="5A8E9256" w:tentative="1">
      <w:start w:val="1"/>
      <w:numFmt w:val="bullet"/>
      <w:lvlText w:val=""/>
      <w:lvlJc w:val="left"/>
      <w:pPr>
        <w:ind w:left="5040" w:hanging="360"/>
      </w:pPr>
      <w:rPr>
        <w:rFonts w:ascii="Symbol" w:hAnsi="Symbol" w:hint="default"/>
      </w:rPr>
    </w:lvl>
    <w:lvl w:ilvl="7" w:tplc="6DFCE27E" w:tentative="1">
      <w:start w:val="1"/>
      <w:numFmt w:val="bullet"/>
      <w:lvlText w:val="o"/>
      <w:lvlJc w:val="left"/>
      <w:pPr>
        <w:ind w:left="5760" w:hanging="360"/>
      </w:pPr>
      <w:rPr>
        <w:rFonts w:ascii="Courier New" w:hAnsi="Courier New" w:cs="Courier New" w:hint="default"/>
      </w:rPr>
    </w:lvl>
    <w:lvl w:ilvl="8" w:tplc="A76EC080" w:tentative="1">
      <w:start w:val="1"/>
      <w:numFmt w:val="bullet"/>
      <w:lvlText w:val=""/>
      <w:lvlJc w:val="left"/>
      <w:pPr>
        <w:ind w:left="6480" w:hanging="360"/>
      </w:pPr>
      <w:rPr>
        <w:rFonts w:ascii="Wingdings" w:hAnsi="Wingdings" w:hint="default"/>
      </w:rPr>
    </w:lvl>
  </w:abstractNum>
  <w:abstractNum w:abstractNumId="17" w15:restartNumberingAfterBreak="0">
    <w:nsid w:val="6F69599E"/>
    <w:multiLevelType w:val="hybridMultilevel"/>
    <w:tmpl w:val="A51E23DA"/>
    <w:lvl w:ilvl="0" w:tplc="F80216DC">
      <w:start w:val="1"/>
      <w:numFmt w:val="bullet"/>
      <w:lvlText w:val=""/>
      <w:lvlJc w:val="left"/>
      <w:pPr>
        <w:ind w:left="720" w:hanging="360"/>
      </w:pPr>
      <w:rPr>
        <w:rFonts w:ascii="Symbol" w:hAnsi="Symbol" w:hint="default"/>
      </w:rPr>
    </w:lvl>
    <w:lvl w:ilvl="1" w:tplc="5B984722" w:tentative="1">
      <w:start w:val="1"/>
      <w:numFmt w:val="bullet"/>
      <w:lvlText w:val="o"/>
      <w:lvlJc w:val="left"/>
      <w:pPr>
        <w:ind w:left="1440" w:hanging="360"/>
      </w:pPr>
      <w:rPr>
        <w:rFonts w:ascii="Courier New" w:hAnsi="Courier New" w:cs="Courier New" w:hint="default"/>
      </w:rPr>
    </w:lvl>
    <w:lvl w:ilvl="2" w:tplc="4F7CB61E" w:tentative="1">
      <w:start w:val="1"/>
      <w:numFmt w:val="bullet"/>
      <w:lvlText w:val=""/>
      <w:lvlJc w:val="left"/>
      <w:pPr>
        <w:ind w:left="2160" w:hanging="360"/>
      </w:pPr>
      <w:rPr>
        <w:rFonts w:ascii="Wingdings" w:hAnsi="Wingdings" w:hint="default"/>
      </w:rPr>
    </w:lvl>
    <w:lvl w:ilvl="3" w:tplc="28EEB724" w:tentative="1">
      <w:start w:val="1"/>
      <w:numFmt w:val="bullet"/>
      <w:lvlText w:val=""/>
      <w:lvlJc w:val="left"/>
      <w:pPr>
        <w:ind w:left="2880" w:hanging="360"/>
      </w:pPr>
      <w:rPr>
        <w:rFonts w:ascii="Symbol" w:hAnsi="Symbol" w:hint="default"/>
      </w:rPr>
    </w:lvl>
    <w:lvl w:ilvl="4" w:tplc="6C4E5B2A" w:tentative="1">
      <w:start w:val="1"/>
      <w:numFmt w:val="bullet"/>
      <w:lvlText w:val="o"/>
      <w:lvlJc w:val="left"/>
      <w:pPr>
        <w:ind w:left="3600" w:hanging="360"/>
      </w:pPr>
      <w:rPr>
        <w:rFonts w:ascii="Courier New" w:hAnsi="Courier New" w:cs="Courier New" w:hint="default"/>
      </w:rPr>
    </w:lvl>
    <w:lvl w:ilvl="5" w:tplc="ED845F2E" w:tentative="1">
      <w:start w:val="1"/>
      <w:numFmt w:val="bullet"/>
      <w:lvlText w:val=""/>
      <w:lvlJc w:val="left"/>
      <w:pPr>
        <w:ind w:left="4320" w:hanging="360"/>
      </w:pPr>
      <w:rPr>
        <w:rFonts w:ascii="Wingdings" w:hAnsi="Wingdings" w:hint="default"/>
      </w:rPr>
    </w:lvl>
    <w:lvl w:ilvl="6" w:tplc="FB907EF2" w:tentative="1">
      <w:start w:val="1"/>
      <w:numFmt w:val="bullet"/>
      <w:lvlText w:val=""/>
      <w:lvlJc w:val="left"/>
      <w:pPr>
        <w:ind w:left="5040" w:hanging="360"/>
      </w:pPr>
      <w:rPr>
        <w:rFonts w:ascii="Symbol" w:hAnsi="Symbol" w:hint="default"/>
      </w:rPr>
    </w:lvl>
    <w:lvl w:ilvl="7" w:tplc="99666214" w:tentative="1">
      <w:start w:val="1"/>
      <w:numFmt w:val="bullet"/>
      <w:lvlText w:val="o"/>
      <w:lvlJc w:val="left"/>
      <w:pPr>
        <w:ind w:left="5760" w:hanging="360"/>
      </w:pPr>
      <w:rPr>
        <w:rFonts w:ascii="Courier New" w:hAnsi="Courier New" w:cs="Courier New" w:hint="default"/>
      </w:rPr>
    </w:lvl>
    <w:lvl w:ilvl="8" w:tplc="08B6A700" w:tentative="1">
      <w:start w:val="1"/>
      <w:numFmt w:val="bullet"/>
      <w:lvlText w:val=""/>
      <w:lvlJc w:val="left"/>
      <w:pPr>
        <w:ind w:left="6480" w:hanging="360"/>
      </w:pPr>
      <w:rPr>
        <w:rFonts w:ascii="Wingdings" w:hAnsi="Wingdings" w:hint="default"/>
      </w:rPr>
    </w:lvl>
  </w:abstractNum>
  <w:abstractNum w:abstractNumId="18" w15:restartNumberingAfterBreak="0">
    <w:nsid w:val="74C4611A"/>
    <w:multiLevelType w:val="hybridMultilevel"/>
    <w:tmpl w:val="C6240CBA"/>
    <w:lvl w:ilvl="0" w:tplc="3C247B6A">
      <w:start w:val="1"/>
      <w:numFmt w:val="bullet"/>
      <w:lvlText w:val=""/>
      <w:lvlJc w:val="left"/>
      <w:pPr>
        <w:ind w:left="360" w:hanging="360"/>
      </w:pPr>
      <w:rPr>
        <w:rFonts w:ascii="Symbol" w:hAnsi="Symbol" w:hint="default"/>
      </w:rPr>
    </w:lvl>
    <w:lvl w:ilvl="1" w:tplc="19402B1C" w:tentative="1">
      <w:start w:val="1"/>
      <w:numFmt w:val="bullet"/>
      <w:lvlText w:val="o"/>
      <w:lvlJc w:val="left"/>
      <w:pPr>
        <w:ind w:left="1080" w:hanging="360"/>
      </w:pPr>
      <w:rPr>
        <w:rFonts w:ascii="Courier New" w:hAnsi="Courier New" w:cs="Courier New" w:hint="default"/>
      </w:rPr>
    </w:lvl>
    <w:lvl w:ilvl="2" w:tplc="29CCF19E" w:tentative="1">
      <w:start w:val="1"/>
      <w:numFmt w:val="bullet"/>
      <w:lvlText w:val=""/>
      <w:lvlJc w:val="left"/>
      <w:pPr>
        <w:ind w:left="1800" w:hanging="360"/>
      </w:pPr>
      <w:rPr>
        <w:rFonts w:ascii="Wingdings" w:hAnsi="Wingdings" w:hint="default"/>
      </w:rPr>
    </w:lvl>
    <w:lvl w:ilvl="3" w:tplc="F8B61938" w:tentative="1">
      <w:start w:val="1"/>
      <w:numFmt w:val="bullet"/>
      <w:lvlText w:val=""/>
      <w:lvlJc w:val="left"/>
      <w:pPr>
        <w:ind w:left="2520" w:hanging="360"/>
      </w:pPr>
      <w:rPr>
        <w:rFonts w:ascii="Symbol" w:hAnsi="Symbol" w:hint="default"/>
      </w:rPr>
    </w:lvl>
    <w:lvl w:ilvl="4" w:tplc="D732125E" w:tentative="1">
      <w:start w:val="1"/>
      <w:numFmt w:val="bullet"/>
      <w:lvlText w:val="o"/>
      <w:lvlJc w:val="left"/>
      <w:pPr>
        <w:ind w:left="3240" w:hanging="360"/>
      </w:pPr>
      <w:rPr>
        <w:rFonts w:ascii="Courier New" w:hAnsi="Courier New" w:cs="Courier New" w:hint="default"/>
      </w:rPr>
    </w:lvl>
    <w:lvl w:ilvl="5" w:tplc="E898A55C" w:tentative="1">
      <w:start w:val="1"/>
      <w:numFmt w:val="bullet"/>
      <w:lvlText w:val=""/>
      <w:lvlJc w:val="left"/>
      <w:pPr>
        <w:ind w:left="3960" w:hanging="360"/>
      </w:pPr>
      <w:rPr>
        <w:rFonts w:ascii="Wingdings" w:hAnsi="Wingdings" w:hint="default"/>
      </w:rPr>
    </w:lvl>
    <w:lvl w:ilvl="6" w:tplc="556ED10C" w:tentative="1">
      <w:start w:val="1"/>
      <w:numFmt w:val="bullet"/>
      <w:lvlText w:val=""/>
      <w:lvlJc w:val="left"/>
      <w:pPr>
        <w:ind w:left="4680" w:hanging="360"/>
      </w:pPr>
      <w:rPr>
        <w:rFonts w:ascii="Symbol" w:hAnsi="Symbol" w:hint="default"/>
      </w:rPr>
    </w:lvl>
    <w:lvl w:ilvl="7" w:tplc="5058C3AA" w:tentative="1">
      <w:start w:val="1"/>
      <w:numFmt w:val="bullet"/>
      <w:lvlText w:val="o"/>
      <w:lvlJc w:val="left"/>
      <w:pPr>
        <w:ind w:left="5400" w:hanging="360"/>
      </w:pPr>
      <w:rPr>
        <w:rFonts w:ascii="Courier New" w:hAnsi="Courier New" w:cs="Courier New" w:hint="default"/>
      </w:rPr>
    </w:lvl>
    <w:lvl w:ilvl="8" w:tplc="FDB6E9D4" w:tentative="1">
      <w:start w:val="1"/>
      <w:numFmt w:val="bullet"/>
      <w:lvlText w:val=""/>
      <w:lvlJc w:val="left"/>
      <w:pPr>
        <w:ind w:left="6120" w:hanging="360"/>
      </w:pPr>
      <w:rPr>
        <w:rFonts w:ascii="Wingdings" w:hAnsi="Wingdings" w:hint="default"/>
      </w:rPr>
    </w:lvl>
  </w:abstractNum>
  <w:abstractNum w:abstractNumId="19" w15:restartNumberingAfterBreak="0">
    <w:nsid w:val="79091609"/>
    <w:multiLevelType w:val="hybridMultilevel"/>
    <w:tmpl w:val="6AE68890"/>
    <w:lvl w:ilvl="0" w:tplc="E18E8180">
      <w:start w:val="1"/>
      <w:numFmt w:val="bullet"/>
      <w:lvlText w:val=""/>
      <w:lvlJc w:val="left"/>
      <w:pPr>
        <w:ind w:left="720" w:hanging="360"/>
      </w:pPr>
      <w:rPr>
        <w:rFonts w:ascii="Symbol" w:hAnsi="Symbol" w:hint="default"/>
      </w:rPr>
    </w:lvl>
    <w:lvl w:ilvl="1" w:tplc="A720F25C">
      <w:start w:val="1"/>
      <w:numFmt w:val="bullet"/>
      <w:lvlText w:val="o"/>
      <w:lvlJc w:val="left"/>
      <w:pPr>
        <w:ind w:left="1440" w:hanging="360"/>
      </w:pPr>
      <w:rPr>
        <w:rFonts w:ascii="Courier New" w:hAnsi="Courier New" w:cs="Courier New" w:hint="default"/>
      </w:rPr>
    </w:lvl>
    <w:lvl w:ilvl="2" w:tplc="487064A6">
      <w:numFmt w:val="bullet"/>
      <w:lvlText w:val="•"/>
      <w:lvlJc w:val="left"/>
      <w:pPr>
        <w:ind w:left="2520" w:hanging="720"/>
      </w:pPr>
      <w:rPr>
        <w:rFonts w:ascii="Cambria" w:eastAsia="Cambria" w:hAnsi="Cambria" w:cs="Times New Roman" w:hint="default"/>
      </w:rPr>
    </w:lvl>
    <w:lvl w:ilvl="3" w:tplc="D24EAAC4" w:tentative="1">
      <w:start w:val="1"/>
      <w:numFmt w:val="bullet"/>
      <w:lvlText w:val=""/>
      <w:lvlJc w:val="left"/>
      <w:pPr>
        <w:ind w:left="2880" w:hanging="360"/>
      </w:pPr>
      <w:rPr>
        <w:rFonts w:ascii="Symbol" w:hAnsi="Symbol" w:hint="default"/>
      </w:rPr>
    </w:lvl>
    <w:lvl w:ilvl="4" w:tplc="B538C432" w:tentative="1">
      <w:start w:val="1"/>
      <w:numFmt w:val="bullet"/>
      <w:lvlText w:val="o"/>
      <w:lvlJc w:val="left"/>
      <w:pPr>
        <w:ind w:left="3600" w:hanging="360"/>
      </w:pPr>
      <w:rPr>
        <w:rFonts w:ascii="Courier New" w:hAnsi="Courier New" w:cs="Courier New" w:hint="default"/>
      </w:rPr>
    </w:lvl>
    <w:lvl w:ilvl="5" w:tplc="43B01FC0" w:tentative="1">
      <w:start w:val="1"/>
      <w:numFmt w:val="bullet"/>
      <w:lvlText w:val=""/>
      <w:lvlJc w:val="left"/>
      <w:pPr>
        <w:ind w:left="4320" w:hanging="360"/>
      </w:pPr>
      <w:rPr>
        <w:rFonts w:ascii="Wingdings" w:hAnsi="Wingdings" w:hint="default"/>
      </w:rPr>
    </w:lvl>
    <w:lvl w:ilvl="6" w:tplc="786074BA" w:tentative="1">
      <w:start w:val="1"/>
      <w:numFmt w:val="bullet"/>
      <w:lvlText w:val=""/>
      <w:lvlJc w:val="left"/>
      <w:pPr>
        <w:ind w:left="5040" w:hanging="360"/>
      </w:pPr>
      <w:rPr>
        <w:rFonts w:ascii="Symbol" w:hAnsi="Symbol" w:hint="default"/>
      </w:rPr>
    </w:lvl>
    <w:lvl w:ilvl="7" w:tplc="96829E06" w:tentative="1">
      <w:start w:val="1"/>
      <w:numFmt w:val="bullet"/>
      <w:lvlText w:val="o"/>
      <w:lvlJc w:val="left"/>
      <w:pPr>
        <w:ind w:left="5760" w:hanging="360"/>
      </w:pPr>
      <w:rPr>
        <w:rFonts w:ascii="Courier New" w:hAnsi="Courier New" w:cs="Courier New" w:hint="default"/>
      </w:rPr>
    </w:lvl>
    <w:lvl w:ilvl="8" w:tplc="F4FC2FC8" w:tentative="1">
      <w:start w:val="1"/>
      <w:numFmt w:val="bullet"/>
      <w:lvlText w:val=""/>
      <w:lvlJc w:val="left"/>
      <w:pPr>
        <w:ind w:left="6480" w:hanging="360"/>
      </w:pPr>
      <w:rPr>
        <w:rFonts w:ascii="Wingdings" w:hAnsi="Wingdings" w:hint="default"/>
      </w:rPr>
    </w:lvl>
  </w:abstractNum>
  <w:abstractNum w:abstractNumId="20" w15:restartNumberingAfterBreak="0">
    <w:nsid w:val="7AB7102A"/>
    <w:multiLevelType w:val="hybridMultilevel"/>
    <w:tmpl w:val="B6A8BEAE"/>
    <w:lvl w:ilvl="0" w:tplc="E10C3E4C">
      <w:start w:val="1"/>
      <w:numFmt w:val="bullet"/>
      <w:lvlText w:val=""/>
      <w:lvlJc w:val="left"/>
      <w:pPr>
        <w:ind w:left="720" w:hanging="360"/>
      </w:pPr>
      <w:rPr>
        <w:rFonts w:ascii="Symbol" w:hAnsi="Symbol" w:hint="default"/>
      </w:rPr>
    </w:lvl>
    <w:lvl w:ilvl="1" w:tplc="58B45176" w:tentative="1">
      <w:start w:val="1"/>
      <w:numFmt w:val="bullet"/>
      <w:lvlText w:val="o"/>
      <w:lvlJc w:val="left"/>
      <w:pPr>
        <w:ind w:left="1440" w:hanging="360"/>
      </w:pPr>
      <w:rPr>
        <w:rFonts w:ascii="Courier New" w:hAnsi="Courier New" w:cs="Courier New" w:hint="default"/>
      </w:rPr>
    </w:lvl>
    <w:lvl w:ilvl="2" w:tplc="8E0605E6" w:tentative="1">
      <w:start w:val="1"/>
      <w:numFmt w:val="bullet"/>
      <w:lvlText w:val=""/>
      <w:lvlJc w:val="left"/>
      <w:pPr>
        <w:ind w:left="2160" w:hanging="360"/>
      </w:pPr>
      <w:rPr>
        <w:rFonts w:ascii="Wingdings" w:hAnsi="Wingdings" w:hint="default"/>
      </w:rPr>
    </w:lvl>
    <w:lvl w:ilvl="3" w:tplc="CBD07ABE" w:tentative="1">
      <w:start w:val="1"/>
      <w:numFmt w:val="bullet"/>
      <w:lvlText w:val=""/>
      <w:lvlJc w:val="left"/>
      <w:pPr>
        <w:ind w:left="2880" w:hanging="360"/>
      </w:pPr>
      <w:rPr>
        <w:rFonts w:ascii="Symbol" w:hAnsi="Symbol" w:hint="default"/>
      </w:rPr>
    </w:lvl>
    <w:lvl w:ilvl="4" w:tplc="6D0A95A0" w:tentative="1">
      <w:start w:val="1"/>
      <w:numFmt w:val="bullet"/>
      <w:lvlText w:val="o"/>
      <w:lvlJc w:val="left"/>
      <w:pPr>
        <w:ind w:left="3600" w:hanging="360"/>
      </w:pPr>
      <w:rPr>
        <w:rFonts w:ascii="Courier New" w:hAnsi="Courier New" w:cs="Courier New" w:hint="default"/>
      </w:rPr>
    </w:lvl>
    <w:lvl w:ilvl="5" w:tplc="9B9EA62C" w:tentative="1">
      <w:start w:val="1"/>
      <w:numFmt w:val="bullet"/>
      <w:lvlText w:val=""/>
      <w:lvlJc w:val="left"/>
      <w:pPr>
        <w:ind w:left="4320" w:hanging="360"/>
      </w:pPr>
      <w:rPr>
        <w:rFonts w:ascii="Wingdings" w:hAnsi="Wingdings" w:hint="default"/>
      </w:rPr>
    </w:lvl>
    <w:lvl w:ilvl="6" w:tplc="659A3DF8" w:tentative="1">
      <w:start w:val="1"/>
      <w:numFmt w:val="bullet"/>
      <w:lvlText w:val=""/>
      <w:lvlJc w:val="left"/>
      <w:pPr>
        <w:ind w:left="5040" w:hanging="360"/>
      </w:pPr>
      <w:rPr>
        <w:rFonts w:ascii="Symbol" w:hAnsi="Symbol" w:hint="default"/>
      </w:rPr>
    </w:lvl>
    <w:lvl w:ilvl="7" w:tplc="DED6658C" w:tentative="1">
      <w:start w:val="1"/>
      <w:numFmt w:val="bullet"/>
      <w:lvlText w:val="o"/>
      <w:lvlJc w:val="left"/>
      <w:pPr>
        <w:ind w:left="5760" w:hanging="360"/>
      </w:pPr>
      <w:rPr>
        <w:rFonts w:ascii="Courier New" w:hAnsi="Courier New" w:cs="Courier New" w:hint="default"/>
      </w:rPr>
    </w:lvl>
    <w:lvl w:ilvl="8" w:tplc="29A4EC14" w:tentative="1">
      <w:start w:val="1"/>
      <w:numFmt w:val="bullet"/>
      <w:lvlText w:val=""/>
      <w:lvlJc w:val="left"/>
      <w:pPr>
        <w:ind w:left="6480" w:hanging="360"/>
      </w:pPr>
      <w:rPr>
        <w:rFonts w:ascii="Wingdings" w:hAnsi="Wingdings" w:hint="default"/>
      </w:rPr>
    </w:lvl>
  </w:abstractNum>
  <w:num w:numId="1" w16cid:durableId="176778410">
    <w:abstractNumId w:val="4"/>
  </w:num>
  <w:num w:numId="2" w16cid:durableId="102725323">
    <w:abstractNumId w:val="1"/>
  </w:num>
  <w:num w:numId="3" w16cid:durableId="1350638896">
    <w:abstractNumId w:val="3"/>
  </w:num>
  <w:num w:numId="4" w16cid:durableId="135922088">
    <w:abstractNumId w:val="12"/>
  </w:num>
  <w:num w:numId="5" w16cid:durableId="1076900234">
    <w:abstractNumId w:val="5"/>
  </w:num>
  <w:num w:numId="6" w16cid:durableId="423038501">
    <w:abstractNumId w:val="11"/>
  </w:num>
  <w:num w:numId="7" w16cid:durableId="95433719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294678582">
    <w:abstractNumId w:val="19"/>
  </w:num>
  <w:num w:numId="9" w16cid:durableId="76247020">
    <w:abstractNumId w:val="13"/>
  </w:num>
  <w:num w:numId="10" w16cid:durableId="1486821437">
    <w:abstractNumId w:val="14"/>
  </w:num>
  <w:num w:numId="11" w16cid:durableId="1233733834">
    <w:abstractNumId w:val="9"/>
  </w:num>
  <w:num w:numId="12" w16cid:durableId="770585058">
    <w:abstractNumId w:val="0"/>
  </w:num>
  <w:num w:numId="13" w16cid:durableId="948856372">
    <w:abstractNumId w:val="1"/>
    <w:lvlOverride w:ilvl="0">
      <w:lvl w:ilvl="0">
        <w:start w:val="1"/>
        <w:numFmt w:val="decimal"/>
        <w:pStyle w:val="Numberbullet0"/>
        <w:lvlText w:val="%1."/>
        <w:lvlJc w:val="left"/>
        <w:pPr>
          <w:ind w:left="425" w:hanging="425"/>
        </w:pPr>
        <w:rPr>
          <w:rFonts w:ascii="Arial" w:hAnsi="Arial" w:cs="Arial"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4" w16cid:durableId="714043253">
    <w:abstractNumId w:val="1"/>
    <w:lvlOverride w:ilvl="0">
      <w:startOverride w:val="1"/>
      <w:lvl w:ilvl="0">
        <w:start w:val="1"/>
        <w:numFmt w:val="decimal"/>
        <w:pStyle w:val="Numberbullet0"/>
        <w:lvlText w:val="%1."/>
        <w:lvlJc w:val="left"/>
        <w:pPr>
          <w:ind w:left="425" w:hanging="425"/>
        </w:pPr>
        <w:rPr>
          <w:rFonts w:ascii="Arial" w:hAnsi="Arial" w:cs="Arial"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16cid:durableId="471093489">
    <w:abstractNumId w:val="16"/>
  </w:num>
  <w:num w:numId="16" w16cid:durableId="64840543">
    <w:abstractNumId w:val="10"/>
  </w:num>
  <w:num w:numId="17" w16cid:durableId="876770149">
    <w:abstractNumId w:val="7"/>
  </w:num>
  <w:num w:numId="18" w16cid:durableId="1602687050">
    <w:abstractNumId w:val="8"/>
  </w:num>
  <w:num w:numId="19" w16cid:durableId="1491553729">
    <w:abstractNumId w:val="20"/>
  </w:num>
  <w:num w:numId="20" w16cid:durableId="950479718">
    <w:abstractNumId w:val="6"/>
  </w:num>
  <w:num w:numId="21" w16cid:durableId="12003627">
    <w:abstractNumId w:val="2"/>
  </w:num>
  <w:num w:numId="22" w16cid:durableId="752971648">
    <w:abstractNumId w:val="17"/>
  </w:num>
  <w:num w:numId="23" w16cid:durableId="1139104893">
    <w:abstractNumId w:val="15"/>
  </w:num>
  <w:num w:numId="24" w16cid:durableId="188162295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2D0"/>
    <w:rsid w:val="0000419D"/>
    <w:rsid w:val="00004F95"/>
    <w:rsid w:val="00006754"/>
    <w:rsid w:val="00006FAB"/>
    <w:rsid w:val="00016587"/>
    <w:rsid w:val="0002168B"/>
    <w:rsid w:val="0002457A"/>
    <w:rsid w:val="00026CD4"/>
    <w:rsid w:val="00041EC8"/>
    <w:rsid w:val="00042F9D"/>
    <w:rsid w:val="000503F1"/>
    <w:rsid w:val="00052302"/>
    <w:rsid w:val="00053D29"/>
    <w:rsid w:val="000568CB"/>
    <w:rsid w:val="00056F25"/>
    <w:rsid w:val="000623A2"/>
    <w:rsid w:val="0006251E"/>
    <w:rsid w:val="00062669"/>
    <w:rsid w:val="00063F39"/>
    <w:rsid w:val="0006722F"/>
    <w:rsid w:val="000706CB"/>
    <w:rsid w:val="00070FD7"/>
    <w:rsid w:val="000711F0"/>
    <w:rsid w:val="00075216"/>
    <w:rsid w:val="00077844"/>
    <w:rsid w:val="00094B81"/>
    <w:rsid w:val="000975AA"/>
    <w:rsid w:val="00097661"/>
    <w:rsid w:val="000A7074"/>
    <w:rsid w:val="000B5A7F"/>
    <w:rsid w:val="000C117E"/>
    <w:rsid w:val="000C2844"/>
    <w:rsid w:val="000C2FB2"/>
    <w:rsid w:val="000C3ED0"/>
    <w:rsid w:val="000C614F"/>
    <w:rsid w:val="000D7934"/>
    <w:rsid w:val="000E24C5"/>
    <w:rsid w:val="000E3CE5"/>
    <w:rsid w:val="000E44E5"/>
    <w:rsid w:val="000F15B4"/>
    <w:rsid w:val="000F5176"/>
    <w:rsid w:val="000F5DF7"/>
    <w:rsid w:val="000F610A"/>
    <w:rsid w:val="00101FB1"/>
    <w:rsid w:val="00104673"/>
    <w:rsid w:val="00107D31"/>
    <w:rsid w:val="00110FDA"/>
    <w:rsid w:val="00111443"/>
    <w:rsid w:val="001146E2"/>
    <w:rsid w:val="0011660F"/>
    <w:rsid w:val="00116E69"/>
    <w:rsid w:val="00122C4B"/>
    <w:rsid w:val="00122C5A"/>
    <w:rsid w:val="00122EB0"/>
    <w:rsid w:val="0012473C"/>
    <w:rsid w:val="00126B56"/>
    <w:rsid w:val="00127DDD"/>
    <w:rsid w:val="00127E96"/>
    <w:rsid w:val="0013132F"/>
    <w:rsid w:val="0013183E"/>
    <w:rsid w:val="00133F85"/>
    <w:rsid w:val="0013528C"/>
    <w:rsid w:val="001403E1"/>
    <w:rsid w:val="001438E1"/>
    <w:rsid w:val="00145EBC"/>
    <w:rsid w:val="00151CEB"/>
    <w:rsid w:val="00153C58"/>
    <w:rsid w:val="00155F98"/>
    <w:rsid w:val="00156020"/>
    <w:rsid w:val="001610D6"/>
    <w:rsid w:val="001641E9"/>
    <w:rsid w:val="00165D28"/>
    <w:rsid w:val="00166874"/>
    <w:rsid w:val="00167840"/>
    <w:rsid w:val="00170081"/>
    <w:rsid w:val="0017056C"/>
    <w:rsid w:val="00171FEC"/>
    <w:rsid w:val="00172413"/>
    <w:rsid w:val="00175CD8"/>
    <w:rsid w:val="00183B5A"/>
    <w:rsid w:val="00184E0B"/>
    <w:rsid w:val="00186773"/>
    <w:rsid w:val="00187209"/>
    <w:rsid w:val="00190B0D"/>
    <w:rsid w:val="001911C4"/>
    <w:rsid w:val="001921FC"/>
    <w:rsid w:val="0019536F"/>
    <w:rsid w:val="00197B7D"/>
    <w:rsid w:val="001A1788"/>
    <w:rsid w:val="001A3879"/>
    <w:rsid w:val="001A73D1"/>
    <w:rsid w:val="001B123B"/>
    <w:rsid w:val="001B2AA7"/>
    <w:rsid w:val="001B6C99"/>
    <w:rsid w:val="001C1983"/>
    <w:rsid w:val="001C1C2E"/>
    <w:rsid w:val="001C1C49"/>
    <w:rsid w:val="001C1C62"/>
    <w:rsid w:val="001D15D1"/>
    <w:rsid w:val="001E1D5B"/>
    <w:rsid w:val="001E27A1"/>
    <w:rsid w:val="001E49A1"/>
    <w:rsid w:val="001E6666"/>
    <w:rsid w:val="001F2D6E"/>
    <w:rsid w:val="001F6CBA"/>
    <w:rsid w:val="0020235D"/>
    <w:rsid w:val="00203198"/>
    <w:rsid w:val="0020369B"/>
    <w:rsid w:val="00206803"/>
    <w:rsid w:val="00207D74"/>
    <w:rsid w:val="002157F5"/>
    <w:rsid w:val="00215980"/>
    <w:rsid w:val="00215D48"/>
    <w:rsid w:val="0022021B"/>
    <w:rsid w:val="00220FC3"/>
    <w:rsid w:val="002213AF"/>
    <w:rsid w:val="002222E4"/>
    <w:rsid w:val="0022537E"/>
    <w:rsid w:val="00226F39"/>
    <w:rsid w:val="002305C6"/>
    <w:rsid w:val="00230E66"/>
    <w:rsid w:val="002321EB"/>
    <w:rsid w:val="00232AB4"/>
    <w:rsid w:val="00234DBC"/>
    <w:rsid w:val="0023644D"/>
    <w:rsid w:val="00240287"/>
    <w:rsid w:val="00241B60"/>
    <w:rsid w:val="00253A64"/>
    <w:rsid w:val="00254A91"/>
    <w:rsid w:val="00254D86"/>
    <w:rsid w:val="002562BB"/>
    <w:rsid w:val="00257138"/>
    <w:rsid w:val="002605A0"/>
    <w:rsid w:val="0026168C"/>
    <w:rsid w:val="00263E51"/>
    <w:rsid w:val="002646A7"/>
    <w:rsid w:val="00265FFC"/>
    <w:rsid w:val="0026647B"/>
    <w:rsid w:val="00266DD9"/>
    <w:rsid w:val="00267834"/>
    <w:rsid w:val="00280097"/>
    <w:rsid w:val="0028169B"/>
    <w:rsid w:val="00281FAE"/>
    <w:rsid w:val="002874EE"/>
    <w:rsid w:val="00292C72"/>
    <w:rsid w:val="00295220"/>
    <w:rsid w:val="002A6979"/>
    <w:rsid w:val="002B1D13"/>
    <w:rsid w:val="002B29B2"/>
    <w:rsid w:val="002B3C42"/>
    <w:rsid w:val="002B45DA"/>
    <w:rsid w:val="002B7E58"/>
    <w:rsid w:val="002C0926"/>
    <w:rsid w:val="002C47C2"/>
    <w:rsid w:val="002C5E29"/>
    <w:rsid w:val="002C5F73"/>
    <w:rsid w:val="002C6424"/>
    <w:rsid w:val="002D015B"/>
    <w:rsid w:val="002D118F"/>
    <w:rsid w:val="002D1740"/>
    <w:rsid w:val="002D1790"/>
    <w:rsid w:val="002D6CD4"/>
    <w:rsid w:val="002D7127"/>
    <w:rsid w:val="002E238E"/>
    <w:rsid w:val="002E2D77"/>
    <w:rsid w:val="0030065B"/>
    <w:rsid w:val="00300796"/>
    <w:rsid w:val="003008D8"/>
    <w:rsid w:val="00303959"/>
    <w:rsid w:val="003049FD"/>
    <w:rsid w:val="0030545F"/>
    <w:rsid w:val="00307773"/>
    <w:rsid w:val="00312AC3"/>
    <w:rsid w:val="00313025"/>
    <w:rsid w:val="00314430"/>
    <w:rsid w:val="00314D24"/>
    <w:rsid w:val="00314F05"/>
    <w:rsid w:val="00322964"/>
    <w:rsid w:val="00322F6B"/>
    <w:rsid w:val="00324B33"/>
    <w:rsid w:val="0032587F"/>
    <w:rsid w:val="00330743"/>
    <w:rsid w:val="00331A29"/>
    <w:rsid w:val="003351D8"/>
    <w:rsid w:val="00341282"/>
    <w:rsid w:val="00343A17"/>
    <w:rsid w:val="00345E6F"/>
    <w:rsid w:val="003468AE"/>
    <w:rsid w:val="00346EC2"/>
    <w:rsid w:val="0035444D"/>
    <w:rsid w:val="00356674"/>
    <w:rsid w:val="0035674F"/>
    <w:rsid w:val="00357AEE"/>
    <w:rsid w:val="00357BCE"/>
    <w:rsid w:val="00362F50"/>
    <w:rsid w:val="0036385B"/>
    <w:rsid w:val="003649AF"/>
    <w:rsid w:val="00370E5A"/>
    <w:rsid w:val="00381351"/>
    <w:rsid w:val="003825DB"/>
    <w:rsid w:val="003842B1"/>
    <w:rsid w:val="00386418"/>
    <w:rsid w:val="00386BB2"/>
    <w:rsid w:val="00391B0C"/>
    <w:rsid w:val="003950E1"/>
    <w:rsid w:val="00395140"/>
    <w:rsid w:val="003A3130"/>
    <w:rsid w:val="003A371C"/>
    <w:rsid w:val="003A4339"/>
    <w:rsid w:val="003A5EC4"/>
    <w:rsid w:val="003A6499"/>
    <w:rsid w:val="003A6948"/>
    <w:rsid w:val="003B149C"/>
    <w:rsid w:val="003B2DA9"/>
    <w:rsid w:val="003B6AD7"/>
    <w:rsid w:val="003B7522"/>
    <w:rsid w:val="003C5954"/>
    <w:rsid w:val="003C5AC5"/>
    <w:rsid w:val="003C6D1F"/>
    <w:rsid w:val="003D0AFA"/>
    <w:rsid w:val="003D4A7D"/>
    <w:rsid w:val="003D53E6"/>
    <w:rsid w:val="003D71A1"/>
    <w:rsid w:val="003D735C"/>
    <w:rsid w:val="003D796B"/>
    <w:rsid w:val="003D7E2E"/>
    <w:rsid w:val="003F31A2"/>
    <w:rsid w:val="003F68B4"/>
    <w:rsid w:val="00401DBA"/>
    <w:rsid w:val="0040254D"/>
    <w:rsid w:val="00406CE2"/>
    <w:rsid w:val="00407FC1"/>
    <w:rsid w:val="00412211"/>
    <w:rsid w:val="0041688F"/>
    <w:rsid w:val="00421070"/>
    <w:rsid w:val="0042376F"/>
    <w:rsid w:val="004246B8"/>
    <w:rsid w:val="00430920"/>
    <w:rsid w:val="00430A42"/>
    <w:rsid w:val="00433318"/>
    <w:rsid w:val="0043454A"/>
    <w:rsid w:val="00436DF1"/>
    <w:rsid w:val="00437B87"/>
    <w:rsid w:val="0044252E"/>
    <w:rsid w:val="004476D6"/>
    <w:rsid w:val="00447800"/>
    <w:rsid w:val="0045191F"/>
    <w:rsid w:val="00455296"/>
    <w:rsid w:val="004579F3"/>
    <w:rsid w:val="00457DAC"/>
    <w:rsid w:val="00460036"/>
    <w:rsid w:val="00463708"/>
    <w:rsid w:val="00467194"/>
    <w:rsid w:val="004766C2"/>
    <w:rsid w:val="00476997"/>
    <w:rsid w:val="00477C4E"/>
    <w:rsid w:val="0048124C"/>
    <w:rsid w:val="0048282F"/>
    <w:rsid w:val="00486698"/>
    <w:rsid w:val="00486D43"/>
    <w:rsid w:val="00487162"/>
    <w:rsid w:val="00487DE5"/>
    <w:rsid w:val="00487FEC"/>
    <w:rsid w:val="00491A55"/>
    <w:rsid w:val="0049302C"/>
    <w:rsid w:val="004935B3"/>
    <w:rsid w:val="004A082A"/>
    <w:rsid w:val="004A3084"/>
    <w:rsid w:val="004A42C5"/>
    <w:rsid w:val="004B3081"/>
    <w:rsid w:val="004C38D2"/>
    <w:rsid w:val="004C5986"/>
    <w:rsid w:val="004C6C0A"/>
    <w:rsid w:val="004D3B6E"/>
    <w:rsid w:val="004D5F6D"/>
    <w:rsid w:val="004D6C77"/>
    <w:rsid w:val="004E0DD2"/>
    <w:rsid w:val="004E28CE"/>
    <w:rsid w:val="004E6CB7"/>
    <w:rsid w:val="004F09A9"/>
    <w:rsid w:val="004F11A4"/>
    <w:rsid w:val="004F365C"/>
    <w:rsid w:val="0050571B"/>
    <w:rsid w:val="00522377"/>
    <w:rsid w:val="00525747"/>
    <w:rsid w:val="00526AE8"/>
    <w:rsid w:val="00530247"/>
    <w:rsid w:val="0053564A"/>
    <w:rsid w:val="00535DFE"/>
    <w:rsid w:val="00540D49"/>
    <w:rsid w:val="00542DB9"/>
    <w:rsid w:val="0054484A"/>
    <w:rsid w:val="00561C98"/>
    <w:rsid w:val="00562F42"/>
    <w:rsid w:val="005648F3"/>
    <w:rsid w:val="00564CB8"/>
    <w:rsid w:val="0056766D"/>
    <w:rsid w:val="0056794F"/>
    <w:rsid w:val="00570628"/>
    <w:rsid w:val="00574F1A"/>
    <w:rsid w:val="00575437"/>
    <w:rsid w:val="00576B66"/>
    <w:rsid w:val="0058020A"/>
    <w:rsid w:val="0058575E"/>
    <w:rsid w:val="0058740A"/>
    <w:rsid w:val="0058783C"/>
    <w:rsid w:val="00590223"/>
    <w:rsid w:val="005911AE"/>
    <w:rsid w:val="00591B33"/>
    <w:rsid w:val="0059313A"/>
    <w:rsid w:val="00594743"/>
    <w:rsid w:val="00596BF2"/>
    <w:rsid w:val="005A2EB8"/>
    <w:rsid w:val="005A4D58"/>
    <w:rsid w:val="005A6FD6"/>
    <w:rsid w:val="005A705D"/>
    <w:rsid w:val="005A759A"/>
    <w:rsid w:val="005B023F"/>
    <w:rsid w:val="005B35D4"/>
    <w:rsid w:val="005B531B"/>
    <w:rsid w:val="005B5556"/>
    <w:rsid w:val="005B74CC"/>
    <w:rsid w:val="005B7766"/>
    <w:rsid w:val="005C2799"/>
    <w:rsid w:val="005C3692"/>
    <w:rsid w:val="005C3F36"/>
    <w:rsid w:val="005C49E4"/>
    <w:rsid w:val="005C55D1"/>
    <w:rsid w:val="005C585A"/>
    <w:rsid w:val="005D1DE9"/>
    <w:rsid w:val="005D2089"/>
    <w:rsid w:val="005D3760"/>
    <w:rsid w:val="005D572E"/>
    <w:rsid w:val="005D7514"/>
    <w:rsid w:val="005E1A7B"/>
    <w:rsid w:val="005E77A6"/>
    <w:rsid w:val="005F2CFA"/>
    <w:rsid w:val="005F2FCF"/>
    <w:rsid w:val="005F337A"/>
    <w:rsid w:val="005F5B12"/>
    <w:rsid w:val="00601499"/>
    <w:rsid w:val="00601CA4"/>
    <w:rsid w:val="00602658"/>
    <w:rsid w:val="00602E28"/>
    <w:rsid w:val="00607CC1"/>
    <w:rsid w:val="00614ACB"/>
    <w:rsid w:val="00620FFA"/>
    <w:rsid w:val="00622DA7"/>
    <w:rsid w:val="006234A7"/>
    <w:rsid w:val="006250B8"/>
    <w:rsid w:val="006250FF"/>
    <w:rsid w:val="006277A1"/>
    <w:rsid w:val="006306B1"/>
    <w:rsid w:val="006318F1"/>
    <w:rsid w:val="006351D9"/>
    <w:rsid w:val="00637130"/>
    <w:rsid w:val="00637F0E"/>
    <w:rsid w:val="006423F2"/>
    <w:rsid w:val="00643207"/>
    <w:rsid w:val="00643855"/>
    <w:rsid w:val="00644E55"/>
    <w:rsid w:val="00646224"/>
    <w:rsid w:val="00651E6C"/>
    <w:rsid w:val="00656B9C"/>
    <w:rsid w:val="0066432A"/>
    <w:rsid w:val="00665086"/>
    <w:rsid w:val="0067054A"/>
    <w:rsid w:val="006729E5"/>
    <w:rsid w:val="006754A2"/>
    <w:rsid w:val="006825B6"/>
    <w:rsid w:val="0068612D"/>
    <w:rsid w:val="00686EBF"/>
    <w:rsid w:val="00692B92"/>
    <w:rsid w:val="00692CCD"/>
    <w:rsid w:val="00694ECC"/>
    <w:rsid w:val="00697F32"/>
    <w:rsid w:val="006A0B3D"/>
    <w:rsid w:val="006A1F0B"/>
    <w:rsid w:val="006A277A"/>
    <w:rsid w:val="006B0421"/>
    <w:rsid w:val="006B21E5"/>
    <w:rsid w:val="006B228A"/>
    <w:rsid w:val="006B384D"/>
    <w:rsid w:val="006C2F41"/>
    <w:rsid w:val="006C7DBA"/>
    <w:rsid w:val="006D0FAC"/>
    <w:rsid w:val="006D420C"/>
    <w:rsid w:val="006D4504"/>
    <w:rsid w:val="006D5D8D"/>
    <w:rsid w:val="006D6A9E"/>
    <w:rsid w:val="006D6B44"/>
    <w:rsid w:val="006D7271"/>
    <w:rsid w:val="006E0142"/>
    <w:rsid w:val="006E2EBF"/>
    <w:rsid w:val="006E3A00"/>
    <w:rsid w:val="006E4232"/>
    <w:rsid w:val="006F1B4F"/>
    <w:rsid w:val="006F1F7E"/>
    <w:rsid w:val="006F5885"/>
    <w:rsid w:val="007016B0"/>
    <w:rsid w:val="00703FD5"/>
    <w:rsid w:val="0070541E"/>
    <w:rsid w:val="0070553F"/>
    <w:rsid w:val="00705DEC"/>
    <w:rsid w:val="007072A1"/>
    <w:rsid w:val="00710BC5"/>
    <w:rsid w:val="00710E5E"/>
    <w:rsid w:val="007112B7"/>
    <w:rsid w:val="0071466C"/>
    <w:rsid w:val="0072003B"/>
    <w:rsid w:val="00731381"/>
    <w:rsid w:val="007357B9"/>
    <w:rsid w:val="00740D21"/>
    <w:rsid w:val="007452E8"/>
    <w:rsid w:val="00745F89"/>
    <w:rsid w:val="00746990"/>
    <w:rsid w:val="007479BE"/>
    <w:rsid w:val="00747DA8"/>
    <w:rsid w:val="00750D70"/>
    <w:rsid w:val="007513B7"/>
    <w:rsid w:val="0075626F"/>
    <w:rsid w:val="00763FF0"/>
    <w:rsid w:val="007737F1"/>
    <w:rsid w:val="00776ED6"/>
    <w:rsid w:val="00781704"/>
    <w:rsid w:val="00781CFA"/>
    <w:rsid w:val="00782EE5"/>
    <w:rsid w:val="00783CC0"/>
    <w:rsid w:val="00783E6A"/>
    <w:rsid w:val="00785267"/>
    <w:rsid w:val="00786A59"/>
    <w:rsid w:val="007900BC"/>
    <w:rsid w:val="00792A32"/>
    <w:rsid w:val="00793272"/>
    <w:rsid w:val="007A0AA6"/>
    <w:rsid w:val="007A2426"/>
    <w:rsid w:val="007B04DE"/>
    <w:rsid w:val="007B09A6"/>
    <w:rsid w:val="007B3123"/>
    <w:rsid w:val="007B31D0"/>
    <w:rsid w:val="007B377C"/>
    <w:rsid w:val="007B4AF1"/>
    <w:rsid w:val="007B6DF9"/>
    <w:rsid w:val="007B78C5"/>
    <w:rsid w:val="007C0509"/>
    <w:rsid w:val="007C142B"/>
    <w:rsid w:val="007C2588"/>
    <w:rsid w:val="007C57BC"/>
    <w:rsid w:val="007D30CE"/>
    <w:rsid w:val="007D3EF5"/>
    <w:rsid w:val="007D4138"/>
    <w:rsid w:val="007D4352"/>
    <w:rsid w:val="007D7452"/>
    <w:rsid w:val="007E00B0"/>
    <w:rsid w:val="007E535B"/>
    <w:rsid w:val="007E5817"/>
    <w:rsid w:val="007F078D"/>
    <w:rsid w:val="007F0A77"/>
    <w:rsid w:val="007F2B7C"/>
    <w:rsid w:val="007F50D3"/>
    <w:rsid w:val="007F730D"/>
    <w:rsid w:val="00800C42"/>
    <w:rsid w:val="00801390"/>
    <w:rsid w:val="00805BE4"/>
    <w:rsid w:val="008107CB"/>
    <w:rsid w:val="00811C5A"/>
    <w:rsid w:val="00812482"/>
    <w:rsid w:val="00814CCF"/>
    <w:rsid w:val="0081602F"/>
    <w:rsid w:val="008172DD"/>
    <w:rsid w:val="00817917"/>
    <w:rsid w:val="008214D5"/>
    <w:rsid w:val="00822FCB"/>
    <w:rsid w:val="00826007"/>
    <w:rsid w:val="008329DB"/>
    <w:rsid w:val="008349ED"/>
    <w:rsid w:val="00834FE2"/>
    <w:rsid w:val="008361C5"/>
    <w:rsid w:val="0083628F"/>
    <w:rsid w:val="00837005"/>
    <w:rsid w:val="00837AB9"/>
    <w:rsid w:val="00842F3F"/>
    <w:rsid w:val="00846342"/>
    <w:rsid w:val="0084663A"/>
    <w:rsid w:val="00850637"/>
    <w:rsid w:val="00854D98"/>
    <w:rsid w:val="00860B29"/>
    <w:rsid w:val="00867F07"/>
    <w:rsid w:val="00870FF0"/>
    <w:rsid w:val="0087147D"/>
    <w:rsid w:val="0087238F"/>
    <w:rsid w:val="008762BC"/>
    <w:rsid w:val="008804CF"/>
    <w:rsid w:val="00885AEA"/>
    <w:rsid w:val="008900AA"/>
    <w:rsid w:val="00890F7E"/>
    <w:rsid w:val="00894AF5"/>
    <w:rsid w:val="008964B3"/>
    <w:rsid w:val="00897B32"/>
    <w:rsid w:val="008A4593"/>
    <w:rsid w:val="008B02EE"/>
    <w:rsid w:val="008B0995"/>
    <w:rsid w:val="008B4DA3"/>
    <w:rsid w:val="008B799E"/>
    <w:rsid w:val="008C0173"/>
    <w:rsid w:val="008C49C6"/>
    <w:rsid w:val="008C4E27"/>
    <w:rsid w:val="008C5FC1"/>
    <w:rsid w:val="008C754C"/>
    <w:rsid w:val="008D3F78"/>
    <w:rsid w:val="008D4AA8"/>
    <w:rsid w:val="008D6A54"/>
    <w:rsid w:val="008E0012"/>
    <w:rsid w:val="008E0721"/>
    <w:rsid w:val="008E0D0B"/>
    <w:rsid w:val="008E2301"/>
    <w:rsid w:val="008E3C43"/>
    <w:rsid w:val="008E56F7"/>
    <w:rsid w:val="008E5DA3"/>
    <w:rsid w:val="008E6FA3"/>
    <w:rsid w:val="008F0A90"/>
    <w:rsid w:val="008F2C1C"/>
    <w:rsid w:val="008F2F74"/>
    <w:rsid w:val="008F7514"/>
    <w:rsid w:val="0090605E"/>
    <w:rsid w:val="009108CE"/>
    <w:rsid w:val="00910EFA"/>
    <w:rsid w:val="00911110"/>
    <w:rsid w:val="00914B93"/>
    <w:rsid w:val="00914F3B"/>
    <w:rsid w:val="00915A9F"/>
    <w:rsid w:val="00917659"/>
    <w:rsid w:val="00920AAC"/>
    <w:rsid w:val="00924E58"/>
    <w:rsid w:val="00926487"/>
    <w:rsid w:val="00927E54"/>
    <w:rsid w:val="00930D58"/>
    <w:rsid w:val="00932259"/>
    <w:rsid w:val="00933B25"/>
    <w:rsid w:val="009346E3"/>
    <w:rsid w:val="00942B39"/>
    <w:rsid w:val="009511A8"/>
    <w:rsid w:val="0095138A"/>
    <w:rsid w:val="00953B72"/>
    <w:rsid w:val="00953E25"/>
    <w:rsid w:val="00954900"/>
    <w:rsid w:val="00955C07"/>
    <w:rsid w:val="00963EC7"/>
    <w:rsid w:val="00966EF1"/>
    <w:rsid w:val="00971658"/>
    <w:rsid w:val="0097486F"/>
    <w:rsid w:val="00976259"/>
    <w:rsid w:val="009771FD"/>
    <w:rsid w:val="00982ECB"/>
    <w:rsid w:val="0098350E"/>
    <w:rsid w:val="00983653"/>
    <w:rsid w:val="00984222"/>
    <w:rsid w:val="00984F85"/>
    <w:rsid w:val="00985C8E"/>
    <w:rsid w:val="00996FA5"/>
    <w:rsid w:val="009A09B9"/>
    <w:rsid w:val="009A3297"/>
    <w:rsid w:val="009A34A8"/>
    <w:rsid w:val="009A769C"/>
    <w:rsid w:val="009B5EB8"/>
    <w:rsid w:val="009C04AB"/>
    <w:rsid w:val="009C2933"/>
    <w:rsid w:val="009C5047"/>
    <w:rsid w:val="009D1A4A"/>
    <w:rsid w:val="009D1AC9"/>
    <w:rsid w:val="009D1F4E"/>
    <w:rsid w:val="009D2C12"/>
    <w:rsid w:val="009D4FBB"/>
    <w:rsid w:val="009E129C"/>
    <w:rsid w:val="009E6F8C"/>
    <w:rsid w:val="009F5339"/>
    <w:rsid w:val="00A01C56"/>
    <w:rsid w:val="00A02311"/>
    <w:rsid w:val="00A066B4"/>
    <w:rsid w:val="00A07019"/>
    <w:rsid w:val="00A07752"/>
    <w:rsid w:val="00A12816"/>
    <w:rsid w:val="00A1430F"/>
    <w:rsid w:val="00A15F50"/>
    <w:rsid w:val="00A16E26"/>
    <w:rsid w:val="00A2166F"/>
    <w:rsid w:val="00A231A4"/>
    <w:rsid w:val="00A26656"/>
    <w:rsid w:val="00A30CF4"/>
    <w:rsid w:val="00A32530"/>
    <w:rsid w:val="00A32C03"/>
    <w:rsid w:val="00A358E7"/>
    <w:rsid w:val="00A40296"/>
    <w:rsid w:val="00A41237"/>
    <w:rsid w:val="00A51A2D"/>
    <w:rsid w:val="00A52D73"/>
    <w:rsid w:val="00A55998"/>
    <w:rsid w:val="00A6208A"/>
    <w:rsid w:val="00A63D9B"/>
    <w:rsid w:val="00A66D7D"/>
    <w:rsid w:val="00A72387"/>
    <w:rsid w:val="00A731CA"/>
    <w:rsid w:val="00A84BD7"/>
    <w:rsid w:val="00A8737A"/>
    <w:rsid w:val="00A91C4E"/>
    <w:rsid w:val="00A93DC6"/>
    <w:rsid w:val="00A946A4"/>
    <w:rsid w:val="00A9470A"/>
    <w:rsid w:val="00AA1896"/>
    <w:rsid w:val="00AA2B58"/>
    <w:rsid w:val="00AA3E37"/>
    <w:rsid w:val="00AA53F4"/>
    <w:rsid w:val="00AA63BA"/>
    <w:rsid w:val="00AB0C28"/>
    <w:rsid w:val="00AB4550"/>
    <w:rsid w:val="00AB505D"/>
    <w:rsid w:val="00AB7CBF"/>
    <w:rsid w:val="00AC4279"/>
    <w:rsid w:val="00AC4A05"/>
    <w:rsid w:val="00AD13AF"/>
    <w:rsid w:val="00AD17B3"/>
    <w:rsid w:val="00AD1DE9"/>
    <w:rsid w:val="00AD20FB"/>
    <w:rsid w:val="00AD2210"/>
    <w:rsid w:val="00AE1947"/>
    <w:rsid w:val="00AE36B1"/>
    <w:rsid w:val="00AE63C4"/>
    <w:rsid w:val="00AE6ECE"/>
    <w:rsid w:val="00AE7DCF"/>
    <w:rsid w:val="00AE7F22"/>
    <w:rsid w:val="00AF43FA"/>
    <w:rsid w:val="00AF51CA"/>
    <w:rsid w:val="00AF628C"/>
    <w:rsid w:val="00B00149"/>
    <w:rsid w:val="00B03444"/>
    <w:rsid w:val="00B0694F"/>
    <w:rsid w:val="00B155D0"/>
    <w:rsid w:val="00B16525"/>
    <w:rsid w:val="00B17183"/>
    <w:rsid w:val="00B17D10"/>
    <w:rsid w:val="00B17FB8"/>
    <w:rsid w:val="00B24A73"/>
    <w:rsid w:val="00B26E2B"/>
    <w:rsid w:val="00B31055"/>
    <w:rsid w:val="00B3560F"/>
    <w:rsid w:val="00B370CC"/>
    <w:rsid w:val="00B379B5"/>
    <w:rsid w:val="00B413C6"/>
    <w:rsid w:val="00B422B3"/>
    <w:rsid w:val="00B4420C"/>
    <w:rsid w:val="00B461F2"/>
    <w:rsid w:val="00B46BC0"/>
    <w:rsid w:val="00B50BA6"/>
    <w:rsid w:val="00B50EA4"/>
    <w:rsid w:val="00B52660"/>
    <w:rsid w:val="00B55681"/>
    <w:rsid w:val="00B64774"/>
    <w:rsid w:val="00B657E1"/>
    <w:rsid w:val="00B66674"/>
    <w:rsid w:val="00B67493"/>
    <w:rsid w:val="00B72D6A"/>
    <w:rsid w:val="00B75ABD"/>
    <w:rsid w:val="00B76C10"/>
    <w:rsid w:val="00B76D30"/>
    <w:rsid w:val="00B86671"/>
    <w:rsid w:val="00B86A91"/>
    <w:rsid w:val="00B87B25"/>
    <w:rsid w:val="00B90994"/>
    <w:rsid w:val="00B910B4"/>
    <w:rsid w:val="00B9439E"/>
    <w:rsid w:val="00B96279"/>
    <w:rsid w:val="00B967FF"/>
    <w:rsid w:val="00B96BF9"/>
    <w:rsid w:val="00BA0DFC"/>
    <w:rsid w:val="00BA2703"/>
    <w:rsid w:val="00BA5DBB"/>
    <w:rsid w:val="00BA7F7D"/>
    <w:rsid w:val="00BB1C14"/>
    <w:rsid w:val="00BB7425"/>
    <w:rsid w:val="00BC02F7"/>
    <w:rsid w:val="00BD07DF"/>
    <w:rsid w:val="00BD3744"/>
    <w:rsid w:val="00BD5DBD"/>
    <w:rsid w:val="00BD761D"/>
    <w:rsid w:val="00BD7ED8"/>
    <w:rsid w:val="00BE0EF5"/>
    <w:rsid w:val="00BE2069"/>
    <w:rsid w:val="00BF0683"/>
    <w:rsid w:val="00BF20C4"/>
    <w:rsid w:val="00BF2F99"/>
    <w:rsid w:val="00BF3968"/>
    <w:rsid w:val="00BF4638"/>
    <w:rsid w:val="00BF6B00"/>
    <w:rsid w:val="00C06864"/>
    <w:rsid w:val="00C06F1F"/>
    <w:rsid w:val="00C07551"/>
    <w:rsid w:val="00C110E7"/>
    <w:rsid w:val="00C1288D"/>
    <w:rsid w:val="00C133A3"/>
    <w:rsid w:val="00C173E0"/>
    <w:rsid w:val="00C22214"/>
    <w:rsid w:val="00C230C3"/>
    <w:rsid w:val="00C233DE"/>
    <w:rsid w:val="00C26406"/>
    <w:rsid w:val="00C27602"/>
    <w:rsid w:val="00C27F19"/>
    <w:rsid w:val="00C407AB"/>
    <w:rsid w:val="00C43ED1"/>
    <w:rsid w:val="00C467F0"/>
    <w:rsid w:val="00C469C5"/>
    <w:rsid w:val="00C4721A"/>
    <w:rsid w:val="00C47B37"/>
    <w:rsid w:val="00C51908"/>
    <w:rsid w:val="00C524E8"/>
    <w:rsid w:val="00C52823"/>
    <w:rsid w:val="00C52BE0"/>
    <w:rsid w:val="00C533FE"/>
    <w:rsid w:val="00C570FF"/>
    <w:rsid w:val="00C605B9"/>
    <w:rsid w:val="00C62E64"/>
    <w:rsid w:val="00C6574E"/>
    <w:rsid w:val="00C66475"/>
    <w:rsid w:val="00C72EFA"/>
    <w:rsid w:val="00C7465D"/>
    <w:rsid w:val="00C76512"/>
    <w:rsid w:val="00C80137"/>
    <w:rsid w:val="00C816C6"/>
    <w:rsid w:val="00C845F5"/>
    <w:rsid w:val="00C92B27"/>
    <w:rsid w:val="00C936B1"/>
    <w:rsid w:val="00CA25F2"/>
    <w:rsid w:val="00CA26EF"/>
    <w:rsid w:val="00CA2F64"/>
    <w:rsid w:val="00CA3ABB"/>
    <w:rsid w:val="00CA4DE6"/>
    <w:rsid w:val="00CB0550"/>
    <w:rsid w:val="00CB1821"/>
    <w:rsid w:val="00CB6A84"/>
    <w:rsid w:val="00CC0DE8"/>
    <w:rsid w:val="00CC3DED"/>
    <w:rsid w:val="00CC58AF"/>
    <w:rsid w:val="00CD577A"/>
    <w:rsid w:val="00CD5E4B"/>
    <w:rsid w:val="00CE0E0E"/>
    <w:rsid w:val="00CE0FC7"/>
    <w:rsid w:val="00CE4AA8"/>
    <w:rsid w:val="00CE5901"/>
    <w:rsid w:val="00CE5DD7"/>
    <w:rsid w:val="00CF5BB4"/>
    <w:rsid w:val="00CF65B2"/>
    <w:rsid w:val="00D004A9"/>
    <w:rsid w:val="00D01DDB"/>
    <w:rsid w:val="00D078BE"/>
    <w:rsid w:val="00D12658"/>
    <w:rsid w:val="00D13F8A"/>
    <w:rsid w:val="00D147D8"/>
    <w:rsid w:val="00D14815"/>
    <w:rsid w:val="00D15E2D"/>
    <w:rsid w:val="00D17A6C"/>
    <w:rsid w:val="00D21CCA"/>
    <w:rsid w:val="00D22851"/>
    <w:rsid w:val="00D23139"/>
    <w:rsid w:val="00D30344"/>
    <w:rsid w:val="00D346C7"/>
    <w:rsid w:val="00D34ADC"/>
    <w:rsid w:val="00D376EA"/>
    <w:rsid w:val="00D52745"/>
    <w:rsid w:val="00D609ED"/>
    <w:rsid w:val="00D61D1D"/>
    <w:rsid w:val="00D62877"/>
    <w:rsid w:val="00D63760"/>
    <w:rsid w:val="00D678E5"/>
    <w:rsid w:val="00D7242B"/>
    <w:rsid w:val="00D747A9"/>
    <w:rsid w:val="00D76357"/>
    <w:rsid w:val="00D76F60"/>
    <w:rsid w:val="00D81F69"/>
    <w:rsid w:val="00D822E0"/>
    <w:rsid w:val="00D84987"/>
    <w:rsid w:val="00D87A11"/>
    <w:rsid w:val="00D90E55"/>
    <w:rsid w:val="00D918D5"/>
    <w:rsid w:val="00D94613"/>
    <w:rsid w:val="00D94C8E"/>
    <w:rsid w:val="00DA3FE6"/>
    <w:rsid w:val="00DB05BA"/>
    <w:rsid w:val="00DB18DD"/>
    <w:rsid w:val="00DB192C"/>
    <w:rsid w:val="00DB1CF3"/>
    <w:rsid w:val="00DB2A9E"/>
    <w:rsid w:val="00DC61C3"/>
    <w:rsid w:val="00DD03F7"/>
    <w:rsid w:val="00DD0BA0"/>
    <w:rsid w:val="00DD736B"/>
    <w:rsid w:val="00DD7A9D"/>
    <w:rsid w:val="00DE386B"/>
    <w:rsid w:val="00DE4A45"/>
    <w:rsid w:val="00DE6EC4"/>
    <w:rsid w:val="00DE7368"/>
    <w:rsid w:val="00DE785B"/>
    <w:rsid w:val="00DF0652"/>
    <w:rsid w:val="00DF08E7"/>
    <w:rsid w:val="00DF0FA3"/>
    <w:rsid w:val="00DF37AF"/>
    <w:rsid w:val="00DF5BFE"/>
    <w:rsid w:val="00DF5FFE"/>
    <w:rsid w:val="00DF7586"/>
    <w:rsid w:val="00DF7A46"/>
    <w:rsid w:val="00E035E9"/>
    <w:rsid w:val="00E1198B"/>
    <w:rsid w:val="00E2200E"/>
    <w:rsid w:val="00E22C49"/>
    <w:rsid w:val="00E24953"/>
    <w:rsid w:val="00E2627B"/>
    <w:rsid w:val="00E34092"/>
    <w:rsid w:val="00E405FE"/>
    <w:rsid w:val="00E40A3F"/>
    <w:rsid w:val="00E412E3"/>
    <w:rsid w:val="00E43455"/>
    <w:rsid w:val="00E44877"/>
    <w:rsid w:val="00E463EF"/>
    <w:rsid w:val="00E47E0C"/>
    <w:rsid w:val="00E47E52"/>
    <w:rsid w:val="00E51813"/>
    <w:rsid w:val="00E53D3F"/>
    <w:rsid w:val="00E5579B"/>
    <w:rsid w:val="00E566ED"/>
    <w:rsid w:val="00E57BFF"/>
    <w:rsid w:val="00E64694"/>
    <w:rsid w:val="00E652B8"/>
    <w:rsid w:val="00E65C79"/>
    <w:rsid w:val="00E72043"/>
    <w:rsid w:val="00E75D6F"/>
    <w:rsid w:val="00E80E9F"/>
    <w:rsid w:val="00E8696A"/>
    <w:rsid w:val="00E86EE7"/>
    <w:rsid w:val="00E900CC"/>
    <w:rsid w:val="00E92C0B"/>
    <w:rsid w:val="00EA7738"/>
    <w:rsid w:val="00EB2EA5"/>
    <w:rsid w:val="00EC2362"/>
    <w:rsid w:val="00EC4EF2"/>
    <w:rsid w:val="00EC6CEB"/>
    <w:rsid w:val="00ED16CC"/>
    <w:rsid w:val="00ED3CC2"/>
    <w:rsid w:val="00ED3EFB"/>
    <w:rsid w:val="00ED4DE4"/>
    <w:rsid w:val="00ED7E7F"/>
    <w:rsid w:val="00EE1523"/>
    <w:rsid w:val="00EE4C26"/>
    <w:rsid w:val="00EE5E09"/>
    <w:rsid w:val="00EF08F8"/>
    <w:rsid w:val="00EF50EA"/>
    <w:rsid w:val="00EF7E11"/>
    <w:rsid w:val="00F01D57"/>
    <w:rsid w:val="00F01F61"/>
    <w:rsid w:val="00F02AA8"/>
    <w:rsid w:val="00F02AEC"/>
    <w:rsid w:val="00F03A27"/>
    <w:rsid w:val="00F042C3"/>
    <w:rsid w:val="00F108BD"/>
    <w:rsid w:val="00F157FC"/>
    <w:rsid w:val="00F221C7"/>
    <w:rsid w:val="00F269AA"/>
    <w:rsid w:val="00F30AF3"/>
    <w:rsid w:val="00F31F4A"/>
    <w:rsid w:val="00F341EC"/>
    <w:rsid w:val="00F36DAA"/>
    <w:rsid w:val="00F36DF0"/>
    <w:rsid w:val="00F45A34"/>
    <w:rsid w:val="00F4613A"/>
    <w:rsid w:val="00F47D06"/>
    <w:rsid w:val="00F47E7D"/>
    <w:rsid w:val="00F50AAC"/>
    <w:rsid w:val="00F5319D"/>
    <w:rsid w:val="00F5790E"/>
    <w:rsid w:val="00F57A57"/>
    <w:rsid w:val="00F60C18"/>
    <w:rsid w:val="00F61190"/>
    <w:rsid w:val="00F626B8"/>
    <w:rsid w:val="00F6323B"/>
    <w:rsid w:val="00F634DA"/>
    <w:rsid w:val="00F64651"/>
    <w:rsid w:val="00F657B4"/>
    <w:rsid w:val="00F66BE0"/>
    <w:rsid w:val="00F671D1"/>
    <w:rsid w:val="00F7089A"/>
    <w:rsid w:val="00F717EB"/>
    <w:rsid w:val="00F73346"/>
    <w:rsid w:val="00F73F60"/>
    <w:rsid w:val="00F76312"/>
    <w:rsid w:val="00F76C4B"/>
    <w:rsid w:val="00F76E68"/>
    <w:rsid w:val="00F826E5"/>
    <w:rsid w:val="00F84864"/>
    <w:rsid w:val="00F865A7"/>
    <w:rsid w:val="00F865C4"/>
    <w:rsid w:val="00F87EEE"/>
    <w:rsid w:val="00F915BB"/>
    <w:rsid w:val="00F940A8"/>
    <w:rsid w:val="00F96488"/>
    <w:rsid w:val="00FA0754"/>
    <w:rsid w:val="00FA1BC9"/>
    <w:rsid w:val="00FA49C3"/>
    <w:rsid w:val="00FB236E"/>
    <w:rsid w:val="00FC1610"/>
    <w:rsid w:val="00FC3855"/>
    <w:rsid w:val="00FC4627"/>
    <w:rsid w:val="00FC6698"/>
    <w:rsid w:val="00FC6F56"/>
    <w:rsid w:val="00FD119B"/>
    <w:rsid w:val="00FD17B5"/>
    <w:rsid w:val="00FD248A"/>
    <w:rsid w:val="00FD4635"/>
    <w:rsid w:val="00FD5551"/>
    <w:rsid w:val="00FD5599"/>
    <w:rsid w:val="00FD5D90"/>
    <w:rsid w:val="00FD601C"/>
    <w:rsid w:val="00FD7171"/>
    <w:rsid w:val="00FE087C"/>
    <w:rsid w:val="00FE0D3B"/>
    <w:rsid w:val="00FE2AC5"/>
    <w:rsid w:val="00FE35B3"/>
    <w:rsid w:val="00FE41A0"/>
    <w:rsid w:val="00FE501F"/>
    <w:rsid w:val="00FF24BD"/>
    <w:rsid w:val="00FF4DEB"/>
    <w:rsid w:val="00FF5F94"/>
    <w:rsid w:val="00FF7DA4"/>
    <w:rsid w:val="01C963C1"/>
    <w:rsid w:val="0C6F6609"/>
    <w:rsid w:val="1411CFD0"/>
    <w:rsid w:val="7881C7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4C024"/>
  <w15:chartTrackingRefBased/>
  <w15:docId w15:val="{215B800C-7794-48D7-8227-71CE36C7C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5C585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281FA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Default">
    <w:name w:val="Default"/>
    <w:rsid w:val="00927E54"/>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5B74CC"/>
    <w:pPr>
      <w:adjustRightInd w:val="0"/>
      <w:snapToGrid w:val="0"/>
      <w:spacing w:before="180" w:after="180" w:line="240" w:lineRule="atLeast"/>
      <w:ind w:left="720"/>
      <w:contextualSpacing/>
    </w:pPr>
    <w:rPr>
      <w:rFonts w:eastAsia="MS Mincho" w:cs="Times New Roman"/>
      <w:lang w:eastAsia="ja-JP"/>
    </w:rPr>
  </w:style>
  <w:style w:type="paragraph" w:customStyle="1" w:styleId="Bulletpoint">
    <w:name w:val="Bullet point"/>
    <w:basedOn w:val="Normal"/>
    <w:link w:val="BulletpointChar"/>
    <w:rsid w:val="00341282"/>
    <w:pPr>
      <w:numPr>
        <w:numId w:val="11"/>
      </w:numPr>
      <w:tabs>
        <w:tab w:val="clear" w:pos="369"/>
        <w:tab w:val="left" w:pos="397"/>
        <w:tab w:val="num" w:pos="511"/>
      </w:tabs>
      <w:spacing w:after="180" w:line="252" w:lineRule="auto"/>
    </w:pPr>
    <w:rPr>
      <w:rFonts w:eastAsia="Times New Roman" w:cs="Times New Roman"/>
      <w:snapToGrid w:val="0"/>
      <w:kern w:val="16"/>
      <w:szCs w:val="24"/>
    </w:rPr>
  </w:style>
  <w:style w:type="character" w:customStyle="1" w:styleId="BulletpointChar">
    <w:name w:val="Bullet point Char"/>
    <w:basedOn w:val="DefaultParagraphFont"/>
    <w:link w:val="Bulletpoint"/>
    <w:rsid w:val="00341282"/>
    <w:rPr>
      <w:rFonts w:ascii="Cambria" w:eastAsia="Times New Roman" w:hAnsi="Cambria" w:cs="Times New Roman"/>
      <w:snapToGrid w:val="0"/>
      <w:kern w:val="16"/>
      <w:sz w:val="22"/>
      <w:szCs w:val="24"/>
    </w:rPr>
  </w:style>
  <w:style w:type="paragraph" w:styleId="NormalWeb">
    <w:name w:val="Normal (Web)"/>
    <w:basedOn w:val="Normal"/>
    <w:uiPriority w:val="99"/>
    <w:semiHidden/>
    <w:unhideWhenUsed/>
    <w:rsid w:val="00BF20C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text0">
    <w:name w:val="Table text"/>
    <w:basedOn w:val="Normal"/>
    <w:link w:val="TabletextChar"/>
    <w:qFormat/>
    <w:rsid w:val="00A231A4"/>
    <w:pPr>
      <w:spacing w:before="120" w:line="240" w:lineRule="atLeast"/>
    </w:pPr>
    <w:rPr>
      <w:rFonts w:eastAsia="Cambria" w:cs="Times New Roman"/>
      <w:kern w:val="16"/>
      <w:sz w:val="19"/>
      <w:szCs w:val="22"/>
    </w:rPr>
  </w:style>
  <w:style w:type="paragraph" w:customStyle="1" w:styleId="Standard">
    <w:name w:val="Standard"/>
    <w:basedOn w:val="Normal"/>
    <w:link w:val="StandardChar"/>
    <w:qFormat/>
    <w:rsid w:val="00A231A4"/>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A231A4"/>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0"/>
    <w:rsid w:val="00A231A4"/>
    <w:rPr>
      <w:rFonts w:ascii="Cambria" w:eastAsia="Cambria" w:hAnsi="Cambria" w:cs="Times New Roman"/>
      <w:snapToGrid/>
      <w:kern w:val="16"/>
      <w:sz w:val="19"/>
      <w:szCs w:val="22"/>
    </w:rPr>
  </w:style>
  <w:style w:type="paragraph" w:customStyle="1" w:styleId="Bulletlist">
    <w:name w:val="Bullet list"/>
    <w:basedOn w:val="Standard"/>
    <w:link w:val="BulletlistChar"/>
    <w:qFormat/>
    <w:rsid w:val="00A231A4"/>
    <w:pPr>
      <w:numPr>
        <w:numId w:val="12"/>
      </w:numPr>
      <w:spacing w:after="180"/>
      <w:ind w:left="426" w:hanging="284"/>
    </w:pPr>
    <w:rPr>
      <w:kern w:val="2"/>
    </w:rPr>
  </w:style>
  <w:style w:type="character" w:customStyle="1" w:styleId="BulletlistChar">
    <w:name w:val="Bullet list Char"/>
    <w:basedOn w:val="StandardChar"/>
    <w:link w:val="Bulletlist"/>
    <w:rsid w:val="00A231A4"/>
    <w:rPr>
      <w:rFonts w:ascii="Cambria" w:eastAsia="Times New Roman" w:hAnsi="Cambria" w:cs="Times New Roman"/>
      <w:snapToGrid w:val="0"/>
      <w:kern w:val="2"/>
      <w:sz w:val="23"/>
      <w:szCs w:val="24"/>
    </w:rPr>
  </w:style>
  <w:style w:type="character" w:customStyle="1" w:styleId="Heading7Char">
    <w:name w:val="Heading 7 Char"/>
    <w:basedOn w:val="DefaultParagraphFont"/>
    <w:link w:val="Heading7"/>
    <w:uiPriority w:val="9"/>
    <w:rsid w:val="005C585A"/>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281FAE"/>
    <w:rPr>
      <w:rFonts w:asciiTheme="majorHAnsi" w:eastAsiaTheme="majorEastAsia" w:hAnsiTheme="majorHAnsi" w:cstheme="majorBidi"/>
      <w:color w:val="272727" w:themeColor="text1" w:themeTint="D8"/>
      <w:sz w:val="21"/>
      <w:szCs w:val="21"/>
    </w:rPr>
  </w:style>
  <w:style w:type="character" w:customStyle="1" w:styleId="Mention1">
    <w:name w:val="Mention1"/>
    <w:basedOn w:val="DefaultParagraphFont"/>
    <w:uiPriority w:val="99"/>
    <w:rsid w:val="00837005"/>
    <w:rPr>
      <w:color w:val="2B579A"/>
      <w:shd w:val="clear" w:color="auto" w:fill="E1DFDD"/>
    </w:rPr>
  </w:style>
  <w:style w:type="character" w:styleId="UnresolvedMention">
    <w:name w:val="Unresolved Mention"/>
    <w:basedOn w:val="DefaultParagraphFont"/>
    <w:uiPriority w:val="99"/>
    <w:rsid w:val="00C11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87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8.png"/><Relationship Id="rId39" Type="http://schemas.openxmlformats.org/officeDocument/2006/relationships/hyperlink" Target="mailto:info@tga.gov.au" TargetMode="External"/><Relationship Id="rId3" Type="http://schemas.openxmlformats.org/officeDocument/2006/relationships/customXml" Target="../customXml/item3.xml"/><Relationship Id="rId21" Type="http://schemas.openxmlformats.org/officeDocument/2006/relationships/hyperlink" Target="https://www.tga.gov.au/resources/publication/publications/priority-registration-process" TargetMode="External"/><Relationship Id="rId34" Type="http://schemas.openxmlformats.org/officeDocument/2006/relationships/image" Target="media/image16.emf"/><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obstetric-drug-information-services" TargetMode="External"/><Relationship Id="rId29" Type="http://schemas.openxmlformats.org/officeDocument/2006/relationships/image" Target="media/image11.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header" Target="header3.xml"/><Relationship Id="rId40" Type="http://schemas.openxmlformats.org/officeDocument/2006/relationships/hyperlink" Target="https://www.tga.gov.au" TargetMode="Externa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tga.gov.au/picmi-search-facility" TargetMode="Externa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tga.gov.au/about-tga/advisory-bodies-and-committees/advisory-committee-medicines-acm"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fda.gov/media/86284/download" TargetMode="External"/><Relationship Id="rId1" Type="http://schemas.openxmlformats.org/officeDocument/2006/relationships/hyperlink" Target="https://data.kirby.unsw.edu.au/hiv"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BEC1A56946CC47800305D318F21352" ma:contentTypeVersion="9" ma:contentTypeDescription="Create a new document." ma:contentTypeScope="" ma:versionID="ab200c74c5587475d08db1b7c2c20a5e">
  <xsd:schema xmlns:xsd="http://www.w3.org/2001/XMLSchema" xmlns:xs="http://www.w3.org/2001/XMLSchema" xmlns:p="http://schemas.microsoft.com/office/2006/metadata/properties" xmlns:ns1="http://schemas.microsoft.com/sharepoint/v3" xmlns:ns2="1b7aa12a-a660-41e1-becf-ba6eeace7fe3" xmlns:ns3="13ab2d4b-2fbe-4faf-b9c1-885f6996e8d7" targetNamespace="http://schemas.microsoft.com/office/2006/metadata/properties" ma:root="true" ma:fieldsID="e835af7faa93d2bafc20b0088873c6a7" ns1:_="" ns2:_="" ns3:_="">
    <xsd:import namespace="http://schemas.microsoft.com/sharepoint/v3"/>
    <xsd:import namespace="1b7aa12a-a660-41e1-becf-ba6eeace7fe3"/>
    <xsd:import namespace="13ab2d4b-2fbe-4faf-b9c1-885f6996e8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7aa12a-a660-41e1-becf-ba6eeace7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b2d4b-2fbe-4faf-b9c1-885f6996e8d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573ED-35C1-453A-90B7-337743357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7aa12a-a660-41e1-becf-ba6eeace7fe3"/>
    <ds:schemaRef ds:uri="13ab2d4b-2fbe-4faf-b9c1-885f6996e8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2B5931-CB6D-46ED-A7CC-B6F53E13469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1EFF112-049F-4A8F-B951-F16027D79CEE}">
  <ds:schemaRefs>
    <ds:schemaRef ds:uri="http://schemas.microsoft.com/sharepoint/v3/contenttype/forms"/>
  </ds:schemaRefs>
</ds:datastoreItem>
</file>

<file path=customXml/itemProps4.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14000</Words>
  <Characters>79802</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93615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dc:title>
  <dc:subject>Prescription medicine regulation</dc:subject>
  <dc:creator>Therapeutic Goods Administration</dc:creator>
  <cp:lastModifiedBy>LACK, Janet</cp:lastModifiedBy>
  <cp:revision>3</cp:revision>
  <dcterms:created xsi:type="dcterms:W3CDTF">2024-01-29T01:11:00Z</dcterms:created>
  <dcterms:modified xsi:type="dcterms:W3CDTF">2024-01-29T01:11:00Z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0x01010089BEC1A56946CC47800305D318F21352</vt:lpwstr>
  </property>
  <property fmtid="{D5CDD505-2E9C-101B-9397-08002B2CF9AE}" pid="3" name="MSIP_Label_16de74a9-4f8a-4c74-b507-22417e17d25b_ActionId">
    <vt:lpwstr>a229449a-0c96-4a18-bf0f-3d801e5a64f7</vt:lpwstr>
  </property>
  <property fmtid="{D5CDD505-2E9C-101B-9397-08002B2CF9AE}" pid="4" name="MSIP_Label_16de74a9-4f8a-4c74-b507-22417e17d25b_ContentBits">
    <vt:lpwstr>0</vt:lpwstr>
  </property>
  <property fmtid="{D5CDD505-2E9C-101B-9397-08002B2CF9AE}" pid="5" name="MSIP_Label_16de74a9-4f8a-4c74-b507-22417e17d25b_Enabled">
    <vt:lpwstr>true</vt:lpwstr>
  </property>
  <property fmtid="{D5CDD505-2E9C-101B-9397-08002B2CF9AE}" pid="6" name="MSIP_Label_16de74a9-4f8a-4c74-b507-22417e17d25b_Method">
    <vt:lpwstr>Privileged</vt:lpwstr>
  </property>
  <property fmtid="{D5CDD505-2E9C-101B-9397-08002B2CF9AE}" pid="7" name="MSIP_Label_16de74a9-4f8a-4c74-b507-22417e17d25b_Name">
    <vt:lpwstr>16de74a9-4f8a-4c74-b507-22417e17d25b</vt:lpwstr>
  </property>
  <property fmtid="{D5CDD505-2E9C-101B-9397-08002B2CF9AE}" pid="8" name="MSIP_Label_16de74a9-4f8a-4c74-b507-22417e17d25b_SetDate">
    <vt:lpwstr>2023-10-31T02:54:54Z</vt:lpwstr>
  </property>
  <property fmtid="{D5CDD505-2E9C-101B-9397-08002B2CF9AE}" pid="9" name="MSIP_Label_16de74a9-4f8a-4c74-b507-22417e17d25b_SiteId">
    <vt:lpwstr>a5a8bcaa-3292-41e6-b735-5e8b21f4dbfd</vt:lpwstr>
  </property>
</Properties>
</file>