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4366D17F" w:rsidR="00F02AEC" w:rsidRPr="00215D48" w:rsidRDefault="00457050" w:rsidP="002B29B2">
            <w:pPr>
              <w:pStyle w:val="Title"/>
            </w:pPr>
            <w:bookmarkStart w:id="0" w:name="_Hlk157064429"/>
            <w:r>
              <w:t xml:space="preserve">Notice of </w:t>
            </w:r>
            <w:r w:rsidR="00BF7232">
              <w:t>amendments to</w:t>
            </w:r>
            <w:r>
              <w:t xml:space="preserve"> the current Poisons Standard</w:t>
            </w:r>
            <w:r w:rsidR="00BF7232">
              <w:t xml:space="preserve"> in relation to New Chemical Entities (NCEs)</w:t>
            </w:r>
            <w:r w:rsidR="002B2451">
              <w:t>, January 2024</w:t>
            </w:r>
            <w:bookmarkEnd w:id="0"/>
          </w:p>
        </w:tc>
      </w:tr>
      <w:tr w:rsidR="00F02AEC" w:rsidRPr="00215D48" w14:paraId="5819680E" w14:textId="77777777" w:rsidTr="002B29B2">
        <w:trPr>
          <w:trHeight w:val="1916"/>
        </w:trPr>
        <w:tc>
          <w:tcPr>
            <w:tcW w:w="8720" w:type="dxa"/>
          </w:tcPr>
          <w:p w14:paraId="54DDB299" w14:textId="0CFA8CD6" w:rsidR="00F02AEC" w:rsidRPr="00215D48" w:rsidRDefault="002371BE" w:rsidP="00D1612F">
            <w:pPr>
              <w:pStyle w:val="Subtitle"/>
              <w:ind w:left="0"/>
            </w:pPr>
            <w:r>
              <w:t>25</w:t>
            </w:r>
            <w:r w:rsidR="00C4731F">
              <w:t xml:space="preserve"> January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FC1EB4">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088A5316" w:rsidR="00175CD8" w:rsidRPr="00DE78C9" w:rsidRDefault="00F02AEC" w:rsidP="00DE78C9">
      <w:pPr>
        <w:rPr>
          <w:sz w:val="16"/>
          <w:szCs w:val="16"/>
        </w:rPr>
      </w:pPr>
      <w:r w:rsidRPr="00DE78C9">
        <w:rPr>
          <w:sz w:val="16"/>
          <w:szCs w:val="16"/>
        </w:rPr>
        <w:t>© Commonwealth of Australia 202</w:t>
      </w:r>
      <w:r w:rsidR="00B149EE">
        <w:rPr>
          <w:sz w:val="16"/>
          <w:szCs w:val="16"/>
        </w:rPr>
        <w:t>4</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DE78C9">
          <w:rPr>
            <w:rStyle w:val="Hyperlink"/>
            <w:rFonts w:cs="Arial"/>
            <w:sz w:val="16"/>
            <w:szCs w:val="16"/>
          </w:rPr>
          <w:t>tga.copyright@tga.gov.au</w:t>
        </w:r>
      </w:hyperlink>
      <w:r w:rsidRPr="00DE78C9">
        <w:rPr>
          <w:sz w:val="16"/>
          <w:szCs w:val="16"/>
        </w:rPr>
        <w:t>&gt;.</w:t>
      </w:r>
    </w:p>
    <w:sdt>
      <w:sdtPr>
        <w:rPr>
          <w:rFonts w:ascii="Cambria" w:eastAsiaTheme="minorHAnsi" w:hAnsi="Cambria" w:cstheme="minorBidi"/>
          <w:b w:val="0"/>
          <w:color w:val="auto"/>
          <w:sz w:val="22"/>
        </w:rPr>
        <w:id w:val="21514769"/>
        <w:docPartObj>
          <w:docPartGallery w:val="Table of Contents"/>
          <w:docPartUnique/>
        </w:docPartObj>
      </w:sdtPr>
      <w:sdtEndPr>
        <w:rPr>
          <w:rFonts w:asciiTheme="minorHAnsi" w:hAnsiTheme="minorHAnsi"/>
          <w:color w:val="000000" w:themeColor="text1"/>
        </w:rPr>
      </w:sdtEndPr>
      <w:sdtContent>
        <w:p w14:paraId="495F5FE1" w14:textId="77777777" w:rsidR="00F02AEC" w:rsidRPr="00215D48" w:rsidRDefault="00F02AEC" w:rsidP="00967490">
          <w:pPr>
            <w:pStyle w:val="NonTOCheading2"/>
          </w:pPr>
          <w:r w:rsidRPr="00215D48">
            <w:t>Contents</w:t>
          </w:r>
        </w:p>
        <w:p w14:paraId="3C1E57A8" w14:textId="34586835" w:rsidR="00832C5D" w:rsidRDefault="00F02AEC">
          <w:pPr>
            <w:pStyle w:val="TOC1"/>
            <w:rPr>
              <w:rFonts w:asciiTheme="minorHAnsi" w:eastAsiaTheme="minorEastAsia" w:hAnsiTheme="minorHAnsi" w:cstheme="minorBidi"/>
              <w:b w:val="0"/>
              <w:noProof/>
              <w:color w:val="auto"/>
              <w:sz w:val="22"/>
              <w:lang w:eastAsia="en-AU"/>
            </w:rPr>
          </w:pPr>
          <w:r w:rsidRPr="00215D48">
            <w:fldChar w:fldCharType="begin"/>
          </w:r>
          <w:r w:rsidRPr="00215D48">
            <w:instrText xml:space="preserve"> TOC \h \z \u \t "Heading 2,1,Heading 3,2,Heading 4,3" </w:instrText>
          </w:r>
          <w:r w:rsidRPr="00215D48">
            <w:fldChar w:fldCharType="separate"/>
          </w:r>
          <w:hyperlink w:anchor="_Toc155258468" w:history="1">
            <w:r w:rsidR="00832C5D" w:rsidRPr="00115A8F">
              <w:rPr>
                <w:rStyle w:val="Hyperlink"/>
                <w:noProof/>
              </w:rPr>
              <w:t>Amendments to the Poison Standard in relation to New Chemical Entities (NCEs)</w:t>
            </w:r>
            <w:r w:rsidR="00832C5D">
              <w:rPr>
                <w:noProof/>
                <w:webHidden/>
              </w:rPr>
              <w:tab/>
            </w:r>
            <w:r w:rsidR="00832C5D">
              <w:rPr>
                <w:noProof/>
                <w:webHidden/>
              </w:rPr>
              <w:fldChar w:fldCharType="begin"/>
            </w:r>
            <w:r w:rsidR="00832C5D">
              <w:rPr>
                <w:noProof/>
                <w:webHidden/>
              </w:rPr>
              <w:instrText xml:space="preserve"> PAGEREF _Toc155258468 \h </w:instrText>
            </w:r>
            <w:r w:rsidR="00832C5D">
              <w:rPr>
                <w:noProof/>
                <w:webHidden/>
              </w:rPr>
            </w:r>
            <w:r w:rsidR="00832C5D">
              <w:rPr>
                <w:noProof/>
                <w:webHidden/>
              </w:rPr>
              <w:fldChar w:fldCharType="separate"/>
            </w:r>
            <w:r w:rsidR="00832C5D">
              <w:rPr>
                <w:noProof/>
                <w:webHidden/>
              </w:rPr>
              <w:t>4</w:t>
            </w:r>
            <w:r w:rsidR="00832C5D">
              <w:rPr>
                <w:noProof/>
                <w:webHidden/>
              </w:rPr>
              <w:fldChar w:fldCharType="end"/>
            </w:r>
          </w:hyperlink>
        </w:p>
        <w:p w14:paraId="73159FD8" w14:textId="20292935" w:rsidR="00832C5D" w:rsidRDefault="003A7BF5">
          <w:pPr>
            <w:pStyle w:val="TOC2"/>
            <w:rPr>
              <w:rFonts w:asciiTheme="minorHAnsi" w:eastAsiaTheme="minorEastAsia" w:hAnsiTheme="minorHAnsi" w:cstheme="minorBidi"/>
              <w:b w:val="0"/>
              <w:noProof/>
              <w:color w:val="auto"/>
              <w:sz w:val="22"/>
              <w:lang w:eastAsia="en-AU"/>
            </w:rPr>
          </w:pPr>
          <w:hyperlink w:anchor="_Toc155258469" w:history="1">
            <w:r w:rsidR="00832C5D" w:rsidRPr="00115A8F">
              <w:rPr>
                <w:rStyle w:val="Hyperlink"/>
                <w:noProof/>
              </w:rPr>
              <w:t>Palovarotene</w:t>
            </w:r>
            <w:r w:rsidR="00832C5D">
              <w:rPr>
                <w:noProof/>
                <w:webHidden/>
              </w:rPr>
              <w:tab/>
            </w:r>
            <w:r w:rsidR="00832C5D">
              <w:rPr>
                <w:noProof/>
                <w:webHidden/>
              </w:rPr>
              <w:fldChar w:fldCharType="begin"/>
            </w:r>
            <w:r w:rsidR="00832C5D">
              <w:rPr>
                <w:noProof/>
                <w:webHidden/>
              </w:rPr>
              <w:instrText xml:space="preserve"> PAGEREF _Toc155258469 \h </w:instrText>
            </w:r>
            <w:r w:rsidR="00832C5D">
              <w:rPr>
                <w:noProof/>
                <w:webHidden/>
              </w:rPr>
            </w:r>
            <w:r w:rsidR="00832C5D">
              <w:rPr>
                <w:noProof/>
                <w:webHidden/>
              </w:rPr>
              <w:fldChar w:fldCharType="separate"/>
            </w:r>
            <w:r w:rsidR="00832C5D">
              <w:rPr>
                <w:noProof/>
                <w:webHidden/>
              </w:rPr>
              <w:t>4</w:t>
            </w:r>
            <w:r w:rsidR="00832C5D">
              <w:rPr>
                <w:noProof/>
                <w:webHidden/>
              </w:rPr>
              <w:fldChar w:fldCharType="end"/>
            </w:r>
          </w:hyperlink>
        </w:p>
        <w:p w14:paraId="09B05728" w14:textId="41232838" w:rsidR="00F02AEC" w:rsidRPr="00215D48" w:rsidRDefault="00F02AEC" w:rsidP="00967490">
          <w:r w:rsidRPr="00215D48">
            <w:fldChar w:fldCharType="end"/>
          </w:r>
        </w:p>
      </w:sdtContent>
    </w:sdt>
    <w:p w14:paraId="7166D417" w14:textId="6EB7329E" w:rsidR="000D7942" w:rsidRPr="005069D2" w:rsidRDefault="000D7942" w:rsidP="00BF7232">
      <w:pPr>
        <w:pStyle w:val="Heading2"/>
      </w:pPr>
      <w:r>
        <w:br w:type="page"/>
      </w:r>
      <w:bookmarkStart w:id="1" w:name="_Toc155258468"/>
      <w:r w:rsidRPr="005069D2">
        <w:lastRenderedPageBreak/>
        <w:t>Amendments to the Poison Standard in relation to New Chemical Entities (NCEs)</w:t>
      </w:r>
      <w:bookmarkEnd w:id="1"/>
      <w:r w:rsidRPr="005069D2">
        <w:t xml:space="preserve"> </w:t>
      </w:r>
    </w:p>
    <w:p w14:paraId="65568A5C" w14:textId="1097AF1A" w:rsidR="000D7942" w:rsidRPr="00763440" w:rsidRDefault="000D7942" w:rsidP="00967490">
      <w:pPr>
        <w:rPr>
          <w:rFonts w:ascii="Arial" w:hAnsi="Arial" w:cs="Arial"/>
        </w:rPr>
      </w:pPr>
      <w:r w:rsidRPr="00763440">
        <w:rPr>
          <w:rFonts w:ascii="Arial" w:hAnsi="Arial" w:cs="Arial"/>
        </w:rPr>
        <w:t>The NCE listed below will be included in the new Poisons Standard that will come into effect on 1 February 20</w:t>
      </w:r>
      <w:r w:rsidR="00D20FC0" w:rsidRPr="00763440">
        <w:rPr>
          <w:rFonts w:ascii="Arial" w:hAnsi="Arial" w:cs="Arial"/>
        </w:rPr>
        <w:t>24</w:t>
      </w:r>
      <w:r w:rsidRPr="00763440">
        <w:rPr>
          <w:rFonts w:ascii="Arial" w:hAnsi="Arial" w:cs="Arial"/>
        </w:rPr>
        <w:t>.</w:t>
      </w:r>
      <w:r w:rsidR="00373E3A">
        <w:rPr>
          <w:rStyle w:val="FootnoteReference"/>
          <w:rFonts w:ascii="Arial" w:hAnsi="Arial" w:cs="Arial"/>
        </w:rPr>
        <w:footnoteReference w:id="1"/>
      </w:r>
    </w:p>
    <w:p w14:paraId="19CA7B70" w14:textId="756C3BCF" w:rsidR="000D7942" w:rsidRPr="00612683" w:rsidRDefault="00D20FC0" w:rsidP="000D7942">
      <w:pPr>
        <w:pStyle w:val="Heading3"/>
        <w:spacing w:before="240" w:line="220" w:lineRule="atLeast"/>
      </w:pPr>
      <w:bookmarkStart w:id="2" w:name="_Toc155258469"/>
      <w:r>
        <w:t>Palovarotene</w:t>
      </w:r>
      <w:bookmarkEnd w:id="2"/>
    </w:p>
    <w:tbl>
      <w:tblPr>
        <w:tblStyle w:val="TableGrid"/>
        <w:tblW w:w="8872" w:type="dxa"/>
        <w:tblInd w:w="495" w:type="dxa"/>
        <w:tblLook w:val="04A0" w:firstRow="1" w:lastRow="0" w:firstColumn="1" w:lastColumn="0" w:noHBand="0" w:noVBand="1"/>
      </w:tblPr>
      <w:tblGrid>
        <w:gridCol w:w="8872"/>
      </w:tblGrid>
      <w:tr w:rsidR="000D7942" w14:paraId="34913987" w14:textId="77777777" w:rsidTr="00CA7E83">
        <w:trPr>
          <w:trHeight w:val="7679"/>
        </w:trPr>
        <w:tc>
          <w:tcPr>
            <w:tcW w:w="8872" w:type="dxa"/>
          </w:tcPr>
          <w:p w14:paraId="07EE3D13" w14:textId="44B09C8E" w:rsidR="000D7942" w:rsidRPr="00555175" w:rsidRDefault="000D7942" w:rsidP="00EE0811">
            <w:pPr>
              <w:spacing w:before="120" w:after="120"/>
              <w:rPr>
                <w:rFonts w:asciiTheme="minorHAnsi" w:hAnsiTheme="minorHAnsi" w:cstheme="minorHAnsi"/>
              </w:rPr>
            </w:pPr>
            <w:r w:rsidRPr="00555175">
              <w:rPr>
                <w:rStyle w:val="Strong"/>
                <w:rFonts w:asciiTheme="minorHAnsi" w:hAnsiTheme="minorHAnsi" w:cstheme="minorHAnsi"/>
                <w:color w:val="000000"/>
              </w:rPr>
              <w:t xml:space="preserve">Schedule </w:t>
            </w:r>
            <w:r w:rsidR="00D20FC0" w:rsidRPr="00555175">
              <w:rPr>
                <w:rStyle w:val="Strong"/>
                <w:rFonts w:asciiTheme="minorHAnsi" w:hAnsiTheme="minorHAnsi" w:cstheme="minorHAnsi"/>
                <w:color w:val="000000"/>
              </w:rPr>
              <w:t xml:space="preserve">4 </w:t>
            </w:r>
            <w:r w:rsidRPr="00555175">
              <w:rPr>
                <w:rStyle w:val="Strong"/>
                <w:rFonts w:asciiTheme="minorHAnsi" w:hAnsiTheme="minorHAnsi" w:cstheme="minorHAnsi"/>
                <w:color w:val="000000"/>
              </w:rPr>
              <w:t>– New Entry</w:t>
            </w:r>
          </w:p>
          <w:p w14:paraId="59A9BD05" w14:textId="5D0C6B31" w:rsidR="000D7942" w:rsidRPr="00555175" w:rsidRDefault="00D20FC0" w:rsidP="00EE0811">
            <w:pPr>
              <w:spacing w:before="120" w:after="120"/>
              <w:rPr>
                <w:rFonts w:asciiTheme="minorHAnsi" w:hAnsiTheme="minorHAnsi" w:cstheme="minorHAnsi"/>
                <w:color w:val="00B050"/>
                <w:u w:val="single"/>
              </w:rPr>
            </w:pPr>
            <w:r w:rsidRPr="00555175">
              <w:rPr>
                <w:rFonts w:asciiTheme="minorHAnsi" w:hAnsiTheme="minorHAnsi" w:cstheme="minorHAnsi"/>
                <w:color w:val="00B050"/>
                <w:u w:val="single"/>
              </w:rPr>
              <w:t>PALOVAROTENE.</w:t>
            </w:r>
          </w:p>
          <w:p w14:paraId="5FC54EB8" w14:textId="77777777" w:rsidR="000D7942" w:rsidRPr="00555175" w:rsidRDefault="000D7942" w:rsidP="00EE0811">
            <w:pPr>
              <w:spacing w:before="120" w:after="120"/>
              <w:rPr>
                <w:rFonts w:asciiTheme="minorHAnsi" w:hAnsiTheme="minorHAnsi" w:cstheme="minorHAnsi"/>
              </w:rPr>
            </w:pPr>
            <w:r w:rsidRPr="00555175">
              <w:rPr>
                <w:rStyle w:val="Strong"/>
                <w:rFonts w:asciiTheme="minorHAnsi" w:hAnsiTheme="minorHAnsi" w:cstheme="minorHAnsi"/>
                <w:color w:val="000000"/>
              </w:rPr>
              <w:t>Index – New Entry</w:t>
            </w:r>
          </w:p>
          <w:p w14:paraId="2F69C3E2" w14:textId="763998DA" w:rsidR="000D7942" w:rsidRPr="00555175" w:rsidRDefault="00D20FC0" w:rsidP="00EE0811">
            <w:pPr>
              <w:spacing w:before="120" w:after="120"/>
              <w:rPr>
                <w:rFonts w:asciiTheme="minorHAnsi" w:hAnsiTheme="minorHAnsi" w:cstheme="minorHAnsi"/>
                <w:b/>
                <w:bCs/>
                <w:color w:val="00B050"/>
                <w:u w:val="single"/>
              </w:rPr>
            </w:pPr>
            <w:r w:rsidRPr="00555175">
              <w:rPr>
                <w:rFonts w:asciiTheme="minorHAnsi" w:hAnsiTheme="minorHAnsi" w:cstheme="minorHAnsi"/>
                <w:b/>
                <w:bCs/>
                <w:color w:val="00B050"/>
                <w:u w:val="single"/>
              </w:rPr>
              <w:t>PALOVAROTENE</w:t>
            </w:r>
          </w:p>
          <w:p w14:paraId="39B72371" w14:textId="77777777" w:rsidR="00D20FC0" w:rsidRPr="00555175" w:rsidRDefault="000D7942" w:rsidP="00EE0811">
            <w:pPr>
              <w:spacing w:before="120" w:after="120"/>
              <w:rPr>
                <w:rFonts w:asciiTheme="minorHAnsi" w:hAnsiTheme="minorHAnsi" w:cstheme="minorHAnsi"/>
                <w:color w:val="00B050"/>
                <w:u w:val="single"/>
              </w:rPr>
            </w:pPr>
            <w:r w:rsidRPr="00555175">
              <w:rPr>
                <w:rFonts w:asciiTheme="minorHAnsi" w:hAnsiTheme="minorHAnsi" w:cstheme="minorHAnsi"/>
                <w:color w:val="00B050"/>
                <w:u w:val="single"/>
              </w:rPr>
              <w:t xml:space="preserve">Schedule </w:t>
            </w:r>
            <w:r w:rsidR="00D20FC0" w:rsidRPr="00555175">
              <w:rPr>
                <w:rFonts w:asciiTheme="minorHAnsi" w:hAnsiTheme="minorHAnsi" w:cstheme="minorHAnsi"/>
                <w:color w:val="00B050"/>
                <w:u w:val="single"/>
              </w:rPr>
              <w:t>4</w:t>
            </w:r>
            <w:r w:rsidR="00D20FC0" w:rsidRPr="00555175">
              <w:rPr>
                <w:rFonts w:asciiTheme="minorHAnsi" w:hAnsiTheme="minorHAnsi" w:cstheme="minorHAnsi"/>
                <w:color w:val="00B050"/>
                <w:u w:val="single"/>
              </w:rPr>
              <w:br/>
              <w:t>Appendix F, clause 4</w:t>
            </w:r>
            <w:r w:rsidR="00D20FC0" w:rsidRPr="00555175">
              <w:rPr>
                <w:rFonts w:asciiTheme="minorHAnsi" w:hAnsiTheme="minorHAnsi" w:cstheme="minorHAnsi"/>
                <w:color w:val="00B050"/>
                <w:u w:val="single"/>
              </w:rPr>
              <w:br/>
              <w:t>Appendix L, clause 2</w:t>
            </w:r>
          </w:p>
          <w:p w14:paraId="22FC79F7" w14:textId="40C7ED79" w:rsidR="001425E7" w:rsidRPr="00555175" w:rsidRDefault="00763440" w:rsidP="00EE0811">
            <w:pPr>
              <w:spacing w:before="120" w:after="120"/>
              <w:rPr>
                <w:rStyle w:val="Strong"/>
                <w:rFonts w:asciiTheme="minorHAnsi" w:hAnsiTheme="minorHAnsi" w:cstheme="minorHAnsi"/>
                <w:color w:val="000000"/>
              </w:rPr>
            </w:pPr>
            <w:r w:rsidRPr="00555175">
              <w:rPr>
                <w:rStyle w:val="Strong"/>
                <w:rFonts w:asciiTheme="minorHAnsi" w:hAnsiTheme="minorHAnsi" w:cstheme="minorHAnsi"/>
                <w:color w:val="000000"/>
              </w:rPr>
              <w:t xml:space="preserve">Appendix F, clause 4 – New </w:t>
            </w:r>
            <w:r w:rsidR="005975EA">
              <w:rPr>
                <w:rStyle w:val="Strong"/>
                <w:rFonts w:asciiTheme="minorHAnsi" w:hAnsiTheme="minorHAnsi" w:cstheme="minorHAnsi"/>
                <w:color w:val="000000"/>
              </w:rPr>
              <w:t>E</w:t>
            </w:r>
            <w:r w:rsidRPr="00555175">
              <w:rPr>
                <w:rStyle w:val="Strong"/>
                <w:rFonts w:asciiTheme="minorHAnsi" w:hAnsiTheme="minorHAnsi" w:cstheme="minorHAnsi"/>
                <w:color w:val="000000"/>
              </w:rPr>
              <w:t>ntry</w:t>
            </w:r>
          </w:p>
          <w:p w14:paraId="3279A246" w14:textId="77777777" w:rsidR="007B7170" w:rsidRPr="00555175" w:rsidRDefault="00B30B6A" w:rsidP="00EE0811">
            <w:pPr>
              <w:spacing w:before="120" w:after="120"/>
              <w:rPr>
                <w:rStyle w:val="Strong"/>
                <w:rFonts w:asciiTheme="minorHAnsi" w:hAnsiTheme="minorHAnsi" w:cstheme="minorHAnsi"/>
                <w:b w:val="0"/>
                <w:bCs w:val="0"/>
                <w:color w:val="000000"/>
              </w:rPr>
            </w:pPr>
            <w:r w:rsidRPr="00555175">
              <w:rPr>
                <w:rStyle w:val="Strong"/>
                <w:rFonts w:asciiTheme="minorHAnsi" w:hAnsiTheme="minorHAnsi" w:cstheme="minorHAnsi"/>
                <w:b w:val="0"/>
                <w:bCs w:val="0"/>
                <w:color w:val="000000"/>
              </w:rPr>
              <w:t>Poisons that must be lab</w:t>
            </w:r>
            <w:r w:rsidR="004A2AB6" w:rsidRPr="00555175">
              <w:rPr>
                <w:rStyle w:val="Strong"/>
                <w:rFonts w:asciiTheme="minorHAnsi" w:hAnsiTheme="minorHAnsi" w:cstheme="minorHAnsi"/>
                <w:b w:val="0"/>
                <w:bCs w:val="0"/>
                <w:color w:val="000000"/>
              </w:rPr>
              <w:t>elled with warning statements and safety directions</w:t>
            </w:r>
          </w:p>
          <w:tbl>
            <w:tblPr>
              <w:tblStyle w:val="TableTGAblue"/>
              <w:tblW w:w="8192" w:type="dxa"/>
              <w:tblInd w:w="12" w:type="dxa"/>
              <w:tblLook w:val="04A0" w:firstRow="1" w:lastRow="0" w:firstColumn="1" w:lastColumn="0" w:noHBand="0" w:noVBand="1"/>
            </w:tblPr>
            <w:tblGrid>
              <w:gridCol w:w="1001"/>
              <w:gridCol w:w="1960"/>
              <w:gridCol w:w="2044"/>
              <w:gridCol w:w="3187"/>
            </w:tblGrid>
            <w:tr w:rsidR="00167B69" w:rsidRPr="00555175" w14:paraId="603B4E96" w14:textId="77777777" w:rsidTr="00CA7E83">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01" w:type="dxa"/>
                </w:tcPr>
                <w:p w14:paraId="63DD6A1C" w14:textId="77777777" w:rsidR="00167B69" w:rsidRPr="00167B69" w:rsidRDefault="00167B69" w:rsidP="00167B69">
                  <w:pPr>
                    <w:pStyle w:val="paragraph"/>
                    <w:spacing w:before="180" w:beforeAutospacing="0" w:after="180" w:afterAutospacing="0"/>
                    <w:textAlignment w:val="baseline"/>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Item</w:t>
                  </w:r>
                </w:p>
              </w:tc>
              <w:tc>
                <w:tcPr>
                  <w:tcW w:w="1960" w:type="dxa"/>
                </w:tcPr>
                <w:p w14:paraId="403CB2F3" w14:textId="576C98EA" w:rsidR="00167B69" w:rsidRPr="00167B69" w:rsidRDefault="00167B69" w:rsidP="00167B6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Poison</w:t>
                  </w:r>
                </w:p>
              </w:tc>
              <w:tc>
                <w:tcPr>
                  <w:tcW w:w="2044" w:type="dxa"/>
                </w:tcPr>
                <w:p w14:paraId="5B0F3053" w14:textId="77777777" w:rsidR="00167B69" w:rsidRPr="00167B69" w:rsidRDefault="00167B69" w:rsidP="00167B69">
                  <w:pPr>
                    <w:pStyle w:val="paragraph"/>
                    <w:spacing w:before="180" w:beforeAutospacing="0" w:after="180" w:afterAutospacing="0"/>
                    <w:contextualSpacing/>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Warning statement item number</w:t>
                  </w:r>
                </w:p>
              </w:tc>
              <w:tc>
                <w:tcPr>
                  <w:tcW w:w="3187" w:type="dxa"/>
                </w:tcPr>
                <w:p w14:paraId="3C8BF4CE" w14:textId="77777777" w:rsidR="00167B69" w:rsidRPr="00167B69" w:rsidRDefault="00167B69" w:rsidP="00167B6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Safety direction item number</w:t>
                  </w:r>
                </w:p>
              </w:tc>
            </w:tr>
            <w:tr w:rsidR="004B0E52" w:rsidRPr="00555175" w14:paraId="4BDCAAC1" w14:textId="77777777" w:rsidTr="00CA7E83">
              <w:trPr>
                <w:trHeight w:val="449"/>
              </w:trPr>
              <w:tc>
                <w:tcPr>
                  <w:cnfStyle w:val="001000000000" w:firstRow="0" w:lastRow="0" w:firstColumn="1" w:lastColumn="0" w:oddVBand="0" w:evenVBand="0" w:oddHBand="0" w:evenHBand="0" w:firstRowFirstColumn="0" w:firstRowLastColumn="0" w:lastRowFirstColumn="0" w:lastRowLastColumn="0"/>
                  <w:tcW w:w="1001" w:type="dxa"/>
                </w:tcPr>
                <w:p w14:paraId="5E42C2D5" w14:textId="77777777" w:rsidR="00167B69" w:rsidRPr="006F7E6E" w:rsidRDefault="00167B69" w:rsidP="00167B69">
                  <w:pPr>
                    <w:pStyle w:val="paragraph"/>
                    <w:spacing w:before="180" w:beforeAutospacing="0" w:after="180" w:afterAutospacing="0"/>
                    <w:textAlignment w:val="baseline"/>
                    <w:rPr>
                      <w:rFonts w:asciiTheme="minorHAnsi" w:hAnsiTheme="minorHAnsi" w:cstheme="minorHAnsi"/>
                      <w:color w:val="00B050"/>
                      <w:sz w:val="22"/>
                      <w:szCs w:val="22"/>
                      <w:u w:val="single"/>
                    </w:rPr>
                  </w:pPr>
                  <w:r w:rsidRPr="006F7E6E">
                    <w:rPr>
                      <w:rFonts w:asciiTheme="minorHAnsi" w:hAnsiTheme="minorHAnsi" w:cstheme="minorHAnsi"/>
                      <w:color w:val="00B050"/>
                      <w:sz w:val="22"/>
                      <w:szCs w:val="22"/>
                      <w:u w:val="single"/>
                    </w:rPr>
                    <w:t>255a</w:t>
                  </w:r>
                </w:p>
              </w:tc>
              <w:tc>
                <w:tcPr>
                  <w:tcW w:w="1960" w:type="dxa"/>
                </w:tcPr>
                <w:p w14:paraId="42394643" w14:textId="77777777" w:rsidR="00167B69" w:rsidRPr="00555175" w:rsidRDefault="00167B69" w:rsidP="00167B6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u w:val="single"/>
                    </w:rPr>
                  </w:pPr>
                  <w:r w:rsidRPr="00555175">
                    <w:rPr>
                      <w:rFonts w:asciiTheme="minorHAnsi" w:hAnsiTheme="minorHAnsi" w:cstheme="minorHAnsi"/>
                      <w:color w:val="00B050"/>
                      <w:sz w:val="22"/>
                      <w:szCs w:val="22"/>
                      <w:u w:val="single"/>
                    </w:rPr>
                    <w:t>PALOVAROTENE</w:t>
                  </w:r>
                </w:p>
              </w:tc>
              <w:tc>
                <w:tcPr>
                  <w:tcW w:w="2044" w:type="dxa"/>
                </w:tcPr>
                <w:p w14:paraId="2A494CDC" w14:textId="77777777" w:rsidR="00167B69" w:rsidRPr="00555175" w:rsidRDefault="00167B69" w:rsidP="00167B6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u w:val="single"/>
                    </w:rPr>
                  </w:pPr>
                  <w:r w:rsidRPr="00555175">
                    <w:rPr>
                      <w:rFonts w:asciiTheme="minorHAnsi" w:hAnsiTheme="minorHAnsi" w:cstheme="minorHAnsi"/>
                      <w:color w:val="00B050"/>
                      <w:sz w:val="22"/>
                      <w:szCs w:val="22"/>
                      <w:u w:val="single"/>
                    </w:rPr>
                    <w:t>7, 62, 76, 111</w:t>
                  </w:r>
                </w:p>
              </w:tc>
              <w:tc>
                <w:tcPr>
                  <w:tcW w:w="3187" w:type="dxa"/>
                  <w:vAlign w:val="center"/>
                </w:tcPr>
                <w:p w14:paraId="59166990" w14:textId="77777777" w:rsidR="00167B69" w:rsidRPr="00555175" w:rsidRDefault="00167B69" w:rsidP="00167B6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u w:val="single"/>
                    </w:rPr>
                  </w:pPr>
                </w:p>
              </w:tc>
            </w:tr>
          </w:tbl>
          <w:p w14:paraId="4AEA33A5" w14:textId="571C993D" w:rsidR="00167B69" w:rsidRPr="00450917" w:rsidRDefault="005975EA" w:rsidP="00EE0811">
            <w:pPr>
              <w:spacing w:before="120" w:after="120"/>
              <w:rPr>
                <w:rFonts w:asciiTheme="minorHAnsi" w:hAnsiTheme="minorHAnsi" w:cstheme="minorHAnsi"/>
                <w:color w:val="00B050"/>
                <w:u w:val="single"/>
              </w:rPr>
            </w:pPr>
            <w:r w:rsidRPr="00450917">
              <w:rPr>
                <w:rStyle w:val="Strong"/>
                <w:rFonts w:asciiTheme="minorHAnsi" w:hAnsiTheme="minorHAnsi" w:cstheme="minorHAnsi"/>
                <w:color w:val="000000"/>
              </w:rPr>
              <w:t>Appendix L, clause 2 – New Entry</w:t>
            </w:r>
          </w:p>
          <w:p w14:paraId="555C9799" w14:textId="3446604F" w:rsidR="00167B69" w:rsidRPr="00450917" w:rsidRDefault="00450917" w:rsidP="00EE0811">
            <w:pPr>
              <w:spacing w:before="120" w:after="120"/>
              <w:rPr>
                <w:rFonts w:asciiTheme="minorHAnsi" w:hAnsiTheme="minorHAnsi"/>
                <w:color w:val="auto"/>
              </w:rPr>
            </w:pPr>
            <w:r w:rsidRPr="00450917">
              <w:rPr>
                <w:rFonts w:asciiTheme="minorHAnsi" w:hAnsiTheme="minorHAnsi"/>
                <w:color w:val="auto"/>
              </w:rPr>
              <w:t>Additional warning statements for certain human medicines</w:t>
            </w:r>
          </w:p>
          <w:tbl>
            <w:tblPr>
              <w:tblStyle w:val="TableTGAblue"/>
              <w:tblW w:w="6912" w:type="dxa"/>
              <w:tblInd w:w="12" w:type="dxa"/>
              <w:tblLook w:val="04A0" w:firstRow="1" w:lastRow="0" w:firstColumn="1" w:lastColumn="0" w:noHBand="0" w:noVBand="1"/>
            </w:tblPr>
            <w:tblGrid>
              <w:gridCol w:w="1027"/>
              <w:gridCol w:w="2024"/>
              <w:gridCol w:w="3861"/>
            </w:tblGrid>
            <w:tr w:rsidR="004B0E52" w:rsidRPr="00555175" w14:paraId="7308694F" w14:textId="77777777" w:rsidTr="00CA7E83">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027" w:type="dxa"/>
                </w:tcPr>
                <w:p w14:paraId="3A414AF9" w14:textId="77777777" w:rsidR="004B0E52" w:rsidRPr="00167B69" w:rsidRDefault="004B0E52" w:rsidP="00450917">
                  <w:pPr>
                    <w:pStyle w:val="paragraph"/>
                    <w:spacing w:before="180" w:beforeAutospacing="0" w:after="180" w:afterAutospacing="0"/>
                    <w:textAlignment w:val="baseline"/>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Item</w:t>
                  </w:r>
                </w:p>
              </w:tc>
              <w:tc>
                <w:tcPr>
                  <w:tcW w:w="2024" w:type="dxa"/>
                </w:tcPr>
                <w:p w14:paraId="75E5FC7C" w14:textId="34E92111" w:rsidR="004B0E52" w:rsidRPr="00167B69" w:rsidRDefault="004B0E52" w:rsidP="00450917">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Poison</w:t>
                  </w:r>
                </w:p>
              </w:tc>
              <w:tc>
                <w:tcPr>
                  <w:tcW w:w="3861" w:type="dxa"/>
                </w:tcPr>
                <w:p w14:paraId="033309B2" w14:textId="77777777" w:rsidR="004B0E52" w:rsidRPr="00167B69" w:rsidRDefault="004B0E52" w:rsidP="00450917">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167B69">
                    <w:rPr>
                      <w:rFonts w:asciiTheme="minorHAnsi" w:hAnsiTheme="minorHAnsi" w:cstheme="minorHAnsi"/>
                      <w:color w:val="FFFFFF" w:themeColor="background1"/>
                      <w:sz w:val="22"/>
                      <w:szCs w:val="22"/>
                    </w:rPr>
                    <w:t>Warning statement item number</w:t>
                  </w:r>
                </w:p>
              </w:tc>
            </w:tr>
            <w:tr w:rsidR="004B0E52" w:rsidRPr="00555175" w14:paraId="59159FEF" w14:textId="77777777" w:rsidTr="00CA7E83">
              <w:trPr>
                <w:trHeight w:val="446"/>
              </w:trPr>
              <w:tc>
                <w:tcPr>
                  <w:cnfStyle w:val="001000000000" w:firstRow="0" w:lastRow="0" w:firstColumn="1" w:lastColumn="0" w:oddVBand="0" w:evenVBand="0" w:oddHBand="0" w:evenHBand="0" w:firstRowFirstColumn="0" w:firstRowLastColumn="0" w:lastRowFirstColumn="0" w:lastRowLastColumn="0"/>
                  <w:tcW w:w="1027" w:type="dxa"/>
                </w:tcPr>
                <w:p w14:paraId="24BCEABF" w14:textId="0D70414E" w:rsidR="004B0E52" w:rsidRPr="006F7E6E" w:rsidRDefault="004B0E52" w:rsidP="00450917">
                  <w:pPr>
                    <w:pStyle w:val="paragraph"/>
                    <w:spacing w:before="180" w:beforeAutospacing="0" w:after="180" w:afterAutospacing="0"/>
                    <w:textAlignment w:val="baseline"/>
                    <w:rPr>
                      <w:rFonts w:asciiTheme="minorHAnsi" w:hAnsiTheme="minorHAnsi" w:cstheme="minorHAnsi"/>
                      <w:color w:val="00B050"/>
                      <w:sz w:val="22"/>
                      <w:szCs w:val="22"/>
                      <w:u w:val="single"/>
                    </w:rPr>
                  </w:pPr>
                  <w:r w:rsidRPr="006F7E6E">
                    <w:rPr>
                      <w:rFonts w:asciiTheme="minorHAnsi" w:hAnsiTheme="minorHAnsi" w:cstheme="minorHAnsi"/>
                      <w:color w:val="00B050"/>
                      <w:sz w:val="22"/>
                      <w:szCs w:val="22"/>
                      <w:u w:val="single"/>
                    </w:rPr>
                    <w:t>25a</w:t>
                  </w:r>
                </w:p>
              </w:tc>
              <w:tc>
                <w:tcPr>
                  <w:tcW w:w="2024" w:type="dxa"/>
                </w:tcPr>
                <w:p w14:paraId="7E865C5A" w14:textId="77777777" w:rsidR="004B0E52" w:rsidRPr="00555175" w:rsidRDefault="004B0E52" w:rsidP="00450917">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u w:val="single"/>
                    </w:rPr>
                  </w:pPr>
                  <w:r w:rsidRPr="00555175">
                    <w:rPr>
                      <w:rFonts w:asciiTheme="minorHAnsi" w:hAnsiTheme="minorHAnsi" w:cstheme="minorHAnsi"/>
                      <w:color w:val="00B050"/>
                      <w:sz w:val="22"/>
                      <w:szCs w:val="22"/>
                      <w:u w:val="single"/>
                    </w:rPr>
                    <w:t>PALOVAROTENE</w:t>
                  </w:r>
                </w:p>
              </w:tc>
              <w:tc>
                <w:tcPr>
                  <w:tcW w:w="3861" w:type="dxa"/>
                </w:tcPr>
                <w:p w14:paraId="0391E707" w14:textId="77777777" w:rsidR="004B0E52" w:rsidRPr="00555175" w:rsidRDefault="004B0E52" w:rsidP="00450917">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sz w:val="22"/>
                      <w:szCs w:val="22"/>
                      <w:u w:val="single"/>
                    </w:rPr>
                  </w:pPr>
                  <w:r w:rsidRPr="00555175">
                    <w:rPr>
                      <w:rFonts w:asciiTheme="minorHAnsi" w:hAnsiTheme="minorHAnsi" w:cstheme="minorHAnsi"/>
                      <w:color w:val="00B050"/>
                      <w:sz w:val="22"/>
                      <w:szCs w:val="22"/>
                      <w:u w:val="single"/>
                    </w:rPr>
                    <w:t>7, 62, 76, 111</w:t>
                  </w:r>
                </w:p>
              </w:tc>
            </w:tr>
          </w:tbl>
          <w:p w14:paraId="3E5AA44C" w14:textId="77777777" w:rsidR="00450917" w:rsidRDefault="00450917" w:rsidP="00781622">
            <w:pPr>
              <w:spacing w:before="120" w:after="120"/>
              <w:contextualSpacing/>
              <w:rPr>
                <w:rFonts w:asciiTheme="minorHAnsi" w:hAnsiTheme="minorHAnsi"/>
                <w:color w:val="00B050"/>
                <w:u w:val="single"/>
              </w:rPr>
            </w:pPr>
          </w:p>
          <w:p w14:paraId="078C832E" w14:textId="2639F4A5" w:rsidR="00167B69" w:rsidRPr="00D20FC0" w:rsidRDefault="00167B69" w:rsidP="00EE315F">
            <w:pPr>
              <w:spacing w:before="120"/>
              <w:rPr>
                <w:rFonts w:asciiTheme="minorHAnsi" w:hAnsiTheme="minorHAnsi"/>
                <w:color w:val="00B050"/>
                <w:u w:val="single"/>
              </w:rPr>
            </w:pPr>
          </w:p>
        </w:tc>
      </w:tr>
    </w:tbl>
    <w:p w14:paraId="1C7DEDBF" w14:textId="14B54DE1" w:rsidR="000D7942" w:rsidRPr="00215D48" w:rsidRDefault="00373E3A" w:rsidP="00967490">
      <w:pPr>
        <w:sectPr w:rsidR="000D7942" w:rsidRPr="00215D48" w:rsidSect="00AE7C6A">
          <w:headerReference w:type="default" r:id="rId12"/>
          <w:footerReference w:type="default" r:id="rId13"/>
          <w:pgSz w:w="11906" w:h="16838" w:code="9"/>
          <w:pgMar w:top="1134" w:right="1418" w:bottom="1361" w:left="1418" w:header="573" w:footer="567" w:gutter="0"/>
          <w:cols w:space="708"/>
          <w:docGrid w:linePitch="360"/>
        </w:sectPr>
      </w:pPr>
      <w:r>
        <w:t xml:space="preserve"> </w:t>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14"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3A7BF5" w:rsidP="00300CBB">
            <w:pPr>
              <w:pStyle w:val="Address"/>
              <w:jc w:val="center"/>
              <w:rPr>
                <w:rStyle w:val="Hyperlink"/>
                <w:b/>
                <w:color w:val="auto"/>
                <w:sz w:val="22"/>
              </w:rPr>
            </w:pPr>
            <w:hyperlink r:id="rId15"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3A7BF5" w:rsidRDefault="003A7BF5" w:rsidP="00967490"/>
    <w:sectPr w:rsidR="002216A7" w:rsidSect="00AE7C6A">
      <w:headerReference w:type="first" r:id="rId16"/>
      <w:footerReference w:type="first" r:id="rId1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A32D" w14:textId="77777777" w:rsidR="00960CAF" w:rsidRDefault="00960CAF" w:rsidP="00967490">
      <w:r>
        <w:separator/>
      </w:r>
    </w:p>
    <w:p w14:paraId="432DD0AF" w14:textId="77777777" w:rsidR="00960CAF" w:rsidRDefault="00960CAF" w:rsidP="00967490"/>
    <w:p w14:paraId="4FABB386" w14:textId="77777777" w:rsidR="00960CAF" w:rsidRDefault="00960CAF" w:rsidP="00967490"/>
  </w:endnote>
  <w:endnote w:type="continuationSeparator" w:id="0">
    <w:p w14:paraId="36760B98" w14:textId="77777777" w:rsidR="00960CAF" w:rsidRDefault="00960CAF" w:rsidP="00967490">
      <w:r>
        <w:continuationSeparator/>
      </w:r>
    </w:p>
    <w:p w14:paraId="69A79843" w14:textId="77777777" w:rsidR="00960CAF" w:rsidRDefault="00960CAF" w:rsidP="00967490"/>
    <w:p w14:paraId="5D893E92" w14:textId="77777777" w:rsidR="00960CAF" w:rsidRDefault="00960CAF"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A7BF5">
                <w:fldChar w:fldCharType="begin"/>
              </w:r>
              <w:r w:rsidR="003A7BF5">
                <w:instrText xml:space="preserve"> NUMPAGES  </w:instrText>
              </w:r>
              <w:r w:rsidR="003A7BF5">
                <w:fldChar w:fldCharType="separate"/>
              </w:r>
              <w:r>
                <w:rPr>
                  <w:noProof/>
                </w:rPr>
                <w:t>2</w:t>
              </w:r>
              <w:r w:rsidR="003A7BF5">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DE78C9">
      <w:trPr>
        <w:trHeight w:val="423"/>
      </w:trPr>
      <w:tc>
        <w:tcPr>
          <w:tcW w:w="7938" w:type="dxa"/>
          <w:tcBorders>
            <w:top w:val="single" w:sz="4" w:space="0" w:color="auto"/>
          </w:tcBorders>
        </w:tcPr>
        <w:p w14:paraId="5FF3321B" w14:textId="034530F1" w:rsidR="00F02AEC" w:rsidRPr="00DE78C9" w:rsidRDefault="00832C5D" w:rsidP="00DE78C9">
          <w:pPr>
            <w:ind w:left="-110"/>
            <w:rPr>
              <w:rFonts w:asciiTheme="minorHAnsi" w:hAnsiTheme="minorHAnsi" w:cstheme="minorHAnsi"/>
              <w:sz w:val="18"/>
              <w:szCs w:val="18"/>
            </w:rPr>
          </w:pPr>
          <w:r>
            <w:rPr>
              <w:rFonts w:asciiTheme="minorHAnsi" w:hAnsiTheme="minorHAnsi" w:cstheme="minorHAnsi"/>
              <w:sz w:val="18"/>
              <w:szCs w:val="18"/>
            </w:rPr>
            <w:t>Notice of amendments to the current Poisons Standard in relation to New Chemical Entities (NCEs)</w:t>
          </w:r>
          <w:r w:rsidR="00F02AEC" w:rsidRPr="00DE78C9">
            <w:rPr>
              <w:rFonts w:asciiTheme="minorHAnsi" w:hAnsiTheme="minorHAnsi" w:cstheme="minorHAnsi"/>
              <w:sz w:val="18"/>
              <w:szCs w:val="18"/>
            </w:rPr>
            <w:t xml:space="preserve"> </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DE78C9">
              <w:pPr>
                <w:ind w:left="173" w:right="-105"/>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3A7BF5" w:rsidRPr="008E3C43" w:rsidRDefault="003A7BF5"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5707" w14:textId="77777777" w:rsidR="00960CAF" w:rsidRDefault="00960CAF" w:rsidP="00967490">
      <w:r>
        <w:separator/>
      </w:r>
    </w:p>
  </w:footnote>
  <w:footnote w:type="continuationSeparator" w:id="0">
    <w:p w14:paraId="36CD995C" w14:textId="77777777" w:rsidR="00960CAF" w:rsidRDefault="00960CAF" w:rsidP="00967490">
      <w:r>
        <w:continuationSeparator/>
      </w:r>
    </w:p>
    <w:p w14:paraId="088134AB" w14:textId="77777777" w:rsidR="00960CAF" w:rsidRDefault="00960CAF" w:rsidP="00967490"/>
    <w:p w14:paraId="5FCE3A38" w14:textId="77777777" w:rsidR="00960CAF" w:rsidRDefault="00960CAF" w:rsidP="00967490"/>
  </w:footnote>
  <w:footnote w:id="1">
    <w:p w14:paraId="26253D3B" w14:textId="0A7975FA" w:rsidR="00373E3A" w:rsidRDefault="00373E3A">
      <w:pPr>
        <w:pStyle w:val="FootnoteText"/>
      </w:pPr>
      <w:r>
        <w:rPr>
          <w:rStyle w:val="FootnoteReference"/>
        </w:rPr>
        <w:footnoteRef/>
      </w:r>
      <w:r>
        <w:t xml:space="preserve"> </w:t>
      </w:r>
      <w:r w:rsidRPr="00687F35">
        <w:rPr>
          <w:rFonts w:cstheme="minorHAnsi"/>
          <w:sz w:val="18"/>
          <w:szCs w:val="18"/>
        </w:rPr>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3A7BF5" w:rsidRPr="00FE501F" w:rsidRDefault="003A7BF5"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921D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5885E9E"/>
    <w:multiLevelType w:val="hybridMultilevel"/>
    <w:tmpl w:val="C3A2A1C4"/>
    <w:lvl w:ilvl="0" w:tplc="692AFC50">
      <w:start w:val="1"/>
      <w:numFmt w:val="bullet"/>
      <w:pStyle w:val="ListParagraph"/>
      <w:lvlText w:val=""/>
      <w:lvlJc w:val="left"/>
      <w:pPr>
        <w:ind w:left="720" w:hanging="360"/>
      </w:pPr>
      <w:rPr>
        <w:rFonts w:ascii="Symbol" w:hAnsi="Symbol" w:hint="default"/>
      </w:rPr>
    </w:lvl>
    <w:lvl w:ilvl="1" w:tplc="909C3518">
      <w:numFmt w:val="bullet"/>
      <w:lvlText w:val="-"/>
      <w:lvlJc w:val="left"/>
      <w:pPr>
        <w:ind w:left="1440" w:hanging="360"/>
      </w:pPr>
      <w:rPr>
        <w:rFonts w:ascii="Calibri" w:eastAsia="Times New Roman" w:hAnsi="Calibri" w:cs="Calibri" w:hint="default"/>
        <w:b/>
        <w:color w:val="000000"/>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1575018">
    <w:abstractNumId w:val="4"/>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2"/>
  </w:num>
  <w:num w:numId="3" w16cid:durableId="1248614696">
    <w:abstractNumId w:val="3"/>
  </w:num>
  <w:num w:numId="4" w16cid:durableId="297951965">
    <w:abstractNumId w:val="9"/>
  </w:num>
  <w:num w:numId="5" w16cid:durableId="1535191726">
    <w:abstractNumId w:val="6"/>
  </w:num>
  <w:num w:numId="6" w16cid:durableId="224069918">
    <w:abstractNumId w:val="8"/>
  </w:num>
  <w:num w:numId="7" w16cid:durableId="1150249122">
    <w:abstractNumId w:val="5"/>
  </w:num>
  <w:num w:numId="8" w16cid:durableId="233053789">
    <w:abstractNumId w:val="1"/>
  </w:num>
  <w:num w:numId="9" w16cid:durableId="1393187700">
    <w:abstractNumId w:val="0"/>
  </w:num>
  <w:num w:numId="10" w16cid:durableId="91820601">
    <w:abstractNumId w:val="4"/>
  </w:num>
  <w:num w:numId="11" w16cid:durableId="2436086">
    <w:abstractNumId w:val="7"/>
  </w:num>
  <w:num w:numId="12" w16cid:durableId="1148286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3194"/>
    <w:rsid w:val="00014F05"/>
    <w:rsid w:val="0004645C"/>
    <w:rsid w:val="0005206E"/>
    <w:rsid w:val="00070B02"/>
    <w:rsid w:val="00094B81"/>
    <w:rsid w:val="0009532F"/>
    <w:rsid w:val="000B1400"/>
    <w:rsid w:val="000B2885"/>
    <w:rsid w:val="000D7942"/>
    <w:rsid w:val="000E51D4"/>
    <w:rsid w:val="000F3719"/>
    <w:rsid w:val="0011142D"/>
    <w:rsid w:val="00117DAB"/>
    <w:rsid w:val="001234B8"/>
    <w:rsid w:val="0012473C"/>
    <w:rsid w:val="0012515E"/>
    <w:rsid w:val="001425E7"/>
    <w:rsid w:val="00145366"/>
    <w:rsid w:val="00150585"/>
    <w:rsid w:val="0015375D"/>
    <w:rsid w:val="00167B69"/>
    <w:rsid w:val="00175CD8"/>
    <w:rsid w:val="00197643"/>
    <w:rsid w:val="001D0095"/>
    <w:rsid w:val="002371BE"/>
    <w:rsid w:val="002433E5"/>
    <w:rsid w:val="00263AA6"/>
    <w:rsid w:val="002657A2"/>
    <w:rsid w:val="00273822"/>
    <w:rsid w:val="002742BA"/>
    <w:rsid w:val="00280B1B"/>
    <w:rsid w:val="002B2451"/>
    <w:rsid w:val="002B5AC0"/>
    <w:rsid w:val="002E4C93"/>
    <w:rsid w:val="002F48B8"/>
    <w:rsid w:val="003008D8"/>
    <w:rsid w:val="00300CBB"/>
    <w:rsid w:val="00327106"/>
    <w:rsid w:val="00333F3A"/>
    <w:rsid w:val="0035444D"/>
    <w:rsid w:val="00373E3A"/>
    <w:rsid w:val="00380B1E"/>
    <w:rsid w:val="00387EF9"/>
    <w:rsid w:val="003A49DC"/>
    <w:rsid w:val="003A7498"/>
    <w:rsid w:val="003A7BF5"/>
    <w:rsid w:val="003C01EE"/>
    <w:rsid w:val="003C3415"/>
    <w:rsid w:val="003D4A8C"/>
    <w:rsid w:val="003E7DCC"/>
    <w:rsid w:val="003F5CCB"/>
    <w:rsid w:val="004246B8"/>
    <w:rsid w:val="004365EC"/>
    <w:rsid w:val="00440402"/>
    <w:rsid w:val="00445924"/>
    <w:rsid w:val="00450917"/>
    <w:rsid w:val="00453CAA"/>
    <w:rsid w:val="00457050"/>
    <w:rsid w:val="00467348"/>
    <w:rsid w:val="00473048"/>
    <w:rsid w:val="004856D7"/>
    <w:rsid w:val="004A2AB6"/>
    <w:rsid w:val="004B0E52"/>
    <w:rsid w:val="004D06D7"/>
    <w:rsid w:val="004E29E5"/>
    <w:rsid w:val="004F0626"/>
    <w:rsid w:val="00555175"/>
    <w:rsid w:val="0058575E"/>
    <w:rsid w:val="00590D69"/>
    <w:rsid w:val="005975EA"/>
    <w:rsid w:val="005B144C"/>
    <w:rsid w:val="005C65E7"/>
    <w:rsid w:val="005D2517"/>
    <w:rsid w:val="005E3E9A"/>
    <w:rsid w:val="005E5254"/>
    <w:rsid w:val="006012FE"/>
    <w:rsid w:val="00603008"/>
    <w:rsid w:val="00610F26"/>
    <w:rsid w:val="006113C0"/>
    <w:rsid w:val="006119D9"/>
    <w:rsid w:val="006166E7"/>
    <w:rsid w:val="0063237C"/>
    <w:rsid w:val="0063402D"/>
    <w:rsid w:val="00643D75"/>
    <w:rsid w:val="00656ED9"/>
    <w:rsid w:val="006605B2"/>
    <w:rsid w:val="006A1F0B"/>
    <w:rsid w:val="006A721F"/>
    <w:rsid w:val="006C21F4"/>
    <w:rsid w:val="006D0204"/>
    <w:rsid w:val="006D09DA"/>
    <w:rsid w:val="006F25AA"/>
    <w:rsid w:val="006F4C2E"/>
    <w:rsid w:val="006F6F13"/>
    <w:rsid w:val="006F7E6E"/>
    <w:rsid w:val="00730AEF"/>
    <w:rsid w:val="00731531"/>
    <w:rsid w:val="00737301"/>
    <w:rsid w:val="00746990"/>
    <w:rsid w:val="0075008A"/>
    <w:rsid w:val="00757E6A"/>
    <w:rsid w:val="00763440"/>
    <w:rsid w:val="00765275"/>
    <w:rsid w:val="00781622"/>
    <w:rsid w:val="007B7170"/>
    <w:rsid w:val="007C3CEB"/>
    <w:rsid w:val="007D4DEA"/>
    <w:rsid w:val="007F0A77"/>
    <w:rsid w:val="00814BCE"/>
    <w:rsid w:val="00831452"/>
    <w:rsid w:val="00831B56"/>
    <w:rsid w:val="008329DB"/>
    <w:rsid w:val="00832C5D"/>
    <w:rsid w:val="00846E9D"/>
    <w:rsid w:val="0085199B"/>
    <w:rsid w:val="00867A1F"/>
    <w:rsid w:val="00894193"/>
    <w:rsid w:val="008976A1"/>
    <w:rsid w:val="008B624D"/>
    <w:rsid w:val="008D39F3"/>
    <w:rsid w:val="008D5496"/>
    <w:rsid w:val="00904513"/>
    <w:rsid w:val="00910C83"/>
    <w:rsid w:val="00930D58"/>
    <w:rsid w:val="00960CAF"/>
    <w:rsid w:val="00967490"/>
    <w:rsid w:val="00973DA8"/>
    <w:rsid w:val="00984208"/>
    <w:rsid w:val="009864D7"/>
    <w:rsid w:val="009A4603"/>
    <w:rsid w:val="009A62A2"/>
    <w:rsid w:val="009C6164"/>
    <w:rsid w:val="009E29C6"/>
    <w:rsid w:val="009E3416"/>
    <w:rsid w:val="009E5C99"/>
    <w:rsid w:val="009E7E17"/>
    <w:rsid w:val="009F7132"/>
    <w:rsid w:val="00A01D50"/>
    <w:rsid w:val="00A30769"/>
    <w:rsid w:val="00A379DF"/>
    <w:rsid w:val="00A45106"/>
    <w:rsid w:val="00A52A67"/>
    <w:rsid w:val="00AA12EC"/>
    <w:rsid w:val="00AB7CBF"/>
    <w:rsid w:val="00AC5E58"/>
    <w:rsid w:val="00B149EE"/>
    <w:rsid w:val="00B167C2"/>
    <w:rsid w:val="00B30B6A"/>
    <w:rsid w:val="00B46BC0"/>
    <w:rsid w:val="00B65E4E"/>
    <w:rsid w:val="00BB34CD"/>
    <w:rsid w:val="00BE0386"/>
    <w:rsid w:val="00BE15A3"/>
    <w:rsid w:val="00BF7232"/>
    <w:rsid w:val="00C218B0"/>
    <w:rsid w:val="00C4731F"/>
    <w:rsid w:val="00C478D0"/>
    <w:rsid w:val="00C57881"/>
    <w:rsid w:val="00CA68D7"/>
    <w:rsid w:val="00CA7E83"/>
    <w:rsid w:val="00CB0376"/>
    <w:rsid w:val="00CB0550"/>
    <w:rsid w:val="00CC3061"/>
    <w:rsid w:val="00D0327F"/>
    <w:rsid w:val="00D078BE"/>
    <w:rsid w:val="00D13C0E"/>
    <w:rsid w:val="00D13F8A"/>
    <w:rsid w:val="00D15E47"/>
    <w:rsid w:val="00D1612F"/>
    <w:rsid w:val="00D16936"/>
    <w:rsid w:val="00D20FC0"/>
    <w:rsid w:val="00D3360D"/>
    <w:rsid w:val="00D35BC5"/>
    <w:rsid w:val="00D41DF0"/>
    <w:rsid w:val="00D74DEA"/>
    <w:rsid w:val="00D808AE"/>
    <w:rsid w:val="00D918D5"/>
    <w:rsid w:val="00DB0AC5"/>
    <w:rsid w:val="00DC68EF"/>
    <w:rsid w:val="00DD7065"/>
    <w:rsid w:val="00DE78C9"/>
    <w:rsid w:val="00E26C54"/>
    <w:rsid w:val="00E3617E"/>
    <w:rsid w:val="00E42057"/>
    <w:rsid w:val="00E44798"/>
    <w:rsid w:val="00E53D3F"/>
    <w:rsid w:val="00E75FA6"/>
    <w:rsid w:val="00EC0E1A"/>
    <w:rsid w:val="00EE315F"/>
    <w:rsid w:val="00EF26DE"/>
    <w:rsid w:val="00EF342D"/>
    <w:rsid w:val="00F02AEC"/>
    <w:rsid w:val="00F05A77"/>
    <w:rsid w:val="00F36320"/>
    <w:rsid w:val="00F419FA"/>
    <w:rsid w:val="00F52AD4"/>
    <w:rsid w:val="00F7259E"/>
    <w:rsid w:val="00FA49C3"/>
    <w:rsid w:val="00FC1EB4"/>
    <w:rsid w:val="00FD6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C9"/>
    <w:rPr>
      <w:color w:val="000000" w:themeColor="text1"/>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FC1EB4"/>
    <w:pPr>
      <w:spacing w:before="120" w:after="180" w:line="240" w:lineRule="atLeast"/>
    </w:pPr>
    <w:rPr>
      <w:rFonts w:eastAsia="Cambria" w:cstheme="minorHAnsi"/>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ascii="Arial" w:eastAsia="Cambria" w:hAnsi="Arial"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ascii="Arial" w:eastAsia="Cambria" w:hAnsi="Arial"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ascii="Arial" w:eastAsia="Cambria" w:hAnsi="Arial"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autoRedefine/>
    <w:uiPriority w:val="34"/>
    <w:qFormat/>
    <w:rsid w:val="001234B8"/>
    <w:pPr>
      <w:numPr>
        <w:numId w:val="11"/>
      </w:numPr>
      <w:spacing w:before="120" w:after="180"/>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1D0095"/>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paragraph">
    <w:name w:val="paragraph"/>
    <w:basedOn w:val="Normal"/>
    <w:rsid w:val="001D0095"/>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30902">
      <w:bodyDiv w:val="1"/>
      <w:marLeft w:val="0"/>
      <w:marRight w:val="0"/>
      <w:marTop w:val="0"/>
      <w:marBottom w:val="0"/>
      <w:divBdr>
        <w:top w:val="none" w:sz="0" w:space="0" w:color="auto"/>
        <w:left w:val="none" w:sz="0" w:space="0" w:color="auto"/>
        <w:bottom w:val="none" w:sz="0" w:space="0" w:color="auto"/>
        <w:right w:val="none" w:sz="0" w:space="0" w:color="auto"/>
      </w:divBdr>
    </w:div>
    <w:div w:id="21307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5" Type="http://schemas.openxmlformats.org/officeDocument/2006/relationships/webSettings" Target="webSettings.xml"/><Relationship Id="rId15" Type="http://schemas.openxmlformats.org/officeDocument/2006/relationships/hyperlink" Target="https://www.tga.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tg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amendments to the current Poisons Standard in relation to New Chemical Entities (NCEs), January 2024</dc:title>
  <dc:subject>final decision poisons standard</dc:subject>
  <dc:creator>Therapeutic Goods Administration</dc:creator>
  <cp:keywords/>
  <dc:description/>
  <cp:lastModifiedBy>LACK, Janet</cp:lastModifiedBy>
  <cp:revision>3</cp:revision>
  <dcterms:created xsi:type="dcterms:W3CDTF">2024-01-24T21:42:00Z</dcterms:created>
  <dcterms:modified xsi:type="dcterms:W3CDTF">2024-01-24T21:43:00Z</dcterms:modified>
</cp:coreProperties>
</file>