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035DFD" w:rsidRPr="00215D48" w14:paraId="3FD41E68" w14:textId="77777777" w:rsidTr="002B29B2">
        <w:tc>
          <w:tcPr>
            <w:tcW w:w="8720" w:type="dxa"/>
          </w:tcPr>
          <w:p w14:paraId="103E446F" w14:textId="30B267E0" w:rsidR="00035DFD" w:rsidRPr="00215D48" w:rsidRDefault="00035DFD" w:rsidP="00035DFD">
            <w:pPr>
              <w:pStyle w:val="Title"/>
            </w:pPr>
            <w:r>
              <w:t>Reclassification of medical devices in direct contact with the heart, central circulatory and central nervous systems</w:t>
            </w:r>
          </w:p>
        </w:tc>
      </w:tr>
      <w:tr w:rsidR="00035DFD" w:rsidRPr="00215D48" w14:paraId="452357C3" w14:textId="77777777" w:rsidTr="002B29B2">
        <w:trPr>
          <w:trHeight w:val="1916"/>
        </w:trPr>
        <w:tc>
          <w:tcPr>
            <w:tcW w:w="8720" w:type="dxa"/>
          </w:tcPr>
          <w:p w14:paraId="479F4B94" w14:textId="268AD4D7" w:rsidR="00035DFD" w:rsidRPr="00215D48" w:rsidRDefault="00035DFD" w:rsidP="00B4320A">
            <w:pPr>
              <w:pStyle w:val="Subtitle"/>
            </w:pPr>
            <w:r>
              <w:t>Guidance on the transitional arrangements and obligations</w:t>
            </w:r>
          </w:p>
        </w:tc>
      </w:tr>
      <w:tr w:rsidR="002B29B2" w:rsidRPr="00215D48" w14:paraId="0349248A" w14:textId="77777777" w:rsidTr="002B29B2">
        <w:tc>
          <w:tcPr>
            <w:tcW w:w="8720" w:type="dxa"/>
          </w:tcPr>
          <w:p w14:paraId="77EABC5D" w14:textId="15B04792" w:rsidR="002B29B2" w:rsidRPr="00215D48" w:rsidRDefault="00035DFD" w:rsidP="00B4320A">
            <w:pPr>
              <w:pStyle w:val="Date"/>
            </w:pPr>
            <w:r w:rsidRPr="003538EF">
              <w:t>Version 1.</w:t>
            </w:r>
            <w:r w:rsidR="00963CCA">
              <w:t>4</w:t>
            </w:r>
            <w:r w:rsidRPr="003538EF">
              <w:t xml:space="preserve">, </w:t>
            </w:r>
            <w:r w:rsidR="00665452">
              <w:t>December</w:t>
            </w:r>
            <w:r w:rsidR="00963CCA">
              <w:t xml:space="preserve"> </w:t>
            </w:r>
            <w:r>
              <w:t>202</w:t>
            </w:r>
            <w:r w:rsidR="00127BA7">
              <w:t>3</w:t>
            </w:r>
          </w:p>
        </w:tc>
      </w:tr>
    </w:tbl>
    <w:p w14:paraId="280B7336" w14:textId="77777777" w:rsidR="00B24FF5" w:rsidRPr="00215D48" w:rsidRDefault="00B24FF5" w:rsidP="00B4320A">
      <w:pPr>
        <w:pStyle w:val="ListBullet"/>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5A4FB77C" w14:textId="77777777" w:rsidR="005D1689" w:rsidRPr="00E1198B" w:rsidRDefault="005D1689" w:rsidP="00B4320A">
      <w:pPr>
        <w:pStyle w:val="LegalSubheading"/>
      </w:pPr>
      <w:r w:rsidRPr="00BA0DFC">
        <w:lastRenderedPageBreak/>
        <w:t>Copyright</w:t>
      </w:r>
    </w:p>
    <w:p w14:paraId="3F3EEADC" w14:textId="2BBF19E2" w:rsidR="00F274A2" w:rsidRDefault="005D1689" w:rsidP="00B4320A">
      <w:pPr>
        <w:pStyle w:val="LegalCopy"/>
      </w:pPr>
      <w:r w:rsidRPr="00215D48">
        <w:t>© Commonwealth of Australia 20</w:t>
      </w:r>
      <w:r w:rsidR="00030D34">
        <w:t>2</w:t>
      </w:r>
      <w:r w:rsidR="00B4320A">
        <w:t>3</w:t>
      </w:r>
      <w:r w:rsidRPr="00215D48">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i/>
        </w:rPr>
        <w:t>Copyright Act 1968</w:t>
      </w:r>
      <w:r w:rsidRPr="00215D48">
        <w:t xml:space="preserve"> or allowed by this copyright notice, all other rights are </w:t>
      </w:r>
      <w:proofErr w:type="gramStart"/>
      <w:r w:rsidRPr="00215D48">
        <w:t>reserved</w:t>
      </w:r>
      <w:proofErr w:type="gramEnd"/>
      <w:r w:rsidRPr="00215D48">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t>&gt;.</w:t>
      </w:r>
    </w:p>
    <w:p w14:paraId="1C125F4D" w14:textId="479A69AC" w:rsidR="00035DFD" w:rsidRDefault="00035DFD" w:rsidP="00B4320A">
      <w:pPr>
        <w:pStyle w:val="LegalCopy"/>
      </w:pPr>
    </w:p>
    <w:sdt>
      <w:sdtPr>
        <w:rPr>
          <w:rFonts w:ascii="Cambria" w:hAnsi="Cambria"/>
          <w:b w:val="0"/>
          <w:color w:val="auto"/>
          <w:sz w:val="22"/>
        </w:rPr>
        <w:id w:val="21514769"/>
        <w:docPartObj>
          <w:docPartGallery w:val="Table of Contents"/>
          <w:docPartUnique/>
        </w:docPartObj>
      </w:sdtPr>
      <w:sdtEndPr>
        <w:rPr>
          <w:rFonts w:ascii="Arial" w:hAnsi="Arial"/>
          <w:color w:val="333F48"/>
          <w:sz w:val="20"/>
        </w:rPr>
      </w:sdtEndPr>
      <w:sdtContent>
        <w:p w14:paraId="6BC4D974" w14:textId="77777777" w:rsidR="00F401EF" w:rsidRPr="00215D48" w:rsidRDefault="00F401EF" w:rsidP="00B4320A">
          <w:pPr>
            <w:pStyle w:val="NonTOCheading2"/>
          </w:pPr>
          <w:r w:rsidRPr="00215D48">
            <w:t>Contents</w:t>
          </w:r>
        </w:p>
        <w:p w14:paraId="3CAE1249" w14:textId="4C3F8A8D" w:rsidR="00D25CE5" w:rsidRDefault="00F859D2" w:rsidP="00B4320A">
          <w:pPr>
            <w:pStyle w:val="TOC1"/>
            <w:rPr>
              <w:rFonts w:asciiTheme="minorHAnsi" w:eastAsiaTheme="minorEastAsia" w:hAnsiTheme="minorHAnsi" w:cstheme="minorBidi"/>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41803674" w:history="1">
            <w:r w:rsidR="00D25CE5" w:rsidRPr="00A4301D">
              <w:rPr>
                <w:rStyle w:val="Hyperlink"/>
                <w:noProof/>
              </w:rPr>
              <w:t>About this guidance</w:t>
            </w:r>
            <w:r w:rsidR="00D25CE5">
              <w:rPr>
                <w:noProof/>
                <w:webHidden/>
              </w:rPr>
              <w:tab/>
            </w:r>
            <w:r w:rsidR="00D25CE5">
              <w:rPr>
                <w:noProof/>
                <w:webHidden/>
              </w:rPr>
              <w:fldChar w:fldCharType="begin"/>
            </w:r>
            <w:r w:rsidR="00D25CE5">
              <w:rPr>
                <w:noProof/>
                <w:webHidden/>
              </w:rPr>
              <w:instrText xml:space="preserve"> PAGEREF _Toc141803674 \h </w:instrText>
            </w:r>
            <w:r w:rsidR="00D25CE5">
              <w:rPr>
                <w:noProof/>
                <w:webHidden/>
              </w:rPr>
            </w:r>
            <w:r w:rsidR="00D25CE5">
              <w:rPr>
                <w:noProof/>
                <w:webHidden/>
              </w:rPr>
              <w:fldChar w:fldCharType="separate"/>
            </w:r>
            <w:r w:rsidR="00D25CE5">
              <w:rPr>
                <w:noProof/>
                <w:webHidden/>
              </w:rPr>
              <w:t>4</w:t>
            </w:r>
            <w:r w:rsidR="00D25CE5">
              <w:rPr>
                <w:noProof/>
                <w:webHidden/>
              </w:rPr>
              <w:fldChar w:fldCharType="end"/>
            </w:r>
          </w:hyperlink>
        </w:p>
        <w:p w14:paraId="7D006032" w14:textId="34F75F98"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75" w:history="1">
            <w:r w:rsidR="00D25CE5" w:rsidRPr="00BB23CA">
              <w:rPr>
                <w:rStyle w:val="Hyperlink"/>
                <w:b w:val="0"/>
                <w:bCs/>
                <w:noProof/>
                <w:sz w:val="24"/>
                <w:szCs w:val="24"/>
              </w:rPr>
              <w:t>Background</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_Toc141803675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4</w:t>
            </w:r>
            <w:r w:rsidR="00D25CE5" w:rsidRPr="00BB23CA">
              <w:rPr>
                <w:b w:val="0"/>
                <w:bCs/>
                <w:noProof/>
                <w:webHidden/>
                <w:sz w:val="24"/>
                <w:szCs w:val="24"/>
              </w:rPr>
              <w:fldChar w:fldCharType="end"/>
            </w:r>
          </w:hyperlink>
        </w:p>
        <w:p w14:paraId="12774AAA" w14:textId="1EF179EF" w:rsidR="00D25CE5" w:rsidRPr="00BB23CA" w:rsidRDefault="00714495" w:rsidP="00B4320A">
          <w:pPr>
            <w:pStyle w:val="TOC2"/>
            <w:rPr>
              <w:rFonts w:asciiTheme="minorHAnsi" w:eastAsiaTheme="minorEastAsia" w:hAnsiTheme="minorHAnsi" w:cstheme="minorBidi"/>
              <w:noProof/>
              <w:color w:val="auto"/>
              <w:sz w:val="24"/>
              <w:szCs w:val="24"/>
              <w:lang w:eastAsia="en-AU"/>
            </w:rPr>
          </w:pPr>
          <w:hyperlink w:anchor="_Toc141803676" w:history="1">
            <w:r w:rsidR="00D25CE5" w:rsidRPr="00BB23CA">
              <w:rPr>
                <w:rStyle w:val="Hyperlink"/>
                <w:b w:val="0"/>
                <w:bCs/>
                <w:noProof/>
                <w:sz w:val="24"/>
                <w:szCs w:val="24"/>
              </w:rPr>
              <w:t>Requirements for reclassification</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_Toc141803676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4</w:t>
            </w:r>
            <w:r w:rsidR="00D25CE5" w:rsidRPr="00BB23CA">
              <w:rPr>
                <w:b w:val="0"/>
                <w:bCs/>
                <w:noProof/>
                <w:webHidden/>
                <w:sz w:val="24"/>
                <w:szCs w:val="24"/>
              </w:rPr>
              <w:fldChar w:fldCharType="end"/>
            </w:r>
          </w:hyperlink>
        </w:p>
        <w:p w14:paraId="05780FD6" w14:textId="70D3F208" w:rsidR="00D25CE5" w:rsidRDefault="00714495" w:rsidP="00B4320A">
          <w:pPr>
            <w:pStyle w:val="TOC1"/>
            <w:rPr>
              <w:rFonts w:asciiTheme="minorHAnsi" w:eastAsiaTheme="minorEastAsia" w:hAnsiTheme="minorHAnsi" w:cstheme="minorBidi"/>
              <w:noProof/>
              <w:color w:val="auto"/>
              <w:sz w:val="22"/>
              <w:szCs w:val="22"/>
              <w:lang w:eastAsia="en-AU"/>
            </w:rPr>
          </w:pPr>
          <w:hyperlink w:anchor="_Toc141803677" w:history="1">
            <w:r w:rsidR="00D25CE5" w:rsidRPr="00A4301D">
              <w:rPr>
                <w:rStyle w:val="Hyperlink"/>
                <w:noProof/>
              </w:rPr>
              <w:t xml:space="preserve">Medical devices in direct contact with the heart, </w:t>
            </w:r>
            <w:r w:rsidR="00255D34">
              <w:rPr>
                <w:rStyle w:val="Hyperlink"/>
                <w:noProof/>
              </w:rPr>
              <w:br/>
            </w:r>
            <w:r w:rsidR="00D25CE5" w:rsidRPr="00A4301D">
              <w:rPr>
                <w:rStyle w:val="Hyperlink"/>
                <w:noProof/>
              </w:rPr>
              <w:t>CCS or CNS</w:t>
            </w:r>
            <w:r w:rsidR="00D25CE5">
              <w:rPr>
                <w:noProof/>
                <w:webHidden/>
              </w:rPr>
              <w:tab/>
            </w:r>
            <w:r w:rsidR="00D25CE5">
              <w:rPr>
                <w:noProof/>
                <w:webHidden/>
              </w:rPr>
              <w:fldChar w:fldCharType="begin"/>
            </w:r>
            <w:r w:rsidR="00D25CE5">
              <w:rPr>
                <w:noProof/>
                <w:webHidden/>
              </w:rPr>
              <w:instrText xml:space="preserve"> PAGEREF _Toc141803677 \h </w:instrText>
            </w:r>
            <w:r w:rsidR="00D25CE5">
              <w:rPr>
                <w:noProof/>
                <w:webHidden/>
              </w:rPr>
            </w:r>
            <w:r w:rsidR="00D25CE5">
              <w:rPr>
                <w:noProof/>
                <w:webHidden/>
              </w:rPr>
              <w:fldChar w:fldCharType="separate"/>
            </w:r>
            <w:r w:rsidR="00D25CE5">
              <w:rPr>
                <w:noProof/>
                <w:webHidden/>
              </w:rPr>
              <w:t>4</w:t>
            </w:r>
            <w:r w:rsidR="00D25CE5">
              <w:rPr>
                <w:noProof/>
                <w:webHidden/>
              </w:rPr>
              <w:fldChar w:fldCharType="end"/>
            </w:r>
          </w:hyperlink>
        </w:p>
        <w:p w14:paraId="6A04416F" w14:textId="5FD01835"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78" w:history="1">
            <w:r w:rsidR="00D25CE5" w:rsidRPr="00BB23CA">
              <w:rPr>
                <w:rStyle w:val="Hyperlink"/>
                <w:b w:val="0"/>
                <w:bCs/>
                <w:noProof/>
                <w:sz w:val="24"/>
                <w:szCs w:val="24"/>
              </w:rPr>
              <w:t>Examples of devices to be reclassified to Class III</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_Toc141803678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5</w:t>
            </w:r>
            <w:r w:rsidR="00D25CE5" w:rsidRPr="00BB23CA">
              <w:rPr>
                <w:b w:val="0"/>
                <w:bCs/>
                <w:noProof/>
                <w:webHidden/>
                <w:sz w:val="24"/>
                <w:szCs w:val="24"/>
              </w:rPr>
              <w:fldChar w:fldCharType="end"/>
            </w:r>
          </w:hyperlink>
        </w:p>
        <w:p w14:paraId="404F1E1C" w14:textId="4D9277AD" w:rsidR="00D25CE5" w:rsidRDefault="00714495" w:rsidP="00B4320A">
          <w:pPr>
            <w:pStyle w:val="TOC1"/>
            <w:rPr>
              <w:rFonts w:asciiTheme="minorHAnsi" w:eastAsiaTheme="minorEastAsia" w:hAnsiTheme="minorHAnsi" w:cstheme="minorBidi"/>
              <w:noProof/>
              <w:color w:val="auto"/>
              <w:sz w:val="22"/>
              <w:szCs w:val="22"/>
              <w:lang w:eastAsia="en-AU"/>
            </w:rPr>
          </w:pPr>
          <w:hyperlink w:anchor="_Toc141803679" w:history="1">
            <w:r w:rsidR="00D25CE5" w:rsidRPr="00A4301D">
              <w:rPr>
                <w:rStyle w:val="Hyperlink"/>
                <w:noProof/>
              </w:rPr>
              <w:t>What you need to do</w:t>
            </w:r>
            <w:r w:rsidR="00D25CE5">
              <w:rPr>
                <w:noProof/>
                <w:webHidden/>
              </w:rPr>
              <w:tab/>
            </w:r>
            <w:r w:rsidR="00D25CE5">
              <w:rPr>
                <w:noProof/>
                <w:webHidden/>
              </w:rPr>
              <w:fldChar w:fldCharType="begin"/>
            </w:r>
            <w:r w:rsidR="00D25CE5">
              <w:rPr>
                <w:noProof/>
                <w:webHidden/>
              </w:rPr>
              <w:instrText xml:space="preserve"> PAGEREF _Toc141803679 \h </w:instrText>
            </w:r>
            <w:r w:rsidR="00D25CE5">
              <w:rPr>
                <w:noProof/>
                <w:webHidden/>
              </w:rPr>
            </w:r>
            <w:r w:rsidR="00D25CE5">
              <w:rPr>
                <w:noProof/>
                <w:webHidden/>
              </w:rPr>
              <w:fldChar w:fldCharType="separate"/>
            </w:r>
            <w:r w:rsidR="00D25CE5">
              <w:rPr>
                <w:noProof/>
                <w:webHidden/>
              </w:rPr>
              <w:t>5</w:t>
            </w:r>
            <w:r w:rsidR="00D25CE5">
              <w:rPr>
                <w:noProof/>
                <w:webHidden/>
              </w:rPr>
              <w:fldChar w:fldCharType="end"/>
            </w:r>
          </w:hyperlink>
        </w:p>
        <w:p w14:paraId="3642E965" w14:textId="71A0D5DE"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80" w:history="1">
            <w:r w:rsidR="00D25CE5" w:rsidRPr="00BB23CA">
              <w:rPr>
                <w:rStyle w:val="Hyperlink"/>
                <w:b w:val="0"/>
                <w:bCs/>
                <w:noProof/>
                <w:sz w:val="24"/>
                <w:szCs w:val="24"/>
              </w:rPr>
              <w:t>Medical devices included in the ARTG prior to 25 November 2021</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_Toc141803680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6</w:t>
            </w:r>
            <w:r w:rsidR="00D25CE5" w:rsidRPr="00BB23CA">
              <w:rPr>
                <w:b w:val="0"/>
                <w:bCs/>
                <w:noProof/>
                <w:webHidden/>
                <w:sz w:val="24"/>
                <w:szCs w:val="24"/>
              </w:rPr>
              <w:fldChar w:fldCharType="end"/>
            </w:r>
          </w:hyperlink>
        </w:p>
        <w:p w14:paraId="40009DA2" w14:textId="0CF8C50F"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81" w:history="1">
            <w:r w:rsidR="00D25CE5" w:rsidRPr="00BB23CA">
              <w:rPr>
                <w:rStyle w:val="Hyperlink"/>
                <w:b w:val="0"/>
                <w:bCs/>
                <w:noProof/>
                <w:sz w:val="24"/>
                <w:szCs w:val="24"/>
              </w:rPr>
              <w:t xml:space="preserve">Applications to include a medical device in the ARTG lodged </w:t>
            </w:r>
            <w:r w:rsidR="00255D34" w:rsidRPr="00BB23CA">
              <w:rPr>
                <w:rStyle w:val="Hyperlink"/>
                <w:b w:val="0"/>
                <w:bCs/>
                <w:noProof/>
                <w:sz w:val="24"/>
                <w:szCs w:val="24"/>
              </w:rPr>
              <w:br/>
            </w:r>
            <w:r w:rsidR="00D25CE5" w:rsidRPr="00BB23CA">
              <w:rPr>
                <w:rStyle w:val="Hyperlink"/>
                <w:b w:val="0"/>
                <w:bCs/>
                <w:noProof/>
                <w:sz w:val="24"/>
                <w:szCs w:val="24"/>
              </w:rPr>
              <w:t>before 25 November 2021</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_Toc141803681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6</w:t>
            </w:r>
            <w:r w:rsidR="00D25CE5" w:rsidRPr="00BB23CA">
              <w:rPr>
                <w:b w:val="0"/>
                <w:bCs/>
                <w:noProof/>
                <w:webHidden/>
                <w:sz w:val="24"/>
                <w:szCs w:val="24"/>
              </w:rPr>
              <w:fldChar w:fldCharType="end"/>
            </w:r>
          </w:hyperlink>
        </w:p>
        <w:p w14:paraId="72AC36CD" w14:textId="5443BA0A" w:rsidR="00D25CE5" w:rsidRPr="00BB23CA" w:rsidRDefault="00714495" w:rsidP="00B4320A">
          <w:pPr>
            <w:pStyle w:val="TOC3"/>
            <w:rPr>
              <w:rFonts w:asciiTheme="minorHAnsi" w:eastAsiaTheme="minorEastAsia" w:hAnsiTheme="minorHAnsi" w:cstheme="minorBidi"/>
              <w:b w:val="0"/>
              <w:bCs/>
              <w:noProof/>
              <w:color w:val="auto"/>
              <w:sz w:val="22"/>
              <w:szCs w:val="22"/>
              <w:lang w:eastAsia="en-AU"/>
            </w:rPr>
          </w:pPr>
          <w:hyperlink w:anchor="_Toc141803682" w:history="1">
            <w:r w:rsidR="00D25CE5" w:rsidRPr="00BB23CA">
              <w:rPr>
                <w:rStyle w:val="Hyperlink"/>
                <w:b w:val="0"/>
                <w:bCs/>
                <w:noProof/>
                <w:sz w:val="22"/>
                <w:szCs w:val="22"/>
              </w:rPr>
              <w:t>Cancelling your ARTG inclusion</w:t>
            </w:r>
            <w:r w:rsidR="00D25CE5" w:rsidRPr="00BB23CA">
              <w:rPr>
                <w:b w:val="0"/>
                <w:bCs/>
                <w:noProof/>
                <w:webHidden/>
                <w:sz w:val="22"/>
                <w:szCs w:val="22"/>
              </w:rPr>
              <w:tab/>
            </w:r>
            <w:r w:rsidR="00D25CE5" w:rsidRPr="00BB23CA">
              <w:rPr>
                <w:b w:val="0"/>
                <w:bCs/>
                <w:noProof/>
                <w:webHidden/>
                <w:sz w:val="22"/>
                <w:szCs w:val="22"/>
              </w:rPr>
              <w:fldChar w:fldCharType="begin"/>
            </w:r>
            <w:r w:rsidR="00D25CE5" w:rsidRPr="00BB23CA">
              <w:rPr>
                <w:b w:val="0"/>
                <w:bCs/>
                <w:noProof/>
                <w:webHidden/>
                <w:sz w:val="22"/>
                <w:szCs w:val="22"/>
              </w:rPr>
              <w:instrText xml:space="preserve"> PAGEREF _Toc141803682 \h </w:instrText>
            </w:r>
            <w:r w:rsidR="00D25CE5" w:rsidRPr="00BB23CA">
              <w:rPr>
                <w:b w:val="0"/>
                <w:bCs/>
                <w:noProof/>
                <w:webHidden/>
                <w:sz w:val="22"/>
                <w:szCs w:val="22"/>
              </w:rPr>
            </w:r>
            <w:r w:rsidR="00D25CE5" w:rsidRPr="00BB23CA">
              <w:rPr>
                <w:b w:val="0"/>
                <w:bCs/>
                <w:noProof/>
                <w:webHidden/>
                <w:sz w:val="22"/>
                <w:szCs w:val="22"/>
              </w:rPr>
              <w:fldChar w:fldCharType="separate"/>
            </w:r>
            <w:r w:rsidR="00D25CE5" w:rsidRPr="00BB23CA">
              <w:rPr>
                <w:b w:val="0"/>
                <w:bCs/>
                <w:noProof/>
                <w:webHidden/>
                <w:sz w:val="22"/>
                <w:szCs w:val="22"/>
              </w:rPr>
              <w:t>7</w:t>
            </w:r>
            <w:r w:rsidR="00D25CE5" w:rsidRPr="00BB23CA">
              <w:rPr>
                <w:b w:val="0"/>
                <w:bCs/>
                <w:noProof/>
                <w:webHidden/>
                <w:sz w:val="22"/>
                <w:szCs w:val="22"/>
              </w:rPr>
              <w:fldChar w:fldCharType="end"/>
            </w:r>
          </w:hyperlink>
        </w:p>
        <w:p w14:paraId="53BF4657" w14:textId="2C27D073"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83" w:history="1">
            <w:r w:rsidR="00D25CE5" w:rsidRPr="00BB23CA">
              <w:rPr>
                <w:rStyle w:val="Hyperlink"/>
                <w:b w:val="0"/>
                <w:bCs/>
                <w:noProof/>
                <w:sz w:val="24"/>
                <w:szCs w:val="24"/>
              </w:rPr>
              <w:t xml:space="preserve">Applications to include a new medical device on or after </w:t>
            </w:r>
            <w:r w:rsidR="00255D34" w:rsidRPr="00BB23CA">
              <w:rPr>
                <w:rStyle w:val="Hyperlink"/>
                <w:b w:val="0"/>
                <w:bCs/>
                <w:noProof/>
                <w:sz w:val="24"/>
                <w:szCs w:val="24"/>
              </w:rPr>
              <w:br/>
            </w:r>
            <w:r w:rsidR="00D25CE5" w:rsidRPr="00BB23CA">
              <w:rPr>
                <w:rStyle w:val="Hyperlink"/>
                <w:b w:val="0"/>
                <w:bCs/>
                <w:noProof/>
                <w:sz w:val="24"/>
                <w:szCs w:val="24"/>
              </w:rPr>
              <w:t>25 November 2021</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_Toc141803683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7</w:t>
            </w:r>
            <w:r w:rsidR="00D25CE5" w:rsidRPr="00BB23CA">
              <w:rPr>
                <w:b w:val="0"/>
                <w:bCs/>
                <w:noProof/>
                <w:webHidden/>
                <w:sz w:val="24"/>
                <w:szCs w:val="24"/>
              </w:rPr>
              <w:fldChar w:fldCharType="end"/>
            </w:r>
          </w:hyperlink>
        </w:p>
        <w:p w14:paraId="6BFA58C9" w14:textId="6B5FEB41" w:rsidR="00D25CE5" w:rsidRDefault="00714495" w:rsidP="00B4320A">
          <w:pPr>
            <w:pStyle w:val="TOC1"/>
            <w:rPr>
              <w:rFonts w:asciiTheme="minorHAnsi" w:eastAsiaTheme="minorEastAsia" w:hAnsiTheme="minorHAnsi" w:cstheme="minorBidi"/>
              <w:noProof/>
              <w:color w:val="auto"/>
              <w:sz w:val="22"/>
              <w:szCs w:val="22"/>
              <w:lang w:eastAsia="en-AU"/>
            </w:rPr>
          </w:pPr>
          <w:hyperlink w:anchor="_Toc141803684" w:history="1">
            <w:r w:rsidR="00D25CE5" w:rsidRPr="00A4301D">
              <w:rPr>
                <w:rStyle w:val="Hyperlink"/>
                <w:noProof/>
              </w:rPr>
              <w:t>Notifying the TGA</w:t>
            </w:r>
            <w:r w:rsidR="00D25CE5">
              <w:rPr>
                <w:noProof/>
                <w:webHidden/>
              </w:rPr>
              <w:tab/>
            </w:r>
            <w:r w:rsidR="00D25CE5">
              <w:rPr>
                <w:noProof/>
                <w:webHidden/>
              </w:rPr>
              <w:fldChar w:fldCharType="begin"/>
            </w:r>
            <w:r w:rsidR="00D25CE5">
              <w:rPr>
                <w:noProof/>
                <w:webHidden/>
              </w:rPr>
              <w:instrText xml:space="preserve"> PAGEREF _Toc141803684 \h </w:instrText>
            </w:r>
            <w:r w:rsidR="00D25CE5">
              <w:rPr>
                <w:noProof/>
                <w:webHidden/>
              </w:rPr>
            </w:r>
            <w:r w:rsidR="00D25CE5">
              <w:rPr>
                <w:noProof/>
                <w:webHidden/>
              </w:rPr>
              <w:fldChar w:fldCharType="separate"/>
            </w:r>
            <w:r w:rsidR="00D25CE5">
              <w:rPr>
                <w:noProof/>
                <w:webHidden/>
              </w:rPr>
              <w:t>7</w:t>
            </w:r>
            <w:r w:rsidR="00D25CE5">
              <w:rPr>
                <w:noProof/>
                <w:webHidden/>
              </w:rPr>
              <w:fldChar w:fldCharType="end"/>
            </w:r>
          </w:hyperlink>
        </w:p>
        <w:p w14:paraId="7E2D0769" w14:textId="6BDEBBDC" w:rsidR="00D25CE5" w:rsidRDefault="00714495" w:rsidP="00B4320A">
          <w:pPr>
            <w:pStyle w:val="TOC1"/>
            <w:rPr>
              <w:rFonts w:asciiTheme="minorHAnsi" w:eastAsiaTheme="minorEastAsia" w:hAnsiTheme="minorHAnsi" w:cstheme="minorBidi"/>
              <w:noProof/>
              <w:color w:val="auto"/>
              <w:sz w:val="22"/>
              <w:szCs w:val="22"/>
              <w:lang w:eastAsia="en-AU"/>
            </w:rPr>
          </w:pPr>
          <w:hyperlink w:anchor="_Toc141803685" w:history="1">
            <w:r w:rsidR="00D25CE5" w:rsidRPr="00A4301D">
              <w:rPr>
                <w:rStyle w:val="Hyperlink"/>
                <w:noProof/>
              </w:rPr>
              <w:t xml:space="preserve">Reclassifying </w:t>
            </w:r>
            <w:r w:rsidR="00D25CE5" w:rsidRPr="00A4301D">
              <w:rPr>
                <w:rStyle w:val="Hyperlink"/>
                <w:rFonts w:asciiTheme="majorHAnsi" w:hAnsiTheme="majorHAnsi" w:cstheme="majorHAnsi"/>
                <w:noProof/>
              </w:rPr>
              <w:t>an ARTG inclusion as</w:t>
            </w:r>
            <w:r w:rsidR="00D25CE5" w:rsidRPr="00A4301D">
              <w:rPr>
                <w:rStyle w:val="Hyperlink"/>
                <w:noProof/>
              </w:rPr>
              <w:t xml:space="preserve"> a Class III device</w:t>
            </w:r>
            <w:r w:rsidR="00D25CE5">
              <w:rPr>
                <w:noProof/>
                <w:webHidden/>
              </w:rPr>
              <w:tab/>
            </w:r>
            <w:r w:rsidR="00D25CE5">
              <w:rPr>
                <w:noProof/>
                <w:webHidden/>
              </w:rPr>
              <w:fldChar w:fldCharType="begin"/>
            </w:r>
            <w:r w:rsidR="00D25CE5">
              <w:rPr>
                <w:noProof/>
                <w:webHidden/>
              </w:rPr>
              <w:instrText xml:space="preserve"> PAGEREF _Toc141803685 \h </w:instrText>
            </w:r>
            <w:r w:rsidR="00D25CE5">
              <w:rPr>
                <w:noProof/>
                <w:webHidden/>
              </w:rPr>
            </w:r>
            <w:r w:rsidR="00D25CE5">
              <w:rPr>
                <w:noProof/>
                <w:webHidden/>
              </w:rPr>
              <w:fldChar w:fldCharType="separate"/>
            </w:r>
            <w:r w:rsidR="00D25CE5">
              <w:rPr>
                <w:noProof/>
                <w:webHidden/>
              </w:rPr>
              <w:t>7</w:t>
            </w:r>
            <w:r w:rsidR="00D25CE5">
              <w:rPr>
                <w:noProof/>
                <w:webHidden/>
              </w:rPr>
              <w:fldChar w:fldCharType="end"/>
            </w:r>
          </w:hyperlink>
        </w:p>
        <w:p w14:paraId="208232AB" w14:textId="60144805"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86" w:history="1">
            <w:r w:rsidR="00D25CE5" w:rsidRPr="00BB23CA">
              <w:rPr>
                <w:rStyle w:val="Hyperlink"/>
                <w:b w:val="0"/>
                <w:bCs/>
                <w:noProof/>
                <w:sz w:val="24"/>
                <w:szCs w:val="24"/>
              </w:rPr>
              <w:t>Kind of device: Class IIa vs Class III</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_Toc141803686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7</w:t>
            </w:r>
            <w:r w:rsidR="00D25CE5" w:rsidRPr="00BB23CA">
              <w:rPr>
                <w:b w:val="0"/>
                <w:bCs/>
                <w:noProof/>
                <w:webHidden/>
                <w:sz w:val="24"/>
                <w:szCs w:val="24"/>
              </w:rPr>
              <w:fldChar w:fldCharType="end"/>
            </w:r>
          </w:hyperlink>
        </w:p>
        <w:p w14:paraId="3DDE96C6" w14:textId="6B326792"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87" w:history="1">
            <w:r w:rsidR="00D25CE5" w:rsidRPr="00BB23CA">
              <w:rPr>
                <w:rStyle w:val="Hyperlink"/>
                <w:rFonts w:asciiTheme="majorHAnsi" w:hAnsiTheme="majorHAnsi" w:cstheme="majorHAnsi"/>
                <w:b w:val="0"/>
                <w:bCs/>
                <w:noProof/>
                <w:sz w:val="24"/>
                <w:szCs w:val="24"/>
              </w:rPr>
              <w:t xml:space="preserve">Timeframes for ARTG inclusion applications as Class III </w:t>
            </w:r>
            <w:r w:rsidR="00255D34" w:rsidRPr="00BB23CA">
              <w:rPr>
                <w:rStyle w:val="Hyperlink"/>
                <w:rFonts w:asciiTheme="majorHAnsi" w:hAnsiTheme="majorHAnsi" w:cstheme="majorHAnsi"/>
                <w:b w:val="0"/>
                <w:bCs/>
                <w:noProof/>
                <w:sz w:val="24"/>
                <w:szCs w:val="24"/>
              </w:rPr>
              <w:br/>
            </w:r>
            <w:r w:rsidR="00D25CE5" w:rsidRPr="00BB23CA">
              <w:rPr>
                <w:rStyle w:val="Hyperlink"/>
                <w:rFonts w:asciiTheme="majorHAnsi" w:hAnsiTheme="majorHAnsi" w:cstheme="majorHAnsi"/>
                <w:b w:val="0"/>
                <w:bCs/>
                <w:noProof/>
                <w:sz w:val="24"/>
                <w:szCs w:val="24"/>
              </w:rPr>
              <w:t>medical devices</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_Toc141803687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9</w:t>
            </w:r>
            <w:r w:rsidR="00D25CE5" w:rsidRPr="00BB23CA">
              <w:rPr>
                <w:b w:val="0"/>
                <w:bCs/>
                <w:noProof/>
                <w:webHidden/>
                <w:sz w:val="24"/>
                <w:szCs w:val="24"/>
              </w:rPr>
              <w:fldChar w:fldCharType="end"/>
            </w:r>
          </w:hyperlink>
        </w:p>
        <w:p w14:paraId="1F4AFCCD" w14:textId="2BB65498"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88" w:history="1">
            <w:r w:rsidR="00D25CE5" w:rsidRPr="00BB23CA">
              <w:rPr>
                <w:rStyle w:val="Hyperlink"/>
                <w:b w:val="0"/>
                <w:bCs/>
                <w:noProof/>
                <w:sz w:val="24"/>
                <w:szCs w:val="24"/>
              </w:rPr>
              <w:t>What to include in your application</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_Toc141803688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9</w:t>
            </w:r>
            <w:r w:rsidR="00D25CE5" w:rsidRPr="00BB23CA">
              <w:rPr>
                <w:b w:val="0"/>
                <w:bCs/>
                <w:noProof/>
                <w:webHidden/>
                <w:sz w:val="24"/>
                <w:szCs w:val="24"/>
              </w:rPr>
              <w:fldChar w:fldCharType="end"/>
            </w:r>
          </w:hyperlink>
        </w:p>
        <w:p w14:paraId="1AD11A45" w14:textId="6178CD0C"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89" w:history="1">
            <w:r w:rsidR="00D25CE5" w:rsidRPr="00BB23CA">
              <w:rPr>
                <w:rStyle w:val="Hyperlink"/>
                <w:b w:val="0"/>
                <w:bCs/>
                <w:noProof/>
                <w:sz w:val="24"/>
                <w:szCs w:val="24"/>
              </w:rPr>
              <w:t>How to submit a reclassification application</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_Toc141803689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9</w:t>
            </w:r>
            <w:r w:rsidR="00D25CE5" w:rsidRPr="00BB23CA">
              <w:rPr>
                <w:b w:val="0"/>
                <w:bCs/>
                <w:noProof/>
                <w:webHidden/>
                <w:sz w:val="24"/>
                <w:szCs w:val="24"/>
              </w:rPr>
              <w:fldChar w:fldCharType="end"/>
            </w:r>
          </w:hyperlink>
        </w:p>
        <w:p w14:paraId="62E97BB7" w14:textId="2BD9C76B"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90" w:history="1">
            <w:r w:rsidR="00D25CE5" w:rsidRPr="00BB23CA">
              <w:rPr>
                <w:rStyle w:val="Hyperlink"/>
                <w:b w:val="0"/>
                <w:bCs/>
                <w:noProof/>
                <w:sz w:val="24"/>
                <w:szCs w:val="24"/>
              </w:rPr>
              <w:t>Mandatory Audits</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_Toc141803690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11</w:t>
            </w:r>
            <w:r w:rsidR="00D25CE5" w:rsidRPr="00BB23CA">
              <w:rPr>
                <w:b w:val="0"/>
                <w:bCs/>
                <w:noProof/>
                <w:webHidden/>
                <w:sz w:val="24"/>
                <w:szCs w:val="24"/>
              </w:rPr>
              <w:fldChar w:fldCharType="end"/>
            </w:r>
          </w:hyperlink>
        </w:p>
        <w:p w14:paraId="323C1397" w14:textId="5ECB6B1F" w:rsidR="00D25CE5" w:rsidRPr="00BB23CA" w:rsidRDefault="00714495" w:rsidP="00B4320A">
          <w:pPr>
            <w:pStyle w:val="TOC2"/>
            <w:rPr>
              <w:rFonts w:asciiTheme="minorHAnsi" w:eastAsiaTheme="minorEastAsia" w:hAnsiTheme="minorHAnsi" w:cstheme="minorBidi"/>
              <w:b w:val="0"/>
              <w:bCs/>
              <w:noProof/>
              <w:color w:val="auto"/>
              <w:sz w:val="24"/>
              <w:szCs w:val="24"/>
              <w:lang w:eastAsia="en-AU"/>
            </w:rPr>
          </w:pPr>
          <w:hyperlink w:anchor="_Toc141803691" w:history="1">
            <w:r w:rsidR="00D25CE5" w:rsidRPr="00BB23CA">
              <w:rPr>
                <w:rStyle w:val="Hyperlink"/>
                <w:b w:val="0"/>
                <w:bCs/>
                <w:noProof/>
                <w:sz w:val="24"/>
                <w:szCs w:val="24"/>
              </w:rPr>
              <w:t>Fees</w:t>
            </w:r>
            <w:r w:rsidR="00D25CE5" w:rsidRPr="00BB23CA">
              <w:rPr>
                <w:b w:val="0"/>
                <w:bCs/>
                <w:noProof/>
                <w:webHidden/>
                <w:sz w:val="24"/>
                <w:szCs w:val="24"/>
              </w:rPr>
              <w:tab/>
            </w:r>
            <w:r w:rsidR="00D25CE5" w:rsidRPr="00BB23CA">
              <w:rPr>
                <w:b w:val="0"/>
                <w:bCs/>
                <w:noProof/>
                <w:webHidden/>
                <w:sz w:val="24"/>
                <w:szCs w:val="24"/>
              </w:rPr>
              <w:fldChar w:fldCharType="begin"/>
            </w:r>
            <w:r w:rsidR="00D25CE5" w:rsidRPr="00BB23CA">
              <w:rPr>
                <w:b w:val="0"/>
                <w:bCs/>
                <w:noProof/>
                <w:webHidden/>
                <w:sz w:val="24"/>
                <w:szCs w:val="24"/>
              </w:rPr>
              <w:instrText xml:space="preserve"> PAGEREF _Toc141803691 \h </w:instrText>
            </w:r>
            <w:r w:rsidR="00D25CE5" w:rsidRPr="00BB23CA">
              <w:rPr>
                <w:b w:val="0"/>
                <w:bCs/>
                <w:noProof/>
                <w:webHidden/>
                <w:sz w:val="24"/>
                <w:szCs w:val="24"/>
              </w:rPr>
            </w:r>
            <w:r w:rsidR="00D25CE5" w:rsidRPr="00BB23CA">
              <w:rPr>
                <w:b w:val="0"/>
                <w:bCs/>
                <w:noProof/>
                <w:webHidden/>
                <w:sz w:val="24"/>
                <w:szCs w:val="24"/>
              </w:rPr>
              <w:fldChar w:fldCharType="separate"/>
            </w:r>
            <w:r w:rsidR="00D25CE5" w:rsidRPr="00BB23CA">
              <w:rPr>
                <w:b w:val="0"/>
                <w:bCs/>
                <w:noProof/>
                <w:webHidden/>
                <w:sz w:val="24"/>
                <w:szCs w:val="24"/>
              </w:rPr>
              <w:t>11</w:t>
            </w:r>
            <w:r w:rsidR="00D25CE5" w:rsidRPr="00BB23CA">
              <w:rPr>
                <w:b w:val="0"/>
                <w:bCs/>
                <w:noProof/>
                <w:webHidden/>
                <w:sz w:val="24"/>
                <w:szCs w:val="24"/>
              </w:rPr>
              <w:fldChar w:fldCharType="end"/>
            </w:r>
          </w:hyperlink>
        </w:p>
        <w:p w14:paraId="45C86837" w14:textId="0A8FDAFE" w:rsidR="00D25CE5" w:rsidRDefault="00714495" w:rsidP="00B4320A">
          <w:pPr>
            <w:pStyle w:val="TOC1"/>
            <w:rPr>
              <w:rFonts w:asciiTheme="minorHAnsi" w:eastAsiaTheme="minorEastAsia" w:hAnsiTheme="minorHAnsi" w:cstheme="minorBidi"/>
              <w:noProof/>
              <w:color w:val="auto"/>
              <w:sz w:val="22"/>
              <w:szCs w:val="22"/>
              <w:lang w:eastAsia="en-AU"/>
            </w:rPr>
          </w:pPr>
          <w:hyperlink w:anchor="_Toc141803692" w:history="1">
            <w:r w:rsidR="00D25CE5" w:rsidRPr="00A4301D">
              <w:rPr>
                <w:rStyle w:val="Hyperlink"/>
                <w:noProof/>
              </w:rPr>
              <w:t>If your inclusion application is not successful</w:t>
            </w:r>
            <w:r w:rsidR="00D25CE5">
              <w:rPr>
                <w:noProof/>
                <w:webHidden/>
              </w:rPr>
              <w:tab/>
            </w:r>
            <w:r w:rsidR="00D25CE5">
              <w:rPr>
                <w:noProof/>
                <w:webHidden/>
              </w:rPr>
              <w:fldChar w:fldCharType="begin"/>
            </w:r>
            <w:r w:rsidR="00D25CE5">
              <w:rPr>
                <w:noProof/>
                <w:webHidden/>
              </w:rPr>
              <w:instrText xml:space="preserve"> PAGEREF _Toc141803692 \h </w:instrText>
            </w:r>
            <w:r w:rsidR="00D25CE5">
              <w:rPr>
                <w:noProof/>
                <w:webHidden/>
              </w:rPr>
            </w:r>
            <w:r w:rsidR="00D25CE5">
              <w:rPr>
                <w:noProof/>
                <w:webHidden/>
              </w:rPr>
              <w:fldChar w:fldCharType="separate"/>
            </w:r>
            <w:r w:rsidR="00D25CE5">
              <w:rPr>
                <w:noProof/>
                <w:webHidden/>
              </w:rPr>
              <w:t>11</w:t>
            </w:r>
            <w:r w:rsidR="00D25CE5">
              <w:rPr>
                <w:noProof/>
                <w:webHidden/>
              </w:rPr>
              <w:fldChar w:fldCharType="end"/>
            </w:r>
          </w:hyperlink>
        </w:p>
        <w:p w14:paraId="3452D016" w14:textId="0395BA0E" w:rsidR="00D25CE5" w:rsidRDefault="00714495" w:rsidP="00B4320A">
          <w:pPr>
            <w:pStyle w:val="TOC1"/>
            <w:rPr>
              <w:rFonts w:asciiTheme="minorHAnsi" w:eastAsiaTheme="minorEastAsia" w:hAnsiTheme="minorHAnsi" w:cstheme="minorBidi"/>
              <w:noProof/>
              <w:color w:val="auto"/>
              <w:sz w:val="22"/>
              <w:szCs w:val="22"/>
              <w:lang w:eastAsia="en-AU"/>
            </w:rPr>
          </w:pPr>
          <w:hyperlink w:anchor="_Toc141803693" w:history="1">
            <w:r w:rsidR="00D25CE5" w:rsidRPr="00A4301D">
              <w:rPr>
                <w:rStyle w:val="Hyperlink"/>
                <w:noProof/>
              </w:rPr>
              <w:t>When to cease supply using your old ARTG entry</w:t>
            </w:r>
            <w:r w:rsidR="00D25CE5">
              <w:rPr>
                <w:noProof/>
                <w:webHidden/>
              </w:rPr>
              <w:tab/>
            </w:r>
            <w:r w:rsidR="00D25CE5">
              <w:rPr>
                <w:noProof/>
                <w:webHidden/>
              </w:rPr>
              <w:fldChar w:fldCharType="begin"/>
            </w:r>
            <w:r w:rsidR="00D25CE5">
              <w:rPr>
                <w:noProof/>
                <w:webHidden/>
              </w:rPr>
              <w:instrText xml:space="preserve"> PAGEREF _Toc141803693 \h </w:instrText>
            </w:r>
            <w:r w:rsidR="00D25CE5">
              <w:rPr>
                <w:noProof/>
                <w:webHidden/>
              </w:rPr>
            </w:r>
            <w:r w:rsidR="00D25CE5">
              <w:rPr>
                <w:noProof/>
                <w:webHidden/>
              </w:rPr>
              <w:fldChar w:fldCharType="separate"/>
            </w:r>
            <w:r w:rsidR="00D25CE5">
              <w:rPr>
                <w:noProof/>
                <w:webHidden/>
              </w:rPr>
              <w:t>12</w:t>
            </w:r>
            <w:r w:rsidR="00D25CE5">
              <w:rPr>
                <w:noProof/>
                <w:webHidden/>
              </w:rPr>
              <w:fldChar w:fldCharType="end"/>
            </w:r>
          </w:hyperlink>
        </w:p>
        <w:p w14:paraId="212030F8" w14:textId="34BC8629" w:rsidR="00F401EF" w:rsidRPr="00215D48" w:rsidRDefault="00F859D2" w:rsidP="00B4320A">
          <w:r w:rsidRPr="00215D48">
            <w:fldChar w:fldCharType="end"/>
          </w:r>
        </w:p>
      </w:sdtContent>
    </w:sdt>
    <w:p w14:paraId="6B036CBD" w14:textId="77777777" w:rsidR="00AA3EB9" w:rsidRPr="00215D48" w:rsidRDefault="001525B4" w:rsidP="00B4320A">
      <w:r w:rsidRPr="00215D48">
        <w:br w:type="page"/>
      </w:r>
    </w:p>
    <w:p w14:paraId="622D2A9E" w14:textId="77777777" w:rsidR="00035DFD" w:rsidRDefault="00035DFD" w:rsidP="00B4320A">
      <w:pPr>
        <w:pStyle w:val="Heading2"/>
      </w:pPr>
      <w:bookmarkStart w:id="0" w:name="_Toc120888871"/>
      <w:bookmarkStart w:id="1" w:name="_Toc141803674"/>
      <w:bookmarkStart w:id="2" w:name="_Toc323739589"/>
      <w:bookmarkStart w:id="3" w:name="_Toc356305216"/>
      <w:r>
        <w:lastRenderedPageBreak/>
        <w:t>About this guidance</w:t>
      </w:r>
      <w:bookmarkEnd w:id="0"/>
      <w:bookmarkEnd w:id="1"/>
    </w:p>
    <w:p w14:paraId="79C8E94E" w14:textId="77777777" w:rsidR="00035DFD" w:rsidRPr="00B4320A" w:rsidRDefault="00035DFD" w:rsidP="00B4320A">
      <w:r w:rsidRPr="00B4320A">
        <w:t>This guidance aims to assist sponsors of medical devices intended to be used in direct contact with the heart, central circulatory system (CCS) or the central nervous system (CNS) with meeting their obligations and outlines transitional arrangements to help comply with new regulations.</w:t>
      </w:r>
    </w:p>
    <w:p w14:paraId="2BAB437B" w14:textId="77777777" w:rsidR="00035DFD" w:rsidRPr="00B4320A" w:rsidRDefault="00035DFD" w:rsidP="00B4320A">
      <w:r w:rsidRPr="00B4320A">
        <w:t>From 25 November 2021 medical devices intended to be used in direct contact with the heart, central circulatory system (CCS) or the central nervous system (CNS)will be required to meet regulatory requirements demonstrating the safety and performance for Class III medical devices.</w:t>
      </w:r>
    </w:p>
    <w:p w14:paraId="6448A01F" w14:textId="77777777" w:rsidR="00035DFD" w:rsidRDefault="00035DFD" w:rsidP="00B4320A">
      <w:pPr>
        <w:pStyle w:val="Heading3"/>
      </w:pPr>
      <w:bookmarkStart w:id="4" w:name="_Toc120888872"/>
      <w:bookmarkStart w:id="5" w:name="_Toc141803675"/>
      <w:r>
        <w:t>Background</w:t>
      </w:r>
      <w:bookmarkEnd w:id="4"/>
      <w:bookmarkEnd w:id="5"/>
    </w:p>
    <w:p w14:paraId="5133A851" w14:textId="77777777" w:rsidR="00035DFD" w:rsidRPr="001529B6" w:rsidRDefault="00035DFD" w:rsidP="00B4320A">
      <w:pPr>
        <w:rPr>
          <w:rFonts w:asciiTheme="majorHAnsi" w:hAnsiTheme="majorHAnsi" w:cstheme="majorHAnsi"/>
        </w:rPr>
      </w:pPr>
      <w:r w:rsidRPr="001529B6">
        <w:rPr>
          <w:rFonts w:asciiTheme="majorHAnsi" w:hAnsiTheme="majorHAnsi" w:cstheme="majorHAnsi"/>
        </w:rPr>
        <w:t xml:space="preserve">In early 2019 the Therapeutic Goods Administration (TGA) conducted a </w:t>
      </w:r>
      <w:hyperlink r:id="rId13" w:history="1">
        <w:r w:rsidRPr="001529B6">
          <w:rPr>
            <w:rStyle w:val="Hyperlink"/>
            <w:rFonts w:asciiTheme="majorHAnsi" w:hAnsiTheme="majorHAnsi" w:cstheme="majorHAnsi"/>
          </w:rPr>
          <w:t>public consultation seeking feedback</w:t>
        </w:r>
      </w:hyperlink>
      <w:r w:rsidRPr="001529B6">
        <w:rPr>
          <w:rFonts w:asciiTheme="majorHAnsi" w:hAnsiTheme="majorHAnsi" w:cstheme="majorHAnsi"/>
        </w:rPr>
        <w:t xml:space="preserve"> on a proposal to reclassify medical devices intended to be used in direct contact with the heart, central circulatory system (CCS) or the central nervous system (CNS).  The proposed regulatory changes supported the commitment made in the </w:t>
      </w:r>
      <w:hyperlink r:id="rId14" w:history="1">
        <w:r w:rsidRPr="001529B6">
          <w:rPr>
            <w:rStyle w:val="Hyperlink"/>
            <w:rFonts w:asciiTheme="majorHAnsi" w:hAnsiTheme="majorHAnsi" w:cstheme="majorHAnsi"/>
          </w:rPr>
          <w:t>Australian Government Response to the Review of Medicines and Medical Devices Regulation</w:t>
        </w:r>
      </w:hyperlink>
      <w:r w:rsidRPr="001529B6">
        <w:rPr>
          <w:rFonts w:asciiTheme="majorHAnsi" w:hAnsiTheme="majorHAnsi" w:cstheme="majorHAnsi"/>
        </w:rPr>
        <w:t xml:space="preserve"> to align Australian medical device regulations, where possible and appropriate, with the European Union framework.</w:t>
      </w:r>
    </w:p>
    <w:p w14:paraId="45CD0A36" w14:textId="2B33AA52" w:rsidR="00035DFD" w:rsidRPr="001529B6" w:rsidRDefault="00035DFD" w:rsidP="00B4320A">
      <w:r w:rsidRPr="001529B6">
        <w:t xml:space="preserve">Stakeholders who responded to the public consultation were broadly supportive of the proposed changes and the </w:t>
      </w:r>
      <w:hyperlink r:id="rId15" w:history="1">
        <w:r w:rsidRPr="001529B6">
          <w:rPr>
            <w:rStyle w:val="Hyperlink"/>
            <w:rFonts w:asciiTheme="majorHAnsi" w:hAnsiTheme="majorHAnsi" w:cstheme="majorHAnsi"/>
            <w:i/>
          </w:rPr>
          <w:t>Therapeutic Goods Legislation Amendment (2019 Measures No.1) Regulations 2019</w:t>
        </w:r>
      </w:hyperlink>
      <w:r w:rsidRPr="001529B6">
        <w:t xml:space="preserve"> was made on 12 December 2019.</w:t>
      </w:r>
    </w:p>
    <w:p w14:paraId="660D8AD6" w14:textId="7819DBE2" w:rsidR="00035DFD" w:rsidRPr="001529B6" w:rsidRDefault="00035DFD" w:rsidP="00B4320A">
      <w:r w:rsidRPr="001529B6">
        <w:t xml:space="preserve">The </w:t>
      </w:r>
      <w:hyperlink r:id="rId16" w:history="1">
        <w:r w:rsidRPr="001529B6">
          <w:rPr>
            <w:rStyle w:val="Hyperlink"/>
            <w:rFonts w:asciiTheme="majorHAnsi" w:hAnsiTheme="majorHAnsi" w:cstheme="majorHAnsi"/>
          </w:rPr>
          <w:t>amendments</w:t>
        </w:r>
      </w:hyperlink>
      <w:r w:rsidRPr="001529B6">
        <w:t xml:space="preserve"> include the reclassification of all surgically invasive medical devices intended to be used in direct contact with the heart, CCS or CNS from Class </w:t>
      </w:r>
      <w:proofErr w:type="spellStart"/>
      <w:r w:rsidRPr="001529B6">
        <w:t>IIa</w:t>
      </w:r>
      <w:proofErr w:type="spellEnd"/>
      <w:r w:rsidRPr="001529B6">
        <w:t xml:space="preserve"> (low-medium risk) to Class III (high risk), effective from 25 November 2021.</w:t>
      </w:r>
    </w:p>
    <w:p w14:paraId="3094300D" w14:textId="77777777" w:rsidR="00035DFD" w:rsidRPr="001529B6" w:rsidRDefault="00035DFD" w:rsidP="00B4320A">
      <w:r w:rsidRPr="001529B6">
        <w:t xml:space="preserve">Further regulatory </w:t>
      </w:r>
      <w:hyperlink r:id="rId17" w:history="1">
        <w:r w:rsidRPr="001529B6">
          <w:rPr>
            <w:rStyle w:val="Hyperlink"/>
            <w:rFonts w:asciiTheme="majorHAnsi" w:hAnsiTheme="majorHAnsi" w:cstheme="majorHAnsi"/>
          </w:rPr>
          <w:t>refinements</w:t>
        </w:r>
      </w:hyperlink>
      <w:r w:rsidRPr="001529B6">
        <w:t xml:space="preserve"> were made on 29 October 2021 to provide greater clarity around the regulation of these products.</w:t>
      </w:r>
    </w:p>
    <w:p w14:paraId="40042350" w14:textId="77777777" w:rsidR="00035DFD" w:rsidRDefault="00035DFD" w:rsidP="00B4320A">
      <w:pPr>
        <w:pStyle w:val="Heading3"/>
      </w:pPr>
      <w:bookmarkStart w:id="6" w:name="_Toc120888873"/>
      <w:bookmarkStart w:id="7" w:name="_Toc141803676"/>
      <w:r>
        <w:t>Requirements for reclassification</w:t>
      </w:r>
      <w:bookmarkEnd w:id="6"/>
      <w:bookmarkEnd w:id="7"/>
    </w:p>
    <w:p w14:paraId="79CB7D90" w14:textId="77777777" w:rsidR="00035DFD" w:rsidRPr="001529B6" w:rsidRDefault="00035DFD" w:rsidP="00B4320A">
      <w:r w:rsidRPr="001529B6">
        <w:t>The requirements include:</w:t>
      </w:r>
    </w:p>
    <w:p w14:paraId="0E9D04C9" w14:textId="77777777" w:rsidR="00035DFD" w:rsidRPr="001529B6" w:rsidRDefault="00035DFD" w:rsidP="00B4320A">
      <w:pPr>
        <w:pStyle w:val="ListBullet"/>
      </w:pPr>
      <w:r w:rsidRPr="001529B6">
        <w:t>more detailed assessment of the manufacturer’s quality management systems and assessment of technical documentation related to each device</w:t>
      </w:r>
    </w:p>
    <w:p w14:paraId="38CD5615" w14:textId="77777777" w:rsidR="00035DFD" w:rsidRPr="001529B6" w:rsidRDefault="00035DFD" w:rsidP="00B4320A">
      <w:pPr>
        <w:pStyle w:val="ListBullet"/>
      </w:pPr>
      <w:r w:rsidRPr="001529B6">
        <w:t>conformity assessment documents demonstrating procedures appropriate for a Class III device</w:t>
      </w:r>
    </w:p>
    <w:p w14:paraId="386C2CE9" w14:textId="77777777" w:rsidR="00035DFD" w:rsidRPr="001529B6" w:rsidRDefault="00035DFD" w:rsidP="00B4320A">
      <w:pPr>
        <w:pStyle w:val="ListBullet"/>
      </w:pPr>
      <w:r w:rsidRPr="001529B6">
        <w:t>mandatory audit assessment by the TGA for device inclusion applications, including assessment of clinical evidence.</w:t>
      </w:r>
    </w:p>
    <w:p w14:paraId="2903B2D9" w14:textId="77777777" w:rsidR="00035DFD" w:rsidRDefault="00035DFD" w:rsidP="00B4320A">
      <w:pPr>
        <w:pStyle w:val="Heading2"/>
      </w:pPr>
      <w:bookmarkStart w:id="8" w:name="_Toc120888874"/>
      <w:bookmarkStart w:id="9" w:name="_Toc141803677"/>
      <w:r>
        <w:t>Medical devices in direct contact with the heart, CCS or CNS</w:t>
      </w:r>
      <w:bookmarkEnd w:id="8"/>
      <w:bookmarkEnd w:id="9"/>
    </w:p>
    <w:p w14:paraId="0DF0FE42" w14:textId="77777777" w:rsidR="00035DFD" w:rsidRPr="00035DFD" w:rsidRDefault="00035DFD" w:rsidP="00B4320A">
      <w:r w:rsidRPr="00035DFD">
        <w:t xml:space="preserve">Medical devices in direct contact with the heart, CCS or CNS will be reclassified to Class III, regardless of the duration of action of the device (transient, </w:t>
      </w:r>
      <w:proofErr w:type="gramStart"/>
      <w:r w:rsidRPr="00035DFD">
        <w:t>short-term</w:t>
      </w:r>
      <w:proofErr w:type="gramEnd"/>
      <w:r w:rsidRPr="00035DFD">
        <w:t xml:space="preserve"> or long-term). This means that:</w:t>
      </w:r>
    </w:p>
    <w:p w14:paraId="7156F221" w14:textId="131573FA" w:rsidR="00035DFD" w:rsidRPr="001529B6" w:rsidRDefault="00035DFD" w:rsidP="00B4320A">
      <w:pPr>
        <w:pStyle w:val="ListBullet"/>
      </w:pPr>
      <w:r w:rsidRPr="001529B6">
        <w:t xml:space="preserve">medical devices used in direct contact with the </w:t>
      </w:r>
      <w:r w:rsidRPr="001529B6">
        <w:rPr>
          <w:b/>
        </w:rPr>
        <w:t>heart and CCS</w:t>
      </w:r>
      <w:r w:rsidRPr="001529B6">
        <w:t xml:space="preserve"> which are intended for </w:t>
      </w:r>
      <w:r w:rsidRPr="001529B6">
        <w:rPr>
          <w:b/>
        </w:rPr>
        <w:t>transient or short-term use</w:t>
      </w:r>
      <w:r w:rsidRPr="001529B6">
        <w:t xml:space="preserve"> will be reclassified from Class </w:t>
      </w:r>
      <w:proofErr w:type="spellStart"/>
      <w:r w:rsidRPr="001529B6">
        <w:t>IIa</w:t>
      </w:r>
      <w:proofErr w:type="spellEnd"/>
      <w:r w:rsidRPr="001529B6">
        <w:t xml:space="preserve"> (low-medium risk) to Class III (high risk)</w:t>
      </w:r>
    </w:p>
    <w:p w14:paraId="2F93D91F" w14:textId="77777777" w:rsidR="00035DFD" w:rsidRPr="001529B6" w:rsidRDefault="00035DFD" w:rsidP="00B4320A">
      <w:pPr>
        <w:pStyle w:val="ListBullet"/>
      </w:pPr>
      <w:r w:rsidRPr="001529B6">
        <w:t xml:space="preserve">medical devices used in direct contact with the </w:t>
      </w:r>
      <w:r w:rsidRPr="001529B6">
        <w:rPr>
          <w:b/>
        </w:rPr>
        <w:t>CNS</w:t>
      </w:r>
      <w:r w:rsidRPr="001529B6">
        <w:t xml:space="preserve"> which are intended for </w:t>
      </w:r>
      <w:r w:rsidRPr="001529B6">
        <w:rPr>
          <w:b/>
        </w:rPr>
        <w:t>transient use</w:t>
      </w:r>
      <w:r w:rsidRPr="001529B6">
        <w:t xml:space="preserve"> will be reclassified from Class </w:t>
      </w:r>
      <w:proofErr w:type="spellStart"/>
      <w:r w:rsidRPr="001529B6">
        <w:t>IIa</w:t>
      </w:r>
      <w:proofErr w:type="spellEnd"/>
      <w:r w:rsidRPr="001529B6">
        <w:t xml:space="preserve"> to Class III.</w:t>
      </w:r>
    </w:p>
    <w:p w14:paraId="35939C98" w14:textId="77777777" w:rsidR="00714495" w:rsidRDefault="00714495" w:rsidP="00B4320A"/>
    <w:p w14:paraId="55FD3AEC" w14:textId="3DDF2B79" w:rsidR="00035DFD" w:rsidRPr="00035DFD" w:rsidRDefault="00035DFD" w:rsidP="00B4320A">
      <w:r w:rsidRPr="00035DFD">
        <w:lastRenderedPageBreak/>
        <w:t xml:space="preserve">Medical devices in direct contact with the heart, CCS or CNS that are intended for </w:t>
      </w:r>
      <w:r w:rsidRPr="00035DFD">
        <w:rPr>
          <w:b/>
        </w:rPr>
        <w:t>long-term use</w:t>
      </w:r>
      <w:r w:rsidRPr="00035DFD">
        <w:t xml:space="preserve"> are </w:t>
      </w:r>
      <w:r w:rsidRPr="00035DFD">
        <w:rPr>
          <w:b/>
        </w:rPr>
        <w:t>already classified as Class III</w:t>
      </w:r>
      <w:r w:rsidRPr="00035DFD">
        <w:t xml:space="preserve"> and there are no changes to the classification for these devices.</w:t>
      </w:r>
    </w:p>
    <w:p w14:paraId="6ECA6691" w14:textId="77777777" w:rsidR="00035DFD" w:rsidRPr="00035DFD" w:rsidRDefault="00035DFD" w:rsidP="00B4320A">
      <w:r w:rsidRPr="00035DFD">
        <w:t>From 25 November 2021, the following amendments to the classification rules will apply:</w:t>
      </w:r>
    </w:p>
    <w:p w14:paraId="65CDCC06" w14:textId="77777777" w:rsidR="00035DFD" w:rsidRPr="00035DFD" w:rsidRDefault="00035DFD" w:rsidP="00B4320A">
      <w:r w:rsidRPr="00035DFD">
        <w:t>Subclause 3.2(3A) of Schedule 2:</w:t>
      </w:r>
    </w:p>
    <w:p w14:paraId="2318EC0E" w14:textId="77777777" w:rsidR="00035DFD" w:rsidRPr="00035DFD" w:rsidRDefault="00035DFD" w:rsidP="00B4320A">
      <w:r w:rsidRPr="00035DFD">
        <w:t>(3A) If the device is</w:t>
      </w:r>
      <w:r w:rsidRPr="00035DFD">
        <w:rPr>
          <w:rFonts w:eastAsiaTheme="minorHAnsi" w:cstheme="minorBidi"/>
        </w:rPr>
        <w:t xml:space="preserve"> </w:t>
      </w:r>
      <w:r w:rsidRPr="00035DFD">
        <w:t>not a reusable surgical instrument and the device is intended by the manufacturer specifically to be used in direct contact with the heart, the central circulatory system or the central nervous system of a patient, the device is classified as Class III.</w:t>
      </w:r>
    </w:p>
    <w:p w14:paraId="0E24A1D1" w14:textId="77777777" w:rsidR="00035DFD" w:rsidRPr="00035DFD" w:rsidRDefault="00035DFD" w:rsidP="00B4320A">
      <w:r w:rsidRPr="00035DFD">
        <w:t>Paragraph 3.3(4)(b) of Schedule 2:</w:t>
      </w:r>
    </w:p>
    <w:p w14:paraId="2E608267" w14:textId="77777777" w:rsidR="00035DFD" w:rsidRPr="00035DFD" w:rsidRDefault="00035DFD" w:rsidP="00B4320A">
      <w:r w:rsidRPr="00035DFD">
        <w:t>If the device is intended by the manufacturer:</w:t>
      </w:r>
    </w:p>
    <w:p w14:paraId="47777B17" w14:textId="0D06C563" w:rsidR="00035DFD" w:rsidRPr="00035DFD" w:rsidRDefault="00035DFD" w:rsidP="00B4320A">
      <w:r w:rsidRPr="00035DFD">
        <w:t xml:space="preserve">…(b) specifically to be used in direct contact with the heart, the central circulatory system or the central nervous system of a </w:t>
      </w:r>
      <w:proofErr w:type="gramStart"/>
      <w:r w:rsidRPr="00035DFD">
        <w:t>patient;</w:t>
      </w:r>
      <w:proofErr w:type="gramEnd"/>
    </w:p>
    <w:p w14:paraId="4DB9FABF" w14:textId="3CB7FE48" w:rsidR="00035DFD" w:rsidRPr="00035DFD" w:rsidRDefault="00035DFD" w:rsidP="00B4320A">
      <w:r w:rsidRPr="00035DFD">
        <w:t>…the device is classified as Class II</w:t>
      </w:r>
      <w:r w:rsidR="00B960DF">
        <w:t>I</w:t>
      </w:r>
    </w:p>
    <w:p w14:paraId="4728493E" w14:textId="77777777" w:rsidR="00035DFD" w:rsidRPr="00DA3DA8" w:rsidRDefault="00035DFD" w:rsidP="00B4320A">
      <w:pPr>
        <w:pStyle w:val="Heading3"/>
      </w:pPr>
      <w:bookmarkStart w:id="10" w:name="_Toc120888875"/>
      <w:bookmarkStart w:id="11" w:name="_Toc141803678"/>
      <w:r>
        <w:t>Examples of devices to be reclassified to Class III</w:t>
      </w:r>
      <w:bookmarkEnd w:id="10"/>
      <w:bookmarkEnd w:id="11"/>
    </w:p>
    <w:p w14:paraId="6F8E9A4D" w14:textId="77777777" w:rsidR="00035DFD" w:rsidRPr="001529B6" w:rsidRDefault="00035DFD" w:rsidP="00B4320A">
      <w:r w:rsidRPr="001529B6">
        <w:t xml:space="preserve">Some examples of transient and short-term surgically invasive medical devices used in direct contact with the </w:t>
      </w:r>
      <w:r w:rsidRPr="001529B6">
        <w:rPr>
          <w:b/>
        </w:rPr>
        <w:t>heart and/or CCS</w:t>
      </w:r>
      <w:r w:rsidRPr="001529B6">
        <w:t xml:space="preserve"> include:</w:t>
      </w:r>
    </w:p>
    <w:p w14:paraId="4CC26073" w14:textId="5C3D8A2B" w:rsidR="00035DFD" w:rsidRPr="001529B6" w:rsidRDefault="00035DFD" w:rsidP="00B4320A">
      <w:pPr>
        <w:pStyle w:val="ListBullet"/>
      </w:pPr>
      <w:r w:rsidRPr="001529B6">
        <w:t>self-expanding valve prosthesis</w:t>
      </w:r>
    </w:p>
    <w:p w14:paraId="57FB0BF2" w14:textId="77777777" w:rsidR="00035DFD" w:rsidRPr="001529B6" w:rsidRDefault="00035DFD" w:rsidP="00B4320A">
      <w:pPr>
        <w:pStyle w:val="ListBullet"/>
      </w:pPr>
      <w:r w:rsidRPr="001529B6">
        <w:t>post-dilatation balloon catheter</w:t>
      </w:r>
    </w:p>
    <w:p w14:paraId="55061988" w14:textId="77777777" w:rsidR="00035DFD" w:rsidRPr="001529B6" w:rsidRDefault="00035DFD" w:rsidP="00B4320A">
      <w:pPr>
        <w:pStyle w:val="ListBullet"/>
      </w:pPr>
      <w:r w:rsidRPr="001529B6">
        <w:t>cardiac vent catheter</w:t>
      </w:r>
    </w:p>
    <w:p w14:paraId="660E4F58" w14:textId="77777777" w:rsidR="00035DFD" w:rsidRPr="001529B6" w:rsidRDefault="00035DFD" w:rsidP="00B4320A">
      <w:pPr>
        <w:pStyle w:val="ListBullet"/>
      </w:pPr>
      <w:r w:rsidRPr="001529B6">
        <w:t>central venous catheterisation kit</w:t>
      </w:r>
    </w:p>
    <w:p w14:paraId="4E06D41C" w14:textId="77777777" w:rsidR="00035DFD" w:rsidRPr="001529B6" w:rsidRDefault="00035DFD" w:rsidP="00B4320A">
      <w:pPr>
        <w:pStyle w:val="ListBullet"/>
      </w:pPr>
      <w:r w:rsidRPr="001529B6">
        <w:t xml:space="preserve">cardiopulmonary </w:t>
      </w:r>
      <w:proofErr w:type="spellStart"/>
      <w:r w:rsidRPr="001529B6">
        <w:t>cannulae</w:t>
      </w:r>
      <w:proofErr w:type="spellEnd"/>
      <w:r w:rsidRPr="001529B6">
        <w:t>.</w:t>
      </w:r>
    </w:p>
    <w:p w14:paraId="77041AA6" w14:textId="77777777" w:rsidR="00035DFD" w:rsidRPr="001529B6" w:rsidRDefault="00035DFD" w:rsidP="00B4320A">
      <w:r w:rsidRPr="001529B6">
        <w:t xml:space="preserve">Some examples of transient-use surgically invasive medical devices used in direct contact with the </w:t>
      </w:r>
      <w:r w:rsidRPr="001529B6">
        <w:rPr>
          <w:b/>
        </w:rPr>
        <w:t>CNS</w:t>
      </w:r>
      <w:r w:rsidRPr="001529B6">
        <w:t xml:space="preserve"> include:</w:t>
      </w:r>
    </w:p>
    <w:p w14:paraId="737F4265" w14:textId="77777777" w:rsidR="00035DFD" w:rsidRPr="001529B6" w:rsidRDefault="00035DFD" w:rsidP="00B4320A">
      <w:pPr>
        <w:pStyle w:val="ListBullet"/>
      </w:pPr>
      <w:r w:rsidRPr="001529B6">
        <w:t xml:space="preserve">flexible fibreoptic </w:t>
      </w:r>
      <w:proofErr w:type="spellStart"/>
      <w:r w:rsidRPr="001529B6">
        <w:t>neuroscope</w:t>
      </w:r>
      <w:proofErr w:type="spellEnd"/>
    </w:p>
    <w:p w14:paraId="742312B3" w14:textId="77777777" w:rsidR="00035DFD" w:rsidRPr="001529B6" w:rsidRDefault="00035DFD" w:rsidP="00B4320A">
      <w:pPr>
        <w:pStyle w:val="ListBullet"/>
      </w:pPr>
      <w:r w:rsidRPr="001529B6">
        <w:t xml:space="preserve">rigid </w:t>
      </w:r>
      <w:proofErr w:type="spellStart"/>
      <w:r w:rsidRPr="001529B6">
        <w:t>neuroscope</w:t>
      </w:r>
      <w:proofErr w:type="spellEnd"/>
    </w:p>
    <w:p w14:paraId="00916088" w14:textId="77777777" w:rsidR="00035DFD" w:rsidRPr="001529B6" w:rsidRDefault="00035DFD" w:rsidP="00B4320A">
      <w:pPr>
        <w:pStyle w:val="ListBullet"/>
      </w:pPr>
      <w:r w:rsidRPr="001529B6">
        <w:t xml:space="preserve">automatic cranial perforator </w:t>
      </w:r>
    </w:p>
    <w:p w14:paraId="6430EC7D" w14:textId="77777777" w:rsidR="00035DFD" w:rsidRPr="001529B6" w:rsidRDefault="00035DFD" w:rsidP="00B4320A">
      <w:pPr>
        <w:pStyle w:val="ListBullet"/>
      </w:pPr>
      <w:r w:rsidRPr="001529B6">
        <w:t>spinal needle.</w:t>
      </w:r>
    </w:p>
    <w:p w14:paraId="43ED6242" w14:textId="77777777" w:rsidR="00035DFD" w:rsidRDefault="00035DFD" w:rsidP="00B4320A">
      <w:pPr>
        <w:pStyle w:val="Heading2"/>
      </w:pPr>
      <w:bookmarkStart w:id="12" w:name="_Toc120888876"/>
      <w:bookmarkStart w:id="13" w:name="_Toc141803679"/>
      <w:bookmarkStart w:id="14" w:name="_Toc27486887"/>
      <w:r>
        <w:t>What you need to do</w:t>
      </w:r>
      <w:bookmarkEnd w:id="12"/>
      <w:bookmarkEnd w:id="13"/>
    </w:p>
    <w:p w14:paraId="04DF6408" w14:textId="77777777" w:rsidR="00035DFD" w:rsidRPr="00035DFD" w:rsidRDefault="00035DFD" w:rsidP="00B4320A">
      <w:r w:rsidRPr="00035DFD">
        <w:t>If you are a sponsor of a medical device that is used in direct contact with the heart, CCS or CNS, the action you will need to take to comply with the new regulations will depend on the status of your product:</w:t>
      </w:r>
    </w:p>
    <w:bookmarkStart w:id="15" w:name="_Sponsors_with_a"/>
    <w:bookmarkStart w:id="16" w:name="_Toc35954346"/>
    <w:bookmarkEnd w:id="15"/>
    <w:p w14:paraId="090D4985" w14:textId="77777777" w:rsidR="00035DFD" w:rsidRPr="00B4320A" w:rsidRDefault="00035DFD" w:rsidP="00B4320A">
      <w:pPr>
        <w:pStyle w:val="ListBullet"/>
        <w:numPr>
          <w:ilvl w:val="0"/>
          <w:numId w:val="24"/>
        </w:numPr>
        <w:rPr>
          <w:rStyle w:val="Hyperlink"/>
          <w:rFonts w:asciiTheme="majorHAnsi" w:hAnsiTheme="majorHAnsi" w:cstheme="majorHAnsi"/>
        </w:rPr>
      </w:pPr>
      <w:r w:rsidRPr="001529B6">
        <w:fldChar w:fldCharType="begin"/>
      </w:r>
      <w:r w:rsidRPr="001529B6">
        <w:instrText>HYPERLINK  \l "_Medical_devices_included"</w:instrText>
      </w:r>
      <w:r w:rsidRPr="001529B6">
        <w:fldChar w:fldCharType="separate"/>
      </w:r>
      <w:r w:rsidRPr="00B4320A">
        <w:rPr>
          <w:rStyle w:val="Hyperlink"/>
          <w:rFonts w:asciiTheme="majorHAnsi" w:hAnsiTheme="majorHAnsi" w:cstheme="majorHAnsi"/>
        </w:rPr>
        <w:t>Medical devices included in the ARTG prior to 25 November 2021</w:t>
      </w:r>
    </w:p>
    <w:p w14:paraId="5DCA3926" w14:textId="77777777" w:rsidR="00035DFD" w:rsidRPr="001529B6" w:rsidRDefault="00035DFD" w:rsidP="00B4320A">
      <w:pPr>
        <w:pStyle w:val="ListBullet"/>
        <w:numPr>
          <w:ilvl w:val="0"/>
          <w:numId w:val="24"/>
        </w:numPr>
        <w:rPr>
          <w:rStyle w:val="Hyperlink"/>
          <w:rFonts w:asciiTheme="majorHAnsi" w:hAnsiTheme="majorHAnsi" w:cstheme="majorHAnsi"/>
        </w:rPr>
      </w:pPr>
      <w:r w:rsidRPr="001529B6">
        <w:fldChar w:fldCharType="end"/>
      </w:r>
      <w:r w:rsidRPr="001529B6">
        <w:fldChar w:fldCharType="begin"/>
      </w:r>
      <w:r w:rsidRPr="001529B6">
        <w:instrText>HYPERLINK  \l "_Applications_to_include"</w:instrText>
      </w:r>
      <w:r w:rsidRPr="001529B6">
        <w:fldChar w:fldCharType="separate"/>
      </w:r>
      <w:r w:rsidRPr="001529B6">
        <w:rPr>
          <w:rStyle w:val="Hyperlink"/>
          <w:rFonts w:asciiTheme="majorHAnsi" w:hAnsiTheme="majorHAnsi" w:cstheme="majorHAnsi"/>
        </w:rPr>
        <w:t>Applications to include a medical device in the ARTG lodged before 25 November 2021</w:t>
      </w:r>
    </w:p>
    <w:p w14:paraId="31FF4BBC" w14:textId="77777777" w:rsidR="00035DFD" w:rsidRPr="001529B6" w:rsidRDefault="00035DFD" w:rsidP="00B4320A">
      <w:pPr>
        <w:pStyle w:val="ListBullet"/>
        <w:numPr>
          <w:ilvl w:val="0"/>
          <w:numId w:val="24"/>
        </w:numPr>
        <w:rPr>
          <w:rStyle w:val="Hyperlink"/>
          <w:rFonts w:asciiTheme="majorHAnsi" w:hAnsiTheme="majorHAnsi" w:cstheme="majorHAnsi"/>
        </w:rPr>
      </w:pPr>
      <w:r w:rsidRPr="001529B6">
        <w:fldChar w:fldCharType="end"/>
      </w:r>
      <w:r w:rsidRPr="001529B6">
        <w:rPr>
          <w:sz w:val="22"/>
        </w:rPr>
        <w:fldChar w:fldCharType="begin"/>
      </w:r>
      <w:r w:rsidRPr="001529B6">
        <w:instrText>HYPERLINK  \l "_Sponsors_intending_to"</w:instrText>
      </w:r>
      <w:r w:rsidRPr="001529B6">
        <w:rPr>
          <w:sz w:val="22"/>
        </w:rPr>
      </w:r>
      <w:r w:rsidRPr="001529B6">
        <w:rPr>
          <w:sz w:val="22"/>
        </w:rPr>
        <w:fldChar w:fldCharType="separate"/>
      </w:r>
      <w:r w:rsidRPr="001529B6">
        <w:rPr>
          <w:rStyle w:val="Hyperlink"/>
          <w:rFonts w:asciiTheme="majorHAnsi" w:hAnsiTheme="majorHAnsi" w:cstheme="majorHAnsi"/>
        </w:rPr>
        <w:t>Applications to include a new medical device in the ARTG on or after 25 November 2021</w:t>
      </w:r>
    </w:p>
    <w:bookmarkStart w:id="17" w:name="_Medical_devices_included"/>
    <w:bookmarkEnd w:id="17"/>
    <w:p w14:paraId="2A09387A" w14:textId="77777777" w:rsidR="00035DFD" w:rsidRDefault="00035DFD" w:rsidP="00B4320A">
      <w:pPr>
        <w:pStyle w:val="Heading3"/>
      </w:pPr>
      <w:r w:rsidRPr="001529B6">
        <w:rPr>
          <w:rFonts w:asciiTheme="majorHAnsi" w:eastAsia="Cambria" w:hAnsiTheme="majorHAnsi" w:cstheme="majorHAnsi"/>
        </w:rPr>
        <w:lastRenderedPageBreak/>
        <w:fldChar w:fldCharType="end"/>
      </w:r>
      <w:bookmarkStart w:id="18" w:name="_Toc120888877"/>
      <w:bookmarkStart w:id="19" w:name="_Toc141803680"/>
      <w:r>
        <w:t xml:space="preserve">Medical devices included in the ARTG prior to 25 </w:t>
      </w:r>
      <w:bookmarkEnd w:id="16"/>
      <w:r>
        <w:t>November 2021</w:t>
      </w:r>
      <w:bookmarkEnd w:id="18"/>
      <w:bookmarkEnd w:id="19"/>
    </w:p>
    <w:p w14:paraId="3EC8573E" w14:textId="77777777" w:rsidR="00035DFD" w:rsidRPr="001529B6" w:rsidRDefault="00035DFD" w:rsidP="00B4320A">
      <w:r w:rsidRPr="001529B6">
        <w:t>If you have a medical device inclusion in the ARTG that will be reclassified, with a start date before 25 November 2021, transitional arrangements are in place to ensure that you can continue to supply your device while you apply for it to be included in the ARTG as a Class III medical device.</w:t>
      </w:r>
    </w:p>
    <w:p w14:paraId="26C7C4D6" w14:textId="77777777" w:rsidR="00035DFD" w:rsidRPr="001529B6" w:rsidRDefault="00035DFD" w:rsidP="00B4320A">
      <w:r w:rsidRPr="001529B6">
        <w:t>To continue to supply your device you must:</w:t>
      </w:r>
    </w:p>
    <w:p w14:paraId="58D6FB04" w14:textId="3FEA6E0F" w:rsidR="00035DFD" w:rsidRPr="001529B6" w:rsidRDefault="00714495" w:rsidP="00B4320A">
      <w:pPr>
        <w:pStyle w:val="ListBullet"/>
      </w:pPr>
      <w:hyperlink w:anchor="_Notifying_the_TGA" w:history="1">
        <w:r w:rsidR="00035DFD" w:rsidRPr="001529B6">
          <w:rPr>
            <w:rStyle w:val="Hyperlink"/>
            <w:rFonts w:asciiTheme="majorHAnsi" w:hAnsiTheme="majorHAnsi" w:cstheme="majorHAnsi"/>
          </w:rPr>
          <w:t>Notify the TGA</w:t>
        </w:r>
      </w:hyperlink>
      <w:r w:rsidR="00035DFD" w:rsidRPr="001529B6">
        <w:t xml:space="preserve"> </w:t>
      </w:r>
      <w:r w:rsidR="00035DFD" w:rsidRPr="001529B6">
        <w:rPr>
          <w:b/>
        </w:rPr>
        <w:t xml:space="preserve">before 25 May 2022 </w:t>
      </w:r>
      <w:r w:rsidR="00035DFD" w:rsidRPr="001529B6">
        <w:t>that you have an inclusion that will need to be reclassified</w:t>
      </w:r>
    </w:p>
    <w:p w14:paraId="4A68A7E9" w14:textId="5609B3B3" w:rsidR="00035DFD" w:rsidRPr="001529B6" w:rsidRDefault="00714495" w:rsidP="00B4320A">
      <w:pPr>
        <w:pStyle w:val="ListBullet"/>
      </w:pPr>
      <w:hyperlink w:anchor="_Submitting_an_application" w:history="1">
        <w:r w:rsidR="00053CB2" w:rsidRPr="00255D34">
          <w:rPr>
            <w:rStyle w:val="Hyperlink"/>
          </w:rPr>
          <w:t>Submit a</w:t>
        </w:r>
        <w:r w:rsidR="00053CB2" w:rsidRPr="00255D34">
          <w:rPr>
            <w:rStyle w:val="Hyperlink"/>
            <w:rFonts w:asciiTheme="majorHAnsi" w:hAnsiTheme="majorHAnsi" w:cstheme="majorHAnsi"/>
          </w:rPr>
          <w:t xml:space="preserve"> reclass</w:t>
        </w:r>
        <w:r w:rsidR="00053CB2" w:rsidRPr="00255D34">
          <w:rPr>
            <w:rStyle w:val="Hyperlink"/>
          </w:rPr>
          <w:t xml:space="preserve"> application</w:t>
        </w:r>
      </w:hyperlink>
      <w:r w:rsidR="00035DFD" w:rsidRPr="001529B6">
        <w:t xml:space="preserve"> for your device to be included in the ARTG as a Class III medical device </w:t>
      </w:r>
      <w:r w:rsidR="00035DFD" w:rsidRPr="001529B6">
        <w:rPr>
          <w:b/>
        </w:rPr>
        <w:t xml:space="preserve">before </w:t>
      </w:r>
      <w:bookmarkStart w:id="20" w:name="_Hlk141802674"/>
      <w:r w:rsidR="00255D34">
        <w:rPr>
          <w:b/>
        </w:rPr>
        <w:fldChar w:fldCharType="begin"/>
      </w:r>
      <w:r w:rsidR="00255D34">
        <w:rPr>
          <w:b/>
        </w:rPr>
        <w:instrText xml:space="preserve"> HYPERLINK  \l "_Timeframes_for_ARTG" </w:instrText>
      </w:r>
      <w:r w:rsidR="00255D34">
        <w:rPr>
          <w:b/>
        </w:rPr>
      </w:r>
      <w:r w:rsidR="00255D34">
        <w:rPr>
          <w:b/>
        </w:rPr>
        <w:fldChar w:fldCharType="separate"/>
      </w:r>
      <w:r w:rsidR="00053CB2" w:rsidRPr="00255D34">
        <w:rPr>
          <w:rStyle w:val="Hyperlink"/>
          <w:rFonts w:asciiTheme="majorHAnsi" w:hAnsiTheme="majorHAnsi" w:cstheme="majorHAnsi"/>
          <w:b/>
        </w:rPr>
        <w:t>the transition deadline</w:t>
      </w:r>
      <w:bookmarkEnd w:id="20"/>
      <w:r w:rsidR="00255D34">
        <w:rPr>
          <w:b/>
        </w:rPr>
        <w:fldChar w:fldCharType="end"/>
      </w:r>
      <w:r w:rsidR="00035DFD" w:rsidRPr="001529B6">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35DFD" w:rsidRPr="001529B6" w14:paraId="2758E26C" w14:textId="77777777" w:rsidTr="00D14AE1">
        <w:tc>
          <w:tcPr>
            <w:tcW w:w="1276" w:type="dxa"/>
            <w:vAlign w:val="center"/>
          </w:tcPr>
          <w:p w14:paraId="2BFE7F38" w14:textId="77777777" w:rsidR="00035DFD" w:rsidRPr="001529B6" w:rsidRDefault="00035DFD" w:rsidP="00B4320A">
            <w:r w:rsidRPr="001529B6">
              <w:rPr>
                <w:noProof/>
                <w:lang w:eastAsia="en-AU"/>
              </w:rPr>
              <w:drawing>
                <wp:inline distT="0" distB="0" distL="0" distR="0" wp14:anchorId="217A7DD3" wp14:editId="7339B8CD">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82F7E46" w14:textId="77777777" w:rsidR="00035DFD" w:rsidRPr="001529B6" w:rsidRDefault="00035DFD" w:rsidP="00B4320A">
            <w:r w:rsidRPr="001529B6">
              <w:t xml:space="preserve">If you do not intend to continue supplying the device, you should </w:t>
            </w:r>
            <w:hyperlink r:id="rId19" w:history="1">
              <w:r w:rsidRPr="001529B6">
                <w:rPr>
                  <w:rStyle w:val="Hyperlink"/>
                  <w:rFonts w:asciiTheme="majorHAnsi" w:hAnsiTheme="majorHAnsi" w:cstheme="majorHAnsi"/>
                </w:rPr>
                <w:t>cancel your ARTG inclusion</w:t>
              </w:r>
            </w:hyperlink>
            <w:r w:rsidRPr="001529B6">
              <w:t xml:space="preserve"> </w:t>
            </w:r>
            <w:r w:rsidRPr="001529B6">
              <w:rPr>
                <w:b/>
              </w:rPr>
              <w:t>before 25 May 2022</w:t>
            </w:r>
            <w:r w:rsidRPr="001529B6">
              <w:t>.</w:t>
            </w:r>
          </w:p>
          <w:p w14:paraId="610C139A" w14:textId="2809719D" w:rsidR="00035DFD" w:rsidRPr="001529B6" w:rsidRDefault="00035DFD" w:rsidP="00B4320A">
            <w:r w:rsidRPr="001529B6">
              <w:t xml:space="preserve">If you </w:t>
            </w:r>
            <w:r w:rsidRPr="001529B6">
              <w:rPr>
                <w:b/>
              </w:rPr>
              <w:t>notif</w:t>
            </w:r>
            <w:r w:rsidRPr="001529B6">
              <w:t xml:space="preserve">y the TGA of your devices </w:t>
            </w:r>
            <w:r w:rsidRPr="001529B6">
              <w:rPr>
                <w:b/>
              </w:rPr>
              <w:t>before 25 May 2022</w:t>
            </w:r>
            <w:r w:rsidRPr="001529B6">
              <w:t xml:space="preserve"> but you do not </w:t>
            </w:r>
            <w:r w:rsidRPr="001529B6">
              <w:rPr>
                <w:b/>
              </w:rPr>
              <w:t>submit an application</w:t>
            </w:r>
            <w:r w:rsidRPr="001529B6">
              <w:t xml:space="preserve"> for a Class III inclusion </w:t>
            </w:r>
            <w:r w:rsidRPr="001529B6">
              <w:rPr>
                <w:b/>
              </w:rPr>
              <w:t xml:space="preserve">before </w:t>
            </w:r>
            <w:hyperlink w:anchor="_Timeframes_for_ARTG" w:history="1">
              <w:r w:rsidR="00053CB2" w:rsidRPr="00255D34">
                <w:rPr>
                  <w:rStyle w:val="Hyperlink"/>
                  <w:rFonts w:asciiTheme="majorHAnsi" w:hAnsiTheme="majorHAnsi" w:cstheme="majorHAnsi"/>
                  <w:b/>
                </w:rPr>
                <w:t>the transition deadline</w:t>
              </w:r>
            </w:hyperlink>
            <w:r w:rsidRPr="001529B6">
              <w:t xml:space="preserve">, you must cease supplying your device from </w:t>
            </w:r>
            <w:r w:rsidR="00053CB2" w:rsidRPr="00053CB2">
              <w:t>the day of the transition deadline</w:t>
            </w:r>
            <w:r w:rsidRPr="001529B6">
              <w:t xml:space="preserve"> and cancel your inclusion.</w:t>
            </w:r>
          </w:p>
        </w:tc>
      </w:tr>
    </w:tbl>
    <w:p w14:paraId="17F31D28" w14:textId="77777777" w:rsidR="00035DFD" w:rsidRDefault="00035DFD" w:rsidP="00B4320A">
      <w:pPr>
        <w:pStyle w:val="Heading3"/>
      </w:pPr>
      <w:bookmarkStart w:id="21" w:name="_Sponsors_with_a_1"/>
      <w:bookmarkStart w:id="22" w:name="_Applications_to_include"/>
      <w:bookmarkStart w:id="23" w:name="_Toc35954347"/>
      <w:bookmarkStart w:id="24" w:name="_Toc120888878"/>
      <w:bookmarkStart w:id="25" w:name="_Toc141803681"/>
      <w:bookmarkEnd w:id="21"/>
      <w:bookmarkEnd w:id="22"/>
      <w:r>
        <w:t xml:space="preserve">Applications to include a medical device in the ARTG lodged before 25 </w:t>
      </w:r>
      <w:bookmarkEnd w:id="23"/>
      <w:r>
        <w:t>November 2021</w:t>
      </w:r>
      <w:bookmarkEnd w:id="24"/>
      <w:bookmarkEnd w:id="25"/>
    </w:p>
    <w:p w14:paraId="64B24BCA" w14:textId="3E227CFB" w:rsidR="00035DFD" w:rsidRPr="001529B6" w:rsidRDefault="00035DFD" w:rsidP="00B4320A">
      <w:pPr>
        <w:rPr>
          <w:rFonts w:asciiTheme="majorHAnsi" w:hAnsiTheme="majorHAnsi" w:cstheme="majorHAnsi"/>
        </w:rPr>
      </w:pPr>
      <w:r w:rsidRPr="001529B6">
        <w:rPr>
          <w:rFonts w:asciiTheme="majorHAnsi" w:hAnsiTheme="majorHAnsi" w:cstheme="majorHAnsi"/>
        </w:rPr>
        <w:t xml:space="preserve">If you have submitted an </w:t>
      </w:r>
      <w:hyperlink r:id="rId20" w:history="1">
        <w:r w:rsidRPr="001529B6">
          <w:rPr>
            <w:rStyle w:val="Hyperlink"/>
            <w:rFonts w:asciiTheme="majorHAnsi" w:hAnsiTheme="majorHAnsi" w:cstheme="majorHAnsi"/>
          </w:rPr>
          <w:t>application for inclusion</w:t>
        </w:r>
      </w:hyperlink>
      <w:r w:rsidRPr="001529B6">
        <w:rPr>
          <w:rFonts w:asciiTheme="majorHAnsi" w:hAnsiTheme="majorHAnsi" w:cstheme="majorHAnsi"/>
        </w:rPr>
        <w:t xml:space="preserve"> in the ARTG for a Class </w:t>
      </w:r>
      <w:proofErr w:type="spellStart"/>
      <w:r w:rsidRPr="001529B6">
        <w:rPr>
          <w:rFonts w:asciiTheme="majorHAnsi" w:hAnsiTheme="majorHAnsi" w:cstheme="majorHAnsi"/>
        </w:rPr>
        <w:t>IIa</w:t>
      </w:r>
      <w:proofErr w:type="spellEnd"/>
      <w:r w:rsidRPr="001529B6">
        <w:rPr>
          <w:rFonts w:asciiTheme="majorHAnsi" w:hAnsiTheme="majorHAnsi" w:cstheme="majorHAnsi"/>
        </w:rPr>
        <w:t> device before 25 November 2021, your application will be assessed and the device will be included in the ARTG as a Class </w:t>
      </w:r>
      <w:proofErr w:type="spellStart"/>
      <w:r w:rsidRPr="001529B6">
        <w:rPr>
          <w:rFonts w:asciiTheme="majorHAnsi" w:hAnsiTheme="majorHAnsi" w:cstheme="majorHAnsi"/>
        </w:rPr>
        <w:t>IIa</w:t>
      </w:r>
      <w:proofErr w:type="spellEnd"/>
      <w:r w:rsidRPr="001529B6">
        <w:rPr>
          <w:rFonts w:asciiTheme="majorHAnsi" w:hAnsiTheme="majorHAnsi" w:cstheme="majorHAnsi"/>
        </w:rPr>
        <w:t> device under the old classification rules.</w:t>
      </w:r>
    </w:p>
    <w:p w14:paraId="2712706E" w14:textId="77777777" w:rsidR="00035DFD" w:rsidRPr="001529B6" w:rsidRDefault="00035DFD" w:rsidP="00B4320A">
      <w:r w:rsidRPr="001529B6">
        <w:t>To be eligible for the transitional arrangements to reclassify your device as a Class III device, you will need to:</w:t>
      </w:r>
    </w:p>
    <w:p w14:paraId="097002F5" w14:textId="77777777" w:rsidR="00035DFD" w:rsidRPr="001529B6" w:rsidRDefault="00714495" w:rsidP="00B4320A">
      <w:pPr>
        <w:pStyle w:val="ListBullet"/>
        <w:numPr>
          <w:ilvl w:val="0"/>
          <w:numId w:val="24"/>
        </w:numPr>
      </w:pPr>
      <w:hyperlink w:anchor="_Notifying_the_TGA" w:history="1">
        <w:r w:rsidR="00035DFD" w:rsidRPr="00B4320A">
          <w:rPr>
            <w:rStyle w:val="Hyperlink"/>
            <w:rFonts w:asciiTheme="majorHAnsi" w:hAnsiTheme="majorHAnsi" w:cstheme="majorHAnsi"/>
          </w:rPr>
          <w:t>Notify the TGA</w:t>
        </w:r>
      </w:hyperlink>
      <w:r w:rsidR="00035DFD" w:rsidRPr="001529B6">
        <w:t xml:space="preserve"> that you have an inclusion that will need to be reclassified by whichever is the later date:</w:t>
      </w:r>
    </w:p>
    <w:p w14:paraId="292E2010" w14:textId="77777777" w:rsidR="00035DFD" w:rsidRPr="00E468DC" w:rsidRDefault="00035DFD" w:rsidP="00B4320A">
      <w:pPr>
        <w:pStyle w:val="ListBullet2"/>
      </w:pPr>
      <w:r w:rsidRPr="00E468DC">
        <w:t>Before 25 May 2022</w:t>
      </w:r>
    </w:p>
    <w:p w14:paraId="6990BBFC" w14:textId="77777777" w:rsidR="00035DFD" w:rsidRPr="00E468DC" w:rsidRDefault="00035DFD" w:rsidP="00B4320A">
      <w:pPr>
        <w:pStyle w:val="ListBullet2"/>
      </w:pPr>
      <w:r w:rsidRPr="00E468DC">
        <w:t>Within 2 months of the start date of your ARTG entry</w:t>
      </w:r>
    </w:p>
    <w:p w14:paraId="708898E5" w14:textId="0311414B" w:rsidR="00035DFD" w:rsidRPr="001529B6" w:rsidRDefault="00714495" w:rsidP="00B4320A">
      <w:pPr>
        <w:pStyle w:val="ListBullet"/>
      </w:pPr>
      <w:hyperlink w:anchor="_Reclassifying_an_ARTG" w:history="1">
        <w:r w:rsidR="00053CB2" w:rsidRPr="00255D34">
          <w:rPr>
            <w:rStyle w:val="Hyperlink"/>
          </w:rPr>
          <w:t>Submit a</w:t>
        </w:r>
        <w:r w:rsidR="00053CB2" w:rsidRPr="00255D34">
          <w:rPr>
            <w:rStyle w:val="Hyperlink"/>
            <w:rFonts w:asciiTheme="majorHAnsi" w:hAnsiTheme="majorHAnsi" w:cstheme="majorHAnsi"/>
          </w:rPr>
          <w:t xml:space="preserve"> reclass</w:t>
        </w:r>
        <w:r w:rsidR="00053CB2" w:rsidRPr="00255D34">
          <w:rPr>
            <w:rStyle w:val="Hyperlink"/>
          </w:rPr>
          <w:t xml:space="preserve"> application</w:t>
        </w:r>
      </w:hyperlink>
      <w:r w:rsidR="00035DFD" w:rsidRPr="001529B6">
        <w:t xml:space="preserve"> for your device to be included in the ARTG as a Class III device </w:t>
      </w:r>
      <w:r w:rsidR="00035DFD" w:rsidRPr="001529B6">
        <w:rPr>
          <w:b/>
        </w:rPr>
        <w:t xml:space="preserve">before </w:t>
      </w:r>
      <w:bookmarkStart w:id="26" w:name="_Hlk141802744"/>
      <w:r w:rsidR="00255D34">
        <w:rPr>
          <w:b/>
        </w:rPr>
        <w:fldChar w:fldCharType="begin"/>
      </w:r>
      <w:r w:rsidR="00255D34">
        <w:rPr>
          <w:b/>
        </w:rPr>
        <w:instrText xml:space="preserve"> HYPERLINK  \l "_Timeframes_for_ARTG" </w:instrText>
      </w:r>
      <w:r w:rsidR="00255D34">
        <w:rPr>
          <w:b/>
        </w:rPr>
      </w:r>
      <w:r w:rsidR="00255D34">
        <w:rPr>
          <w:b/>
        </w:rPr>
        <w:fldChar w:fldCharType="separate"/>
      </w:r>
      <w:r w:rsidR="00053CB2" w:rsidRPr="00255D34">
        <w:rPr>
          <w:rStyle w:val="Hyperlink"/>
          <w:rFonts w:asciiTheme="majorHAnsi" w:hAnsiTheme="majorHAnsi" w:cstheme="majorHAnsi"/>
          <w:b/>
        </w:rPr>
        <w:t>the transition deadline</w:t>
      </w:r>
      <w:bookmarkEnd w:id="26"/>
      <w:r w:rsidR="00255D34">
        <w:rPr>
          <w:b/>
        </w:rPr>
        <w:fldChar w:fldCharType="end"/>
      </w:r>
      <w:r w:rsidR="00035DFD" w:rsidRPr="001529B6">
        <w:t>.</w:t>
      </w:r>
    </w:p>
    <w:p w14:paraId="435E8E0A" w14:textId="77777777" w:rsidR="00035DFD" w:rsidRDefault="00035DFD" w:rsidP="00B4320A">
      <w:pPr>
        <w:pStyle w:val="Heading4"/>
      </w:pPr>
      <w:bookmarkStart w:id="27" w:name="_Toc53499460"/>
      <w:bookmarkStart w:id="28" w:name="_Toc120888879"/>
      <w:bookmarkStart w:id="29" w:name="_Toc141803682"/>
      <w:r>
        <w:t>Cancelling your ARTG inclusion</w:t>
      </w:r>
      <w:bookmarkEnd w:id="27"/>
      <w:bookmarkEnd w:id="28"/>
      <w:bookmarkEnd w:id="29"/>
    </w:p>
    <w:p w14:paraId="1D7BF16C" w14:textId="77777777" w:rsidR="00035DFD" w:rsidRPr="001529B6" w:rsidRDefault="00035DFD" w:rsidP="00B4320A">
      <w:r w:rsidRPr="001529B6">
        <w:t xml:space="preserve">If you </w:t>
      </w:r>
      <w:r w:rsidRPr="001529B6">
        <w:rPr>
          <w:b/>
        </w:rPr>
        <w:t>do not notify</w:t>
      </w:r>
      <w:r w:rsidRPr="001529B6">
        <w:t xml:space="preserve"> the TGA before 25 May 2022 or within two months of the start date for your ARTG entry (whichever is the later date) of your intention to apply for the device to be included in the ARTG as a Class III </w:t>
      </w:r>
      <w:proofErr w:type="gramStart"/>
      <w:r w:rsidRPr="001529B6">
        <w:t>device</w:t>
      </w:r>
      <w:proofErr w:type="gramEnd"/>
      <w:r w:rsidRPr="001529B6">
        <w:t xml:space="preserve"> you will no longer be eligible for the transitional arrangements. </w:t>
      </w:r>
      <w:bookmarkStart w:id="30" w:name="_Hlk86817391"/>
      <w:r w:rsidRPr="001529B6">
        <w:t>You should:</w:t>
      </w:r>
    </w:p>
    <w:p w14:paraId="36E98344" w14:textId="77777777" w:rsidR="00035DFD" w:rsidRPr="001529B6" w:rsidRDefault="00035DFD" w:rsidP="00B4320A">
      <w:pPr>
        <w:pStyle w:val="ListBullet"/>
        <w:numPr>
          <w:ilvl w:val="0"/>
          <w:numId w:val="25"/>
        </w:numPr>
      </w:pPr>
      <w:r w:rsidRPr="001529B6">
        <w:t>cease supply of your device from 25 May 2022</w:t>
      </w:r>
      <w:bookmarkEnd w:id="30"/>
      <w:r w:rsidRPr="001529B6">
        <w:t xml:space="preserve"> and</w:t>
      </w:r>
    </w:p>
    <w:p w14:paraId="375DA909" w14:textId="77777777" w:rsidR="00035DFD" w:rsidRPr="001529B6" w:rsidRDefault="00714495" w:rsidP="00B4320A">
      <w:pPr>
        <w:pStyle w:val="ListBullet"/>
        <w:rPr>
          <w:rFonts w:asciiTheme="majorHAnsi" w:hAnsiTheme="majorHAnsi" w:cstheme="majorHAnsi"/>
        </w:rPr>
      </w:pPr>
      <w:hyperlink r:id="rId21" w:history="1">
        <w:r w:rsidR="00035DFD" w:rsidRPr="001529B6">
          <w:rPr>
            <w:rStyle w:val="Hyperlink"/>
            <w:rFonts w:asciiTheme="majorHAnsi" w:hAnsiTheme="majorHAnsi" w:cstheme="majorHAnsi"/>
          </w:rPr>
          <w:t>cancel your ARTG inclusion</w:t>
        </w:r>
      </w:hyperlink>
      <w:r w:rsidR="00035DFD" w:rsidRPr="001529B6">
        <w:rPr>
          <w:rFonts w:asciiTheme="majorHAnsi" w:hAnsiTheme="majorHAnsi" w:cstheme="majorHAnsi"/>
        </w:rPr>
        <w:t>.</w:t>
      </w:r>
    </w:p>
    <w:p w14:paraId="1F2A963D" w14:textId="73C9C0F3" w:rsidR="00035DFD" w:rsidRPr="001529B6" w:rsidRDefault="00035DFD" w:rsidP="00B4320A">
      <w:r w:rsidRPr="001529B6">
        <w:t xml:space="preserve">If you notify the TGA of your device before the due date, but you do not </w:t>
      </w:r>
      <w:proofErr w:type="gramStart"/>
      <w:r w:rsidRPr="001529B6">
        <w:t>submit an application</w:t>
      </w:r>
      <w:proofErr w:type="gramEnd"/>
      <w:r w:rsidRPr="001529B6">
        <w:t xml:space="preserve"> for a Class III inclusion before </w:t>
      </w:r>
      <w:bookmarkStart w:id="31" w:name="_Hlk141802790"/>
      <w:r w:rsidR="00255D34">
        <w:fldChar w:fldCharType="begin"/>
      </w:r>
      <w:r w:rsidR="00255D34">
        <w:instrText xml:space="preserve"> HYPERLINK  \l "_Timeframes_for_ARTG" </w:instrText>
      </w:r>
      <w:r w:rsidR="00255D34">
        <w:fldChar w:fldCharType="separate"/>
      </w:r>
      <w:r w:rsidR="00053CB2" w:rsidRPr="00255D34">
        <w:rPr>
          <w:rStyle w:val="Hyperlink"/>
          <w:rFonts w:asciiTheme="majorHAnsi" w:hAnsiTheme="majorHAnsi" w:cstheme="majorHAnsi"/>
          <w:b/>
        </w:rPr>
        <w:t>the transition deadline</w:t>
      </w:r>
      <w:bookmarkEnd w:id="31"/>
      <w:r w:rsidR="00255D34">
        <w:fldChar w:fldCharType="end"/>
      </w:r>
      <w:r w:rsidRPr="001529B6">
        <w:t>, you must:</w:t>
      </w:r>
    </w:p>
    <w:p w14:paraId="3FD25F14" w14:textId="16251FE9" w:rsidR="00035DFD" w:rsidRPr="001529B6" w:rsidRDefault="00035DFD" w:rsidP="00B4320A">
      <w:pPr>
        <w:pStyle w:val="ListBullet"/>
      </w:pPr>
      <w:r w:rsidRPr="001529B6">
        <w:t xml:space="preserve">cease supply of your device from </w:t>
      </w:r>
      <w:r w:rsidR="00053CB2" w:rsidRPr="00053CB2">
        <w:t xml:space="preserve">the day of the transition deadline </w:t>
      </w:r>
      <w:r w:rsidRPr="001529B6">
        <w:t>and</w:t>
      </w:r>
    </w:p>
    <w:p w14:paraId="04964F98" w14:textId="77777777" w:rsidR="00035DFD" w:rsidRPr="00B4320A" w:rsidRDefault="00714495" w:rsidP="00B4320A">
      <w:pPr>
        <w:pStyle w:val="ListBullet"/>
        <w:numPr>
          <w:ilvl w:val="0"/>
          <w:numId w:val="24"/>
        </w:numPr>
        <w:rPr>
          <w:rFonts w:asciiTheme="majorHAnsi" w:hAnsiTheme="majorHAnsi" w:cstheme="majorHAnsi"/>
        </w:rPr>
      </w:pPr>
      <w:hyperlink r:id="rId22" w:history="1">
        <w:r w:rsidR="00035DFD" w:rsidRPr="00B4320A">
          <w:rPr>
            <w:rStyle w:val="Hyperlink"/>
            <w:rFonts w:asciiTheme="majorHAnsi" w:hAnsiTheme="majorHAnsi" w:cstheme="majorHAnsi"/>
          </w:rPr>
          <w:t>cancel your ARTG inclusion</w:t>
        </w:r>
      </w:hyperlink>
      <w:r w:rsidR="00035DFD" w:rsidRPr="00B4320A">
        <w:rPr>
          <w:rFonts w:asciiTheme="majorHAnsi" w:hAnsiTheme="majorHAnsi" w:cstheme="majorHAnsi"/>
        </w:rPr>
        <w:t>.</w:t>
      </w:r>
    </w:p>
    <w:p w14:paraId="15783F15" w14:textId="77777777" w:rsidR="00035DFD" w:rsidRPr="003C02D8" w:rsidRDefault="00035DFD" w:rsidP="00B4320A">
      <w:pPr>
        <w:pStyle w:val="Heading3"/>
      </w:pPr>
      <w:bookmarkStart w:id="32" w:name="_Sponsors_intending_to"/>
      <w:bookmarkStart w:id="33" w:name="_Toc35954348"/>
      <w:bookmarkStart w:id="34" w:name="_Toc120888880"/>
      <w:bookmarkStart w:id="35" w:name="_Toc141803683"/>
      <w:bookmarkEnd w:id="32"/>
      <w:r>
        <w:lastRenderedPageBreak/>
        <w:t xml:space="preserve">Applications to include a new medical device on or after 25 </w:t>
      </w:r>
      <w:bookmarkEnd w:id="33"/>
      <w:r>
        <w:t>November 2021</w:t>
      </w:r>
      <w:bookmarkEnd w:id="34"/>
      <w:bookmarkEnd w:id="35"/>
    </w:p>
    <w:p w14:paraId="4118B955" w14:textId="2945E71E" w:rsidR="00035DFD" w:rsidRPr="001529B6" w:rsidRDefault="00035DFD" w:rsidP="00B4320A">
      <w:r w:rsidRPr="001529B6">
        <w:t xml:space="preserve">Any </w:t>
      </w:r>
      <w:r w:rsidR="00053CB2" w:rsidRPr="00255D34">
        <w:t>application for inclusion</w:t>
      </w:r>
      <w:r w:rsidRPr="001529B6">
        <w:t xml:space="preserve"> of a new device, that is not yet included in the ARTG, submitted to the TGA </w:t>
      </w:r>
      <w:r w:rsidRPr="001529B6">
        <w:rPr>
          <w:b/>
        </w:rPr>
        <w:t>on or after 25 November 2021</w:t>
      </w:r>
      <w:r w:rsidRPr="001529B6">
        <w:t xml:space="preserve"> must be submitted as an application for a Class III medical device.</w:t>
      </w:r>
    </w:p>
    <w:p w14:paraId="6C8ACE43" w14:textId="6323F538" w:rsidR="00035DFD" w:rsidRPr="001529B6" w:rsidRDefault="00035DFD" w:rsidP="00B4320A">
      <w:pPr>
        <w:rPr>
          <w:rFonts w:asciiTheme="majorHAnsi" w:hAnsiTheme="majorHAnsi" w:cstheme="majorHAnsi"/>
        </w:rPr>
      </w:pPr>
      <w:r w:rsidRPr="001529B6">
        <w:rPr>
          <w:rFonts w:asciiTheme="majorHAnsi" w:hAnsiTheme="majorHAnsi" w:cstheme="majorHAnsi"/>
        </w:rPr>
        <w:t xml:space="preserve">For more information refer to the </w:t>
      </w:r>
      <w:hyperlink r:id="rId23" w:history="1">
        <w:r w:rsidRPr="001529B6">
          <w:rPr>
            <w:rStyle w:val="Hyperlink"/>
            <w:rFonts w:asciiTheme="majorHAnsi" w:hAnsiTheme="majorHAnsi" w:cstheme="majorHAnsi"/>
          </w:rPr>
          <w:t>Medical device ARTG inclusion process</w:t>
        </w:r>
      </w:hyperlink>
      <w:r w:rsidRPr="001529B6">
        <w:rPr>
          <w:rFonts w:asciiTheme="majorHAnsi" w:hAnsiTheme="majorHAnsi" w:cstheme="majorHAnsi"/>
        </w:rPr>
        <w:t>.</w:t>
      </w:r>
    </w:p>
    <w:p w14:paraId="2417DF1F" w14:textId="77777777" w:rsidR="00035DFD" w:rsidRPr="001529B6" w:rsidRDefault="00035DFD" w:rsidP="00B4320A">
      <w:r w:rsidRPr="001529B6">
        <w:t xml:space="preserve">See below for information about the </w:t>
      </w:r>
      <w:hyperlink w:anchor="_Kind_of_device:" w:history="1">
        <w:r w:rsidRPr="001529B6">
          <w:rPr>
            <w:rStyle w:val="Hyperlink"/>
            <w:rFonts w:asciiTheme="majorHAnsi" w:hAnsiTheme="majorHAnsi" w:cstheme="majorHAnsi"/>
          </w:rPr>
          <w:t>differences between a Class </w:t>
        </w:r>
        <w:proofErr w:type="spellStart"/>
        <w:r w:rsidRPr="001529B6">
          <w:rPr>
            <w:rStyle w:val="Hyperlink"/>
            <w:rFonts w:asciiTheme="majorHAnsi" w:hAnsiTheme="majorHAnsi" w:cstheme="majorHAnsi"/>
          </w:rPr>
          <w:t>IIa</w:t>
        </w:r>
        <w:proofErr w:type="spellEnd"/>
        <w:r w:rsidRPr="001529B6">
          <w:rPr>
            <w:rStyle w:val="Hyperlink"/>
            <w:rFonts w:asciiTheme="majorHAnsi" w:hAnsiTheme="majorHAnsi" w:cstheme="majorHAnsi"/>
          </w:rPr>
          <w:t xml:space="preserve"> and a Class III medical device</w:t>
        </w:r>
      </w:hyperlink>
      <w:r w:rsidRPr="001529B6">
        <w:t>.</w:t>
      </w:r>
    </w:p>
    <w:p w14:paraId="42D768A0" w14:textId="77777777" w:rsidR="00035DFD" w:rsidRDefault="00035DFD" w:rsidP="00B4320A">
      <w:pPr>
        <w:pStyle w:val="Heading2"/>
      </w:pPr>
      <w:bookmarkStart w:id="36" w:name="_Notifying_the_TGA"/>
      <w:bookmarkStart w:id="37" w:name="_Toc35954349"/>
      <w:bookmarkStart w:id="38" w:name="_Toc120888881"/>
      <w:bookmarkStart w:id="39" w:name="_Toc141803684"/>
      <w:bookmarkEnd w:id="36"/>
      <w:r>
        <w:t>Notifying the TGA</w:t>
      </w:r>
      <w:bookmarkEnd w:id="37"/>
      <w:bookmarkEnd w:id="38"/>
      <w:bookmarkEnd w:id="39"/>
    </w:p>
    <w:p w14:paraId="5CD59D16" w14:textId="77777777" w:rsidR="00035DFD" w:rsidRPr="001529B6" w:rsidRDefault="00035DFD" w:rsidP="00B4320A">
      <w:r w:rsidRPr="001529B6">
        <w:t>To notify the TGA that you have an ARTG inclusion for a device that needs to be reclassified, you will need to fill in the online form on our Consultation Hub:</w:t>
      </w:r>
    </w:p>
    <w:p w14:paraId="09F84277" w14:textId="77777777" w:rsidR="00035DFD" w:rsidRPr="001529B6" w:rsidRDefault="00714495" w:rsidP="00B4320A">
      <w:pPr>
        <w:rPr>
          <w:rFonts w:asciiTheme="majorHAnsi" w:hAnsiTheme="majorHAnsi" w:cstheme="majorHAnsi"/>
        </w:rPr>
      </w:pPr>
      <w:hyperlink r:id="rId24" w:history="1">
        <w:r w:rsidR="00035DFD" w:rsidRPr="001529B6">
          <w:rPr>
            <w:rStyle w:val="Hyperlink"/>
            <w:rFonts w:asciiTheme="majorHAnsi" w:hAnsiTheme="majorHAnsi" w:cstheme="majorHAnsi"/>
          </w:rPr>
          <w:t>https://consultations.health.gov.au/tga/reclass-md-direct-contact-heart-ccs-cns</w:t>
        </w:r>
      </w:hyperlink>
    </w:p>
    <w:p w14:paraId="141A912C" w14:textId="77777777" w:rsidR="00035DFD" w:rsidRPr="001529B6" w:rsidRDefault="00035DFD" w:rsidP="00B4320A">
      <w:r w:rsidRPr="001529B6">
        <w:t>The form will be available until 24 May 2022.</w:t>
      </w:r>
    </w:p>
    <w:p w14:paraId="5A3FF277" w14:textId="77777777" w:rsidR="00035DFD" w:rsidRPr="001529B6" w:rsidRDefault="00035DFD" w:rsidP="00B4320A">
      <w:pPr>
        <w:rPr>
          <w:u w:val="single"/>
        </w:rPr>
      </w:pPr>
      <w:r w:rsidRPr="001529B6">
        <w:t>The information you will need to provide includes the existing ARTG number and for devices that will be newly classified as Class III medical devices, you will also need to provide UPIs for each device and/or variant.</w:t>
      </w:r>
    </w:p>
    <w:p w14:paraId="6245A2E2" w14:textId="5C084877" w:rsidR="00035DFD" w:rsidRDefault="00053CB2" w:rsidP="00B4320A">
      <w:pPr>
        <w:pStyle w:val="Heading2"/>
      </w:pPr>
      <w:bookmarkStart w:id="40" w:name="_Submitting_an_application"/>
      <w:bookmarkStart w:id="41" w:name="_Reclassifying_an_ARTG"/>
      <w:bookmarkStart w:id="42" w:name="_Toc53499463"/>
      <w:bookmarkStart w:id="43" w:name="_Toc120888882"/>
      <w:bookmarkStart w:id="44" w:name="_Toc141803685"/>
      <w:bookmarkEnd w:id="40"/>
      <w:bookmarkEnd w:id="41"/>
      <w:r>
        <w:t xml:space="preserve">Reclassifying </w:t>
      </w:r>
      <w:r>
        <w:rPr>
          <w:rFonts w:asciiTheme="majorHAnsi" w:hAnsiTheme="majorHAnsi" w:cstheme="majorHAnsi"/>
        </w:rPr>
        <w:t>an ARTG inclusion as</w:t>
      </w:r>
      <w:r>
        <w:t xml:space="preserve"> a Class III </w:t>
      </w:r>
      <w:bookmarkEnd w:id="42"/>
      <w:bookmarkEnd w:id="43"/>
      <w:r>
        <w:t>device</w:t>
      </w:r>
      <w:bookmarkEnd w:id="44"/>
    </w:p>
    <w:p w14:paraId="2AF5EF3D" w14:textId="77777777" w:rsidR="00035DFD" w:rsidRPr="005B1B73" w:rsidRDefault="00035DFD" w:rsidP="00B4320A">
      <w:pPr>
        <w:pStyle w:val="Heading3"/>
      </w:pPr>
      <w:bookmarkStart w:id="45" w:name="_Kind_of_device:"/>
      <w:bookmarkStart w:id="46" w:name="_Toc23159015"/>
      <w:bookmarkStart w:id="47" w:name="_Toc28006866"/>
      <w:bookmarkStart w:id="48" w:name="_Toc35954351"/>
      <w:bookmarkStart w:id="49" w:name="_Toc120888883"/>
      <w:bookmarkStart w:id="50" w:name="_Toc141803686"/>
      <w:bookmarkEnd w:id="45"/>
      <w:r>
        <w:t>Kind of device</w:t>
      </w:r>
      <w:bookmarkEnd w:id="46"/>
      <w:r>
        <w:t xml:space="preserve">: Class </w:t>
      </w:r>
      <w:proofErr w:type="spellStart"/>
      <w:r>
        <w:t>IIa</w:t>
      </w:r>
      <w:proofErr w:type="spellEnd"/>
      <w:r>
        <w:t xml:space="preserve"> vs Class III</w:t>
      </w:r>
      <w:bookmarkEnd w:id="47"/>
      <w:bookmarkEnd w:id="48"/>
      <w:bookmarkEnd w:id="49"/>
      <w:bookmarkEnd w:id="50"/>
    </w:p>
    <w:p w14:paraId="37E7C6CF" w14:textId="512C2180" w:rsidR="00035DFD" w:rsidRPr="001529B6" w:rsidRDefault="00035DFD" w:rsidP="00B4320A">
      <w:r w:rsidRPr="001529B6">
        <w:t>The application requirements for inclusion of a Class III device in the ARTG are different from the requirements for a Class </w:t>
      </w:r>
      <w:proofErr w:type="spellStart"/>
      <w:r w:rsidRPr="001529B6">
        <w:t>IIa</w:t>
      </w:r>
      <w:proofErr w:type="spellEnd"/>
      <w:r w:rsidRPr="001529B6">
        <w:t xml:space="preserve"> device.</w:t>
      </w:r>
    </w:p>
    <w:p w14:paraId="51C2D042" w14:textId="27E0F5E8" w:rsidR="00035DFD" w:rsidRPr="001529B6" w:rsidRDefault="00035DFD" w:rsidP="00B4320A">
      <w:r w:rsidRPr="001529B6">
        <w:t>Only devices of the same kind can be supplied under one ARTG entry.</w:t>
      </w:r>
    </w:p>
    <w:p w14:paraId="39BC64BF" w14:textId="77777777" w:rsidR="00035DFD" w:rsidRPr="001529B6" w:rsidRDefault="00035DFD" w:rsidP="00B4320A">
      <w:r w:rsidRPr="001529B6">
        <w:t>Class </w:t>
      </w:r>
      <w:proofErr w:type="spellStart"/>
      <w:r w:rsidRPr="001529B6">
        <w:t>IIa</w:t>
      </w:r>
      <w:proofErr w:type="spellEnd"/>
      <w:r w:rsidRPr="001529B6">
        <w:t xml:space="preserve"> devices </w:t>
      </w:r>
      <w:proofErr w:type="gramStart"/>
      <w:r w:rsidRPr="001529B6">
        <w:t>are considered to be</w:t>
      </w:r>
      <w:proofErr w:type="gramEnd"/>
      <w:r w:rsidRPr="001529B6">
        <w:t xml:space="preserve"> of the same ‘kind’ and can be included in one ARTG entry when they have the same:</w:t>
      </w:r>
    </w:p>
    <w:p w14:paraId="0B71B507" w14:textId="77777777" w:rsidR="00035DFD" w:rsidRPr="001529B6" w:rsidRDefault="00035DFD" w:rsidP="00B4320A">
      <w:pPr>
        <w:pStyle w:val="ListBullet"/>
      </w:pPr>
      <w:r w:rsidRPr="001529B6">
        <w:t>sponsor</w:t>
      </w:r>
    </w:p>
    <w:p w14:paraId="243A8584" w14:textId="77777777" w:rsidR="00035DFD" w:rsidRPr="001529B6" w:rsidRDefault="00035DFD" w:rsidP="00B4320A">
      <w:pPr>
        <w:pStyle w:val="ListBullet"/>
      </w:pPr>
      <w:r w:rsidRPr="001529B6">
        <w:t>manufacturer</w:t>
      </w:r>
    </w:p>
    <w:p w14:paraId="7420E6BA" w14:textId="77777777" w:rsidR="00035DFD" w:rsidRPr="001529B6" w:rsidRDefault="00035DFD" w:rsidP="00B4320A">
      <w:pPr>
        <w:pStyle w:val="ListBullet"/>
      </w:pPr>
      <w:r w:rsidRPr="001529B6">
        <w:t>classification</w:t>
      </w:r>
    </w:p>
    <w:p w14:paraId="2D405C3E" w14:textId="77777777" w:rsidR="00035DFD" w:rsidRPr="001529B6" w:rsidRDefault="00035DFD" w:rsidP="00B4320A">
      <w:pPr>
        <w:pStyle w:val="ListBullet"/>
      </w:pPr>
      <w:r w:rsidRPr="001529B6">
        <w:t>Global Medical Device Nomenclature (GMDN) System Code.</w:t>
      </w:r>
    </w:p>
    <w:p w14:paraId="191F74F1" w14:textId="77777777" w:rsidR="00035DFD" w:rsidRPr="001529B6" w:rsidRDefault="00035DFD" w:rsidP="00714495">
      <w:pPr>
        <w:pageBreakBefore/>
      </w:pPr>
      <w:r w:rsidRPr="001529B6">
        <w:lastRenderedPageBreak/>
        <w:t xml:space="preserve">Class III devices must additionally have the same Unique Product Identifier (UPI) </w:t>
      </w:r>
      <w:proofErr w:type="gramStart"/>
      <w:r w:rsidRPr="001529B6">
        <w:t>in order to</w:t>
      </w:r>
      <w:proofErr w:type="gramEnd"/>
      <w:r w:rsidRPr="001529B6">
        <w:t xml:space="preserve"> be considered of the same “kind”.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35DFD" w:rsidRPr="00215D48" w14:paraId="476C87BC" w14:textId="77777777" w:rsidTr="00D14AE1">
        <w:tc>
          <w:tcPr>
            <w:tcW w:w="1276" w:type="dxa"/>
            <w:vAlign w:val="center"/>
          </w:tcPr>
          <w:p w14:paraId="66D600CA" w14:textId="77777777" w:rsidR="00035DFD" w:rsidRPr="00215D48" w:rsidRDefault="00035DFD" w:rsidP="00B4320A">
            <w:r w:rsidRPr="00215D48">
              <w:rPr>
                <w:noProof/>
                <w:lang w:eastAsia="en-AU"/>
              </w:rPr>
              <w:drawing>
                <wp:inline distT="0" distB="0" distL="0" distR="0" wp14:anchorId="1277D4D5" wp14:editId="1A2CB118">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E200B35" w14:textId="77777777" w:rsidR="00035DFD" w:rsidRPr="001529B6" w:rsidRDefault="00035DFD" w:rsidP="00B4320A">
            <w:r w:rsidRPr="001529B6">
              <w:t>The devices included in your current Class </w:t>
            </w:r>
            <w:proofErr w:type="spellStart"/>
            <w:r w:rsidRPr="001529B6">
              <w:t>IIa</w:t>
            </w:r>
            <w:proofErr w:type="spellEnd"/>
            <w:r w:rsidRPr="001529B6">
              <w:t xml:space="preserve"> ARTG entry may have different UPIs.  You will require a separate Class III application for inclusion in the ARTG for each UPI.</w:t>
            </w:r>
          </w:p>
          <w:p w14:paraId="4E5AAC92" w14:textId="77777777" w:rsidR="00035DFD" w:rsidRPr="001529B6" w:rsidRDefault="00035DFD" w:rsidP="00B4320A">
            <w:pPr>
              <w:pStyle w:val="ListBullet"/>
            </w:pPr>
            <w:r w:rsidRPr="001529B6">
              <w:rPr>
                <w:noProof/>
                <w:lang w:eastAsia="en-AU"/>
              </w:rPr>
              <w:drawing>
                <wp:inline distT="0" distB="0" distL="0" distR="0" wp14:anchorId="3F92A4A9" wp14:editId="77C3B10C">
                  <wp:extent cx="2594030" cy="136334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 3 application diagram.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22875" cy="1378500"/>
                          </a:xfrm>
                          <a:prstGeom prst="rect">
                            <a:avLst/>
                          </a:prstGeom>
                        </pic:spPr>
                      </pic:pic>
                    </a:graphicData>
                  </a:graphic>
                </wp:inline>
              </w:drawing>
            </w:r>
          </w:p>
          <w:p w14:paraId="079B3F59" w14:textId="77777777" w:rsidR="00035DFD" w:rsidRPr="001529B6" w:rsidRDefault="00035DFD" w:rsidP="00B4320A">
            <w:pPr>
              <w:pStyle w:val="ListBullet"/>
            </w:pPr>
            <w:r w:rsidRPr="001529B6">
              <w:t xml:space="preserve">A Class III ARTG entry may still cover more than one device, but </w:t>
            </w:r>
            <w:r w:rsidRPr="001529B6">
              <w:rPr>
                <w:b/>
              </w:rPr>
              <w:t>only if</w:t>
            </w:r>
            <w:r w:rsidRPr="001529B6">
              <w:t xml:space="preserve"> the:</w:t>
            </w:r>
          </w:p>
          <w:p w14:paraId="69D9F8CB" w14:textId="77777777" w:rsidR="00035DFD" w:rsidRPr="001529B6" w:rsidRDefault="00035DFD" w:rsidP="00B4320A">
            <w:pPr>
              <w:pStyle w:val="ListBullet"/>
            </w:pPr>
            <w:r w:rsidRPr="001529B6">
              <w:t>devices have the same UPI</w:t>
            </w:r>
          </w:p>
          <w:p w14:paraId="6A2A7E2D" w14:textId="77777777" w:rsidR="00035DFD" w:rsidRPr="001529B6" w:rsidRDefault="00035DFD" w:rsidP="00B4320A">
            <w:pPr>
              <w:pStyle w:val="ListBullet"/>
            </w:pPr>
            <w:r w:rsidRPr="001529B6">
              <w:t>variation in the design of the devices is only to accommodate different patient anatomical requirements</w:t>
            </w:r>
          </w:p>
          <w:p w14:paraId="7B377CE7" w14:textId="77777777" w:rsidR="00035DFD" w:rsidRPr="001529B6" w:rsidRDefault="00035DFD" w:rsidP="00B4320A">
            <w:pPr>
              <w:pStyle w:val="ListBullet"/>
            </w:pPr>
            <w:r w:rsidRPr="001529B6">
              <w:t>variation does not change the intended purpose of the device.</w:t>
            </w:r>
          </w:p>
          <w:p w14:paraId="1ABFB417" w14:textId="77777777" w:rsidR="00035DFD" w:rsidRPr="00215D48" w:rsidRDefault="00035DFD" w:rsidP="00B4320A">
            <w:r w:rsidRPr="001529B6">
              <w:t xml:space="preserve">For more information about acceptable variants refer to </w:t>
            </w:r>
            <w:hyperlink r:id="rId26" w:history="1">
              <w:r w:rsidRPr="001529B6">
                <w:rPr>
                  <w:rStyle w:val="Hyperlink"/>
                  <w:rFonts w:asciiTheme="majorHAnsi" w:hAnsiTheme="majorHAnsi" w:cstheme="majorHAnsi"/>
                </w:rPr>
                <w:t>Kind of medical device</w:t>
              </w:r>
            </w:hyperlink>
            <w:r w:rsidRPr="001529B6">
              <w:t>.</w:t>
            </w:r>
          </w:p>
        </w:tc>
      </w:tr>
    </w:tbl>
    <w:p w14:paraId="7E337F42" w14:textId="77777777" w:rsidR="00053CB2" w:rsidRPr="008C08A9" w:rsidRDefault="00053CB2" w:rsidP="00B4320A">
      <w:pPr>
        <w:pStyle w:val="Heading3"/>
      </w:pPr>
      <w:bookmarkStart w:id="51" w:name="_Timeframes_for_ARTG"/>
      <w:bookmarkStart w:id="52" w:name="_Toc141794499"/>
      <w:bookmarkStart w:id="53" w:name="_Toc141803687"/>
      <w:bookmarkStart w:id="54" w:name="_Hlk141802946"/>
      <w:bookmarkStart w:id="55" w:name="_Toc53499466"/>
      <w:bookmarkStart w:id="56" w:name="_Toc120888884"/>
      <w:bookmarkEnd w:id="51"/>
      <w:r w:rsidRPr="008C08A9">
        <w:t>Timeframes for</w:t>
      </w:r>
      <w:r>
        <w:t xml:space="preserve"> ARTG inclusion</w:t>
      </w:r>
      <w:r w:rsidRPr="008C08A9">
        <w:t xml:space="preserve"> applications </w:t>
      </w:r>
      <w:r>
        <w:t>as Class III medical devices</w:t>
      </w:r>
      <w:bookmarkEnd w:id="52"/>
      <w:bookmarkEnd w:id="53"/>
    </w:p>
    <w:p w14:paraId="18A60CF3" w14:textId="3BCCEACA" w:rsidR="00053CB2" w:rsidRPr="00B420A3" w:rsidRDefault="00053CB2" w:rsidP="00B4320A">
      <w:proofErr w:type="gramStart"/>
      <w:r w:rsidRPr="00B420A3">
        <w:t>In order to</w:t>
      </w:r>
      <w:proofErr w:type="gramEnd"/>
      <w:r w:rsidRPr="00B420A3">
        <w:t xml:space="preserve"> continue supplying your devices, you must submit your reclassification application for a Class III inclusion in the ARTG </w:t>
      </w:r>
      <w:r w:rsidRPr="00B420A3">
        <w:rPr>
          <w:b/>
        </w:rPr>
        <w:t xml:space="preserve">before the transition deadline. </w:t>
      </w:r>
      <w:r w:rsidRPr="00B420A3">
        <w:t xml:space="preserve">In </w:t>
      </w:r>
      <w:r w:rsidR="00AB6F31" w:rsidRPr="00B420A3">
        <w:t xml:space="preserve">November </w:t>
      </w:r>
      <w:r w:rsidRPr="00B420A3">
        <w:t xml:space="preserve">2023, regulatory amendments </w:t>
      </w:r>
      <w:r w:rsidR="001D67CF" w:rsidRPr="00B420A3">
        <w:t xml:space="preserve">have </w:t>
      </w:r>
      <w:r w:rsidR="00AB6F31" w:rsidRPr="00B420A3">
        <w:t xml:space="preserve">been </w:t>
      </w:r>
      <w:r w:rsidRPr="00B420A3">
        <w:t>made</w:t>
      </w:r>
      <w:r w:rsidR="00AB6F31" w:rsidRPr="00B420A3">
        <w:t xml:space="preserve"> to extend</w:t>
      </w:r>
      <w:r w:rsidRPr="00B420A3">
        <w:t xml:space="preserve"> the transition deadline </w:t>
      </w:r>
      <w:r w:rsidR="00AB6F31" w:rsidRPr="00B420A3">
        <w:t xml:space="preserve">for some transitional devices. The updated transitional deadline for devices used in direct contact with the heart, central circulatory system, or central nervous system </w:t>
      </w:r>
      <w:r w:rsidR="00C96D47" w:rsidRPr="00B420A3">
        <w:t>would</w:t>
      </w:r>
      <w:r w:rsidRPr="00B420A3">
        <w:t xml:space="preserve"> be </w:t>
      </w:r>
      <w:r w:rsidRPr="00B420A3">
        <w:rPr>
          <w:b/>
          <w:bCs/>
        </w:rPr>
        <w:t>1 July 2029</w:t>
      </w:r>
      <w:r w:rsidRPr="00B420A3">
        <w:t xml:space="preserve">. More information about the </w:t>
      </w:r>
      <w:r w:rsidR="00724A23" w:rsidRPr="00B420A3">
        <w:t xml:space="preserve">TGA’s strategy in response to EU MDR transition extension </w:t>
      </w:r>
      <w:r w:rsidRPr="00B420A3">
        <w:t xml:space="preserve">can be found at </w:t>
      </w:r>
      <w:hyperlink r:id="rId27" w:history="1">
        <w:r w:rsidRPr="00B420A3">
          <w:rPr>
            <w:rStyle w:val="Hyperlink"/>
            <w:rFonts w:asciiTheme="majorHAnsi" w:hAnsiTheme="majorHAnsi" w:cstheme="majorHAnsi"/>
          </w:rPr>
          <w:t>https://www.tga.gov.au/how-we-regulate/supply-therapeutic-good/supply-medical-device/eu-mdr-transition/eu-mdr-transition-extension</w:t>
        </w:r>
      </w:hyperlink>
      <w:r w:rsidRPr="00B420A3">
        <w:t xml:space="preserve">.  </w:t>
      </w:r>
    </w:p>
    <w:p w14:paraId="354B976D" w14:textId="77777777" w:rsidR="00053CB2" w:rsidRPr="00B420A3" w:rsidRDefault="00053CB2" w:rsidP="00B4320A">
      <w:r w:rsidRPr="00B420A3">
        <w:t xml:space="preserve">If you have submitted your application before this date, but it has not yet been finalised by the TGA, you are able to continue to supply your devices using your Class </w:t>
      </w:r>
      <w:proofErr w:type="spellStart"/>
      <w:r w:rsidRPr="00B420A3">
        <w:t>IIa</w:t>
      </w:r>
      <w:proofErr w:type="spellEnd"/>
      <w:r w:rsidRPr="00B420A3">
        <w:t xml:space="preserve"> or IIb ARTG entry until a decision is made about your Class III application.</w:t>
      </w:r>
      <w:bookmarkEnd w:id="54"/>
    </w:p>
    <w:p w14:paraId="36CD89DF" w14:textId="77777777" w:rsidR="00035DFD" w:rsidRDefault="00035DFD" w:rsidP="00714495">
      <w:pPr>
        <w:pStyle w:val="Heading3"/>
        <w:pageBreakBefore/>
      </w:pPr>
      <w:bookmarkStart w:id="57" w:name="_Toc103161577"/>
      <w:bookmarkStart w:id="58" w:name="_Toc103846866"/>
      <w:bookmarkStart w:id="59" w:name="_Toc119506154"/>
      <w:bookmarkStart w:id="60" w:name="_Toc120888885"/>
      <w:bookmarkStart w:id="61" w:name="_Toc141803689"/>
      <w:bookmarkEnd w:id="55"/>
      <w:bookmarkEnd w:id="56"/>
      <w:r>
        <w:lastRenderedPageBreak/>
        <w:t>How to submit a reclassification application</w:t>
      </w:r>
      <w:bookmarkEnd w:id="57"/>
      <w:bookmarkEnd w:id="58"/>
      <w:bookmarkEnd w:id="59"/>
      <w:bookmarkEnd w:id="60"/>
      <w:bookmarkEnd w:id="61"/>
    </w:p>
    <w:p w14:paraId="062F0CC7" w14:textId="77777777" w:rsidR="00035DFD" w:rsidRPr="001529B6" w:rsidRDefault="00035DFD" w:rsidP="00B4320A">
      <w:pPr>
        <w:pStyle w:val="Numberbullet0"/>
      </w:pPr>
      <w:r w:rsidRPr="001529B6">
        <w:t xml:space="preserve">Create a ‘New Device Application’ from the menu in the </w:t>
      </w:r>
      <w:proofErr w:type="spellStart"/>
      <w:r w:rsidRPr="001529B6">
        <w:t>eBS</w:t>
      </w:r>
      <w:proofErr w:type="spellEnd"/>
      <w:r w:rsidRPr="001529B6">
        <w:t xml:space="preserve"> Portal</w:t>
      </w:r>
    </w:p>
    <w:p w14:paraId="5609DCD3" w14:textId="5A5129BB" w:rsidR="00035DFD" w:rsidRPr="001529B6" w:rsidRDefault="00035DFD" w:rsidP="00B4320A">
      <w:pPr>
        <w:pStyle w:val="Numberbullet0"/>
      </w:pPr>
      <w:r w:rsidRPr="001529B6">
        <w:t xml:space="preserve">Select "Medical Device - Included" from the first drop-down list provided </w:t>
      </w:r>
    </w:p>
    <w:p w14:paraId="53695CC6" w14:textId="77777777" w:rsidR="00035DFD" w:rsidRPr="001529B6" w:rsidRDefault="00035DFD" w:rsidP="00B4320A">
      <w:pPr>
        <w:pStyle w:val="Numberbullet0"/>
      </w:pPr>
      <w:r w:rsidRPr="001529B6">
        <w:rPr>
          <w:noProof/>
        </w:rPr>
        <w:drawing>
          <wp:inline distT="0" distB="0" distL="0" distR="0" wp14:anchorId="296C0868" wp14:editId="4C1876A6">
            <wp:extent cx="5759450" cy="696886"/>
            <wp:effectExtent l="19050" t="19050" r="1270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r:link="rId29">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472DF11" w14:textId="77777777" w:rsidR="00035DFD" w:rsidRPr="001529B6" w:rsidRDefault="00035DFD" w:rsidP="00B4320A">
      <w:pPr>
        <w:pStyle w:val="Numberbullet0"/>
      </w:pPr>
      <w:r w:rsidRPr="001529B6">
        <w:t>Select the option to ‘Reclassify an existing register entry’</w:t>
      </w:r>
    </w:p>
    <w:p w14:paraId="35E45D2D" w14:textId="77777777" w:rsidR="00035DFD" w:rsidRPr="001529B6" w:rsidRDefault="00035DFD" w:rsidP="00B4320A">
      <w:pPr>
        <w:pStyle w:val="Numberbullet0"/>
      </w:pPr>
      <w:r w:rsidRPr="001529B6">
        <w:rPr>
          <w:noProof/>
        </w:rPr>
        <w:drawing>
          <wp:inline distT="0" distB="0" distL="0" distR="0" wp14:anchorId="680CF5B7" wp14:editId="3B9FC5B4">
            <wp:extent cx="5759450" cy="563880"/>
            <wp:effectExtent l="19050" t="19050" r="12700" b="266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59450" cy="563880"/>
                    </a:xfrm>
                    <a:prstGeom prst="rect">
                      <a:avLst/>
                    </a:prstGeom>
                    <a:ln w="3175">
                      <a:solidFill>
                        <a:schemeClr val="tx1"/>
                      </a:solidFill>
                    </a:ln>
                  </pic:spPr>
                </pic:pic>
              </a:graphicData>
            </a:graphic>
          </wp:inline>
        </w:drawing>
      </w:r>
    </w:p>
    <w:p w14:paraId="14D76490" w14:textId="77777777" w:rsidR="00035DFD" w:rsidRPr="001529B6" w:rsidRDefault="00035DFD" w:rsidP="00B4320A">
      <w:pPr>
        <w:pStyle w:val="Numberbullet0"/>
      </w:pPr>
      <w:r w:rsidRPr="001529B6">
        <w:t xml:space="preserve">Search for the ARTG Number to be reclassified: </w:t>
      </w:r>
      <w:proofErr w:type="spellStart"/>
      <w:r w:rsidRPr="001529B6">
        <w:t>eg.</w:t>
      </w:r>
      <w:proofErr w:type="spellEnd"/>
      <w:r w:rsidRPr="001529B6">
        <w:t xml:space="preserve"> 130099 (example only)</w:t>
      </w:r>
    </w:p>
    <w:p w14:paraId="26399A4B" w14:textId="77777777" w:rsidR="00035DFD" w:rsidRPr="001529B6" w:rsidRDefault="00035DFD" w:rsidP="00B4320A">
      <w:pPr>
        <w:pStyle w:val="Numberbullet0"/>
      </w:pPr>
      <w:r w:rsidRPr="001529B6">
        <w:rPr>
          <w:noProof/>
        </w:rPr>
        <w:drawing>
          <wp:inline distT="0" distB="0" distL="0" distR="0" wp14:anchorId="0296162B" wp14:editId="7CFFAFE6">
            <wp:extent cx="5759450" cy="577850"/>
            <wp:effectExtent l="19050" t="19050" r="1270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9450" cy="577850"/>
                    </a:xfrm>
                    <a:prstGeom prst="rect">
                      <a:avLst/>
                    </a:prstGeom>
                    <a:ln w="3175">
                      <a:solidFill>
                        <a:schemeClr val="tx1"/>
                      </a:solidFill>
                    </a:ln>
                  </pic:spPr>
                </pic:pic>
              </a:graphicData>
            </a:graphic>
          </wp:inline>
        </w:drawing>
      </w:r>
    </w:p>
    <w:p w14:paraId="0AE0E8A5" w14:textId="77777777" w:rsidR="00035DFD" w:rsidRPr="001529B6" w:rsidRDefault="00035DFD" w:rsidP="00B4320A">
      <w:pPr>
        <w:pStyle w:val="Numberbullet0"/>
      </w:pPr>
      <w:r w:rsidRPr="001529B6">
        <w:t>Select the "Clone" button.</w:t>
      </w:r>
    </w:p>
    <w:p w14:paraId="7149BAA9" w14:textId="77777777" w:rsidR="00035DFD" w:rsidRPr="001529B6" w:rsidRDefault="00035DFD" w:rsidP="00B4320A">
      <w:pPr>
        <w:pStyle w:val="Numberbullet0"/>
      </w:pPr>
      <w:r w:rsidRPr="001529B6">
        <w:t>Allow the system to clone the information associated with the ARTG entry into the application</w:t>
      </w:r>
    </w:p>
    <w:p w14:paraId="348AD27E" w14:textId="6D414EFF" w:rsidR="00035DFD" w:rsidRPr="001529B6" w:rsidRDefault="00035DFD" w:rsidP="00B4320A">
      <w:pPr>
        <w:pStyle w:val="Numberbullet0"/>
      </w:pPr>
      <w:r w:rsidRPr="001529B6">
        <w:t xml:space="preserve">Select </w:t>
      </w:r>
      <w:bookmarkStart w:id="62" w:name="_Hlk141800371"/>
      <w:r w:rsidR="00053CB2" w:rsidRPr="00B4320A">
        <w:rPr>
          <w:b/>
          <w:bCs/>
        </w:rPr>
        <w:t>Class III</w:t>
      </w:r>
      <w:r w:rsidR="00053CB2" w:rsidRPr="00B420A3">
        <w:t xml:space="preserve"> from the drop down provided for the “New classification” question</w:t>
      </w:r>
      <w:bookmarkEnd w:id="62"/>
      <w:r w:rsidRPr="00B420A3">
        <w:t>.</w:t>
      </w:r>
      <w:r w:rsidRPr="001529B6">
        <w:t xml:space="preserve"> </w:t>
      </w:r>
    </w:p>
    <w:p w14:paraId="4CB9F13B" w14:textId="5007F3A7" w:rsidR="00E468DC" w:rsidRDefault="00035DFD" w:rsidP="00B4320A">
      <w:pPr>
        <w:pStyle w:val="Numberbullet0"/>
      </w:pPr>
      <w:r>
        <w:rPr>
          <w:noProof/>
        </w:rPr>
        <w:drawing>
          <wp:inline distT="0" distB="0" distL="0" distR="0" wp14:anchorId="0B3329C2" wp14:editId="19AA3102">
            <wp:extent cx="5759450" cy="277495"/>
            <wp:effectExtent l="19050" t="19050" r="12700" b="273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277495"/>
                    </a:xfrm>
                    <a:prstGeom prst="rect">
                      <a:avLst/>
                    </a:prstGeom>
                    <a:ln w="3175">
                      <a:solidFill>
                        <a:schemeClr val="tx1"/>
                      </a:solidFill>
                    </a:ln>
                  </pic:spPr>
                </pic:pic>
              </a:graphicData>
            </a:graphic>
          </wp:inline>
        </w:drawing>
      </w:r>
    </w:p>
    <w:p w14:paraId="5C1B3478" w14:textId="77777777" w:rsidR="00E468DC" w:rsidRDefault="00E468DC" w:rsidP="00B4320A">
      <w:r>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35DFD" w:rsidRPr="00215D48" w14:paraId="7495C634" w14:textId="77777777" w:rsidTr="00D14AE1">
        <w:trPr>
          <w:trHeight w:val="1682"/>
        </w:trPr>
        <w:tc>
          <w:tcPr>
            <w:tcW w:w="1276" w:type="dxa"/>
            <w:vAlign w:val="center"/>
          </w:tcPr>
          <w:p w14:paraId="14684CE3" w14:textId="77777777" w:rsidR="00035DFD" w:rsidRPr="00215D48" w:rsidRDefault="00035DFD" w:rsidP="00B4320A">
            <w:r w:rsidRPr="00215D48">
              <w:rPr>
                <w:noProof/>
                <w:lang w:eastAsia="en-AU"/>
              </w:rPr>
              <w:lastRenderedPageBreak/>
              <w:drawing>
                <wp:inline distT="0" distB="0" distL="0" distR="0" wp14:anchorId="52209A6D" wp14:editId="47D12F26">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583C884" w14:textId="77777777" w:rsidR="00035DFD" w:rsidRPr="00B420A3" w:rsidRDefault="00035DFD" w:rsidP="00B4320A">
            <w:r w:rsidRPr="00B420A3">
              <w:t xml:space="preserve">If the GMDN code in the existing entry has been made obsolete or has been updated, the sponsor is responsible for selecting the most appropriate and current code available in the GMDN agency database.  </w:t>
            </w:r>
          </w:p>
          <w:p w14:paraId="4BB03A82" w14:textId="77777777" w:rsidR="00035DFD" w:rsidRPr="00B420A3" w:rsidRDefault="00035DFD" w:rsidP="00B4320A">
            <w:r w:rsidRPr="00B420A3">
              <w:t xml:space="preserve">If you are required to select a new GMDN code that is different to the cloned ARTG entry, you will not be able to validate and submit the application. </w:t>
            </w:r>
          </w:p>
          <w:p w14:paraId="42C16B30" w14:textId="6F879D7D" w:rsidR="00035DFD" w:rsidRPr="00B420A3" w:rsidRDefault="00035DFD" w:rsidP="00B4320A">
            <w:r w:rsidRPr="00B420A3">
              <w:t xml:space="preserve">Please save the draft application and email TGA Devices info line at </w:t>
            </w:r>
            <w:hyperlink r:id="rId33" w:history="1">
              <w:r w:rsidRPr="00B420A3">
                <w:rPr>
                  <w:rStyle w:val="Hyperlink"/>
                  <w:rFonts w:cs="Arial"/>
                </w:rPr>
                <w:t>devices@tga.gov.au</w:t>
              </w:r>
            </w:hyperlink>
            <w:r w:rsidRPr="00B420A3">
              <w:t xml:space="preserve"> for assistance.</w:t>
            </w:r>
          </w:p>
          <w:p w14:paraId="1139E1BD" w14:textId="64DD9AFD" w:rsidR="00035DFD" w:rsidRPr="00215D48" w:rsidRDefault="00035DFD" w:rsidP="00B4320A">
            <w:r w:rsidRPr="00B420A3">
              <w:rPr>
                <w:color w:val="auto"/>
              </w:rPr>
              <w:t>If there is a change of manufacturer, you must submit a new application</w:t>
            </w:r>
            <w:r w:rsidR="00053CB2" w:rsidRPr="00B420A3">
              <w:rPr>
                <w:color w:val="auto"/>
              </w:rPr>
              <w:t xml:space="preserve"> </w:t>
            </w:r>
            <w:r w:rsidR="00053CB2" w:rsidRPr="00B420A3">
              <w:t>(</w:t>
            </w:r>
            <w:r w:rsidR="00053CB2" w:rsidRPr="00B420A3">
              <w:rPr>
                <w:i/>
                <w:iCs/>
              </w:rPr>
              <w:t>i.e.</w:t>
            </w:r>
            <w:r w:rsidR="00053CB2" w:rsidRPr="00B420A3">
              <w:t xml:space="preserve"> select “Create a new inclusion in the register” instead of “Reclassify an existing register entry” in the Step 3 shown above) and provide information about the existing ARTG entry in the application form or in a supporting document attached with the form</w:t>
            </w:r>
            <w:r w:rsidRPr="00B420A3">
              <w:rPr>
                <w:color w:val="0070C0"/>
              </w:rPr>
              <w:t>.</w:t>
            </w:r>
          </w:p>
        </w:tc>
      </w:tr>
    </w:tbl>
    <w:p w14:paraId="1C358477" w14:textId="77777777" w:rsidR="00C96D47" w:rsidRDefault="00C96D47" w:rsidP="00B4320A">
      <w:pPr>
        <w:pStyle w:val="Heading3"/>
      </w:pPr>
      <w:bookmarkStart w:id="63" w:name="_Toc120888095"/>
      <w:bookmarkStart w:id="64" w:name="_Toc120888886"/>
      <w:r>
        <w:t>What to include in your application</w:t>
      </w:r>
    </w:p>
    <w:p w14:paraId="4C277BBB" w14:textId="77777777" w:rsidR="00C96D47" w:rsidRPr="00255D34" w:rsidRDefault="00C96D47" w:rsidP="00B4320A">
      <w:r w:rsidRPr="00255D34">
        <w:t xml:space="preserve">To pass preliminary assessment, Class III applications for ARTG inclusion must be accompanied by conformity assessment documentation as outlined in </w:t>
      </w:r>
      <w:hyperlink r:id="rId34" w:history="1">
        <w:r w:rsidRPr="00255D34">
          <w:rPr>
            <w:rStyle w:val="Hyperlink"/>
            <w:rFonts w:asciiTheme="majorHAnsi" w:hAnsiTheme="majorHAnsi" w:cstheme="majorHAnsi"/>
            <w:szCs w:val="22"/>
          </w:rPr>
          <w:t>supporting documentation for inclusion of a medical device</w:t>
        </w:r>
      </w:hyperlink>
      <w:r w:rsidRPr="00255D34">
        <w:t>.</w:t>
      </w:r>
    </w:p>
    <w:p w14:paraId="21C29F1C" w14:textId="6A66F347" w:rsidR="00C96D47" w:rsidRPr="00255D34" w:rsidRDefault="00C96D47" w:rsidP="00B4320A">
      <w:r w:rsidRPr="00255D34">
        <w:t xml:space="preserve">The required documents are outlined in the final column ‘Documentation to be provided with the application (Evidence of product assessment)’ of Table 2 in the </w:t>
      </w:r>
      <w:hyperlink r:id="rId35" w:history="1">
        <w:r w:rsidRPr="00255D34">
          <w:rPr>
            <w:rStyle w:val="Hyperlink"/>
            <w:rFonts w:asciiTheme="majorHAnsi" w:hAnsiTheme="majorHAnsi" w:cstheme="majorHAnsi"/>
            <w:szCs w:val="22"/>
          </w:rPr>
          <w:t>Use of market authorisation evidence from comparable overseas regulators / assessment bodies for medical devices (including IVDs)</w:t>
        </w:r>
      </w:hyperlink>
      <w:r w:rsidRPr="00255D34">
        <w:t xml:space="preserve">. This information must be provided in addition to the </w:t>
      </w:r>
      <w:hyperlink r:id="rId36" w:history="1">
        <w:r w:rsidRPr="00255D34">
          <w:rPr>
            <w:rStyle w:val="Hyperlink"/>
            <w:rFonts w:asciiTheme="majorHAnsi" w:hAnsiTheme="majorHAnsi" w:cstheme="majorHAnsi"/>
            <w:szCs w:val="22"/>
          </w:rPr>
          <w:t>manufacturer evidence</w:t>
        </w:r>
      </w:hyperlink>
      <w:r w:rsidRPr="00255D34">
        <w:t>.</w:t>
      </w:r>
    </w:p>
    <w:p w14:paraId="425EB769" w14:textId="77777777" w:rsidR="00C96D47" w:rsidRPr="00255D34" w:rsidRDefault="00C96D47" w:rsidP="00B4320A">
      <w:r w:rsidRPr="00255D34">
        <w:t xml:space="preserve">Please ensure you allow sufficient time to obtain your conformity assessment documentation </w:t>
      </w:r>
      <w:proofErr w:type="gramStart"/>
      <w:r w:rsidRPr="00255D34">
        <w:t>in order to</w:t>
      </w:r>
      <w:proofErr w:type="gramEnd"/>
      <w:r w:rsidRPr="00255D34">
        <w:t xml:space="preserve"> submit your documents with your application.</w:t>
      </w:r>
    </w:p>
    <w:p w14:paraId="46AF0080" w14:textId="77777777" w:rsidR="00C96D47" w:rsidRPr="00255D34" w:rsidRDefault="00C96D47" w:rsidP="00B4320A">
      <w:r w:rsidRPr="00255D34">
        <w:t xml:space="preserve">If you do </w:t>
      </w:r>
      <w:r w:rsidRPr="00255D34">
        <w:rPr>
          <w:b/>
          <w:bCs/>
        </w:rPr>
        <w:t>not pass preliminary assessment</w:t>
      </w:r>
      <w:r w:rsidRPr="00255D34">
        <w:t xml:space="preserve">, your application </w:t>
      </w:r>
      <w:r w:rsidRPr="00255D34">
        <w:rPr>
          <w:b/>
          <w:bCs/>
        </w:rPr>
        <w:t xml:space="preserve">will be </w:t>
      </w:r>
      <w:proofErr w:type="gramStart"/>
      <w:r w:rsidRPr="00255D34">
        <w:rPr>
          <w:b/>
          <w:bCs/>
        </w:rPr>
        <w:t>refused</w:t>
      </w:r>
      <w:proofErr w:type="gramEnd"/>
      <w:r w:rsidRPr="00255D34">
        <w:t xml:space="preserve"> and you will </w:t>
      </w:r>
      <w:r w:rsidRPr="00255D34">
        <w:rPr>
          <w:b/>
          <w:bCs/>
        </w:rPr>
        <w:t>not be able to transition</w:t>
      </w:r>
      <w:r w:rsidRPr="00255D34">
        <w:t xml:space="preserve"> your device to the new classification.</w:t>
      </w:r>
    </w:p>
    <w:p w14:paraId="5FDF8FF2" w14:textId="103D9CCD" w:rsidR="00035DFD" w:rsidRDefault="00035DFD" w:rsidP="00B4320A">
      <w:pPr>
        <w:pStyle w:val="Heading3"/>
      </w:pPr>
      <w:bookmarkStart w:id="65" w:name="_Toc141803690"/>
      <w:r>
        <w:t>Mandatory Audits</w:t>
      </w:r>
      <w:bookmarkEnd w:id="63"/>
      <w:bookmarkEnd w:id="64"/>
      <w:bookmarkEnd w:id="65"/>
    </w:p>
    <w:p w14:paraId="1EA21B78" w14:textId="77777777" w:rsidR="00035DFD" w:rsidRPr="00255D34" w:rsidRDefault="00035DFD" w:rsidP="00B4320A">
      <w:r w:rsidRPr="00255D34">
        <w:t xml:space="preserve">If your Class III application is not supported by MDR, TGA or AU CAB certification, your application will be selected for a </w:t>
      </w:r>
      <w:hyperlink r:id="rId37" w:history="1">
        <w:r w:rsidRPr="00255D34">
          <w:rPr>
            <w:rStyle w:val="Hyperlink"/>
            <w:rFonts w:asciiTheme="majorHAnsi" w:hAnsiTheme="majorHAnsi" w:cstheme="majorHAnsi"/>
            <w:szCs w:val="22"/>
          </w:rPr>
          <w:t>compulsory application audit</w:t>
        </w:r>
      </w:hyperlink>
      <w:r w:rsidRPr="00255D34">
        <w:t xml:space="preserve">. Compulsory application audits attract an </w:t>
      </w:r>
      <w:r w:rsidRPr="00255D34">
        <w:rPr>
          <w:b/>
        </w:rPr>
        <w:t>audit assessment fee</w:t>
      </w:r>
      <w:r w:rsidRPr="00255D34">
        <w:t xml:space="preserve"> and require submission of additional information, which may include, clinical evidence to support the safety and performance of the device</w:t>
      </w:r>
    </w:p>
    <w:p w14:paraId="4C049B4B" w14:textId="3B5ED9C9" w:rsidR="00035DFD" w:rsidRPr="00255D34" w:rsidRDefault="00035DFD" w:rsidP="00B4320A">
      <w:r w:rsidRPr="00255D34">
        <w:t xml:space="preserve">The </w:t>
      </w:r>
      <w:hyperlink r:id="rId38" w:history="1">
        <w:r w:rsidRPr="00255D34">
          <w:rPr>
            <w:rStyle w:val="Hyperlink"/>
            <w:rFonts w:asciiTheme="majorHAnsi" w:hAnsiTheme="majorHAnsi" w:cstheme="majorHAnsi"/>
            <w:szCs w:val="22"/>
          </w:rPr>
          <w:t>Clinical Evidence Guidelines</w:t>
        </w:r>
      </w:hyperlink>
      <w:r w:rsidRPr="00255D34">
        <w:t xml:space="preserve"> outline the level of evidence expected for medical devices to be included on the ARTG</w:t>
      </w:r>
      <w:r w:rsidR="00C96D47">
        <w:t>.</w:t>
      </w:r>
    </w:p>
    <w:p w14:paraId="67C657C6" w14:textId="6334170A" w:rsidR="00035DFD" w:rsidRPr="00255D34" w:rsidRDefault="00035DFD" w:rsidP="00B4320A">
      <w:pPr>
        <w:rPr>
          <w:rStyle w:val="Hyperlink"/>
          <w:rFonts w:asciiTheme="majorHAnsi" w:hAnsiTheme="majorHAnsi" w:cstheme="majorHAnsi"/>
          <w:szCs w:val="22"/>
        </w:rPr>
      </w:pPr>
      <w:r w:rsidRPr="00255D34">
        <w:rPr>
          <w:b/>
        </w:rPr>
        <w:t>Audit assessment fees</w:t>
      </w:r>
      <w:r w:rsidRPr="00255D34">
        <w:t xml:space="preserve"> are listed in the TGA’s </w:t>
      </w:r>
      <w:hyperlink r:id="rId39" w:history="1">
        <w:r w:rsidRPr="00255D34">
          <w:rPr>
            <w:rStyle w:val="Hyperlink"/>
            <w:rFonts w:asciiTheme="majorHAnsi" w:hAnsiTheme="majorHAnsi" w:cstheme="majorHAnsi"/>
            <w:szCs w:val="22"/>
          </w:rPr>
          <w:t>Schedule of fees and charges</w:t>
        </w:r>
      </w:hyperlink>
      <w:r w:rsidR="00C96D47">
        <w:rPr>
          <w:rStyle w:val="Hyperlink"/>
          <w:rFonts w:asciiTheme="majorHAnsi" w:hAnsiTheme="majorHAnsi" w:cstheme="majorHAnsi"/>
          <w:szCs w:val="22"/>
        </w:rPr>
        <w:t>.</w:t>
      </w:r>
    </w:p>
    <w:p w14:paraId="3F22245E" w14:textId="747FC25D" w:rsidR="00B420A3" w:rsidRDefault="00035DFD" w:rsidP="00B4320A">
      <w:pPr>
        <w:rPr>
          <w:rFonts w:asciiTheme="majorHAnsi" w:hAnsiTheme="majorHAnsi" w:cstheme="majorHAnsi"/>
          <w:szCs w:val="22"/>
        </w:rPr>
      </w:pPr>
      <w:r w:rsidRPr="00255D34">
        <w:rPr>
          <w:rFonts w:asciiTheme="majorHAnsi" w:hAnsiTheme="majorHAnsi" w:cstheme="majorHAnsi"/>
          <w:szCs w:val="22"/>
        </w:rPr>
        <w:t xml:space="preserve">A </w:t>
      </w:r>
      <w:hyperlink r:id="rId40" w:history="1">
        <w:r w:rsidRPr="00255D34">
          <w:rPr>
            <w:rStyle w:val="Hyperlink"/>
            <w:rFonts w:asciiTheme="majorHAnsi" w:hAnsiTheme="majorHAnsi" w:cstheme="majorHAnsi"/>
            <w:szCs w:val="22"/>
          </w:rPr>
          <w:t>step-by-step guide to the medical device ARTG inclusion process</w:t>
        </w:r>
      </w:hyperlink>
      <w:r w:rsidRPr="00255D34">
        <w:rPr>
          <w:rFonts w:asciiTheme="majorHAnsi" w:hAnsiTheme="majorHAnsi" w:cstheme="majorHAnsi"/>
          <w:szCs w:val="22"/>
        </w:rPr>
        <w:t xml:space="preserve"> can be found on the TGA website.</w:t>
      </w:r>
    </w:p>
    <w:p w14:paraId="645052E8" w14:textId="77777777" w:rsidR="00B420A3" w:rsidRDefault="00B420A3" w:rsidP="00B4320A">
      <w:r>
        <w:br w:type="page"/>
      </w:r>
    </w:p>
    <w:p w14:paraId="1300934E" w14:textId="77777777" w:rsidR="00035DFD" w:rsidRDefault="00035DFD" w:rsidP="00B4320A">
      <w:pPr>
        <w:pStyle w:val="Heading3"/>
      </w:pPr>
      <w:bookmarkStart w:id="66" w:name="_Toc53499467"/>
      <w:bookmarkStart w:id="67" w:name="_Toc120888887"/>
      <w:bookmarkStart w:id="68" w:name="_Toc141803691"/>
      <w:r>
        <w:lastRenderedPageBreak/>
        <w:t>Fees</w:t>
      </w:r>
      <w:bookmarkEnd w:id="66"/>
      <w:bookmarkEnd w:id="67"/>
      <w:bookmarkEnd w:id="68"/>
    </w:p>
    <w:p w14:paraId="181FD12F" w14:textId="5CFA372B" w:rsidR="00035DFD" w:rsidRPr="00255D34" w:rsidRDefault="00035DFD" w:rsidP="00B4320A">
      <w:r w:rsidRPr="00035DFD">
        <w:t xml:space="preserve">You </w:t>
      </w:r>
      <w:r w:rsidRPr="00255D34">
        <w:t>will need to pay the relevant application fee and audit assessment fee.</w:t>
      </w:r>
    </w:p>
    <w:p w14:paraId="17A8B43F" w14:textId="77777777" w:rsidR="00035DFD" w:rsidRPr="00255D34" w:rsidRDefault="00035DFD" w:rsidP="00B4320A">
      <w:r w:rsidRPr="00255D34">
        <w:t xml:space="preserve">You can request abridgement and </w:t>
      </w:r>
      <w:hyperlink r:id="rId41" w:history="1">
        <w:r w:rsidRPr="00255D34">
          <w:rPr>
            <w:rStyle w:val="Hyperlink"/>
            <w:rFonts w:asciiTheme="majorHAnsi" w:hAnsiTheme="majorHAnsi" w:cstheme="majorHAnsi"/>
          </w:rPr>
          <w:t>reduction of the assessment fee</w:t>
        </w:r>
      </w:hyperlink>
      <w:r w:rsidRPr="00255D34">
        <w:t xml:space="preserve"> of the audit assessment (including requests to abridge the level of audit if appropriate).</w:t>
      </w:r>
    </w:p>
    <w:p w14:paraId="3E1782E5" w14:textId="77777777" w:rsidR="00035DFD" w:rsidRDefault="00035DFD" w:rsidP="00B4320A">
      <w:pPr>
        <w:pStyle w:val="Heading2"/>
      </w:pPr>
      <w:bookmarkStart w:id="69" w:name="_Toc120888888"/>
      <w:bookmarkStart w:id="70" w:name="_Toc141803692"/>
      <w:bookmarkStart w:id="71" w:name="_Toc35954353"/>
      <w:bookmarkEnd w:id="14"/>
      <w:r>
        <w:t>If your inclusion application is not successful</w:t>
      </w:r>
      <w:bookmarkEnd w:id="69"/>
      <w:bookmarkEnd w:id="70"/>
    </w:p>
    <w:p w14:paraId="270552E6" w14:textId="06235EAA" w:rsidR="00035DFD" w:rsidRPr="00035DFD" w:rsidRDefault="00035DFD" w:rsidP="00B4320A">
      <w:r w:rsidRPr="00035DFD">
        <w:t>If your inclusion application to transition your device to the new classification is not successful, you will be notified of the decision in writing and you will be provided the reasons for the decision.</w:t>
      </w:r>
    </w:p>
    <w:p w14:paraId="124A14E1" w14:textId="77777777" w:rsidR="00035DFD" w:rsidRPr="00035DFD" w:rsidRDefault="00035DFD" w:rsidP="00B4320A">
      <w:r w:rsidRPr="00035DFD">
        <w:t>If you are not satisfied with this decision, you may request reconsideration of this initial decision under section 60 of the</w:t>
      </w:r>
      <w:r w:rsidRPr="00E468DC">
        <w:rPr>
          <w:rFonts w:cs="Arial"/>
        </w:rPr>
        <w:t xml:space="preserve"> </w:t>
      </w:r>
      <w:hyperlink r:id="rId42" w:history="1">
        <w:r w:rsidRPr="00E468DC">
          <w:rPr>
            <w:rStyle w:val="Hyperlink"/>
            <w:rFonts w:cs="Arial"/>
            <w:i/>
            <w:iCs/>
          </w:rPr>
          <w:t>Therapeutic Goods Act 1989</w:t>
        </w:r>
      </w:hyperlink>
      <w:r w:rsidRPr="00035DFD">
        <w:rPr>
          <w:i/>
          <w:iCs/>
        </w:rPr>
        <w:t xml:space="preserve"> </w:t>
      </w:r>
      <w:r w:rsidRPr="00035DFD">
        <w:t xml:space="preserve">within </w:t>
      </w:r>
      <w:r w:rsidRPr="00035DFD">
        <w:rPr>
          <w:b/>
        </w:rPr>
        <w:t>90 days</w:t>
      </w:r>
      <w:r w:rsidRPr="00035DFD">
        <w:t xml:space="preserve"> of the decision. </w:t>
      </w:r>
    </w:p>
    <w:p w14:paraId="3F0FAE9D" w14:textId="15F364C5" w:rsidR="00035DFD" w:rsidRPr="00035DFD" w:rsidRDefault="00035DFD" w:rsidP="00B4320A">
      <w:r w:rsidRPr="00035DFD">
        <w:t>If you are not satisfied with the reconsideration (reviewable decision), you may apply to the Administrative Appeals Tribunal or the court.</w:t>
      </w:r>
    </w:p>
    <w:p w14:paraId="57AAA3B0" w14:textId="77777777" w:rsidR="00035DFD" w:rsidRDefault="00035DFD" w:rsidP="00B4320A">
      <w:pPr>
        <w:pStyle w:val="Heading2"/>
      </w:pPr>
      <w:bookmarkStart w:id="72" w:name="_Toc36200798"/>
      <w:bookmarkStart w:id="73" w:name="_Toc36201047"/>
      <w:bookmarkStart w:id="74" w:name="_Toc53499469"/>
      <w:bookmarkStart w:id="75" w:name="_Toc120888889"/>
      <w:bookmarkStart w:id="76" w:name="_Toc141803693"/>
      <w:bookmarkEnd w:id="71"/>
      <w:r>
        <w:t>When to cease supply using your old ARTG entry</w:t>
      </w:r>
      <w:bookmarkEnd w:id="72"/>
      <w:bookmarkEnd w:id="73"/>
      <w:bookmarkEnd w:id="74"/>
      <w:bookmarkEnd w:id="75"/>
      <w:bookmarkEnd w:id="76"/>
    </w:p>
    <w:p w14:paraId="48566AEF" w14:textId="62AE4392" w:rsidR="00035DFD" w:rsidRPr="00035DFD" w:rsidRDefault="00035DFD" w:rsidP="00B4320A">
      <w:r w:rsidRPr="00035DFD">
        <w:t>If you do not meet your obligations under the transitional arrangements, you will need to cease supply of your device. The following table outlines the circumstances and timeframes:</w:t>
      </w:r>
    </w:p>
    <w:p w14:paraId="36511E0E" w14:textId="401DB2B6" w:rsidR="00035DFD" w:rsidRDefault="00035DFD" w:rsidP="00B4320A">
      <w:pPr>
        <w:pStyle w:val="Tabletitle"/>
      </w:pPr>
      <w:r w:rsidRPr="001529B6">
        <w:t>When to cease supply using an old ARTG entry</w:t>
      </w:r>
    </w:p>
    <w:tbl>
      <w:tblPr>
        <w:tblStyle w:val="TableTGAblue"/>
        <w:tblW w:w="9006" w:type="dxa"/>
        <w:tblLook w:val="04A0" w:firstRow="1" w:lastRow="0" w:firstColumn="1" w:lastColumn="0" w:noHBand="0" w:noVBand="1"/>
      </w:tblPr>
      <w:tblGrid>
        <w:gridCol w:w="4503"/>
        <w:gridCol w:w="4503"/>
      </w:tblGrid>
      <w:tr w:rsidR="00E468DC" w:rsidRPr="00C96D47" w14:paraId="1439EF33" w14:textId="77777777" w:rsidTr="00E468DC">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503" w:type="dxa"/>
          </w:tcPr>
          <w:p w14:paraId="36C4ADCB" w14:textId="518532EE" w:rsidR="00E468DC" w:rsidRPr="00255D34" w:rsidRDefault="00E468DC" w:rsidP="00B4320A">
            <w:r w:rsidRPr="00255D34">
              <w:t>Circumstance</w:t>
            </w:r>
          </w:p>
        </w:tc>
        <w:tc>
          <w:tcPr>
            <w:tcW w:w="4503" w:type="dxa"/>
          </w:tcPr>
          <w:p w14:paraId="324C02DD" w14:textId="7DFFAFB8" w:rsidR="00E468DC" w:rsidRPr="00255D34" w:rsidRDefault="00E468DC" w:rsidP="00B4320A">
            <w:pPr>
              <w:cnfStyle w:val="100000000000" w:firstRow="1" w:lastRow="0" w:firstColumn="0" w:lastColumn="0" w:oddVBand="0" w:evenVBand="0" w:oddHBand="0" w:evenHBand="0" w:firstRowFirstColumn="0" w:firstRowLastColumn="0" w:lastRowFirstColumn="0" w:lastRowLastColumn="0"/>
            </w:pPr>
            <w:r w:rsidRPr="00255D34">
              <w:t>Timeframes</w:t>
            </w:r>
          </w:p>
        </w:tc>
        <w:bookmarkStart w:id="77" w:name="ColumnTitle_3"/>
      </w:tr>
      <w:tr w:rsidR="00E468DC" w:rsidRPr="00C96D47" w14:paraId="2B3734B5" w14:textId="77777777" w:rsidTr="00B4320A">
        <w:trPr>
          <w:trHeight w:val="1424"/>
        </w:trPr>
        <w:tc>
          <w:tcPr>
            <w:cnfStyle w:val="001000000000" w:firstRow="0" w:lastRow="0" w:firstColumn="1" w:lastColumn="0" w:oddVBand="0" w:evenVBand="0" w:oddHBand="0" w:evenHBand="0" w:firstRowFirstColumn="0" w:firstRowLastColumn="0" w:lastRowFirstColumn="0" w:lastRowLastColumn="0"/>
            <w:tcW w:w="4503" w:type="dxa"/>
          </w:tcPr>
          <w:p w14:paraId="6452431A" w14:textId="55052F30" w:rsidR="00E468DC" w:rsidRPr="00B4320A" w:rsidRDefault="00E468DC" w:rsidP="00B4320A">
            <w:pPr>
              <w:rPr>
                <w:sz w:val="18"/>
                <w:szCs w:val="18"/>
              </w:rPr>
            </w:pPr>
            <w:r w:rsidRPr="00B4320A">
              <w:rPr>
                <w:sz w:val="18"/>
                <w:szCs w:val="18"/>
              </w:rPr>
              <w:t xml:space="preserve">You have </w:t>
            </w:r>
            <w:r w:rsidRPr="00B4320A">
              <w:rPr>
                <w:b/>
                <w:sz w:val="18"/>
                <w:szCs w:val="18"/>
              </w:rPr>
              <w:t>not notified</w:t>
            </w:r>
            <w:r w:rsidRPr="00B4320A">
              <w:rPr>
                <w:sz w:val="18"/>
                <w:szCs w:val="18"/>
              </w:rPr>
              <w:t xml:space="preserve"> the TGA that your device needs to be reclassified before 25 May 2022, or within two months of inclusion of your device under the old classification rules (whichever is the later date).</w:t>
            </w:r>
          </w:p>
        </w:tc>
        <w:tc>
          <w:tcPr>
            <w:tcW w:w="4503" w:type="dxa"/>
          </w:tcPr>
          <w:p w14:paraId="42E51982" w14:textId="546CD410" w:rsidR="00E468DC" w:rsidRPr="00B4320A" w:rsidRDefault="00E468DC" w:rsidP="00B4320A">
            <w:pPr>
              <w:cnfStyle w:val="000000000000" w:firstRow="0" w:lastRow="0" w:firstColumn="0" w:lastColumn="0" w:oddVBand="0" w:evenVBand="0" w:oddHBand="0" w:evenHBand="0" w:firstRowFirstColumn="0" w:firstRowLastColumn="0" w:lastRowFirstColumn="0" w:lastRowLastColumn="0"/>
              <w:rPr>
                <w:sz w:val="18"/>
                <w:szCs w:val="18"/>
              </w:rPr>
            </w:pPr>
            <w:r w:rsidRPr="00B4320A">
              <w:rPr>
                <w:sz w:val="18"/>
                <w:szCs w:val="18"/>
              </w:rPr>
              <w:t>Cease supply of your devices from 25 May 2022 or the date that is 2 months after the start date of your ARTG entry (whichever is the later date).</w:t>
            </w:r>
          </w:p>
        </w:tc>
        <w:bookmarkEnd w:id="77"/>
      </w:tr>
      <w:tr w:rsidR="00E468DC" w:rsidRPr="00C96D47" w14:paraId="1F9FAB55" w14:textId="77777777" w:rsidTr="00B4320A">
        <w:trPr>
          <w:trHeight w:val="892"/>
        </w:trPr>
        <w:tc>
          <w:tcPr>
            <w:cnfStyle w:val="001000000000" w:firstRow="0" w:lastRow="0" w:firstColumn="1" w:lastColumn="0" w:oddVBand="0" w:evenVBand="0" w:oddHBand="0" w:evenHBand="0" w:firstRowFirstColumn="0" w:firstRowLastColumn="0" w:lastRowFirstColumn="0" w:lastRowLastColumn="0"/>
            <w:tcW w:w="4503" w:type="dxa"/>
          </w:tcPr>
          <w:p w14:paraId="1071BA7E" w14:textId="67BD0521" w:rsidR="00E468DC" w:rsidRPr="00B4320A" w:rsidRDefault="00E468DC" w:rsidP="00B4320A">
            <w:pPr>
              <w:rPr>
                <w:sz w:val="18"/>
                <w:szCs w:val="18"/>
              </w:rPr>
            </w:pPr>
            <w:r w:rsidRPr="00B4320A">
              <w:rPr>
                <w:sz w:val="18"/>
                <w:szCs w:val="18"/>
              </w:rPr>
              <w:t xml:space="preserve">You have </w:t>
            </w:r>
            <w:r w:rsidRPr="00B4320A">
              <w:rPr>
                <w:b/>
                <w:sz w:val="18"/>
                <w:szCs w:val="18"/>
              </w:rPr>
              <w:t>not</w:t>
            </w:r>
            <w:r w:rsidRPr="00B4320A">
              <w:rPr>
                <w:sz w:val="18"/>
                <w:szCs w:val="18"/>
              </w:rPr>
              <w:t xml:space="preserve"> </w:t>
            </w:r>
            <w:proofErr w:type="gramStart"/>
            <w:r w:rsidRPr="00B4320A">
              <w:rPr>
                <w:b/>
                <w:sz w:val="18"/>
                <w:szCs w:val="18"/>
              </w:rPr>
              <w:t>submitted an application</w:t>
            </w:r>
            <w:proofErr w:type="gramEnd"/>
            <w:r w:rsidRPr="00B4320A">
              <w:rPr>
                <w:b/>
                <w:sz w:val="18"/>
                <w:szCs w:val="18"/>
              </w:rPr>
              <w:t xml:space="preserve"> for inclusion</w:t>
            </w:r>
            <w:r w:rsidRPr="00B4320A">
              <w:rPr>
                <w:sz w:val="18"/>
                <w:szCs w:val="18"/>
              </w:rPr>
              <w:t xml:space="preserve"> in the ARTG to transition your device to the correct classification </w:t>
            </w:r>
            <w:r w:rsidRPr="00B4320A">
              <w:rPr>
                <w:b/>
                <w:sz w:val="18"/>
                <w:szCs w:val="18"/>
              </w:rPr>
              <w:t xml:space="preserve">before </w:t>
            </w:r>
            <w:hyperlink w:anchor="_Timeframes_for_ARTG" w:history="1">
              <w:r w:rsidR="00080136" w:rsidRPr="00B4320A">
                <w:rPr>
                  <w:rStyle w:val="Hyperlink"/>
                  <w:rFonts w:asciiTheme="majorHAnsi" w:hAnsiTheme="majorHAnsi" w:cstheme="majorHAnsi"/>
                  <w:b/>
                  <w:sz w:val="18"/>
                  <w:szCs w:val="18"/>
                </w:rPr>
                <w:t>the transition deadline</w:t>
              </w:r>
            </w:hyperlink>
            <w:r w:rsidRPr="00B4320A">
              <w:rPr>
                <w:sz w:val="18"/>
                <w:szCs w:val="18"/>
              </w:rPr>
              <w:t>.</w:t>
            </w:r>
          </w:p>
        </w:tc>
        <w:tc>
          <w:tcPr>
            <w:tcW w:w="4503" w:type="dxa"/>
          </w:tcPr>
          <w:p w14:paraId="760C2BBE" w14:textId="6B08D261" w:rsidR="00E468DC" w:rsidRPr="00B4320A" w:rsidRDefault="00E468DC" w:rsidP="00B4320A">
            <w:pPr>
              <w:cnfStyle w:val="000000000000" w:firstRow="0" w:lastRow="0" w:firstColumn="0" w:lastColumn="0" w:oddVBand="0" w:evenVBand="0" w:oddHBand="0" w:evenHBand="0" w:firstRowFirstColumn="0" w:firstRowLastColumn="0" w:lastRowFirstColumn="0" w:lastRowLastColumn="0"/>
              <w:rPr>
                <w:sz w:val="18"/>
                <w:szCs w:val="18"/>
              </w:rPr>
            </w:pPr>
            <w:r w:rsidRPr="00B4320A">
              <w:rPr>
                <w:sz w:val="18"/>
                <w:szCs w:val="18"/>
              </w:rPr>
              <w:t xml:space="preserve">Cease supply of your devices from </w:t>
            </w:r>
            <w:r w:rsidR="00080136" w:rsidRPr="00B4320A">
              <w:rPr>
                <w:sz w:val="18"/>
                <w:szCs w:val="18"/>
              </w:rPr>
              <w:t>the day of the transition deadline</w:t>
            </w:r>
            <w:r w:rsidRPr="00B4320A">
              <w:rPr>
                <w:sz w:val="18"/>
                <w:szCs w:val="18"/>
              </w:rPr>
              <w:t>.</w:t>
            </w:r>
          </w:p>
        </w:tc>
      </w:tr>
      <w:tr w:rsidR="00E468DC" w:rsidRPr="00C96D47" w14:paraId="0FE0207C" w14:textId="77777777" w:rsidTr="00B4320A">
        <w:trPr>
          <w:trHeight w:val="695"/>
        </w:trPr>
        <w:tc>
          <w:tcPr>
            <w:cnfStyle w:val="001000000000" w:firstRow="0" w:lastRow="0" w:firstColumn="1" w:lastColumn="0" w:oddVBand="0" w:evenVBand="0" w:oddHBand="0" w:evenHBand="0" w:firstRowFirstColumn="0" w:firstRowLastColumn="0" w:lastRowFirstColumn="0" w:lastRowLastColumn="0"/>
            <w:tcW w:w="4503" w:type="dxa"/>
          </w:tcPr>
          <w:p w14:paraId="541DEF04" w14:textId="244AEA9F" w:rsidR="00E468DC" w:rsidRPr="00B4320A" w:rsidRDefault="00E468DC" w:rsidP="00B4320A">
            <w:pPr>
              <w:rPr>
                <w:sz w:val="18"/>
                <w:szCs w:val="18"/>
              </w:rPr>
            </w:pPr>
            <w:r w:rsidRPr="00B4320A">
              <w:rPr>
                <w:sz w:val="18"/>
                <w:szCs w:val="18"/>
              </w:rPr>
              <w:t>Your application for inclusion of your device in the ARTG with the correct classification is unsuccessful.</w:t>
            </w:r>
          </w:p>
        </w:tc>
        <w:tc>
          <w:tcPr>
            <w:tcW w:w="4503" w:type="dxa"/>
          </w:tcPr>
          <w:p w14:paraId="1B67508F" w14:textId="6917AABA" w:rsidR="00E468DC" w:rsidRPr="00B4320A" w:rsidRDefault="00E468DC" w:rsidP="00B4320A">
            <w:pPr>
              <w:cnfStyle w:val="000000000000" w:firstRow="0" w:lastRow="0" w:firstColumn="0" w:lastColumn="0" w:oddVBand="0" w:evenVBand="0" w:oddHBand="0" w:evenHBand="0" w:firstRowFirstColumn="0" w:firstRowLastColumn="0" w:lastRowFirstColumn="0" w:lastRowLastColumn="0"/>
              <w:rPr>
                <w:b/>
                <w:sz w:val="18"/>
                <w:szCs w:val="18"/>
              </w:rPr>
            </w:pPr>
            <w:r w:rsidRPr="00B4320A">
              <w:rPr>
                <w:b/>
                <w:sz w:val="18"/>
                <w:szCs w:val="18"/>
              </w:rPr>
              <w:t>Cease supply</w:t>
            </w:r>
            <w:r w:rsidRPr="00B4320A">
              <w:rPr>
                <w:sz w:val="18"/>
                <w:szCs w:val="18"/>
              </w:rPr>
              <w:t xml:space="preserve"> of your device from the time that you are </w:t>
            </w:r>
            <w:r w:rsidRPr="00B4320A">
              <w:rPr>
                <w:b/>
                <w:sz w:val="18"/>
                <w:szCs w:val="18"/>
              </w:rPr>
              <w:t>notified of the outcome</w:t>
            </w:r>
            <w:r w:rsidRPr="00B4320A">
              <w:rPr>
                <w:sz w:val="18"/>
                <w:szCs w:val="18"/>
              </w:rPr>
              <w:t xml:space="preserve"> of your application.</w:t>
            </w:r>
          </w:p>
        </w:tc>
      </w:tr>
    </w:tbl>
    <w:p w14:paraId="25EC4855" w14:textId="77777777" w:rsidR="00035DFD" w:rsidRDefault="00035DFD" w:rsidP="00B4320A"/>
    <w:p w14:paraId="749FB460" w14:textId="77777777" w:rsidR="00035DFD" w:rsidRPr="00215D48" w:rsidRDefault="00035DFD" w:rsidP="00B4320A">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35DFD" w:rsidRPr="00215D48" w14:paraId="773E9455" w14:textId="77777777" w:rsidTr="00D14A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DD7BC5D" w14:textId="77777777" w:rsidR="00035DFD" w:rsidRPr="00B4320A" w:rsidRDefault="00035DFD" w:rsidP="00B4320A">
            <w:pPr>
              <w:rPr>
                <w:color w:val="FFFFFF" w:themeColor="background1"/>
              </w:rPr>
            </w:pPr>
            <w:r w:rsidRPr="00B4320A">
              <w:rPr>
                <w:color w:val="FFFFFF" w:themeColor="background1"/>
              </w:rPr>
              <w:t>Version</w:t>
            </w:r>
          </w:p>
        </w:tc>
        <w:tc>
          <w:tcPr>
            <w:tcW w:w="3242" w:type="dxa"/>
          </w:tcPr>
          <w:p w14:paraId="48620E6E" w14:textId="77777777" w:rsidR="00035DFD" w:rsidRPr="00B4320A" w:rsidRDefault="00035DFD" w:rsidP="00B4320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4320A">
              <w:rPr>
                <w:color w:val="FFFFFF" w:themeColor="background1"/>
              </w:rPr>
              <w:t>Description of change</w:t>
            </w:r>
          </w:p>
        </w:tc>
        <w:tc>
          <w:tcPr>
            <w:tcW w:w="2712" w:type="dxa"/>
          </w:tcPr>
          <w:p w14:paraId="74D07936" w14:textId="77777777" w:rsidR="00035DFD" w:rsidRPr="00B4320A" w:rsidRDefault="00035DFD" w:rsidP="00B4320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4320A">
              <w:rPr>
                <w:color w:val="FFFFFF" w:themeColor="background1"/>
              </w:rPr>
              <w:t>Author</w:t>
            </w:r>
          </w:p>
        </w:tc>
        <w:tc>
          <w:tcPr>
            <w:tcW w:w="1808" w:type="dxa"/>
          </w:tcPr>
          <w:p w14:paraId="7CC6F1FE" w14:textId="77777777" w:rsidR="00035DFD" w:rsidRPr="00B4320A" w:rsidRDefault="00035DFD" w:rsidP="00B4320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4320A">
              <w:rPr>
                <w:color w:val="FFFFFF" w:themeColor="background1"/>
              </w:rPr>
              <w:t>Effective date</w:t>
            </w:r>
          </w:p>
        </w:tc>
      </w:tr>
      <w:tr w:rsidR="00035DFD" w:rsidRPr="00215D48" w14:paraId="4A16B2F0" w14:textId="77777777" w:rsidTr="00D14AE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6CD72D9" w14:textId="77777777" w:rsidR="00035DFD" w:rsidRPr="001529B6" w:rsidRDefault="00035DFD" w:rsidP="00B4320A">
            <w:r w:rsidRPr="001529B6">
              <w:t>V1.0</w:t>
            </w:r>
          </w:p>
        </w:tc>
        <w:tc>
          <w:tcPr>
            <w:tcW w:w="3242" w:type="dxa"/>
          </w:tcPr>
          <w:p w14:paraId="02BBACF4"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Original publication</w:t>
            </w:r>
          </w:p>
        </w:tc>
        <w:tc>
          <w:tcPr>
            <w:tcW w:w="2712" w:type="dxa"/>
          </w:tcPr>
          <w:p w14:paraId="74E6B001"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Medical Devices Authorisation Branch</w:t>
            </w:r>
          </w:p>
        </w:tc>
        <w:tc>
          <w:tcPr>
            <w:tcW w:w="1808" w:type="dxa"/>
          </w:tcPr>
          <w:p w14:paraId="50FB0C61"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August 2021</w:t>
            </w:r>
          </w:p>
        </w:tc>
      </w:tr>
      <w:tr w:rsidR="00035DFD" w:rsidRPr="00215D48" w14:paraId="4BA4F36B" w14:textId="77777777" w:rsidTr="00D14AE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3DB88E3" w14:textId="77777777" w:rsidR="00035DFD" w:rsidRPr="001529B6" w:rsidRDefault="00035DFD" w:rsidP="00B4320A">
            <w:r w:rsidRPr="001529B6">
              <w:t>V1.1</w:t>
            </w:r>
          </w:p>
        </w:tc>
        <w:tc>
          <w:tcPr>
            <w:tcW w:w="3242" w:type="dxa"/>
          </w:tcPr>
          <w:p w14:paraId="781F5549"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Update due to regulatory refinements</w:t>
            </w:r>
          </w:p>
        </w:tc>
        <w:tc>
          <w:tcPr>
            <w:tcW w:w="2712" w:type="dxa"/>
          </w:tcPr>
          <w:p w14:paraId="6517D624"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Medical Devices Authorisation Branch</w:t>
            </w:r>
          </w:p>
        </w:tc>
        <w:tc>
          <w:tcPr>
            <w:tcW w:w="1808" w:type="dxa"/>
          </w:tcPr>
          <w:p w14:paraId="5E7F1066"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November 2021</w:t>
            </w:r>
          </w:p>
        </w:tc>
      </w:tr>
      <w:tr w:rsidR="00035DFD" w:rsidRPr="00215D48" w14:paraId="3EE2D35B" w14:textId="77777777" w:rsidTr="00D14AE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21B2BF6" w14:textId="77777777" w:rsidR="00035DFD" w:rsidRPr="001529B6" w:rsidRDefault="00035DFD" w:rsidP="00B4320A">
            <w:r w:rsidRPr="001529B6">
              <w:t>V1.2</w:t>
            </w:r>
          </w:p>
        </w:tc>
        <w:tc>
          <w:tcPr>
            <w:tcW w:w="3242" w:type="dxa"/>
          </w:tcPr>
          <w:p w14:paraId="377238E9"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Addition of steps for reclassification application</w:t>
            </w:r>
          </w:p>
        </w:tc>
        <w:tc>
          <w:tcPr>
            <w:tcW w:w="2712" w:type="dxa"/>
          </w:tcPr>
          <w:p w14:paraId="33FE137E"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Medical Devices Authorisation Branch</w:t>
            </w:r>
          </w:p>
        </w:tc>
        <w:tc>
          <w:tcPr>
            <w:tcW w:w="1808" w:type="dxa"/>
          </w:tcPr>
          <w:p w14:paraId="353EA23D"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December 2022</w:t>
            </w:r>
          </w:p>
        </w:tc>
      </w:tr>
      <w:tr w:rsidR="00C70ABA" w:rsidRPr="00215D48" w14:paraId="4B35F323" w14:textId="77777777" w:rsidTr="00D14AE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69D7E08" w14:textId="61344788" w:rsidR="00C70ABA" w:rsidRPr="001529B6" w:rsidRDefault="00C70ABA" w:rsidP="00B4320A">
            <w:r>
              <w:t>V1.3</w:t>
            </w:r>
          </w:p>
        </w:tc>
        <w:tc>
          <w:tcPr>
            <w:tcW w:w="3242" w:type="dxa"/>
          </w:tcPr>
          <w:p w14:paraId="72F8DF55" w14:textId="7FC0AAB4" w:rsidR="00C70ABA" w:rsidRPr="001529B6" w:rsidRDefault="00C70ABA" w:rsidP="00B4320A">
            <w:pPr>
              <w:cnfStyle w:val="000000000000" w:firstRow="0" w:lastRow="0" w:firstColumn="0" w:lastColumn="0" w:oddVBand="0" w:evenVBand="0" w:oddHBand="0" w:evenHBand="0" w:firstRowFirstColumn="0" w:firstRowLastColumn="0" w:lastRowFirstColumn="0" w:lastRowLastColumn="0"/>
            </w:pPr>
            <w:r w:rsidRPr="00255D34">
              <w:t>Update the transition deadline, weblink and some minor edits</w:t>
            </w:r>
          </w:p>
        </w:tc>
        <w:tc>
          <w:tcPr>
            <w:tcW w:w="2712" w:type="dxa"/>
          </w:tcPr>
          <w:p w14:paraId="509CA555" w14:textId="3929EF44" w:rsidR="00C70ABA" w:rsidRPr="001529B6" w:rsidRDefault="00C70ABA" w:rsidP="00B4320A">
            <w:pPr>
              <w:cnfStyle w:val="000000000000" w:firstRow="0" w:lastRow="0" w:firstColumn="0" w:lastColumn="0" w:oddVBand="0" w:evenVBand="0" w:oddHBand="0" w:evenHBand="0" w:firstRowFirstColumn="0" w:firstRowLastColumn="0" w:lastRowFirstColumn="0" w:lastRowLastColumn="0"/>
            </w:pPr>
            <w:r w:rsidRPr="00255D34">
              <w:t>Medical Devices Authorisation Branch</w:t>
            </w:r>
          </w:p>
        </w:tc>
        <w:tc>
          <w:tcPr>
            <w:tcW w:w="1808" w:type="dxa"/>
          </w:tcPr>
          <w:p w14:paraId="247F859F" w14:textId="18CCCC76" w:rsidR="00C70ABA" w:rsidRPr="001529B6" w:rsidRDefault="00C70ABA" w:rsidP="00B4320A">
            <w:pPr>
              <w:cnfStyle w:val="000000000000" w:firstRow="0" w:lastRow="0" w:firstColumn="0" w:lastColumn="0" w:oddVBand="0" w:evenVBand="0" w:oddHBand="0" w:evenHBand="0" w:firstRowFirstColumn="0" w:firstRowLastColumn="0" w:lastRowFirstColumn="0" w:lastRowLastColumn="0"/>
            </w:pPr>
            <w:r w:rsidRPr="00255D34">
              <w:t>August 2023</w:t>
            </w:r>
          </w:p>
        </w:tc>
      </w:tr>
      <w:tr w:rsidR="00162E5F" w:rsidRPr="00215D48" w14:paraId="1A2173AE" w14:textId="77777777" w:rsidTr="00D14AE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5E654CA" w14:textId="78818545" w:rsidR="00162E5F" w:rsidRDefault="00162E5F" w:rsidP="00B4320A">
            <w:r>
              <w:t>V1.4</w:t>
            </w:r>
          </w:p>
        </w:tc>
        <w:tc>
          <w:tcPr>
            <w:tcW w:w="3242" w:type="dxa"/>
          </w:tcPr>
          <w:p w14:paraId="604F9762" w14:textId="534B32BE" w:rsidR="00162E5F" w:rsidRPr="00255D34" w:rsidRDefault="00162E5F" w:rsidP="00B4320A">
            <w:pPr>
              <w:cnfStyle w:val="000000000000" w:firstRow="0" w:lastRow="0" w:firstColumn="0" w:lastColumn="0" w:oddVBand="0" w:evenVBand="0" w:oddHBand="0" w:evenHBand="0" w:firstRowFirstColumn="0" w:firstRowLastColumn="0" w:lastRowFirstColumn="0" w:lastRowLastColumn="0"/>
            </w:pPr>
            <w:r w:rsidRPr="00255D34">
              <w:t>Update the transition deadline</w:t>
            </w:r>
          </w:p>
        </w:tc>
        <w:tc>
          <w:tcPr>
            <w:tcW w:w="2712" w:type="dxa"/>
          </w:tcPr>
          <w:p w14:paraId="686F67CF" w14:textId="5190C99E" w:rsidR="00162E5F" w:rsidRPr="00255D34" w:rsidRDefault="00162E5F" w:rsidP="00B4320A">
            <w:pPr>
              <w:cnfStyle w:val="000000000000" w:firstRow="0" w:lastRow="0" w:firstColumn="0" w:lastColumn="0" w:oddVBand="0" w:evenVBand="0" w:oddHBand="0" w:evenHBand="0" w:firstRowFirstColumn="0" w:firstRowLastColumn="0" w:lastRowFirstColumn="0" w:lastRowLastColumn="0"/>
            </w:pPr>
            <w:r w:rsidRPr="00255D34">
              <w:t>Medical Devices Authorisation Branch</w:t>
            </w:r>
          </w:p>
        </w:tc>
        <w:tc>
          <w:tcPr>
            <w:tcW w:w="1808" w:type="dxa"/>
          </w:tcPr>
          <w:p w14:paraId="14EE6EE8" w14:textId="3F582B43" w:rsidR="00162E5F" w:rsidRPr="00255D34" w:rsidRDefault="00665452" w:rsidP="00B4320A">
            <w:pPr>
              <w:cnfStyle w:val="000000000000" w:firstRow="0" w:lastRow="0" w:firstColumn="0" w:lastColumn="0" w:oddVBand="0" w:evenVBand="0" w:oddHBand="0" w:evenHBand="0" w:firstRowFirstColumn="0" w:firstRowLastColumn="0" w:lastRowFirstColumn="0" w:lastRowLastColumn="0"/>
            </w:pPr>
            <w:r>
              <w:t>December</w:t>
            </w:r>
            <w:r w:rsidR="00162E5F">
              <w:t xml:space="preserve"> 2023</w:t>
            </w:r>
          </w:p>
        </w:tc>
      </w:tr>
    </w:tbl>
    <w:p w14:paraId="1ED311B1" w14:textId="77777777" w:rsidR="00035DFD" w:rsidRPr="00215D48" w:rsidRDefault="00035DFD" w:rsidP="00B4320A">
      <w:pPr>
        <w:sectPr w:rsidR="00035DFD" w:rsidRPr="00215D48" w:rsidSect="0029069E">
          <w:headerReference w:type="default" r:id="rId43"/>
          <w:footerReference w:type="default" r:id="rId4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B4320A" w:rsidRPr="00215D48" w14:paraId="5D80A656" w14:textId="77777777" w:rsidTr="00564BBE">
        <w:trPr>
          <w:trHeight w:hRule="exact" w:val="565"/>
          <w:jc w:val="center"/>
        </w:trPr>
        <w:tc>
          <w:tcPr>
            <w:tcW w:w="9145" w:type="dxa"/>
          </w:tcPr>
          <w:bookmarkEnd w:id="2"/>
          <w:bookmarkEnd w:id="3"/>
          <w:p w14:paraId="6376BEC0" w14:textId="4F9F14A6" w:rsidR="00B4320A" w:rsidRPr="00215D48" w:rsidRDefault="00B4320A" w:rsidP="00B4320A">
            <w:pPr>
              <w:pStyle w:val="TGASignoff"/>
            </w:pPr>
            <w:r w:rsidRPr="00215D48">
              <w:lastRenderedPageBreak/>
              <w:t>Therapeutic Goods Administration</w:t>
            </w:r>
          </w:p>
        </w:tc>
      </w:tr>
      <w:tr w:rsidR="00B4320A" w:rsidRPr="00215D48" w14:paraId="21A3A9AB" w14:textId="77777777" w:rsidTr="00564BBE">
        <w:trPr>
          <w:trHeight w:val="963"/>
          <w:jc w:val="center"/>
        </w:trPr>
        <w:tc>
          <w:tcPr>
            <w:tcW w:w="9145" w:type="dxa"/>
            <w:tcMar>
              <w:top w:w="28" w:type="dxa"/>
            </w:tcMar>
          </w:tcPr>
          <w:p w14:paraId="76971A5F" w14:textId="77777777" w:rsidR="00B4320A" w:rsidRPr="00215D48" w:rsidRDefault="00B4320A" w:rsidP="00B4320A">
            <w:pPr>
              <w:pStyle w:val="Address"/>
              <w:jc w:val="center"/>
            </w:pPr>
            <w:r w:rsidRPr="00215D48">
              <w:t>PO Box 100 Woden ACT 2606 Australia</w:t>
            </w:r>
          </w:p>
          <w:p w14:paraId="1DDBB47C" w14:textId="77777777" w:rsidR="00B4320A" w:rsidRDefault="00B4320A" w:rsidP="00B4320A">
            <w:pPr>
              <w:pStyle w:val="Address"/>
              <w:jc w:val="center"/>
            </w:pPr>
            <w:r w:rsidRPr="00215D48">
              <w:t xml:space="preserve">Email: </w:t>
            </w:r>
            <w:hyperlink r:id="rId45"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5B7E9193" w14:textId="10A7CA33" w:rsidR="00B4320A" w:rsidRPr="00215D48" w:rsidRDefault="00B4320A" w:rsidP="00B4320A">
            <w:pPr>
              <w:pStyle w:val="Address"/>
              <w:jc w:val="center"/>
              <w:rPr>
                <w:rStyle w:val="Hyperlink"/>
                <w:b/>
                <w:color w:val="auto"/>
                <w:sz w:val="22"/>
                <w:u w:val="none"/>
              </w:rPr>
            </w:pPr>
            <w:r>
              <w:rPr>
                <w:sz w:val="22"/>
                <w:szCs w:val="22"/>
              </w:rPr>
              <w:t xml:space="preserve">Web: </w:t>
            </w:r>
            <w:hyperlink r:id="rId46" w:history="1">
              <w:r w:rsidRPr="00B528AB">
                <w:rPr>
                  <w:rStyle w:val="Hyperlink"/>
                </w:rPr>
                <w:t>tga.gov.au</w:t>
              </w:r>
            </w:hyperlink>
          </w:p>
        </w:tc>
      </w:tr>
      <w:tr w:rsidR="00C50E5C" w:rsidRPr="00215D48" w14:paraId="7E306588" w14:textId="77777777" w:rsidTr="00564BBE">
        <w:trPr>
          <w:trHeight w:val="251"/>
          <w:jc w:val="center"/>
        </w:trPr>
        <w:tc>
          <w:tcPr>
            <w:tcW w:w="9145" w:type="dxa"/>
            <w:tcMar>
              <w:top w:w="28" w:type="dxa"/>
            </w:tcMar>
          </w:tcPr>
          <w:p w14:paraId="1EB0C2DD" w14:textId="07701DF7" w:rsidR="00C50E5C" w:rsidRPr="00215D48" w:rsidRDefault="00C50E5C" w:rsidP="00B4320A">
            <w:pPr>
              <w:pStyle w:val="Address"/>
            </w:pPr>
          </w:p>
        </w:tc>
      </w:tr>
    </w:tbl>
    <w:p w14:paraId="21B41D07" w14:textId="77777777" w:rsidR="00706634" w:rsidRPr="00215D48" w:rsidRDefault="00706634" w:rsidP="00B4320A"/>
    <w:sectPr w:rsidR="00706634" w:rsidRPr="00215D48" w:rsidSect="00AE7C6A">
      <w:headerReference w:type="first" r:id="rId47"/>
      <w:footerReference w:type="first" r:id="rId4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F3CB" w14:textId="77777777" w:rsidR="006670E3" w:rsidRDefault="006670E3" w:rsidP="00B4320A">
      <w:r>
        <w:separator/>
      </w:r>
    </w:p>
  </w:endnote>
  <w:endnote w:type="continuationSeparator" w:id="0">
    <w:p w14:paraId="374420EC" w14:textId="77777777" w:rsidR="006670E3" w:rsidRDefault="006670E3" w:rsidP="00B4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02972EE8" w14:textId="77777777" w:rsidTr="000B30E5">
      <w:trPr>
        <w:trHeight w:val="423"/>
      </w:trPr>
      <w:tc>
        <w:tcPr>
          <w:tcW w:w="4360" w:type="dxa"/>
          <w:tcBorders>
            <w:top w:val="single" w:sz="4" w:space="0" w:color="auto"/>
          </w:tcBorders>
        </w:tcPr>
        <w:p w14:paraId="6795B8FB" w14:textId="77777777" w:rsidR="00A77452" w:rsidRDefault="00A77452" w:rsidP="00B4320A">
          <w:pPr>
            <w:pStyle w:val="Footer"/>
          </w:pPr>
        </w:p>
        <w:p w14:paraId="75E65217" w14:textId="77777777" w:rsidR="00A77452" w:rsidRPr="00257138" w:rsidRDefault="00A77452" w:rsidP="00B4320A">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FE8458D" w14:textId="77777777" w:rsidR="00A77452" w:rsidRDefault="00A77452" w:rsidP="00B4320A">
              <w:pPr>
                <w:pStyle w:val="Footer"/>
              </w:pPr>
            </w:p>
            <w:p w14:paraId="2CC0FC2E" w14:textId="77777777" w:rsidR="00A77452" w:rsidRPr="00257138" w:rsidRDefault="00A77452" w:rsidP="00B4320A">
              <w:pPr>
                <w:pStyle w:val="Footer"/>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714495">
                <w:fldChar w:fldCharType="begin"/>
              </w:r>
              <w:r w:rsidR="00714495">
                <w:instrText xml:space="preserve"> NUMPAGES  </w:instrText>
              </w:r>
              <w:r w:rsidR="00714495">
                <w:fldChar w:fldCharType="separate"/>
              </w:r>
              <w:r w:rsidR="00EB6CAF">
                <w:rPr>
                  <w:noProof/>
                </w:rPr>
                <w:t>2</w:t>
              </w:r>
              <w:r w:rsidR="00714495">
                <w:rPr>
                  <w:noProof/>
                </w:rPr>
                <w:fldChar w:fldCharType="end"/>
              </w:r>
            </w:p>
          </w:sdtContent>
        </w:sdt>
      </w:tc>
    </w:tr>
    <w:tr w:rsidR="00A77452" w:rsidRPr="00257138" w14:paraId="6297549C" w14:textId="77777777" w:rsidTr="000B30E5">
      <w:trPr>
        <w:trHeight w:val="263"/>
      </w:trPr>
      <w:tc>
        <w:tcPr>
          <w:tcW w:w="4360" w:type="dxa"/>
        </w:tcPr>
        <w:p w14:paraId="7CEF249D" w14:textId="77777777" w:rsidR="00A77452" w:rsidRPr="00257138" w:rsidRDefault="00A77452" w:rsidP="00B4320A">
          <w:pPr>
            <w:pStyle w:val="Footer"/>
          </w:pPr>
          <w:r w:rsidRPr="00257138">
            <w:t xml:space="preserve">V1.0 </w:t>
          </w:r>
          <w:r>
            <w:t>Month</w:t>
          </w:r>
          <w:r w:rsidRPr="00257138">
            <w:t xml:space="preserve"> 201</w:t>
          </w:r>
          <w:r>
            <w:t>2</w:t>
          </w:r>
        </w:p>
      </w:tc>
      <w:tc>
        <w:tcPr>
          <w:tcW w:w="4360" w:type="dxa"/>
        </w:tcPr>
        <w:p w14:paraId="7D5C8CED" w14:textId="77777777" w:rsidR="00A77452" w:rsidRPr="00257138" w:rsidRDefault="00A77452" w:rsidP="00B4320A">
          <w:pPr>
            <w:pStyle w:val="Footer"/>
          </w:pPr>
        </w:p>
      </w:tc>
    </w:tr>
  </w:tbl>
  <w:p w14:paraId="6295CFE4" w14:textId="77777777" w:rsidR="00A77452" w:rsidRPr="00826007" w:rsidRDefault="00A77452" w:rsidP="00B4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36DF" w14:textId="77777777" w:rsidR="00A77452" w:rsidRDefault="00A77452" w:rsidP="00B4320A">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035DFD" w:rsidRPr="004A3084" w14:paraId="2475EA29" w14:textId="77777777" w:rsidTr="00231E8D">
      <w:trPr>
        <w:trHeight w:val="423"/>
      </w:trPr>
      <w:tc>
        <w:tcPr>
          <w:tcW w:w="7338" w:type="dxa"/>
          <w:tcBorders>
            <w:top w:val="single" w:sz="4" w:space="0" w:color="auto"/>
          </w:tcBorders>
        </w:tcPr>
        <w:p w14:paraId="5499C58F" w14:textId="6AF361E2" w:rsidR="00035DFD" w:rsidRDefault="00035DFD" w:rsidP="00B4320A">
          <w:pPr>
            <w:pStyle w:val="Footer"/>
            <w:rPr>
              <w:highlight w:val="yellow"/>
            </w:rPr>
          </w:pPr>
          <w:r>
            <w:t>Reclassification of medical devices in direct contact with the heart, central circulatory and central nervous systems</w:t>
          </w:r>
        </w:p>
        <w:p w14:paraId="2A3CD019" w14:textId="6585F993" w:rsidR="00035DFD" w:rsidRPr="004A3084" w:rsidRDefault="00035DFD" w:rsidP="00B4320A">
          <w:pPr>
            <w:pStyle w:val="Footer"/>
          </w:pPr>
          <w:r w:rsidRPr="003538EF">
            <w:t>V1</w:t>
          </w:r>
          <w:r>
            <w:t>.</w:t>
          </w:r>
          <w:r w:rsidR="00665452">
            <w:t>4</w:t>
          </w:r>
          <w:r>
            <w:t xml:space="preserve"> </w:t>
          </w:r>
          <w:r w:rsidR="00665452">
            <w:t>December</w:t>
          </w:r>
          <w:r w:rsidR="00127BA7">
            <w:t xml:space="preserve"> </w:t>
          </w:r>
          <w:r>
            <w:t>202</w:t>
          </w:r>
          <w:r w:rsidR="00127BA7">
            <w:t>3</w:t>
          </w:r>
        </w:p>
      </w:tc>
      <w:tc>
        <w:tcPr>
          <w:tcW w:w="1382" w:type="dxa"/>
          <w:tcBorders>
            <w:top w:val="single" w:sz="4" w:space="0" w:color="auto"/>
          </w:tcBorders>
        </w:tcPr>
        <w:sdt>
          <w:sdtPr>
            <w:id w:val="490450323"/>
            <w:docPartObj>
              <w:docPartGallery w:val="Page Numbers (Top of Page)"/>
              <w:docPartUnique/>
            </w:docPartObj>
          </w:sdtPr>
          <w:sdtEndPr/>
          <w:sdtContent>
            <w:p w14:paraId="7A081E0E" w14:textId="77777777" w:rsidR="00035DFD" w:rsidRPr="004A3084" w:rsidRDefault="00035DFD" w:rsidP="00B4320A">
              <w:pPr>
                <w:pStyle w:val="Footer"/>
              </w:pPr>
              <w:r w:rsidRPr="004A3084">
                <w:t xml:space="preserve">Page </w:t>
              </w:r>
              <w:r>
                <w:fldChar w:fldCharType="begin"/>
              </w:r>
              <w:r>
                <w:instrText xml:space="preserve"> PAGE </w:instrText>
              </w:r>
              <w:r>
                <w:fldChar w:fldCharType="separate"/>
              </w:r>
              <w:r>
                <w:rPr>
                  <w:noProof/>
                </w:rPr>
                <w:t>11</w:t>
              </w:r>
              <w:r>
                <w:rPr>
                  <w:noProof/>
                </w:rPr>
                <w:fldChar w:fldCharType="end"/>
              </w:r>
              <w:r w:rsidRPr="004A3084">
                <w:t xml:space="preserve"> of </w:t>
              </w:r>
              <w:r w:rsidR="00714495">
                <w:fldChar w:fldCharType="begin"/>
              </w:r>
              <w:r w:rsidR="00714495">
                <w:instrText xml:space="preserve"> NUMPAGES  </w:instrText>
              </w:r>
              <w:r w:rsidR="00714495">
                <w:fldChar w:fldCharType="separate"/>
              </w:r>
              <w:r>
                <w:rPr>
                  <w:noProof/>
                </w:rPr>
                <w:t>12</w:t>
              </w:r>
              <w:r w:rsidR="00714495">
                <w:rPr>
                  <w:noProof/>
                </w:rPr>
                <w:fldChar w:fldCharType="end"/>
              </w:r>
            </w:p>
          </w:sdtContent>
        </w:sdt>
      </w:tc>
    </w:tr>
  </w:tbl>
  <w:p w14:paraId="5AA4F019" w14:textId="77777777" w:rsidR="00035DFD" w:rsidRPr="00826007" w:rsidRDefault="00035DFD" w:rsidP="00B43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242E" w14:textId="77777777" w:rsidR="00A77452" w:rsidRPr="008E3C43" w:rsidRDefault="00A77452" w:rsidP="00B4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CEB7" w14:textId="77777777" w:rsidR="006670E3" w:rsidRDefault="006670E3" w:rsidP="00B4320A">
      <w:r>
        <w:separator/>
      </w:r>
    </w:p>
  </w:footnote>
  <w:footnote w:type="continuationSeparator" w:id="0">
    <w:p w14:paraId="56895410" w14:textId="77777777" w:rsidR="006670E3" w:rsidRDefault="006670E3" w:rsidP="00B4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0B4A" w14:textId="77777777" w:rsidR="00A77452" w:rsidRDefault="00714495" w:rsidP="00B4320A">
    <w:pPr>
      <w:pStyle w:val="Header"/>
    </w:pPr>
    <w:sdt>
      <w:sdtPr>
        <w:id w:val="-203553135"/>
        <w:docPartObj>
          <w:docPartGallery w:val="Watermarks"/>
          <w:docPartUnique/>
        </w:docPartObj>
      </w:sdtPr>
      <w:sdtEndPr/>
      <w:sdtContent>
        <w:r>
          <w:rPr>
            <w:noProof/>
          </w:rPr>
          <w:pict w14:anchorId="2CFF8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711FB33" w14:textId="77777777" w:rsidTr="00F71E1E">
      <w:trPr>
        <w:trHeight w:hRule="exact" w:val="8845"/>
      </w:trPr>
      <w:tc>
        <w:tcPr>
          <w:tcW w:w="11964" w:type="dxa"/>
          <w:vAlign w:val="center"/>
        </w:tcPr>
        <w:p w14:paraId="6D9ACF5C" w14:textId="77777777" w:rsidR="00A77452" w:rsidRPr="002B29B2" w:rsidRDefault="00714495" w:rsidP="00B4320A">
          <w:pPr>
            <w:rPr>
              <w:noProof/>
            </w:rPr>
          </w:pPr>
          <w:sdt>
            <w:sdtPr>
              <w:rPr>
                <w:noProof/>
              </w:rPr>
              <w:id w:val="1926993388"/>
              <w:showingPlcHdr/>
              <w:picture/>
            </w:sdtPr>
            <w:sdtEndPr/>
            <w:sdtContent>
              <w:r w:rsidR="00A77452" w:rsidRPr="00F71E1E">
                <w:rPr>
                  <w:noProof/>
                  <w:lang w:eastAsia="en-AU"/>
                </w:rPr>
                <w:drawing>
                  <wp:inline distT="0" distB="0" distL="0" distR="0" wp14:anchorId="615DDF31" wp14:editId="6948508C">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37DEBA41" w14:textId="77777777" w:rsidR="00A77452" w:rsidRDefault="0078745C" w:rsidP="00B4320A">
    <w:pPr>
      <w:rPr>
        <w:noProof/>
      </w:rPr>
    </w:pPr>
    <w:r w:rsidRPr="002B29B2">
      <w:rPr>
        <w:noProof/>
        <w:lang w:eastAsia="en-AU"/>
      </w:rPr>
      <w:drawing>
        <wp:anchor distT="0" distB="0" distL="114300" distR="114300" simplePos="0" relativeHeight="251662336" behindDoc="0" locked="0" layoutInCell="0" allowOverlap="1" wp14:anchorId="1647090B" wp14:editId="3E3299FA">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3649E164" wp14:editId="4B587D70">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1E44" w14:textId="77777777" w:rsidR="00035DFD" w:rsidRDefault="00035DFD" w:rsidP="00B4320A">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C735" w14:textId="77777777" w:rsidR="00A77452" w:rsidRPr="00FE501F" w:rsidRDefault="00A77452" w:rsidP="00B4320A">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8CFE9400"/>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D3470A"/>
    <w:multiLevelType w:val="multilevel"/>
    <w:tmpl w:val="BDCE1BC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61C625DC"/>
    <w:multiLevelType w:val="hybridMultilevel"/>
    <w:tmpl w:val="8DE86A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C383BD8"/>
    <w:multiLevelType w:val="hybridMultilevel"/>
    <w:tmpl w:val="CA92C89C"/>
    <w:lvl w:ilvl="0" w:tplc="98FA1596">
      <w:start w:val="1"/>
      <w:numFmt w:val="bullet"/>
      <w:lvlText w:val=""/>
      <w:lvlJc w:val="left"/>
      <w:pPr>
        <w:ind w:left="720" w:hanging="360"/>
      </w:pPr>
      <w:rPr>
        <w:rFonts w:ascii="Symbol" w:hAnsi="Symbol"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0782284">
    <w:abstractNumId w:val="2"/>
  </w:num>
  <w:num w:numId="2" w16cid:durableId="1222329047">
    <w:abstractNumId w:val="1"/>
  </w:num>
  <w:num w:numId="3" w16cid:durableId="983311507">
    <w:abstractNumId w:val="5"/>
  </w:num>
  <w:num w:numId="4" w16cid:durableId="534075101">
    <w:abstractNumId w:val="5"/>
  </w:num>
  <w:num w:numId="5" w16cid:durableId="203489472">
    <w:abstractNumId w:val="0"/>
  </w:num>
  <w:num w:numId="6" w16cid:durableId="389034976">
    <w:abstractNumId w:val="5"/>
  </w:num>
  <w:num w:numId="7" w16cid:durableId="1917131696">
    <w:abstractNumId w:val="5"/>
  </w:num>
  <w:num w:numId="8" w16cid:durableId="1226571920">
    <w:abstractNumId w:val="3"/>
  </w:num>
  <w:num w:numId="9" w16cid:durableId="1555314680">
    <w:abstractNumId w:val="3"/>
  </w:num>
  <w:num w:numId="10" w16cid:durableId="919172426">
    <w:abstractNumId w:val="3"/>
  </w:num>
  <w:num w:numId="11" w16cid:durableId="1743290211">
    <w:abstractNumId w:val="3"/>
  </w:num>
  <w:num w:numId="12" w16cid:durableId="1179923901">
    <w:abstractNumId w:val="5"/>
  </w:num>
  <w:num w:numId="13" w16cid:durableId="128137476">
    <w:abstractNumId w:val="5"/>
  </w:num>
  <w:num w:numId="14" w16cid:durableId="575214003">
    <w:abstractNumId w:val="5"/>
  </w:num>
  <w:num w:numId="15" w16cid:durableId="520584852">
    <w:abstractNumId w:val="3"/>
  </w:num>
  <w:num w:numId="16" w16cid:durableId="2102026376">
    <w:abstractNumId w:val="3"/>
  </w:num>
  <w:num w:numId="17" w16cid:durableId="327101785">
    <w:abstractNumId w:val="3"/>
    <w:lvlOverride w:ilvl="0">
      <w:lvl w:ilvl="0">
        <w:start w:val="1"/>
        <w:numFmt w:val="decimal"/>
        <w:pStyle w:val="Numberbullet0"/>
        <w:lvlText w:val="%1."/>
        <w:lvlJc w:val="left"/>
        <w:pPr>
          <w:ind w:left="425" w:hanging="425"/>
        </w:pPr>
        <w:rPr>
          <w:rFonts w:ascii="Arial" w:hAnsi="Arial" w:cs="Arial" w:hint="default"/>
        </w:rPr>
      </w:lvl>
    </w:lvlOverride>
  </w:num>
  <w:num w:numId="18" w16cid:durableId="1093474038">
    <w:abstractNumId w:val="4"/>
  </w:num>
  <w:num w:numId="19" w16cid:durableId="655379475">
    <w:abstractNumId w:val="9"/>
  </w:num>
  <w:num w:numId="20" w16cid:durableId="651639249">
    <w:abstractNumId w:val="6"/>
  </w:num>
  <w:num w:numId="21" w16cid:durableId="691959521">
    <w:abstractNumId w:val="8"/>
  </w:num>
  <w:num w:numId="22" w16cid:durableId="1104499477">
    <w:abstractNumId w:val="11"/>
  </w:num>
  <w:num w:numId="23" w16cid:durableId="598566094">
    <w:abstractNumId w:val="12"/>
  </w:num>
  <w:num w:numId="24" w16cid:durableId="521750914">
    <w:abstractNumId w:val="5"/>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5" w16cid:durableId="114838753">
    <w:abstractNumId w:val="10"/>
  </w:num>
  <w:num w:numId="26" w16cid:durableId="894897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FD"/>
    <w:rsid w:val="00002031"/>
    <w:rsid w:val="000040BA"/>
    <w:rsid w:val="00004734"/>
    <w:rsid w:val="00006B22"/>
    <w:rsid w:val="00010E4D"/>
    <w:rsid w:val="0001276A"/>
    <w:rsid w:val="00016BEB"/>
    <w:rsid w:val="000246AE"/>
    <w:rsid w:val="00025C67"/>
    <w:rsid w:val="00030D34"/>
    <w:rsid w:val="00032FFB"/>
    <w:rsid w:val="00035DFD"/>
    <w:rsid w:val="00053CB2"/>
    <w:rsid w:val="0005559E"/>
    <w:rsid w:val="000703AB"/>
    <w:rsid w:val="000724FC"/>
    <w:rsid w:val="00074CAE"/>
    <w:rsid w:val="00077775"/>
    <w:rsid w:val="00080136"/>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0829"/>
    <w:rsid w:val="00102BDA"/>
    <w:rsid w:val="0010601F"/>
    <w:rsid w:val="00110EA5"/>
    <w:rsid w:val="00115240"/>
    <w:rsid w:val="00115508"/>
    <w:rsid w:val="00120E68"/>
    <w:rsid w:val="001210F1"/>
    <w:rsid w:val="00125091"/>
    <w:rsid w:val="00125318"/>
    <w:rsid w:val="00127BA7"/>
    <w:rsid w:val="001305A2"/>
    <w:rsid w:val="00133238"/>
    <w:rsid w:val="00140FE3"/>
    <w:rsid w:val="0014197B"/>
    <w:rsid w:val="0014247A"/>
    <w:rsid w:val="001447CD"/>
    <w:rsid w:val="001500F7"/>
    <w:rsid w:val="001516B1"/>
    <w:rsid w:val="001525B4"/>
    <w:rsid w:val="001529B6"/>
    <w:rsid w:val="00156316"/>
    <w:rsid w:val="00162E5F"/>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67CF"/>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1A51"/>
    <w:rsid w:val="00255D34"/>
    <w:rsid w:val="00257138"/>
    <w:rsid w:val="00257848"/>
    <w:rsid w:val="0027084A"/>
    <w:rsid w:val="00286434"/>
    <w:rsid w:val="00286C59"/>
    <w:rsid w:val="0029069E"/>
    <w:rsid w:val="00290795"/>
    <w:rsid w:val="002942D1"/>
    <w:rsid w:val="002A0556"/>
    <w:rsid w:val="002A592C"/>
    <w:rsid w:val="002A5B3A"/>
    <w:rsid w:val="002A706C"/>
    <w:rsid w:val="002B1638"/>
    <w:rsid w:val="002B25CB"/>
    <w:rsid w:val="002B29B2"/>
    <w:rsid w:val="002C1F5D"/>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55B1"/>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2790"/>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94A05"/>
    <w:rsid w:val="005A1131"/>
    <w:rsid w:val="005C5570"/>
    <w:rsid w:val="005C5FD4"/>
    <w:rsid w:val="005C79A4"/>
    <w:rsid w:val="005D1689"/>
    <w:rsid w:val="005D248B"/>
    <w:rsid w:val="005D5442"/>
    <w:rsid w:val="005D55A3"/>
    <w:rsid w:val="005E5568"/>
    <w:rsid w:val="005F458A"/>
    <w:rsid w:val="005F5830"/>
    <w:rsid w:val="00610D73"/>
    <w:rsid w:val="00625015"/>
    <w:rsid w:val="0062573C"/>
    <w:rsid w:val="00640FC3"/>
    <w:rsid w:val="00642020"/>
    <w:rsid w:val="0065200D"/>
    <w:rsid w:val="0065337B"/>
    <w:rsid w:val="0065419D"/>
    <w:rsid w:val="006604D8"/>
    <w:rsid w:val="00664A5B"/>
    <w:rsid w:val="00665452"/>
    <w:rsid w:val="006670E3"/>
    <w:rsid w:val="00667942"/>
    <w:rsid w:val="00680C08"/>
    <w:rsid w:val="006825E0"/>
    <w:rsid w:val="0068741A"/>
    <w:rsid w:val="00692038"/>
    <w:rsid w:val="006931B1"/>
    <w:rsid w:val="006974FD"/>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14495"/>
    <w:rsid w:val="00723BF8"/>
    <w:rsid w:val="00724A23"/>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93A59"/>
    <w:rsid w:val="00795DC5"/>
    <w:rsid w:val="007A2162"/>
    <w:rsid w:val="007B3C16"/>
    <w:rsid w:val="007C041E"/>
    <w:rsid w:val="007C0F3D"/>
    <w:rsid w:val="007C1AF7"/>
    <w:rsid w:val="007D2AAF"/>
    <w:rsid w:val="007E175B"/>
    <w:rsid w:val="007F17AF"/>
    <w:rsid w:val="007F2054"/>
    <w:rsid w:val="007F7FC6"/>
    <w:rsid w:val="00816164"/>
    <w:rsid w:val="00821776"/>
    <w:rsid w:val="00826007"/>
    <w:rsid w:val="00831CD9"/>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07FD2"/>
    <w:rsid w:val="00920330"/>
    <w:rsid w:val="00920FF4"/>
    <w:rsid w:val="009219D7"/>
    <w:rsid w:val="00922D53"/>
    <w:rsid w:val="00923B70"/>
    <w:rsid w:val="0092600B"/>
    <w:rsid w:val="00926B0E"/>
    <w:rsid w:val="00930237"/>
    <w:rsid w:val="00932BBB"/>
    <w:rsid w:val="00947BE9"/>
    <w:rsid w:val="0096319D"/>
    <w:rsid w:val="00963C08"/>
    <w:rsid w:val="00963CCA"/>
    <w:rsid w:val="00964F68"/>
    <w:rsid w:val="009707B8"/>
    <w:rsid w:val="00970E8E"/>
    <w:rsid w:val="00974DBB"/>
    <w:rsid w:val="0099110E"/>
    <w:rsid w:val="00994189"/>
    <w:rsid w:val="009A4CED"/>
    <w:rsid w:val="009A5BC7"/>
    <w:rsid w:val="009B07E4"/>
    <w:rsid w:val="009B1D12"/>
    <w:rsid w:val="009B3475"/>
    <w:rsid w:val="009B416B"/>
    <w:rsid w:val="009B68A6"/>
    <w:rsid w:val="009B6E3C"/>
    <w:rsid w:val="009C4BD5"/>
    <w:rsid w:val="009D059A"/>
    <w:rsid w:val="009D2E04"/>
    <w:rsid w:val="009D7B77"/>
    <w:rsid w:val="009E0BB0"/>
    <w:rsid w:val="009E3FBB"/>
    <w:rsid w:val="009E45E7"/>
    <w:rsid w:val="009F018D"/>
    <w:rsid w:val="009F0B33"/>
    <w:rsid w:val="00A049AB"/>
    <w:rsid w:val="00A1235B"/>
    <w:rsid w:val="00A14DF7"/>
    <w:rsid w:val="00A26E24"/>
    <w:rsid w:val="00A3246D"/>
    <w:rsid w:val="00A36FA7"/>
    <w:rsid w:val="00A4235C"/>
    <w:rsid w:val="00A47459"/>
    <w:rsid w:val="00A475B7"/>
    <w:rsid w:val="00A47AF7"/>
    <w:rsid w:val="00A47C3E"/>
    <w:rsid w:val="00A50226"/>
    <w:rsid w:val="00A60BAD"/>
    <w:rsid w:val="00A644D1"/>
    <w:rsid w:val="00A64709"/>
    <w:rsid w:val="00A73A8D"/>
    <w:rsid w:val="00A77452"/>
    <w:rsid w:val="00A87334"/>
    <w:rsid w:val="00A95828"/>
    <w:rsid w:val="00AA3EB9"/>
    <w:rsid w:val="00AB6F31"/>
    <w:rsid w:val="00AC2B40"/>
    <w:rsid w:val="00AC2BB2"/>
    <w:rsid w:val="00AC2C3C"/>
    <w:rsid w:val="00AC3BD9"/>
    <w:rsid w:val="00AC3D45"/>
    <w:rsid w:val="00AD5831"/>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420A3"/>
    <w:rsid w:val="00B4320A"/>
    <w:rsid w:val="00B510E1"/>
    <w:rsid w:val="00B54C25"/>
    <w:rsid w:val="00B76B91"/>
    <w:rsid w:val="00B87BB7"/>
    <w:rsid w:val="00B946A9"/>
    <w:rsid w:val="00B9484C"/>
    <w:rsid w:val="00B94CFB"/>
    <w:rsid w:val="00B960DF"/>
    <w:rsid w:val="00BA0DFC"/>
    <w:rsid w:val="00BA7BA5"/>
    <w:rsid w:val="00BB23CA"/>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0ABA"/>
    <w:rsid w:val="00C71313"/>
    <w:rsid w:val="00C7475B"/>
    <w:rsid w:val="00C76805"/>
    <w:rsid w:val="00C772FF"/>
    <w:rsid w:val="00C801AF"/>
    <w:rsid w:val="00C80256"/>
    <w:rsid w:val="00C85953"/>
    <w:rsid w:val="00C87DC4"/>
    <w:rsid w:val="00C96D47"/>
    <w:rsid w:val="00CA7F9C"/>
    <w:rsid w:val="00CB6BC0"/>
    <w:rsid w:val="00CB73C5"/>
    <w:rsid w:val="00CC1B7C"/>
    <w:rsid w:val="00CC5866"/>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CE5"/>
    <w:rsid w:val="00D25F22"/>
    <w:rsid w:val="00D27857"/>
    <w:rsid w:val="00D30526"/>
    <w:rsid w:val="00D3646E"/>
    <w:rsid w:val="00D55652"/>
    <w:rsid w:val="00D64401"/>
    <w:rsid w:val="00D6493E"/>
    <w:rsid w:val="00D744BD"/>
    <w:rsid w:val="00D8362C"/>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8DC"/>
    <w:rsid w:val="00E46DA3"/>
    <w:rsid w:val="00E47660"/>
    <w:rsid w:val="00E67774"/>
    <w:rsid w:val="00EA16DE"/>
    <w:rsid w:val="00EA1F09"/>
    <w:rsid w:val="00EA406B"/>
    <w:rsid w:val="00EA4F9F"/>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A7C37"/>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4786C8CB"/>
  <w15:docId w15:val="{3C85A11E-1691-4EA6-B408-BEEC97F4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320A"/>
    <w:pPr>
      <w:spacing w:before="120" w:after="180" w:line="240" w:lineRule="atLeast"/>
    </w:pPr>
    <w:rPr>
      <w:rFonts w:ascii="Arial" w:hAnsi="Arial"/>
      <w:color w:val="333F48"/>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035DFD"/>
    <w:pPr>
      <w:ind w:left="720"/>
      <w:contextualSpacing/>
    </w:pPr>
    <w:rPr>
      <w:rFonts w:ascii="Cambria" w:hAnsi="Cambria"/>
      <w:color w:val="auto"/>
    </w:rPr>
  </w:style>
  <w:style w:type="paragraph" w:styleId="Revision">
    <w:name w:val="Revision"/>
    <w:hidden/>
    <w:uiPriority w:val="99"/>
    <w:semiHidden/>
    <w:rsid w:val="00127BA7"/>
    <w:rPr>
      <w:rFonts w:ascii="Arial" w:hAnsi="Arial"/>
      <w:color w:val="333F48"/>
      <w:sz w:val="22"/>
      <w:lang w:eastAsia="en-US"/>
    </w:rPr>
  </w:style>
  <w:style w:type="character" w:styleId="UnresolvedMention">
    <w:name w:val="Unresolved Mention"/>
    <w:basedOn w:val="DefaultParagraphFont"/>
    <w:uiPriority w:val="99"/>
    <w:semiHidden/>
    <w:unhideWhenUsed/>
    <w:rsid w:val="0025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consultation/consultation-proposed-changes-classification-medical-devices-used-direct-contact-heart-central-circulatory-or-central-nervous-systems" TargetMode="External"/><Relationship Id="rId18" Type="http://schemas.openxmlformats.org/officeDocument/2006/relationships/image" Target="media/image4.png"/><Relationship Id="rId26" Type="http://schemas.openxmlformats.org/officeDocument/2006/relationships/hyperlink" Target="https://www.tga.gov.au/kind-medical-device" TargetMode="External"/><Relationship Id="rId39" Type="http://schemas.openxmlformats.org/officeDocument/2006/relationships/hyperlink" Target="https://www.tga.gov.au/schedule-fees-and-charges" TargetMode="External"/><Relationship Id="rId3" Type="http://schemas.openxmlformats.org/officeDocument/2006/relationships/styles" Target="styles.xml"/><Relationship Id="rId21" Type="http://schemas.openxmlformats.org/officeDocument/2006/relationships/hyperlink" Target="https://www.tga.gov.au/form/request-cancel-artg-entry" TargetMode="External"/><Relationship Id="rId34" Type="http://schemas.openxmlformats.org/officeDocument/2006/relationships/hyperlink" Target="https://www.tga.gov.au/supporting-documentation-inclusion-medical-device" TargetMode="External"/><Relationship Id="rId42" Type="http://schemas.openxmlformats.org/officeDocument/2006/relationships/hyperlink" Target="https://www.legislation.gov.au/Series/C2004A03952"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1L01474" TargetMode="External"/><Relationship Id="rId25" Type="http://schemas.openxmlformats.org/officeDocument/2006/relationships/image" Target="media/image5.jpg"/><Relationship Id="rId33" Type="http://schemas.openxmlformats.org/officeDocument/2006/relationships/hyperlink" Target="mailto:devices@tga.gov.au" TargetMode="External"/><Relationship Id="rId38" Type="http://schemas.openxmlformats.org/officeDocument/2006/relationships/hyperlink" Target="https://www.tga.gov.au/resource/clinical-evidence-guidelines-medical-devices" TargetMode="External"/><Relationship Id="rId46"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therapeutic-goods-legislation-amendment-2019-measures-no1-regulations-2019" TargetMode="External"/><Relationship Id="rId20" Type="http://schemas.openxmlformats.org/officeDocument/2006/relationships/hyperlink" Target="https://www.tga.gov.au/how-we-regulate/supply-therapeutic-good/supply-medical-device/medical-device-inclusion-process" TargetMode="External"/><Relationship Id="rId29" Type="http://schemas.openxmlformats.org/officeDocument/2006/relationships/image" Target="cid:image001.jpg@01D84445.C4524DB0" TargetMode="External"/><Relationship Id="rId41" Type="http://schemas.openxmlformats.org/officeDocument/2006/relationships/hyperlink" Target="https://www.tga.gov.au/publication/reduction-assessment-fees-medical-de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health.gov.au/tga/reclass-md-direct-contact-heart-ccs-cns" TargetMode="External"/><Relationship Id="rId32" Type="http://schemas.openxmlformats.org/officeDocument/2006/relationships/image" Target="media/image9.png"/><Relationship Id="rId37" Type="http://schemas.openxmlformats.org/officeDocument/2006/relationships/hyperlink" Target="https://www.tga.gov.au/auditing-medical-device-including-ivd-medical-device-applications" TargetMode="External"/><Relationship Id="rId40" Type="http://schemas.openxmlformats.org/officeDocument/2006/relationships/hyperlink" Target="https://www.tga.gov.au/how-we-regulate/supply-therapeutic-good/supply-medical-device/medical-device-inclusion-process" TargetMode="External"/><Relationship Id="rId45"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legislation.gov.au/Series/F2019L01660" TargetMode="External"/><Relationship Id="rId23" Type="http://schemas.openxmlformats.org/officeDocument/2006/relationships/hyperlink" Target="https://www.tga.gov.au/how-we-regulate/supply-therapeutic-good/supply-medical-device/medical-device-inclusion-process" TargetMode="External"/><Relationship Id="rId28" Type="http://schemas.openxmlformats.org/officeDocument/2006/relationships/image" Target="media/image6.jpeg"/><Relationship Id="rId36" Type="http://schemas.openxmlformats.org/officeDocument/2006/relationships/hyperlink" Target="https://www.tga.gov.au/manufacturer-evidence-medical-devices-and-ivd-medical-devices"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form/request-cancel-artg-entry" TargetMode="External"/><Relationship Id="rId31" Type="http://schemas.openxmlformats.org/officeDocument/2006/relationships/image" Target="media/image8.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form/request-cancel-artg-entry" TargetMode="External"/><Relationship Id="rId27" Type="http://schemas.openxmlformats.org/officeDocument/2006/relationships/hyperlink" Target="https://www.tga.gov.au/how-we-regulate/supply-therapeutic-good/supply-medical-device/eu-mdr-transition/eu-mdr-transition-extension" TargetMode="External"/><Relationship Id="rId30" Type="http://schemas.openxmlformats.org/officeDocument/2006/relationships/image" Target="media/image7.png"/><Relationship Id="rId35" Type="http://schemas.openxmlformats.org/officeDocument/2006/relationships/hyperlink" Target="https://www.tga.gov.au/resources/resource/guidance/use-market-authorisation-evidence-comparable-overseas-regulators-assessment-bodies-medical-devices-including-ivds" TargetMode="External"/><Relationship Id="rId43" Type="http://schemas.openxmlformats.org/officeDocument/2006/relationships/header" Target="header3.xml"/><Relationship Id="rId48" Type="http://schemas.openxmlformats.org/officeDocument/2006/relationships/footer" Target="footer4.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TotalTime>
  <Pages>13</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Reclassification of medical devices in direct contact with the heart, central circulatory and central nervous systems</vt:lpstr>
    </vt:vector>
  </TitlesOfParts>
  <Company>Department of Health and Aged Care</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medical devices in direct contact with the heart, central circulatory and central nervous systems</dc:title>
  <dc:subject>Medical devices regulation</dc:subject>
  <dc:creator>Therapeutic Goods Administration</dc:creator>
  <cp:lastModifiedBy>LACK, Janet</cp:lastModifiedBy>
  <cp:revision>3</cp:revision>
  <cp:lastPrinted>2010-12-20T22:59:00Z</cp:lastPrinted>
  <dcterms:created xsi:type="dcterms:W3CDTF">2024-01-09T22:27:00Z</dcterms:created>
  <dcterms:modified xsi:type="dcterms:W3CDTF">2024-01-09T23:39:00Z</dcterms:modified>
</cp:coreProperties>
</file>