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083156" w:rsidRPr="00215D48" w14:paraId="304F8F98" w14:textId="77777777" w:rsidTr="002B29B2">
        <w:tc>
          <w:tcPr>
            <w:tcW w:w="8720" w:type="dxa"/>
          </w:tcPr>
          <w:p w14:paraId="6E7C4427" w14:textId="5C54C881" w:rsidR="00083156" w:rsidRPr="00215D48" w:rsidRDefault="00083156" w:rsidP="00083156">
            <w:pPr>
              <w:pStyle w:val="Title"/>
            </w:pPr>
            <w:r>
              <w:t>Reclassification of medical devices that administer medicines or biologicals by inhalation</w:t>
            </w:r>
          </w:p>
        </w:tc>
      </w:tr>
      <w:tr w:rsidR="00083156" w:rsidRPr="00215D48" w14:paraId="1AA66F82" w14:textId="77777777" w:rsidTr="002B29B2">
        <w:trPr>
          <w:trHeight w:val="1916"/>
        </w:trPr>
        <w:tc>
          <w:tcPr>
            <w:tcW w:w="8720" w:type="dxa"/>
          </w:tcPr>
          <w:p w14:paraId="774484C5" w14:textId="0F607577" w:rsidR="00083156" w:rsidRPr="00215D48" w:rsidRDefault="00083156" w:rsidP="00A77A91">
            <w:pPr>
              <w:pStyle w:val="Subtitle"/>
              <w:ind w:left="0"/>
            </w:pPr>
            <w:r>
              <w:t>Guidance on the transitional arrangements and obligations</w:t>
            </w:r>
          </w:p>
        </w:tc>
      </w:tr>
      <w:tr w:rsidR="002B29B2" w:rsidRPr="00215D48" w14:paraId="59C2AE45" w14:textId="77777777" w:rsidTr="002B29B2">
        <w:tc>
          <w:tcPr>
            <w:tcW w:w="8720" w:type="dxa"/>
          </w:tcPr>
          <w:p w14:paraId="7E107E1A" w14:textId="013BC558" w:rsidR="002B29B2" w:rsidRPr="00215D48" w:rsidRDefault="00083156" w:rsidP="00A77A91">
            <w:pPr>
              <w:pStyle w:val="Date"/>
            </w:pPr>
            <w:r w:rsidRPr="00AD7A50">
              <w:t>Version 1.</w:t>
            </w:r>
            <w:r w:rsidR="00E53E0B">
              <w:t>4</w:t>
            </w:r>
            <w:r w:rsidRPr="00AD7A50">
              <w:t xml:space="preserve">, </w:t>
            </w:r>
            <w:r w:rsidR="004A11C7">
              <w:t>December</w:t>
            </w:r>
            <w:r w:rsidR="00E53E0B">
              <w:t xml:space="preserve"> </w:t>
            </w:r>
            <w:r>
              <w:t>202</w:t>
            </w:r>
            <w:r w:rsidR="00EA4A4A">
              <w:t>3</w:t>
            </w:r>
          </w:p>
        </w:tc>
      </w:tr>
    </w:tbl>
    <w:p w14:paraId="1CA46C9A" w14:textId="77777777" w:rsidR="00B24FF5" w:rsidRPr="00215D48" w:rsidRDefault="00B24FF5" w:rsidP="00A77A91">
      <w:pPr>
        <w:pStyle w:val="ListBullet"/>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6AE71A1F" w14:textId="77777777" w:rsidR="005D1689" w:rsidRPr="00E1198B" w:rsidRDefault="005D1689" w:rsidP="00A77A91">
      <w:pPr>
        <w:pStyle w:val="LegalSubheading"/>
      </w:pPr>
      <w:r w:rsidRPr="00BA0DFC">
        <w:lastRenderedPageBreak/>
        <w:t>Copyright</w:t>
      </w:r>
    </w:p>
    <w:p w14:paraId="3EE210B9" w14:textId="6102EF27" w:rsidR="00F274A2" w:rsidRDefault="005D1689" w:rsidP="00A77A91">
      <w:pPr>
        <w:pStyle w:val="LegalCopy"/>
      </w:pPr>
      <w:r w:rsidRPr="00215D48">
        <w:t>© Commonwealth of Australia 20</w:t>
      </w:r>
      <w:r w:rsidR="00030D34">
        <w:t>2</w:t>
      </w:r>
      <w:r w:rsidR="00D6230E">
        <w:t>3</w:t>
      </w:r>
      <w:r w:rsidRPr="00215D48">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i/>
        </w:rPr>
        <w:t>Copyright Act 1968</w:t>
      </w:r>
      <w:r w:rsidRPr="00215D48">
        <w:t xml:space="preserve"> or allowed by this copyright notice, all other rights are </w:t>
      </w:r>
      <w:proofErr w:type="gramStart"/>
      <w:r w:rsidRPr="00215D48">
        <w:t>reserved</w:t>
      </w:r>
      <w:proofErr w:type="gramEnd"/>
      <w:r w:rsidRPr="00215D48">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Pr>
          <w:t>tga.copyright@tga.gov.au</w:t>
        </w:r>
      </w:hyperlink>
      <w:r w:rsidRPr="00215D48">
        <w:t>&gt;.</w:t>
      </w:r>
    </w:p>
    <w:p w14:paraId="62CA2AF5" w14:textId="00DEF431" w:rsidR="00083156" w:rsidRDefault="00083156" w:rsidP="00A77A91">
      <w:pPr>
        <w:pStyle w:val="LegalCopy"/>
      </w:pPr>
    </w:p>
    <w:p w14:paraId="044AA098" w14:textId="3759605A" w:rsidR="00083156" w:rsidRDefault="00083156" w:rsidP="00A77A91">
      <w:pPr>
        <w:pStyle w:val="LegalCopy"/>
      </w:pPr>
    </w:p>
    <w:sdt>
      <w:sdtPr>
        <w:rPr>
          <w:rFonts w:ascii="Cambria" w:hAnsi="Cambria"/>
          <w:b w:val="0"/>
          <w:color w:val="auto"/>
          <w:sz w:val="22"/>
        </w:rPr>
        <w:id w:val="21514769"/>
        <w:docPartObj>
          <w:docPartGallery w:val="Table of Contents"/>
          <w:docPartUnique/>
        </w:docPartObj>
      </w:sdtPr>
      <w:sdtEndPr>
        <w:rPr>
          <w:rFonts w:ascii="Arial" w:hAnsi="Arial"/>
          <w:color w:val="333F48"/>
          <w:sz w:val="20"/>
        </w:rPr>
      </w:sdtEndPr>
      <w:sdtContent>
        <w:p w14:paraId="01A84D9F" w14:textId="77777777" w:rsidR="00F401EF" w:rsidRPr="00215D48" w:rsidRDefault="00F401EF" w:rsidP="00A77A91">
          <w:pPr>
            <w:pStyle w:val="NonTOCheading2"/>
          </w:pPr>
          <w:r w:rsidRPr="00215D48">
            <w:t>Contents</w:t>
          </w:r>
        </w:p>
        <w:p w14:paraId="547E129C" w14:textId="7469EEC3" w:rsidR="001261F1"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55785751" w:history="1">
            <w:r w:rsidR="001261F1" w:rsidRPr="003D1B53">
              <w:rPr>
                <w:rStyle w:val="Hyperlink"/>
                <w:noProof/>
              </w:rPr>
              <w:t>About this guidance</w:t>
            </w:r>
            <w:r w:rsidR="001261F1">
              <w:rPr>
                <w:noProof/>
                <w:webHidden/>
              </w:rPr>
              <w:tab/>
            </w:r>
            <w:r w:rsidR="001261F1">
              <w:rPr>
                <w:noProof/>
                <w:webHidden/>
              </w:rPr>
              <w:fldChar w:fldCharType="begin"/>
            </w:r>
            <w:r w:rsidR="001261F1">
              <w:rPr>
                <w:noProof/>
                <w:webHidden/>
              </w:rPr>
              <w:instrText xml:space="preserve"> PAGEREF _Toc155785751 \h </w:instrText>
            </w:r>
            <w:r w:rsidR="001261F1">
              <w:rPr>
                <w:noProof/>
                <w:webHidden/>
              </w:rPr>
            </w:r>
            <w:r w:rsidR="001261F1">
              <w:rPr>
                <w:noProof/>
                <w:webHidden/>
              </w:rPr>
              <w:fldChar w:fldCharType="separate"/>
            </w:r>
            <w:r w:rsidR="001261F1">
              <w:rPr>
                <w:noProof/>
                <w:webHidden/>
              </w:rPr>
              <w:t>4</w:t>
            </w:r>
            <w:r w:rsidR="001261F1">
              <w:rPr>
                <w:noProof/>
                <w:webHidden/>
              </w:rPr>
              <w:fldChar w:fldCharType="end"/>
            </w:r>
          </w:hyperlink>
        </w:p>
        <w:p w14:paraId="039CCD95" w14:textId="6842B347" w:rsidR="001261F1" w:rsidRDefault="001261F1">
          <w:pPr>
            <w:pStyle w:val="TOC2"/>
            <w:rPr>
              <w:rFonts w:asciiTheme="minorHAnsi" w:eastAsiaTheme="minorEastAsia" w:hAnsiTheme="minorHAnsi" w:cstheme="minorBidi"/>
              <w:b w:val="0"/>
              <w:noProof/>
              <w:color w:val="auto"/>
              <w:sz w:val="22"/>
              <w:szCs w:val="22"/>
              <w:lang w:eastAsia="en-AU"/>
            </w:rPr>
          </w:pPr>
          <w:hyperlink w:anchor="_Toc155785752" w:history="1">
            <w:r w:rsidRPr="003D1B53">
              <w:rPr>
                <w:rStyle w:val="Hyperlink"/>
                <w:noProof/>
              </w:rPr>
              <w:t>Background</w:t>
            </w:r>
            <w:r>
              <w:rPr>
                <w:noProof/>
                <w:webHidden/>
              </w:rPr>
              <w:tab/>
            </w:r>
            <w:r>
              <w:rPr>
                <w:noProof/>
                <w:webHidden/>
              </w:rPr>
              <w:fldChar w:fldCharType="begin"/>
            </w:r>
            <w:r>
              <w:rPr>
                <w:noProof/>
                <w:webHidden/>
              </w:rPr>
              <w:instrText xml:space="preserve"> PAGEREF _Toc155785752 \h </w:instrText>
            </w:r>
            <w:r>
              <w:rPr>
                <w:noProof/>
                <w:webHidden/>
              </w:rPr>
            </w:r>
            <w:r>
              <w:rPr>
                <w:noProof/>
                <w:webHidden/>
              </w:rPr>
              <w:fldChar w:fldCharType="separate"/>
            </w:r>
            <w:r>
              <w:rPr>
                <w:noProof/>
                <w:webHidden/>
              </w:rPr>
              <w:t>4</w:t>
            </w:r>
            <w:r>
              <w:rPr>
                <w:noProof/>
                <w:webHidden/>
              </w:rPr>
              <w:fldChar w:fldCharType="end"/>
            </w:r>
          </w:hyperlink>
        </w:p>
        <w:p w14:paraId="3187779D" w14:textId="39765C96" w:rsidR="001261F1" w:rsidRDefault="001261F1">
          <w:pPr>
            <w:pStyle w:val="TOC2"/>
            <w:rPr>
              <w:rFonts w:asciiTheme="minorHAnsi" w:eastAsiaTheme="minorEastAsia" w:hAnsiTheme="minorHAnsi" w:cstheme="minorBidi"/>
              <w:b w:val="0"/>
              <w:noProof/>
              <w:color w:val="auto"/>
              <w:sz w:val="22"/>
              <w:szCs w:val="22"/>
              <w:lang w:eastAsia="en-AU"/>
            </w:rPr>
          </w:pPr>
          <w:hyperlink w:anchor="_Toc155785753" w:history="1">
            <w:r w:rsidRPr="003D1B53">
              <w:rPr>
                <w:rStyle w:val="Hyperlink"/>
                <w:noProof/>
              </w:rPr>
              <w:t>Requirements for reclassification</w:t>
            </w:r>
            <w:r>
              <w:rPr>
                <w:noProof/>
                <w:webHidden/>
              </w:rPr>
              <w:tab/>
            </w:r>
            <w:r>
              <w:rPr>
                <w:noProof/>
                <w:webHidden/>
              </w:rPr>
              <w:fldChar w:fldCharType="begin"/>
            </w:r>
            <w:r>
              <w:rPr>
                <w:noProof/>
                <w:webHidden/>
              </w:rPr>
              <w:instrText xml:space="preserve"> PAGEREF _Toc155785753 \h </w:instrText>
            </w:r>
            <w:r>
              <w:rPr>
                <w:noProof/>
                <w:webHidden/>
              </w:rPr>
            </w:r>
            <w:r>
              <w:rPr>
                <w:noProof/>
                <w:webHidden/>
              </w:rPr>
              <w:fldChar w:fldCharType="separate"/>
            </w:r>
            <w:r>
              <w:rPr>
                <w:noProof/>
                <w:webHidden/>
              </w:rPr>
              <w:t>4</w:t>
            </w:r>
            <w:r>
              <w:rPr>
                <w:noProof/>
                <w:webHidden/>
              </w:rPr>
              <w:fldChar w:fldCharType="end"/>
            </w:r>
          </w:hyperlink>
        </w:p>
        <w:p w14:paraId="35049B80" w14:textId="3D9A7010" w:rsidR="001261F1" w:rsidRDefault="001261F1">
          <w:pPr>
            <w:pStyle w:val="TOC1"/>
            <w:rPr>
              <w:rFonts w:asciiTheme="minorHAnsi" w:eastAsiaTheme="minorEastAsia" w:hAnsiTheme="minorHAnsi" w:cstheme="minorBidi"/>
              <w:b w:val="0"/>
              <w:noProof/>
              <w:color w:val="auto"/>
              <w:sz w:val="22"/>
              <w:szCs w:val="22"/>
              <w:lang w:eastAsia="en-AU"/>
            </w:rPr>
          </w:pPr>
          <w:hyperlink w:anchor="_Toc155785754" w:history="1">
            <w:r w:rsidRPr="003D1B53">
              <w:rPr>
                <w:rStyle w:val="Hyperlink"/>
                <w:noProof/>
              </w:rPr>
              <w:t>Medical devices that administer medicines or biologicals by inhalation</w:t>
            </w:r>
            <w:r>
              <w:rPr>
                <w:noProof/>
                <w:webHidden/>
              </w:rPr>
              <w:tab/>
            </w:r>
            <w:r>
              <w:rPr>
                <w:noProof/>
                <w:webHidden/>
              </w:rPr>
              <w:fldChar w:fldCharType="begin"/>
            </w:r>
            <w:r>
              <w:rPr>
                <w:noProof/>
                <w:webHidden/>
              </w:rPr>
              <w:instrText xml:space="preserve"> PAGEREF _Toc155785754 \h </w:instrText>
            </w:r>
            <w:r>
              <w:rPr>
                <w:noProof/>
                <w:webHidden/>
              </w:rPr>
            </w:r>
            <w:r>
              <w:rPr>
                <w:noProof/>
                <w:webHidden/>
              </w:rPr>
              <w:fldChar w:fldCharType="separate"/>
            </w:r>
            <w:r>
              <w:rPr>
                <w:noProof/>
                <w:webHidden/>
              </w:rPr>
              <w:t>4</w:t>
            </w:r>
            <w:r>
              <w:rPr>
                <w:noProof/>
                <w:webHidden/>
              </w:rPr>
              <w:fldChar w:fldCharType="end"/>
            </w:r>
          </w:hyperlink>
        </w:p>
        <w:p w14:paraId="0CCE52B2" w14:textId="1FF24A35" w:rsidR="001261F1" w:rsidRDefault="001261F1">
          <w:pPr>
            <w:pStyle w:val="TOC2"/>
            <w:rPr>
              <w:rFonts w:asciiTheme="minorHAnsi" w:eastAsiaTheme="minorEastAsia" w:hAnsiTheme="minorHAnsi" w:cstheme="minorBidi"/>
              <w:b w:val="0"/>
              <w:noProof/>
              <w:color w:val="auto"/>
              <w:sz w:val="22"/>
              <w:szCs w:val="22"/>
              <w:lang w:eastAsia="en-AU"/>
            </w:rPr>
          </w:pPr>
          <w:hyperlink w:anchor="_Toc155785755" w:history="1">
            <w:r w:rsidRPr="003D1B53">
              <w:rPr>
                <w:rStyle w:val="Hyperlink"/>
                <w:noProof/>
              </w:rPr>
              <w:t>Examples of devices to be reclassified</w:t>
            </w:r>
            <w:r>
              <w:rPr>
                <w:noProof/>
                <w:webHidden/>
              </w:rPr>
              <w:tab/>
            </w:r>
            <w:r>
              <w:rPr>
                <w:noProof/>
                <w:webHidden/>
              </w:rPr>
              <w:fldChar w:fldCharType="begin"/>
            </w:r>
            <w:r>
              <w:rPr>
                <w:noProof/>
                <w:webHidden/>
              </w:rPr>
              <w:instrText xml:space="preserve"> PAGEREF _Toc155785755 \h </w:instrText>
            </w:r>
            <w:r>
              <w:rPr>
                <w:noProof/>
                <w:webHidden/>
              </w:rPr>
            </w:r>
            <w:r>
              <w:rPr>
                <w:noProof/>
                <w:webHidden/>
              </w:rPr>
              <w:fldChar w:fldCharType="separate"/>
            </w:r>
            <w:r>
              <w:rPr>
                <w:noProof/>
                <w:webHidden/>
              </w:rPr>
              <w:t>5</w:t>
            </w:r>
            <w:r>
              <w:rPr>
                <w:noProof/>
                <w:webHidden/>
              </w:rPr>
              <w:fldChar w:fldCharType="end"/>
            </w:r>
          </w:hyperlink>
        </w:p>
        <w:p w14:paraId="62473E4B" w14:textId="7FC008BF" w:rsidR="001261F1" w:rsidRDefault="001261F1">
          <w:pPr>
            <w:pStyle w:val="TOC2"/>
            <w:rPr>
              <w:rFonts w:asciiTheme="minorHAnsi" w:eastAsiaTheme="minorEastAsia" w:hAnsiTheme="minorHAnsi" w:cstheme="minorBidi"/>
              <w:b w:val="0"/>
              <w:noProof/>
              <w:color w:val="auto"/>
              <w:sz w:val="22"/>
              <w:szCs w:val="22"/>
              <w:lang w:eastAsia="en-AU"/>
            </w:rPr>
          </w:pPr>
          <w:hyperlink w:anchor="_Toc155785756" w:history="1">
            <w:r w:rsidRPr="003D1B53">
              <w:rPr>
                <w:rStyle w:val="Hyperlink"/>
                <w:noProof/>
              </w:rPr>
              <w:t>Devices pre-filled with medicines or biologicals</w:t>
            </w:r>
            <w:r>
              <w:rPr>
                <w:noProof/>
                <w:webHidden/>
              </w:rPr>
              <w:tab/>
            </w:r>
            <w:r>
              <w:rPr>
                <w:noProof/>
                <w:webHidden/>
              </w:rPr>
              <w:fldChar w:fldCharType="begin"/>
            </w:r>
            <w:r>
              <w:rPr>
                <w:noProof/>
                <w:webHidden/>
              </w:rPr>
              <w:instrText xml:space="preserve"> PAGEREF _Toc155785756 \h </w:instrText>
            </w:r>
            <w:r>
              <w:rPr>
                <w:noProof/>
                <w:webHidden/>
              </w:rPr>
            </w:r>
            <w:r>
              <w:rPr>
                <w:noProof/>
                <w:webHidden/>
              </w:rPr>
              <w:fldChar w:fldCharType="separate"/>
            </w:r>
            <w:r>
              <w:rPr>
                <w:noProof/>
                <w:webHidden/>
              </w:rPr>
              <w:t>8</w:t>
            </w:r>
            <w:r>
              <w:rPr>
                <w:noProof/>
                <w:webHidden/>
              </w:rPr>
              <w:fldChar w:fldCharType="end"/>
            </w:r>
          </w:hyperlink>
        </w:p>
        <w:p w14:paraId="622DB5F6" w14:textId="33B1AC7C" w:rsidR="001261F1" w:rsidRDefault="001261F1">
          <w:pPr>
            <w:pStyle w:val="TOC1"/>
            <w:rPr>
              <w:rFonts w:asciiTheme="minorHAnsi" w:eastAsiaTheme="minorEastAsia" w:hAnsiTheme="minorHAnsi" w:cstheme="minorBidi"/>
              <w:b w:val="0"/>
              <w:noProof/>
              <w:color w:val="auto"/>
              <w:sz w:val="22"/>
              <w:szCs w:val="22"/>
              <w:lang w:eastAsia="en-AU"/>
            </w:rPr>
          </w:pPr>
          <w:hyperlink w:anchor="_Toc155785757" w:history="1">
            <w:r w:rsidRPr="003D1B53">
              <w:rPr>
                <w:rStyle w:val="Hyperlink"/>
                <w:noProof/>
              </w:rPr>
              <w:t>What you need to do</w:t>
            </w:r>
            <w:r>
              <w:rPr>
                <w:noProof/>
                <w:webHidden/>
              </w:rPr>
              <w:tab/>
            </w:r>
            <w:r>
              <w:rPr>
                <w:noProof/>
                <w:webHidden/>
              </w:rPr>
              <w:fldChar w:fldCharType="begin"/>
            </w:r>
            <w:r>
              <w:rPr>
                <w:noProof/>
                <w:webHidden/>
              </w:rPr>
              <w:instrText xml:space="preserve"> PAGEREF _Toc155785757 \h </w:instrText>
            </w:r>
            <w:r>
              <w:rPr>
                <w:noProof/>
                <w:webHidden/>
              </w:rPr>
            </w:r>
            <w:r>
              <w:rPr>
                <w:noProof/>
                <w:webHidden/>
              </w:rPr>
              <w:fldChar w:fldCharType="separate"/>
            </w:r>
            <w:r>
              <w:rPr>
                <w:noProof/>
                <w:webHidden/>
              </w:rPr>
              <w:t>9</w:t>
            </w:r>
            <w:r>
              <w:rPr>
                <w:noProof/>
                <w:webHidden/>
              </w:rPr>
              <w:fldChar w:fldCharType="end"/>
            </w:r>
          </w:hyperlink>
        </w:p>
        <w:p w14:paraId="0EAA7BBB" w14:textId="1DEBCF01" w:rsidR="001261F1" w:rsidRDefault="001261F1">
          <w:pPr>
            <w:pStyle w:val="TOC2"/>
            <w:rPr>
              <w:rFonts w:asciiTheme="minorHAnsi" w:eastAsiaTheme="minorEastAsia" w:hAnsiTheme="minorHAnsi" w:cstheme="minorBidi"/>
              <w:b w:val="0"/>
              <w:noProof/>
              <w:color w:val="auto"/>
              <w:sz w:val="22"/>
              <w:szCs w:val="22"/>
              <w:lang w:eastAsia="en-AU"/>
            </w:rPr>
          </w:pPr>
          <w:hyperlink w:anchor="_Toc155785758" w:history="1">
            <w:r w:rsidRPr="003D1B53">
              <w:rPr>
                <w:rStyle w:val="Hyperlink"/>
                <w:noProof/>
              </w:rPr>
              <w:t>Medical devices included in the ARTG prior to 25 November 2021</w:t>
            </w:r>
            <w:r>
              <w:rPr>
                <w:noProof/>
                <w:webHidden/>
              </w:rPr>
              <w:tab/>
            </w:r>
            <w:r>
              <w:rPr>
                <w:noProof/>
                <w:webHidden/>
              </w:rPr>
              <w:fldChar w:fldCharType="begin"/>
            </w:r>
            <w:r>
              <w:rPr>
                <w:noProof/>
                <w:webHidden/>
              </w:rPr>
              <w:instrText xml:space="preserve"> PAGEREF _Toc155785758 \h </w:instrText>
            </w:r>
            <w:r>
              <w:rPr>
                <w:noProof/>
                <w:webHidden/>
              </w:rPr>
            </w:r>
            <w:r>
              <w:rPr>
                <w:noProof/>
                <w:webHidden/>
              </w:rPr>
              <w:fldChar w:fldCharType="separate"/>
            </w:r>
            <w:r>
              <w:rPr>
                <w:noProof/>
                <w:webHidden/>
              </w:rPr>
              <w:t>9</w:t>
            </w:r>
            <w:r>
              <w:rPr>
                <w:noProof/>
                <w:webHidden/>
              </w:rPr>
              <w:fldChar w:fldCharType="end"/>
            </w:r>
          </w:hyperlink>
        </w:p>
        <w:p w14:paraId="3D5974D9" w14:textId="4203D23F" w:rsidR="001261F1" w:rsidRDefault="001261F1">
          <w:pPr>
            <w:pStyle w:val="TOC2"/>
            <w:rPr>
              <w:rFonts w:asciiTheme="minorHAnsi" w:eastAsiaTheme="minorEastAsia" w:hAnsiTheme="minorHAnsi" w:cstheme="minorBidi"/>
              <w:b w:val="0"/>
              <w:noProof/>
              <w:color w:val="auto"/>
              <w:sz w:val="22"/>
              <w:szCs w:val="22"/>
              <w:lang w:eastAsia="en-AU"/>
            </w:rPr>
          </w:pPr>
          <w:hyperlink w:anchor="_Toc155785759" w:history="1">
            <w:r w:rsidRPr="003D1B53">
              <w:rPr>
                <w:rStyle w:val="Hyperlink"/>
                <w:noProof/>
              </w:rPr>
              <w:t>Applications to include a medical device in the ARTG lodged before 25 November 2021</w:t>
            </w:r>
            <w:r>
              <w:rPr>
                <w:noProof/>
                <w:webHidden/>
              </w:rPr>
              <w:tab/>
            </w:r>
            <w:r>
              <w:rPr>
                <w:noProof/>
                <w:webHidden/>
              </w:rPr>
              <w:fldChar w:fldCharType="begin"/>
            </w:r>
            <w:r>
              <w:rPr>
                <w:noProof/>
                <w:webHidden/>
              </w:rPr>
              <w:instrText xml:space="preserve"> PAGEREF _Toc155785759 \h </w:instrText>
            </w:r>
            <w:r>
              <w:rPr>
                <w:noProof/>
                <w:webHidden/>
              </w:rPr>
            </w:r>
            <w:r>
              <w:rPr>
                <w:noProof/>
                <w:webHidden/>
              </w:rPr>
              <w:fldChar w:fldCharType="separate"/>
            </w:r>
            <w:r>
              <w:rPr>
                <w:noProof/>
                <w:webHidden/>
              </w:rPr>
              <w:t>10</w:t>
            </w:r>
            <w:r>
              <w:rPr>
                <w:noProof/>
                <w:webHidden/>
              </w:rPr>
              <w:fldChar w:fldCharType="end"/>
            </w:r>
          </w:hyperlink>
        </w:p>
        <w:p w14:paraId="2BE4805A" w14:textId="4632831F" w:rsidR="001261F1" w:rsidRDefault="001261F1">
          <w:pPr>
            <w:pStyle w:val="TOC3"/>
            <w:rPr>
              <w:rFonts w:asciiTheme="minorHAnsi" w:eastAsiaTheme="minorEastAsia" w:hAnsiTheme="minorHAnsi" w:cstheme="minorBidi"/>
              <w:b w:val="0"/>
              <w:noProof/>
              <w:color w:val="auto"/>
              <w:sz w:val="22"/>
              <w:szCs w:val="22"/>
              <w:lang w:eastAsia="en-AU"/>
            </w:rPr>
          </w:pPr>
          <w:hyperlink w:anchor="_Toc155785760" w:history="1">
            <w:r w:rsidRPr="003D1B53">
              <w:rPr>
                <w:rStyle w:val="Hyperlink"/>
                <w:noProof/>
              </w:rPr>
              <w:t>Cancelling your ARTG inclusion</w:t>
            </w:r>
            <w:r>
              <w:rPr>
                <w:noProof/>
                <w:webHidden/>
              </w:rPr>
              <w:tab/>
            </w:r>
            <w:r>
              <w:rPr>
                <w:noProof/>
                <w:webHidden/>
              </w:rPr>
              <w:fldChar w:fldCharType="begin"/>
            </w:r>
            <w:r>
              <w:rPr>
                <w:noProof/>
                <w:webHidden/>
              </w:rPr>
              <w:instrText xml:space="preserve"> PAGEREF _Toc155785760 \h </w:instrText>
            </w:r>
            <w:r>
              <w:rPr>
                <w:noProof/>
                <w:webHidden/>
              </w:rPr>
            </w:r>
            <w:r>
              <w:rPr>
                <w:noProof/>
                <w:webHidden/>
              </w:rPr>
              <w:fldChar w:fldCharType="separate"/>
            </w:r>
            <w:r>
              <w:rPr>
                <w:noProof/>
                <w:webHidden/>
              </w:rPr>
              <w:t>10</w:t>
            </w:r>
            <w:r>
              <w:rPr>
                <w:noProof/>
                <w:webHidden/>
              </w:rPr>
              <w:fldChar w:fldCharType="end"/>
            </w:r>
          </w:hyperlink>
        </w:p>
        <w:p w14:paraId="781CB62A" w14:textId="2B988B44" w:rsidR="001261F1" w:rsidRDefault="001261F1">
          <w:pPr>
            <w:pStyle w:val="TOC2"/>
            <w:rPr>
              <w:rFonts w:asciiTheme="minorHAnsi" w:eastAsiaTheme="minorEastAsia" w:hAnsiTheme="minorHAnsi" w:cstheme="minorBidi"/>
              <w:b w:val="0"/>
              <w:noProof/>
              <w:color w:val="auto"/>
              <w:sz w:val="22"/>
              <w:szCs w:val="22"/>
              <w:lang w:eastAsia="en-AU"/>
            </w:rPr>
          </w:pPr>
          <w:hyperlink w:anchor="_Toc155785761" w:history="1">
            <w:r w:rsidRPr="003D1B53">
              <w:rPr>
                <w:rStyle w:val="Hyperlink"/>
                <w:noProof/>
              </w:rPr>
              <w:t>Applications to include a new medical device on or after 25 November 2021</w:t>
            </w:r>
            <w:r>
              <w:rPr>
                <w:noProof/>
                <w:webHidden/>
              </w:rPr>
              <w:tab/>
            </w:r>
            <w:r>
              <w:rPr>
                <w:noProof/>
                <w:webHidden/>
              </w:rPr>
              <w:fldChar w:fldCharType="begin"/>
            </w:r>
            <w:r>
              <w:rPr>
                <w:noProof/>
                <w:webHidden/>
              </w:rPr>
              <w:instrText xml:space="preserve"> PAGEREF _Toc155785761 \h </w:instrText>
            </w:r>
            <w:r>
              <w:rPr>
                <w:noProof/>
                <w:webHidden/>
              </w:rPr>
            </w:r>
            <w:r>
              <w:rPr>
                <w:noProof/>
                <w:webHidden/>
              </w:rPr>
              <w:fldChar w:fldCharType="separate"/>
            </w:r>
            <w:r>
              <w:rPr>
                <w:noProof/>
                <w:webHidden/>
              </w:rPr>
              <w:t>10</w:t>
            </w:r>
            <w:r>
              <w:rPr>
                <w:noProof/>
                <w:webHidden/>
              </w:rPr>
              <w:fldChar w:fldCharType="end"/>
            </w:r>
          </w:hyperlink>
        </w:p>
        <w:p w14:paraId="00854F50" w14:textId="0702B6D0" w:rsidR="001261F1" w:rsidRDefault="001261F1">
          <w:pPr>
            <w:pStyle w:val="TOC1"/>
            <w:rPr>
              <w:rFonts w:asciiTheme="minorHAnsi" w:eastAsiaTheme="minorEastAsia" w:hAnsiTheme="minorHAnsi" w:cstheme="minorBidi"/>
              <w:b w:val="0"/>
              <w:noProof/>
              <w:color w:val="auto"/>
              <w:sz w:val="22"/>
              <w:szCs w:val="22"/>
              <w:lang w:eastAsia="en-AU"/>
            </w:rPr>
          </w:pPr>
          <w:hyperlink w:anchor="_Toc155785762" w:history="1">
            <w:r w:rsidRPr="003D1B53">
              <w:rPr>
                <w:rStyle w:val="Hyperlink"/>
                <w:noProof/>
              </w:rPr>
              <w:t>Notifying the TGA</w:t>
            </w:r>
            <w:r>
              <w:rPr>
                <w:noProof/>
                <w:webHidden/>
              </w:rPr>
              <w:tab/>
            </w:r>
            <w:r>
              <w:rPr>
                <w:noProof/>
                <w:webHidden/>
              </w:rPr>
              <w:fldChar w:fldCharType="begin"/>
            </w:r>
            <w:r>
              <w:rPr>
                <w:noProof/>
                <w:webHidden/>
              </w:rPr>
              <w:instrText xml:space="preserve"> PAGEREF _Toc155785762 \h </w:instrText>
            </w:r>
            <w:r>
              <w:rPr>
                <w:noProof/>
                <w:webHidden/>
              </w:rPr>
            </w:r>
            <w:r>
              <w:rPr>
                <w:noProof/>
                <w:webHidden/>
              </w:rPr>
              <w:fldChar w:fldCharType="separate"/>
            </w:r>
            <w:r>
              <w:rPr>
                <w:noProof/>
                <w:webHidden/>
              </w:rPr>
              <w:t>10</w:t>
            </w:r>
            <w:r>
              <w:rPr>
                <w:noProof/>
                <w:webHidden/>
              </w:rPr>
              <w:fldChar w:fldCharType="end"/>
            </w:r>
          </w:hyperlink>
        </w:p>
        <w:p w14:paraId="154072D4" w14:textId="59233EA8" w:rsidR="001261F1" w:rsidRDefault="001261F1">
          <w:pPr>
            <w:pStyle w:val="TOC1"/>
            <w:rPr>
              <w:rFonts w:asciiTheme="minorHAnsi" w:eastAsiaTheme="minorEastAsia" w:hAnsiTheme="minorHAnsi" w:cstheme="minorBidi"/>
              <w:b w:val="0"/>
              <w:noProof/>
              <w:color w:val="auto"/>
              <w:sz w:val="22"/>
              <w:szCs w:val="22"/>
              <w:lang w:eastAsia="en-AU"/>
            </w:rPr>
          </w:pPr>
          <w:hyperlink w:anchor="_Toc155785763" w:history="1">
            <w:r w:rsidRPr="003D1B53">
              <w:rPr>
                <w:rStyle w:val="Hyperlink"/>
                <w:noProof/>
              </w:rPr>
              <w:t>Application to transition</w:t>
            </w:r>
            <w:r>
              <w:rPr>
                <w:noProof/>
                <w:webHidden/>
              </w:rPr>
              <w:tab/>
            </w:r>
            <w:r>
              <w:rPr>
                <w:noProof/>
                <w:webHidden/>
              </w:rPr>
              <w:fldChar w:fldCharType="begin"/>
            </w:r>
            <w:r>
              <w:rPr>
                <w:noProof/>
                <w:webHidden/>
              </w:rPr>
              <w:instrText xml:space="preserve"> PAGEREF _Toc155785763 \h </w:instrText>
            </w:r>
            <w:r>
              <w:rPr>
                <w:noProof/>
                <w:webHidden/>
              </w:rPr>
            </w:r>
            <w:r>
              <w:rPr>
                <w:noProof/>
                <w:webHidden/>
              </w:rPr>
              <w:fldChar w:fldCharType="separate"/>
            </w:r>
            <w:r>
              <w:rPr>
                <w:noProof/>
                <w:webHidden/>
              </w:rPr>
              <w:t>11</w:t>
            </w:r>
            <w:r>
              <w:rPr>
                <w:noProof/>
                <w:webHidden/>
              </w:rPr>
              <w:fldChar w:fldCharType="end"/>
            </w:r>
          </w:hyperlink>
        </w:p>
        <w:p w14:paraId="6481DC6C" w14:textId="08C26C9F" w:rsidR="001261F1" w:rsidRDefault="001261F1">
          <w:pPr>
            <w:pStyle w:val="TOC2"/>
            <w:rPr>
              <w:rFonts w:asciiTheme="minorHAnsi" w:eastAsiaTheme="minorEastAsia" w:hAnsiTheme="minorHAnsi" w:cstheme="minorBidi"/>
              <w:b w:val="0"/>
              <w:noProof/>
              <w:color w:val="auto"/>
              <w:sz w:val="22"/>
              <w:szCs w:val="22"/>
              <w:lang w:eastAsia="en-AU"/>
            </w:rPr>
          </w:pPr>
          <w:hyperlink w:anchor="_Toc155785764" w:history="1">
            <w:r w:rsidRPr="003D1B53">
              <w:rPr>
                <w:rStyle w:val="Hyperlink"/>
                <w:noProof/>
              </w:rPr>
              <w:t>Timeframes for reclassifying transitional ARTG inclusion</w:t>
            </w:r>
            <w:r>
              <w:rPr>
                <w:noProof/>
                <w:webHidden/>
              </w:rPr>
              <w:tab/>
            </w:r>
            <w:r>
              <w:rPr>
                <w:noProof/>
                <w:webHidden/>
              </w:rPr>
              <w:fldChar w:fldCharType="begin"/>
            </w:r>
            <w:r>
              <w:rPr>
                <w:noProof/>
                <w:webHidden/>
              </w:rPr>
              <w:instrText xml:space="preserve"> PAGEREF _Toc155785764 \h </w:instrText>
            </w:r>
            <w:r>
              <w:rPr>
                <w:noProof/>
                <w:webHidden/>
              </w:rPr>
            </w:r>
            <w:r>
              <w:rPr>
                <w:noProof/>
                <w:webHidden/>
              </w:rPr>
              <w:fldChar w:fldCharType="separate"/>
            </w:r>
            <w:r>
              <w:rPr>
                <w:noProof/>
                <w:webHidden/>
              </w:rPr>
              <w:t>11</w:t>
            </w:r>
            <w:r>
              <w:rPr>
                <w:noProof/>
                <w:webHidden/>
              </w:rPr>
              <w:fldChar w:fldCharType="end"/>
            </w:r>
          </w:hyperlink>
        </w:p>
        <w:p w14:paraId="64F2036C" w14:textId="1F6593EF" w:rsidR="001261F1" w:rsidRDefault="001261F1">
          <w:pPr>
            <w:pStyle w:val="TOC2"/>
            <w:rPr>
              <w:rFonts w:asciiTheme="minorHAnsi" w:eastAsiaTheme="minorEastAsia" w:hAnsiTheme="minorHAnsi" w:cstheme="minorBidi"/>
              <w:b w:val="0"/>
              <w:noProof/>
              <w:color w:val="auto"/>
              <w:sz w:val="22"/>
              <w:szCs w:val="22"/>
              <w:lang w:eastAsia="en-AU"/>
            </w:rPr>
          </w:pPr>
          <w:hyperlink w:anchor="_Toc155785765" w:history="1">
            <w:r w:rsidRPr="003D1B53">
              <w:rPr>
                <w:rStyle w:val="Hyperlink"/>
                <w:noProof/>
              </w:rPr>
              <w:t>How to submit a reclassification application</w:t>
            </w:r>
            <w:r>
              <w:rPr>
                <w:noProof/>
                <w:webHidden/>
              </w:rPr>
              <w:tab/>
            </w:r>
            <w:r>
              <w:rPr>
                <w:noProof/>
                <w:webHidden/>
              </w:rPr>
              <w:fldChar w:fldCharType="begin"/>
            </w:r>
            <w:r>
              <w:rPr>
                <w:noProof/>
                <w:webHidden/>
              </w:rPr>
              <w:instrText xml:space="preserve"> PAGEREF _Toc155785765 \h </w:instrText>
            </w:r>
            <w:r>
              <w:rPr>
                <w:noProof/>
                <w:webHidden/>
              </w:rPr>
            </w:r>
            <w:r>
              <w:rPr>
                <w:noProof/>
                <w:webHidden/>
              </w:rPr>
              <w:fldChar w:fldCharType="separate"/>
            </w:r>
            <w:r>
              <w:rPr>
                <w:noProof/>
                <w:webHidden/>
              </w:rPr>
              <w:t>11</w:t>
            </w:r>
            <w:r>
              <w:rPr>
                <w:noProof/>
                <w:webHidden/>
              </w:rPr>
              <w:fldChar w:fldCharType="end"/>
            </w:r>
          </w:hyperlink>
        </w:p>
        <w:p w14:paraId="337A22D9" w14:textId="3634C012" w:rsidR="001261F1" w:rsidRDefault="001261F1">
          <w:pPr>
            <w:pStyle w:val="TOC2"/>
            <w:rPr>
              <w:rFonts w:asciiTheme="minorHAnsi" w:eastAsiaTheme="minorEastAsia" w:hAnsiTheme="minorHAnsi" w:cstheme="minorBidi"/>
              <w:b w:val="0"/>
              <w:noProof/>
              <w:color w:val="auto"/>
              <w:sz w:val="22"/>
              <w:szCs w:val="22"/>
              <w:lang w:eastAsia="en-AU"/>
            </w:rPr>
          </w:pPr>
          <w:hyperlink w:anchor="_Toc155785766" w:history="1">
            <w:r w:rsidRPr="003D1B53">
              <w:rPr>
                <w:rStyle w:val="Hyperlink"/>
                <w:noProof/>
              </w:rPr>
              <w:t>What to include in your application</w:t>
            </w:r>
            <w:r>
              <w:rPr>
                <w:noProof/>
                <w:webHidden/>
              </w:rPr>
              <w:tab/>
            </w:r>
            <w:r>
              <w:rPr>
                <w:noProof/>
                <w:webHidden/>
              </w:rPr>
              <w:fldChar w:fldCharType="begin"/>
            </w:r>
            <w:r>
              <w:rPr>
                <w:noProof/>
                <w:webHidden/>
              </w:rPr>
              <w:instrText xml:space="preserve"> PAGEREF _Toc155785766 \h </w:instrText>
            </w:r>
            <w:r>
              <w:rPr>
                <w:noProof/>
                <w:webHidden/>
              </w:rPr>
            </w:r>
            <w:r>
              <w:rPr>
                <w:noProof/>
                <w:webHidden/>
              </w:rPr>
              <w:fldChar w:fldCharType="separate"/>
            </w:r>
            <w:r>
              <w:rPr>
                <w:noProof/>
                <w:webHidden/>
              </w:rPr>
              <w:t>12</w:t>
            </w:r>
            <w:r>
              <w:rPr>
                <w:noProof/>
                <w:webHidden/>
              </w:rPr>
              <w:fldChar w:fldCharType="end"/>
            </w:r>
          </w:hyperlink>
        </w:p>
        <w:p w14:paraId="6F97A5C9" w14:textId="3FB7BAF3" w:rsidR="001261F1" w:rsidRDefault="001261F1">
          <w:pPr>
            <w:pStyle w:val="TOC2"/>
            <w:rPr>
              <w:rFonts w:asciiTheme="minorHAnsi" w:eastAsiaTheme="minorEastAsia" w:hAnsiTheme="minorHAnsi" w:cstheme="minorBidi"/>
              <w:b w:val="0"/>
              <w:noProof/>
              <w:color w:val="auto"/>
              <w:sz w:val="22"/>
              <w:szCs w:val="22"/>
              <w:lang w:eastAsia="en-AU"/>
            </w:rPr>
          </w:pPr>
          <w:hyperlink w:anchor="_Toc155785767" w:history="1">
            <w:r w:rsidRPr="003D1B53">
              <w:rPr>
                <w:rStyle w:val="Hyperlink"/>
                <w:noProof/>
              </w:rPr>
              <w:t>Fees</w:t>
            </w:r>
            <w:r>
              <w:rPr>
                <w:noProof/>
                <w:webHidden/>
              </w:rPr>
              <w:tab/>
            </w:r>
            <w:r>
              <w:rPr>
                <w:noProof/>
                <w:webHidden/>
              </w:rPr>
              <w:fldChar w:fldCharType="begin"/>
            </w:r>
            <w:r>
              <w:rPr>
                <w:noProof/>
                <w:webHidden/>
              </w:rPr>
              <w:instrText xml:space="preserve"> PAGEREF _Toc155785767 \h </w:instrText>
            </w:r>
            <w:r>
              <w:rPr>
                <w:noProof/>
                <w:webHidden/>
              </w:rPr>
            </w:r>
            <w:r>
              <w:rPr>
                <w:noProof/>
                <w:webHidden/>
              </w:rPr>
              <w:fldChar w:fldCharType="separate"/>
            </w:r>
            <w:r>
              <w:rPr>
                <w:noProof/>
                <w:webHidden/>
              </w:rPr>
              <w:t>12</w:t>
            </w:r>
            <w:r>
              <w:rPr>
                <w:noProof/>
                <w:webHidden/>
              </w:rPr>
              <w:fldChar w:fldCharType="end"/>
            </w:r>
          </w:hyperlink>
        </w:p>
        <w:p w14:paraId="27C010C0" w14:textId="3E17734F" w:rsidR="001261F1" w:rsidRDefault="001261F1">
          <w:pPr>
            <w:pStyle w:val="TOC1"/>
            <w:rPr>
              <w:rFonts w:asciiTheme="minorHAnsi" w:eastAsiaTheme="minorEastAsia" w:hAnsiTheme="minorHAnsi" w:cstheme="minorBidi"/>
              <w:b w:val="0"/>
              <w:noProof/>
              <w:color w:val="auto"/>
              <w:sz w:val="22"/>
              <w:szCs w:val="22"/>
              <w:lang w:eastAsia="en-AU"/>
            </w:rPr>
          </w:pPr>
          <w:hyperlink w:anchor="_Toc155785768" w:history="1">
            <w:r w:rsidRPr="003D1B53">
              <w:rPr>
                <w:rStyle w:val="Hyperlink"/>
                <w:noProof/>
              </w:rPr>
              <w:t>If your inclusion application is not successful</w:t>
            </w:r>
            <w:r>
              <w:rPr>
                <w:noProof/>
                <w:webHidden/>
              </w:rPr>
              <w:tab/>
            </w:r>
            <w:r>
              <w:rPr>
                <w:noProof/>
                <w:webHidden/>
              </w:rPr>
              <w:fldChar w:fldCharType="begin"/>
            </w:r>
            <w:r>
              <w:rPr>
                <w:noProof/>
                <w:webHidden/>
              </w:rPr>
              <w:instrText xml:space="preserve"> PAGEREF _Toc155785768 \h </w:instrText>
            </w:r>
            <w:r>
              <w:rPr>
                <w:noProof/>
                <w:webHidden/>
              </w:rPr>
            </w:r>
            <w:r>
              <w:rPr>
                <w:noProof/>
                <w:webHidden/>
              </w:rPr>
              <w:fldChar w:fldCharType="separate"/>
            </w:r>
            <w:r>
              <w:rPr>
                <w:noProof/>
                <w:webHidden/>
              </w:rPr>
              <w:t>13</w:t>
            </w:r>
            <w:r>
              <w:rPr>
                <w:noProof/>
                <w:webHidden/>
              </w:rPr>
              <w:fldChar w:fldCharType="end"/>
            </w:r>
          </w:hyperlink>
        </w:p>
        <w:p w14:paraId="0E4F4BA0" w14:textId="3462938D" w:rsidR="001261F1" w:rsidRDefault="001261F1">
          <w:pPr>
            <w:pStyle w:val="TOC1"/>
            <w:rPr>
              <w:rFonts w:asciiTheme="minorHAnsi" w:eastAsiaTheme="minorEastAsia" w:hAnsiTheme="minorHAnsi" w:cstheme="minorBidi"/>
              <w:b w:val="0"/>
              <w:noProof/>
              <w:color w:val="auto"/>
              <w:sz w:val="22"/>
              <w:szCs w:val="22"/>
              <w:lang w:eastAsia="en-AU"/>
            </w:rPr>
          </w:pPr>
          <w:hyperlink w:anchor="_Toc155785769" w:history="1">
            <w:r w:rsidRPr="003D1B53">
              <w:rPr>
                <w:rStyle w:val="Hyperlink"/>
                <w:noProof/>
              </w:rPr>
              <w:t>When to cease supply using your old ARTG entry</w:t>
            </w:r>
            <w:r>
              <w:rPr>
                <w:noProof/>
                <w:webHidden/>
              </w:rPr>
              <w:tab/>
            </w:r>
            <w:r>
              <w:rPr>
                <w:noProof/>
                <w:webHidden/>
              </w:rPr>
              <w:fldChar w:fldCharType="begin"/>
            </w:r>
            <w:r>
              <w:rPr>
                <w:noProof/>
                <w:webHidden/>
              </w:rPr>
              <w:instrText xml:space="preserve"> PAGEREF _Toc155785769 \h </w:instrText>
            </w:r>
            <w:r>
              <w:rPr>
                <w:noProof/>
                <w:webHidden/>
              </w:rPr>
            </w:r>
            <w:r>
              <w:rPr>
                <w:noProof/>
                <w:webHidden/>
              </w:rPr>
              <w:fldChar w:fldCharType="separate"/>
            </w:r>
            <w:r>
              <w:rPr>
                <w:noProof/>
                <w:webHidden/>
              </w:rPr>
              <w:t>13</w:t>
            </w:r>
            <w:r>
              <w:rPr>
                <w:noProof/>
                <w:webHidden/>
              </w:rPr>
              <w:fldChar w:fldCharType="end"/>
            </w:r>
          </w:hyperlink>
        </w:p>
        <w:p w14:paraId="2CEAAA6C" w14:textId="1315039B" w:rsidR="00F401EF" w:rsidRPr="00215D48" w:rsidRDefault="00F859D2" w:rsidP="00A77A91">
          <w:r w:rsidRPr="00215D48">
            <w:fldChar w:fldCharType="end"/>
          </w:r>
        </w:p>
      </w:sdtContent>
    </w:sdt>
    <w:p w14:paraId="4198CC6C" w14:textId="77777777" w:rsidR="00AA3EB9" w:rsidRPr="00215D48" w:rsidRDefault="001525B4" w:rsidP="00A77A91">
      <w:r w:rsidRPr="00215D48">
        <w:br w:type="page"/>
      </w:r>
    </w:p>
    <w:p w14:paraId="3416DB09" w14:textId="77777777" w:rsidR="00083156" w:rsidRDefault="00083156" w:rsidP="00A77A91">
      <w:pPr>
        <w:pStyle w:val="Heading2"/>
      </w:pPr>
      <w:bookmarkStart w:id="0" w:name="_Toc71720436"/>
      <w:bookmarkStart w:id="1" w:name="_Toc323739589"/>
      <w:bookmarkStart w:id="2" w:name="_Toc356305216"/>
      <w:bookmarkStart w:id="3" w:name="_Toc155785751"/>
      <w:r>
        <w:lastRenderedPageBreak/>
        <w:t>About this guidance</w:t>
      </w:r>
      <w:bookmarkEnd w:id="0"/>
      <w:bookmarkEnd w:id="3"/>
    </w:p>
    <w:p w14:paraId="6BDDB0F3" w14:textId="77777777" w:rsidR="00083156" w:rsidRPr="00A77A91" w:rsidRDefault="00083156" w:rsidP="00A77A91">
      <w:r w:rsidRPr="00A77A91">
        <w:t xml:space="preserve">This guidance aims to assist sponsors of </w:t>
      </w:r>
      <w:r w:rsidRPr="00A77A91">
        <w:rPr>
          <w:b/>
        </w:rPr>
        <w:t>medical devices that administer medicines or biologicals by inhalation</w:t>
      </w:r>
      <w:r w:rsidRPr="00A77A91">
        <w:t xml:space="preserve"> with meeting their obligations and outlines transitional arrangements to help comply with new regulations.</w:t>
      </w:r>
    </w:p>
    <w:p w14:paraId="32DA3B76" w14:textId="77777777" w:rsidR="00083156" w:rsidRPr="00A77A91" w:rsidRDefault="00083156" w:rsidP="00A77A91">
      <w:r w:rsidRPr="00A77A91">
        <w:t xml:space="preserve">From </w:t>
      </w:r>
      <w:r w:rsidRPr="00A77A91">
        <w:rPr>
          <w:b/>
        </w:rPr>
        <w:t>25 November 2021</w:t>
      </w:r>
      <w:r w:rsidRPr="00A77A91">
        <w:t xml:space="preserve"> medical devices that administer medicines or biologicals by inhalation will be required to meet regulatory requirements demonstrating the safety and efficacy of the product commensurate with the higher classification (</w:t>
      </w:r>
      <w:r w:rsidRPr="00A77A91">
        <w:rPr>
          <w:b/>
        </w:rPr>
        <w:t xml:space="preserve">Class </w:t>
      </w:r>
      <w:proofErr w:type="spellStart"/>
      <w:r w:rsidRPr="00A77A91">
        <w:rPr>
          <w:b/>
        </w:rPr>
        <w:t>IIa</w:t>
      </w:r>
      <w:proofErr w:type="spellEnd"/>
      <w:r w:rsidRPr="00A77A91">
        <w:rPr>
          <w:b/>
        </w:rPr>
        <w:t xml:space="preserve"> or Class IIb</w:t>
      </w:r>
      <w:r w:rsidRPr="00A77A91">
        <w:t>).</w:t>
      </w:r>
    </w:p>
    <w:p w14:paraId="7927E7F8" w14:textId="21B22DFD" w:rsidR="00083156" w:rsidRPr="00D6230E" w:rsidRDefault="00083156" w:rsidP="00A77A91">
      <w:pPr>
        <w:pStyle w:val="Heading3"/>
      </w:pPr>
      <w:bookmarkStart w:id="4" w:name="_Toc71720437"/>
      <w:bookmarkStart w:id="5" w:name="_Toc155785752"/>
      <w:r w:rsidRPr="00D6230E">
        <w:t>Background</w:t>
      </w:r>
      <w:bookmarkEnd w:id="4"/>
      <w:bookmarkEnd w:id="5"/>
    </w:p>
    <w:p w14:paraId="0AFB0796" w14:textId="77777777" w:rsidR="00083156" w:rsidRPr="00D6230E" w:rsidRDefault="00083156" w:rsidP="00A77A91">
      <w:r w:rsidRPr="00D6230E">
        <w:t xml:space="preserve">In early 2019 the Therapeutic Goods Administration (TGA) conducted a </w:t>
      </w:r>
      <w:hyperlink r:id="rId13" w:history="1">
        <w:r w:rsidRPr="00D6230E">
          <w:rPr>
            <w:rStyle w:val="Hyperlink"/>
          </w:rPr>
          <w:t>public consultation seeking feedback</w:t>
        </w:r>
      </w:hyperlink>
      <w:r w:rsidRPr="00D6230E">
        <w:t xml:space="preserve"> on a proposal to reclassify medical devices that administer medicines or biologicals by inhalation.  The proposed regulatory changes supported the commitment made in the </w:t>
      </w:r>
      <w:hyperlink r:id="rId14" w:history="1">
        <w:r w:rsidRPr="00D6230E">
          <w:rPr>
            <w:rStyle w:val="Hyperlink"/>
          </w:rPr>
          <w:t>Australian Government Response to the Review of Medicines and Medical Devices Regulation</w:t>
        </w:r>
      </w:hyperlink>
      <w:r w:rsidRPr="00D6230E">
        <w:t xml:space="preserve"> to align Australian medical device regulations, where possible and appropriate, with the European Union framework.</w:t>
      </w:r>
    </w:p>
    <w:p w14:paraId="5B5ECDF2" w14:textId="77777777" w:rsidR="00083156" w:rsidRPr="00D6230E" w:rsidRDefault="00083156" w:rsidP="00A77A91">
      <w:r w:rsidRPr="00D6230E">
        <w:t xml:space="preserve">Stakeholders who responded to the public consultation were broadly supportive of the proposed changes and the </w:t>
      </w:r>
      <w:hyperlink r:id="rId15" w:history="1">
        <w:r w:rsidRPr="00D6230E">
          <w:rPr>
            <w:rStyle w:val="Hyperlink"/>
            <w:i/>
          </w:rPr>
          <w:t>Therapeutic Goods Legislation Amendment (2019 Measures No.1) Regulations 2019</w:t>
        </w:r>
      </w:hyperlink>
      <w:r w:rsidRPr="00D6230E">
        <w:t xml:space="preserve"> was made on 12 December 2019. </w:t>
      </w:r>
    </w:p>
    <w:p w14:paraId="5F0FAF8E" w14:textId="77777777" w:rsidR="00083156" w:rsidRPr="00D6230E" w:rsidRDefault="00083156" w:rsidP="00A77A91">
      <w:r w:rsidRPr="00D6230E">
        <w:t xml:space="preserve">The </w:t>
      </w:r>
      <w:hyperlink r:id="rId16" w:history="1">
        <w:r w:rsidRPr="00D6230E">
          <w:rPr>
            <w:rStyle w:val="Hyperlink"/>
          </w:rPr>
          <w:t>amendments</w:t>
        </w:r>
      </w:hyperlink>
      <w:r w:rsidRPr="00D6230E">
        <w:t xml:space="preserve"> include the reclassification of medical devices that administer medicines or biologicals by inhalation, effective from 25 November 2021.</w:t>
      </w:r>
    </w:p>
    <w:p w14:paraId="77CEB0FA" w14:textId="77777777" w:rsidR="00083156" w:rsidRPr="00D6230E" w:rsidRDefault="00083156" w:rsidP="00A77A91">
      <w:r w:rsidRPr="00D6230E">
        <w:t xml:space="preserve">Further regulatory </w:t>
      </w:r>
      <w:hyperlink r:id="rId17" w:history="1">
        <w:r w:rsidRPr="00D6230E">
          <w:rPr>
            <w:rStyle w:val="Hyperlink"/>
          </w:rPr>
          <w:t>refinements</w:t>
        </w:r>
      </w:hyperlink>
      <w:r w:rsidRPr="00D6230E">
        <w:t xml:space="preserve"> were made on 29 October 2021 to provide greater clarity around the regulation of these products.</w:t>
      </w:r>
    </w:p>
    <w:p w14:paraId="4F685138" w14:textId="77777777" w:rsidR="00083156" w:rsidRPr="00D6230E" w:rsidRDefault="00083156" w:rsidP="00A77A91">
      <w:pPr>
        <w:pStyle w:val="Heading3"/>
      </w:pPr>
      <w:bookmarkStart w:id="6" w:name="_Toc53585796"/>
      <w:bookmarkStart w:id="7" w:name="_Toc71720438"/>
      <w:bookmarkStart w:id="8" w:name="_Toc155785753"/>
      <w:r w:rsidRPr="00D6230E">
        <w:t>Requirements for reclassification</w:t>
      </w:r>
      <w:bookmarkEnd w:id="6"/>
      <w:bookmarkEnd w:id="7"/>
      <w:bookmarkEnd w:id="8"/>
    </w:p>
    <w:p w14:paraId="7000A87C" w14:textId="77777777" w:rsidR="00083156" w:rsidRPr="00D6230E" w:rsidRDefault="00083156" w:rsidP="00A77A91">
      <w:r w:rsidRPr="00D6230E">
        <w:t>The requirements include:</w:t>
      </w:r>
    </w:p>
    <w:p w14:paraId="644C8066" w14:textId="4725C80B" w:rsidR="00083156" w:rsidRPr="00D6230E" w:rsidRDefault="00083156" w:rsidP="00A77A91">
      <w:pPr>
        <w:pStyle w:val="ListBullet"/>
        <w:numPr>
          <w:ilvl w:val="0"/>
          <w:numId w:val="22"/>
        </w:numPr>
      </w:pPr>
      <w:r w:rsidRPr="00D6230E">
        <w:t>more detailed assessment of the manufacturer’s quality management systems and assessment of technical documentation related to the device</w:t>
      </w:r>
      <w:r w:rsidR="00D6230E">
        <w:t>.</w:t>
      </w:r>
    </w:p>
    <w:p w14:paraId="65E6C3DC" w14:textId="77777777" w:rsidR="00083156" w:rsidRPr="00D6230E" w:rsidRDefault="00083156" w:rsidP="00A77A91">
      <w:pPr>
        <w:pStyle w:val="ListBullet"/>
        <w:numPr>
          <w:ilvl w:val="0"/>
          <w:numId w:val="22"/>
        </w:numPr>
      </w:pPr>
      <w:r w:rsidRPr="00D6230E">
        <w:t>conformity assessment documents demonstrating procedures appropriate for their classification.</w:t>
      </w:r>
    </w:p>
    <w:p w14:paraId="60F4C3F5" w14:textId="77777777" w:rsidR="00083156" w:rsidRPr="00D6230E" w:rsidRDefault="00083156" w:rsidP="00A77A91">
      <w:r w:rsidRPr="00D6230E">
        <w:t>The following guidance aims to assist sponsors of these devices with meeting their obligations and outlines transitional arrangements to help sponsors comply with the new regulations.</w:t>
      </w:r>
    </w:p>
    <w:p w14:paraId="290E8391" w14:textId="77777777" w:rsidR="00083156" w:rsidRPr="00D6230E" w:rsidRDefault="00083156" w:rsidP="00A77A91">
      <w:pPr>
        <w:pStyle w:val="Heading2"/>
      </w:pPr>
      <w:bookmarkStart w:id="9" w:name="_Toc71720439"/>
      <w:bookmarkStart w:id="10" w:name="_Toc155785754"/>
      <w:r w:rsidRPr="00D6230E">
        <w:t>Medical devices that administer medicines or biologicals by inhalation</w:t>
      </w:r>
      <w:bookmarkEnd w:id="9"/>
      <w:bookmarkEnd w:id="10"/>
      <w:r w:rsidRPr="00D6230E">
        <w:t xml:space="preserve"> </w:t>
      </w:r>
    </w:p>
    <w:p w14:paraId="2CDA2B4B" w14:textId="77777777" w:rsidR="00083156" w:rsidRPr="00D6230E" w:rsidRDefault="00083156" w:rsidP="00A77A91">
      <w:bookmarkStart w:id="11" w:name="_Toc28006852"/>
      <w:bookmarkStart w:id="12" w:name="_Toc35782306"/>
      <w:r w:rsidRPr="00D6230E">
        <w:t>From 25 November 2021, the following classification rules will apply:</w:t>
      </w:r>
    </w:p>
    <w:p w14:paraId="48BB9903" w14:textId="77777777" w:rsidR="00083156" w:rsidRPr="00D6230E" w:rsidRDefault="00083156" w:rsidP="00A77A91">
      <w:bookmarkStart w:id="13" w:name="_Hlk86816822"/>
      <w:r w:rsidRPr="00D6230E">
        <w:t xml:space="preserve">Subclause </w:t>
      </w:r>
      <w:bookmarkEnd w:id="13"/>
      <w:r w:rsidRPr="00D6230E">
        <w:t>5.10 of Schedule 2:</w:t>
      </w:r>
    </w:p>
    <w:p w14:paraId="5FE9EDD7" w14:textId="77777777" w:rsidR="00083156" w:rsidRPr="00D6230E" w:rsidRDefault="00083156" w:rsidP="00A77A91">
      <w:r w:rsidRPr="00D6230E">
        <w:t>If a medical device is intended to be used to administer medicines or biologicals by inhalation:</w:t>
      </w:r>
    </w:p>
    <w:p w14:paraId="2C564492" w14:textId="77777777" w:rsidR="00083156" w:rsidRPr="00D6230E" w:rsidRDefault="00083156" w:rsidP="00A77A91">
      <w:r w:rsidRPr="00D6230E">
        <w:t>(a)</w:t>
      </w:r>
      <w:r w:rsidRPr="00D6230E">
        <w:tab/>
        <w:t>if the mode of action of the device has an essential impact on the efficacy and safety of the medicines or biologicals—the device is classified as Class IIb; or</w:t>
      </w:r>
    </w:p>
    <w:p w14:paraId="04916B5C" w14:textId="77777777" w:rsidR="00083156" w:rsidRPr="00D6230E" w:rsidRDefault="00083156" w:rsidP="00A77A91">
      <w:r w:rsidRPr="00D6230E">
        <w:t>(b)</w:t>
      </w:r>
      <w:r w:rsidRPr="00D6230E">
        <w:tab/>
        <w:t>if the device is intended to treat a life</w:t>
      </w:r>
      <w:r w:rsidRPr="00D6230E">
        <w:noBreakHyphen/>
        <w:t>threatening condition—the device is classified as Class IIb; or</w:t>
      </w:r>
    </w:p>
    <w:p w14:paraId="59D0657D" w14:textId="45084DED" w:rsidR="00083156" w:rsidRPr="00D6230E" w:rsidRDefault="00083156" w:rsidP="00A77A91">
      <w:r w:rsidRPr="00D6230E">
        <w:t>(c)</w:t>
      </w:r>
      <w:r w:rsidRPr="00D6230E">
        <w:tab/>
        <w:t xml:space="preserve">if paragraphs (a) and (b) do not apply—the device is classified as Class </w:t>
      </w:r>
      <w:proofErr w:type="spellStart"/>
      <w:r w:rsidRPr="00D6230E">
        <w:t>IIa</w:t>
      </w:r>
      <w:proofErr w:type="spellEnd"/>
      <w:r w:rsidRPr="00D6230E">
        <w:t>.</w:t>
      </w:r>
    </w:p>
    <w:p w14:paraId="60147477" w14:textId="78CE3AB1" w:rsidR="00083156" w:rsidRPr="00D6230E" w:rsidRDefault="00083156" w:rsidP="00A77A91">
      <w:r w:rsidRPr="00D6230E">
        <w:lastRenderedPageBreak/>
        <w:t xml:space="preserve">Medical devices intended to administer medicines or biologicals by inhalation are widely used for the treatment of respiratory disorders (for example, asthma, obstructive lung disorder, cystic fibrosis, pulmonary arterial </w:t>
      </w:r>
      <w:r w:rsidR="008519D5" w:rsidRPr="00D6230E">
        <w:t>hypertension,</w:t>
      </w:r>
      <w:r w:rsidRPr="00D6230E">
        <w:t xml:space="preserve"> and infectious pulmonary disease). More recently, the use of aerosols has expanded to non-respiratory conditions (for example, diabetes, analgesia, thyroid </w:t>
      </w:r>
      <w:proofErr w:type="gramStart"/>
      <w:r w:rsidRPr="00D6230E">
        <w:t>disorders</w:t>
      </w:r>
      <w:proofErr w:type="gramEnd"/>
      <w:r w:rsidRPr="00D6230E">
        <w:t xml:space="preserve"> and genetic disease).</w:t>
      </w:r>
    </w:p>
    <w:p w14:paraId="0BC4D10D" w14:textId="77777777" w:rsidR="00083156" w:rsidRPr="00D6230E" w:rsidRDefault="00083156" w:rsidP="00A77A91">
      <w:pPr>
        <w:pStyle w:val="Heading3"/>
      </w:pPr>
      <w:bookmarkStart w:id="14" w:name="_Toc71720440"/>
      <w:bookmarkStart w:id="15" w:name="_Toc155785755"/>
      <w:r w:rsidRPr="00D6230E">
        <w:t>Examples of devices to be reclassified</w:t>
      </w:r>
      <w:bookmarkEnd w:id="14"/>
      <w:bookmarkEnd w:id="15"/>
    </w:p>
    <w:p w14:paraId="18948EB5" w14:textId="77777777" w:rsidR="00083156" w:rsidRPr="00D6230E" w:rsidRDefault="00083156" w:rsidP="00A77A91">
      <w:r w:rsidRPr="00D6230E">
        <w:t>In considering the appropriate classification of a medical device that is intended to be used to administer medicines or biologicals by inhalation, sponsors may wish to consider the following:</w:t>
      </w:r>
    </w:p>
    <w:p w14:paraId="163364F6" w14:textId="55EB473B" w:rsidR="00083156" w:rsidRPr="00D6230E" w:rsidRDefault="00083156" w:rsidP="00A77A91">
      <w:pPr>
        <w:pStyle w:val="ListBullet"/>
        <w:numPr>
          <w:ilvl w:val="0"/>
          <w:numId w:val="22"/>
        </w:numPr>
      </w:pPr>
      <w:r w:rsidRPr="00D6230E">
        <w:t xml:space="preserve">Does the mode of action (for example, action, </w:t>
      </w:r>
      <w:proofErr w:type="gramStart"/>
      <w:r w:rsidRPr="00D6230E">
        <w:t>mechanism</w:t>
      </w:r>
      <w:proofErr w:type="gramEnd"/>
      <w:r w:rsidRPr="00D6230E">
        <w:t xml:space="preserve"> or operation) of the device have an impact on the delivery, dosage, efficacy and safety of the medicine or biological that is being delivered to the person? For example, if a medicine or biological is required to be aerosolised to be efficacious prior to inhalation by a patient and the device failed to aerosolise the medicine or biological, this would have an impact on the efficacy of the medicine or biological. In this instance, the device would </w:t>
      </w:r>
      <w:r w:rsidR="003730E4" w:rsidRPr="00D6230E">
        <w:t>be</w:t>
      </w:r>
      <w:r w:rsidRPr="00D6230E">
        <w:t xml:space="preserve"> classified as </w:t>
      </w:r>
      <w:r w:rsidRPr="00A77A91">
        <w:rPr>
          <w:b/>
        </w:rPr>
        <w:t>Class IIb</w:t>
      </w:r>
      <w:r w:rsidRPr="00D6230E">
        <w:t>.</w:t>
      </w:r>
    </w:p>
    <w:p w14:paraId="4CB4F57A" w14:textId="497F4B49" w:rsidR="00083156" w:rsidRPr="00D6230E" w:rsidRDefault="00083156" w:rsidP="00A77A91">
      <w:pPr>
        <w:pStyle w:val="ListBullet"/>
        <w:numPr>
          <w:ilvl w:val="0"/>
          <w:numId w:val="22"/>
        </w:numPr>
      </w:pPr>
      <w:r w:rsidRPr="00D6230E">
        <w:t xml:space="preserve">Is the device intended to administer a medicine or biological by inhalation to treat a life-threatening condition where, if the operation of the device failed it could result in the death of the person? For example, a medical device that is intended to deliver medicines by inhalation to treat a severe asthma attack where if the device failed it could result in the death of the person would </w:t>
      </w:r>
      <w:r w:rsidR="003730E4" w:rsidRPr="00D6230E">
        <w:t>be</w:t>
      </w:r>
      <w:r w:rsidRPr="00D6230E">
        <w:t xml:space="preserve"> classified as </w:t>
      </w:r>
      <w:r w:rsidRPr="00A77A91">
        <w:rPr>
          <w:b/>
        </w:rPr>
        <w:t>Class IIb</w:t>
      </w:r>
      <w:r w:rsidRPr="00D6230E">
        <w:t>.</w:t>
      </w:r>
    </w:p>
    <w:p w14:paraId="553A276E" w14:textId="77777777" w:rsidR="00083156" w:rsidRPr="00D6230E" w:rsidRDefault="00083156" w:rsidP="00A77A91">
      <w:r w:rsidRPr="00D6230E">
        <w:t>Some examples of medical devices intended for administering medicines or biologicals, and a comparison of the old classification versus the new classification are provided below.</w:t>
      </w:r>
    </w:p>
    <w:p w14:paraId="33078632" w14:textId="77777777" w:rsidR="00083156" w:rsidRPr="00D6230E" w:rsidRDefault="00083156" w:rsidP="00A77A91">
      <w:pPr>
        <w:pStyle w:val="Tabletitle"/>
      </w:pPr>
      <w:r w:rsidRPr="00D6230E">
        <w:t xml:space="preserve">Comparison of old vs new classification </w:t>
      </w:r>
    </w:p>
    <w:tbl>
      <w:tblPr>
        <w:tblStyle w:val="TableTGAblue"/>
        <w:tblW w:w="9639" w:type="dxa"/>
        <w:tblLook w:val="04A0" w:firstRow="1" w:lastRow="0" w:firstColumn="1" w:lastColumn="0" w:noHBand="0" w:noVBand="1"/>
        <w:tblCaption w:val="Comparison of old vs new classification of invasive medical devices"/>
        <w:tblDescription w:val="A table providing examples of invasive medical devices intended for administering medicines or biologicals and a comparison of the old classification versus the new classification. First column describes the device. Second column describes the old classification. Third column describes the new classification."/>
      </w:tblPr>
      <w:tblGrid>
        <w:gridCol w:w="5170"/>
        <w:gridCol w:w="1967"/>
        <w:gridCol w:w="2502"/>
      </w:tblGrid>
      <w:tr w:rsidR="00083156" w:rsidRPr="00D6230E" w14:paraId="12FD900E" w14:textId="77777777" w:rsidTr="00D6230E">
        <w:trPr>
          <w:cnfStyle w:val="100000000000" w:firstRow="1" w:lastRow="0" w:firstColumn="0" w:lastColumn="0" w:oddVBand="0" w:evenVBand="0" w:oddHBand="0" w:evenHBand="0" w:firstRowFirstColumn="0" w:firstRowLastColumn="0" w:lastRowFirstColumn="0" w:lastRowLastColumn="0"/>
          <w:trHeight w:val="683"/>
          <w:tblHeader/>
        </w:trPr>
        <w:tc>
          <w:tcPr>
            <w:cnfStyle w:val="001000000000" w:firstRow="0" w:lastRow="0" w:firstColumn="1" w:lastColumn="0" w:oddVBand="0" w:evenVBand="0" w:oddHBand="0" w:evenHBand="0" w:firstRowFirstColumn="0" w:firstRowLastColumn="0" w:lastRowFirstColumn="0" w:lastRowLastColumn="0"/>
            <w:tcW w:w="5170" w:type="dxa"/>
          </w:tcPr>
          <w:p w14:paraId="42B400D5" w14:textId="77777777" w:rsidR="00083156" w:rsidRPr="00A77A91" w:rsidRDefault="00083156" w:rsidP="00A77A91">
            <w:pPr>
              <w:rPr>
                <w:sz w:val="20"/>
                <w:szCs w:val="20"/>
              </w:rPr>
            </w:pPr>
            <w:r w:rsidRPr="00A77A91">
              <w:rPr>
                <w:sz w:val="20"/>
                <w:szCs w:val="20"/>
              </w:rPr>
              <w:t>Device</w:t>
            </w:r>
          </w:p>
        </w:tc>
        <w:tc>
          <w:tcPr>
            <w:tcW w:w="1967" w:type="dxa"/>
          </w:tcPr>
          <w:p w14:paraId="64607634" w14:textId="35B395B5" w:rsidR="00083156" w:rsidRPr="00A77A91" w:rsidRDefault="00083156" w:rsidP="00A77A91">
            <w:pPr>
              <w:cnfStyle w:val="100000000000" w:firstRow="1" w:lastRow="0" w:firstColumn="0" w:lastColumn="0" w:oddVBand="0" w:evenVBand="0" w:oddHBand="0" w:evenHBand="0" w:firstRowFirstColumn="0" w:firstRowLastColumn="0" w:lastRowFirstColumn="0" w:lastRowLastColumn="0"/>
              <w:rPr>
                <w:sz w:val="20"/>
                <w:szCs w:val="20"/>
              </w:rPr>
            </w:pPr>
            <w:r w:rsidRPr="00A77A91">
              <w:rPr>
                <w:sz w:val="20"/>
                <w:szCs w:val="20"/>
              </w:rPr>
              <w:t>Old classification</w:t>
            </w:r>
          </w:p>
        </w:tc>
        <w:tc>
          <w:tcPr>
            <w:tcW w:w="2502" w:type="dxa"/>
          </w:tcPr>
          <w:p w14:paraId="63A383A0" w14:textId="77777777" w:rsidR="00083156" w:rsidRPr="00A77A91" w:rsidRDefault="00083156" w:rsidP="00A77A91">
            <w:pPr>
              <w:cnfStyle w:val="100000000000" w:firstRow="1" w:lastRow="0" w:firstColumn="0" w:lastColumn="0" w:oddVBand="0" w:evenVBand="0" w:oddHBand="0" w:evenHBand="0" w:firstRowFirstColumn="0" w:firstRowLastColumn="0" w:lastRowFirstColumn="0" w:lastRowLastColumn="0"/>
              <w:rPr>
                <w:sz w:val="20"/>
                <w:szCs w:val="20"/>
              </w:rPr>
            </w:pPr>
            <w:r w:rsidRPr="00A77A91">
              <w:rPr>
                <w:sz w:val="20"/>
                <w:szCs w:val="20"/>
              </w:rPr>
              <w:t>New classification</w:t>
            </w:r>
          </w:p>
        </w:tc>
      </w:tr>
      <w:tr w:rsidR="00083156" w:rsidRPr="00D6230E" w14:paraId="130DB930" w14:textId="77777777" w:rsidTr="00D6230E">
        <w:trPr>
          <w:trHeight w:val="4879"/>
        </w:trPr>
        <w:tc>
          <w:tcPr>
            <w:cnfStyle w:val="001000000000" w:firstRow="0" w:lastRow="0" w:firstColumn="1" w:lastColumn="0" w:oddVBand="0" w:evenVBand="0" w:oddHBand="0" w:evenHBand="0" w:firstRowFirstColumn="0" w:firstRowLastColumn="0" w:lastRowFirstColumn="0" w:lastRowLastColumn="0"/>
            <w:tcW w:w="5170" w:type="dxa"/>
          </w:tcPr>
          <w:p w14:paraId="248C3763" w14:textId="61E2B47A"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Inhalation devices</w:t>
            </w:r>
          </w:p>
          <w:p w14:paraId="3235A3B0" w14:textId="77777777" w:rsidR="00083156" w:rsidRPr="00A77A91" w:rsidRDefault="00083156" w:rsidP="00A77A91">
            <w:pPr>
              <w:pStyle w:val="ListBullet"/>
              <w:numPr>
                <w:ilvl w:val="0"/>
                <w:numId w:val="22"/>
              </w:numPr>
              <w:rPr>
                <w:rFonts w:asciiTheme="majorHAnsi" w:hAnsiTheme="majorHAnsi" w:cstheme="majorHAnsi"/>
                <w:sz w:val="18"/>
                <w:szCs w:val="18"/>
              </w:rPr>
            </w:pPr>
            <w:r w:rsidRPr="00A77A91">
              <w:rPr>
                <w:rFonts w:asciiTheme="majorHAnsi" w:hAnsiTheme="majorHAnsi" w:cstheme="majorHAnsi"/>
                <w:sz w:val="18"/>
                <w:szCs w:val="18"/>
              </w:rPr>
              <w:t>Spacer/valved holding chambers/face masks</w:t>
            </w:r>
          </w:p>
          <w:p w14:paraId="4ED55ECB"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A spacer is a device intended to be used by attaching it to metered dose inhalers to facilitate better delivery of a medicine. For example, it may be used by small children to enable the slow inhalation of the medicine. Face masks can also be used with the spacer.</w:t>
            </w:r>
          </w:p>
          <w:p w14:paraId="6AA27300"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Valved holding chambers allow for a fine cloud of medication to stay in the spacer until the patient breathes it in through a one-way valve, drawing the dose of medicine into the lungs.</w:t>
            </w:r>
          </w:p>
        </w:tc>
        <w:tc>
          <w:tcPr>
            <w:tcW w:w="1967" w:type="dxa"/>
          </w:tcPr>
          <w:p w14:paraId="7522BE5C"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Class I</w:t>
            </w:r>
          </w:p>
          <w:p w14:paraId="50EDB6D2"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w:t>
            </w:r>
            <w:proofErr w:type="gramStart"/>
            <w:r w:rsidRPr="00A77A91">
              <w:rPr>
                <w:rFonts w:asciiTheme="majorHAnsi" w:hAnsiTheme="majorHAnsi" w:cstheme="majorHAnsi"/>
                <w:sz w:val="18"/>
                <w:szCs w:val="18"/>
              </w:rPr>
              <w:t>transient</w:t>
            </w:r>
            <w:proofErr w:type="gramEnd"/>
            <w:r w:rsidRPr="00A77A91">
              <w:rPr>
                <w:rFonts w:asciiTheme="majorHAnsi" w:hAnsiTheme="majorHAnsi" w:cstheme="majorHAnsi"/>
                <w:sz w:val="18"/>
                <w:szCs w:val="18"/>
              </w:rPr>
              <w:t xml:space="preserve"> use invasive medical device not intended to be connected to an active medical device)</w:t>
            </w:r>
          </w:p>
        </w:tc>
        <w:tc>
          <w:tcPr>
            <w:tcW w:w="2502" w:type="dxa"/>
          </w:tcPr>
          <w:p w14:paraId="4A8B899A"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b/>
                <w:sz w:val="18"/>
                <w:szCs w:val="18"/>
              </w:rPr>
              <w:t xml:space="preserve">Class IIb - </w:t>
            </w:r>
            <w:r w:rsidRPr="00A77A91">
              <w:rPr>
                <w:rFonts w:asciiTheme="majorHAnsi" w:hAnsiTheme="majorHAnsi" w:cstheme="majorHAnsi"/>
                <w:sz w:val="18"/>
                <w:szCs w:val="18"/>
              </w:rPr>
              <w:t>if the mode of action of the device has an essential impact on the efficacy and safety of the medicine or biological, or if it is intended to treat a life- threatening condition</w:t>
            </w:r>
          </w:p>
          <w:p w14:paraId="662AC7B0"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Or</w:t>
            </w:r>
          </w:p>
          <w:p w14:paraId="123B969D"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b/>
                <w:sz w:val="18"/>
                <w:szCs w:val="18"/>
              </w:rPr>
              <w:t xml:space="preserve">Class </w:t>
            </w:r>
            <w:proofErr w:type="spellStart"/>
            <w:r w:rsidRPr="00A77A91">
              <w:rPr>
                <w:rFonts w:asciiTheme="majorHAnsi" w:hAnsiTheme="majorHAnsi" w:cstheme="majorHAnsi"/>
                <w:b/>
                <w:sz w:val="18"/>
                <w:szCs w:val="18"/>
              </w:rPr>
              <w:t>IIa</w:t>
            </w:r>
            <w:proofErr w:type="spellEnd"/>
            <w:r w:rsidRPr="00A77A91">
              <w:rPr>
                <w:rFonts w:asciiTheme="majorHAnsi" w:hAnsiTheme="majorHAnsi" w:cstheme="majorHAnsi"/>
                <w:sz w:val="18"/>
                <w:szCs w:val="18"/>
              </w:rPr>
              <w:t xml:space="preserve"> - if the mode of action</w:t>
            </w:r>
            <w:r w:rsidRPr="00A77A91">
              <w:rPr>
                <w:rFonts w:asciiTheme="majorHAnsi" w:hAnsiTheme="majorHAnsi" w:cstheme="majorHAnsi"/>
                <w:color w:val="auto"/>
                <w:sz w:val="18"/>
                <w:szCs w:val="18"/>
              </w:rPr>
              <w:t xml:space="preserve"> </w:t>
            </w:r>
            <w:r w:rsidRPr="00A77A91">
              <w:rPr>
                <w:rFonts w:asciiTheme="majorHAnsi" w:hAnsiTheme="majorHAnsi" w:cstheme="majorHAnsi"/>
                <w:sz w:val="18"/>
                <w:szCs w:val="18"/>
              </w:rPr>
              <w:t>of the device does not have an essential impact on the efficacy and safety of the medicine or biological, or if it is not intended to treat a life- threatening condition</w:t>
            </w:r>
          </w:p>
        </w:tc>
      </w:tr>
      <w:tr w:rsidR="00083156" w:rsidRPr="00D6230E" w14:paraId="46FE729F" w14:textId="77777777" w:rsidTr="00D6230E">
        <w:tc>
          <w:tcPr>
            <w:cnfStyle w:val="001000000000" w:firstRow="0" w:lastRow="0" w:firstColumn="1" w:lastColumn="0" w:oddVBand="0" w:evenVBand="0" w:oddHBand="0" w:evenHBand="0" w:firstRowFirstColumn="0" w:firstRowLastColumn="0" w:lastRowFirstColumn="0" w:lastRowLastColumn="0"/>
            <w:tcW w:w="5170" w:type="dxa"/>
          </w:tcPr>
          <w:p w14:paraId="10862A1A" w14:textId="5132A8C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lastRenderedPageBreak/>
              <w:t>Nebulisers and their accessories</w:t>
            </w:r>
          </w:p>
          <w:p w14:paraId="0609DBC0" w14:textId="1F81A8D2" w:rsidR="00083156" w:rsidRPr="00A77A91" w:rsidRDefault="00083156" w:rsidP="00A77A91">
            <w:pPr>
              <w:pStyle w:val="ListBullet"/>
              <w:numPr>
                <w:ilvl w:val="0"/>
                <w:numId w:val="22"/>
              </w:numPr>
              <w:rPr>
                <w:rFonts w:asciiTheme="majorHAnsi" w:hAnsiTheme="majorHAnsi" w:cstheme="majorHAnsi"/>
                <w:sz w:val="18"/>
                <w:szCs w:val="18"/>
              </w:rPr>
            </w:pPr>
            <w:r w:rsidRPr="00A77A91">
              <w:rPr>
                <w:rFonts w:asciiTheme="majorHAnsi" w:hAnsiTheme="majorHAnsi" w:cstheme="majorHAnsi"/>
                <w:sz w:val="18"/>
                <w:szCs w:val="18"/>
              </w:rPr>
              <w:t xml:space="preserve">Mouthpiece, nebulisers cup/container, </w:t>
            </w:r>
          </w:p>
          <w:p w14:paraId="433FFFFC"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Nebulisers are devices that transform solutions or suspensions of medications into aerosols that are better for deposition in the lower airways. This mode of administering medicine is critical for respiratory disorders and may include delivery of antibiotics, bronchodilators, corticosteroids and more. These devices can be used for patients who are not able to use other inhaler devices (for example, too young or too ill).</w:t>
            </w:r>
          </w:p>
          <w:p w14:paraId="094C38F9"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Nebulisers are used with accessories (for example, invasive devices such as mouthpieces/face masks) that are connected to the air compressor via tubing and enable transfer of aerosol to the patient.</w:t>
            </w:r>
          </w:p>
        </w:tc>
        <w:tc>
          <w:tcPr>
            <w:tcW w:w="1967" w:type="dxa"/>
          </w:tcPr>
          <w:p w14:paraId="4C325471"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Class I</w:t>
            </w:r>
          </w:p>
          <w:p w14:paraId="41DE3E6E"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(mouthpiece/face mask – short-term use in the oral cavity or nasal cavity)</w:t>
            </w:r>
          </w:p>
        </w:tc>
        <w:tc>
          <w:tcPr>
            <w:tcW w:w="2502" w:type="dxa"/>
          </w:tcPr>
          <w:p w14:paraId="060DD177"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b/>
                <w:sz w:val="18"/>
                <w:szCs w:val="18"/>
              </w:rPr>
              <w:t>Class IIb</w:t>
            </w:r>
            <w:r w:rsidRPr="00A77A91">
              <w:rPr>
                <w:rFonts w:asciiTheme="majorHAnsi" w:hAnsiTheme="majorHAnsi" w:cstheme="majorHAnsi"/>
                <w:sz w:val="18"/>
                <w:szCs w:val="18"/>
              </w:rPr>
              <w:t xml:space="preserve"> - if the device is intended to treat a life-threatening condition</w:t>
            </w:r>
          </w:p>
          <w:p w14:paraId="5B296AFD"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Or</w:t>
            </w:r>
          </w:p>
          <w:p w14:paraId="5EFA64EB" w14:textId="6064ABAD"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b/>
                <w:sz w:val="18"/>
                <w:szCs w:val="18"/>
              </w:rPr>
              <w:t xml:space="preserve">Class </w:t>
            </w:r>
            <w:proofErr w:type="spellStart"/>
            <w:r w:rsidRPr="00A77A91">
              <w:rPr>
                <w:rFonts w:asciiTheme="majorHAnsi" w:hAnsiTheme="majorHAnsi" w:cstheme="majorHAnsi"/>
                <w:b/>
                <w:sz w:val="18"/>
                <w:szCs w:val="18"/>
              </w:rPr>
              <w:t>IIa</w:t>
            </w:r>
            <w:proofErr w:type="spellEnd"/>
            <w:r w:rsidRPr="00A77A91">
              <w:rPr>
                <w:rFonts w:asciiTheme="majorHAnsi" w:hAnsiTheme="majorHAnsi" w:cstheme="majorHAnsi"/>
                <w:sz w:val="18"/>
                <w:szCs w:val="18"/>
              </w:rPr>
              <w:t xml:space="preserve"> - if the device is not intended to treat a life-threatening condition</w:t>
            </w:r>
          </w:p>
        </w:tc>
      </w:tr>
      <w:tr w:rsidR="00083156" w:rsidRPr="00D6230E" w14:paraId="3ED60715" w14:textId="77777777" w:rsidTr="00D6230E">
        <w:tc>
          <w:tcPr>
            <w:cnfStyle w:val="001000000000" w:firstRow="0" w:lastRow="0" w:firstColumn="1" w:lastColumn="0" w:oddVBand="0" w:evenVBand="0" w:oddHBand="0" w:evenHBand="0" w:firstRowFirstColumn="0" w:firstRowLastColumn="0" w:lastRowFirstColumn="0" w:lastRowLastColumn="0"/>
            <w:tcW w:w="5170" w:type="dxa"/>
          </w:tcPr>
          <w:p w14:paraId="2A802324"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Nasal oxygen cannula</w:t>
            </w:r>
          </w:p>
          <w:p w14:paraId="10D0ECB4"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 xml:space="preserve">A nasal cannula (NC) (with tube or without tube) is a device that delivers supplemental oxygen or increased airflow to a patient or person in need of respiratory help. This device is a non-sterile, semi-rigid lightweight tube which on one end splits into two prongs which are placed in the nostrils and from which a mixture of air and oxygen flows. It is commonly known as ‘nasal </w:t>
            </w:r>
            <w:proofErr w:type="gramStart"/>
            <w:r w:rsidRPr="00A77A91">
              <w:rPr>
                <w:rFonts w:asciiTheme="majorHAnsi" w:hAnsiTheme="majorHAnsi" w:cstheme="majorHAnsi"/>
                <w:sz w:val="18"/>
                <w:szCs w:val="18"/>
              </w:rPr>
              <w:t>prongs’</w:t>
            </w:r>
            <w:proofErr w:type="gramEnd"/>
            <w:r w:rsidRPr="00A77A91">
              <w:rPr>
                <w:rFonts w:asciiTheme="majorHAnsi" w:hAnsiTheme="majorHAnsi" w:cstheme="majorHAnsi"/>
                <w:sz w:val="18"/>
                <w:szCs w:val="18"/>
              </w:rPr>
              <w:t>. The other end of the tube is connected to an oxygen supply such as a portable oxygen generator or a wall connection in a hospital via a flowmeter. The NC is generally attached to the patient by way of the tube hooking around the patient's ears or by elastic head band.</w:t>
            </w:r>
          </w:p>
          <w:p w14:paraId="3A1579F3"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b/>
                <w:sz w:val="18"/>
                <w:szCs w:val="18"/>
              </w:rPr>
              <w:t>Note</w:t>
            </w:r>
            <w:r w:rsidRPr="00A77A91">
              <w:rPr>
                <w:rFonts w:asciiTheme="majorHAnsi" w:hAnsiTheme="majorHAnsi" w:cstheme="majorHAnsi"/>
                <w:sz w:val="18"/>
                <w:szCs w:val="18"/>
              </w:rPr>
              <w:t>: Oxygen is regulated as a medicine in accordance with the Australian therapeutic goods legislation.</w:t>
            </w:r>
          </w:p>
        </w:tc>
        <w:tc>
          <w:tcPr>
            <w:tcW w:w="1967" w:type="dxa"/>
          </w:tcPr>
          <w:p w14:paraId="64F440D5"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Class I</w:t>
            </w:r>
          </w:p>
          <w:p w14:paraId="09681841"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 xml:space="preserve">(short-term use in a nasal cavity) </w:t>
            </w:r>
          </w:p>
          <w:p w14:paraId="7977262A"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or</w:t>
            </w:r>
          </w:p>
          <w:p w14:paraId="6B000E12"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Class </w:t>
            </w:r>
            <w:proofErr w:type="spellStart"/>
            <w:r w:rsidRPr="00A77A91">
              <w:rPr>
                <w:rFonts w:asciiTheme="majorHAnsi" w:hAnsiTheme="majorHAnsi" w:cstheme="majorHAnsi"/>
                <w:sz w:val="18"/>
                <w:szCs w:val="18"/>
              </w:rPr>
              <w:t>IIa</w:t>
            </w:r>
            <w:proofErr w:type="spellEnd"/>
          </w:p>
          <w:p w14:paraId="7C28A945"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w:t>
            </w:r>
            <w:proofErr w:type="gramStart"/>
            <w:r w:rsidRPr="00A77A91">
              <w:rPr>
                <w:rFonts w:asciiTheme="majorHAnsi" w:hAnsiTheme="majorHAnsi" w:cstheme="majorHAnsi"/>
                <w:sz w:val="18"/>
                <w:szCs w:val="18"/>
              </w:rPr>
              <w:t>if</w:t>
            </w:r>
            <w:proofErr w:type="gramEnd"/>
            <w:r w:rsidRPr="00A77A91">
              <w:rPr>
                <w:rFonts w:asciiTheme="majorHAnsi" w:hAnsiTheme="majorHAnsi" w:cstheme="majorHAnsi"/>
                <w:sz w:val="18"/>
                <w:szCs w:val="18"/>
              </w:rPr>
              <w:t xml:space="preserve"> it is intended to be connected to an active medical device via the tube)</w:t>
            </w:r>
          </w:p>
        </w:tc>
        <w:tc>
          <w:tcPr>
            <w:tcW w:w="2502" w:type="dxa"/>
          </w:tcPr>
          <w:p w14:paraId="3EF2A916"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b/>
                <w:sz w:val="18"/>
                <w:szCs w:val="18"/>
              </w:rPr>
              <w:t>Class IIb</w:t>
            </w:r>
            <w:r w:rsidRPr="00A77A91">
              <w:rPr>
                <w:rFonts w:asciiTheme="majorHAnsi" w:hAnsiTheme="majorHAnsi" w:cstheme="majorHAnsi"/>
                <w:sz w:val="18"/>
                <w:szCs w:val="18"/>
              </w:rPr>
              <w:t xml:space="preserve"> - if the device is intended to treat a life-threatening condition</w:t>
            </w:r>
          </w:p>
          <w:p w14:paraId="7E4D95EB"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Or</w:t>
            </w:r>
          </w:p>
          <w:p w14:paraId="017D4BEA"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b/>
                <w:sz w:val="18"/>
                <w:szCs w:val="18"/>
              </w:rPr>
              <w:t xml:space="preserve">Class </w:t>
            </w:r>
            <w:proofErr w:type="spellStart"/>
            <w:proofErr w:type="gramStart"/>
            <w:r w:rsidRPr="00A77A91">
              <w:rPr>
                <w:rFonts w:asciiTheme="majorHAnsi" w:hAnsiTheme="majorHAnsi" w:cstheme="majorHAnsi"/>
                <w:b/>
                <w:sz w:val="18"/>
                <w:szCs w:val="18"/>
              </w:rPr>
              <w:t>IIa</w:t>
            </w:r>
            <w:proofErr w:type="spellEnd"/>
            <w:r w:rsidRPr="00A77A91">
              <w:rPr>
                <w:rFonts w:asciiTheme="majorHAnsi" w:hAnsiTheme="majorHAnsi" w:cstheme="majorHAnsi"/>
                <w:sz w:val="18"/>
                <w:szCs w:val="18"/>
              </w:rPr>
              <w:t xml:space="preserve">  -</w:t>
            </w:r>
            <w:proofErr w:type="gramEnd"/>
            <w:r w:rsidRPr="00A77A91">
              <w:rPr>
                <w:rFonts w:asciiTheme="majorHAnsi" w:hAnsiTheme="majorHAnsi" w:cstheme="majorHAnsi"/>
                <w:sz w:val="18"/>
                <w:szCs w:val="18"/>
              </w:rPr>
              <w:t xml:space="preserve"> if the device  is not intended to treat a life-threatening condition</w:t>
            </w:r>
          </w:p>
        </w:tc>
      </w:tr>
      <w:tr w:rsidR="00083156" w:rsidRPr="00D6230E" w14:paraId="4EC7ED3A" w14:textId="77777777" w:rsidTr="00D6230E">
        <w:tc>
          <w:tcPr>
            <w:cnfStyle w:val="001000000000" w:firstRow="0" w:lastRow="0" w:firstColumn="1" w:lastColumn="0" w:oddVBand="0" w:evenVBand="0" w:oddHBand="0" w:evenHBand="0" w:firstRowFirstColumn="0" w:firstRowLastColumn="0" w:lastRowFirstColumn="0" w:lastRowLastColumn="0"/>
            <w:tcW w:w="5170" w:type="dxa"/>
          </w:tcPr>
          <w:p w14:paraId="33DA7783"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 xml:space="preserve">Endotracheal tube (reusable or </w:t>
            </w:r>
            <w:proofErr w:type="gramStart"/>
            <w:r w:rsidRPr="00A77A91">
              <w:rPr>
                <w:rFonts w:asciiTheme="majorHAnsi" w:hAnsiTheme="majorHAnsi" w:cstheme="majorHAnsi"/>
                <w:sz w:val="18"/>
                <w:szCs w:val="18"/>
              </w:rPr>
              <w:t>single-use</w:t>
            </w:r>
            <w:proofErr w:type="gramEnd"/>
            <w:r w:rsidRPr="00A77A91">
              <w:rPr>
                <w:rFonts w:asciiTheme="majorHAnsi" w:hAnsiTheme="majorHAnsi" w:cstheme="majorHAnsi"/>
                <w:sz w:val="18"/>
                <w:szCs w:val="18"/>
              </w:rPr>
              <w:t>)</w:t>
            </w:r>
          </w:p>
          <w:p w14:paraId="5F27BB73"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 xml:space="preserve">An endotracheal tube is a hollow cylinder inserted orally (orotracheal) or nasally (nasotracheal) into the trachea to provide an unobstructed airway. It is typically connected to a ventilator that delivers oxygen to the lungs and can convey other gases and vapours to and from the lungs during anaesthesia, </w:t>
            </w:r>
            <w:proofErr w:type="gramStart"/>
            <w:r w:rsidRPr="00A77A91">
              <w:rPr>
                <w:rFonts w:asciiTheme="majorHAnsi" w:hAnsiTheme="majorHAnsi" w:cstheme="majorHAnsi"/>
                <w:sz w:val="18"/>
                <w:szCs w:val="18"/>
              </w:rPr>
              <w:t>resuscitation</w:t>
            </w:r>
            <w:proofErr w:type="gramEnd"/>
            <w:r w:rsidRPr="00A77A91">
              <w:rPr>
                <w:rFonts w:asciiTheme="majorHAnsi" w:hAnsiTheme="majorHAnsi" w:cstheme="majorHAnsi"/>
                <w:sz w:val="18"/>
                <w:szCs w:val="18"/>
              </w:rPr>
              <w:t xml:space="preserve"> and other situations where the patient is not properly ventilated.</w:t>
            </w:r>
          </w:p>
          <w:p w14:paraId="124F02F9"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It is typically made of plastic or rubber and is available in various diameters and lengths for adult and paediatric patients.</w:t>
            </w:r>
          </w:p>
        </w:tc>
        <w:tc>
          <w:tcPr>
            <w:tcW w:w="1967" w:type="dxa"/>
          </w:tcPr>
          <w:p w14:paraId="7C31B5E9"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 xml:space="preserve">Class </w:t>
            </w:r>
            <w:proofErr w:type="spellStart"/>
            <w:r w:rsidRPr="00A77A91">
              <w:rPr>
                <w:rFonts w:asciiTheme="majorHAnsi" w:hAnsiTheme="majorHAnsi" w:cstheme="majorHAnsi"/>
                <w:sz w:val="18"/>
                <w:szCs w:val="18"/>
              </w:rPr>
              <w:t>IIa</w:t>
            </w:r>
            <w:proofErr w:type="spellEnd"/>
          </w:p>
          <w:p w14:paraId="1A1CB956"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(short-term use invasive medical device)</w:t>
            </w:r>
          </w:p>
        </w:tc>
        <w:tc>
          <w:tcPr>
            <w:tcW w:w="2502" w:type="dxa"/>
          </w:tcPr>
          <w:p w14:paraId="5AFEDE4C"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Class IIb</w:t>
            </w:r>
          </w:p>
          <w:p w14:paraId="7EA30370"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w:t>
            </w:r>
            <w:proofErr w:type="gramStart"/>
            <w:r w:rsidRPr="00A77A91">
              <w:rPr>
                <w:rFonts w:asciiTheme="majorHAnsi" w:hAnsiTheme="majorHAnsi" w:cstheme="majorHAnsi"/>
                <w:sz w:val="18"/>
                <w:szCs w:val="18"/>
              </w:rPr>
              <w:t>if</w:t>
            </w:r>
            <w:proofErr w:type="gramEnd"/>
            <w:r w:rsidRPr="00A77A91">
              <w:rPr>
                <w:rFonts w:asciiTheme="majorHAnsi" w:hAnsiTheme="majorHAnsi" w:cstheme="majorHAnsi"/>
                <w:sz w:val="18"/>
                <w:szCs w:val="18"/>
              </w:rPr>
              <w:t xml:space="preserve"> the device is intended to treat a life-threatening condition)</w:t>
            </w:r>
          </w:p>
        </w:tc>
      </w:tr>
      <w:tr w:rsidR="00083156" w:rsidRPr="00D6230E" w14:paraId="567F8F52" w14:textId="77777777" w:rsidTr="00D6230E">
        <w:tc>
          <w:tcPr>
            <w:cnfStyle w:val="001000000000" w:firstRow="0" w:lastRow="0" w:firstColumn="1" w:lastColumn="0" w:oddVBand="0" w:evenVBand="0" w:oddHBand="0" w:evenHBand="0" w:firstRowFirstColumn="0" w:firstRowLastColumn="0" w:lastRowFirstColumn="0" w:lastRowLastColumn="0"/>
            <w:tcW w:w="5170" w:type="dxa"/>
          </w:tcPr>
          <w:p w14:paraId="66E4A88E"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lastRenderedPageBreak/>
              <w:t>Laryngeal mask airway/laryngeal mask</w:t>
            </w:r>
          </w:p>
          <w:p w14:paraId="6D232B4C"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A laryngeal mask airway (LMA), also known as laryngeal mask, is a medical device that keeps a patient's airway open during anaesthesia or unconsciousness. It can be considered a medical device that is used to deliver medicinal products (for example, oxygen supply) by inhalation.</w:t>
            </w:r>
          </w:p>
          <w:p w14:paraId="7940E908" w14:textId="4BCFDCA3"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 xml:space="preserve">It is composed of an airway tube that connects to an elliptical mask with a cuff which is inserted through the patient's mouth and down the windpipe. Once deployed, it forms an airtight seal on top of the glottis (unlike tracheal tubes which pass through the glottis) allowing a secure airway to be managed by a health care provider. LMA are </w:t>
            </w:r>
            <w:r w:rsidR="00712D04" w:rsidRPr="00A77A91">
              <w:rPr>
                <w:rFonts w:asciiTheme="majorHAnsi" w:hAnsiTheme="majorHAnsi" w:cstheme="majorHAnsi"/>
                <w:sz w:val="18"/>
                <w:szCs w:val="18"/>
              </w:rPr>
              <w:t>most used</w:t>
            </w:r>
            <w:r w:rsidRPr="00A77A91">
              <w:rPr>
                <w:rFonts w:asciiTheme="majorHAnsi" w:hAnsiTheme="majorHAnsi" w:cstheme="majorHAnsi"/>
                <w:sz w:val="18"/>
                <w:szCs w:val="18"/>
              </w:rPr>
              <w:t xml:space="preserve"> by anaesthetists to channel oxygen or anaesthesia gas to a patient's lungs during surgery, and in the pre-hospital setting (for instance by paramedics and emergency medical technicians) for unconscious patients.</w:t>
            </w:r>
          </w:p>
        </w:tc>
        <w:tc>
          <w:tcPr>
            <w:tcW w:w="1967" w:type="dxa"/>
          </w:tcPr>
          <w:p w14:paraId="4A38E3CC"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 xml:space="preserve">Class </w:t>
            </w:r>
            <w:proofErr w:type="spellStart"/>
            <w:r w:rsidRPr="00A77A91">
              <w:rPr>
                <w:rFonts w:asciiTheme="majorHAnsi" w:hAnsiTheme="majorHAnsi" w:cstheme="majorHAnsi"/>
                <w:sz w:val="18"/>
                <w:szCs w:val="18"/>
              </w:rPr>
              <w:t>IIa</w:t>
            </w:r>
            <w:proofErr w:type="spellEnd"/>
          </w:p>
          <w:p w14:paraId="0387E7BF"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(short-term use invasive medical device)</w:t>
            </w:r>
          </w:p>
        </w:tc>
        <w:tc>
          <w:tcPr>
            <w:tcW w:w="2502" w:type="dxa"/>
          </w:tcPr>
          <w:p w14:paraId="0FD24DAD"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Class IIb</w:t>
            </w:r>
          </w:p>
          <w:p w14:paraId="11FA9DAC"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w:t>
            </w:r>
            <w:proofErr w:type="gramStart"/>
            <w:r w:rsidRPr="00A77A91">
              <w:rPr>
                <w:rFonts w:asciiTheme="majorHAnsi" w:hAnsiTheme="majorHAnsi" w:cstheme="majorHAnsi"/>
                <w:sz w:val="18"/>
                <w:szCs w:val="18"/>
              </w:rPr>
              <w:t>if</w:t>
            </w:r>
            <w:proofErr w:type="gramEnd"/>
            <w:r w:rsidRPr="00A77A91">
              <w:rPr>
                <w:rFonts w:asciiTheme="majorHAnsi" w:hAnsiTheme="majorHAnsi" w:cstheme="majorHAnsi"/>
                <w:sz w:val="18"/>
                <w:szCs w:val="18"/>
              </w:rPr>
              <w:t xml:space="preserve"> the device is intended to treat a life-threatening condition)</w:t>
            </w:r>
          </w:p>
        </w:tc>
      </w:tr>
      <w:tr w:rsidR="00083156" w:rsidRPr="00D6230E" w14:paraId="078F2AF6" w14:textId="77777777" w:rsidTr="00D6230E">
        <w:tc>
          <w:tcPr>
            <w:cnfStyle w:val="001000000000" w:firstRow="0" w:lastRow="0" w:firstColumn="1" w:lastColumn="0" w:oddVBand="0" w:evenVBand="0" w:oddHBand="0" w:evenHBand="0" w:firstRowFirstColumn="0" w:firstRowLastColumn="0" w:lastRowFirstColumn="0" w:lastRowLastColumn="0"/>
            <w:tcW w:w="5170" w:type="dxa"/>
          </w:tcPr>
          <w:p w14:paraId="76AA33B2"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Oropharyngeal airway</w:t>
            </w:r>
          </w:p>
          <w:p w14:paraId="7A8E3DFA"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 xml:space="preserve">An oropharyngeal airway (OPA), also known as an oral airway, or </w:t>
            </w:r>
            <w:proofErr w:type="spellStart"/>
            <w:r w:rsidRPr="00A77A91">
              <w:rPr>
                <w:rFonts w:asciiTheme="majorHAnsi" w:hAnsiTheme="majorHAnsi" w:cstheme="majorHAnsi"/>
                <w:sz w:val="18"/>
                <w:szCs w:val="18"/>
              </w:rPr>
              <w:t>Guedel</w:t>
            </w:r>
            <w:proofErr w:type="spellEnd"/>
            <w:r w:rsidRPr="00A77A91">
              <w:rPr>
                <w:rFonts w:asciiTheme="majorHAnsi" w:hAnsiTheme="majorHAnsi" w:cstheme="majorHAnsi"/>
                <w:sz w:val="18"/>
                <w:szCs w:val="18"/>
              </w:rPr>
              <w:t xml:space="preserve"> pattern airway, is a medical device airway adjunct used to maintain or open a patient's airway and can also be used to deliver medicinal products (for example, oxygen supply) by inhalation. When a person becomes unconscious, the muscles in their jaw relax and the tongue can obstruct the airway. An OPA is designed to keep the airways open by preventing the tongue from covering the epiglottis.</w:t>
            </w:r>
          </w:p>
        </w:tc>
        <w:tc>
          <w:tcPr>
            <w:tcW w:w="1967" w:type="dxa"/>
          </w:tcPr>
          <w:p w14:paraId="3DECAC03"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Class I or</w:t>
            </w:r>
            <w:r w:rsidRPr="00A77A91">
              <w:rPr>
                <w:rFonts w:asciiTheme="majorHAnsi" w:hAnsiTheme="majorHAnsi" w:cstheme="majorHAnsi"/>
                <w:sz w:val="18"/>
                <w:szCs w:val="18"/>
              </w:rPr>
              <w:br/>
              <w:t xml:space="preserve">Class </w:t>
            </w:r>
            <w:proofErr w:type="spellStart"/>
            <w:r w:rsidRPr="00A77A91">
              <w:rPr>
                <w:rFonts w:asciiTheme="majorHAnsi" w:hAnsiTheme="majorHAnsi" w:cstheme="majorHAnsi"/>
                <w:sz w:val="18"/>
                <w:szCs w:val="18"/>
              </w:rPr>
              <w:t>IIa</w:t>
            </w:r>
            <w:proofErr w:type="spellEnd"/>
          </w:p>
          <w:p w14:paraId="3B8FC33C"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w:t>
            </w:r>
            <w:proofErr w:type="gramStart"/>
            <w:r w:rsidRPr="00A77A91">
              <w:rPr>
                <w:rFonts w:asciiTheme="majorHAnsi" w:hAnsiTheme="majorHAnsi" w:cstheme="majorHAnsi"/>
                <w:sz w:val="18"/>
                <w:szCs w:val="18"/>
              </w:rPr>
              <w:t>invasive</w:t>
            </w:r>
            <w:proofErr w:type="gramEnd"/>
            <w:r w:rsidRPr="00A77A91">
              <w:rPr>
                <w:rFonts w:asciiTheme="majorHAnsi" w:hAnsiTheme="majorHAnsi" w:cstheme="majorHAnsi"/>
                <w:sz w:val="18"/>
                <w:szCs w:val="18"/>
              </w:rPr>
              <w:t xml:space="preserve"> medical device for transient or short-term use)</w:t>
            </w:r>
          </w:p>
        </w:tc>
        <w:tc>
          <w:tcPr>
            <w:tcW w:w="2502" w:type="dxa"/>
          </w:tcPr>
          <w:p w14:paraId="1541ADF7"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b/>
                <w:sz w:val="18"/>
                <w:szCs w:val="18"/>
              </w:rPr>
              <w:t>Class IIb</w:t>
            </w:r>
            <w:r w:rsidRPr="00A77A91">
              <w:rPr>
                <w:rFonts w:asciiTheme="majorHAnsi" w:hAnsiTheme="majorHAnsi" w:cstheme="majorHAnsi"/>
                <w:sz w:val="18"/>
                <w:szCs w:val="18"/>
              </w:rPr>
              <w:t xml:space="preserve"> - if the device is intended to treat a life-threatening condition</w:t>
            </w:r>
          </w:p>
          <w:p w14:paraId="13BB960E"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Or</w:t>
            </w:r>
          </w:p>
          <w:p w14:paraId="1E7848D7" w14:textId="4E187C53"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A77A91">
              <w:rPr>
                <w:rFonts w:asciiTheme="majorHAnsi" w:hAnsiTheme="majorHAnsi" w:cstheme="majorHAnsi"/>
                <w:b/>
                <w:sz w:val="18"/>
                <w:szCs w:val="18"/>
              </w:rPr>
              <w:t xml:space="preserve">Class </w:t>
            </w:r>
            <w:proofErr w:type="spellStart"/>
            <w:r w:rsidRPr="00A77A91">
              <w:rPr>
                <w:rFonts w:asciiTheme="majorHAnsi" w:hAnsiTheme="majorHAnsi" w:cstheme="majorHAnsi"/>
                <w:b/>
                <w:sz w:val="18"/>
                <w:szCs w:val="18"/>
              </w:rPr>
              <w:t>IIa</w:t>
            </w:r>
            <w:proofErr w:type="spellEnd"/>
            <w:r w:rsidRPr="00A77A91">
              <w:rPr>
                <w:rFonts w:asciiTheme="majorHAnsi" w:hAnsiTheme="majorHAnsi" w:cstheme="majorHAnsi"/>
                <w:sz w:val="18"/>
                <w:szCs w:val="18"/>
              </w:rPr>
              <w:t xml:space="preserve"> - if the device is not intended to treat a life-threatening condition</w:t>
            </w:r>
          </w:p>
        </w:tc>
      </w:tr>
      <w:tr w:rsidR="00083156" w:rsidRPr="00D6230E" w14:paraId="7290DE0D" w14:textId="77777777" w:rsidTr="00D6230E">
        <w:tc>
          <w:tcPr>
            <w:cnfStyle w:val="001000000000" w:firstRow="0" w:lastRow="0" w:firstColumn="1" w:lastColumn="0" w:oddVBand="0" w:evenVBand="0" w:oddHBand="0" w:evenHBand="0" w:firstRowFirstColumn="0" w:firstRowLastColumn="0" w:lastRowFirstColumn="0" w:lastRowLastColumn="0"/>
            <w:tcW w:w="5170" w:type="dxa"/>
          </w:tcPr>
          <w:p w14:paraId="1A6FE474"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Nasopharyngeal airway</w:t>
            </w:r>
          </w:p>
          <w:p w14:paraId="519BFBC0"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A nasopharyngeal airway (NPA), also known as a nasal trumpet or nose hose, is a type of airway adjunct and is designed to be inserted into the nasal passageway to secure an open airway. NPA can also be used to deliver medicinal products (for example, oxygen supply) by inhalation. When a person becomes unconscious, the muscles in their jaw relax and the tongue can obstruct the airway. NPA is one of the available tools to allow airway management. The purpose of the flared end is to prevent the device from becoming lost inside the patient's nose.</w:t>
            </w:r>
          </w:p>
        </w:tc>
        <w:tc>
          <w:tcPr>
            <w:tcW w:w="1967" w:type="dxa"/>
          </w:tcPr>
          <w:p w14:paraId="6815C4C5"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Class I or</w:t>
            </w:r>
            <w:r w:rsidRPr="00A77A91">
              <w:rPr>
                <w:rFonts w:asciiTheme="majorHAnsi" w:hAnsiTheme="majorHAnsi" w:cstheme="majorHAnsi"/>
                <w:sz w:val="18"/>
                <w:szCs w:val="18"/>
              </w:rPr>
              <w:br/>
              <w:t xml:space="preserve">Class </w:t>
            </w:r>
            <w:proofErr w:type="spellStart"/>
            <w:r w:rsidRPr="00A77A91">
              <w:rPr>
                <w:rFonts w:asciiTheme="majorHAnsi" w:hAnsiTheme="majorHAnsi" w:cstheme="majorHAnsi"/>
                <w:sz w:val="18"/>
                <w:szCs w:val="18"/>
              </w:rPr>
              <w:t>IIa</w:t>
            </w:r>
            <w:proofErr w:type="spellEnd"/>
          </w:p>
          <w:p w14:paraId="262AB979"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A77A91">
              <w:rPr>
                <w:rFonts w:asciiTheme="majorHAnsi" w:hAnsiTheme="majorHAnsi" w:cstheme="majorHAnsi"/>
                <w:sz w:val="18"/>
                <w:szCs w:val="18"/>
              </w:rPr>
              <w:t>(</w:t>
            </w:r>
            <w:proofErr w:type="gramStart"/>
            <w:r w:rsidRPr="00A77A91">
              <w:rPr>
                <w:rFonts w:asciiTheme="majorHAnsi" w:hAnsiTheme="majorHAnsi" w:cstheme="majorHAnsi"/>
                <w:sz w:val="18"/>
                <w:szCs w:val="18"/>
              </w:rPr>
              <w:t>invasive</w:t>
            </w:r>
            <w:proofErr w:type="gramEnd"/>
            <w:r w:rsidRPr="00A77A91">
              <w:rPr>
                <w:rFonts w:asciiTheme="majorHAnsi" w:hAnsiTheme="majorHAnsi" w:cstheme="majorHAnsi"/>
                <w:sz w:val="18"/>
                <w:szCs w:val="18"/>
              </w:rPr>
              <w:t xml:space="preserve"> medical device for transient or short-term use)</w:t>
            </w:r>
          </w:p>
        </w:tc>
        <w:tc>
          <w:tcPr>
            <w:tcW w:w="2502" w:type="dxa"/>
          </w:tcPr>
          <w:p w14:paraId="501A0CC1"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b/>
                <w:sz w:val="18"/>
                <w:szCs w:val="18"/>
              </w:rPr>
              <w:t>Class IIb</w:t>
            </w:r>
            <w:r w:rsidRPr="00A77A91">
              <w:rPr>
                <w:rFonts w:asciiTheme="majorHAnsi" w:hAnsiTheme="majorHAnsi" w:cstheme="majorHAnsi"/>
                <w:sz w:val="18"/>
                <w:szCs w:val="18"/>
              </w:rPr>
              <w:t xml:space="preserve"> - if the device is intended to treat a life-threatening condition</w:t>
            </w:r>
          </w:p>
          <w:p w14:paraId="126831FD"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Or</w:t>
            </w:r>
          </w:p>
          <w:p w14:paraId="425283A3" w14:textId="2829D1CD"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A77A91">
              <w:rPr>
                <w:rFonts w:asciiTheme="majorHAnsi" w:hAnsiTheme="majorHAnsi" w:cstheme="majorHAnsi"/>
                <w:b/>
                <w:sz w:val="18"/>
                <w:szCs w:val="18"/>
              </w:rPr>
              <w:t xml:space="preserve">Class </w:t>
            </w:r>
            <w:proofErr w:type="spellStart"/>
            <w:r w:rsidRPr="00A77A91">
              <w:rPr>
                <w:rFonts w:asciiTheme="majorHAnsi" w:hAnsiTheme="majorHAnsi" w:cstheme="majorHAnsi"/>
                <w:b/>
                <w:sz w:val="18"/>
                <w:szCs w:val="18"/>
              </w:rPr>
              <w:t>IIa</w:t>
            </w:r>
            <w:proofErr w:type="spellEnd"/>
            <w:r w:rsidRPr="00A77A91">
              <w:rPr>
                <w:rFonts w:asciiTheme="majorHAnsi" w:hAnsiTheme="majorHAnsi" w:cstheme="majorHAnsi"/>
                <w:sz w:val="18"/>
                <w:szCs w:val="18"/>
              </w:rPr>
              <w:t xml:space="preserve"> - if the device is not intended to treat a life-threatening condition</w:t>
            </w:r>
          </w:p>
        </w:tc>
      </w:tr>
      <w:tr w:rsidR="00083156" w:rsidRPr="00D6230E" w14:paraId="14D60BBE" w14:textId="77777777" w:rsidTr="00D6230E">
        <w:tc>
          <w:tcPr>
            <w:cnfStyle w:val="001000000000" w:firstRow="0" w:lastRow="0" w:firstColumn="1" w:lastColumn="0" w:oddVBand="0" w:evenVBand="0" w:oddHBand="0" w:evenHBand="0" w:firstRowFirstColumn="0" w:firstRowLastColumn="0" w:lastRowFirstColumn="0" w:lastRowLastColumn="0"/>
            <w:tcW w:w="5170" w:type="dxa"/>
          </w:tcPr>
          <w:p w14:paraId="3AA390C2" w14:textId="77777777"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lastRenderedPageBreak/>
              <w:t>Refillable inhaler device</w:t>
            </w:r>
          </w:p>
          <w:p w14:paraId="2FF53C04" w14:textId="70700AAA" w:rsidR="00083156" w:rsidRPr="00A77A91" w:rsidRDefault="00083156" w:rsidP="00A77A91">
            <w:pPr>
              <w:rPr>
                <w:rFonts w:asciiTheme="majorHAnsi" w:hAnsiTheme="majorHAnsi" w:cstheme="majorHAnsi"/>
                <w:sz w:val="18"/>
                <w:szCs w:val="18"/>
              </w:rPr>
            </w:pPr>
            <w:r w:rsidRPr="00A77A91">
              <w:rPr>
                <w:rFonts w:asciiTheme="majorHAnsi" w:hAnsiTheme="majorHAnsi" w:cstheme="majorHAnsi"/>
                <w:sz w:val="18"/>
                <w:szCs w:val="18"/>
              </w:rPr>
              <w:t xml:space="preserve">A refillable </w:t>
            </w:r>
            <w:r w:rsidR="00712D04" w:rsidRPr="00A77A91">
              <w:rPr>
                <w:rFonts w:asciiTheme="majorHAnsi" w:hAnsiTheme="majorHAnsi" w:cstheme="majorHAnsi"/>
                <w:sz w:val="18"/>
                <w:szCs w:val="18"/>
              </w:rPr>
              <w:t>handheld</w:t>
            </w:r>
            <w:r w:rsidRPr="00A77A91">
              <w:rPr>
                <w:rFonts w:asciiTheme="majorHAnsi" w:hAnsiTheme="majorHAnsi" w:cstheme="majorHAnsi"/>
                <w:sz w:val="18"/>
                <w:szCs w:val="18"/>
              </w:rPr>
              <w:t xml:space="preserve"> device used to deliver aerosolized medication into the mouth of a patient. </w:t>
            </w:r>
          </w:p>
        </w:tc>
        <w:tc>
          <w:tcPr>
            <w:tcW w:w="1967" w:type="dxa"/>
          </w:tcPr>
          <w:p w14:paraId="6E0C419D"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Class I or</w:t>
            </w:r>
            <w:r w:rsidRPr="00A77A91">
              <w:rPr>
                <w:rFonts w:asciiTheme="majorHAnsi" w:hAnsiTheme="majorHAnsi" w:cstheme="majorHAnsi"/>
                <w:sz w:val="18"/>
                <w:szCs w:val="18"/>
              </w:rPr>
              <w:br/>
              <w:t xml:space="preserve">Class </w:t>
            </w:r>
            <w:proofErr w:type="spellStart"/>
            <w:r w:rsidRPr="00A77A91">
              <w:rPr>
                <w:rFonts w:asciiTheme="majorHAnsi" w:hAnsiTheme="majorHAnsi" w:cstheme="majorHAnsi"/>
                <w:sz w:val="18"/>
                <w:szCs w:val="18"/>
              </w:rPr>
              <w:t>IIa</w:t>
            </w:r>
            <w:proofErr w:type="spellEnd"/>
          </w:p>
          <w:p w14:paraId="673E0DE8"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A77A91">
              <w:rPr>
                <w:rFonts w:asciiTheme="majorHAnsi" w:hAnsiTheme="majorHAnsi" w:cstheme="majorHAnsi"/>
                <w:sz w:val="18"/>
                <w:szCs w:val="18"/>
              </w:rPr>
              <w:t>(</w:t>
            </w:r>
            <w:proofErr w:type="gramStart"/>
            <w:r w:rsidRPr="00A77A91">
              <w:rPr>
                <w:rFonts w:asciiTheme="majorHAnsi" w:hAnsiTheme="majorHAnsi" w:cstheme="majorHAnsi"/>
                <w:sz w:val="18"/>
                <w:szCs w:val="18"/>
              </w:rPr>
              <w:t>invasive</w:t>
            </w:r>
            <w:proofErr w:type="gramEnd"/>
            <w:r w:rsidRPr="00A77A91">
              <w:rPr>
                <w:rFonts w:asciiTheme="majorHAnsi" w:hAnsiTheme="majorHAnsi" w:cstheme="majorHAnsi"/>
                <w:sz w:val="18"/>
                <w:szCs w:val="18"/>
              </w:rPr>
              <w:t xml:space="preserve"> medical device for transient or short-term use)</w:t>
            </w:r>
          </w:p>
        </w:tc>
        <w:tc>
          <w:tcPr>
            <w:tcW w:w="2502" w:type="dxa"/>
          </w:tcPr>
          <w:p w14:paraId="52A87072"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b/>
                <w:sz w:val="18"/>
                <w:szCs w:val="18"/>
              </w:rPr>
              <w:t xml:space="preserve">Class IIb - </w:t>
            </w:r>
            <w:r w:rsidRPr="00A77A91">
              <w:rPr>
                <w:rFonts w:asciiTheme="majorHAnsi" w:hAnsiTheme="majorHAnsi" w:cstheme="majorHAnsi"/>
                <w:sz w:val="18"/>
                <w:szCs w:val="18"/>
              </w:rPr>
              <w:t>if the mode of action of the device has an essential impact on the efficacy and safety of the medicine or biological, or if it is intended to treat a life- threatening condition</w:t>
            </w:r>
          </w:p>
          <w:p w14:paraId="22EEA639"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77A91">
              <w:rPr>
                <w:rFonts w:asciiTheme="majorHAnsi" w:hAnsiTheme="majorHAnsi" w:cstheme="majorHAnsi"/>
                <w:sz w:val="18"/>
                <w:szCs w:val="18"/>
              </w:rPr>
              <w:t>Or</w:t>
            </w:r>
          </w:p>
          <w:p w14:paraId="386BA642"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A77A91">
              <w:rPr>
                <w:rFonts w:asciiTheme="majorHAnsi" w:hAnsiTheme="majorHAnsi" w:cstheme="majorHAnsi"/>
                <w:b/>
                <w:sz w:val="18"/>
                <w:szCs w:val="18"/>
              </w:rPr>
              <w:t xml:space="preserve">Class </w:t>
            </w:r>
            <w:proofErr w:type="spellStart"/>
            <w:r w:rsidRPr="00A77A91">
              <w:rPr>
                <w:rFonts w:asciiTheme="majorHAnsi" w:hAnsiTheme="majorHAnsi" w:cstheme="majorHAnsi"/>
                <w:b/>
                <w:sz w:val="18"/>
                <w:szCs w:val="18"/>
              </w:rPr>
              <w:t>IIa</w:t>
            </w:r>
            <w:proofErr w:type="spellEnd"/>
            <w:r w:rsidRPr="00A77A91">
              <w:rPr>
                <w:rFonts w:asciiTheme="majorHAnsi" w:hAnsiTheme="majorHAnsi" w:cstheme="majorHAnsi"/>
                <w:sz w:val="18"/>
                <w:szCs w:val="18"/>
              </w:rPr>
              <w:t xml:space="preserve"> - if the mode of action</w:t>
            </w:r>
            <w:r w:rsidRPr="00A77A91">
              <w:rPr>
                <w:rFonts w:asciiTheme="majorHAnsi" w:hAnsiTheme="majorHAnsi" w:cstheme="majorHAnsi"/>
                <w:color w:val="auto"/>
                <w:sz w:val="18"/>
                <w:szCs w:val="18"/>
              </w:rPr>
              <w:t xml:space="preserve"> </w:t>
            </w:r>
            <w:r w:rsidRPr="00A77A91">
              <w:rPr>
                <w:rFonts w:asciiTheme="majorHAnsi" w:hAnsiTheme="majorHAnsi" w:cstheme="majorHAnsi"/>
                <w:sz w:val="18"/>
                <w:szCs w:val="18"/>
              </w:rPr>
              <w:t>of the device does not have an essential impact on the efficacy and safety of the medicine or biological, or if it is not intended to treat a life- threatening condition</w:t>
            </w:r>
          </w:p>
        </w:tc>
      </w:tr>
    </w:tbl>
    <w:p w14:paraId="728D42B9" w14:textId="77777777" w:rsidR="00083156" w:rsidRDefault="00083156" w:rsidP="00A77A91">
      <w:pPr>
        <w:pStyle w:val="ListBullet"/>
        <w:numPr>
          <w:ilvl w:val="0"/>
          <w:numId w:val="0"/>
        </w:numPr>
        <w:ind w:left="360" w:hanging="360"/>
      </w:pPr>
      <w:bookmarkStart w:id="16" w:name="_Toc2607199"/>
      <w:bookmarkStart w:id="17" w:name="_Toc27746682"/>
    </w:p>
    <w:tbl>
      <w:tblPr>
        <w:tblW w:w="9038" w:type="dxa"/>
        <w:tblLayout w:type="fixed"/>
        <w:tblCellMar>
          <w:left w:w="0" w:type="dxa"/>
          <w:right w:w="0" w:type="dxa"/>
        </w:tblCellMar>
        <w:tblLook w:val="04A0" w:firstRow="1" w:lastRow="0" w:firstColumn="1" w:lastColumn="0" w:noHBand="0" w:noVBand="1"/>
      </w:tblPr>
      <w:tblGrid>
        <w:gridCol w:w="1276"/>
        <w:gridCol w:w="7762"/>
      </w:tblGrid>
      <w:tr w:rsidR="00083156" w:rsidRPr="00D6230E" w14:paraId="28DA1EBD" w14:textId="77777777" w:rsidTr="00C91AEC">
        <w:tc>
          <w:tcPr>
            <w:tcW w:w="1276" w:type="dxa"/>
            <w:vAlign w:val="center"/>
          </w:tcPr>
          <w:p w14:paraId="3045B715" w14:textId="77777777" w:rsidR="00083156" w:rsidRPr="00D6230E" w:rsidRDefault="00083156" w:rsidP="00A77A91">
            <w:r w:rsidRPr="00D6230E">
              <w:rPr>
                <w:noProof/>
                <w:lang w:eastAsia="en-AU"/>
              </w:rPr>
              <w:drawing>
                <wp:inline distT="0" distB="0" distL="0" distR="0" wp14:anchorId="5F37E1D3" wp14:editId="7DDF33B1">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5D433F5" w14:textId="77777777" w:rsidR="00083156" w:rsidRPr="00D6230E" w:rsidRDefault="00083156" w:rsidP="00A77A91">
            <w:r w:rsidRPr="00D6230E">
              <w:t xml:space="preserve">The examples provided above are for medical devices that are </w:t>
            </w:r>
            <w:r w:rsidRPr="00D6230E">
              <w:rPr>
                <w:b/>
              </w:rPr>
              <w:t xml:space="preserve">not intended to form a single integral product </w:t>
            </w:r>
            <w:r w:rsidRPr="00D6230E">
              <w:t xml:space="preserve">with the medicine or biological that they are intended to deliver. Instead, these devices are </w:t>
            </w:r>
            <w:r w:rsidRPr="00D6230E">
              <w:rPr>
                <w:b/>
              </w:rPr>
              <w:t>typically supplied separately</w:t>
            </w:r>
            <w:r w:rsidRPr="00D6230E">
              <w:t xml:space="preserve"> from the medicine or biological they are intended to administer and are regulated as medical devices in Australia.</w:t>
            </w:r>
          </w:p>
        </w:tc>
      </w:tr>
    </w:tbl>
    <w:p w14:paraId="52D9FF3E" w14:textId="77777777" w:rsidR="00083156" w:rsidRPr="00D6230E" w:rsidRDefault="00083156" w:rsidP="00A77A91">
      <w:pPr>
        <w:pStyle w:val="Heading3"/>
      </w:pPr>
      <w:bookmarkStart w:id="18" w:name="_Toc71720441"/>
      <w:bookmarkStart w:id="19" w:name="_Toc155785756"/>
      <w:r w:rsidRPr="00D6230E">
        <w:t>Devices pre-filled with medicines or biologicals</w:t>
      </w:r>
      <w:bookmarkEnd w:id="16"/>
      <w:bookmarkEnd w:id="17"/>
      <w:bookmarkEnd w:id="18"/>
      <w:bookmarkEnd w:id="19"/>
    </w:p>
    <w:p w14:paraId="1021CB69" w14:textId="77777777" w:rsidR="00083156" w:rsidRPr="00D6230E" w:rsidRDefault="00083156" w:rsidP="00A77A91">
      <w:r w:rsidRPr="00D6230E">
        <w:t xml:space="preserve">There are </w:t>
      </w:r>
      <w:proofErr w:type="gramStart"/>
      <w:r w:rsidRPr="00D6230E">
        <w:t>a number of</w:t>
      </w:r>
      <w:proofErr w:type="gramEnd"/>
      <w:r w:rsidRPr="00D6230E">
        <w:t xml:space="preserve"> different products intended to be used for administering medicines or biologicals by inhalation but not all of these products are regulated as medical devices.</w:t>
      </w:r>
    </w:p>
    <w:p w14:paraId="7B854578" w14:textId="5C53AE88" w:rsidR="00083156" w:rsidRPr="00D6230E" w:rsidRDefault="00083156" w:rsidP="00A77A91">
      <w:r w:rsidRPr="00D6230E">
        <w:t xml:space="preserve">Item 3(c) of the </w:t>
      </w:r>
      <w:hyperlink r:id="rId19" w:history="1">
        <w:r w:rsidRPr="00D6230E">
          <w:rPr>
            <w:rStyle w:val="Hyperlink"/>
          </w:rPr>
          <w:t>Therapeutic Goods (Articles that are not Medical Devices) Order No. 1 of 2010</w:t>
        </w:r>
      </w:hyperlink>
      <w:r w:rsidRPr="00D6230E">
        <w:rPr>
          <w:vertAlign w:val="superscript"/>
        </w:rPr>
        <w:t xml:space="preserve"> </w:t>
      </w:r>
      <w:r w:rsidRPr="00D6230E">
        <w:t xml:space="preserve">declares that the following articles are declared not to be medical devices: </w:t>
      </w:r>
    </w:p>
    <w:p w14:paraId="42C713FD" w14:textId="77777777" w:rsidR="00083156" w:rsidRPr="00D6230E" w:rsidRDefault="00083156" w:rsidP="00A77A91">
      <w:r w:rsidRPr="00D6230E">
        <w:t>‘</w:t>
      </w:r>
      <w:proofErr w:type="gramStart"/>
      <w:r w:rsidRPr="00D6230E">
        <w:t>an</w:t>
      </w:r>
      <w:proofErr w:type="gramEnd"/>
      <w:r w:rsidRPr="00D6230E">
        <w:t xml:space="preserve"> article that is intended to administer a medicine in such a way that the medicine and the article form a single integral product which is intended exclusively for use in the given combination and which is not reusable (may be multi-dose).’</w:t>
      </w:r>
    </w:p>
    <w:p w14:paraId="6A56B370" w14:textId="77777777" w:rsidR="00083156" w:rsidRPr="00D6230E" w:rsidRDefault="00083156" w:rsidP="00A77A91">
      <w:r w:rsidRPr="00D6230E">
        <w:t xml:space="preserve">Currently there are no requirements for manufacturers of device components of such products to comply with requirements specified in the </w:t>
      </w:r>
      <w:hyperlink r:id="rId20" w:history="1">
        <w:r w:rsidRPr="00D6230E">
          <w:rPr>
            <w:rStyle w:val="Hyperlink"/>
            <w:i/>
          </w:rPr>
          <w:t>Therapeutic Goods (Medical Devices) Regulations 2002</w:t>
        </w:r>
      </w:hyperlink>
      <w:r w:rsidRPr="00D6230E">
        <w:rPr>
          <w:i/>
        </w:rPr>
        <w:t xml:space="preserve"> </w:t>
      </w:r>
      <w:r w:rsidRPr="00D6230E">
        <w:t>(the Regulations).</w:t>
      </w:r>
    </w:p>
    <w:p w14:paraId="1B2ECA6C" w14:textId="77777777" w:rsidR="00083156" w:rsidRPr="00D6230E" w:rsidRDefault="00083156" w:rsidP="00A77A91">
      <w:r w:rsidRPr="00D6230E">
        <w:t>Examples of products declared not to be medical devices include certain pressurised metered dose inhalers (</w:t>
      </w:r>
      <w:proofErr w:type="spellStart"/>
      <w:r w:rsidRPr="00D6230E">
        <w:t>pMDIs</w:t>
      </w:r>
      <w:proofErr w:type="spellEnd"/>
      <w:r w:rsidRPr="00D6230E">
        <w:t>) and multi-dose dry powder inhalers (DPIs) prefilled with the medications including:</w:t>
      </w:r>
    </w:p>
    <w:p w14:paraId="6D1858F0" w14:textId="77777777" w:rsidR="00083156" w:rsidRPr="00D6230E" w:rsidRDefault="00083156" w:rsidP="00A77A91">
      <w:pPr>
        <w:pStyle w:val="ListBullet"/>
      </w:pPr>
      <w:r w:rsidRPr="00D6230E">
        <w:t>Metered dose inhaler, such as asthma puffers prefilled with the medication</w:t>
      </w:r>
    </w:p>
    <w:p w14:paraId="5A18E8DF" w14:textId="77777777" w:rsidR="00083156" w:rsidRPr="00D6230E" w:rsidRDefault="00083156" w:rsidP="00A77A91">
      <w:r w:rsidRPr="00D6230E">
        <w:t>A metered dose inhaler (also known as an aerosol inhaler or puffer) is a hand-held product designed to administer a pre-measured dose of aerosolised medication directly into the mouth of a patient. It typically consists of a shaped plastic holder with an integrated mouthpiece into which a pressurised metal canister containing the solution or suspension of medicine is placed.</w:t>
      </w:r>
    </w:p>
    <w:p w14:paraId="08AA8C41" w14:textId="77777777" w:rsidR="00083156" w:rsidRPr="00D6230E" w:rsidRDefault="00083156" w:rsidP="00A77A91">
      <w:pPr>
        <w:pStyle w:val="ListBullet"/>
      </w:pPr>
      <w:r w:rsidRPr="00D6230E">
        <w:t>Dry powder inhaler, prefilled with the medication</w:t>
      </w:r>
    </w:p>
    <w:p w14:paraId="11D359E8" w14:textId="77777777" w:rsidR="00083156" w:rsidRPr="00D6230E" w:rsidRDefault="00083156" w:rsidP="00A77A91">
      <w:r w:rsidRPr="00D6230E">
        <w:lastRenderedPageBreak/>
        <w:t>A dry powder inhaler is a hand-held device designed to administer powdered medicine through the mouth and into the bronchial airways. It is a breath-actuated device and requires adequate patient inspiratory flow rate for medicine delivery as it does not include a propellant to aid medicine delivery. This form of medicine administration is an alternative to aerosol inhalation and may induce the patient to greater inhalational effort. This is a reusable device intended for single-patient use.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83156" w:rsidRPr="00D6230E" w14:paraId="157647BA" w14:textId="77777777" w:rsidTr="00C91AEC">
        <w:tc>
          <w:tcPr>
            <w:tcW w:w="1276" w:type="dxa"/>
            <w:vAlign w:val="center"/>
          </w:tcPr>
          <w:p w14:paraId="742CC6E9" w14:textId="77777777" w:rsidR="00083156" w:rsidRPr="00D6230E" w:rsidRDefault="00083156" w:rsidP="00A77A91">
            <w:r w:rsidRPr="00D6230E">
              <w:rPr>
                <w:noProof/>
                <w:lang w:eastAsia="en-AU"/>
              </w:rPr>
              <w:drawing>
                <wp:inline distT="0" distB="0" distL="0" distR="0" wp14:anchorId="76CEF78C" wp14:editId="7CFBA593">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4D7CA3C" w14:textId="77777777" w:rsidR="00083156" w:rsidRPr="00D6230E" w:rsidRDefault="00083156" w:rsidP="00A77A91">
            <w:pPr>
              <w:rPr>
                <w:b/>
              </w:rPr>
            </w:pPr>
            <w:r w:rsidRPr="00D6230E">
              <w:rPr>
                <w:b/>
              </w:rPr>
              <w:t xml:space="preserve">There is no change </w:t>
            </w:r>
            <w:r w:rsidRPr="00D6230E">
              <w:t xml:space="preserve">to the regulatory pathway for devices intended to administer a medicine in such a way that </w:t>
            </w:r>
            <w:r w:rsidRPr="00D6230E">
              <w:rPr>
                <w:b/>
              </w:rPr>
              <w:t>the medicine and the device form a single integral product</w:t>
            </w:r>
            <w:r w:rsidRPr="00D6230E">
              <w:t xml:space="preserve"> intended exclusively for use in the given combination, and which may be multi-dose, but is not reusable. These devices (such as asthma puffers) will </w:t>
            </w:r>
            <w:r w:rsidRPr="00D6230E">
              <w:rPr>
                <w:b/>
              </w:rPr>
              <w:t>continue to be declared not to be medical devices.</w:t>
            </w:r>
          </w:p>
        </w:tc>
      </w:tr>
    </w:tbl>
    <w:p w14:paraId="75AA5BA5" w14:textId="77777777" w:rsidR="00083156" w:rsidRPr="00D6230E" w:rsidRDefault="00083156" w:rsidP="00A77A91">
      <w:pPr>
        <w:pStyle w:val="Heading2"/>
      </w:pPr>
      <w:bookmarkStart w:id="20" w:name="_Toc35782307"/>
      <w:bookmarkStart w:id="21" w:name="_Toc71720442"/>
      <w:bookmarkStart w:id="22" w:name="_Toc155785757"/>
      <w:bookmarkEnd w:id="11"/>
      <w:bookmarkEnd w:id="12"/>
      <w:r w:rsidRPr="00D6230E">
        <w:t>What you need to do</w:t>
      </w:r>
      <w:bookmarkEnd w:id="20"/>
      <w:bookmarkEnd w:id="21"/>
      <w:bookmarkEnd w:id="22"/>
    </w:p>
    <w:p w14:paraId="238AC82C" w14:textId="77777777" w:rsidR="00083156" w:rsidRPr="00D6230E" w:rsidRDefault="00083156" w:rsidP="00A77A91">
      <w:r w:rsidRPr="00D6230E">
        <w:t>If you are the sponsor of medical device that administers medicines or biologicals by inhalation, the action you will need to take to comply with the new regulations will depend on the status of your product:</w:t>
      </w:r>
    </w:p>
    <w:bookmarkStart w:id="23" w:name="_Toc35782308"/>
    <w:p w14:paraId="1E2E03F2" w14:textId="77777777" w:rsidR="00083156" w:rsidRPr="00D6230E" w:rsidRDefault="00083156" w:rsidP="00A77A91">
      <w:pPr>
        <w:pStyle w:val="ListBullet"/>
        <w:numPr>
          <w:ilvl w:val="0"/>
          <w:numId w:val="22"/>
        </w:numPr>
        <w:rPr>
          <w:rStyle w:val="Hyperlink"/>
        </w:rPr>
      </w:pPr>
      <w:r w:rsidRPr="00D6230E">
        <w:fldChar w:fldCharType="begin"/>
      </w:r>
      <w:r w:rsidRPr="00D6230E">
        <w:instrText>HYPERLINK  \l "_Sponsors_with_a"</w:instrText>
      </w:r>
      <w:r w:rsidRPr="00D6230E">
        <w:fldChar w:fldCharType="separate"/>
      </w:r>
      <w:r w:rsidRPr="00D6230E">
        <w:rPr>
          <w:rStyle w:val="Hyperlink"/>
        </w:rPr>
        <w:t>Medical devices included in the ARTG prior to 25 November 2021</w:t>
      </w:r>
    </w:p>
    <w:p w14:paraId="665A2B16" w14:textId="77777777" w:rsidR="00083156" w:rsidRPr="00D6230E" w:rsidRDefault="00083156" w:rsidP="00A77A91">
      <w:pPr>
        <w:pStyle w:val="ListBullet"/>
        <w:numPr>
          <w:ilvl w:val="0"/>
          <w:numId w:val="22"/>
        </w:numPr>
        <w:rPr>
          <w:rStyle w:val="Hyperlink"/>
        </w:rPr>
      </w:pPr>
      <w:r w:rsidRPr="00D6230E">
        <w:fldChar w:fldCharType="end"/>
      </w:r>
      <w:r w:rsidRPr="00D6230E">
        <w:fldChar w:fldCharType="begin"/>
      </w:r>
      <w:r w:rsidRPr="00D6230E">
        <w:instrText>HYPERLINK  \l "_Applications_to_include"</w:instrText>
      </w:r>
      <w:r w:rsidRPr="00D6230E">
        <w:fldChar w:fldCharType="separate"/>
      </w:r>
      <w:r w:rsidRPr="00D6230E">
        <w:rPr>
          <w:rStyle w:val="Hyperlink"/>
        </w:rPr>
        <w:t>Applications to include a medical device in the ARTG lodged before 25 November 2021</w:t>
      </w:r>
    </w:p>
    <w:p w14:paraId="2C33D278" w14:textId="77777777" w:rsidR="00083156" w:rsidRPr="00D6230E" w:rsidRDefault="00083156" w:rsidP="00A77A91">
      <w:pPr>
        <w:pStyle w:val="ListBullet"/>
        <w:numPr>
          <w:ilvl w:val="0"/>
          <w:numId w:val="22"/>
        </w:numPr>
        <w:rPr>
          <w:rStyle w:val="Hyperlink"/>
        </w:rPr>
      </w:pPr>
      <w:r w:rsidRPr="00D6230E">
        <w:fldChar w:fldCharType="end"/>
      </w:r>
      <w:r w:rsidRPr="00D6230E">
        <w:rPr>
          <w:sz w:val="22"/>
        </w:rPr>
        <w:fldChar w:fldCharType="begin"/>
      </w:r>
      <w:r w:rsidRPr="00D6230E">
        <w:instrText>HYPERLINK  \l "_Sponsors_intending_to"</w:instrText>
      </w:r>
      <w:r w:rsidRPr="00D6230E">
        <w:rPr>
          <w:sz w:val="22"/>
        </w:rPr>
      </w:r>
      <w:r w:rsidRPr="00D6230E">
        <w:rPr>
          <w:sz w:val="22"/>
        </w:rPr>
        <w:fldChar w:fldCharType="separate"/>
      </w:r>
      <w:r w:rsidRPr="00D6230E">
        <w:rPr>
          <w:rStyle w:val="Hyperlink"/>
        </w:rPr>
        <w:t>Applications to include a new medical device in the ARTG on or after 25 November 2021</w:t>
      </w:r>
    </w:p>
    <w:bookmarkStart w:id="24" w:name="_Sponsors_with_a"/>
    <w:bookmarkStart w:id="25" w:name="_Medical_devices_included"/>
    <w:bookmarkEnd w:id="24"/>
    <w:bookmarkEnd w:id="25"/>
    <w:p w14:paraId="5B1E1983" w14:textId="77777777" w:rsidR="00083156" w:rsidRPr="00D6230E" w:rsidRDefault="00083156" w:rsidP="00A77A91">
      <w:pPr>
        <w:pStyle w:val="Heading3"/>
      </w:pPr>
      <w:r w:rsidRPr="00D6230E">
        <w:rPr>
          <w:rFonts w:eastAsia="Cambria"/>
        </w:rPr>
        <w:fldChar w:fldCharType="end"/>
      </w:r>
      <w:bookmarkStart w:id="26" w:name="_Toc71720443"/>
      <w:bookmarkStart w:id="27" w:name="_Toc155785758"/>
      <w:bookmarkEnd w:id="23"/>
      <w:r w:rsidRPr="00D6230E">
        <w:t>Medical devices included in the ARTG prior to 25 November 2021</w:t>
      </w:r>
      <w:bookmarkEnd w:id="26"/>
      <w:bookmarkEnd w:id="27"/>
    </w:p>
    <w:p w14:paraId="2CC5A137" w14:textId="77777777" w:rsidR="00083156" w:rsidRPr="00D6230E" w:rsidRDefault="00083156" w:rsidP="00A77A91">
      <w:r w:rsidRPr="00D6230E">
        <w:t>If you have a medical device that administers medicines or biologicals by inhalation in the ARTG with a start date before 25 November 2021, there are transitional arrangements in place to ensure that you can continue to supply your device while you apply for it to be included in the ARTG in accordance with the new classification.</w:t>
      </w:r>
    </w:p>
    <w:p w14:paraId="34C680AA" w14:textId="77777777" w:rsidR="00083156" w:rsidRPr="00D6230E" w:rsidRDefault="00083156" w:rsidP="00A77A91">
      <w:r w:rsidRPr="00D6230E">
        <w:t xml:space="preserve">If you would like to continue to supply your </w:t>
      </w:r>
      <w:proofErr w:type="gramStart"/>
      <w:r w:rsidRPr="00D6230E">
        <w:t>device</w:t>
      </w:r>
      <w:proofErr w:type="gramEnd"/>
      <w:r w:rsidRPr="00D6230E">
        <w:t xml:space="preserve"> you must:</w:t>
      </w:r>
    </w:p>
    <w:p w14:paraId="3E42D0C0" w14:textId="77777777" w:rsidR="00083156" w:rsidRPr="00D6230E" w:rsidRDefault="001261F1" w:rsidP="00A77A91">
      <w:pPr>
        <w:pStyle w:val="ListBullet"/>
        <w:numPr>
          <w:ilvl w:val="0"/>
          <w:numId w:val="22"/>
        </w:numPr>
      </w:pPr>
      <w:hyperlink w:anchor="_Notifying_the_TGA" w:history="1">
        <w:r w:rsidR="00083156" w:rsidRPr="00D6230E">
          <w:rPr>
            <w:rStyle w:val="Hyperlink"/>
          </w:rPr>
          <w:t>Notify the TGA</w:t>
        </w:r>
      </w:hyperlink>
      <w:r w:rsidR="00083156" w:rsidRPr="00D6230E">
        <w:t xml:space="preserve"> </w:t>
      </w:r>
      <w:r w:rsidR="00083156" w:rsidRPr="00A77A91">
        <w:rPr>
          <w:b/>
        </w:rPr>
        <w:t xml:space="preserve">before 25 May 2022 </w:t>
      </w:r>
      <w:r w:rsidR="00083156" w:rsidRPr="00D6230E">
        <w:t xml:space="preserve">that you have an ARTG inclusion that will need to be reclassified </w:t>
      </w:r>
    </w:p>
    <w:p w14:paraId="244F2B2C" w14:textId="3EA2ADF4" w:rsidR="00083156" w:rsidRPr="00D6230E" w:rsidRDefault="001261F1" w:rsidP="00A77A91">
      <w:pPr>
        <w:pStyle w:val="ListBullet"/>
        <w:numPr>
          <w:ilvl w:val="0"/>
          <w:numId w:val="22"/>
        </w:numPr>
      </w:pPr>
      <w:hyperlink w:anchor="_How_to_submit" w:history="1">
        <w:r w:rsidR="00614E67" w:rsidRPr="00D6230E">
          <w:rPr>
            <w:rStyle w:val="Hyperlink"/>
          </w:rPr>
          <w:t>Submit a reclass application</w:t>
        </w:r>
      </w:hyperlink>
      <w:r w:rsidR="00083156" w:rsidRPr="00D6230E">
        <w:t xml:space="preserve"> for your device to be included in the ARTG under the correct classification </w:t>
      </w:r>
      <w:r w:rsidR="00083156" w:rsidRPr="00A77A91">
        <w:rPr>
          <w:b/>
        </w:rPr>
        <w:t>before</w:t>
      </w:r>
      <w:r w:rsidR="00083156" w:rsidRPr="00D6230E">
        <w:t xml:space="preserve"> </w:t>
      </w:r>
      <w:hyperlink w:anchor="_Timeframes_for_reclassifying" w:history="1">
        <w:r w:rsidR="00614E67" w:rsidRPr="00A77A91">
          <w:rPr>
            <w:rStyle w:val="Hyperlink"/>
            <w:b/>
          </w:rPr>
          <w:t>the transition deadline</w:t>
        </w:r>
      </w:hyperlink>
      <w:r w:rsidR="00083156" w:rsidRPr="00D6230E">
        <w:t>.</w:t>
      </w:r>
    </w:p>
    <w:p w14:paraId="0C37ED29" w14:textId="617D9098" w:rsidR="00083156" w:rsidRPr="00D6230E" w:rsidRDefault="00083156" w:rsidP="00A77A91"/>
    <w:tbl>
      <w:tblPr>
        <w:tblW w:w="9038" w:type="dxa"/>
        <w:tblLayout w:type="fixed"/>
        <w:tblCellMar>
          <w:left w:w="0" w:type="dxa"/>
          <w:right w:w="0" w:type="dxa"/>
        </w:tblCellMar>
        <w:tblLook w:val="04A0" w:firstRow="1" w:lastRow="0" w:firstColumn="1" w:lastColumn="0" w:noHBand="0" w:noVBand="1"/>
      </w:tblPr>
      <w:tblGrid>
        <w:gridCol w:w="1276"/>
        <w:gridCol w:w="7762"/>
      </w:tblGrid>
      <w:tr w:rsidR="00083156" w:rsidRPr="00D6230E" w14:paraId="3DE414E1" w14:textId="77777777" w:rsidTr="00C91AEC">
        <w:tc>
          <w:tcPr>
            <w:tcW w:w="1276" w:type="dxa"/>
            <w:vAlign w:val="center"/>
          </w:tcPr>
          <w:p w14:paraId="5891FDE2" w14:textId="77777777" w:rsidR="00083156" w:rsidRPr="00D6230E" w:rsidRDefault="00083156" w:rsidP="00A77A91">
            <w:r w:rsidRPr="00D6230E">
              <w:rPr>
                <w:noProof/>
                <w:lang w:eastAsia="en-AU"/>
              </w:rPr>
              <w:drawing>
                <wp:inline distT="0" distB="0" distL="0" distR="0" wp14:anchorId="5D0BF202" wp14:editId="2E502F70">
                  <wp:extent cx="487681" cy="487681"/>
                  <wp:effectExtent l="19050" t="0" r="7619" b="0"/>
                  <wp:docPr id="1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06E4735" w14:textId="77777777" w:rsidR="00083156" w:rsidRPr="00D6230E" w:rsidRDefault="00083156" w:rsidP="00A77A91">
            <w:r w:rsidRPr="00D6230E">
              <w:t xml:space="preserve">If you do not intend to continue supplying the device, you should </w:t>
            </w:r>
            <w:hyperlink r:id="rId21" w:history="1">
              <w:r w:rsidRPr="00D6230E">
                <w:rPr>
                  <w:rStyle w:val="Hyperlink"/>
                </w:rPr>
                <w:t>cancel your ARTG inclusion</w:t>
              </w:r>
            </w:hyperlink>
            <w:r w:rsidRPr="00D6230E">
              <w:t xml:space="preserve"> </w:t>
            </w:r>
            <w:r w:rsidRPr="00D6230E">
              <w:rPr>
                <w:b/>
              </w:rPr>
              <w:t>before 25 May 2022</w:t>
            </w:r>
            <w:r w:rsidRPr="00D6230E">
              <w:t>.</w:t>
            </w:r>
          </w:p>
          <w:p w14:paraId="21AE7C52" w14:textId="58F6C128" w:rsidR="00083156" w:rsidRPr="00D6230E" w:rsidRDefault="00083156" w:rsidP="00A77A91">
            <w:r w:rsidRPr="00D6230E">
              <w:t xml:space="preserve">If you </w:t>
            </w:r>
            <w:r w:rsidRPr="00D6230E">
              <w:rPr>
                <w:b/>
              </w:rPr>
              <w:t>notify</w:t>
            </w:r>
            <w:r w:rsidRPr="00D6230E">
              <w:t xml:space="preserve"> the TGA of your devices </w:t>
            </w:r>
            <w:r w:rsidRPr="00D6230E">
              <w:rPr>
                <w:b/>
              </w:rPr>
              <w:t>before 25 May 2022</w:t>
            </w:r>
            <w:r w:rsidRPr="00D6230E">
              <w:t xml:space="preserve"> but you do not </w:t>
            </w:r>
            <w:r w:rsidRPr="00D6230E">
              <w:rPr>
                <w:b/>
              </w:rPr>
              <w:t>submit an application</w:t>
            </w:r>
            <w:r w:rsidRPr="00D6230E">
              <w:t xml:space="preserve"> for ARTG inclusion with the correct classification </w:t>
            </w:r>
            <w:r w:rsidRPr="00D6230E">
              <w:rPr>
                <w:b/>
              </w:rPr>
              <w:t xml:space="preserve">before </w:t>
            </w:r>
            <w:hyperlink w:anchor="_Timeframes_for_reclassifying" w:history="1">
              <w:r w:rsidR="00614E67" w:rsidRPr="00D6230E">
                <w:rPr>
                  <w:rStyle w:val="Hyperlink"/>
                  <w:b/>
                </w:rPr>
                <w:t>the transition deadline</w:t>
              </w:r>
            </w:hyperlink>
            <w:r w:rsidRPr="00D6230E">
              <w:t xml:space="preserve">, you must cease supplying your device from </w:t>
            </w:r>
            <w:r w:rsidR="00614E67" w:rsidRPr="00D6230E">
              <w:t>the day of the transition deadline</w:t>
            </w:r>
            <w:r w:rsidR="00614E67" w:rsidRPr="00D6230E" w:rsidDel="003B43D9">
              <w:t xml:space="preserve"> </w:t>
            </w:r>
            <w:r w:rsidRPr="00D6230E">
              <w:t>and cancel your inclusion.</w:t>
            </w:r>
          </w:p>
        </w:tc>
      </w:tr>
    </w:tbl>
    <w:p w14:paraId="7201DED4" w14:textId="77777777" w:rsidR="00083156" w:rsidRPr="00D6230E" w:rsidRDefault="00083156" w:rsidP="00A77A91">
      <w:pPr>
        <w:pStyle w:val="Heading3"/>
      </w:pPr>
      <w:bookmarkStart w:id="28" w:name="_Sponsors_with_a_1"/>
      <w:bookmarkStart w:id="29" w:name="_Applications_to_include"/>
      <w:bookmarkStart w:id="30" w:name="_Toc35782309"/>
      <w:bookmarkStart w:id="31" w:name="_Toc71720444"/>
      <w:bookmarkStart w:id="32" w:name="_Toc155785759"/>
      <w:bookmarkEnd w:id="28"/>
      <w:bookmarkEnd w:id="29"/>
      <w:r w:rsidRPr="00D6230E">
        <w:lastRenderedPageBreak/>
        <w:t xml:space="preserve">Applications to include a medical device in the ARTG lodged before 25 </w:t>
      </w:r>
      <w:bookmarkEnd w:id="30"/>
      <w:r w:rsidRPr="00D6230E">
        <w:t>November 2021</w:t>
      </w:r>
      <w:bookmarkEnd w:id="31"/>
      <w:bookmarkEnd w:id="32"/>
    </w:p>
    <w:p w14:paraId="4CCE6081" w14:textId="69E264E0" w:rsidR="00083156" w:rsidRPr="00D6230E" w:rsidRDefault="00083156" w:rsidP="00A77A91">
      <w:r w:rsidRPr="00D6230E">
        <w:t xml:space="preserve">If you have submitted an </w:t>
      </w:r>
      <w:r w:rsidR="00614E67" w:rsidRPr="00D6230E">
        <w:t>application for inclusion</w:t>
      </w:r>
      <w:r w:rsidRPr="00D6230E">
        <w:t xml:space="preserve"> in the ARTG for a medical device that administers medicines or biologicals by inhalation before 25 November 2021, your device application will be </w:t>
      </w:r>
      <w:proofErr w:type="gramStart"/>
      <w:r w:rsidRPr="00D6230E">
        <w:t>assessed</w:t>
      </w:r>
      <w:proofErr w:type="gramEnd"/>
      <w:r w:rsidRPr="00D6230E">
        <w:t xml:space="preserve"> and the device will be included in the ARTG under the old classification rules.</w:t>
      </w:r>
    </w:p>
    <w:p w14:paraId="24590783" w14:textId="77777777" w:rsidR="00083156" w:rsidRPr="00D6230E" w:rsidRDefault="00083156" w:rsidP="00A77A91">
      <w:r w:rsidRPr="00D6230E">
        <w:t>To be eligible for the transitional arrangements to reclassify your device under the new classification rules, you must:</w:t>
      </w:r>
    </w:p>
    <w:p w14:paraId="0681ED7B" w14:textId="77777777" w:rsidR="00083156" w:rsidRPr="00D6230E" w:rsidRDefault="001261F1" w:rsidP="00A77A91">
      <w:pPr>
        <w:pStyle w:val="ListBullet"/>
        <w:numPr>
          <w:ilvl w:val="0"/>
          <w:numId w:val="22"/>
        </w:numPr>
      </w:pPr>
      <w:hyperlink w:anchor="_Notifying_the_TGA" w:history="1">
        <w:r w:rsidR="00083156" w:rsidRPr="00D6230E">
          <w:rPr>
            <w:rStyle w:val="Hyperlink"/>
          </w:rPr>
          <w:t>Notify the TGA</w:t>
        </w:r>
      </w:hyperlink>
      <w:r w:rsidR="00083156" w:rsidRPr="00D6230E">
        <w:t xml:space="preserve"> that you have an ARTG inclusion that will need to be reclassified by whichever is the later date:</w:t>
      </w:r>
    </w:p>
    <w:p w14:paraId="418046B3" w14:textId="77777777" w:rsidR="00083156" w:rsidRPr="00D6230E" w:rsidRDefault="00083156" w:rsidP="00A77A91">
      <w:pPr>
        <w:pStyle w:val="ListBullet2"/>
        <w:numPr>
          <w:ilvl w:val="1"/>
          <w:numId w:val="22"/>
        </w:numPr>
      </w:pPr>
      <w:r w:rsidRPr="00D6230E">
        <w:t>Before 25 May 2022</w:t>
      </w:r>
    </w:p>
    <w:p w14:paraId="712511A6" w14:textId="77777777" w:rsidR="00083156" w:rsidRPr="00D6230E" w:rsidRDefault="00083156" w:rsidP="00A77A91">
      <w:pPr>
        <w:pStyle w:val="ListBullet2"/>
        <w:numPr>
          <w:ilvl w:val="1"/>
          <w:numId w:val="22"/>
        </w:numPr>
      </w:pPr>
      <w:r w:rsidRPr="00D6230E">
        <w:t>Within 2 months of the start date of your ARTG entry</w:t>
      </w:r>
    </w:p>
    <w:p w14:paraId="3622F83A" w14:textId="42B2BB5F" w:rsidR="00083156" w:rsidRPr="00D6230E" w:rsidRDefault="001261F1" w:rsidP="00A77A91">
      <w:pPr>
        <w:pStyle w:val="ListBullet"/>
        <w:numPr>
          <w:ilvl w:val="0"/>
          <w:numId w:val="22"/>
        </w:numPr>
      </w:pPr>
      <w:hyperlink w:anchor="_How_to_submit" w:history="1">
        <w:r w:rsidR="00614E67" w:rsidRPr="00D6230E">
          <w:rPr>
            <w:rStyle w:val="Hyperlink"/>
          </w:rPr>
          <w:t>Submit a reclass application</w:t>
        </w:r>
      </w:hyperlink>
      <w:r w:rsidR="00083156" w:rsidRPr="00D6230E">
        <w:t xml:space="preserve"> for your device to be included in the ARTG with the correct classification </w:t>
      </w:r>
      <w:r w:rsidR="00083156" w:rsidRPr="00A77A91">
        <w:rPr>
          <w:b/>
        </w:rPr>
        <w:t xml:space="preserve">before </w:t>
      </w:r>
      <w:hyperlink w:anchor="_Timeframes_for_reclassifying" w:history="1">
        <w:r w:rsidR="00614E67" w:rsidRPr="00A77A91">
          <w:rPr>
            <w:rStyle w:val="Hyperlink"/>
            <w:b/>
          </w:rPr>
          <w:t>the transition deadline</w:t>
        </w:r>
      </w:hyperlink>
      <w:r w:rsidR="00083156" w:rsidRPr="00D6230E">
        <w:t>.</w:t>
      </w:r>
    </w:p>
    <w:p w14:paraId="7699AAB3" w14:textId="77777777" w:rsidR="00083156" w:rsidRPr="00D6230E" w:rsidRDefault="00083156" w:rsidP="00A77A91">
      <w:pPr>
        <w:pStyle w:val="Heading4"/>
      </w:pPr>
      <w:bookmarkStart w:id="33" w:name="_Toc53585803"/>
      <w:bookmarkStart w:id="34" w:name="_Toc71720445"/>
      <w:bookmarkStart w:id="35" w:name="_Toc155785760"/>
      <w:r w:rsidRPr="00D6230E">
        <w:t>Cancelling your ARTG inclusion</w:t>
      </w:r>
      <w:bookmarkEnd w:id="33"/>
      <w:bookmarkEnd w:id="34"/>
      <w:bookmarkEnd w:id="35"/>
    </w:p>
    <w:p w14:paraId="003688DF" w14:textId="77777777" w:rsidR="00083156" w:rsidRPr="00D6230E" w:rsidRDefault="00083156" w:rsidP="00A77A91">
      <w:r w:rsidRPr="00D6230E">
        <w:t xml:space="preserve">If you </w:t>
      </w:r>
      <w:r w:rsidRPr="00D6230E">
        <w:rPr>
          <w:b/>
        </w:rPr>
        <w:t>do not notify</w:t>
      </w:r>
      <w:r w:rsidRPr="00D6230E">
        <w:t xml:space="preserve"> the TGA before 25 May 2022 or within two months of the start date for your ARTG entry (whichever is the later date) of your intention to apply for the device to be included in the ARTG included in the ARTG under the new classification rules for your </w:t>
      </w:r>
      <w:proofErr w:type="gramStart"/>
      <w:r w:rsidRPr="00D6230E">
        <w:t>device</w:t>
      </w:r>
      <w:proofErr w:type="gramEnd"/>
      <w:r w:rsidRPr="00D6230E">
        <w:t xml:space="preserve"> you will no longer be eligible for the transitional arrangements. </w:t>
      </w:r>
      <w:bookmarkStart w:id="36" w:name="_Hlk86817391"/>
      <w:r w:rsidRPr="00D6230E">
        <w:t>You should:</w:t>
      </w:r>
    </w:p>
    <w:p w14:paraId="472D7F98" w14:textId="77777777" w:rsidR="00083156" w:rsidRPr="00D6230E" w:rsidRDefault="00083156" w:rsidP="00A77A91">
      <w:pPr>
        <w:pStyle w:val="ListBullet"/>
        <w:numPr>
          <w:ilvl w:val="0"/>
          <w:numId w:val="25"/>
        </w:numPr>
      </w:pPr>
      <w:r w:rsidRPr="00D6230E">
        <w:t>cease supplying of your device from 25 May 2022</w:t>
      </w:r>
      <w:bookmarkEnd w:id="36"/>
    </w:p>
    <w:p w14:paraId="3784C6FB" w14:textId="77777777" w:rsidR="00083156" w:rsidRPr="00D6230E" w:rsidRDefault="001261F1" w:rsidP="00A77A91">
      <w:pPr>
        <w:pStyle w:val="ListBullet"/>
        <w:numPr>
          <w:ilvl w:val="0"/>
          <w:numId w:val="22"/>
        </w:numPr>
      </w:pPr>
      <w:hyperlink r:id="rId22" w:history="1">
        <w:r w:rsidR="00083156" w:rsidRPr="00D6230E">
          <w:rPr>
            <w:rStyle w:val="Hyperlink"/>
          </w:rPr>
          <w:t>cancel your inclusion</w:t>
        </w:r>
      </w:hyperlink>
      <w:r w:rsidR="00083156" w:rsidRPr="00D6230E">
        <w:t>.</w:t>
      </w:r>
    </w:p>
    <w:p w14:paraId="7BD26E76" w14:textId="312FFEC1" w:rsidR="00083156" w:rsidRPr="00D6230E" w:rsidRDefault="00083156" w:rsidP="00A77A91">
      <w:r w:rsidRPr="00D6230E">
        <w:t xml:space="preserve">If you </w:t>
      </w:r>
      <w:r w:rsidRPr="00D6230E">
        <w:rPr>
          <w:b/>
        </w:rPr>
        <w:t>notify</w:t>
      </w:r>
      <w:r w:rsidRPr="00D6230E">
        <w:t xml:space="preserve"> the TGA of your device before the due date, but you </w:t>
      </w:r>
      <w:r w:rsidRPr="00D6230E">
        <w:rPr>
          <w:b/>
        </w:rPr>
        <w:t>do not</w:t>
      </w:r>
      <w:r w:rsidRPr="00D6230E">
        <w:t xml:space="preserve"> </w:t>
      </w:r>
      <w:proofErr w:type="gramStart"/>
      <w:r w:rsidRPr="00D6230E">
        <w:rPr>
          <w:b/>
        </w:rPr>
        <w:t>submit an application</w:t>
      </w:r>
      <w:proofErr w:type="gramEnd"/>
      <w:r w:rsidRPr="00D6230E">
        <w:t xml:space="preserve"> for the correct classification </w:t>
      </w:r>
      <w:r w:rsidRPr="00D6230E">
        <w:rPr>
          <w:b/>
        </w:rPr>
        <w:t xml:space="preserve">before </w:t>
      </w:r>
      <w:hyperlink w:anchor="_Timeframes_for_reclassifying" w:history="1">
        <w:r w:rsidR="00614E67" w:rsidRPr="00D6230E">
          <w:rPr>
            <w:rStyle w:val="Hyperlink"/>
            <w:b/>
          </w:rPr>
          <w:t>the transition deadline</w:t>
        </w:r>
      </w:hyperlink>
      <w:r w:rsidRPr="00D6230E">
        <w:t>, you must:</w:t>
      </w:r>
    </w:p>
    <w:p w14:paraId="52E4988E" w14:textId="367438A2" w:rsidR="00083156" w:rsidRPr="00D6230E" w:rsidRDefault="00083156" w:rsidP="00A77A91">
      <w:pPr>
        <w:pStyle w:val="ListBullet"/>
        <w:numPr>
          <w:ilvl w:val="0"/>
          <w:numId w:val="22"/>
        </w:numPr>
      </w:pPr>
      <w:r w:rsidRPr="00D6230E">
        <w:t xml:space="preserve">cease supplying your device from </w:t>
      </w:r>
      <w:r w:rsidR="00614E67" w:rsidRPr="00D6230E">
        <w:t>the day of the transition deadline</w:t>
      </w:r>
    </w:p>
    <w:p w14:paraId="26BD6ACF" w14:textId="77777777" w:rsidR="00083156" w:rsidRPr="00D6230E" w:rsidRDefault="001261F1" w:rsidP="00A77A91">
      <w:pPr>
        <w:pStyle w:val="ListBullet"/>
        <w:numPr>
          <w:ilvl w:val="0"/>
          <w:numId w:val="22"/>
        </w:numPr>
      </w:pPr>
      <w:hyperlink r:id="rId23" w:history="1">
        <w:r w:rsidR="00083156" w:rsidRPr="00D6230E">
          <w:rPr>
            <w:rStyle w:val="Hyperlink"/>
          </w:rPr>
          <w:t>cancel your ARTG inclusion</w:t>
        </w:r>
      </w:hyperlink>
      <w:r w:rsidR="00083156" w:rsidRPr="00D6230E">
        <w:t>.</w:t>
      </w:r>
    </w:p>
    <w:p w14:paraId="4BB75E44" w14:textId="77777777" w:rsidR="00083156" w:rsidRPr="00D6230E" w:rsidRDefault="00083156" w:rsidP="00A77A91">
      <w:pPr>
        <w:pStyle w:val="Heading3"/>
      </w:pPr>
      <w:bookmarkStart w:id="37" w:name="_Sponsors_intending_to"/>
      <w:bookmarkStart w:id="38" w:name="_Toc35782310"/>
      <w:bookmarkStart w:id="39" w:name="_Toc71720446"/>
      <w:bookmarkStart w:id="40" w:name="_Toc155785761"/>
      <w:bookmarkEnd w:id="37"/>
      <w:r w:rsidRPr="00D6230E">
        <w:t>Applications to include a new medical device on or after 25 November 2021</w:t>
      </w:r>
      <w:bookmarkEnd w:id="38"/>
      <w:bookmarkEnd w:id="39"/>
      <w:bookmarkEnd w:id="40"/>
    </w:p>
    <w:p w14:paraId="54A83317" w14:textId="23AD7C24" w:rsidR="00083156" w:rsidRPr="00D6230E" w:rsidRDefault="00083156" w:rsidP="00A77A91">
      <w:r w:rsidRPr="00D6230E">
        <w:t xml:space="preserve">Any </w:t>
      </w:r>
      <w:r w:rsidR="00614E67" w:rsidRPr="00D6230E">
        <w:t>application for inclusion</w:t>
      </w:r>
      <w:r w:rsidRPr="00D6230E">
        <w:t xml:space="preserve"> of a new device that is not yet included in the ARTG, submitted to the TGA </w:t>
      </w:r>
      <w:r w:rsidRPr="00D6230E">
        <w:rPr>
          <w:b/>
        </w:rPr>
        <w:t>on or after 25 November 2021</w:t>
      </w:r>
      <w:r w:rsidRPr="00D6230E">
        <w:t>, must be submitted using the correct classification under the new classification rules.</w:t>
      </w:r>
    </w:p>
    <w:p w14:paraId="53BCD1C5" w14:textId="2E4F4442" w:rsidR="00083156" w:rsidRPr="00D6230E" w:rsidRDefault="00083156" w:rsidP="00A77A91">
      <w:r w:rsidRPr="00D6230E">
        <w:t xml:space="preserve">For more information refer to the </w:t>
      </w:r>
      <w:hyperlink r:id="rId24" w:history="1">
        <w:r w:rsidRPr="00D6230E">
          <w:rPr>
            <w:rStyle w:val="Hyperlink"/>
          </w:rPr>
          <w:t>Medical device inclusion process</w:t>
        </w:r>
      </w:hyperlink>
      <w:r w:rsidRPr="00D6230E">
        <w:t xml:space="preserve">.  </w:t>
      </w:r>
    </w:p>
    <w:p w14:paraId="0DC8594C" w14:textId="77777777" w:rsidR="00083156" w:rsidRPr="00D6230E" w:rsidRDefault="00083156" w:rsidP="00A77A91">
      <w:pPr>
        <w:pStyle w:val="Heading2"/>
      </w:pPr>
      <w:bookmarkStart w:id="41" w:name="_Notifying_the_TGA"/>
      <w:bookmarkStart w:id="42" w:name="_Toc35782311"/>
      <w:bookmarkStart w:id="43" w:name="_Toc71720447"/>
      <w:bookmarkStart w:id="44" w:name="_Toc155785762"/>
      <w:bookmarkEnd w:id="41"/>
      <w:r w:rsidRPr="00D6230E">
        <w:t>Notifying the TGA</w:t>
      </w:r>
      <w:bookmarkEnd w:id="42"/>
      <w:bookmarkEnd w:id="43"/>
      <w:bookmarkEnd w:id="44"/>
    </w:p>
    <w:p w14:paraId="5A166D35" w14:textId="77777777" w:rsidR="00083156" w:rsidRPr="00D6230E" w:rsidRDefault="00083156" w:rsidP="00A77A91">
      <w:r w:rsidRPr="00D6230E">
        <w:t xml:space="preserve">To notify the TGA that you have an ARTG inclusion for a device that administers medicines or biologicals by inhalation that needs to be reclassified, you will need to fill </w:t>
      </w:r>
      <w:bookmarkStart w:id="45" w:name="_Hlk86817856"/>
      <w:r w:rsidRPr="00D6230E">
        <w:t>in the online form on our Consultation Hub:</w:t>
      </w:r>
    </w:p>
    <w:bookmarkEnd w:id="45"/>
    <w:p w14:paraId="296877BA" w14:textId="77777777" w:rsidR="00083156" w:rsidRPr="00D6230E" w:rsidRDefault="00083156" w:rsidP="00A77A91">
      <w:r w:rsidRPr="00D6230E">
        <w:rPr>
          <w:color w:val="auto"/>
        </w:rPr>
        <w:fldChar w:fldCharType="begin"/>
      </w:r>
      <w:r w:rsidRPr="00D6230E">
        <w:instrText xml:space="preserve"> HYPERLINK "https://consultations.health.gov.au/tga/reclass-md-administer-medicines-by-inhalation" </w:instrText>
      </w:r>
      <w:r w:rsidRPr="00D6230E">
        <w:rPr>
          <w:color w:val="auto"/>
        </w:rPr>
      </w:r>
      <w:r w:rsidRPr="00D6230E">
        <w:rPr>
          <w:color w:val="auto"/>
        </w:rPr>
        <w:fldChar w:fldCharType="separate"/>
      </w:r>
      <w:r w:rsidRPr="00D6230E">
        <w:rPr>
          <w:rStyle w:val="Hyperlink"/>
        </w:rPr>
        <w:t>https://consultations.health.gov.au/tga/reclass-md-administer-medicines-by-inhalation</w:t>
      </w:r>
      <w:r w:rsidRPr="00D6230E">
        <w:rPr>
          <w:rStyle w:val="Hyperlink"/>
        </w:rPr>
        <w:fldChar w:fldCharType="end"/>
      </w:r>
    </w:p>
    <w:p w14:paraId="27C5DC82" w14:textId="77777777" w:rsidR="00083156" w:rsidRPr="00D6230E" w:rsidRDefault="00083156" w:rsidP="00A77A91">
      <w:r w:rsidRPr="00D6230E">
        <w:t>The form will be available until 24 May 2022.</w:t>
      </w:r>
    </w:p>
    <w:p w14:paraId="6CA93B12" w14:textId="06C243E3" w:rsidR="00083156" w:rsidRPr="00D6230E" w:rsidRDefault="00083156" w:rsidP="00A77A91">
      <w:pPr>
        <w:rPr>
          <w:u w:val="single"/>
        </w:rPr>
      </w:pPr>
      <w:r w:rsidRPr="00D6230E">
        <w:t xml:space="preserve">The information you will need to provide includes the existing ARTG number, current </w:t>
      </w:r>
      <w:r w:rsidR="00712D04" w:rsidRPr="00D6230E">
        <w:t>classification,</w:t>
      </w:r>
      <w:r w:rsidRPr="00D6230E">
        <w:t xml:space="preserve"> and new classification. </w:t>
      </w:r>
    </w:p>
    <w:p w14:paraId="334C0532" w14:textId="77777777" w:rsidR="00083156" w:rsidRPr="00D6230E" w:rsidRDefault="00083156" w:rsidP="00A77A91">
      <w:pPr>
        <w:pStyle w:val="Heading2"/>
      </w:pPr>
      <w:bookmarkStart w:id="46" w:name="_Toc71720448"/>
      <w:bookmarkStart w:id="47" w:name="_Toc155785763"/>
      <w:r>
        <w:lastRenderedPageBreak/>
        <w:t>Application to transition</w:t>
      </w:r>
      <w:bookmarkEnd w:id="46"/>
      <w:bookmarkEnd w:id="47"/>
    </w:p>
    <w:p w14:paraId="0FF85857" w14:textId="77777777" w:rsidR="00614E67" w:rsidRPr="00D6230E" w:rsidRDefault="00614E67" w:rsidP="00A77A91">
      <w:pPr>
        <w:pStyle w:val="Heading3"/>
      </w:pPr>
      <w:bookmarkStart w:id="48" w:name="_Timeframes_for_reclassifying"/>
      <w:bookmarkStart w:id="49" w:name="_Toc141794499"/>
      <w:bookmarkStart w:id="50" w:name="_Toc53587145"/>
      <w:bookmarkStart w:id="51" w:name="_Toc71720449"/>
      <w:bookmarkStart w:id="52" w:name="_Toc155785764"/>
      <w:bookmarkEnd w:id="48"/>
      <w:r w:rsidRPr="008C08A9">
        <w:t>Timeframes for</w:t>
      </w:r>
      <w:r>
        <w:t xml:space="preserve"> reclassifying transitional ARTG inclusion</w:t>
      </w:r>
      <w:bookmarkEnd w:id="52"/>
      <w:r w:rsidRPr="008C08A9">
        <w:t xml:space="preserve"> </w:t>
      </w:r>
      <w:bookmarkEnd w:id="49"/>
    </w:p>
    <w:p w14:paraId="4561AFC3" w14:textId="1572FF00" w:rsidR="00614E67" w:rsidRPr="00D6230E" w:rsidRDefault="003730E4" w:rsidP="00A77A91">
      <w:r w:rsidRPr="00D6230E">
        <w:t>To</w:t>
      </w:r>
      <w:r w:rsidR="00614E67" w:rsidRPr="00D6230E">
        <w:t xml:space="preserve"> continue supplying your devices, you must submit your reclassification application for the correct class </w:t>
      </w:r>
      <w:r w:rsidR="00614E67" w:rsidRPr="00D6230E">
        <w:rPr>
          <w:b/>
        </w:rPr>
        <w:t xml:space="preserve">before the transition deadline. </w:t>
      </w:r>
      <w:r w:rsidR="00614E67" w:rsidRPr="00D6230E">
        <w:t xml:space="preserve">In </w:t>
      </w:r>
      <w:r w:rsidR="00E53E0B" w:rsidRPr="00D6230E">
        <w:t xml:space="preserve">November </w:t>
      </w:r>
      <w:r w:rsidR="00614E67" w:rsidRPr="00D6230E">
        <w:t>2023, regulatory amendments</w:t>
      </w:r>
      <w:r w:rsidR="00B77006" w:rsidRPr="00D6230E">
        <w:t xml:space="preserve"> have</w:t>
      </w:r>
      <w:r w:rsidR="00614E67" w:rsidRPr="00D6230E">
        <w:t xml:space="preserve"> </w:t>
      </w:r>
      <w:r w:rsidR="00E53E0B" w:rsidRPr="00D6230E">
        <w:t xml:space="preserve">been made </w:t>
      </w:r>
      <w:r w:rsidR="00614E67" w:rsidRPr="00D6230E">
        <w:t xml:space="preserve">to extend </w:t>
      </w:r>
      <w:r w:rsidR="00E53E0B" w:rsidRPr="00D6230E">
        <w:t xml:space="preserve">the </w:t>
      </w:r>
      <w:r w:rsidR="00614E67" w:rsidRPr="00D6230E">
        <w:t xml:space="preserve">transition deadline </w:t>
      </w:r>
      <w:r w:rsidR="00E53E0B" w:rsidRPr="00D6230E">
        <w:t xml:space="preserve">for some transitional devices. The updated transitional deadline for devices that administer medicines or biologicals by inhalation is </w:t>
      </w:r>
      <w:r w:rsidR="00614E67" w:rsidRPr="00D6230E">
        <w:rPr>
          <w:b/>
          <w:bCs/>
        </w:rPr>
        <w:t>1 July 2029</w:t>
      </w:r>
      <w:r w:rsidR="00614E67" w:rsidRPr="00D6230E">
        <w:t xml:space="preserve">. More information about the </w:t>
      </w:r>
      <w:r w:rsidR="00944963" w:rsidRPr="00D6230E">
        <w:t>TGA’s strategy in response to EU MDR transition extension</w:t>
      </w:r>
      <w:r w:rsidR="00614E67" w:rsidRPr="00D6230E">
        <w:t xml:space="preserve"> can be found at </w:t>
      </w:r>
      <w:hyperlink r:id="rId25" w:history="1">
        <w:r w:rsidR="00614E67" w:rsidRPr="00D6230E">
          <w:rPr>
            <w:rStyle w:val="Hyperlink"/>
          </w:rPr>
          <w:t>https://www.tga.gov.au/how-we-regulate/supply-therapeutic-good/supply-medical-device/eu-mdr-transition/eu-mdr-transition-extension</w:t>
        </w:r>
      </w:hyperlink>
      <w:r w:rsidR="00614E67" w:rsidRPr="00D6230E">
        <w:t xml:space="preserve">.  </w:t>
      </w:r>
    </w:p>
    <w:p w14:paraId="4FA0A17B" w14:textId="77777777" w:rsidR="00614E67" w:rsidRPr="00D6230E" w:rsidRDefault="00614E67" w:rsidP="00A77A91">
      <w:r w:rsidRPr="00D6230E">
        <w:t>If you have submitted your application before this date, but it has not yet been finalised by the TGA, you are able to continue to supply your devices using your existing ARTG entry until a decision is made about your reclass application.</w:t>
      </w:r>
    </w:p>
    <w:p w14:paraId="1EA985E6" w14:textId="77777777" w:rsidR="00FB5682" w:rsidRPr="00D6230E" w:rsidRDefault="00FB5682" w:rsidP="00A77A91">
      <w:pPr>
        <w:pStyle w:val="Heading3"/>
      </w:pPr>
      <w:bookmarkStart w:id="53" w:name="_How_to_submit"/>
      <w:bookmarkStart w:id="54" w:name="_Toc155785765"/>
      <w:bookmarkEnd w:id="53"/>
      <w:r w:rsidRPr="00D6230E">
        <w:t>How to submit a reclassification application</w:t>
      </w:r>
      <w:bookmarkEnd w:id="54"/>
    </w:p>
    <w:p w14:paraId="688291AF" w14:textId="1B9F165A" w:rsidR="00FB5682" w:rsidRPr="00D6230E" w:rsidRDefault="00FB5682" w:rsidP="00A77A91">
      <w:pPr>
        <w:pStyle w:val="Numberbullet0"/>
      </w:pPr>
      <w:r w:rsidRPr="00D6230E">
        <w:t xml:space="preserve">Create a ‘New Device Application’ from the menu in the </w:t>
      </w:r>
      <w:proofErr w:type="spellStart"/>
      <w:r w:rsidRPr="00D6230E">
        <w:t>eBS</w:t>
      </w:r>
      <w:proofErr w:type="spellEnd"/>
      <w:r w:rsidRPr="00D6230E">
        <w:t xml:space="preserve"> Portal</w:t>
      </w:r>
      <w:r w:rsidR="00D6230E">
        <w:t>.</w:t>
      </w:r>
    </w:p>
    <w:p w14:paraId="741BCB33" w14:textId="6375A44F" w:rsidR="00FB5682" w:rsidRPr="00D6230E" w:rsidRDefault="00FB5682" w:rsidP="00A77A91">
      <w:pPr>
        <w:pStyle w:val="Numberbullet0"/>
      </w:pPr>
      <w:r w:rsidRPr="00D6230E">
        <w:t>Select "Medical Device - Included" from the first drop down list provided</w:t>
      </w:r>
      <w:r w:rsidR="00D6230E">
        <w:t>.</w:t>
      </w:r>
    </w:p>
    <w:p w14:paraId="694F618E" w14:textId="77777777" w:rsidR="00FB5682" w:rsidRPr="00D6230E" w:rsidRDefault="00FB5682" w:rsidP="00A77A91">
      <w:pPr>
        <w:pStyle w:val="Numberbullet0"/>
      </w:pPr>
      <w:r w:rsidRPr="00D6230E">
        <w:rPr>
          <w:noProof/>
        </w:rPr>
        <w:drawing>
          <wp:inline distT="0" distB="0" distL="0" distR="0" wp14:anchorId="05A33E22" wp14:editId="62935DBD">
            <wp:extent cx="5759450" cy="6968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r:link="rId27">
                      <a:extLst>
                        <a:ext uri="{28A0092B-C50C-407E-A947-70E740481C1C}">
                          <a14:useLocalDpi xmlns:a14="http://schemas.microsoft.com/office/drawing/2010/main" val="0"/>
                        </a:ext>
                      </a:extLst>
                    </a:blip>
                    <a:srcRect r="2046"/>
                    <a:stretch/>
                  </pic:blipFill>
                  <pic:spPr bwMode="auto">
                    <a:xfrm>
                      <a:off x="0" y="0"/>
                      <a:ext cx="5759450" cy="696886"/>
                    </a:xfrm>
                    <a:prstGeom prst="rect">
                      <a:avLst/>
                    </a:prstGeom>
                    <a:noFill/>
                    <a:ln>
                      <a:noFill/>
                    </a:ln>
                    <a:extLst>
                      <a:ext uri="{53640926-AAD7-44D8-BBD7-CCE9431645EC}">
                        <a14:shadowObscured xmlns:a14="http://schemas.microsoft.com/office/drawing/2010/main"/>
                      </a:ext>
                    </a:extLst>
                  </pic:spPr>
                </pic:pic>
              </a:graphicData>
            </a:graphic>
          </wp:inline>
        </w:drawing>
      </w:r>
    </w:p>
    <w:p w14:paraId="335BAA9C" w14:textId="77777777" w:rsidR="00FB5682" w:rsidRPr="00D6230E" w:rsidRDefault="00FB5682" w:rsidP="00A77A91">
      <w:pPr>
        <w:pStyle w:val="Numberbullet0"/>
      </w:pPr>
      <w:r w:rsidRPr="00D6230E">
        <w:t>Select the option to ‘Reclassify an existing register entry’</w:t>
      </w:r>
    </w:p>
    <w:p w14:paraId="5EAD0427" w14:textId="77777777" w:rsidR="00FB5682" w:rsidRPr="00D6230E" w:rsidRDefault="00FB5682" w:rsidP="00A77A91">
      <w:pPr>
        <w:pStyle w:val="Numberbullet0"/>
      </w:pPr>
      <w:r w:rsidRPr="00D6230E">
        <w:rPr>
          <w:noProof/>
        </w:rPr>
        <w:drawing>
          <wp:inline distT="0" distB="0" distL="0" distR="0" wp14:anchorId="4A800F20" wp14:editId="2DD114F2">
            <wp:extent cx="5759450" cy="563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59450" cy="563880"/>
                    </a:xfrm>
                    <a:prstGeom prst="rect">
                      <a:avLst/>
                    </a:prstGeom>
                  </pic:spPr>
                </pic:pic>
              </a:graphicData>
            </a:graphic>
          </wp:inline>
        </w:drawing>
      </w:r>
    </w:p>
    <w:p w14:paraId="2E853212" w14:textId="77777777" w:rsidR="00FB5682" w:rsidRPr="00D6230E" w:rsidRDefault="00FB5682" w:rsidP="00A77A91">
      <w:pPr>
        <w:pStyle w:val="Numberbullet0"/>
      </w:pPr>
      <w:r w:rsidRPr="00D6230E">
        <w:t xml:space="preserve">Search for the ARTG Number to be reclassified: </w:t>
      </w:r>
      <w:proofErr w:type="spellStart"/>
      <w:r w:rsidRPr="00D6230E">
        <w:t>eg.</w:t>
      </w:r>
      <w:proofErr w:type="spellEnd"/>
      <w:r w:rsidRPr="00D6230E">
        <w:t xml:space="preserve"> 130099 (example only)</w:t>
      </w:r>
    </w:p>
    <w:p w14:paraId="46DEB794" w14:textId="77777777" w:rsidR="00FB5682" w:rsidRPr="00D6230E" w:rsidRDefault="00FB5682" w:rsidP="00A77A91">
      <w:pPr>
        <w:pStyle w:val="Numberbullet0"/>
      </w:pPr>
      <w:r w:rsidRPr="00D6230E">
        <w:rPr>
          <w:noProof/>
        </w:rPr>
        <w:drawing>
          <wp:inline distT="0" distB="0" distL="0" distR="0" wp14:anchorId="491D44FB" wp14:editId="02EC2C73">
            <wp:extent cx="5759450" cy="577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9450" cy="577850"/>
                    </a:xfrm>
                    <a:prstGeom prst="rect">
                      <a:avLst/>
                    </a:prstGeom>
                  </pic:spPr>
                </pic:pic>
              </a:graphicData>
            </a:graphic>
          </wp:inline>
        </w:drawing>
      </w:r>
    </w:p>
    <w:p w14:paraId="693576D7" w14:textId="77777777" w:rsidR="00FB5682" w:rsidRPr="00D6230E" w:rsidRDefault="00FB5682" w:rsidP="00A77A91">
      <w:pPr>
        <w:pStyle w:val="Numberbullet0"/>
      </w:pPr>
      <w:r w:rsidRPr="00D6230E">
        <w:t>Select the "Clone" button.</w:t>
      </w:r>
    </w:p>
    <w:p w14:paraId="431CFA49" w14:textId="2567D690" w:rsidR="00FB5682" w:rsidRPr="00D6230E" w:rsidRDefault="00FB5682" w:rsidP="00A77A91">
      <w:pPr>
        <w:pStyle w:val="Numberbullet0"/>
      </w:pPr>
      <w:r w:rsidRPr="00D6230E">
        <w:t>Allow the system to clone the information associated with the ARTG entry into the application</w:t>
      </w:r>
      <w:r w:rsidR="00D6230E">
        <w:t>.</w:t>
      </w:r>
    </w:p>
    <w:p w14:paraId="49BA96BD" w14:textId="77777777" w:rsidR="00FB5682" w:rsidRPr="00D6230E" w:rsidRDefault="00FB5682" w:rsidP="00A77A91">
      <w:pPr>
        <w:pStyle w:val="Numberbullet0"/>
      </w:pPr>
      <w:r w:rsidRPr="00D6230E">
        <w:t xml:space="preserve">Select the correct classification under the new classification rules from the drop down provided for the “New classification” question. </w:t>
      </w:r>
    </w:p>
    <w:p w14:paraId="1635B0CC" w14:textId="77777777" w:rsidR="00FB5682" w:rsidRPr="00D6230E" w:rsidRDefault="00FB5682" w:rsidP="00A77A91">
      <w:pPr>
        <w:pStyle w:val="Numberbullet0"/>
      </w:pPr>
      <w:r w:rsidRPr="00D6230E">
        <w:rPr>
          <w:noProof/>
        </w:rPr>
        <w:drawing>
          <wp:inline distT="0" distB="0" distL="0" distR="0" wp14:anchorId="3971F465" wp14:editId="63B99E82">
            <wp:extent cx="5759450" cy="2774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59450" cy="277495"/>
                    </a:xfrm>
                    <a:prstGeom prst="rect">
                      <a:avLst/>
                    </a:prstGeom>
                  </pic:spPr>
                </pic:pic>
              </a:graphicData>
            </a:graphic>
          </wp:inline>
        </w:drawing>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B5682" w:rsidRPr="00D6230E" w14:paraId="49741700" w14:textId="77777777" w:rsidTr="00EC605A">
        <w:trPr>
          <w:trHeight w:val="1682"/>
        </w:trPr>
        <w:tc>
          <w:tcPr>
            <w:tcW w:w="1276" w:type="dxa"/>
            <w:vAlign w:val="center"/>
          </w:tcPr>
          <w:p w14:paraId="4EF7E122" w14:textId="77777777" w:rsidR="00FB5682" w:rsidRPr="00D6230E" w:rsidRDefault="00FB5682" w:rsidP="008519D5">
            <w:pPr>
              <w:pageBreakBefore/>
            </w:pPr>
            <w:r w:rsidRPr="00D6230E">
              <w:rPr>
                <w:noProof/>
                <w:lang w:eastAsia="en-AU"/>
              </w:rPr>
              <w:lastRenderedPageBreak/>
              <w:drawing>
                <wp:inline distT="0" distB="0" distL="0" distR="0" wp14:anchorId="6302CD92" wp14:editId="7D954CE7">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ACEC1A4" w14:textId="77777777" w:rsidR="00FB5682" w:rsidRPr="00D6230E" w:rsidRDefault="00FB5682" w:rsidP="008519D5">
            <w:pPr>
              <w:pageBreakBefore/>
            </w:pPr>
            <w:r w:rsidRPr="00D6230E">
              <w:t xml:space="preserve">If the GMDN code in the existing entry has been made obsolete or has been updated, the sponsor is responsible for selecting the most appropriate and current code available in the GMDN agency database.  </w:t>
            </w:r>
          </w:p>
          <w:p w14:paraId="68E7BBB8" w14:textId="77777777" w:rsidR="00FB5682" w:rsidRPr="00D6230E" w:rsidRDefault="00FB5682" w:rsidP="008519D5">
            <w:pPr>
              <w:pageBreakBefore/>
            </w:pPr>
            <w:r w:rsidRPr="00D6230E">
              <w:t xml:space="preserve">If you are required to select a new GMDN code that is different to the cloned ARTG entry, you will not be able to validate and submit the application. </w:t>
            </w:r>
          </w:p>
          <w:p w14:paraId="1D196786" w14:textId="7AA99091" w:rsidR="00FB5682" w:rsidRPr="00D6230E" w:rsidRDefault="00FB5682" w:rsidP="008519D5">
            <w:pPr>
              <w:pageBreakBefore/>
            </w:pPr>
            <w:r w:rsidRPr="00D6230E">
              <w:t xml:space="preserve">Please save the draft application and email TGA Devices info line at </w:t>
            </w:r>
            <w:hyperlink r:id="rId31" w:history="1">
              <w:r w:rsidRPr="00D6230E">
                <w:rPr>
                  <w:rStyle w:val="Hyperlink"/>
                </w:rPr>
                <w:t>devices@tga.gov.au</w:t>
              </w:r>
            </w:hyperlink>
            <w:r w:rsidRPr="00D6230E">
              <w:t xml:space="preserve"> for assistance.</w:t>
            </w:r>
          </w:p>
          <w:p w14:paraId="72A545CF" w14:textId="77777777" w:rsidR="00FB5682" w:rsidRPr="00D6230E" w:rsidRDefault="00FB5682" w:rsidP="008519D5">
            <w:pPr>
              <w:pageBreakBefore/>
            </w:pPr>
            <w:r w:rsidRPr="00D6230E">
              <w:t>If there is a change of manufacturer, you must submit a new application</w:t>
            </w:r>
            <w:r w:rsidRPr="00D6230E">
              <w:rPr>
                <w:i/>
                <w:iCs/>
              </w:rPr>
              <w:t xml:space="preserve"> (i.e.</w:t>
            </w:r>
            <w:r w:rsidRPr="00D6230E">
              <w:t xml:space="preserve"> select “Create a new inclusion in the register” instead of “Reclassify an existing register entry” in the Step 3 shown above) and provide information about the existing ARTG entry in the application form or in a supporting document attached with the form.</w:t>
            </w:r>
          </w:p>
        </w:tc>
      </w:tr>
    </w:tbl>
    <w:p w14:paraId="15807875" w14:textId="7AC852FA" w:rsidR="00083156" w:rsidRPr="00D6230E" w:rsidRDefault="00083156" w:rsidP="00A77A91">
      <w:pPr>
        <w:pStyle w:val="Heading3"/>
      </w:pPr>
      <w:bookmarkStart w:id="55" w:name="_Toc155785766"/>
      <w:r w:rsidRPr="00D6230E">
        <w:t>What to include in your application</w:t>
      </w:r>
      <w:bookmarkEnd w:id="50"/>
      <w:bookmarkEnd w:id="51"/>
      <w:bookmarkEnd w:id="55"/>
    </w:p>
    <w:p w14:paraId="7C99CAD6" w14:textId="307B1CD7" w:rsidR="00083156" w:rsidRPr="00D6230E" w:rsidRDefault="00083156" w:rsidP="00A77A91">
      <w:pPr>
        <w:pStyle w:val="ListBullet"/>
      </w:pPr>
      <w:r w:rsidRPr="00D6230E">
        <w:t xml:space="preserve">Applications for ARTG inclusion must be accompanied by </w:t>
      </w:r>
      <w:hyperlink r:id="rId32" w:history="1">
        <w:r w:rsidRPr="00D6230E">
          <w:rPr>
            <w:rStyle w:val="Hyperlink"/>
          </w:rPr>
          <w:t>appropriate conformity assessment documentation</w:t>
        </w:r>
      </w:hyperlink>
      <w:r w:rsidRPr="00D6230E">
        <w:t xml:space="preserve"> </w:t>
      </w:r>
      <w:r w:rsidR="003730E4" w:rsidRPr="00D6230E">
        <w:t>to</w:t>
      </w:r>
      <w:r w:rsidRPr="00D6230E">
        <w:t xml:space="preserve"> pass preliminary assessment. </w:t>
      </w:r>
    </w:p>
    <w:p w14:paraId="330765A2" w14:textId="489DB170" w:rsidR="00083156" w:rsidRPr="00D6230E" w:rsidRDefault="00083156" w:rsidP="00A77A91">
      <w:pPr>
        <w:pStyle w:val="ListBullet"/>
      </w:pPr>
      <w:r w:rsidRPr="00D6230E">
        <w:t xml:space="preserve">The </w:t>
      </w:r>
      <w:r w:rsidR="00FB5682" w:rsidRPr="00D6230E">
        <w:t xml:space="preserve">required </w:t>
      </w:r>
      <w:r w:rsidRPr="00D6230E">
        <w:t xml:space="preserve">documents are outlined in the final column "Documentation to be provided with the application (Evidence of product assessment)" of Table 2 in the </w:t>
      </w:r>
      <w:hyperlink r:id="rId33" w:history="1">
        <w:r w:rsidRPr="00D6230E">
          <w:rPr>
            <w:rStyle w:val="Hyperlink"/>
          </w:rPr>
          <w:t>Use of market authorisation evidence from comparable overseas regulators / assessment bodies for medical devices (including IVDs)</w:t>
        </w:r>
      </w:hyperlink>
      <w:r w:rsidRPr="00D6230E">
        <w:t xml:space="preserve">. </w:t>
      </w:r>
      <w:r w:rsidR="00614E67" w:rsidRPr="00D6230E">
        <w:t>If applicable, the evidence of product assessment</w:t>
      </w:r>
      <w:r w:rsidR="00614E67" w:rsidRPr="00D6230E" w:rsidDel="00614E67">
        <w:t xml:space="preserve"> </w:t>
      </w:r>
      <w:r w:rsidRPr="00D6230E">
        <w:t xml:space="preserve">must be provided in addition to the </w:t>
      </w:r>
      <w:hyperlink r:id="rId34" w:history="1">
        <w:r w:rsidRPr="00D6230E">
          <w:rPr>
            <w:rStyle w:val="Hyperlink"/>
          </w:rPr>
          <w:t>manufacturer evidence</w:t>
        </w:r>
      </w:hyperlink>
      <w:r w:rsidRPr="00D6230E">
        <w:t>.</w:t>
      </w:r>
    </w:p>
    <w:p w14:paraId="3DD2D54A" w14:textId="77777777" w:rsidR="00083156" w:rsidRPr="00D6230E" w:rsidRDefault="00083156" w:rsidP="00A77A91">
      <w:pPr>
        <w:pStyle w:val="ListBullet"/>
      </w:pPr>
      <w:r w:rsidRPr="00D6230E">
        <w:t xml:space="preserve">Please ensure you allow sufficient time to obtain your conformity assessment documentation </w:t>
      </w:r>
      <w:proofErr w:type="gramStart"/>
      <w:r w:rsidRPr="00D6230E">
        <w:t>in order to</w:t>
      </w:r>
      <w:proofErr w:type="gramEnd"/>
      <w:r w:rsidRPr="00D6230E">
        <w:t xml:space="preserve"> submit your documents with your application.</w:t>
      </w:r>
    </w:p>
    <w:p w14:paraId="5C4D3EC3" w14:textId="47D44B76" w:rsidR="00083156" w:rsidRPr="00D6230E" w:rsidRDefault="00083156" w:rsidP="00A77A91">
      <w:r w:rsidRPr="00D6230E">
        <w:t xml:space="preserve">If you do </w:t>
      </w:r>
      <w:r w:rsidRPr="00D6230E">
        <w:rPr>
          <w:b/>
          <w:bCs/>
        </w:rPr>
        <w:t>not pass preliminary assessment</w:t>
      </w:r>
      <w:r w:rsidRPr="00D6230E">
        <w:t xml:space="preserve">, your application </w:t>
      </w:r>
      <w:r w:rsidRPr="00D6230E">
        <w:rPr>
          <w:b/>
          <w:bCs/>
        </w:rPr>
        <w:t xml:space="preserve">will be </w:t>
      </w:r>
      <w:r w:rsidR="003730E4" w:rsidRPr="00D6230E">
        <w:rPr>
          <w:b/>
          <w:bCs/>
        </w:rPr>
        <w:t>refused,</w:t>
      </w:r>
      <w:r w:rsidRPr="00D6230E">
        <w:t xml:space="preserve"> and you will </w:t>
      </w:r>
      <w:r w:rsidRPr="00D6230E">
        <w:rPr>
          <w:b/>
          <w:bCs/>
        </w:rPr>
        <w:t>not be able to transition</w:t>
      </w:r>
      <w:r w:rsidRPr="00D6230E">
        <w:t xml:space="preserve"> your device to the new classification.</w:t>
      </w:r>
    </w:p>
    <w:p w14:paraId="1CF82686" w14:textId="77777777" w:rsidR="00083156" w:rsidRPr="00D6230E" w:rsidRDefault="00083156" w:rsidP="00A77A91">
      <w:pPr>
        <w:pStyle w:val="Heading3"/>
      </w:pPr>
      <w:bookmarkStart w:id="56" w:name="_Toc71720450"/>
      <w:bookmarkStart w:id="57" w:name="_Toc155785767"/>
      <w:r w:rsidRPr="00D6230E">
        <w:t>Fees</w:t>
      </w:r>
      <w:bookmarkEnd w:id="56"/>
      <w:bookmarkEnd w:id="57"/>
    </w:p>
    <w:p w14:paraId="76EAA9A2" w14:textId="3934CD73" w:rsidR="00083156" w:rsidRPr="00D6230E" w:rsidRDefault="00083156" w:rsidP="00A77A91">
      <w:r w:rsidRPr="00D6230E">
        <w:t xml:space="preserve">You will need to pay the relevant </w:t>
      </w:r>
      <w:hyperlink r:id="rId35" w:history="1">
        <w:r w:rsidRPr="00D6230E">
          <w:rPr>
            <w:rStyle w:val="Hyperlink"/>
          </w:rPr>
          <w:t>application fee</w:t>
        </w:r>
      </w:hyperlink>
      <w:r w:rsidRPr="00D6230E">
        <w:t>.</w:t>
      </w:r>
    </w:p>
    <w:tbl>
      <w:tblPr>
        <w:tblW w:w="9072" w:type="dxa"/>
        <w:tblLayout w:type="fixed"/>
        <w:tblCellMar>
          <w:left w:w="0" w:type="dxa"/>
          <w:right w:w="0" w:type="dxa"/>
        </w:tblCellMar>
        <w:tblLook w:val="04A0" w:firstRow="1" w:lastRow="0" w:firstColumn="1" w:lastColumn="0" w:noHBand="0" w:noVBand="1"/>
      </w:tblPr>
      <w:tblGrid>
        <w:gridCol w:w="1276"/>
        <w:gridCol w:w="7796"/>
      </w:tblGrid>
      <w:tr w:rsidR="00083156" w:rsidRPr="00D6230E" w14:paraId="483CFC82" w14:textId="77777777" w:rsidTr="00083156">
        <w:trPr>
          <w:trHeight w:val="681"/>
        </w:trPr>
        <w:tc>
          <w:tcPr>
            <w:tcW w:w="1276" w:type="dxa"/>
            <w:vAlign w:val="center"/>
          </w:tcPr>
          <w:p w14:paraId="237AAC95" w14:textId="77777777" w:rsidR="00083156" w:rsidRPr="00D6230E" w:rsidRDefault="00083156" w:rsidP="00A77A91">
            <w:bookmarkStart w:id="58" w:name="_Hlk120887479"/>
            <w:bookmarkStart w:id="59" w:name="_Toc36200297"/>
            <w:bookmarkStart w:id="60" w:name="_Toc71720451"/>
            <w:bookmarkStart w:id="61" w:name="_Toc36200298"/>
            <w:r w:rsidRPr="00D6230E">
              <w:rPr>
                <w:noProof/>
                <w:lang w:eastAsia="en-AU"/>
              </w:rPr>
              <w:drawing>
                <wp:inline distT="0" distB="0" distL="0" distR="0" wp14:anchorId="60A6CA18" wp14:editId="79A3F692">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96" w:type="dxa"/>
            <w:shd w:val="clear" w:color="auto" w:fill="EAEAEA"/>
            <w:tcMar>
              <w:top w:w="170" w:type="dxa"/>
              <w:left w:w="170" w:type="dxa"/>
              <w:bottom w:w="170" w:type="dxa"/>
              <w:right w:w="170" w:type="dxa"/>
            </w:tcMar>
            <w:vAlign w:val="center"/>
          </w:tcPr>
          <w:p w14:paraId="6A909ED7" w14:textId="77777777" w:rsidR="00083156" w:rsidRPr="00D6230E" w:rsidRDefault="00083156" w:rsidP="00A77A91">
            <w:r w:rsidRPr="00D6230E">
              <w:t xml:space="preserve">Reclassification applications for Class </w:t>
            </w:r>
            <w:proofErr w:type="spellStart"/>
            <w:r w:rsidRPr="00D6230E">
              <w:t>IIa</w:t>
            </w:r>
            <w:proofErr w:type="spellEnd"/>
            <w:r w:rsidRPr="00D6230E">
              <w:t xml:space="preserve"> or IIb ARTG inclusions will </w:t>
            </w:r>
            <w:r w:rsidRPr="00D6230E">
              <w:rPr>
                <w:b/>
              </w:rPr>
              <w:t>not be subject to a mandatory audit</w:t>
            </w:r>
            <w:r w:rsidRPr="00D6230E">
              <w:t>.</w:t>
            </w:r>
          </w:p>
          <w:p w14:paraId="492A8D13" w14:textId="77777777" w:rsidR="00083156" w:rsidRPr="00D6230E" w:rsidRDefault="00083156" w:rsidP="00A77A91">
            <w:r w:rsidRPr="00D6230E">
              <w:t xml:space="preserve">However, </w:t>
            </w:r>
            <w:r w:rsidRPr="00D6230E">
              <w:rPr>
                <w:b/>
                <w:bCs/>
              </w:rPr>
              <w:t>TGA will select applications for non-mandatory audit</w:t>
            </w:r>
            <w:r w:rsidRPr="00D6230E">
              <w:t xml:space="preserve"> if there are any concerns with the application (e.g. post market signals) or if there are</w:t>
            </w:r>
            <w:r w:rsidRPr="00D6230E">
              <w:rPr>
                <w:b/>
                <w:bCs/>
              </w:rPr>
              <w:t xml:space="preserve"> </w:t>
            </w:r>
            <w:r w:rsidRPr="00D6230E">
              <w:t>minor changes in the submitted reclassification application. For example, if the information in the new application is not consistent with the information in the current ARTG entry (such as a rewording of the intended purpose).</w:t>
            </w:r>
          </w:p>
          <w:p w14:paraId="53D9090C" w14:textId="6B6AC4B3" w:rsidR="00083156" w:rsidRPr="00D6230E" w:rsidRDefault="00083156" w:rsidP="00A77A91">
            <w:pPr>
              <w:rPr>
                <w:color w:val="0070C0"/>
              </w:rPr>
            </w:pPr>
            <w:r w:rsidRPr="00D6230E">
              <w:t>If there is a change of manufacturer, you must submit a new application.</w:t>
            </w:r>
          </w:p>
        </w:tc>
      </w:tr>
    </w:tbl>
    <w:p w14:paraId="66AFE2C9" w14:textId="77777777" w:rsidR="00083156" w:rsidRPr="00D6230E" w:rsidRDefault="00083156" w:rsidP="008519D5">
      <w:pPr>
        <w:pStyle w:val="Heading2"/>
        <w:pageBreakBefore/>
      </w:pPr>
      <w:bookmarkStart w:id="62" w:name="_Toc155785768"/>
      <w:bookmarkEnd w:id="58"/>
      <w:r w:rsidRPr="00D6230E">
        <w:lastRenderedPageBreak/>
        <w:t>If your inclusion application is not successful</w:t>
      </w:r>
      <w:bookmarkEnd w:id="59"/>
      <w:bookmarkEnd w:id="60"/>
      <w:bookmarkEnd w:id="62"/>
    </w:p>
    <w:p w14:paraId="049C37E1" w14:textId="77777777" w:rsidR="00083156" w:rsidRPr="00D6230E" w:rsidRDefault="00083156" w:rsidP="00A77A91">
      <w:r w:rsidRPr="00D6230E">
        <w:t xml:space="preserve">If your inclusion application to transition your device to the new classification is not successful, you will be notified of the decision in writing and you will be provided the reasons for the decision. </w:t>
      </w:r>
    </w:p>
    <w:p w14:paraId="781853B4" w14:textId="77777777" w:rsidR="00083156" w:rsidRPr="00D6230E" w:rsidRDefault="00083156" w:rsidP="00A77A91">
      <w:r w:rsidRPr="00D6230E">
        <w:t xml:space="preserve">If you are not satisfied with this decision, you may request reconsideration of this initial decision under section 60 of the </w:t>
      </w:r>
      <w:hyperlink r:id="rId36" w:history="1">
        <w:r w:rsidRPr="00D6230E">
          <w:rPr>
            <w:rStyle w:val="Hyperlink"/>
            <w:i/>
            <w:iCs/>
          </w:rPr>
          <w:t>Therapeutic Goods Act 1989</w:t>
        </w:r>
      </w:hyperlink>
      <w:r w:rsidRPr="00D6230E">
        <w:rPr>
          <w:i/>
          <w:iCs/>
        </w:rPr>
        <w:t xml:space="preserve"> </w:t>
      </w:r>
      <w:r w:rsidRPr="00D6230E">
        <w:t xml:space="preserve">within </w:t>
      </w:r>
      <w:r w:rsidRPr="00D6230E">
        <w:rPr>
          <w:b/>
        </w:rPr>
        <w:t>90 days</w:t>
      </w:r>
      <w:r w:rsidRPr="00D6230E">
        <w:t xml:space="preserve"> of the decision. </w:t>
      </w:r>
    </w:p>
    <w:p w14:paraId="58501D98" w14:textId="77777777" w:rsidR="00083156" w:rsidRPr="00D6230E" w:rsidRDefault="00083156" w:rsidP="00A77A91">
      <w:r w:rsidRPr="00D6230E">
        <w:t xml:space="preserve">If you are not satisfied with the reconsideration (reviewable decision), you may apply to the Administrative Appeals Tribunal or the court. </w:t>
      </w:r>
    </w:p>
    <w:p w14:paraId="148C3E24" w14:textId="77777777" w:rsidR="00083156" w:rsidRDefault="00083156" w:rsidP="00A77A91">
      <w:pPr>
        <w:pStyle w:val="Heading2"/>
      </w:pPr>
      <w:bookmarkStart w:id="63" w:name="_Toc71720452"/>
      <w:bookmarkStart w:id="64" w:name="_Toc155785769"/>
      <w:r>
        <w:t>When to cease supply using your old ARTG entry</w:t>
      </w:r>
      <w:bookmarkEnd w:id="61"/>
      <w:bookmarkEnd w:id="63"/>
      <w:bookmarkEnd w:id="64"/>
    </w:p>
    <w:p w14:paraId="6338B076" w14:textId="77777777" w:rsidR="00083156" w:rsidRPr="00D6230E" w:rsidRDefault="00083156" w:rsidP="00A77A91">
      <w:r w:rsidRPr="00D6230E">
        <w:t>If you do not meet your obligations under the transitional arrangements, you will need to cease supply of your device.  The following table outlines the circumstances and timeframes:</w:t>
      </w:r>
    </w:p>
    <w:p w14:paraId="10D6805A" w14:textId="77777777" w:rsidR="00083156" w:rsidRPr="00D6230E" w:rsidRDefault="00083156" w:rsidP="00A77A91">
      <w:pPr>
        <w:pStyle w:val="Tabletitle"/>
      </w:pPr>
      <w:r w:rsidRPr="00D6230E">
        <w:t>When to cease supply using an old ARTG entry</w:t>
      </w:r>
    </w:p>
    <w:tbl>
      <w:tblPr>
        <w:tblStyle w:val="TableTGAblue"/>
        <w:tblW w:w="0" w:type="auto"/>
        <w:tblLook w:val="04A0" w:firstRow="1" w:lastRow="0" w:firstColumn="1" w:lastColumn="0" w:noHBand="0" w:noVBand="1"/>
        <w:tblCaption w:val="When to cease supply using old ARTG entry"/>
        <w:tblDescription w:val="First column describes the circumstance and the second column describes what to do."/>
      </w:tblPr>
      <w:tblGrid>
        <w:gridCol w:w="4508"/>
        <w:gridCol w:w="4508"/>
      </w:tblGrid>
      <w:tr w:rsidR="00083156" w:rsidRPr="00D6230E" w14:paraId="0241F3D2" w14:textId="77777777" w:rsidTr="00D623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006BC3D" w14:textId="77777777" w:rsidR="00083156" w:rsidRPr="00A77A91" w:rsidRDefault="00083156" w:rsidP="00A77A91">
            <w:pPr>
              <w:rPr>
                <w:b w:val="0"/>
                <w:sz w:val="20"/>
                <w:szCs w:val="20"/>
              </w:rPr>
            </w:pPr>
            <w:r w:rsidRPr="00A77A91">
              <w:rPr>
                <w:sz w:val="20"/>
                <w:szCs w:val="20"/>
              </w:rPr>
              <w:t>Circumstance</w:t>
            </w:r>
          </w:p>
        </w:tc>
        <w:tc>
          <w:tcPr>
            <w:tcW w:w="4508" w:type="dxa"/>
          </w:tcPr>
          <w:p w14:paraId="6D7024D5" w14:textId="77777777" w:rsidR="00083156" w:rsidRPr="00A77A91" w:rsidRDefault="00083156" w:rsidP="00A77A91">
            <w:pPr>
              <w:cnfStyle w:val="100000000000" w:firstRow="1" w:lastRow="0" w:firstColumn="0" w:lastColumn="0" w:oddVBand="0" w:evenVBand="0" w:oddHBand="0" w:evenHBand="0" w:firstRowFirstColumn="0" w:firstRowLastColumn="0" w:lastRowFirstColumn="0" w:lastRowLastColumn="0"/>
              <w:rPr>
                <w:b w:val="0"/>
                <w:sz w:val="20"/>
                <w:szCs w:val="20"/>
              </w:rPr>
            </w:pPr>
            <w:r w:rsidRPr="00A77A91">
              <w:rPr>
                <w:sz w:val="20"/>
                <w:szCs w:val="20"/>
              </w:rPr>
              <w:t>What to do</w:t>
            </w:r>
          </w:p>
        </w:tc>
      </w:tr>
      <w:tr w:rsidR="00083156" w:rsidRPr="00D6230E" w14:paraId="3491EE1D" w14:textId="77777777" w:rsidTr="00D6230E">
        <w:tc>
          <w:tcPr>
            <w:cnfStyle w:val="001000000000" w:firstRow="0" w:lastRow="0" w:firstColumn="1" w:lastColumn="0" w:oddVBand="0" w:evenVBand="0" w:oddHBand="0" w:evenHBand="0" w:firstRowFirstColumn="0" w:firstRowLastColumn="0" w:lastRowFirstColumn="0" w:lastRowLastColumn="0"/>
            <w:tcW w:w="4508" w:type="dxa"/>
          </w:tcPr>
          <w:p w14:paraId="37337D41" w14:textId="77777777" w:rsidR="00083156" w:rsidRPr="00A77A91" w:rsidRDefault="00083156" w:rsidP="00A77A91">
            <w:pPr>
              <w:rPr>
                <w:sz w:val="18"/>
                <w:szCs w:val="18"/>
              </w:rPr>
            </w:pPr>
            <w:r w:rsidRPr="00A77A91">
              <w:rPr>
                <w:sz w:val="18"/>
                <w:szCs w:val="18"/>
              </w:rPr>
              <w:t xml:space="preserve">You have </w:t>
            </w:r>
            <w:r w:rsidRPr="00A77A91">
              <w:rPr>
                <w:b/>
                <w:sz w:val="18"/>
                <w:szCs w:val="18"/>
              </w:rPr>
              <w:t>not notified</w:t>
            </w:r>
            <w:r w:rsidRPr="00A77A91">
              <w:rPr>
                <w:sz w:val="18"/>
                <w:szCs w:val="18"/>
              </w:rPr>
              <w:t xml:space="preserve"> the TGA that your device needs to be reclassified before 25 May 2022, or within two months of inclusion of your device under the old classification rules (whichever is the later date).</w:t>
            </w:r>
          </w:p>
        </w:tc>
        <w:tc>
          <w:tcPr>
            <w:tcW w:w="4508" w:type="dxa"/>
          </w:tcPr>
          <w:p w14:paraId="6BB25C75" w14:textId="54365B9B" w:rsidR="00083156" w:rsidRPr="00A77A91" w:rsidRDefault="00083156" w:rsidP="008519D5">
            <w:pPr>
              <w:cnfStyle w:val="000000000000" w:firstRow="0" w:lastRow="0" w:firstColumn="0" w:lastColumn="0" w:oddVBand="0" w:evenVBand="0" w:oddHBand="0" w:evenHBand="0" w:firstRowFirstColumn="0" w:firstRowLastColumn="0" w:lastRowFirstColumn="0" w:lastRowLastColumn="0"/>
              <w:rPr>
                <w:sz w:val="18"/>
                <w:szCs w:val="18"/>
              </w:rPr>
            </w:pPr>
            <w:r w:rsidRPr="00A77A91">
              <w:rPr>
                <w:sz w:val="18"/>
                <w:szCs w:val="18"/>
              </w:rPr>
              <w:t>Cease supply of your devices from 25 May 2022 or the date that is 2 months after the start date of your ARTG entry (whichever is the later date).</w:t>
            </w:r>
          </w:p>
        </w:tc>
      </w:tr>
      <w:tr w:rsidR="00083156" w:rsidRPr="00D6230E" w14:paraId="5D6E432E" w14:textId="77777777" w:rsidTr="00D6230E">
        <w:tc>
          <w:tcPr>
            <w:cnfStyle w:val="001000000000" w:firstRow="0" w:lastRow="0" w:firstColumn="1" w:lastColumn="0" w:oddVBand="0" w:evenVBand="0" w:oddHBand="0" w:evenHBand="0" w:firstRowFirstColumn="0" w:firstRowLastColumn="0" w:lastRowFirstColumn="0" w:lastRowLastColumn="0"/>
            <w:tcW w:w="4508" w:type="dxa"/>
          </w:tcPr>
          <w:p w14:paraId="5D68A0E1" w14:textId="5BF5B644" w:rsidR="00083156" w:rsidRPr="00A77A91" w:rsidRDefault="00083156" w:rsidP="00A77A91">
            <w:pPr>
              <w:rPr>
                <w:sz w:val="18"/>
                <w:szCs w:val="18"/>
              </w:rPr>
            </w:pPr>
            <w:r w:rsidRPr="00A77A91">
              <w:rPr>
                <w:sz w:val="18"/>
                <w:szCs w:val="18"/>
              </w:rPr>
              <w:t xml:space="preserve">You have </w:t>
            </w:r>
            <w:r w:rsidRPr="00A77A91">
              <w:rPr>
                <w:b/>
                <w:sz w:val="18"/>
                <w:szCs w:val="18"/>
              </w:rPr>
              <w:t>not</w:t>
            </w:r>
            <w:r w:rsidRPr="00A77A91">
              <w:rPr>
                <w:sz w:val="18"/>
                <w:szCs w:val="18"/>
              </w:rPr>
              <w:t xml:space="preserve"> </w:t>
            </w:r>
            <w:proofErr w:type="gramStart"/>
            <w:r w:rsidRPr="00A77A91">
              <w:rPr>
                <w:b/>
                <w:sz w:val="18"/>
                <w:szCs w:val="18"/>
              </w:rPr>
              <w:t>submitted an application</w:t>
            </w:r>
            <w:proofErr w:type="gramEnd"/>
            <w:r w:rsidRPr="00A77A91">
              <w:rPr>
                <w:b/>
                <w:sz w:val="18"/>
                <w:szCs w:val="18"/>
              </w:rPr>
              <w:t xml:space="preserve"> for inclusion</w:t>
            </w:r>
            <w:r w:rsidRPr="00A77A91">
              <w:rPr>
                <w:sz w:val="18"/>
                <w:szCs w:val="18"/>
              </w:rPr>
              <w:t xml:space="preserve"> in the ARTG to transition your device to the correct classification </w:t>
            </w:r>
            <w:r w:rsidRPr="00A77A91">
              <w:rPr>
                <w:b/>
                <w:sz w:val="18"/>
                <w:szCs w:val="18"/>
              </w:rPr>
              <w:t xml:space="preserve">before </w:t>
            </w:r>
            <w:hyperlink w:anchor="_Timeframes_for_reclassifying" w:history="1">
              <w:r w:rsidR="00614E67" w:rsidRPr="00A77A91">
                <w:rPr>
                  <w:rStyle w:val="Hyperlink"/>
                  <w:b/>
                  <w:sz w:val="18"/>
                  <w:szCs w:val="18"/>
                </w:rPr>
                <w:t>the transition deadline</w:t>
              </w:r>
            </w:hyperlink>
            <w:r w:rsidRPr="00A77A91">
              <w:rPr>
                <w:sz w:val="18"/>
                <w:szCs w:val="18"/>
              </w:rPr>
              <w:t>.</w:t>
            </w:r>
          </w:p>
        </w:tc>
        <w:tc>
          <w:tcPr>
            <w:tcW w:w="4508" w:type="dxa"/>
          </w:tcPr>
          <w:p w14:paraId="11F0C97C" w14:textId="192EC430"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sz w:val="18"/>
                <w:szCs w:val="18"/>
              </w:rPr>
            </w:pPr>
            <w:r w:rsidRPr="00A77A91">
              <w:rPr>
                <w:sz w:val="18"/>
                <w:szCs w:val="18"/>
              </w:rPr>
              <w:t xml:space="preserve">Cease supply of your devices from </w:t>
            </w:r>
            <w:r w:rsidR="00614E67" w:rsidRPr="00A77A91">
              <w:rPr>
                <w:sz w:val="18"/>
                <w:szCs w:val="18"/>
              </w:rPr>
              <w:t>the day of the transition deadline</w:t>
            </w:r>
            <w:r w:rsidRPr="00A77A91">
              <w:rPr>
                <w:sz w:val="18"/>
                <w:szCs w:val="18"/>
              </w:rPr>
              <w:t>.</w:t>
            </w:r>
          </w:p>
        </w:tc>
      </w:tr>
      <w:tr w:rsidR="00083156" w:rsidRPr="00D6230E" w14:paraId="3C34333C" w14:textId="77777777" w:rsidTr="00D6230E">
        <w:tc>
          <w:tcPr>
            <w:cnfStyle w:val="001000000000" w:firstRow="0" w:lastRow="0" w:firstColumn="1" w:lastColumn="0" w:oddVBand="0" w:evenVBand="0" w:oddHBand="0" w:evenHBand="0" w:firstRowFirstColumn="0" w:firstRowLastColumn="0" w:lastRowFirstColumn="0" w:lastRowLastColumn="0"/>
            <w:tcW w:w="4508" w:type="dxa"/>
          </w:tcPr>
          <w:p w14:paraId="6A143132" w14:textId="77777777" w:rsidR="00083156" w:rsidRPr="00A77A91" w:rsidRDefault="00083156" w:rsidP="00A77A91">
            <w:pPr>
              <w:rPr>
                <w:sz w:val="18"/>
                <w:szCs w:val="18"/>
              </w:rPr>
            </w:pPr>
            <w:r w:rsidRPr="00A77A91">
              <w:rPr>
                <w:sz w:val="18"/>
                <w:szCs w:val="18"/>
              </w:rPr>
              <w:t>Your application for ARTG inclusion of your device with the correct classification is unsuccessful.</w:t>
            </w:r>
          </w:p>
        </w:tc>
        <w:tc>
          <w:tcPr>
            <w:tcW w:w="4508" w:type="dxa"/>
          </w:tcPr>
          <w:p w14:paraId="23B0442D" w14:textId="77777777" w:rsidR="00083156" w:rsidRPr="00A77A91" w:rsidRDefault="00083156" w:rsidP="00A77A91">
            <w:pPr>
              <w:cnfStyle w:val="000000000000" w:firstRow="0" w:lastRow="0" w:firstColumn="0" w:lastColumn="0" w:oddVBand="0" w:evenVBand="0" w:oddHBand="0" w:evenHBand="0" w:firstRowFirstColumn="0" w:firstRowLastColumn="0" w:lastRowFirstColumn="0" w:lastRowLastColumn="0"/>
              <w:rPr>
                <w:sz w:val="18"/>
                <w:szCs w:val="18"/>
              </w:rPr>
            </w:pPr>
            <w:r w:rsidRPr="00A77A91">
              <w:rPr>
                <w:b/>
                <w:sz w:val="18"/>
                <w:szCs w:val="18"/>
              </w:rPr>
              <w:t>Cease supply</w:t>
            </w:r>
            <w:r w:rsidRPr="00A77A91">
              <w:rPr>
                <w:sz w:val="18"/>
                <w:szCs w:val="18"/>
              </w:rPr>
              <w:t xml:space="preserve"> of your device from the time that you are </w:t>
            </w:r>
            <w:r w:rsidRPr="00A77A91">
              <w:rPr>
                <w:b/>
                <w:sz w:val="18"/>
                <w:szCs w:val="18"/>
              </w:rPr>
              <w:t>notified of the outcome</w:t>
            </w:r>
            <w:r w:rsidRPr="00A77A91">
              <w:rPr>
                <w:sz w:val="18"/>
                <w:szCs w:val="18"/>
              </w:rPr>
              <w:t xml:space="preserve"> of your application.</w:t>
            </w:r>
          </w:p>
        </w:tc>
      </w:tr>
    </w:tbl>
    <w:p w14:paraId="399E6A2D" w14:textId="77777777" w:rsidR="00083156" w:rsidRPr="00215D48" w:rsidRDefault="00083156" w:rsidP="00A77A91">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083156" w:rsidRPr="00215D48" w14:paraId="45C78580" w14:textId="77777777" w:rsidTr="00C91A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0D5C10F9" w14:textId="77777777" w:rsidR="00083156" w:rsidRPr="00A77A91" w:rsidRDefault="00083156" w:rsidP="00A77A91">
            <w:pPr>
              <w:rPr>
                <w:color w:val="FFFFFF" w:themeColor="background1"/>
              </w:rPr>
            </w:pPr>
            <w:r w:rsidRPr="00A77A91">
              <w:rPr>
                <w:color w:val="FFFFFF" w:themeColor="background1"/>
              </w:rPr>
              <w:t>Version</w:t>
            </w:r>
          </w:p>
        </w:tc>
        <w:tc>
          <w:tcPr>
            <w:tcW w:w="3242" w:type="dxa"/>
          </w:tcPr>
          <w:p w14:paraId="2003E505" w14:textId="77777777" w:rsidR="00083156" w:rsidRPr="00A77A91" w:rsidRDefault="00083156" w:rsidP="00A77A91">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A77A91">
              <w:rPr>
                <w:color w:val="FFFFFF" w:themeColor="background1"/>
              </w:rPr>
              <w:t>Description of change</w:t>
            </w:r>
          </w:p>
        </w:tc>
        <w:tc>
          <w:tcPr>
            <w:tcW w:w="2712" w:type="dxa"/>
          </w:tcPr>
          <w:p w14:paraId="5075AC02" w14:textId="77777777" w:rsidR="00083156" w:rsidRPr="00A77A91" w:rsidRDefault="00083156" w:rsidP="00A77A91">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A77A91">
              <w:rPr>
                <w:color w:val="FFFFFF" w:themeColor="background1"/>
              </w:rPr>
              <w:t>Author</w:t>
            </w:r>
          </w:p>
        </w:tc>
        <w:tc>
          <w:tcPr>
            <w:tcW w:w="1808" w:type="dxa"/>
          </w:tcPr>
          <w:p w14:paraId="4D54B599" w14:textId="77777777" w:rsidR="00083156" w:rsidRPr="00A77A91" w:rsidRDefault="00083156" w:rsidP="00A77A91">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A77A91">
              <w:rPr>
                <w:color w:val="FFFFFF" w:themeColor="background1"/>
              </w:rPr>
              <w:t>Effective date</w:t>
            </w:r>
          </w:p>
        </w:tc>
      </w:tr>
      <w:tr w:rsidR="00083156" w:rsidRPr="00215D48" w14:paraId="1D185FA4" w14:textId="77777777" w:rsidTr="00C91AEC">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2594DF4" w14:textId="77777777" w:rsidR="00083156" w:rsidRPr="00D6230E" w:rsidRDefault="00083156" w:rsidP="00A77A91">
            <w:r w:rsidRPr="00D6230E">
              <w:t>V1.0</w:t>
            </w:r>
          </w:p>
        </w:tc>
        <w:tc>
          <w:tcPr>
            <w:tcW w:w="3242" w:type="dxa"/>
          </w:tcPr>
          <w:p w14:paraId="071043F0" w14:textId="77777777" w:rsidR="00083156" w:rsidRPr="00D6230E" w:rsidRDefault="00083156" w:rsidP="00A77A91">
            <w:pPr>
              <w:cnfStyle w:val="000000000000" w:firstRow="0" w:lastRow="0" w:firstColumn="0" w:lastColumn="0" w:oddVBand="0" w:evenVBand="0" w:oddHBand="0" w:evenHBand="0" w:firstRowFirstColumn="0" w:firstRowLastColumn="0" w:lastRowFirstColumn="0" w:lastRowLastColumn="0"/>
            </w:pPr>
            <w:r w:rsidRPr="00D6230E">
              <w:t>Original publication</w:t>
            </w:r>
          </w:p>
        </w:tc>
        <w:tc>
          <w:tcPr>
            <w:tcW w:w="2712" w:type="dxa"/>
          </w:tcPr>
          <w:p w14:paraId="160B0DCE" w14:textId="77777777" w:rsidR="00083156" w:rsidRPr="00D6230E" w:rsidRDefault="00083156" w:rsidP="00A77A91">
            <w:pPr>
              <w:cnfStyle w:val="000000000000" w:firstRow="0" w:lastRow="0" w:firstColumn="0" w:lastColumn="0" w:oddVBand="0" w:evenVBand="0" w:oddHBand="0" w:evenHBand="0" w:firstRowFirstColumn="0" w:firstRowLastColumn="0" w:lastRowFirstColumn="0" w:lastRowLastColumn="0"/>
            </w:pPr>
            <w:r w:rsidRPr="00D6230E">
              <w:t>Medical Devices Authorisation Branch</w:t>
            </w:r>
          </w:p>
        </w:tc>
        <w:tc>
          <w:tcPr>
            <w:tcW w:w="1808" w:type="dxa"/>
          </w:tcPr>
          <w:p w14:paraId="411D537B" w14:textId="77777777" w:rsidR="00083156" w:rsidRPr="00D6230E" w:rsidRDefault="00083156" w:rsidP="00A77A91">
            <w:pPr>
              <w:cnfStyle w:val="000000000000" w:firstRow="0" w:lastRow="0" w:firstColumn="0" w:lastColumn="0" w:oddVBand="0" w:evenVBand="0" w:oddHBand="0" w:evenHBand="0" w:firstRowFirstColumn="0" w:firstRowLastColumn="0" w:lastRowFirstColumn="0" w:lastRowLastColumn="0"/>
            </w:pPr>
            <w:r w:rsidRPr="00D6230E">
              <w:t>March 2021</w:t>
            </w:r>
          </w:p>
        </w:tc>
      </w:tr>
      <w:tr w:rsidR="00083156" w:rsidRPr="00215D48" w14:paraId="1D4633F9" w14:textId="77777777" w:rsidTr="00C91AEC">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B19D4C5" w14:textId="77777777" w:rsidR="00083156" w:rsidRPr="00D6230E" w:rsidRDefault="00083156" w:rsidP="00A77A91">
            <w:r w:rsidRPr="00D6230E">
              <w:t>V1.1</w:t>
            </w:r>
          </w:p>
        </w:tc>
        <w:tc>
          <w:tcPr>
            <w:tcW w:w="3242" w:type="dxa"/>
          </w:tcPr>
          <w:p w14:paraId="39045A44" w14:textId="77777777" w:rsidR="00083156" w:rsidRPr="00D6230E" w:rsidRDefault="00083156" w:rsidP="00A77A91">
            <w:pPr>
              <w:cnfStyle w:val="000000000000" w:firstRow="0" w:lastRow="0" w:firstColumn="0" w:lastColumn="0" w:oddVBand="0" w:evenVBand="0" w:oddHBand="0" w:evenHBand="0" w:firstRowFirstColumn="0" w:firstRowLastColumn="0" w:lastRowFirstColumn="0" w:lastRowLastColumn="0"/>
            </w:pPr>
            <w:r w:rsidRPr="00D6230E">
              <w:t>Update due to regulatory refinements</w:t>
            </w:r>
          </w:p>
        </w:tc>
        <w:tc>
          <w:tcPr>
            <w:tcW w:w="2712" w:type="dxa"/>
          </w:tcPr>
          <w:p w14:paraId="7707AE3A" w14:textId="77777777" w:rsidR="00083156" w:rsidRPr="00D6230E" w:rsidRDefault="00083156" w:rsidP="00A77A91">
            <w:pPr>
              <w:cnfStyle w:val="000000000000" w:firstRow="0" w:lastRow="0" w:firstColumn="0" w:lastColumn="0" w:oddVBand="0" w:evenVBand="0" w:oddHBand="0" w:evenHBand="0" w:firstRowFirstColumn="0" w:firstRowLastColumn="0" w:lastRowFirstColumn="0" w:lastRowLastColumn="0"/>
            </w:pPr>
            <w:r w:rsidRPr="00D6230E">
              <w:t>Medical Devices Authorisation Branch</w:t>
            </w:r>
          </w:p>
        </w:tc>
        <w:tc>
          <w:tcPr>
            <w:tcW w:w="1808" w:type="dxa"/>
          </w:tcPr>
          <w:p w14:paraId="7CB3EADE" w14:textId="77777777" w:rsidR="00083156" w:rsidRPr="00D6230E" w:rsidRDefault="00083156" w:rsidP="00A77A91">
            <w:pPr>
              <w:cnfStyle w:val="000000000000" w:firstRow="0" w:lastRow="0" w:firstColumn="0" w:lastColumn="0" w:oddVBand="0" w:evenVBand="0" w:oddHBand="0" w:evenHBand="0" w:firstRowFirstColumn="0" w:firstRowLastColumn="0" w:lastRowFirstColumn="0" w:lastRowLastColumn="0"/>
            </w:pPr>
            <w:r w:rsidRPr="00D6230E">
              <w:t>November 2021</w:t>
            </w:r>
          </w:p>
        </w:tc>
      </w:tr>
      <w:tr w:rsidR="00083156" w:rsidRPr="00215D48" w14:paraId="57969FC5" w14:textId="77777777" w:rsidTr="00C91AEC">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9448B89" w14:textId="77777777" w:rsidR="00083156" w:rsidRPr="00D6230E" w:rsidRDefault="00083156" w:rsidP="00A77A91">
            <w:r w:rsidRPr="00D6230E">
              <w:t>V1.2</w:t>
            </w:r>
          </w:p>
        </w:tc>
        <w:tc>
          <w:tcPr>
            <w:tcW w:w="3242" w:type="dxa"/>
          </w:tcPr>
          <w:p w14:paraId="45A9C376" w14:textId="77777777" w:rsidR="00083156" w:rsidRPr="00D6230E" w:rsidRDefault="00083156" w:rsidP="00A77A91">
            <w:pPr>
              <w:cnfStyle w:val="000000000000" w:firstRow="0" w:lastRow="0" w:firstColumn="0" w:lastColumn="0" w:oddVBand="0" w:evenVBand="0" w:oddHBand="0" w:evenHBand="0" w:firstRowFirstColumn="0" w:firstRowLastColumn="0" w:lastRowFirstColumn="0" w:lastRowLastColumn="0"/>
            </w:pPr>
            <w:r w:rsidRPr="00D6230E">
              <w:t>Addition of reclassification instructions</w:t>
            </w:r>
          </w:p>
        </w:tc>
        <w:tc>
          <w:tcPr>
            <w:tcW w:w="2712" w:type="dxa"/>
          </w:tcPr>
          <w:p w14:paraId="1CBC64A7" w14:textId="77777777" w:rsidR="00083156" w:rsidRPr="00D6230E" w:rsidRDefault="00083156" w:rsidP="00A77A91">
            <w:pPr>
              <w:cnfStyle w:val="000000000000" w:firstRow="0" w:lastRow="0" w:firstColumn="0" w:lastColumn="0" w:oddVBand="0" w:evenVBand="0" w:oddHBand="0" w:evenHBand="0" w:firstRowFirstColumn="0" w:firstRowLastColumn="0" w:lastRowFirstColumn="0" w:lastRowLastColumn="0"/>
            </w:pPr>
            <w:r w:rsidRPr="00D6230E">
              <w:t>Medical Devices Authorisation Branch</w:t>
            </w:r>
          </w:p>
        </w:tc>
        <w:tc>
          <w:tcPr>
            <w:tcW w:w="1808" w:type="dxa"/>
          </w:tcPr>
          <w:p w14:paraId="026E2BE5" w14:textId="77777777" w:rsidR="00083156" w:rsidRPr="00D6230E" w:rsidRDefault="00083156" w:rsidP="00A77A91">
            <w:pPr>
              <w:cnfStyle w:val="000000000000" w:firstRow="0" w:lastRow="0" w:firstColumn="0" w:lastColumn="0" w:oddVBand="0" w:evenVBand="0" w:oddHBand="0" w:evenHBand="0" w:firstRowFirstColumn="0" w:firstRowLastColumn="0" w:lastRowFirstColumn="0" w:lastRowLastColumn="0"/>
            </w:pPr>
            <w:r w:rsidRPr="00D6230E">
              <w:t>December 2022</w:t>
            </w:r>
          </w:p>
        </w:tc>
      </w:tr>
      <w:tr w:rsidR="00614E67" w:rsidRPr="00215D48" w14:paraId="7B188441" w14:textId="77777777" w:rsidTr="00C91AEC">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1B3DBF6" w14:textId="622BBC1C" w:rsidR="00614E67" w:rsidRPr="00D6230E" w:rsidRDefault="00614E67" w:rsidP="00A77A91">
            <w:r w:rsidRPr="00D6230E">
              <w:t>V1.3</w:t>
            </w:r>
          </w:p>
        </w:tc>
        <w:tc>
          <w:tcPr>
            <w:tcW w:w="3242" w:type="dxa"/>
          </w:tcPr>
          <w:p w14:paraId="0C0A2F22" w14:textId="32292A00" w:rsidR="00614E67" w:rsidRPr="00D6230E" w:rsidRDefault="00614E67" w:rsidP="00A77A91">
            <w:pPr>
              <w:cnfStyle w:val="000000000000" w:firstRow="0" w:lastRow="0" w:firstColumn="0" w:lastColumn="0" w:oddVBand="0" w:evenVBand="0" w:oddHBand="0" w:evenHBand="0" w:firstRowFirstColumn="0" w:firstRowLastColumn="0" w:lastRowFirstColumn="0" w:lastRowLastColumn="0"/>
            </w:pPr>
            <w:r w:rsidRPr="00D6230E">
              <w:t>Update the transition deadline, weblink and some minor edits</w:t>
            </w:r>
          </w:p>
        </w:tc>
        <w:tc>
          <w:tcPr>
            <w:tcW w:w="2712" w:type="dxa"/>
          </w:tcPr>
          <w:p w14:paraId="7DBED8C1" w14:textId="5D21878B" w:rsidR="00614E67" w:rsidRPr="00D6230E" w:rsidRDefault="00614E67" w:rsidP="00A77A91">
            <w:pPr>
              <w:cnfStyle w:val="000000000000" w:firstRow="0" w:lastRow="0" w:firstColumn="0" w:lastColumn="0" w:oddVBand="0" w:evenVBand="0" w:oddHBand="0" w:evenHBand="0" w:firstRowFirstColumn="0" w:firstRowLastColumn="0" w:lastRowFirstColumn="0" w:lastRowLastColumn="0"/>
            </w:pPr>
            <w:r w:rsidRPr="00D6230E">
              <w:t>Medical Devices Authorisation Branch</w:t>
            </w:r>
          </w:p>
        </w:tc>
        <w:tc>
          <w:tcPr>
            <w:tcW w:w="1808" w:type="dxa"/>
          </w:tcPr>
          <w:p w14:paraId="1D8E672A" w14:textId="6A59C206" w:rsidR="00614E67" w:rsidRPr="00D6230E" w:rsidRDefault="00614E67" w:rsidP="00A77A91">
            <w:pPr>
              <w:cnfStyle w:val="000000000000" w:firstRow="0" w:lastRow="0" w:firstColumn="0" w:lastColumn="0" w:oddVBand="0" w:evenVBand="0" w:oddHBand="0" w:evenHBand="0" w:firstRowFirstColumn="0" w:firstRowLastColumn="0" w:lastRowFirstColumn="0" w:lastRowLastColumn="0"/>
            </w:pPr>
            <w:r w:rsidRPr="00D6230E">
              <w:t>August 2023</w:t>
            </w:r>
          </w:p>
        </w:tc>
      </w:tr>
      <w:tr w:rsidR="00224C25" w:rsidRPr="00215D48" w14:paraId="44DE8BF1" w14:textId="77777777" w:rsidTr="00C91AEC">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4C9343F" w14:textId="6EAB7B97" w:rsidR="00224C25" w:rsidRPr="00D6230E" w:rsidRDefault="00224C25" w:rsidP="00A77A91">
            <w:r w:rsidRPr="00D6230E">
              <w:t>V1.4</w:t>
            </w:r>
          </w:p>
        </w:tc>
        <w:tc>
          <w:tcPr>
            <w:tcW w:w="3242" w:type="dxa"/>
          </w:tcPr>
          <w:p w14:paraId="15E6371F" w14:textId="2E73D56E" w:rsidR="00224C25" w:rsidRPr="00D6230E" w:rsidRDefault="00224C25" w:rsidP="00A77A91">
            <w:pPr>
              <w:cnfStyle w:val="000000000000" w:firstRow="0" w:lastRow="0" w:firstColumn="0" w:lastColumn="0" w:oddVBand="0" w:evenVBand="0" w:oddHBand="0" w:evenHBand="0" w:firstRowFirstColumn="0" w:firstRowLastColumn="0" w:lastRowFirstColumn="0" w:lastRowLastColumn="0"/>
            </w:pPr>
            <w:r w:rsidRPr="00D6230E">
              <w:t>Update the transition deadline</w:t>
            </w:r>
          </w:p>
        </w:tc>
        <w:tc>
          <w:tcPr>
            <w:tcW w:w="2712" w:type="dxa"/>
          </w:tcPr>
          <w:p w14:paraId="3BDD58C2" w14:textId="390B5D2A" w:rsidR="00224C25" w:rsidRPr="00D6230E" w:rsidRDefault="00224C25" w:rsidP="00A77A91">
            <w:pPr>
              <w:cnfStyle w:val="000000000000" w:firstRow="0" w:lastRow="0" w:firstColumn="0" w:lastColumn="0" w:oddVBand="0" w:evenVBand="0" w:oddHBand="0" w:evenHBand="0" w:firstRowFirstColumn="0" w:firstRowLastColumn="0" w:lastRowFirstColumn="0" w:lastRowLastColumn="0"/>
            </w:pPr>
            <w:r w:rsidRPr="00D6230E">
              <w:t>Medical Devices Authorisation Branch</w:t>
            </w:r>
          </w:p>
        </w:tc>
        <w:tc>
          <w:tcPr>
            <w:tcW w:w="1808" w:type="dxa"/>
          </w:tcPr>
          <w:p w14:paraId="35A2E2AB" w14:textId="77AD5161" w:rsidR="00224C25" w:rsidRPr="00D6230E" w:rsidRDefault="004A11C7" w:rsidP="00A77A91">
            <w:pPr>
              <w:cnfStyle w:val="000000000000" w:firstRow="0" w:lastRow="0" w:firstColumn="0" w:lastColumn="0" w:oddVBand="0" w:evenVBand="0" w:oddHBand="0" w:evenHBand="0" w:firstRowFirstColumn="0" w:firstRowLastColumn="0" w:lastRowFirstColumn="0" w:lastRowLastColumn="0"/>
            </w:pPr>
            <w:r w:rsidRPr="00D6230E">
              <w:t>December</w:t>
            </w:r>
            <w:r w:rsidR="00224C25" w:rsidRPr="00D6230E">
              <w:t xml:space="preserve"> 2023</w:t>
            </w:r>
          </w:p>
        </w:tc>
      </w:tr>
      <w:bookmarkEnd w:id="1"/>
      <w:bookmarkEnd w:id="2"/>
    </w:tbl>
    <w:p w14:paraId="2D7814DE" w14:textId="77777777" w:rsidR="00F401EF" w:rsidRPr="00215D48" w:rsidRDefault="00F401EF" w:rsidP="00A77A91">
      <w:pPr>
        <w:sectPr w:rsidR="00F401EF" w:rsidRPr="00215D48" w:rsidSect="00AE7C6A">
          <w:headerReference w:type="default" r:id="rId37"/>
          <w:footerReference w:type="default" r:id="rId3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1A03FFB7" w14:textId="77777777" w:rsidTr="00564BBE">
        <w:trPr>
          <w:trHeight w:hRule="exact" w:val="565"/>
          <w:jc w:val="center"/>
        </w:trPr>
        <w:tc>
          <w:tcPr>
            <w:tcW w:w="9145" w:type="dxa"/>
          </w:tcPr>
          <w:p w14:paraId="72C566C1" w14:textId="77777777" w:rsidR="00C50E5C" w:rsidRPr="00215D48" w:rsidRDefault="00C50E5C" w:rsidP="00A77A91">
            <w:pPr>
              <w:pStyle w:val="TGASignoff"/>
            </w:pPr>
            <w:r w:rsidRPr="00215D48">
              <w:lastRenderedPageBreak/>
              <w:t>Therapeutic Goods Administration</w:t>
            </w:r>
          </w:p>
        </w:tc>
      </w:tr>
      <w:tr w:rsidR="00C50E5C" w:rsidRPr="00215D48" w14:paraId="62732498" w14:textId="77777777" w:rsidTr="00564BBE">
        <w:trPr>
          <w:trHeight w:val="963"/>
          <w:jc w:val="center"/>
        </w:trPr>
        <w:tc>
          <w:tcPr>
            <w:tcW w:w="9145" w:type="dxa"/>
            <w:tcMar>
              <w:top w:w="28" w:type="dxa"/>
            </w:tcMar>
          </w:tcPr>
          <w:p w14:paraId="2675BDDD" w14:textId="77777777" w:rsidR="00C50E5C" w:rsidRPr="00215D48" w:rsidRDefault="00C50E5C" w:rsidP="00A77A91">
            <w:pPr>
              <w:pStyle w:val="Address"/>
              <w:jc w:val="center"/>
            </w:pPr>
            <w:r w:rsidRPr="00215D48">
              <w:t>PO Box 100 Woden ACT 2606 Australia</w:t>
            </w:r>
          </w:p>
          <w:p w14:paraId="0E018B79" w14:textId="77777777" w:rsidR="001A3190" w:rsidRDefault="00C50E5C" w:rsidP="00A77A91">
            <w:pPr>
              <w:pStyle w:val="Address"/>
              <w:jc w:val="center"/>
              <w:rPr>
                <w:sz w:val="22"/>
                <w:szCs w:val="22"/>
              </w:rPr>
            </w:pPr>
            <w:r w:rsidRPr="00215D48">
              <w:t xml:space="preserve">Email: </w:t>
            </w:r>
            <w:hyperlink r:id="rId39"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6C505FAB" w14:textId="77777777" w:rsidR="00C50E5C" w:rsidRPr="00215D48" w:rsidRDefault="001261F1" w:rsidP="00A77A91">
            <w:pPr>
              <w:pStyle w:val="Address"/>
              <w:jc w:val="center"/>
              <w:rPr>
                <w:rStyle w:val="Hyperlink"/>
                <w:b/>
                <w:color w:val="auto"/>
                <w:sz w:val="22"/>
                <w:u w:val="none"/>
              </w:rPr>
            </w:pPr>
            <w:hyperlink r:id="rId40" w:history="1">
              <w:r w:rsidR="00215D48" w:rsidRPr="00C4721A">
                <w:rPr>
                  <w:rStyle w:val="Hyperlink"/>
                  <w:b/>
                </w:rPr>
                <w:t>https://www.tga.gov.au</w:t>
              </w:r>
            </w:hyperlink>
          </w:p>
        </w:tc>
      </w:tr>
      <w:tr w:rsidR="00C50E5C" w:rsidRPr="00215D48" w14:paraId="6FE9982E" w14:textId="77777777" w:rsidTr="00564BBE">
        <w:trPr>
          <w:trHeight w:val="251"/>
          <w:jc w:val="center"/>
        </w:trPr>
        <w:tc>
          <w:tcPr>
            <w:tcW w:w="9145" w:type="dxa"/>
            <w:tcMar>
              <w:top w:w="28" w:type="dxa"/>
            </w:tcMar>
          </w:tcPr>
          <w:p w14:paraId="764FD69F" w14:textId="37EF193F" w:rsidR="00C50E5C" w:rsidRPr="00215D48" w:rsidRDefault="00C50E5C" w:rsidP="00A77A91">
            <w:pPr>
              <w:pStyle w:val="Address"/>
            </w:pPr>
          </w:p>
        </w:tc>
      </w:tr>
    </w:tbl>
    <w:p w14:paraId="6F8017D1" w14:textId="77777777" w:rsidR="00706634" w:rsidRPr="00215D48" w:rsidRDefault="00706634" w:rsidP="00A77A91"/>
    <w:sectPr w:rsidR="00706634" w:rsidRPr="00215D48" w:rsidSect="00AE7C6A">
      <w:headerReference w:type="first" r:id="rId41"/>
      <w:footerReference w:type="first" r:id="rId4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15F6F" w14:textId="77777777" w:rsidR="002A36C9" w:rsidRDefault="002A36C9" w:rsidP="00A77A91">
      <w:r>
        <w:separator/>
      </w:r>
    </w:p>
    <w:p w14:paraId="57F6E90F" w14:textId="77777777" w:rsidR="002A36C9" w:rsidRDefault="002A36C9" w:rsidP="00A77A91"/>
  </w:endnote>
  <w:endnote w:type="continuationSeparator" w:id="0">
    <w:p w14:paraId="6056E11A" w14:textId="77777777" w:rsidR="002A36C9" w:rsidRDefault="002A36C9" w:rsidP="00A77A91">
      <w:r>
        <w:continuationSeparator/>
      </w:r>
    </w:p>
    <w:p w14:paraId="00069B9C" w14:textId="77777777" w:rsidR="002A36C9" w:rsidRDefault="002A36C9" w:rsidP="00A77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63FD0309" w14:textId="77777777" w:rsidTr="000B30E5">
      <w:trPr>
        <w:trHeight w:val="423"/>
      </w:trPr>
      <w:tc>
        <w:tcPr>
          <w:tcW w:w="4360" w:type="dxa"/>
          <w:tcBorders>
            <w:top w:val="single" w:sz="4" w:space="0" w:color="auto"/>
          </w:tcBorders>
        </w:tcPr>
        <w:p w14:paraId="39ECB86F" w14:textId="77777777" w:rsidR="00A77452" w:rsidRDefault="00A77452" w:rsidP="00A77A91">
          <w:pPr>
            <w:pStyle w:val="Footer"/>
          </w:pPr>
        </w:p>
        <w:p w14:paraId="496C4F38" w14:textId="77777777" w:rsidR="00A77452" w:rsidRPr="00257138" w:rsidRDefault="00A77452" w:rsidP="00A77A91">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5B27E977" w14:textId="77777777" w:rsidR="00A77452" w:rsidRDefault="00A77452" w:rsidP="00A77A91">
              <w:pPr>
                <w:pStyle w:val="Footer"/>
              </w:pPr>
            </w:p>
            <w:p w14:paraId="25345712" w14:textId="77777777" w:rsidR="00A77452" w:rsidRPr="00257138" w:rsidRDefault="00A77452" w:rsidP="00A77A91">
              <w:pPr>
                <w:pStyle w:val="Footer"/>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fldChar w:fldCharType="begin"/>
              </w:r>
              <w:r>
                <w:instrText xml:space="preserve"> NUMPAGES  </w:instrText>
              </w:r>
              <w:r>
                <w:fldChar w:fldCharType="separate"/>
              </w:r>
              <w:r w:rsidR="00EB6CAF">
                <w:rPr>
                  <w:noProof/>
                </w:rPr>
                <w:t>2</w:t>
              </w:r>
              <w:r>
                <w:rPr>
                  <w:noProof/>
                </w:rPr>
                <w:fldChar w:fldCharType="end"/>
              </w:r>
            </w:p>
          </w:sdtContent>
        </w:sdt>
      </w:tc>
    </w:tr>
    <w:tr w:rsidR="00A77452" w:rsidRPr="00257138" w14:paraId="5241D627" w14:textId="77777777" w:rsidTr="000B30E5">
      <w:trPr>
        <w:trHeight w:val="263"/>
      </w:trPr>
      <w:tc>
        <w:tcPr>
          <w:tcW w:w="4360" w:type="dxa"/>
        </w:tcPr>
        <w:p w14:paraId="7C6A64A1" w14:textId="77777777" w:rsidR="00A77452" w:rsidRPr="00257138" w:rsidRDefault="00A77452" w:rsidP="00A77A91">
          <w:pPr>
            <w:pStyle w:val="Footer"/>
          </w:pPr>
          <w:r w:rsidRPr="00257138">
            <w:t xml:space="preserve">V1.0 </w:t>
          </w:r>
          <w:r>
            <w:t>Month</w:t>
          </w:r>
          <w:r w:rsidRPr="00257138">
            <w:t xml:space="preserve"> 201</w:t>
          </w:r>
          <w:r>
            <w:t>2</w:t>
          </w:r>
        </w:p>
      </w:tc>
      <w:tc>
        <w:tcPr>
          <w:tcW w:w="4360" w:type="dxa"/>
        </w:tcPr>
        <w:p w14:paraId="18A37811" w14:textId="77777777" w:rsidR="00A77452" w:rsidRPr="00257138" w:rsidRDefault="00A77452" w:rsidP="00A77A91">
          <w:pPr>
            <w:pStyle w:val="Footer"/>
          </w:pPr>
        </w:p>
      </w:tc>
    </w:tr>
  </w:tbl>
  <w:p w14:paraId="42C175ED" w14:textId="77777777" w:rsidR="00A77452" w:rsidRPr="00826007" w:rsidRDefault="00A77452" w:rsidP="00A77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E4A5" w14:textId="77777777" w:rsidR="00A77452" w:rsidRDefault="00A77452" w:rsidP="00A77A91">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7FEA748C" w14:textId="77777777" w:rsidTr="00030D34">
      <w:trPr>
        <w:trHeight w:val="423"/>
      </w:trPr>
      <w:tc>
        <w:tcPr>
          <w:tcW w:w="7338" w:type="dxa"/>
          <w:tcBorders>
            <w:top w:val="single" w:sz="4" w:space="0" w:color="auto"/>
          </w:tcBorders>
        </w:tcPr>
        <w:p w14:paraId="6354B025" w14:textId="50FA5846" w:rsidR="00A77452" w:rsidRPr="004A3084" w:rsidRDefault="00EA4A4A" w:rsidP="00A77A91">
          <w:pPr>
            <w:pStyle w:val="Footer"/>
          </w:pPr>
          <w:r>
            <w:t>Reclassification of medical devices that administer medicines or biologicals by inhalation Version 1.</w:t>
          </w:r>
          <w:r w:rsidR="004A11C7">
            <w:t>4</w:t>
          </w:r>
          <w:r>
            <w:t xml:space="preserve">, </w:t>
          </w:r>
          <w:r w:rsidR="004A11C7">
            <w:t xml:space="preserve">December 2023 </w:t>
          </w:r>
        </w:p>
      </w:tc>
      <w:tc>
        <w:tcPr>
          <w:tcW w:w="1734" w:type="dxa"/>
          <w:tcBorders>
            <w:top w:val="single" w:sz="4" w:space="0" w:color="auto"/>
          </w:tcBorders>
        </w:tcPr>
        <w:sdt>
          <w:sdtPr>
            <w:id w:val="11571659"/>
            <w:docPartObj>
              <w:docPartGallery w:val="Page Numbers (Top of Page)"/>
              <w:docPartUnique/>
            </w:docPartObj>
          </w:sdtPr>
          <w:sdtEndPr/>
          <w:sdtContent>
            <w:p w14:paraId="42F65A13" w14:textId="77777777" w:rsidR="00A77452" w:rsidRPr="004A3084" w:rsidRDefault="00A77452" w:rsidP="00A77A91">
              <w:pPr>
                <w:pStyle w:val="Footer"/>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fldChar w:fldCharType="begin"/>
              </w:r>
              <w:r>
                <w:instrText xml:space="preserve"> NUMPAGES  </w:instrText>
              </w:r>
              <w:r>
                <w:fldChar w:fldCharType="separate"/>
              </w:r>
              <w:r w:rsidR="00525165">
                <w:rPr>
                  <w:noProof/>
                </w:rPr>
                <w:t>7</w:t>
              </w:r>
              <w:r>
                <w:rPr>
                  <w:noProof/>
                </w:rPr>
                <w:fldChar w:fldCharType="end"/>
              </w:r>
            </w:p>
          </w:sdtContent>
        </w:sdt>
      </w:tc>
    </w:tr>
  </w:tbl>
  <w:p w14:paraId="60862368" w14:textId="77777777" w:rsidR="00A77452" w:rsidRPr="00826007" w:rsidRDefault="00A77452" w:rsidP="00A77A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365D" w14:textId="77777777" w:rsidR="00A77452" w:rsidRPr="008E3C43" w:rsidRDefault="00A77452" w:rsidP="00A77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D4155" w14:textId="77777777" w:rsidR="002A36C9" w:rsidRDefault="002A36C9" w:rsidP="00A77A91">
      <w:r>
        <w:separator/>
      </w:r>
    </w:p>
    <w:p w14:paraId="56B02209" w14:textId="77777777" w:rsidR="002A36C9" w:rsidRDefault="002A36C9" w:rsidP="00A77A91"/>
  </w:footnote>
  <w:footnote w:type="continuationSeparator" w:id="0">
    <w:p w14:paraId="01BA6226" w14:textId="77777777" w:rsidR="002A36C9" w:rsidRDefault="002A36C9" w:rsidP="00A77A91">
      <w:r>
        <w:continuationSeparator/>
      </w:r>
    </w:p>
    <w:p w14:paraId="66540E57" w14:textId="77777777" w:rsidR="002A36C9" w:rsidRDefault="002A36C9" w:rsidP="00A77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0B3C" w14:textId="77777777" w:rsidR="00A77452" w:rsidRDefault="001261F1" w:rsidP="00A77A91">
    <w:pPr>
      <w:pStyle w:val="Header"/>
    </w:pPr>
    <w:sdt>
      <w:sdtPr>
        <w:id w:val="-203553135"/>
        <w:docPartObj>
          <w:docPartGallery w:val="Watermarks"/>
          <w:docPartUnique/>
        </w:docPartObj>
      </w:sdtPr>
      <w:sdtEndPr/>
      <w:sdtContent>
        <w:r>
          <w:rPr>
            <w:noProof/>
          </w:rPr>
          <w:pict w14:anchorId="3D289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31A8BBA9" w14:textId="77777777" w:rsidTr="00F71E1E">
      <w:trPr>
        <w:trHeight w:hRule="exact" w:val="8845"/>
      </w:trPr>
      <w:tc>
        <w:tcPr>
          <w:tcW w:w="11964" w:type="dxa"/>
          <w:vAlign w:val="center"/>
        </w:tcPr>
        <w:p w14:paraId="329FA5CF" w14:textId="77777777" w:rsidR="00A77452" w:rsidRPr="002B29B2" w:rsidRDefault="001261F1" w:rsidP="00A77A91">
          <w:pPr>
            <w:rPr>
              <w:noProof/>
            </w:rPr>
          </w:pPr>
          <w:sdt>
            <w:sdtPr>
              <w:rPr>
                <w:noProof/>
              </w:rPr>
              <w:id w:val="1926993388"/>
              <w:showingPlcHdr/>
              <w:picture/>
            </w:sdtPr>
            <w:sdtEndPr/>
            <w:sdtContent>
              <w:r w:rsidR="00A77452" w:rsidRPr="00F71E1E">
                <w:rPr>
                  <w:noProof/>
                  <w:lang w:eastAsia="en-AU"/>
                </w:rPr>
                <w:drawing>
                  <wp:inline distT="0" distB="0" distL="0" distR="0" wp14:anchorId="59458AAF" wp14:editId="5BE638DC">
                    <wp:extent cx="7631430" cy="5523865"/>
                    <wp:effectExtent l="0" t="0" r="762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3134047C" w14:textId="77777777" w:rsidR="00A77452" w:rsidRDefault="0078745C" w:rsidP="00A77A91">
    <w:pPr>
      <w:rPr>
        <w:noProof/>
      </w:rPr>
    </w:pPr>
    <w:r w:rsidRPr="002B29B2">
      <w:rPr>
        <w:noProof/>
        <w:lang w:eastAsia="en-AU"/>
      </w:rPr>
      <w:drawing>
        <wp:anchor distT="0" distB="0" distL="114300" distR="114300" simplePos="0" relativeHeight="251662336" behindDoc="0" locked="0" layoutInCell="0" allowOverlap="1" wp14:anchorId="2A202F3B" wp14:editId="2FC0C612">
          <wp:simplePos x="0" y="0"/>
          <wp:positionH relativeFrom="page">
            <wp:align>left</wp:align>
          </wp:positionH>
          <wp:positionV relativeFrom="page">
            <wp:posOffset>3239495</wp:posOffset>
          </wp:positionV>
          <wp:extent cx="7663815" cy="4323091"/>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117B8000" wp14:editId="49EA4336">
          <wp:simplePos x="0" y="0"/>
          <wp:positionH relativeFrom="column">
            <wp:posOffset>-186055</wp:posOffset>
          </wp:positionH>
          <wp:positionV relativeFrom="paragraph">
            <wp:posOffset>136525</wp:posOffset>
          </wp:positionV>
          <wp:extent cx="3524250" cy="81915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CFB6" w14:textId="77777777" w:rsidR="00A77452" w:rsidRDefault="00A77452" w:rsidP="00A77A91">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9DF8" w14:textId="77777777" w:rsidR="00A77452" w:rsidRPr="00FE501F" w:rsidRDefault="00A77452" w:rsidP="00A77A91">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80DAA5C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24A33BC9"/>
    <w:multiLevelType w:val="hybridMultilevel"/>
    <w:tmpl w:val="7F901C32"/>
    <w:lvl w:ilvl="0" w:tplc="473AD052">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A25D45"/>
    <w:multiLevelType w:val="hybridMultilevel"/>
    <w:tmpl w:val="FF9E1BAC"/>
    <w:lvl w:ilvl="0" w:tplc="2FAC5CAE">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D3470A"/>
    <w:multiLevelType w:val="multilevel"/>
    <w:tmpl w:val="BDCE1BCC"/>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7C383BD8"/>
    <w:multiLevelType w:val="hybridMultilevel"/>
    <w:tmpl w:val="CA92C89C"/>
    <w:lvl w:ilvl="0" w:tplc="98FA1596">
      <w:start w:val="1"/>
      <w:numFmt w:val="bullet"/>
      <w:lvlText w:val=""/>
      <w:lvlJc w:val="left"/>
      <w:pPr>
        <w:ind w:left="720" w:hanging="360"/>
      </w:pPr>
      <w:rPr>
        <w:rFonts w:ascii="Symbol" w:hAnsi="Symbol"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9903997">
    <w:abstractNumId w:val="2"/>
  </w:num>
  <w:num w:numId="2" w16cid:durableId="1359624842">
    <w:abstractNumId w:val="1"/>
  </w:num>
  <w:num w:numId="3" w16cid:durableId="312953634">
    <w:abstractNumId w:val="5"/>
  </w:num>
  <w:num w:numId="4" w16cid:durableId="421921225">
    <w:abstractNumId w:val="5"/>
  </w:num>
  <w:num w:numId="5" w16cid:durableId="2105225252">
    <w:abstractNumId w:val="0"/>
  </w:num>
  <w:num w:numId="6" w16cid:durableId="1531992252">
    <w:abstractNumId w:val="5"/>
  </w:num>
  <w:num w:numId="7" w16cid:durableId="2122918564">
    <w:abstractNumId w:val="5"/>
  </w:num>
  <w:num w:numId="8" w16cid:durableId="906844787">
    <w:abstractNumId w:val="3"/>
  </w:num>
  <w:num w:numId="9" w16cid:durableId="76565055">
    <w:abstractNumId w:val="3"/>
  </w:num>
  <w:num w:numId="10" w16cid:durableId="12387485">
    <w:abstractNumId w:val="3"/>
  </w:num>
  <w:num w:numId="11" w16cid:durableId="2030638079">
    <w:abstractNumId w:val="3"/>
  </w:num>
  <w:num w:numId="12" w16cid:durableId="1730692165">
    <w:abstractNumId w:val="5"/>
  </w:num>
  <w:num w:numId="13" w16cid:durableId="1629705358">
    <w:abstractNumId w:val="5"/>
  </w:num>
  <w:num w:numId="14" w16cid:durableId="1303654001">
    <w:abstractNumId w:val="5"/>
  </w:num>
  <w:num w:numId="15" w16cid:durableId="1818837293">
    <w:abstractNumId w:val="3"/>
  </w:num>
  <w:num w:numId="16" w16cid:durableId="583800443">
    <w:abstractNumId w:val="3"/>
  </w:num>
  <w:num w:numId="17" w16cid:durableId="2079933246">
    <w:abstractNumId w:val="3"/>
    <w:lvlOverride w:ilvl="0">
      <w:lvl w:ilvl="0">
        <w:start w:val="1"/>
        <w:numFmt w:val="decimal"/>
        <w:pStyle w:val="Numberbullet0"/>
        <w:lvlText w:val="%1."/>
        <w:lvlJc w:val="left"/>
        <w:pPr>
          <w:ind w:left="425" w:hanging="425"/>
        </w:pPr>
        <w:rPr>
          <w:rFonts w:ascii="Arial" w:hAnsi="Arial" w:cs="Arial" w:hint="default"/>
        </w:rPr>
      </w:lvl>
    </w:lvlOverride>
  </w:num>
  <w:num w:numId="18" w16cid:durableId="2131777947">
    <w:abstractNumId w:val="4"/>
  </w:num>
  <w:num w:numId="19" w16cid:durableId="1712805855">
    <w:abstractNumId w:val="10"/>
  </w:num>
  <w:num w:numId="20" w16cid:durableId="1724787370">
    <w:abstractNumId w:val="6"/>
  </w:num>
  <w:num w:numId="21" w16cid:durableId="351297756">
    <w:abstractNumId w:val="9"/>
  </w:num>
  <w:num w:numId="22" w16cid:durableId="1142383038">
    <w:abstractNumId w:val="5"/>
    <w:lvlOverride w:ilvl="0">
      <w:lvl w:ilvl="0">
        <w:start w:val="1"/>
        <w:numFmt w:val="bullet"/>
        <w:pStyle w:val="ListBullet"/>
        <w:lvlText w:val="•"/>
        <w:lvlJc w:val="left"/>
        <w:pPr>
          <w:ind w:left="360" w:hanging="360"/>
        </w:pPr>
        <w:rPr>
          <w:rFonts w:ascii="Arial" w:hAnsi="Arial" w:hint="default"/>
          <w:color w:val="002C47" w:themeColor="text1"/>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3" w16cid:durableId="1606377508">
    <w:abstractNumId w:val="7"/>
  </w:num>
  <w:num w:numId="24" w16cid:durableId="674458793">
    <w:abstractNumId w:val="12"/>
  </w:num>
  <w:num w:numId="25" w16cid:durableId="507990453">
    <w:abstractNumId w:val="11"/>
  </w:num>
  <w:num w:numId="26" w16cid:durableId="1532959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56"/>
    <w:rsid w:val="00002031"/>
    <w:rsid w:val="000040BA"/>
    <w:rsid w:val="00004734"/>
    <w:rsid w:val="00006B22"/>
    <w:rsid w:val="00010E4D"/>
    <w:rsid w:val="0001276A"/>
    <w:rsid w:val="00016BEB"/>
    <w:rsid w:val="000246AE"/>
    <w:rsid w:val="00025C67"/>
    <w:rsid w:val="00030D34"/>
    <w:rsid w:val="00032FFB"/>
    <w:rsid w:val="0005559E"/>
    <w:rsid w:val="000703AB"/>
    <w:rsid w:val="000724FC"/>
    <w:rsid w:val="00074CAE"/>
    <w:rsid w:val="00077775"/>
    <w:rsid w:val="00083156"/>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261F1"/>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4C25"/>
    <w:rsid w:val="002257F3"/>
    <w:rsid w:val="00231E8D"/>
    <w:rsid w:val="00233456"/>
    <w:rsid w:val="002339A5"/>
    <w:rsid w:val="00237691"/>
    <w:rsid w:val="00247FB9"/>
    <w:rsid w:val="00251A51"/>
    <w:rsid w:val="00257138"/>
    <w:rsid w:val="00257848"/>
    <w:rsid w:val="0027084A"/>
    <w:rsid w:val="00286434"/>
    <w:rsid w:val="00286C59"/>
    <w:rsid w:val="0029069E"/>
    <w:rsid w:val="00290795"/>
    <w:rsid w:val="00294200"/>
    <w:rsid w:val="002942D1"/>
    <w:rsid w:val="002A0556"/>
    <w:rsid w:val="002A36C9"/>
    <w:rsid w:val="002A592C"/>
    <w:rsid w:val="002A5B3A"/>
    <w:rsid w:val="002A706C"/>
    <w:rsid w:val="002B1638"/>
    <w:rsid w:val="002B25CB"/>
    <w:rsid w:val="002B29B2"/>
    <w:rsid w:val="002B7A44"/>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25399"/>
    <w:rsid w:val="00331DBB"/>
    <w:rsid w:val="00335C3B"/>
    <w:rsid w:val="003361D1"/>
    <w:rsid w:val="00341110"/>
    <w:rsid w:val="00350236"/>
    <w:rsid w:val="0035146C"/>
    <w:rsid w:val="003521E8"/>
    <w:rsid w:val="00357700"/>
    <w:rsid w:val="0036361E"/>
    <w:rsid w:val="003664BF"/>
    <w:rsid w:val="00367F70"/>
    <w:rsid w:val="003728F3"/>
    <w:rsid w:val="003730E4"/>
    <w:rsid w:val="00376793"/>
    <w:rsid w:val="003843F6"/>
    <w:rsid w:val="00390900"/>
    <w:rsid w:val="00393398"/>
    <w:rsid w:val="003A2DDF"/>
    <w:rsid w:val="003B362C"/>
    <w:rsid w:val="003B7E39"/>
    <w:rsid w:val="003C58DC"/>
    <w:rsid w:val="003D3B63"/>
    <w:rsid w:val="003D6B56"/>
    <w:rsid w:val="003E0A89"/>
    <w:rsid w:val="003E3208"/>
    <w:rsid w:val="003F0B04"/>
    <w:rsid w:val="003F282B"/>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11C7"/>
    <w:rsid w:val="004A3084"/>
    <w:rsid w:val="004B7B76"/>
    <w:rsid w:val="004C0070"/>
    <w:rsid w:val="004C100A"/>
    <w:rsid w:val="004C4096"/>
    <w:rsid w:val="004C6E9B"/>
    <w:rsid w:val="004D51A6"/>
    <w:rsid w:val="004F0F38"/>
    <w:rsid w:val="004F1240"/>
    <w:rsid w:val="004F40D8"/>
    <w:rsid w:val="004F484B"/>
    <w:rsid w:val="00501921"/>
    <w:rsid w:val="00517BD1"/>
    <w:rsid w:val="00523FB1"/>
    <w:rsid w:val="00525165"/>
    <w:rsid w:val="00526B28"/>
    <w:rsid w:val="00530354"/>
    <w:rsid w:val="00531B69"/>
    <w:rsid w:val="00535D83"/>
    <w:rsid w:val="0054053C"/>
    <w:rsid w:val="00541FD8"/>
    <w:rsid w:val="005423EF"/>
    <w:rsid w:val="005434C6"/>
    <w:rsid w:val="00543B39"/>
    <w:rsid w:val="00550096"/>
    <w:rsid w:val="0055653F"/>
    <w:rsid w:val="00557FF9"/>
    <w:rsid w:val="00560037"/>
    <w:rsid w:val="005640AC"/>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14E67"/>
    <w:rsid w:val="00625015"/>
    <w:rsid w:val="0062573C"/>
    <w:rsid w:val="00640FC3"/>
    <w:rsid w:val="00642020"/>
    <w:rsid w:val="0065200D"/>
    <w:rsid w:val="0065337B"/>
    <w:rsid w:val="0065419D"/>
    <w:rsid w:val="006604D8"/>
    <w:rsid w:val="00664A5B"/>
    <w:rsid w:val="00667942"/>
    <w:rsid w:val="00680C08"/>
    <w:rsid w:val="0068741A"/>
    <w:rsid w:val="006931B1"/>
    <w:rsid w:val="006974FD"/>
    <w:rsid w:val="006A15C0"/>
    <w:rsid w:val="006A2426"/>
    <w:rsid w:val="006A2A31"/>
    <w:rsid w:val="006A38E4"/>
    <w:rsid w:val="006A72A0"/>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12D04"/>
    <w:rsid w:val="00723BF8"/>
    <w:rsid w:val="00724E0E"/>
    <w:rsid w:val="00732FEE"/>
    <w:rsid w:val="0074253D"/>
    <w:rsid w:val="0074429B"/>
    <w:rsid w:val="007477F8"/>
    <w:rsid w:val="00751EBD"/>
    <w:rsid w:val="00753687"/>
    <w:rsid w:val="00753A56"/>
    <w:rsid w:val="0075524A"/>
    <w:rsid w:val="00756C9D"/>
    <w:rsid w:val="007615BC"/>
    <w:rsid w:val="007622D7"/>
    <w:rsid w:val="00762F05"/>
    <w:rsid w:val="00764FC4"/>
    <w:rsid w:val="007652FF"/>
    <w:rsid w:val="00771329"/>
    <w:rsid w:val="00773EF7"/>
    <w:rsid w:val="00774E1D"/>
    <w:rsid w:val="0077675A"/>
    <w:rsid w:val="00780355"/>
    <w:rsid w:val="00785721"/>
    <w:rsid w:val="0078745C"/>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19D5"/>
    <w:rsid w:val="0085641B"/>
    <w:rsid w:val="00857136"/>
    <w:rsid w:val="00867F1F"/>
    <w:rsid w:val="008714AB"/>
    <w:rsid w:val="008737F9"/>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8F772B"/>
    <w:rsid w:val="009074DB"/>
    <w:rsid w:val="00920330"/>
    <w:rsid w:val="00920FF4"/>
    <w:rsid w:val="009219D7"/>
    <w:rsid w:val="00922D53"/>
    <w:rsid w:val="00923B70"/>
    <w:rsid w:val="0092600B"/>
    <w:rsid w:val="00926B0E"/>
    <w:rsid w:val="00930237"/>
    <w:rsid w:val="00932BBB"/>
    <w:rsid w:val="00944963"/>
    <w:rsid w:val="00947BE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7459"/>
    <w:rsid w:val="00A475B7"/>
    <w:rsid w:val="00A47AF7"/>
    <w:rsid w:val="00A47C3E"/>
    <w:rsid w:val="00A50226"/>
    <w:rsid w:val="00A60BAD"/>
    <w:rsid w:val="00A644D1"/>
    <w:rsid w:val="00A73A8D"/>
    <w:rsid w:val="00A77452"/>
    <w:rsid w:val="00A77A91"/>
    <w:rsid w:val="00A87334"/>
    <w:rsid w:val="00AA3EB9"/>
    <w:rsid w:val="00AC2B40"/>
    <w:rsid w:val="00AC2BB2"/>
    <w:rsid w:val="00AC2C3C"/>
    <w:rsid w:val="00AC3BD9"/>
    <w:rsid w:val="00AC3D45"/>
    <w:rsid w:val="00AD5831"/>
    <w:rsid w:val="00AE5AB2"/>
    <w:rsid w:val="00AE65EB"/>
    <w:rsid w:val="00AE7C6A"/>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77006"/>
    <w:rsid w:val="00B87BB7"/>
    <w:rsid w:val="00B946A9"/>
    <w:rsid w:val="00B9484C"/>
    <w:rsid w:val="00B94CFB"/>
    <w:rsid w:val="00BA08FE"/>
    <w:rsid w:val="00BA0DFC"/>
    <w:rsid w:val="00BA7BA5"/>
    <w:rsid w:val="00BC1CAB"/>
    <w:rsid w:val="00BC622A"/>
    <w:rsid w:val="00BD0B28"/>
    <w:rsid w:val="00BE0A78"/>
    <w:rsid w:val="00BE243C"/>
    <w:rsid w:val="00BE79F0"/>
    <w:rsid w:val="00BF046D"/>
    <w:rsid w:val="00BF43F2"/>
    <w:rsid w:val="00BF5D04"/>
    <w:rsid w:val="00C01F7B"/>
    <w:rsid w:val="00C0736F"/>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230E"/>
    <w:rsid w:val="00D64401"/>
    <w:rsid w:val="00D6493E"/>
    <w:rsid w:val="00D744BD"/>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10C"/>
    <w:rsid w:val="00E46DA3"/>
    <w:rsid w:val="00E47660"/>
    <w:rsid w:val="00E53E0B"/>
    <w:rsid w:val="00E67774"/>
    <w:rsid w:val="00EA16DE"/>
    <w:rsid w:val="00EA1F09"/>
    <w:rsid w:val="00EA406B"/>
    <w:rsid w:val="00EA4A4A"/>
    <w:rsid w:val="00EA7E1D"/>
    <w:rsid w:val="00EB0798"/>
    <w:rsid w:val="00EB40AD"/>
    <w:rsid w:val="00EB5622"/>
    <w:rsid w:val="00EB586E"/>
    <w:rsid w:val="00EB5FC8"/>
    <w:rsid w:val="00EB6CAF"/>
    <w:rsid w:val="00EC7140"/>
    <w:rsid w:val="00ED555A"/>
    <w:rsid w:val="00ED5A41"/>
    <w:rsid w:val="00ED6A67"/>
    <w:rsid w:val="00EE510E"/>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6E8"/>
    <w:rsid w:val="00FA2B8E"/>
    <w:rsid w:val="00FA43E5"/>
    <w:rsid w:val="00FA5B82"/>
    <w:rsid w:val="00FA639E"/>
    <w:rsid w:val="00FA7C37"/>
    <w:rsid w:val="00FB5682"/>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3F6F16CA"/>
  <w15:docId w15:val="{E60404B8-E889-4921-9FAD-9EE5D884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7A91"/>
    <w:pPr>
      <w:spacing w:before="120" w:after="180" w:line="240" w:lineRule="atLeast"/>
    </w:pPr>
    <w:rPr>
      <w:rFonts w:ascii="Arial" w:hAnsi="Arial" w:cs="Arial"/>
      <w:color w:val="333F48"/>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styleId="ListParagraph">
    <w:name w:val="List Paragraph"/>
    <w:basedOn w:val="Normal"/>
    <w:uiPriority w:val="34"/>
    <w:qFormat/>
    <w:rsid w:val="00083156"/>
    <w:pPr>
      <w:ind w:left="720"/>
      <w:contextualSpacing/>
    </w:pPr>
    <w:rPr>
      <w:rFonts w:ascii="Cambria" w:hAnsi="Cambria"/>
      <w:color w:val="auto"/>
    </w:rPr>
  </w:style>
  <w:style w:type="table" w:customStyle="1" w:styleId="TableTGAblue1">
    <w:name w:val="Table TGA blue1"/>
    <w:basedOn w:val="TableNormal"/>
    <w:uiPriority w:val="99"/>
    <w:qFormat/>
    <w:rsid w:val="00083156"/>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Revision">
    <w:name w:val="Revision"/>
    <w:hidden/>
    <w:uiPriority w:val="99"/>
    <w:semiHidden/>
    <w:rsid w:val="00EA4A4A"/>
    <w:rPr>
      <w:rFonts w:ascii="Arial" w:hAnsi="Arial"/>
      <w:color w:val="333F48"/>
      <w:sz w:val="22"/>
      <w:lang w:eastAsia="en-US"/>
    </w:rPr>
  </w:style>
  <w:style w:type="character" w:styleId="UnresolvedMention">
    <w:name w:val="Unresolved Mention"/>
    <w:basedOn w:val="DefaultParagraphFont"/>
    <w:uiPriority w:val="99"/>
    <w:semiHidden/>
    <w:unhideWhenUsed/>
    <w:rsid w:val="00373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consultation/consultation-proposed-new-classification-rule-medical-devices-administer-medicines-or-biologicals-inhalation" TargetMode="External"/><Relationship Id="rId18" Type="http://schemas.openxmlformats.org/officeDocument/2006/relationships/image" Target="media/image4.png"/><Relationship Id="rId26" Type="http://schemas.openxmlformats.org/officeDocument/2006/relationships/image" Target="media/image5.jpeg"/><Relationship Id="rId39"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form/request-cancel-artg-entry" TargetMode="External"/><Relationship Id="rId34" Type="http://schemas.openxmlformats.org/officeDocument/2006/relationships/hyperlink" Target="https://www.tga.gov.au/manufacturer-evidence-medical-devices-and-ivd-medical-devices"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Details/F2021L01474" TargetMode="External"/><Relationship Id="rId25" Type="http://schemas.openxmlformats.org/officeDocument/2006/relationships/hyperlink" Target="https://www.tga.gov.au/how-we-regulate/supply-therapeutic-good/supply-medical-device/eu-mdr-transition/eu-mdr-transition-extension" TargetMode="External"/><Relationship Id="rId33" Type="http://schemas.openxmlformats.org/officeDocument/2006/relationships/hyperlink" Target="https://www.tga.gov.au/resources/resource/guidance/use-market-authorisation-evidence-comparable-overseas-regulators-assessment-bodies-medical-devices-including-ivd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therapeutic-goods-legislation-amendment-2019-measures-no1-regulations-2019" TargetMode="External"/><Relationship Id="rId20" Type="http://schemas.openxmlformats.org/officeDocument/2006/relationships/hyperlink" Target="https://www.legislation.gov.au/Series/F2002B00237" TargetMode="External"/><Relationship Id="rId29" Type="http://schemas.openxmlformats.org/officeDocument/2006/relationships/image" Target="media/image7.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how-we-regulate/supply-therapeutic-good/supply-medical-device/medical-device-inclusion-process" TargetMode="External"/><Relationship Id="rId32" Type="http://schemas.openxmlformats.org/officeDocument/2006/relationships/hyperlink" Target="https://www.tga.gov.au/supporting-documentation-inclusion-medical-device" TargetMode="External"/><Relationship Id="rId37" Type="http://schemas.openxmlformats.org/officeDocument/2006/relationships/header" Target="header3.xml"/><Relationship Id="rId40"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legislation.gov.au/Details/F2019L01660" TargetMode="External"/><Relationship Id="rId23" Type="http://schemas.openxmlformats.org/officeDocument/2006/relationships/hyperlink" Target="https://www.tga.gov.au/form/request-cancel-artg-entry" TargetMode="External"/><Relationship Id="rId28" Type="http://schemas.openxmlformats.org/officeDocument/2006/relationships/image" Target="media/image6.png"/><Relationship Id="rId36" Type="http://schemas.openxmlformats.org/officeDocument/2006/relationships/hyperlink" Target="https://www.legislation.gov.au/Series/C2004A03952" TargetMode="External"/><Relationship Id="rId10" Type="http://schemas.openxmlformats.org/officeDocument/2006/relationships/header" Target="header2.xml"/><Relationship Id="rId19" Type="http://schemas.openxmlformats.org/officeDocument/2006/relationships/hyperlink" Target="https://www.tga.gov.au/news/notices/therapeutic-goods-articles-are-not-medical-devices-order-no-1-2010" TargetMode="External"/><Relationship Id="rId31" Type="http://schemas.openxmlformats.org/officeDocument/2006/relationships/hyperlink" Target="mailto:devices@tga.gov.a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https://www.tga.gov.au/form/request-cancel-artg-entry" TargetMode="External"/><Relationship Id="rId27" Type="http://schemas.openxmlformats.org/officeDocument/2006/relationships/image" Target="cid:image001.jpg@01D84445.C4524DB0" TargetMode="External"/><Relationship Id="rId30" Type="http://schemas.openxmlformats.org/officeDocument/2006/relationships/image" Target="media/image8.png"/><Relationship Id="rId35" Type="http://schemas.openxmlformats.org/officeDocument/2006/relationships/hyperlink" Target="https://www.tga.gov.au/schedule-fees-and-charges"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5</TotalTime>
  <Pages>15</Pages>
  <Words>4709</Words>
  <Characters>25242</Characters>
  <Application>Microsoft Office Word</Application>
  <DocSecurity>0</DocSecurity>
  <Lines>548</Lines>
  <Paragraphs>356</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 TGA</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Reclassification of medical devices that administer medicines or biologicals by inhalation</dc:title>
  <dc:subject>medical devices</dc:subject>
  <dc:creator>Therapeutic Goods Administration</dc:creator>
  <cp:lastModifiedBy>LACK, Janet</cp:lastModifiedBy>
  <cp:revision>4</cp:revision>
  <cp:lastPrinted>2010-12-20T22:59:00Z</cp:lastPrinted>
  <dcterms:created xsi:type="dcterms:W3CDTF">2024-01-10T02:23:00Z</dcterms:created>
  <dcterms:modified xsi:type="dcterms:W3CDTF">2024-01-10T02:29:00Z</dcterms:modified>
</cp:coreProperties>
</file>