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8C08A9" w:rsidRPr="008C08A9" w14:paraId="268C45AA" w14:textId="77777777" w:rsidTr="002B29B2">
        <w:tc>
          <w:tcPr>
            <w:tcW w:w="8720" w:type="dxa"/>
          </w:tcPr>
          <w:p w14:paraId="13B875CF" w14:textId="0DCB080F" w:rsidR="008C08A9" w:rsidRPr="008C08A9" w:rsidRDefault="008C08A9" w:rsidP="008C08A9">
            <w:pPr>
              <w:pStyle w:val="Title"/>
              <w:rPr>
                <w:rFonts w:asciiTheme="majorHAnsi" w:hAnsiTheme="majorHAnsi" w:cstheme="majorHAnsi"/>
              </w:rPr>
            </w:pPr>
            <w:r w:rsidRPr="008C08A9">
              <w:rPr>
                <w:rFonts w:asciiTheme="majorHAnsi" w:hAnsiTheme="majorHAnsi" w:cstheme="majorHAnsi"/>
              </w:rPr>
              <w:t>Reclassification of spinal implantable medical devices</w:t>
            </w:r>
          </w:p>
        </w:tc>
      </w:tr>
      <w:tr w:rsidR="008C08A9" w:rsidRPr="008C08A9" w14:paraId="7597BD36" w14:textId="77777777" w:rsidTr="002B29B2">
        <w:trPr>
          <w:trHeight w:val="1916"/>
        </w:trPr>
        <w:tc>
          <w:tcPr>
            <w:tcW w:w="8720" w:type="dxa"/>
          </w:tcPr>
          <w:p w14:paraId="6E595ED3" w14:textId="579F55FF" w:rsidR="008C08A9" w:rsidRPr="008C08A9" w:rsidRDefault="008C08A9" w:rsidP="00883627">
            <w:pPr>
              <w:pStyle w:val="Subtitle"/>
            </w:pPr>
            <w:r w:rsidRPr="008C08A9">
              <w:t xml:space="preserve">Guidance on the transitional arrangements and obligations of sponsors and manufacturers </w:t>
            </w:r>
          </w:p>
        </w:tc>
      </w:tr>
      <w:tr w:rsidR="008C08A9" w:rsidRPr="003B6FE6" w14:paraId="6CAD7AEB" w14:textId="77777777" w:rsidTr="003B6FE6">
        <w:tc>
          <w:tcPr>
            <w:tcW w:w="8720" w:type="dxa"/>
            <w:shd w:val="clear" w:color="auto" w:fill="auto"/>
          </w:tcPr>
          <w:p w14:paraId="5942A47F" w14:textId="546BCFBF" w:rsidR="008C08A9" w:rsidRPr="003B6FE6" w:rsidRDefault="008C08A9" w:rsidP="00883627">
            <w:pPr>
              <w:pStyle w:val="Date"/>
            </w:pPr>
            <w:r w:rsidRPr="003B6FE6">
              <w:t>Version 2.</w:t>
            </w:r>
            <w:r w:rsidR="00960AF0">
              <w:t>6</w:t>
            </w:r>
            <w:r w:rsidRPr="003B6FE6">
              <w:t xml:space="preserve">, </w:t>
            </w:r>
            <w:r w:rsidR="005F76F4">
              <w:t>December</w:t>
            </w:r>
            <w:r w:rsidR="00960AF0" w:rsidRPr="003B6FE6">
              <w:t xml:space="preserve"> </w:t>
            </w:r>
            <w:r w:rsidRPr="003B6FE6">
              <w:t>202</w:t>
            </w:r>
            <w:r w:rsidR="00202E4E" w:rsidRPr="003B6FE6">
              <w:t>3</w:t>
            </w:r>
          </w:p>
        </w:tc>
      </w:tr>
    </w:tbl>
    <w:p w14:paraId="565180F5" w14:textId="77777777" w:rsidR="00B24FF5" w:rsidRPr="008C08A9" w:rsidRDefault="00B24FF5" w:rsidP="00883627">
      <w:pPr>
        <w:pStyle w:val="ListBullet"/>
        <w:sectPr w:rsidR="00B24FF5" w:rsidRPr="008C08A9"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FCD0CF3" w14:textId="77777777" w:rsidR="005D1689" w:rsidRPr="008C08A9" w:rsidRDefault="005D1689" w:rsidP="00883627">
      <w:pPr>
        <w:pStyle w:val="LegalSubheading"/>
      </w:pPr>
      <w:r w:rsidRPr="008C08A9">
        <w:lastRenderedPageBreak/>
        <w:t>Copyright</w:t>
      </w:r>
    </w:p>
    <w:p w14:paraId="487686DE" w14:textId="4F4E6A56" w:rsidR="00F274A2" w:rsidRPr="008C08A9" w:rsidRDefault="005D1689" w:rsidP="00883627">
      <w:pPr>
        <w:pStyle w:val="LegalCopy"/>
      </w:pPr>
      <w:r w:rsidRPr="008C08A9">
        <w:t>© Commonwealth of Australia 20</w:t>
      </w:r>
      <w:r w:rsidR="00030D34" w:rsidRPr="008C08A9">
        <w:t>2</w:t>
      </w:r>
      <w:r w:rsidR="00393F5B">
        <w:t>3</w:t>
      </w:r>
      <w:r w:rsidRPr="008C08A9">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8C08A9">
        <w:rPr>
          <w:i/>
        </w:rPr>
        <w:t>Copyright Act 1968</w:t>
      </w:r>
      <w:r w:rsidRPr="008C08A9">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8C08A9">
          <w:rPr>
            <w:rStyle w:val="Hyperlink"/>
            <w:rFonts w:asciiTheme="majorHAnsi" w:hAnsiTheme="majorHAnsi" w:cstheme="majorHAnsi"/>
          </w:rPr>
          <w:t>tga.copyright@tga.gov.au</w:t>
        </w:r>
      </w:hyperlink>
      <w:r w:rsidRPr="008C08A9">
        <w:t>&gt;.</w:t>
      </w:r>
    </w:p>
    <w:p w14:paraId="730484AF" w14:textId="0F6326BD" w:rsidR="008C08A9" w:rsidRPr="008C08A9" w:rsidRDefault="008C08A9" w:rsidP="00883627">
      <w:pPr>
        <w:pStyle w:val="LegalCopy"/>
      </w:pPr>
    </w:p>
    <w:p w14:paraId="69D1C932" w14:textId="7F453DB4" w:rsidR="008C08A9" w:rsidRPr="008C08A9" w:rsidRDefault="008C08A9" w:rsidP="00883627">
      <w:pPr>
        <w:pStyle w:val="LegalCopy"/>
      </w:pPr>
      <w:r w:rsidRPr="008C08A9">
        <w:t xml:space="preserve">  </w:t>
      </w:r>
    </w:p>
    <w:sdt>
      <w:sdtPr>
        <w:rPr>
          <w:rFonts w:eastAsia="Times New Roman"/>
          <w:bCs/>
          <w:color w:val="auto"/>
          <w:sz w:val="22"/>
          <w:szCs w:val="38"/>
        </w:rPr>
        <w:id w:val="21514769"/>
        <w:docPartObj>
          <w:docPartGallery w:val="Table of Contents"/>
          <w:docPartUnique/>
        </w:docPartObj>
      </w:sdtPr>
      <w:sdtEndPr>
        <w:rPr>
          <w:color w:val="001871"/>
          <w:sz w:val="38"/>
        </w:rPr>
      </w:sdtEndPr>
      <w:sdtContent>
        <w:p w14:paraId="0620BC28" w14:textId="77777777" w:rsidR="00F401EF" w:rsidRPr="008C08A9" w:rsidRDefault="00F401EF" w:rsidP="00883627">
          <w:pPr>
            <w:pStyle w:val="NonTOCheading2"/>
          </w:pPr>
          <w:r w:rsidRPr="008C08A9">
            <w:t>Contents</w:t>
          </w:r>
        </w:p>
        <w:p w14:paraId="3ED355EF" w14:textId="5EA0F9E5" w:rsidR="007920DA" w:rsidRDefault="00F859D2">
          <w:pPr>
            <w:pStyle w:val="TOC1"/>
            <w:rPr>
              <w:rFonts w:asciiTheme="minorHAnsi" w:eastAsiaTheme="minorEastAsia" w:hAnsiTheme="minorHAnsi" w:cstheme="minorBidi"/>
              <w:b w:val="0"/>
              <w:noProof/>
              <w:color w:val="auto"/>
              <w:sz w:val="22"/>
              <w:szCs w:val="22"/>
              <w:lang w:eastAsia="en-AU"/>
            </w:rPr>
          </w:pPr>
          <w:r w:rsidRPr="008C08A9">
            <w:fldChar w:fldCharType="begin"/>
          </w:r>
          <w:r w:rsidR="00F401EF" w:rsidRPr="008C08A9">
            <w:instrText xml:space="preserve"> TOC \h \z \u \t "Heading 2,1,Heading 3,2,Heading 4,3" </w:instrText>
          </w:r>
          <w:r w:rsidRPr="008C08A9">
            <w:fldChar w:fldCharType="separate"/>
          </w:r>
          <w:hyperlink w:anchor="_Toc152849590" w:history="1">
            <w:r w:rsidR="007920DA" w:rsidRPr="00E36F0C">
              <w:rPr>
                <w:rStyle w:val="Hyperlink"/>
                <w:noProof/>
              </w:rPr>
              <w:t>About this guidance</w:t>
            </w:r>
            <w:r w:rsidR="007920DA">
              <w:rPr>
                <w:noProof/>
                <w:webHidden/>
              </w:rPr>
              <w:tab/>
            </w:r>
            <w:r w:rsidR="007920DA">
              <w:rPr>
                <w:noProof/>
                <w:webHidden/>
              </w:rPr>
              <w:fldChar w:fldCharType="begin"/>
            </w:r>
            <w:r w:rsidR="007920DA">
              <w:rPr>
                <w:noProof/>
                <w:webHidden/>
              </w:rPr>
              <w:instrText xml:space="preserve"> PAGEREF _Toc152849590 \h </w:instrText>
            </w:r>
            <w:r w:rsidR="007920DA">
              <w:rPr>
                <w:noProof/>
                <w:webHidden/>
              </w:rPr>
            </w:r>
            <w:r w:rsidR="007920DA">
              <w:rPr>
                <w:noProof/>
                <w:webHidden/>
              </w:rPr>
              <w:fldChar w:fldCharType="separate"/>
            </w:r>
            <w:r w:rsidR="007920DA">
              <w:rPr>
                <w:noProof/>
                <w:webHidden/>
              </w:rPr>
              <w:t>4</w:t>
            </w:r>
            <w:r w:rsidR="007920DA">
              <w:rPr>
                <w:noProof/>
                <w:webHidden/>
              </w:rPr>
              <w:fldChar w:fldCharType="end"/>
            </w:r>
          </w:hyperlink>
        </w:p>
        <w:p w14:paraId="4C947A48" w14:textId="67609DDA" w:rsidR="007920DA" w:rsidRDefault="00995F42">
          <w:pPr>
            <w:pStyle w:val="TOC1"/>
            <w:rPr>
              <w:rFonts w:asciiTheme="minorHAnsi" w:eastAsiaTheme="minorEastAsia" w:hAnsiTheme="minorHAnsi" w:cstheme="minorBidi"/>
              <w:b w:val="0"/>
              <w:noProof/>
              <w:color w:val="auto"/>
              <w:sz w:val="22"/>
              <w:szCs w:val="22"/>
              <w:lang w:eastAsia="en-AU"/>
            </w:rPr>
          </w:pPr>
          <w:hyperlink w:anchor="_Toc152849591" w:history="1">
            <w:r w:rsidR="007920DA" w:rsidRPr="00E36F0C">
              <w:rPr>
                <w:rStyle w:val="Hyperlink"/>
                <w:noProof/>
              </w:rPr>
              <w:t>Background</w:t>
            </w:r>
            <w:r w:rsidR="007920DA">
              <w:rPr>
                <w:noProof/>
                <w:webHidden/>
              </w:rPr>
              <w:tab/>
            </w:r>
            <w:r w:rsidR="007920DA">
              <w:rPr>
                <w:noProof/>
                <w:webHidden/>
              </w:rPr>
              <w:fldChar w:fldCharType="begin"/>
            </w:r>
            <w:r w:rsidR="007920DA">
              <w:rPr>
                <w:noProof/>
                <w:webHidden/>
              </w:rPr>
              <w:instrText xml:space="preserve"> PAGEREF _Toc152849591 \h </w:instrText>
            </w:r>
            <w:r w:rsidR="007920DA">
              <w:rPr>
                <w:noProof/>
                <w:webHidden/>
              </w:rPr>
            </w:r>
            <w:r w:rsidR="007920DA">
              <w:rPr>
                <w:noProof/>
                <w:webHidden/>
              </w:rPr>
              <w:fldChar w:fldCharType="separate"/>
            </w:r>
            <w:r w:rsidR="007920DA">
              <w:rPr>
                <w:noProof/>
                <w:webHidden/>
              </w:rPr>
              <w:t>4</w:t>
            </w:r>
            <w:r w:rsidR="007920DA">
              <w:rPr>
                <w:noProof/>
                <w:webHidden/>
              </w:rPr>
              <w:fldChar w:fldCharType="end"/>
            </w:r>
          </w:hyperlink>
        </w:p>
        <w:p w14:paraId="7723E86E" w14:textId="6069E64C" w:rsidR="007920DA" w:rsidRDefault="00995F42">
          <w:pPr>
            <w:pStyle w:val="TOC1"/>
            <w:rPr>
              <w:rFonts w:asciiTheme="minorHAnsi" w:eastAsiaTheme="minorEastAsia" w:hAnsiTheme="minorHAnsi" w:cstheme="minorBidi"/>
              <w:b w:val="0"/>
              <w:noProof/>
              <w:color w:val="auto"/>
              <w:sz w:val="22"/>
              <w:szCs w:val="22"/>
              <w:lang w:eastAsia="en-AU"/>
            </w:rPr>
          </w:pPr>
          <w:hyperlink w:anchor="_Toc152849592" w:history="1">
            <w:r w:rsidR="007920DA" w:rsidRPr="00E36F0C">
              <w:rPr>
                <w:rStyle w:val="Hyperlink"/>
                <w:noProof/>
                <w:lang w:eastAsia="en-AU"/>
              </w:rPr>
              <w:t>Devices being reclassified from Class IIb to Class III</w:t>
            </w:r>
            <w:r w:rsidR="007920DA">
              <w:rPr>
                <w:noProof/>
                <w:webHidden/>
              </w:rPr>
              <w:tab/>
            </w:r>
            <w:r w:rsidR="007920DA">
              <w:rPr>
                <w:noProof/>
                <w:webHidden/>
              </w:rPr>
              <w:fldChar w:fldCharType="begin"/>
            </w:r>
            <w:r w:rsidR="007920DA">
              <w:rPr>
                <w:noProof/>
                <w:webHidden/>
              </w:rPr>
              <w:instrText xml:space="preserve"> PAGEREF _Toc152849592 \h </w:instrText>
            </w:r>
            <w:r w:rsidR="007920DA">
              <w:rPr>
                <w:noProof/>
                <w:webHidden/>
              </w:rPr>
            </w:r>
            <w:r w:rsidR="007920DA">
              <w:rPr>
                <w:noProof/>
                <w:webHidden/>
              </w:rPr>
              <w:fldChar w:fldCharType="separate"/>
            </w:r>
            <w:r w:rsidR="007920DA">
              <w:rPr>
                <w:noProof/>
                <w:webHidden/>
              </w:rPr>
              <w:t>5</w:t>
            </w:r>
            <w:r w:rsidR="007920DA">
              <w:rPr>
                <w:noProof/>
                <w:webHidden/>
              </w:rPr>
              <w:fldChar w:fldCharType="end"/>
            </w:r>
          </w:hyperlink>
        </w:p>
        <w:p w14:paraId="3798C0B8" w14:textId="0CDE9F03"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593" w:history="1">
            <w:r w:rsidR="007920DA" w:rsidRPr="007920DA">
              <w:rPr>
                <w:rStyle w:val="Hyperlink"/>
                <w:b w:val="0"/>
                <w:bCs/>
                <w:noProof/>
                <w:sz w:val="24"/>
                <w:szCs w:val="24"/>
              </w:rPr>
              <w:t>Examples of devices being reclassified to Class III</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_Toc152849593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5</w:t>
            </w:r>
            <w:r w:rsidR="007920DA" w:rsidRPr="007920DA">
              <w:rPr>
                <w:b w:val="0"/>
                <w:bCs/>
                <w:noProof/>
                <w:webHidden/>
                <w:sz w:val="24"/>
                <w:szCs w:val="24"/>
              </w:rPr>
              <w:fldChar w:fldCharType="end"/>
            </w:r>
          </w:hyperlink>
        </w:p>
        <w:p w14:paraId="7A2616F3" w14:textId="7CAF2F55" w:rsidR="007920DA" w:rsidRPr="007920DA" w:rsidRDefault="00995F42">
          <w:pPr>
            <w:pStyle w:val="TOC3"/>
            <w:rPr>
              <w:rFonts w:asciiTheme="minorHAnsi" w:eastAsiaTheme="minorEastAsia" w:hAnsiTheme="minorHAnsi" w:cstheme="minorBidi"/>
              <w:b w:val="0"/>
              <w:bCs/>
              <w:noProof/>
              <w:color w:val="auto"/>
              <w:sz w:val="22"/>
              <w:szCs w:val="22"/>
              <w:lang w:eastAsia="en-AU"/>
            </w:rPr>
          </w:pPr>
          <w:hyperlink w:anchor="_Toc152849594" w:history="1">
            <w:r w:rsidR="007920DA" w:rsidRPr="007920DA">
              <w:rPr>
                <w:rStyle w:val="Hyperlink"/>
                <w:b w:val="0"/>
                <w:bCs/>
                <w:noProof/>
              </w:rPr>
              <w:t>Spinal disc replacement implants – not intended to fuse vertebral bodies</w:t>
            </w:r>
            <w:r w:rsidR="007920DA" w:rsidRPr="007920DA">
              <w:rPr>
                <w:b w:val="0"/>
                <w:bCs/>
                <w:noProof/>
                <w:webHidden/>
              </w:rPr>
              <w:tab/>
            </w:r>
            <w:r w:rsidR="007920DA" w:rsidRPr="007920DA">
              <w:rPr>
                <w:b w:val="0"/>
                <w:bCs/>
                <w:noProof/>
                <w:webHidden/>
              </w:rPr>
              <w:fldChar w:fldCharType="begin"/>
            </w:r>
            <w:r w:rsidR="007920DA" w:rsidRPr="007920DA">
              <w:rPr>
                <w:b w:val="0"/>
                <w:bCs/>
                <w:noProof/>
                <w:webHidden/>
              </w:rPr>
              <w:instrText xml:space="preserve"> PAGEREF _Toc152849594 \h </w:instrText>
            </w:r>
            <w:r w:rsidR="007920DA" w:rsidRPr="007920DA">
              <w:rPr>
                <w:b w:val="0"/>
                <w:bCs/>
                <w:noProof/>
                <w:webHidden/>
              </w:rPr>
            </w:r>
            <w:r w:rsidR="007920DA" w:rsidRPr="007920DA">
              <w:rPr>
                <w:b w:val="0"/>
                <w:bCs/>
                <w:noProof/>
                <w:webHidden/>
              </w:rPr>
              <w:fldChar w:fldCharType="separate"/>
            </w:r>
            <w:r w:rsidR="007920DA" w:rsidRPr="007920DA">
              <w:rPr>
                <w:b w:val="0"/>
                <w:bCs/>
                <w:noProof/>
                <w:webHidden/>
              </w:rPr>
              <w:t>5</w:t>
            </w:r>
            <w:r w:rsidR="007920DA" w:rsidRPr="007920DA">
              <w:rPr>
                <w:b w:val="0"/>
                <w:bCs/>
                <w:noProof/>
                <w:webHidden/>
              </w:rPr>
              <w:fldChar w:fldCharType="end"/>
            </w:r>
          </w:hyperlink>
        </w:p>
        <w:p w14:paraId="224B6CC1" w14:textId="103278C3" w:rsidR="007920DA" w:rsidRPr="007920DA" w:rsidRDefault="00995F42">
          <w:pPr>
            <w:pStyle w:val="TOC3"/>
            <w:rPr>
              <w:rFonts w:asciiTheme="minorHAnsi" w:eastAsiaTheme="minorEastAsia" w:hAnsiTheme="minorHAnsi" w:cstheme="minorBidi"/>
              <w:b w:val="0"/>
              <w:bCs/>
              <w:noProof/>
              <w:color w:val="auto"/>
              <w:sz w:val="22"/>
              <w:szCs w:val="22"/>
              <w:lang w:eastAsia="en-AU"/>
            </w:rPr>
          </w:pPr>
          <w:hyperlink w:anchor="_Toc152849595" w:history="1">
            <w:r w:rsidR="007920DA" w:rsidRPr="007920DA">
              <w:rPr>
                <w:rStyle w:val="Hyperlink"/>
                <w:b w:val="0"/>
                <w:bCs/>
                <w:noProof/>
              </w:rPr>
              <w:t>Anatomic facet replacement system (AFRS)</w:t>
            </w:r>
            <w:r w:rsidR="007920DA" w:rsidRPr="007920DA">
              <w:rPr>
                <w:b w:val="0"/>
                <w:bCs/>
                <w:noProof/>
                <w:webHidden/>
              </w:rPr>
              <w:tab/>
            </w:r>
            <w:r w:rsidR="007920DA" w:rsidRPr="007920DA">
              <w:rPr>
                <w:b w:val="0"/>
                <w:bCs/>
                <w:noProof/>
                <w:webHidden/>
              </w:rPr>
              <w:fldChar w:fldCharType="begin"/>
            </w:r>
            <w:r w:rsidR="007920DA" w:rsidRPr="007920DA">
              <w:rPr>
                <w:b w:val="0"/>
                <w:bCs/>
                <w:noProof/>
                <w:webHidden/>
              </w:rPr>
              <w:instrText xml:space="preserve"> PAGEREF _Toc152849595 \h </w:instrText>
            </w:r>
            <w:r w:rsidR="007920DA" w:rsidRPr="007920DA">
              <w:rPr>
                <w:b w:val="0"/>
                <w:bCs/>
                <w:noProof/>
                <w:webHidden/>
              </w:rPr>
            </w:r>
            <w:r w:rsidR="007920DA" w:rsidRPr="007920DA">
              <w:rPr>
                <w:b w:val="0"/>
                <w:bCs/>
                <w:noProof/>
                <w:webHidden/>
              </w:rPr>
              <w:fldChar w:fldCharType="separate"/>
            </w:r>
            <w:r w:rsidR="007920DA" w:rsidRPr="007920DA">
              <w:rPr>
                <w:b w:val="0"/>
                <w:bCs/>
                <w:noProof/>
                <w:webHidden/>
              </w:rPr>
              <w:t>5</w:t>
            </w:r>
            <w:r w:rsidR="007920DA" w:rsidRPr="007920DA">
              <w:rPr>
                <w:b w:val="0"/>
                <w:bCs/>
                <w:noProof/>
                <w:webHidden/>
              </w:rPr>
              <w:fldChar w:fldCharType="end"/>
            </w:r>
          </w:hyperlink>
        </w:p>
        <w:p w14:paraId="4297E0FC" w14:textId="376568A3" w:rsidR="007920DA" w:rsidRPr="007920DA" w:rsidRDefault="00995F42">
          <w:pPr>
            <w:pStyle w:val="TOC3"/>
            <w:rPr>
              <w:rFonts w:asciiTheme="minorHAnsi" w:eastAsiaTheme="minorEastAsia" w:hAnsiTheme="minorHAnsi" w:cstheme="minorBidi"/>
              <w:b w:val="0"/>
              <w:bCs/>
              <w:noProof/>
              <w:color w:val="auto"/>
              <w:sz w:val="22"/>
              <w:szCs w:val="22"/>
              <w:lang w:eastAsia="en-AU"/>
            </w:rPr>
          </w:pPr>
          <w:hyperlink w:anchor="_Toc152849596" w:history="1">
            <w:r w:rsidR="007920DA" w:rsidRPr="007920DA">
              <w:rPr>
                <w:rStyle w:val="Hyperlink"/>
                <w:b w:val="0"/>
                <w:bCs/>
                <w:noProof/>
              </w:rPr>
              <w:t>Interspinous process spacer</w:t>
            </w:r>
            <w:r w:rsidR="007920DA" w:rsidRPr="007920DA">
              <w:rPr>
                <w:b w:val="0"/>
                <w:bCs/>
                <w:noProof/>
                <w:webHidden/>
              </w:rPr>
              <w:tab/>
            </w:r>
            <w:r w:rsidR="007920DA" w:rsidRPr="007920DA">
              <w:rPr>
                <w:b w:val="0"/>
                <w:bCs/>
                <w:noProof/>
                <w:webHidden/>
              </w:rPr>
              <w:fldChar w:fldCharType="begin"/>
            </w:r>
            <w:r w:rsidR="007920DA" w:rsidRPr="007920DA">
              <w:rPr>
                <w:b w:val="0"/>
                <w:bCs/>
                <w:noProof/>
                <w:webHidden/>
              </w:rPr>
              <w:instrText xml:space="preserve"> PAGEREF _Toc152849596 \h </w:instrText>
            </w:r>
            <w:r w:rsidR="007920DA" w:rsidRPr="007920DA">
              <w:rPr>
                <w:b w:val="0"/>
                <w:bCs/>
                <w:noProof/>
                <w:webHidden/>
              </w:rPr>
            </w:r>
            <w:r w:rsidR="007920DA" w:rsidRPr="007920DA">
              <w:rPr>
                <w:b w:val="0"/>
                <w:bCs/>
                <w:noProof/>
                <w:webHidden/>
              </w:rPr>
              <w:fldChar w:fldCharType="separate"/>
            </w:r>
            <w:r w:rsidR="007920DA" w:rsidRPr="007920DA">
              <w:rPr>
                <w:b w:val="0"/>
                <w:bCs/>
                <w:noProof/>
                <w:webHidden/>
              </w:rPr>
              <w:t>6</w:t>
            </w:r>
            <w:r w:rsidR="007920DA" w:rsidRPr="007920DA">
              <w:rPr>
                <w:b w:val="0"/>
                <w:bCs/>
                <w:noProof/>
                <w:webHidden/>
              </w:rPr>
              <w:fldChar w:fldCharType="end"/>
            </w:r>
          </w:hyperlink>
        </w:p>
        <w:p w14:paraId="579EF837" w14:textId="74B29BF2"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597" w:history="1">
            <w:r w:rsidR="007920DA" w:rsidRPr="007920DA">
              <w:rPr>
                <w:rStyle w:val="Hyperlink"/>
                <w:b w:val="0"/>
                <w:bCs/>
                <w:noProof/>
                <w:sz w:val="24"/>
                <w:szCs w:val="24"/>
                <w:lang w:eastAsia="en-AU"/>
              </w:rPr>
              <w:t xml:space="preserve">Spinal </w:t>
            </w:r>
            <w:r w:rsidR="007920DA" w:rsidRPr="007920DA">
              <w:rPr>
                <w:rStyle w:val="Hyperlink"/>
                <w:b w:val="0"/>
                <w:bCs/>
                <w:noProof/>
                <w:sz w:val="24"/>
                <w:szCs w:val="24"/>
              </w:rPr>
              <w:t>implantable</w:t>
            </w:r>
            <w:r w:rsidR="007920DA" w:rsidRPr="007920DA">
              <w:rPr>
                <w:rStyle w:val="Hyperlink"/>
                <w:b w:val="0"/>
                <w:bCs/>
                <w:noProof/>
                <w:sz w:val="24"/>
                <w:szCs w:val="24"/>
                <w:lang w:eastAsia="en-AU"/>
              </w:rPr>
              <w:t xml:space="preserve"> devices will remain Class IIb</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_Toc152849597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6</w:t>
            </w:r>
            <w:r w:rsidR="007920DA" w:rsidRPr="007920DA">
              <w:rPr>
                <w:b w:val="0"/>
                <w:bCs/>
                <w:noProof/>
                <w:webHidden/>
                <w:sz w:val="24"/>
                <w:szCs w:val="24"/>
              </w:rPr>
              <w:fldChar w:fldCharType="end"/>
            </w:r>
          </w:hyperlink>
        </w:p>
        <w:p w14:paraId="08A53990" w14:textId="6AC2D9C9" w:rsidR="007920DA" w:rsidRPr="007920DA" w:rsidRDefault="00995F42">
          <w:pPr>
            <w:pStyle w:val="TOC3"/>
            <w:rPr>
              <w:rFonts w:asciiTheme="minorHAnsi" w:eastAsiaTheme="minorEastAsia" w:hAnsiTheme="minorHAnsi" w:cstheme="minorBidi"/>
              <w:b w:val="0"/>
              <w:bCs/>
              <w:noProof/>
              <w:color w:val="auto"/>
              <w:sz w:val="22"/>
              <w:szCs w:val="22"/>
              <w:lang w:eastAsia="en-AU"/>
            </w:rPr>
          </w:pPr>
          <w:hyperlink w:anchor="_Toc152849598" w:history="1">
            <w:r w:rsidR="007920DA" w:rsidRPr="007920DA">
              <w:rPr>
                <w:rStyle w:val="Hyperlink"/>
                <w:b w:val="0"/>
                <w:bCs/>
                <w:noProof/>
              </w:rPr>
              <w:t>Examples of spinal implantable devices</w:t>
            </w:r>
            <w:r w:rsidR="007920DA" w:rsidRPr="007920DA">
              <w:rPr>
                <w:b w:val="0"/>
                <w:bCs/>
                <w:noProof/>
                <w:webHidden/>
              </w:rPr>
              <w:tab/>
            </w:r>
            <w:r w:rsidR="007920DA" w:rsidRPr="007920DA">
              <w:rPr>
                <w:b w:val="0"/>
                <w:bCs/>
                <w:noProof/>
                <w:webHidden/>
              </w:rPr>
              <w:fldChar w:fldCharType="begin"/>
            </w:r>
            <w:r w:rsidR="007920DA" w:rsidRPr="007920DA">
              <w:rPr>
                <w:b w:val="0"/>
                <w:bCs/>
                <w:noProof/>
                <w:webHidden/>
              </w:rPr>
              <w:instrText xml:space="preserve"> PAGEREF _Toc152849598 \h </w:instrText>
            </w:r>
            <w:r w:rsidR="007920DA" w:rsidRPr="007920DA">
              <w:rPr>
                <w:b w:val="0"/>
                <w:bCs/>
                <w:noProof/>
                <w:webHidden/>
              </w:rPr>
            </w:r>
            <w:r w:rsidR="007920DA" w:rsidRPr="007920DA">
              <w:rPr>
                <w:b w:val="0"/>
                <w:bCs/>
                <w:noProof/>
                <w:webHidden/>
              </w:rPr>
              <w:fldChar w:fldCharType="separate"/>
            </w:r>
            <w:r w:rsidR="007920DA" w:rsidRPr="007920DA">
              <w:rPr>
                <w:b w:val="0"/>
                <w:bCs/>
                <w:noProof/>
                <w:webHidden/>
              </w:rPr>
              <w:t>6</w:t>
            </w:r>
            <w:r w:rsidR="007920DA" w:rsidRPr="007920DA">
              <w:rPr>
                <w:b w:val="0"/>
                <w:bCs/>
                <w:noProof/>
                <w:webHidden/>
              </w:rPr>
              <w:fldChar w:fldCharType="end"/>
            </w:r>
          </w:hyperlink>
        </w:p>
        <w:p w14:paraId="459E0C26" w14:textId="71D6568C" w:rsidR="007920DA" w:rsidRDefault="00995F42">
          <w:pPr>
            <w:pStyle w:val="TOC1"/>
            <w:rPr>
              <w:rFonts w:asciiTheme="minorHAnsi" w:eastAsiaTheme="minorEastAsia" w:hAnsiTheme="minorHAnsi" w:cstheme="minorBidi"/>
              <w:b w:val="0"/>
              <w:noProof/>
              <w:color w:val="auto"/>
              <w:sz w:val="22"/>
              <w:szCs w:val="22"/>
              <w:lang w:eastAsia="en-AU"/>
            </w:rPr>
          </w:pPr>
          <w:hyperlink w:anchor="_Toc152849599" w:history="1">
            <w:r w:rsidR="007920DA" w:rsidRPr="00E36F0C">
              <w:rPr>
                <w:rStyle w:val="Hyperlink"/>
                <w:noProof/>
              </w:rPr>
              <w:t>What you need to do</w:t>
            </w:r>
            <w:r w:rsidR="007920DA">
              <w:rPr>
                <w:noProof/>
                <w:webHidden/>
              </w:rPr>
              <w:tab/>
            </w:r>
            <w:r w:rsidR="007920DA">
              <w:rPr>
                <w:noProof/>
                <w:webHidden/>
              </w:rPr>
              <w:fldChar w:fldCharType="begin"/>
            </w:r>
            <w:r w:rsidR="007920DA">
              <w:rPr>
                <w:noProof/>
                <w:webHidden/>
              </w:rPr>
              <w:instrText xml:space="preserve"> PAGEREF _Toc152849599 \h </w:instrText>
            </w:r>
            <w:r w:rsidR="007920DA">
              <w:rPr>
                <w:noProof/>
                <w:webHidden/>
              </w:rPr>
            </w:r>
            <w:r w:rsidR="007920DA">
              <w:rPr>
                <w:noProof/>
                <w:webHidden/>
              </w:rPr>
              <w:fldChar w:fldCharType="separate"/>
            </w:r>
            <w:r w:rsidR="007920DA">
              <w:rPr>
                <w:noProof/>
                <w:webHidden/>
              </w:rPr>
              <w:t>6</w:t>
            </w:r>
            <w:r w:rsidR="007920DA">
              <w:rPr>
                <w:noProof/>
                <w:webHidden/>
              </w:rPr>
              <w:fldChar w:fldCharType="end"/>
            </w:r>
          </w:hyperlink>
        </w:p>
        <w:p w14:paraId="5B44E88B" w14:textId="4860045B"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0" w:history="1">
            <w:r w:rsidR="007920DA" w:rsidRPr="007920DA">
              <w:rPr>
                <w:rStyle w:val="Hyperlink"/>
                <w:b w:val="0"/>
                <w:bCs/>
                <w:noProof/>
                <w:sz w:val="24"/>
                <w:szCs w:val="24"/>
              </w:rPr>
              <w:t>Medical devices included in the ARTG prior to 25 November 2021</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_Toc152849600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7</w:t>
            </w:r>
            <w:r w:rsidR="007920DA" w:rsidRPr="007920DA">
              <w:rPr>
                <w:b w:val="0"/>
                <w:bCs/>
                <w:noProof/>
                <w:webHidden/>
                <w:sz w:val="24"/>
                <w:szCs w:val="24"/>
              </w:rPr>
              <w:fldChar w:fldCharType="end"/>
            </w:r>
          </w:hyperlink>
        </w:p>
        <w:p w14:paraId="7D99F50F" w14:textId="142E9D7F"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1" w:history="1">
            <w:r w:rsidR="007920DA" w:rsidRPr="007920DA">
              <w:rPr>
                <w:rStyle w:val="Hyperlink"/>
                <w:b w:val="0"/>
                <w:bCs/>
                <w:noProof/>
                <w:sz w:val="24"/>
                <w:szCs w:val="24"/>
              </w:rPr>
              <w:t>Applications to include a medical device in the ARTG lodged before 25 November 2021</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_Toc152849601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7</w:t>
            </w:r>
            <w:r w:rsidR="007920DA" w:rsidRPr="007920DA">
              <w:rPr>
                <w:b w:val="0"/>
                <w:bCs/>
                <w:noProof/>
                <w:webHidden/>
                <w:sz w:val="24"/>
                <w:szCs w:val="24"/>
              </w:rPr>
              <w:fldChar w:fldCharType="end"/>
            </w:r>
          </w:hyperlink>
        </w:p>
        <w:p w14:paraId="165B351E" w14:textId="14004967" w:rsidR="007920DA" w:rsidRPr="007920DA" w:rsidRDefault="00995F42">
          <w:pPr>
            <w:pStyle w:val="TOC3"/>
            <w:rPr>
              <w:rFonts w:asciiTheme="minorHAnsi" w:eastAsiaTheme="minorEastAsia" w:hAnsiTheme="minorHAnsi" w:cstheme="minorBidi"/>
              <w:b w:val="0"/>
              <w:bCs/>
              <w:noProof/>
              <w:color w:val="auto"/>
              <w:sz w:val="22"/>
              <w:szCs w:val="22"/>
              <w:lang w:eastAsia="en-AU"/>
            </w:rPr>
          </w:pPr>
          <w:hyperlink w:anchor="_Toc152849602" w:history="1">
            <w:r w:rsidR="007920DA" w:rsidRPr="007920DA">
              <w:rPr>
                <w:rStyle w:val="Hyperlink"/>
                <w:b w:val="0"/>
                <w:bCs/>
                <w:noProof/>
              </w:rPr>
              <w:t>Cancelling your ARTG inclusion</w:t>
            </w:r>
            <w:r w:rsidR="007920DA" w:rsidRPr="007920DA">
              <w:rPr>
                <w:b w:val="0"/>
                <w:bCs/>
                <w:noProof/>
                <w:webHidden/>
              </w:rPr>
              <w:tab/>
            </w:r>
            <w:r w:rsidR="007920DA" w:rsidRPr="007920DA">
              <w:rPr>
                <w:b w:val="0"/>
                <w:bCs/>
                <w:noProof/>
                <w:webHidden/>
              </w:rPr>
              <w:fldChar w:fldCharType="begin"/>
            </w:r>
            <w:r w:rsidR="007920DA" w:rsidRPr="007920DA">
              <w:rPr>
                <w:b w:val="0"/>
                <w:bCs/>
                <w:noProof/>
                <w:webHidden/>
              </w:rPr>
              <w:instrText xml:space="preserve"> PAGEREF _Toc152849602 \h </w:instrText>
            </w:r>
            <w:r w:rsidR="007920DA" w:rsidRPr="007920DA">
              <w:rPr>
                <w:b w:val="0"/>
                <w:bCs/>
                <w:noProof/>
                <w:webHidden/>
              </w:rPr>
            </w:r>
            <w:r w:rsidR="007920DA" w:rsidRPr="007920DA">
              <w:rPr>
                <w:b w:val="0"/>
                <w:bCs/>
                <w:noProof/>
                <w:webHidden/>
              </w:rPr>
              <w:fldChar w:fldCharType="separate"/>
            </w:r>
            <w:r w:rsidR="007920DA" w:rsidRPr="007920DA">
              <w:rPr>
                <w:b w:val="0"/>
                <w:bCs/>
                <w:noProof/>
                <w:webHidden/>
              </w:rPr>
              <w:t>7</w:t>
            </w:r>
            <w:r w:rsidR="007920DA" w:rsidRPr="007920DA">
              <w:rPr>
                <w:b w:val="0"/>
                <w:bCs/>
                <w:noProof/>
                <w:webHidden/>
              </w:rPr>
              <w:fldChar w:fldCharType="end"/>
            </w:r>
          </w:hyperlink>
        </w:p>
        <w:p w14:paraId="44116C55" w14:textId="06604207" w:rsidR="007920DA" w:rsidRPr="007920DA" w:rsidRDefault="00995F42">
          <w:pPr>
            <w:pStyle w:val="TOC3"/>
            <w:rPr>
              <w:rFonts w:asciiTheme="minorHAnsi" w:eastAsiaTheme="minorEastAsia" w:hAnsiTheme="minorHAnsi" w:cstheme="minorBidi"/>
              <w:b w:val="0"/>
              <w:bCs/>
              <w:noProof/>
              <w:color w:val="auto"/>
              <w:sz w:val="22"/>
              <w:szCs w:val="22"/>
              <w:lang w:eastAsia="en-AU"/>
            </w:rPr>
          </w:pPr>
          <w:hyperlink w:anchor="_Toc152849603" w:history="1">
            <w:r w:rsidR="007920DA" w:rsidRPr="007920DA">
              <w:rPr>
                <w:rStyle w:val="Hyperlink"/>
                <w:b w:val="0"/>
                <w:bCs/>
                <w:noProof/>
              </w:rPr>
              <w:t>Applications to include a new medical device on or after 25 November 2021</w:t>
            </w:r>
            <w:r w:rsidR="007920DA" w:rsidRPr="007920DA">
              <w:rPr>
                <w:b w:val="0"/>
                <w:bCs/>
                <w:noProof/>
                <w:webHidden/>
              </w:rPr>
              <w:tab/>
            </w:r>
            <w:r w:rsidR="007920DA" w:rsidRPr="007920DA">
              <w:rPr>
                <w:b w:val="0"/>
                <w:bCs/>
                <w:noProof/>
                <w:webHidden/>
              </w:rPr>
              <w:fldChar w:fldCharType="begin"/>
            </w:r>
            <w:r w:rsidR="007920DA" w:rsidRPr="007920DA">
              <w:rPr>
                <w:b w:val="0"/>
                <w:bCs/>
                <w:noProof/>
                <w:webHidden/>
              </w:rPr>
              <w:instrText xml:space="preserve"> PAGEREF _Toc152849603 \h </w:instrText>
            </w:r>
            <w:r w:rsidR="007920DA" w:rsidRPr="007920DA">
              <w:rPr>
                <w:b w:val="0"/>
                <w:bCs/>
                <w:noProof/>
                <w:webHidden/>
              </w:rPr>
            </w:r>
            <w:r w:rsidR="007920DA" w:rsidRPr="007920DA">
              <w:rPr>
                <w:b w:val="0"/>
                <w:bCs/>
                <w:noProof/>
                <w:webHidden/>
              </w:rPr>
              <w:fldChar w:fldCharType="separate"/>
            </w:r>
            <w:r w:rsidR="007920DA" w:rsidRPr="007920DA">
              <w:rPr>
                <w:b w:val="0"/>
                <w:bCs/>
                <w:noProof/>
                <w:webHidden/>
              </w:rPr>
              <w:t>8</w:t>
            </w:r>
            <w:r w:rsidR="007920DA" w:rsidRPr="007920DA">
              <w:rPr>
                <w:b w:val="0"/>
                <w:bCs/>
                <w:noProof/>
                <w:webHidden/>
              </w:rPr>
              <w:fldChar w:fldCharType="end"/>
            </w:r>
          </w:hyperlink>
        </w:p>
        <w:p w14:paraId="6B75C7B3" w14:textId="47649FCF"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4" w:history="1">
            <w:r w:rsidR="007920DA" w:rsidRPr="007920DA">
              <w:rPr>
                <w:rStyle w:val="Hyperlink"/>
                <w:b w:val="0"/>
                <w:bCs/>
                <w:noProof/>
                <w:sz w:val="24"/>
                <w:szCs w:val="24"/>
              </w:rPr>
              <w:t>Notifying the TGA that you need to reclassify a device</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_Toc152849604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8</w:t>
            </w:r>
            <w:r w:rsidR="007920DA" w:rsidRPr="007920DA">
              <w:rPr>
                <w:b w:val="0"/>
                <w:bCs/>
                <w:noProof/>
                <w:webHidden/>
                <w:sz w:val="24"/>
                <w:szCs w:val="24"/>
              </w:rPr>
              <w:fldChar w:fldCharType="end"/>
            </w:r>
          </w:hyperlink>
        </w:p>
        <w:p w14:paraId="207B2187" w14:textId="7870294A" w:rsidR="007920DA" w:rsidRDefault="00995F42">
          <w:pPr>
            <w:pStyle w:val="TOC1"/>
            <w:rPr>
              <w:rFonts w:asciiTheme="minorHAnsi" w:eastAsiaTheme="minorEastAsia" w:hAnsiTheme="minorHAnsi" w:cstheme="minorBidi"/>
              <w:b w:val="0"/>
              <w:noProof/>
              <w:color w:val="auto"/>
              <w:sz w:val="22"/>
              <w:szCs w:val="22"/>
              <w:lang w:eastAsia="en-AU"/>
            </w:rPr>
          </w:pPr>
          <w:hyperlink w:anchor="_Toc152849605" w:history="1">
            <w:r w:rsidR="007920DA" w:rsidRPr="00E36F0C">
              <w:rPr>
                <w:rStyle w:val="Hyperlink"/>
                <w:noProof/>
              </w:rPr>
              <w:t>Reclassifying an ARTG inclusion as a Class III device</w:t>
            </w:r>
            <w:r w:rsidR="007920DA">
              <w:rPr>
                <w:noProof/>
                <w:webHidden/>
              </w:rPr>
              <w:tab/>
            </w:r>
            <w:r w:rsidR="007920DA">
              <w:rPr>
                <w:noProof/>
                <w:webHidden/>
              </w:rPr>
              <w:fldChar w:fldCharType="begin"/>
            </w:r>
            <w:r w:rsidR="007920DA">
              <w:rPr>
                <w:noProof/>
                <w:webHidden/>
              </w:rPr>
              <w:instrText xml:space="preserve"> PAGEREF _Toc152849605 \h </w:instrText>
            </w:r>
            <w:r w:rsidR="007920DA">
              <w:rPr>
                <w:noProof/>
                <w:webHidden/>
              </w:rPr>
            </w:r>
            <w:r w:rsidR="007920DA">
              <w:rPr>
                <w:noProof/>
                <w:webHidden/>
              </w:rPr>
              <w:fldChar w:fldCharType="separate"/>
            </w:r>
            <w:r w:rsidR="007920DA">
              <w:rPr>
                <w:noProof/>
                <w:webHidden/>
              </w:rPr>
              <w:t>8</w:t>
            </w:r>
            <w:r w:rsidR="007920DA">
              <w:rPr>
                <w:noProof/>
                <w:webHidden/>
              </w:rPr>
              <w:fldChar w:fldCharType="end"/>
            </w:r>
          </w:hyperlink>
        </w:p>
        <w:p w14:paraId="2EC2097E" w14:textId="7A0E7B11"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6" w:history="1">
            <w:r w:rsidR="007920DA" w:rsidRPr="007920DA">
              <w:rPr>
                <w:rStyle w:val="Hyperlink"/>
                <w:b w:val="0"/>
                <w:bCs/>
                <w:noProof/>
                <w:sz w:val="24"/>
                <w:szCs w:val="24"/>
              </w:rPr>
              <w:t>Kind of device: Class IIb vs Class III</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_Toc152849606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8</w:t>
            </w:r>
            <w:r w:rsidR="007920DA" w:rsidRPr="007920DA">
              <w:rPr>
                <w:b w:val="0"/>
                <w:bCs/>
                <w:noProof/>
                <w:webHidden/>
                <w:sz w:val="24"/>
                <w:szCs w:val="24"/>
              </w:rPr>
              <w:fldChar w:fldCharType="end"/>
            </w:r>
          </w:hyperlink>
        </w:p>
        <w:p w14:paraId="64F2EB42" w14:textId="0735DDD5"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7" w:history="1">
            <w:r w:rsidR="007920DA" w:rsidRPr="007920DA">
              <w:rPr>
                <w:rStyle w:val="Hyperlink"/>
                <w:b w:val="0"/>
                <w:bCs/>
                <w:noProof/>
                <w:sz w:val="24"/>
                <w:szCs w:val="24"/>
              </w:rPr>
              <w:t>Timeframes for ARTG inclusion applications as Class III medical devices</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_Toc152849607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9</w:t>
            </w:r>
            <w:r w:rsidR="007920DA" w:rsidRPr="007920DA">
              <w:rPr>
                <w:b w:val="0"/>
                <w:bCs/>
                <w:noProof/>
                <w:webHidden/>
                <w:sz w:val="24"/>
                <w:szCs w:val="24"/>
              </w:rPr>
              <w:fldChar w:fldCharType="end"/>
            </w:r>
          </w:hyperlink>
        </w:p>
        <w:p w14:paraId="56381D90" w14:textId="69A6B59A"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8" w:history="1">
            <w:r w:rsidR="007920DA" w:rsidRPr="007920DA">
              <w:rPr>
                <w:rStyle w:val="Hyperlink"/>
                <w:b w:val="0"/>
                <w:bCs/>
                <w:noProof/>
                <w:sz w:val="24"/>
                <w:szCs w:val="24"/>
              </w:rPr>
              <w:t>How to submit a reclassification application</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_Toc152849608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9</w:t>
            </w:r>
            <w:r w:rsidR="007920DA" w:rsidRPr="007920DA">
              <w:rPr>
                <w:b w:val="0"/>
                <w:bCs/>
                <w:noProof/>
                <w:webHidden/>
                <w:sz w:val="24"/>
                <w:szCs w:val="24"/>
              </w:rPr>
              <w:fldChar w:fldCharType="end"/>
            </w:r>
          </w:hyperlink>
        </w:p>
        <w:p w14:paraId="41D30E4E" w14:textId="5F8EFF51"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09" w:history="1">
            <w:r w:rsidR="007920DA" w:rsidRPr="007920DA">
              <w:rPr>
                <w:rStyle w:val="Hyperlink"/>
                <w:b w:val="0"/>
                <w:bCs/>
                <w:noProof/>
                <w:sz w:val="24"/>
                <w:szCs w:val="24"/>
              </w:rPr>
              <w:t>What to include in your application</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_Toc152849609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10</w:t>
            </w:r>
            <w:r w:rsidR="007920DA" w:rsidRPr="007920DA">
              <w:rPr>
                <w:b w:val="0"/>
                <w:bCs/>
                <w:noProof/>
                <w:webHidden/>
                <w:sz w:val="24"/>
                <w:szCs w:val="24"/>
              </w:rPr>
              <w:fldChar w:fldCharType="end"/>
            </w:r>
          </w:hyperlink>
        </w:p>
        <w:p w14:paraId="58D89CE0" w14:textId="083B8916"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10" w:history="1">
            <w:r w:rsidR="007920DA" w:rsidRPr="007920DA">
              <w:rPr>
                <w:rStyle w:val="Hyperlink"/>
                <w:b w:val="0"/>
                <w:bCs/>
                <w:noProof/>
                <w:sz w:val="24"/>
                <w:szCs w:val="24"/>
              </w:rPr>
              <w:t>Mandatory Audits</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_Toc152849610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11</w:t>
            </w:r>
            <w:r w:rsidR="007920DA" w:rsidRPr="007920DA">
              <w:rPr>
                <w:b w:val="0"/>
                <w:bCs/>
                <w:noProof/>
                <w:webHidden/>
                <w:sz w:val="24"/>
                <w:szCs w:val="24"/>
              </w:rPr>
              <w:fldChar w:fldCharType="end"/>
            </w:r>
          </w:hyperlink>
        </w:p>
        <w:p w14:paraId="090735B7" w14:textId="73F946C0"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11" w:history="1">
            <w:r w:rsidR="007920DA" w:rsidRPr="007920DA">
              <w:rPr>
                <w:rStyle w:val="Hyperlink"/>
                <w:b w:val="0"/>
                <w:bCs/>
                <w:noProof/>
                <w:sz w:val="24"/>
                <w:szCs w:val="24"/>
              </w:rPr>
              <w:t>Fees</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_Toc152849611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11</w:t>
            </w:r>
            <w:r w:rsidR="007920DA" w:rsidRPr="007920DA">
              <w:rPr>
                <w:b w:val="0"/>
                <w:bCs/>
                <w:noProof/>
                <w:webHidden/>
                <w:sz w:val="24"/>
                <w:szCs w:val="24"/>
              </w:rPr>
              <w:fldChar w:fldCharType="end"/>
            </w:r>
          </w:hyperlink>
        </w:p>
        <w:p w14:paraId="74A45604" w14:textId="7DD3EB74" w:rsidR="007920DA" w:rsidRDefault="00995F42">
          <w:pPr>
            <w:pStyle w:val="TOC1"/>
            <w:rPr>
              <w:rFonts w:asciiTheme="minorHAnsi" w:eastAsiaTheme="minorEastAsia" w:hAnsiTheme="minorHAnsi" w:cstheme="minorBidi"/>
              <w:b w:val="0"/>
              <w:noProof/>
              <w:color w:val="auto"/>
              <w:sz w:val="22"/>
              <w:szCs w:val="22"/>
              <w:lang w:eastAsia="en-AU"/>
            </w:rPr>
          </w:pPr>
          <w:hyperlink w:anchor="_Toc152849612" w:history="1">
            <w:r w:rsidR="007920DA" w:rsidRPr="00E36F0C">
              <w:rPr>
                <w:rStyle w:val="Hyperlink"/>
                <w:noProof/>
              </w:rPr>
              <w:t>Class IIb applications/entries</w:t>
            </w:r>
            <w:r w:rsidR="007920DA">
              <w:rPr>
                <w:noProof/>
                <w:webHidden/>
              </w:rPr>
              <w:tab/>
            </w:r>
            <w:r w:rsidR="007920DA">
              <w:rPr>
                <w:noProof/>
                <w:webHidden/>
              </w:rPr>
              <w:fldChar w:fldCharType="begin"/>
            </w:r>
            <w:r w:rsidR="007920DA">
              <w:rPr>
                <w:noProof/>
                <w:webHidden/>
              </w:rPr>
              <w:instrText xml:space="preserve"> PAGEREF _Toc152849612 \h </w:instrText>
            </w:r>
            <w:r w:rsidR="007920DA">
              <w:rPr>
                <w:noProof/>
                <w:webHidden/>
              </w:rPr>
            </w:r>
            <w:r w:rsidR="007920DA">
              <w:rPr>
                <w:noProof/>
                <w:webHidden/>
              </w:rPr>
              <w:fldChar w:fldCharType="separate"/>
            </w:r>
            <w:r w:rsidR="007920DA">
              <w:rPr>
                <w:noProof/>
                <w:webHidden/>
              </w:rPr>
              <w:t>11</w:t>
            </w:r>
            <w:r w:rsidR="007920DA">
              <w:rPr>
                <w:noProof/>
                <w:webHidden/>
              </w:rPr>
              <w:fldChar w:fldCharType="end"/>
            </w:r>
          </w:hyperlink>
        </w:p>
        <w:p w14:paraId="5F84BB8E" w14:textId="0BEE462A"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13" w:history="1">
            <w:r w:rsidR="007920DA" w:rsidRPr="007920DA">
              <w:rPr>
                <w:rStyle w:val="Hyperlink"/>
                <w:b w:val="0"/>
                <w:bCs/>
                <w:noProof/>
                <w:sz w:val="24"/>
                <w:szCs w:val="24"/>
              </w:rPr>
              <w:t>Devices supplied under the ARTG entry</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_Toc152849613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11</w:t>
            </w:r>
            <w:r w:rsidR="007920DA" w:rsidRPr="007920DA">
              <w:rPr>
                <w:b w:val="0"/>
                <w:bCs/>
                <w:noProof/>
                <w:webHidden/>
                <w:sz w:val="24"/>
                <w:szCs w:val="24"/>
              </w:rPr>
              <w:fldChar w:fldCharType="end"/>
            </w:r>
          </w:hyperlink>
        </w:p>
        <w:p w14:paraId="021C2A34" w14:textId="4740BA8B" w:rsidR="007920DA" w:rsidRDefault="00995F42">
          <w:pPr>
            <w:pStyle w:val="TOC1"/>
            <w:rPr>
              <w:rFonts w:asciiTheme="minorHAnsi" w:eastAsiaTheme="minorEastAsia" w:hAnsiTheme="minorHAnsi" w:cstheme="minorBidi"/>
              <w:b w:val="0"/>
              <w:noProof/>
              <w:color w:val="auto"/>
              <w:sz w:val="22"/>
              <w:szCs w:val="22"/>
              <w:lang w:eastAsia="en-AU"/>
            </w:rPr>
          </w:pPr>
          <w:hyperlink w:anchor="_Toc152849614" w:history="1">
            <w:r w:rsidR="007920DA" w:rsidRPr="00E36F0C">
              <w:rPr>
                <w:rStyle w:val="Hyperlink"/>
                <w:noProof/>
              </w:rPr>
              <w:t>Notifying the TGA – Class IIb spinal fusion devices</w:t>
            </w:r>
            <w:r w:rsidR="007920DA">
              <w:rPr>
                <w:noProof/>
                <w:webHidden/>
              </w:rPr>
              <w:tab/>
            </w:r>
            <w:r w:rsidR="007920DA">
              <w:rPr>
                <w:noProof/>
                <w:webHidden/>
              </w:rPr>
              <w:fldChar w:fldCharType="begin"/>
            </w:r>
            <w:r w:rsidR="007920DA">
              <w:rPr>
                <w:noProof/>
                <w:webHidden/>
              </w:rPr>
              <w:instrText xml:space="preserve"> PAGEREF _Toc152849614 \h </w:instrText>
            </w:r>
            <w:r w:rsidR="007920DA">
              <w:rPr>
                <w:noProof/>
                <w:webHidden/>
              </w:rPr>
            </w:r>
            <w:r w:rsidR="007920DA">
              <w:rPr>
                <w:noProof/>
                <w:webHidden/>
              </w:rPr>
              <w:fldChar w:fldCharType="separate"/>
            </w:r>
            <w:r w:rsidR="007920DA">
              <w:rPr>
                <w:noProof/>
                <w:webHidden/>
              </w:rPr>
              <w:t>12</w:t>
            </w:r>
            <w:r w:rsidR="007920DA">
              <w:rPr>
                <w:noProof/>
                <w:webHidden/>
              </w:rPr>
              <w:fldChar w:fldCharType="end"/>
            </w:r>
          </w:hyperlink>
        </w:p>
        <w:p w14:paraId="0D8BCAC9" w14:textId="76A45C8B" w:rsidR="007920DA" w:rsidRDefault="00995F42">
          <w:pPr>
            <w:pStyle w:val="TOC1"/>
            <w:rPr>
              <w:rFonts w:asciiTheme="minorHAnsi" w:eastAsiaTheme="minorEastAsia" w:hAnsiTheme="minorHAnsi" w:cstheme="minorBidi"/>
              <w:b w:val="0"/>
              <w:noProof/>
              <w:color w:val="auto"/>
              <w:sz w:val="22"/>
              <w:szCs w:val="22"/>
              <w:lang w:eastAsia="en-AU"/>
            </w:rPr>
          </w:pPr>
          <w:hyperlink w:anchor="_Toc152849615" w:history="1">
            <w:r w:rsidR="007920DA" w:rsidRPr="00E36F0C">
              <w:rPr>
                <w:rStyle w:val="Hyperlink"/>
                <w:noProof/>
              </w:rPr>
              <w:t>Patient information leaflets and implant cards</w:t>
            </w:r>
            <w:r w:rsidR="007920DA">
              <w:rPr>
                <w:noProof/>
                <w:webHidden/>
              </w:rPr>
              <w:tab/>
            </w:r>
            <w:r w:rsidR="007920DA">
              <w:rPr>
                <w:noProof/>
                <w:webHidden/>
              </w:rPr>
              <w:fldChar w:fldCharType="begin"/>
            </w:r>
            <w:r w:rsidR="007920DA">
              <w:rPr>
                <w:noProof/>
                <w:webHidden/>
              </w:rPr>
              <w:instrText xml:space="preserve"> PAGEREF _Toc152849615 \h </w:instrText>
            </w:r>
            <w:r w:rsidR="007920DA">
              <w:rPr>
                <w:noProof/>
                <w:webHidden/>
              </w:rPr>
            </w:r>
            <w:r w:rsidR="007920DA">
              <w:rPr>
                <w:noProof/>
                <w:webHidden/>
              </w:rPr>
              <w:fldChar w:fldCharType="separate"/>
            </w:r>
            <w:r w:rsidR="007920DA">
              <w:rPr>
                <w:noProof/>
                <w:webHidden/>
              </w:rPr>
              <w:t>12</w:t>
            </w:r>
            <w:r w:rsidR="007920DA">
              <w:rPr>
                <w:noProof/>
                <w:webHidden/>
              </w:rPr>
              <w:fldChar w:fldCharType="end"/>
            </w:r>
          </w:hyperlink>
        </w:p>
        <w:p w14:paraId="46EF35D9" w14:textId="1B023178" w:rsidR="007920DA" w:rsidRPr="007920DA" w:rsidRDefault="00995F42">
          <w:pPr>
            <w:pStyle w:val="TOC2"/>
            <w:rPr>
              <w:rFonts w:asciiTheme="minorHAnsi" w:eastAsiaTheme="minorEastAsia" w:hAnsiTheme="minorHAnsi" w:cstheme="minorBidi"/>
              <w:b w:val="0"/>
              <w:bCs/>
              <w:noProof/>
              <w:color w:val="auto"/>
              <w:sz w:val="24"/>
              <w:szCs w:val="24"/>
              <w:lang w:eastAsia="en-AU"/>
            </w:rPr>
          </w:pPr>
          <w:hyperlink w:anchor="_Toc152849616" w:history="1">
            <w:r w:rsidR="007920DA" w:rsidRPr="007920DA">
              <w:rPr>
                <w:rStyle w:val="Hyperlink"/>
                <w:b w:val="0"/>
                <w:bCs/>
                <w:noProof/>
                <w:sz w:val="24"/>
                <w:szCs w:val="24"/>
              </w:rPr>
              <w:t>Amendments to Prostheses List</w:t>
            </w:r>
            <w:r w:rsidR="007920DA" w:rsidRPr="007920DA">
              <w:rPr>
                <w:b w:val="0"/>
                <w:bCs/>
                <w:noProof/>
                <w:webHidden/>
                <w:sz w:val="24"/>
                <w:szCs w:val="24"/>
              </w:rPr>
              <w:tab/>
            </w:r>
            <w:r w:rsidR="007920DA" w:rsidRPr="007920DA">
              <w:rPr>
                <w:b w:val="0"/>
                <w:bCs/>
                <w:noProof/>
                <w:webHidden/>
                <w:sz w:val="24"/>
                <w:szCs w:val="24"/>
              </w:rPr>
              <w:fldChar w:fldCharType="begin"/>
            </w:r>
            <w:r w:rsidR="007920DA" w:rsidRPr="007920DA">
              <w:rPr>
                <w:b w:val="0"/>
                <w:bCs/>
                <w:noProof/>
                <w:webHidden/>
                <w:sz w:val="24"/>
                <w:szCs w:val="24"/>
              </w:rPr>
              <w:instrText xml:space="preserve"> PAGEREF _Toc152849616 \h </w:instrText>
            </w:r>
            <w:r w:rsidR="007920DA" w:rsidRPr="007920DA">
              <w:rPr>
                <w:b w:val="0"/>
                <w:bCs/>
                <w:noProof/>
                <w:webHidden/>
                <w:sz w:val="24"/>
                <w:szCs w:val="24"/>
              </w:rPr>
            </w:r>
            <w:r w:rsidR="007920DA" w:rsidRPr="007920DA">
              <w:rPr>
                <w:b w:val="0"/>
                <w:bCs/>
                <w:noProof/>
                <w:webHidden/>
                <w:sz w:val="24"/>
                <w:szCs w:val="24"/>
              </w:rPr>
              <w:fldChar w:fldCharType="separate"/>
            </w:r>
            <w:r w:rsidR="007920DA" w:rsidRPr="007920DA">
              <w:rPr>
                <w:b w:val="0"/>
                <w:bCs/>
                <w:noProof/>
                <w:webHidden/>
                <w:sz w:val="24"/>
                <w:szCs w:val="24"/>
              </w:rPr>
              <w:t>12</w:t>
            </w:r>
            <w:r w:rsidR="007920DA" w:rsidRPr="007920DA">
              <w:rPr>
                <w:b w:val="0"/>
                <w:bCs/>
                <w:noProof/>
                <w:webHidden/>
                <w:sz w:val="24"/>
                <w:szCs w:val="24"/>
              </w:rPr>
              <w:fldChar w:fldCharType="end"/>
            </w:r>
          </w:hyperlink>
        </w:p>
        <w:p w14:paraId="61F1927B" w14:textId="677314EC" w:rsidR="007920DA" w:rsidRDefault="00995F42">
          <w:pPr>
            <w:pStyle w:val="TOC1"/>
            <w:rPr>
              <w:rFonts w:asciiTheme="minorHAnsi" w:eastAsiaTheme="minorEastAsia" w:hAnsiTheme="minorHAnsi" w:cstheme="minorBidi"/>
              <w:b w:val="0"/>
              <w:noProof/>
              <w:color w:val="auto"/>
              <w:sz w:val="22"/>
              <w:szCs w:val="22"/>
              <w:lang w:eastAsia="en-AU"/>
            </w:rPr>
          </w:pPr>
          <w:hyperlink w:anchor="_Toc152849617" w:history="1">
            <w:r w:rsidR="007920DA" w:rsidRPr="00E36F0C">
              <w:rPr>
                <w:rStyle w:val="Hyperlink"/>
                <w:noProof/>
              </w:rPr>
              <w:t>If your inclusion application is not successful</w:t>
            </w:r>
            <w:r w:rsidR="007920DA">
              <w:rPr>
                <w:noProof/>
                <w:webHidden/>
              </w:rPr>
              <w:tab/>
            </w:r>
            <w:r w:rsidR="007920DA">
              <w:rPr>
                <w:noProof/>
                <w:webHidden/>
              </w:rPr>
              <w:fldChar w:fldCharType="begin"/>
            </w:r>
            <w:r w:rsidR="007920DA">
              <w:rPr>
                <w:noProof/>
                <w:webHidden/>
              </w:rPr>
              <w:instrText xml:space="preserve"> PAGEREF _Toc152849617 \h </w:instrText>
            </w:r>
            <w:r w:rsidR="007920DA">
              <w:rPr>
                <w:noProof/>
                <w:webHidden/>
              </w:rPr>
            </w:r>
            <w:r w:rsidR="007920DA">
              <w:rPr>
                <w:noProof/>
                <w:webHidden/>
              </w:rPr>
              <w:fldChar w:fldCharType="separate"/>
            </w:r>
            <w:r w:rsidR="007920DA">
              <w:rPr>
                <w:noProof/>
                <w:webHidden/>
              </w:rPr>
              <w:t>13</w:t>
            </w:r>
            <w:r w:rsidR="007920DA">
              <w:rPr>
                <w:noProof/>
                <w:webHidden/>
              </w:rPr>
              <w:fldChar w:fldCharType="end"/>
            </w:r>
          </w:hyperlink>
        </w:p>
        <w:p w14:paraId="0B8D71EC" w14:textId="19A65A41" w:rsidR="007920DA" w:rsidRDefault="00995F42">
          <w:pPr>
            <w:pStyle w:val="TOC1"/>
            <w:rPr>
              <w:rFonts w:asciiTheme="minorHAnsi" w:eastAsiaTheme="minorEastAsia" w:hAnsiTheme="minorHAnsi" w:cstheme="minorBidi"/>
              <w:b w:val="0"/>
              <w:noProof/>
              <w:color w:val="auto"/>
              <w:sz w:val="22"/>
              <w:szCs w:val="22"/>
              <w:lang w:eastAsia="en-AU"/>
            </w:rPr>
          </w:pPr>
          <w:hyperlink w:anchor="_Toc152849618" w:history="1">
            <w:r w:rsidR="007920DA" w:rsidRPr="00E36F0C">
              <w:rPr>
                <w:rStyle w:val="Hyperlink"/>
                <w:noProof/>
              </w:rPr>
              <w:t xml:space="preserve">When you must cease supply using your old </w:t>
            </w:r>
            <w:r w:rsidR="007920DA">
              <w:rPr>
                <w:rStyle w:val="Hyperlink"/>
                <w:noProof/>
              </w:rPr>
              <w:br/>
            </w:r>
            <w:r w:rsidR="007920DA" w:rsidRPr="00E36F0C">
              <w:rPr>
                <w:rStyle w:val="Hyperlink"/>
                <w:noProof/>
              </w:rPr>
              <w:t>ARTG entry</w:t>
            </w:r>
            <w:r w:rsidR="007920DA">
              <w:rPr>
                <w:noProof/>
                <w:webHidden/>
              </w:rPr>
              <w:tab/>
            </w:r>
            <w:r w:rsidR="007920DA">
              <w:rPr>
                <w:noProof/>
                <w:webHidden/>
              </w:rPr>
              <w:fldChar w:fldCharType="begin"/>
            </w:r>
            <w:r w:rsidR="007920DA">
              <w:rPr>
                <w:noProof/>
                <w:webHidden/>
              </w:rPr>
              <w:instrText xml:space="preserve"> PAGEREF _Toc152849618 \h </w:instrText>
            </w:r>
            <w:r w:rsidR="007920DA">
              <w:rPr>
                <w:noProof/>
                <w:webHidden/>
              </w:rPr>
            </w:r>
            <w:r w:rsidR="007920DA">
              <w:rPr>
                <w:noProof/>
                <w:webHidden/>
              </w:rPr>
              <w:fldChar w:fldCharType="separate"/>
            </w:r>
            <w:r w:rsidR="007920DA">
              <w:rPr>
                <w:noProof/>
                <w:webHidden/>
              </w:rPr>
              <w:t>13</w:t>
            </w:r>
            <w:r w:rsidR="007920DA">
              <w:rPr>
                <w:noProof/>
                <w:webHidden/>
              </w:rPr>
              <w:fldChar w:fldCharType="end"/>
            </w:r>
          </w:hyperlink>
        </w:p>
        <w:p w14:paraId="0A3FF575" w14:textId="4C581A2A" w:rsidR="00AB3CE1" w:rsidRDefault="00F859D2" w:rsidP="00883627">
          <w:pPr>
            <w:pStyle w:val="Heading2"/>
          </w:pPr>
          <w:r w:rsidRPr="008C08A9">
            <w:lastRenderedPageBreak/>
            <w:fldChar w:fldCharType="end"/>
          </w:r>
        </w:p>
      </w:sdtContent>
    </w:sdt>
    <w:bookmarkStart w:id="0" w:name="_Toc120889067" w:displacedByCustomXml="prev"/>
    <w:p w14:paraId="4ABC990F" w14:textId="051B7ABA" w:rsidR="008C08A9" w:rsidRPr="008C08A9" w:rsidRDefault="008C08A9" w:rsidP="00883627">
      <w:pPr>
        <w:pStyle w:val="Heading2"/>
      </w:pPr>
      <w:bookmarkStart w:id="1" w:name="_Toc152849590"/>
      <w:r w:rsidRPr="008C08A9">
        <w:t>About this guidance</w:t>
      </w:r>
      <w:bookmarkEnd w:id="1"/>
      <w:bookmarkEnd w:id="0"/>
    </w:p>
    <w:p w14:paraId="4048AE24" w14:textId="77777777" w:rsidR="008C08A9" w:rsidRPr="00883627" w:rsidRDefault="008C08A9" w:rsidP="00883627">
      <w:r w:rsidRPr="00883627">
        <w:t xml:space="preserve">The purpose of this guidance is to assist sponsors and manufacturers of spinal implantable medical devices to understand and comply with new regulatory requirements. </w:t>
      </w:r>
    </w:p>
    <w:p w14:paraId="3F4D5ED0" w14:textId="77777777" w:rsidR="008C08A9" w:rsidRPr="00883627" w:rsidRDefault="008C08A9" w:rsidP="00883627">
      <w:r w:rsidRPr="00883627">
        <w:t xml:space="preserve">From 25 November 2021, some spinal implantable medical devices will be required to be reclassified. The new regulatory requirements will also include: </w:t>
      </w:r>
    </w:p>
    <w:p w14:paraId="163B3332" w14:textId="77777777" w:rsidR="008C08A9" w:rsidRPr="00A23D34" w:rsidRDefault="008C08A9" w:rsidP="00883627">
      <w:pPr>
        <w:pStyle w:val="ListBullet"/>
        <w:numPr>
          <w:ilvl w:val="0"/>
          <w:numId w:val="22"/>
        </w:numPr>
      </w:pPr>
      <w:r w:rsidRPr="00A23D34">
        <w:t>more detailed assessment of the manufacturer’s quality management systems and assessment of technical documentation related to each device</w:t>
      </w:r>
    </w:p>
    <w:p w14:paraId="7827D2A3" w14:textId="77777777" w:rsidR="008C08A9" w:rsidRPr="00A23D34" w:rsidRDefault="008C08A9" w:rsidP="00883627">
      <w:pPr>
        <w:pStyle w:val="ListBullet"/>
        <w:numPr>
          <w:ilvl w:val="0"/>
          <w:numId w:val="22"/>
        </w:numPr>
      </w:pPr>
      <w:r w:rsidRPr="00A23D34">
        <w:t>conformity assessment documents demonstrating procedures appropriate for their classification</w:t>
      </w:r>
    </w:p>
    <w:p w14:paraId="2AC8B060" w14:textId="77777777" w:rsidR="008C08A9" w:rsidRPr="00A23D34" w:rsidRDefault="008C08A9" w:rsidP="00883627">
      <w:pPr>
        <w:pStyle w:val="ListBullet"/>
        <w:numPr>
          <w:ilvl w:val="0"/>
          <w:numId w:val="22"/>
        </w:numPr>
      </w:pPr>
      <w:r w:rsidRPr="00A23D34">
        <w:t>a mandatory audit assessment by the TGA for device inclusion applications, including assessment of clinical evidence.</w:t>
      </w:r>
    </w:p>
    <w:p w14:paraId="702321C6" w14:textId="77777777" w:rsidR="008C08A9" w:rsidRPr="00A23D34" w:rsidRDefault="008C08A9" w:rsidP="00883627">
      <w:r w:rsidRPr="00A23D34">
        <w:t>The classification of your spinal implantable medical device will determine the safety and performance requirements to be demonstrated to meet regulatory requirements.</w:t>
      </w:r>
    </w:p>
    <w:p w14:paraId="0ED38D0A" w14:textId="77777777" w:rsidR="008C08A9" w:rsidRPr="008C08A9" w:rsidRDefault="008C08A9" w:rsidP="00883627">
      <w:pPr>
        <w:pStyle w:val="Heading2"/>
      </w:pPr>
      <w:bookmarkStart w:id="2" w:name="_Toc120889068"/>
      <w:bookmarkStart w:id="3" w:name="_Toc152849591"/>
      <w:r w:rsidRPr="008C08A9">
        <w:t>Background</w:t>
      </w:r>
      <w:bookmarkEnd w:id="2"/>
      <w:bookmarkEnd w:id="3"/>
      <w:r w:rsidRPr="008C08A9">
        <w:t xml:space="preserve"> </w:t>
      </w:r>
    </w:p>
    <w:p w14:paraId="64D65F85" w14:textId="77777777" w:rsidR="008C08A9" w:rsidRPr="00A23D34" w:rsidRDefault="008C08A9" w:rsidP="00883627">
      <w:r w:rsidRPr="00A23D34">
        <w:t>Spinal implantable medical devices are used in different parts of the spine (cervical, thoracic, lumbar and pelvic) to address a number of health problems including arthritis of the spine, deformities of the spine (including scoliosis – abnormal curvature of the spine), spondylolisthesis, herniated discus, trauma, spinal tumours, etc.</w:t>
      </w:r>
    </w:p>
    <w:p w14:paraId="0F1B5593" w14:textId="77777777" w:rsidR="008C08A9" w:rsidRPr="00A23D34" w:rsidRDefault="008C08A9" w:rsidP="00883627">
      <w:pPr>
        <w:rPr>
          <w:lang w:eastAsia="en-AU"/>
        </w:rPr>
      </w:pPr>
      <w:r w:rsidRPr="00A23D34">
        <w:rPr>
          <w:lang w:eastAsia="en-AU"/>
        </w:rPr>
        <w:t>Spinal implantable medical devices include the following:</w:t>
      </w:r>
    </w:p>
    <w:p w14:paraId="26AE9D3B" w14:textId="77777777" w:rsidR="008C08A9" w:rsidRPr="00A23D34" w:rsidRDefault="008C08A9" w:rsidP="00883627">
      <w:pPr>
        <w:pStyle w:val="ListBullet"/>
        <w:numPr>
          <w:ilvl w:val="0"/>
          <w:numId w:val="22"/>
        </w:numPr>
      </w:pPr>
      <w:r w:rsidRPr="00A23D34">
        <w:rPr>
          <w:lang w:eastAsia="en-AU"/>
        </w:rPr>
        <w:t xml:space="preserve">motion-preserving devices for the spine </w:t>
      </w:r>
    </w:p>
    <w:p w14:paraId="13D29616" w14:textId="77777777" w:rsidR="008C08A9" w:rsidRPr="00A23D34" w:rsidRDefault="008C08A9" w:rsidP="00883627">
      <w:pPr>
        <w:pStyle w:val="ListBullet"/>
        <w:numPr>
          <w:ilvl w:val="0"/>
          <w:numId w:val="22"/>
        </w:numPr>
      </w:pPr>
      <w:r w:rsidRPr="00A23D34">
        <w:rPr>
          <w:lang w:eastAsia="en-AU"/>
        </w:rPr>
        <w:t>implantable devices that come into contact with the spinal column.</w:t>
      </w:r>
    </w:p>
    <w:p w14:paraId="10D47F92" w14:textId="68C2E6FA" w:rsidR="008C08A9" w:rsidRPr="00A23D34" w:rsidRDefault="008C08A9" w:rsidP="00883627">
      <w:r w:rsidRPr="00A23D34">
        <w:t xml:space="preserve">All spinal implantable medical devices are currently classified as Class IIb medical devices under the </w:t>
      </w:r>
      <w:hyperlink r:id="rId13" w:history="1">
        <w:r w:rsidRPr="00A23D34">
          <w:rPr>
            <w:rStyle w:val="Hyperlink"/>
            <w:rFonts w:eastAsia="Times New Roman"/>
            <w:i/>
            <w:iCs/>
            <w:szCs w:val="22"/>
            <w:lang w:eastAsia="en-AU"/>
          </w:rPr>
          <w:t>Therapeutic Goods (Medical Devices) Regulations 2002</w:t>
        </w:r>
      </w:hyperlink>
      <w:r w:rsidRPr="00A23D34">
        <w:rPr>
          <w:rFonts w:eastAsia="Times New Roman"/>
          <w:color w:val="000000"/>
          <w:szCs w:val="22"/>
          <w:lang w:eastAsia="en-AU"/>
        </w:rPr>
        <w:t xml:space="preserve"> </w:t>
      </w:r>
      <w:r w:rsidRPr="00A23D34">
        <w:t>(the Regulations).</w:t>
      </w:r>
    </w:p>
    <w:p w14:paraId="432EB2A5" w14:textId="3A888D2F" w:rsidR="008C08A9" w:rsidRPr="00A23D34" w:rsidRDefault="008C08A9" w:rsidP="00883627">
      <w:r w:rsidRPr="00A23D34">
        <w:rPr>
          <w:lang w:eastAsia="en-AU"/>
        </w:rPr>
        <w:t xml:space="preserve">On 12 December 2019, the Regulations were amended in relation to a number of medical devices, including the classification of some spinal implantable medical devices. </w:t>
      </w:r>
      <w:r w:rsidRPr="00A23D34">
        <w:t xml:space="preserve">The </w:t>
      </w:r>
      <w:hyperlink r:id="rId14" w:history="1">
        <w:r w:rsidRPr="00A23D34">
          <w:rPr>
            <w:rStyle w:val="Hyperlink"/>
          </w:rPr>
          <w:t>amendments</w:t>
        </w:r>
      </w:hyperlink>
      <w:r w:rsidRPr="00A23D34">
        <w:t xml:space="preserve"> include the reclassification of motion-preserving devices (such as spinal disc replacements and devices used to help restore the normal motion of the spine)</w:t>
      </w:r>
      <w:r w:rsidR="00A56E3E" w:rsidRPr="00A23D34">
        <w:t xml:space="preserve"> </w:t>
      </w:r>
      <w:r w:rsidRPr="00A23D34">
        <w:t xml:space="preserve">and spinal </w:t>
      </w:r>
      <w:r w:rsidRPr="00A23D34">
        <w:rPr>
          <w:lang w:val="en"/>
        </w:rPr>
        <w:t xml:space="preserve">implantable devices that come into direct contact with the spinal column </w:t>
      </w:r>
      <w:r w:rsidRPr="00A23D34">
        <w:t xml:space="preserve">to Class III , effective from 25 November 2021. </w:t>
      </w:r>
    </w:p>
    <w:p w14:paraId="71883D07" w14:textId="77777777" w:rsidR="008C08A9" w:rsidRPr="00A23D34" w:rsidRDefault="008C08A9" w:rsidP="00883627">
      <w:pPr>
        <w:rPr>
          <w:lang w:eastAsia="en-AU"/>
        </w:rPr>
      </w:pPr>
      <w:r w:rsidRPr="00A23D34">
        <w:rPr>
          <w:lang w:eastAsia="en-AU"/>
        </w:rPr>
        <w:t xml:space="preserve">These changes are part of a broader range of medical device reforms to align the Regulations with the European Union (EU) framework, following two rounds of public consultation. </w:t>
      </w:r>
    </w:p>
    <w:p w14:paraId="129A34A0" w14:textId="77777777" w:rsidR="008C08A9" w:rsidRPr="00A23D34" w:rsidRDefault="008C08A9" w:rsidP="00883627">
      <w:r w:rsidRPr="00A23D34">
        <w:t xml:space="preserve">Further regulatory </w:t>
      </w:r>
      <w:hyperlink r:id="rId15" w:history="1">
        <w:r w:rsidRPr="00A23D34">
          <w:rPr>
            <w:rStyle w:val="Hyperlink"/>
          </w:rPr>
          <w:t>refinements</w:t>
        </w:r>
      </w:hyperlink>
      <w:r w:rsidRPr="00A23D34">
        <w:t xml:space="preserve"> were made on 29 October 2021 to provide greater clarity around the regulation of these products.</w:t>
      </w:r>
    </w:p>
    <w:p w14:paraId="28F78E7B" w14:textId="3EDED8E6" w:rsidR="008C08A9" w:rsidRPr="00995F42" w:rsidRDefault="008C08A9" w:rsidP="00995F42">
      <w:pPr>
        <w:pStyle w:val="Heading2"/>
        <w:pageBreakBefore/>
        <w:ind w:right="-286"/>
        <w:rPr>
          <w:sz w:val="36"/>
          <w:szCs w:val="36"/>
          <w:lang w:eastAsia="en-AU"/>
        </w:rPr>
      </w:pPr>
      <w:bookmarkStart w:id="4" w:name="_Toc120889069"/>
      <w:bookmarkStart w:id="5" w:name="_Toc152849592"/>
      <w:r w:rsidRPr="00995F42">
        <w:rPr>
          <w:sz w:val="36"/>
          <w:szCs w:val="36"/>
          <w:lang w:eastAsia="en-AU"/>
        </w:rPr>
        <w:lastRenderedPageBreak/>
        <w:t>Devices being reclassified from Class IIb to Class III</w:t>
      </w:r>
      <w:bookmarkEnd w:id="4"/>
      <w:bookmarkEnd w:id="5"/>
    </w:p>
    <w:p w14:paraId="3C21CD4A" w14:textId="77777777" w:rsidR="008C08A9" w:rsidRPr="00A23D34" w:rsidRDefault="008C08A9" w:rsidP="00883627">
      <w:pPr>
        <w:rPr>
          <w:lang w:eastAsia="en-AU"/>
        </w:rPr>
      </w:pPr>
      <w:r w:rsidRPr="00A23D34">
        <w:rPr>
          <w:lang w:eastAsia="en-AU"/>
        </w:rPr>
        <w:t>Implantable devices that are intended to be a motion-preserving device for the spine will be reclassified from Class IIb to Class III.</w:t>
      </w:r>
    </w:p>
    <w:p w14:paraId="77CD6A18" w14:textId="77777777" w:rsidR="008C08A9" w:rsidRPr="00A23D34" w:rsidRDefault="008C08A9" w:rsidP="00883627">
      <w:pPr>
        <w:rPr>
          <w:lang w:eastAsia="en-AU"/>
        </w:rPr>
      </w:pPr>
      <w:r w:rsidRPr="00A23D34">
        <w:rPr>
          <w:lang w:eastAsia="en-AU"/>
        </w:rPr>
        <w:t>From 25 November 2021, the following classification rule will apply:</w:t>
      </w:r>
    </w:p>
    <w:p w14:paraId="1E6C0F3C" w14:textId="77777777" w:rsidR="008C08A9" w:rsidRPr="00A23D34" w:rsidRDefault="008C08A9" w:rsidP="00883627">
      <w:pPr>
        <w:rPr>
          <w:lang w:eastAsia="en-AU"/>
        </w:rPr>
      </w:pPr>
      <w:r w:rsidRPr="00A23D34">
        <w:rPr>
          <w:lang w:eastAsia="en-AU"/>
        </w:rPr>
        <w:t>(4B)</w:t>
      </w:r>
      <w:r w:rsidRPr="00A23D34">
        <w:rPr>
          <w:lang w:eastAsia="en-AU"/>
        </w:rPr>
        <w:tab/>
        <w:t>If the device is intended by the manufacturer to be a motion</w:t>
      </w:r>
      <w:r w:rsidRPr="00A23D34">
        <w:rPr>
          <w:lang w:eastAsia="en-AU"/>
        </w:rPr>
        <w:noBreakHyphen/>
        <w:t>preserving device for the spine (such as a spinal disc replacement), the device is classified as Class III.</w:t>
      </w:r>
    </w:p>
    <w:p w14:paraId="329135A8" w14:textId="77777777" w:rsidR="008C08A9" w:rsidRPr="008C08A9" w:rsidRDefault="008C08A9" w:rsidP="00883627">
      <w:pPr>
        <w:pStyle w:val="Heading3"/>
      </w:pPr>
      <w:bookmarkStart w:id="6" w:name="_Toc120889070"/>
      <w:bookmarkStart w:id="7" w:name="_Toc152849593"/>
      <w:r w:rsidRPr="008C08A9">
        <w:t>Examples of devices being reclassified to Class III</w:t>
      </w:r>
      <w:bookmarkEnd w:id="6"/>
      <w:bookmarkEnd w:id="7"/>
    </w:p>
    <w:p w14:paraId="07C4451A" w14:textId="77777777" w:rsidR="008C08A9" w:rsidRPr="00A23D34" w:rsidRDefault="008C08A9" w:rsidP="00883627">
      <w:r w:rsidRPr="00A23D34">
        <w:t>Devices that articulate and preserve the motion of the spine will be reclassified to Class III.</w:t>
      </w:r>
    </w:p>
    <w:p w14:paraId="0F9BAC79" w14:textId="77777777" w:rsidR="008C08A9" w:rsidRPr="00A23D34" w:rsidRDefault="008C08A9" w:rsidP="00883627">
      <w:r w:rsidRPr="00A23D34">
        <w:t>Ancillary devices, such as screws, plates, hooks and rods intended for use during spinal fusion procedures, and in procedures preserving mobility, remain Class IIb, as long as they are not explicitly used in preserving the motion of the spine.</w:t>
      </w:r>
    </w:p>
    <w:p w14:paraId="62345002" w14:textId="77777777" w:rsidR="008C08A9" w:rsidRPr="008C08A9" w:rsidRDefault="008C08A9" w:rsidP="00883627">
      <w:pPr>
        <w:pStyle w:val="Heading4"/>
      </w:pPr>
      <w:bookmarkStart w:id="8" w:name="_Toc120889071"/>
      <w:bookmarkStart w:id="9" w:name="_Toc152849594"/>
      <w:r w:rsidRPr="008C08A9">
        <w:t>Spinal disc replacement implants – not intended to fuse vertebral bodies</w:t>
      </w:r>
      <w:bookmarkEnd w:id="8"/>
      <w:bookmarkEnd w:id="9"/>
    </w:p>
    <w:p w14:paraId="0BEE4375" w14:textId="656B31A0" w:rsidR="008C08A9" w:rsidRPr="00A23D34" w:rsidRDefault="008C08A9" w:rsidP="00883627">
      <w:r w:rsidRPr="00A23D34">
        <w:t xml:space="preserve">Artificial disc replacements are examples of spinal implants used in non-fusion procedures. Total disc replacement is a surgical procedure in which a diseased or damaged intervertebral disc is replaced with an artificial disc </w:t>
      </w:r>
      <w:r w:rsidR="003B6FE6" w:rsidRPr="00A23D34">
        <w:t>to</w:t>
      </w:r>
      <w:r w:rsidRPr="00A23D34">
        <w:t xml:space="preserve"> restore the normal function and movement of the spine.</w:t>
      </w:r>
    </w:p>
    <w:p w14:paraId="4E9E941A" w14:textId="77777777" w:rsidR="008C08A9" w:rsidRPr="008C08A9" w:rsidRDefault="008C08A9" w:rsidP="00883627">
      <w:r w:rsidRPr="008C08A9">
        <w:rPr>
          <w:noProof/>
          <w:lang w:eastAsia="en-AU"/>
        </w:rPr>
        <w:drawing>
          <wp:inline distT="0" distB="0" distL="0" distR="0" wp14:anchorId="732DE152" wp14:editId="422A0139">
            <wp:extent cx="1650670" cy="1650670"/>
            <wp:effectExtent l="0" t="0" r="6985" b="6985"/>
            <wp:docPr id="23" name="Picture 23" descr="C:\Users\barsus\AppData\Local\Microsoft\Windows\INetCache\Content.MSO\6ECE22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sus\AppData\Local\Microsoft\Windows\INetCache\Content.MSO\6ECE222C.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3857" cy="1653857"/>
                    </a:xfrm>
                    <a:prstGeom prst="rect">
                      <a:avLst/>
                    </a:prstGeom>
                    <a:noFill/>
                    <a:ln>
                      <a:noFill/>
                    </a:ln>
                  </pic:spPr>
                </pic:pic>
              </a:graphicData>
            </a:graphic>
          </wp:inline>
        </w:drawing>
      </w:r>
    </w:p>
    <w:p w14:paraId="34A496EB" w14:textId="77777777" w:rsidR="008C08A9" w:rsidRPr="008C08A9" w:rsidRDefault="008C08A9" w:rsidP="00883627">
      <w:r w:rsidRPr="008C08A9">
        <w:t>Image: https://commons.wikimedia.org/wiki/File:Vertebre-IMG_0032.jpg</w:t>
      </w:r>
    </w:p>
    <w:p w14:paraId="293E774F" w14:textId="77777777" w:rsidR="008C08A9" w:rsidRPr="008C08A9" w:rsidRDefault="008C08A9" w:rsidP="00883627">
      <w:pPr>
        <w:pStyle w:val="Heading4"/>
      </w:pPr>
      <w:bookmarkStart w:id="10" w:name="_Toc120889072"/>
      <w:bookmarkStart w:id="11" w:name="_Toc152849595"/>
      <w:r w:rsidRPr="008C08A9">
        <w:t>Anatomic facet replacement system (AFRS)</w:t>
      </w:r>
      <w:bookmarkEnd w:id="10"/>
      <w:bookmarkEnd w:id="11"/>
    </w:p>
    <w:p w14:paraId="5C73E58B" w14:textId="77777777" w:rsidR="008C08A9" w:rsidRPr="00A23D34" w:rsidRDefault="008C08A9" w:rsidP="00883627">
      <w:r w:rsidRPr="00A23D34">
        <w:t>A technology that helps to restore normal spinal motion at the involved levels. The AFRS consists of a precision instrumentation set and an anatomic facet implant family whose design is based upon a comprehensive computed tomographic morphology study of the facet joint. The system utilises traditional pedicle screw fixation of its superior and inferior facet implants.</w:t>
      </w:r>
    </w:p>
    <w:p w14:paraId="6539E926" w14:textId="77777777" w:rsidR="008C08A9" w:rsidRPr="008C08A9" w:rsidRDefault="008C08A9" w:rsidP="00883627">
      <w:r w:rsidRPr="008C08A9">
        <w:rPr>
          <w:noProof/>
          <w:lang w:eastAsia="en-AU"/>
        </w:rPr>
        <w:drawing>
          <wp:inline distT="0" distB="0" distL="0" distR="0" wp14:anchorId="607DBA0D" wp14:editId="52577677">
            <wp:extent cx="1484415" cy="1418759"/>
            <wp:effectExtent l="0" t="0" r="1905" b="0"/>
            <wp:docPr id="24" name="Picture 24" descr="Facet Joint Replacement for the Treatment of Degenerative Disorders of the  Spine | Musculoskeletal Key">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t Joint Replacement for the Treatment of Degenerative Disorders of the  Spine | Musculoskeletal Key">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6351" cy="1430167"/>
                    </a:xfrm>
                    <a:prstGeom prst="rect">
                      <a:avLst/>
                    </a:prstGeom>
                    <a:noFill/>
                    <a:ln>
                      <a:noFill/>
                    </a:ln>
                  </pic:spPr>
                </pic:pic>
              </a:graphicData>
            </a:graphic>
          </wp:inline>
        </w:drawing>
      </w:r>
    </w:p>
    <w:p w14:paraId="79B246F8" w14:textId="77777777" w:rsidR="008C08A9" w:rsidRPr="008C08A9" w:rsidRDefault="008C08A9" w:rsidP="00883627">
      <w:pPr>
        <w:pStyle w:val="Heading4"/>
      </w:pPr>
      <w:bookmarkStart w:id="12" w:name="_Toc120889073"/>
      <w:bookmarkStart w:id="13" w:name="_Toc152849596"/>
      <w:r w:rsidRPr="008C08A9">
        <w:lastRenderedPageBreak/>
        <w:t>Interspinous process spacer</w:t>
      </w:r>
      <w:bookmarkEnd w:id="12"/>
      <w:bookmarkEnd w:id="13"/>
    </w:p>
    <w:p w14:paraId="47599513" w14:textId="77777777" w:rsidR="008C08A9" w:rsidRPr="00A23D34" w:rsidRDefault="008C08A9" w:rsidP="00883627">
      <w:r w:rsidRPr="00A23D34">
        <w:t>The device aims to stabilize the motion segments by preserving natural mobility.</w:t>
      </w:r>
      <w:r w:rsidRPr="00A23D34">
        <w:rPr>
          <w:lang w:eastAsia="en-AU"/>
        </w:rPr>
        <w:t xml:space="preserve"> </w:t>
      </w:r>
      <w:r w:rsidRPr="00A23D34">
        <w:t>The implant is comprised of a spacer designed to be implanted between two lumbar spinous processes.</w:t>
      </w:r>
    </w:p>
    <w:p w14:paraId="52B8D2D7" w14:textId="77777777" w:rsidR="008C08A9" w:rsidRPr="008C08A9" w:rsidRDefault="008C08A9" w:rsidP="00883627">
      <w:r w:rsidRPr="008C08A9">
        <w:rPr>
          <w:noProof/>
          <w:lang w:eastAsia="en-AU"/>
        </w:rPr>
        <w:drawing>
          <wp:inline distT="0" distB="0" distL="0" distR="0" wp14:anchorId="006882BC" wp14:editId="446C0F0F">
            <wp:extent cx="1318161" cy="1318161"/>
            <wp:effectExtent l="0" t="0" r="0" b="0"/>
            <wp:docPr id="25" name="Picture 25" descr="Interspinous Process Space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spinous Process Spacer">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363" cy="1325363"/>
                    </a:xfrm>
                    <a:prstGeom prst="rect">
                      <a:avLst/>
                    </a:prstGeom>
                    <a:noFill/>
                    <a:ln>
                      <a:noFill/>
                    </a:ln>
                  </pic:spPr>
                </pic:pic>
              </a:graphicData>
            </a:graphic>
          </wp:inline>
        </w:drawing>
      </w:r>
    </w:p>
    <w:p w14:paraId="177D7340" w14:textId="77777777" w:rsidR="008C08A9" w:rsidRPr="008C08A9" w:rsidRDefault="008C08A9" w:rsidP="00883627">
      <w:pPr>
        <w:pStyle w:val="Heading3"/>
        <w:rPr>
          <w:lang w:eastAsia="en-AU"/>
        </w:rPr>
      </w:pPr>
      <w:bookmarkStart w:id="14" w:name="_Toc120889074"/>
      <w:bookmarkStart w:id="15" w:name="_Toc152849597"/>
      <w:r w:rsidRPr="008C08A9">
        <w:rPr>
          <w:lang w:eastAsia="en-AU"/>
        </w:rPr>
        <w:t xml:space="preserve">Spinal </w:t>
      </w:r>
      <w:r w:rsidRPr="008C08A9">
        <w:t>implantable</w:t>
      </w:r>
      <w:r w:rsidRPr="008C08A9">
        <w:rPr>
          <w:lang w:eastAsia="en-AU"/>
        </w:rPr>
        <w:t xml:space="preserve"> devices will remain Class IIb</w:t>
      </w:r>
      <w:bookmarkEnd w:id="14"/>
      <w:bookmarkEnd w:id="15"/>
    </w:p>
    <w:p w14:paraId="42BB1C5E" w14:textId="227F91F8" w:rsidR="008C08A9" w:rsidRPr="00A23D34" w:rsidRDefault="008C08A9" w:rsidP="00883627">
      <w:pPr>
        <w:rPr>
          <w:lang w:eastAsia="en-AU"/>
        </w:rPr>
      </w:pPr>
      <w:r w:rsidRPr="00A23D34">
        <w:rPr>
          <w:lang w:eastAsia="en-AU"/>
        </w:rPr>
        <w:t xml:space="preserve">Spinal implantable devices, such as screws, cages, plates, </w:t>
      </w:r>
      <w:r w:rsidR="003B6FE6" w:rsidRPr="00A23D34">
        <w:rPr>
          <w:lang w:eastAsia="en-AU"/>
        </w:rPr>
        <w:t>hooks,</w:t>
      </w:r>
      <w:r w:rsidRPr="00A23D34">
        <w:rPr>
          <w:lang w:eastAsia="en-AU"/>
        </w:rPr>
        <w:t xml:space="preserve"> or rods that are not intended to be used as a motion-preserving device will remain classified as Class IIb.</w:t>
      </w:r>
    </w:p>
    <w:p w14:paraId="1F3C0BE1" w14:textId="77777777" w:rsidR="008C08A9" w:rsidRPr="00A23D34" w:rsidRDefault="008C08A9" w:rsidP="00883627">
      <w:r w:rsidRPr="00A23D34">
        <w:t>Devices that will remain Class IIb will be subject to mandatory audit.</w:t>
      </w:r>
    </w:p>
    <w:p w14:paraId="5DA08663" w14:textId="77777777" w:rsidR="008C08A9" w:rsidRPr="008C08A9" w:rsidRDefault="008C08A9" w:rsidP="00883627">
      <w:pPr>
        <w:pStyle w:val="Heading4"/>
      </w:pPr>
      <w:bookmarkStart w:id="16" w:name="_Toc120889075"/>
      <w:bookmarkStart w:id="17" w:name="_Toc152849598"/>
      <w:r w:rsidRPr="008C08A9">
        <w:t>Examples of spinal implantable devices</w:t>
      </w:r>
      <w:bookmarkEnd w:id="16"/>
      <w:bookmarkEnd w:id="17"/>
    </w:p>
    <w:p w14:paraId="72506106" w14:textId="77777777" w:rsidR="008C08A9" w:rsidRPr="00A23D34" w:rsidRDefault="008C08A9" w:rsidP="00883627">
      <w:r w:rsidRPr="00A23D34">
        <w:t>Spinal implantable devices include:</w:t>
      </w:r>
    </w:p>
    <w:p w14:paraId="10A713F3" w14:textId="77777777" w:rsidR="008C08A9" w:rsidRPr="001E05F3" w:rsidRDefault="008C08A9" w:rsidP="001E05F3">
      <w:pPr>
        <w:pStyle w:val="ListBullet"/>
      </w:pPr>
      <w:r w:rsidRPr="001E05F3">
        <w:t>screws</w:t>
      </w:r>
    </w:p>
    <w:p w14:paraId="74B512FD" w14:textId="77777777" w:rsidR="008C08A9" w:rsidRPr="001E05F3" w:rsidRDefault="008C08A9" w:rsidP="001E05F3">
      <w:pPr>
        <w:pStyle w:val="ListBullet"/>
      </w:pPr>
      <w:r w:rsidRPr="001E05F3">
        <w:t xml:space="preserve">cages (static and expandable) </w:t>
      </w:r>
    </w:p>
    <w:p w14:paraId="61A65936" w14:textId="77777777" w:rsidR="008C08A9" w:rsidRPr="001E05F3" w:rsidRDefault="008C08A9" w:rsidP="001E05F3">
      <w:pPr>
        <w:pStyle w:val="ListBullet"/>
      </w:pPr>
      <w:r w:rsidRPr="001E05F3">
        <w:t>plates</w:t>
      </w:r>
    </w:p>
    <w:p w14:paraId="45B95CA3" w14:textId="77777777" w:rsidR="008C08A9" w:rsidRPr="001E05F3" w:rsidRDefault="008C08A9" w:rsidP="001E05F3">
      <w:pPr>
        <w:pStyle w:val="ListBullet"/>
      </w:pPr>
      <w:r w:rsidRPr="001E05F3">
        <w:t>hooks</w:t>
      </w:r>
    </w:p>
    <w:p w14:paraId="7323A1E4" w14:textId="77777777" w:rsidR="008C08A9" w:rsidRPr="001E05F3" w:rsidRDefault="008C08A9" w:rsidP="001E05F3">
      <w:pPr>
        <w:pStyle w:val="ListBullet"/>
      </w:pPr>
      <w:r w:rsidRPr="001E05F3">
        <w:t>rods</w:t>
      </w:r>
    </w:p>
    <w:p w14:paraId="3906AF60" w14:textId="77777777" w:rsidR="008C08A9" w:rsidRPr="001E05F3" w:rsidRDefault="008C08A9" w:rsidP="001E05F3">
      <w:pPr>
        <w:pStyle w:val="ListBullet"/>
      </w:pPr>
      <w:r w:rsidRPr="001E05F3">
        <w:t>bone graft/orthopaedic cement*</w:t>
      </w:r>
    </w:p>
    <w:p w14:paraId="5082BFFA" w14:textId="77777777" w:rsidR="008C08A9" w:rsidRPr="00A23D34" w:rsidRDefault="008C08A9" w:rsidP="001E05F3">
      <w:pPr>
        <w:pStyle w:val="ListBullet"/>
      </w:pPr>
      <w:r w:rsidRPr="001E05F3">
        <w:t>cables/wires</w:t>
      </w:r>
      <w:r w:rsidRPr="00A23D34">
        <w:t>.</w:t>
      </w:r>
    </w:p>
    <w:p w14:paraId="430BCC50" w14:textId="1FAE7345" w:rsidR="008C08A9" w:rsidRPr="00A23D34" w:rsidRDefault="008C08A9" w:rsidP="00883627">
      <w:r w:rsidRPr="00A23D34">
        <w:t>*Some bone graft/orthopaedic cement may be Class III, depending on where it is intended to be used and what materials it contains (</w:t>
      </w:r>
      <w:r w:rsidR="006F6423" w:rsidRPr="00A23D34">
        <w:rPr>
          <w:i/>
          <w:iCs/>
        </w:rPr>
        <w:t>e.g</w:t>
      </w:r>
      <w:r w:rsidR="006F6423" w:rsidRPr="00A23D34">
        <w:t>.</w:t>
      </w:r>
      <w:r w:rsidRPr="00A23D34">
        <w:t>, medicine/material of animal or microbial origin).</w:t>
      </w:r>
    </w:p>
    <w:p w14:paraId="36A9E185" w14:textId="77777777" w:rsidR="008C08A9" w:rsidRPr="008C08A9" w:rsidRDefault="008C08A9" w:rsidP="00883627">
      <w:pPr>
        <w:pStyle w:val="Heading2"/>
      </w:pPr>
      <w:bookmarkStart w:id="18" w:name="_Sponsors_with_a"/>
      <w:bookmarkStart w:id="19" w:name="_Sponsors_with_a_1"/>
      <w:bookmarkStart w:id="20" w:name="_Sponsors_intending_to"/>
      <w:bookmarkStart w:id="21" w:name="_Notifying_the_TGA"/>
      <w:bookmarkStart w:id="22" w:name="_Toc53585800"/>
      <w:bookmarkStart w:id="23" w:name="_Toc120889076"/>
      <w:bookmarkStart w:id="24" w:name="_Toc152849599"/>
      <w:bookmarkStart w:id="25" w:name="_Toc36201145"/>
      <w:bookmarkEnd w:id="18"/>
      <w:bookmarkEnd w:id="19"/>
      <w:bookmarkEnd w:id="20"/>
      <w:bookmarkEnd w:id="21"/>
      <w:r w:rsidRPr="008C08A9">
        <w:t>What you need to do</w:t>
      </w:r>
      <w:bookmarkEnd w:id="22"/>
      <w:bookmarkEnd w:id="23"/>
      <w:bookmarkEnd w:id="24"/>
    </w:p>
    <w:p w14:paraId="2E3D7798" w14:textId="77777777" w:rsidR="008C08A9" w:rsidRPr="00A23D34" w:rsidRDefault="008C08A9" w:rsidP="00883627">
      <w:bookmarkStart w:id="26" w:name="_Hlk155780459"/>
      <w:r w:rsidRPr="00A23D34">
        <w:t>If you are a sponsor of a spinal implantable medical device, the action you will need to take to comply with the new regulations will depend on the status of your product.</w:t>
      </w:r>
    </w:p>
    <w:p w14:paraId="0721D89D" w14:textId="77777777" w:rsidR="008C08A9" w:rsidRPr="00A23D34" w:rsidRDefault="008C08A9" w:rsidP="001E05F3">
      <w:pPr>
        <w:pStyle w:val="ListBullet"/>
        <w:rPr>
          <w:rStyle w:val="Hyperlink"/>
        </w:rPr>
      </w:pPr>
      <w:r w:rsidRPr="00A23D34">
        <w:fldChar w:fldCharType="begin"/>
      </w:r>
      <w:r w:rsidRPr="00A23D34">
        <w:instrText>HYPERLINK  \l "_Medical_devices_included"</w:instrText>
      </w:r>
      <w:r w:rsidRPr="00A23D34">
        <w:fldChar w:fldCharType="separate"/>
      </w:r>
      <w:r w:rsidRPr="00A23D34">
        <w:rPr>
          <w:rStyle w:val="Hyperlink"/>
        </w:rPr>
        <w:t>Medical devices included in the ARTG prior to 25 November 2021</w:t>
      </w:r>
    </w:p>
    <w:p w14:paraId="387FC312" w14:textId="77777777" w:rsidR="008C08A9" w:rsidRPr="00A23D34" w:rsidRDefault="008C08A9" w:rsidP="001E05F3">
      <w:pPr>
        <w:pStyle w:val="ListBullet"/>
        <w:rPr>
          <w:rStyle w:val="Hyperlink"/>
        </w:rPr>
      </w:pPr>
      <w:r w:rsidRPr="00A23D34">
        <w:fldChar w:fldCharType="end"/>
      </w:r>
      <w:r w:rsidRPr="00A23D34">
        <w:fldChar w:fldCharType="begin"/>
      </w:r>
      <w:r w:rsidRPr="00A23D34">
        <w:instrText xml:space="preserve"> HYPERLINK  \l "_Sponsors_with_a_1" </w:instrText>
      </w:r>
      <w:r w:rsidRPr="00A23D34">
        <w:fldChar w:fldCharType="separate"/>
      </w:r>
      <w:r w:rsidRPr="00A23D34">
        <w:rPr>
          <w:rStyle w:val="Hyperlink"/>
        </w:rPr>
        <w:t>Applications to include a medical device in the ARTG lodged before 25 November 2021</w:t>
      </w:r>
    </w:p>
    <w:p w14:paraId="186B60AF" w14:textId="77777777" w:rsidR="008C08A9" w:rsidRPr="00572A01" w:rsidRDefault="008C08A9" w:rsidP="001E05F3">
      <w:pPr>
        <w:pStyle w:val="ListBullet"/>
        <w:rPr>
          <w:rStyle w:val="Hyperlink"/>
          <w:rFonts w:asciiTheme="minorHAnsi" w:hAnsiTheme="minorHAnsi" w:cstheme="majorHAnsi"/>
        </w:rPr>
      </w:pPr>
      <w:r w:rsidRPr="00A23D34">
        <w:fldChar w:fldCharType="end"/>
      </w:r>
      <w:bookmarkEnd w:id="26"/>
      <w:r w:rsidRPr="00572A01">
        <w:rPr>
          <w:sz w:val="22"/>
        </w:rPr>
        <w:fldChar w:fldCharType="begin"/>
      </w:r>
      <w:r w:rsidRPr="00572A01">
        <w:instrText xml:space="preserve"> HYPERLINK  \l "_Sponsors_intending_to" </w:instrText>
      </w:r>
      <w:r w:rsidRPr="00572A01">
        <w:rPr>
          <w:sz w:val="22"/>
        </w:rPr>
      </w:r>
      <w:r w:rsidRPr="00572A01">
        <w:rPr>
          <w:sz w:val="22"/>
        </w:rPr>
        <w:fldChar w:fldCharType="separate"/>
      </w:r>
      <w:bookmarkStart w:id="27" w:name="_Hlk155780495"/>
      <w:r w:rsidRPr="00572A01">
        <w:rPr>
          <w:rStyle w:val="Hyperlink"/>
          <w:rFonts w:asciiTheme="minorHAnsi" w:hAnsiTheme="minorHAnsi" w:cstheme="majorHAnsi"/>
        </w:rPr>
        <w:t>Applications to include a new medical device in the ARTG on or after 25 November 2021</w:t>
      </w:r>
      <w:bookmarkEnd w:id="27"/>
    </w:p>
    <w:bookmarkStart w:id="28" w:name="_Medical_devices_included"/>
    <w:bookmarkEnd w:id="28"/>
    <w:p w14:paraId="6A68D690" w14:textId="77777777" w:rsidR="008C08A9" w:rsidRPr="008C08A9" w:rsidRDefault="008C08A9" w:rsidP="001E05F3">
      <w:pPr>
        <w:pStyle w:val="Heading3"/>
      </w:pPr>
      <w:r w:rsidRPr="00572A01">
        <w:rPr>
          <w:rFonts w:asciiTheme="minorHAnsi" w:eastAsia="Cambria" w:hAnsiTheme="minorHAnsi"/>
        </w:rPr>
        <w:lastRenderedPageBreak/>
        <w:fldChar w:fldCharType="end"/>
      </w:r>
      <w:bookmarkStart w:id="29" w:name="_Toc53585801"/>
      <w:bookmarkStart w:id="30" w:name="_Toc120889077"/>
      <w:bookmarkStart w:id="31" w:name="_Toc152849600"/>
      <w:r w:rsidRPr="008C08A9">
        <w:t>Medical devices included in the ARTG prior to 25 November 2021</w:t>
      </w:r>
      <w:bookmarkEnd w:id="29"/>
      <w:bookmarkEnd w:id="30"/>
      <w:bookmarkEnd w:id="31"/>
    </w:p>
    <w:p w14:paraId="52FC4CF8" w14:textId="77777777" w:rsidR="008C08A9" w:rsidRPr="00A23D34" w:rsidRDefault="008C08A9" w:rsidP="00883627">
      <w:r w:rsidRPr="00A23D34">
        <w:t>If you have a Class IIb medical device inclusion in the ARTG with a start date before 25 November 2021, transitional arrangements are in place to ensure that you can continue to supply your device while you apply for it to be included in the ARTG as a Class III medical device.</w:t>
      </w:r>
    </w:p>
    <w:p w14:paraId="3421AD32" w14:textId="77777777" w:rsidR="008C08A9" w:rsidRPr="00A23D34" w:rsidRDefault="008C08A9" w:rsidP="00883627">
      <w:r w:rsidRPr="00A23D34">
        <w:t>To continue to supply your device you must:</w:t>
      </w:r>
    </w:p>
    <w:p w14:paraId="0AFE2E9C" w14:textId="77777777" w:rsidR="008C08A9" w:rsidRPr="00995F42" w:rsidRDefault="00995F42" w:rsidP="00995F42">
      <w:pPr>
        <w:pStyle w:val="ListBullet"/>
      </w:pPr>
      <w:hyperlink w:anchor="_Notifying_the_TGA" w:history="1">
        <w:r w:rsidR="008C08A9" w:rsidRPr="00995F42">
          <w:rPr>
            <w:rStyle w:val="Hyperlink"/>
            <w:color w:val="333F48"/>
            <w:u w:val="none"/>
          </w:rPr>
          <w:t>Notify the TGA</w:t>
        </w:r>
      </w:hyperlink>
      <w:r w:rsidR="008C08A9" w:rsidRPr="00995F42">
        <w:t xml:space="preserve"> before 25 May 2022 that you have an inclusion that will need to be reclassified </w:t>
      </w:r>
    </w:p>
    <w:p w14:paraId="544EC92C" w14:textId="2C85A1B7" w:rsidR="008C08A9" w:rsidRPr="00A23D34" w:rsidRDefault="00995F42" w:rsidP="00995F42">
      <w:pPr>
        <w:pStyle w:val="ListBullet"/>
      </w:pPr>
      <w:hyperlink w:anchor="_Reclassifying_an_ARTG" w:history="1">
        <w:r w:rsidR="008C08A9" w:rsidRPr="00995F42">
          <w:rPr>
            <w:rStyle w:val="Hyperlink"/>
            <w:color w:val="333F48"/>
            <w:u w:val="none"/>
          </w:rPr>
          <w:t>Submit a</w:t>
        </w:r>
        <w:r w:rsidR="009D0790" w:rsidRPr="00995F42">
          <w:rPr>
            <w:rStyle w:val="Hyperlink"/>
            <w:color w:val="333F48"/>
            <w:u w:val="none"/>
          </w:rPr>
          <w:t xml:space="preserve"> reclass</w:t>
        </w:r>
        <w:r w:rsidR="008C08A9" w:rsidRPr="00995F42">
          <w:rPr>
            <w:rStyle w:val="Hyperlink"/>
            <w:color w:val="333F48"/>
            <w:u w:val="none"/>
          </w:rPr>
          <w:t xml:space="preserve"> application</w:t>
        </w:r>
      </w:hyperlink>
      <w:r w:rsidR="008C08A9" w:rsidRPr="00995F42">
        <w:t xml:space="preserve"> for your device to be included in the ARTG as a Class III medical device before </w:t>
      </w:r>
      <w:hyperlink w:anchor="_Timeframes_for_ARTG" w:history="1">
        <w:r w:rsidR="002F3CEA" w:rsidRPr="00995F42">
          <w:rPr>
            <w:rStyle w:val="Hyperlink"/>
            <w:color w:val="333F48"/>
            <w:u w:val="none"/>
          </w:rPr>
          <w:t>the transition deadline</w:t>
        </w:r>
      </w:hyperlink>
      <w:r w:rsidR="008C08A9" w:rsidRPr="00995F42">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C08A9" w:rsidRPr="00A23D34" w14:paraId="25639C67" w14:textId="77777777" w:rsidTr="00570E98">
        <w:tc>
          <w:tcPr>
            <w:tcW w:w="1276" w:type="dxa"/>
            <w:vAlign w:val="center"/>
          </w:tcPr>
          <w:p w14:paraId="6D888728" w14:textId="77777777" w:rsidR="008C08A9" w:rsidRPr="00A23D34" w:rsidRDefault="008C08A9" w:rsidP="00883627">
            <w:r w:rsidRPr="00A23D34">
              <w:rPr>
                <w:noProof/>
                <w:lang w:eastAsia="en-AU"/>
              </w:rPr>
              <w:drawing>
                <wp:inline distT="0" distB="0" distL="0" distR="0" wp14:anchorId="008A851A" wp14:editId="5D20DF5B">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416CBB5" w14:textId="77777777" w:rsidR="008C08A9" w:rsidRPr="00A23D34" w:rsidRDefault="008C08A9" w:rsidP="00883627">
            <w:r w:rsidRPr="00A23D34">
              <w:t xml:space="preserve">If you do not intend to continue supplying the device, you should </w:t>
            </w:r>
            <w:hyperlink r:id="rId22" w:history="1">
              <w:r w:rsidRPr="00A23D34">
                <w:rPr>
                  <w:rStyle w:val="Hyperlink"/>
                </w:rPr>
                <w:t>cancel your ARTG inclusion</w:t>
              </w:r>
            </w:hyperlink>
            <w:r w:rsidRPr="00A23D34">
              <w:t xml:space="preserve"> </w:t>
            </w:r>
            <w:r w:rsidRPr="00A23D34">
              <w:rPr>
                <w:b/>
              </w:rPr>
              <w:t>before 25 May 2022</w:t>
            </w:r>
            <w:r w:rsidRPr="00A23D34">
              <w:t>.</w:t>
            </w:r>
          </w:p>
          <w:p w14:paraId="3991B1ED" w14:textId="16B0C03E" w:rsidR="008C08A9" w:rsidRPr="00A23D34" w:rsidRDefault="008C08A9" w:rsidP="00883627">
            <w:r w:rsidRPr="00A23D34">
              <w:t xml:space="preserve">If you </w:t>
            </w:r>
            <w:r w:rsidRPr="00A23D34">
              <w:rPr>
                <w:b/>
              </w:rPr>
              <w:t>notify</w:t>
            </w:r>
            <w:r w:rsidRPr="00A23D34">
              <w:t xml:space="preserve"> the TGA of your devices </w:t>
            </w:r>
            <w:r w:rsidRPr="00A23D34">
              <w:rPr>
                <w:b/>
              </w:rPr>
              <w:t>before 25 May 2022</w:t>
            </w:r>
            <w:r w:rsidRPr="00A23D34">
              <w:t xml:space="preserve"> but you do not </w:t>
            </w:r>
            <w:r w:rsidRPr="00A23D34">
              <w:rPr>
                <w:b/>
              </w:rPr>
              <w:t>submit an application</w:t>
            </w:r>
            <w:r w:rsidRPr="00A23D34">
              <w:t xml:space="preserve"> for a Class III inclusion </w:t>
            </w:r>
            <w:r w:rsidRPr="00A23D34">
              <w:rPr>
                <w:b/>
              </w:rPr>
              <w:t xml:space="preserve">before </w:t>
            </w:r>
            <w:hyperlink w:anchor="_Timeframes_for_ARTG" w:history="1">
              <w:r w:rsidR="002F3CEA" w:rsidRPr="00A23D34">
                <w:rPr>
                  <w:rStyle w:val="Hyperlink"/>
                  <w:b/>
                </w:rPr>
                <w:t>the transition deadline</w:t>
              </w:r>
            </w:hyperlink>
            <w:r w:rsidRPr="00A23D34">
              <w:t xml:space="preserve">, you must cease supplying your device from </w:t>
            </w:r>
            <w:r w:rsidR="002F3CEA" w:rsidRPr="00A23D34">
              <w:t xml:space="preserve">the day of the transition deadline </w:t>
            </w:r>
            <w:r w:rsidRPr="00A23D34">
              <w:t>and cancel your inclusion.</w:t>
            </w:r>
          </w:p>
        </w:tc>
      </w:tr>
    </w:tbl>
    <w:p w14:paraId="7973E3F2" w14:textId="77777777" w:rsidR="008C08A9" w:rsidRPr="008C08A9" w:rsidRDefault="008C08A9" w:rsidP="00883627">
      <w:pPr>
        <w:pStyle w:val="Heading3"/>
      </w:pPr>
      <w:bookmarkStart w:id="32" w:name="_Toc53585802"/>
      <w:bookmarkStart w:id="33" w:name="_Toc120889078"/>
      <w:bookmarkStart w:id="34" w:name="_Toc152849601"/>
      <w:r w:rsidRPr="008C08A9">
        <w:t>Applications to include a medical device in the ARTG lodged before 25 November 2021</w:t>
      </w:r>
      <w:bookmarkEnd w:id="32"/>
      <w:bookmarkEnd w:id="33"/>
      <w:bookmarkEnd w:id="34"/>
    </w:p>
    <w:p w14:paraId="6DFCB485" w14:textId="38589FAA" w:rsidR="008C08A9" w:rsidRPr="00A23D34" w:rsidRDefault="008C08A9" w:rsidP="00883627">
      <w:r w:rsidRPr="00A23D34">
        <w:t xml:space="preserve">If you have submitted an </w:t>
      </w:r>
      <w:hyperlink r:id="rId23" w:history="1">
        <w:r w:rsidRPr="00A23D34">
          <w:rPr>
            <w:rStyle w:val="Hyperlink"/>
          </w:rPr>
          <w:t>application for inclusion</w:t>
        </w:r>
      </w:hyperlink>
      <w:r w:rsidRPr="00A23D34">
        <w:t xml:space="preserve"> in the ARTG for a Class  IIb device before 25 November 2021, your application will be assessed and the device will be included in the ARTG as a Class IIb device under the old classification rules. </w:t>
      </w:r>
    </w:p>
    <w:p w14:paraId="12A64B07" w14:textId="77777777" w:rsidR="008C08A9" w:rsidRPr="00A23D34" w:rsidRDefault="008C08A9" w:rsidP="00883627">
      <w:r w:rsidRPr="00A23D34">
        <w:t>To be eligible for the transitional arrangements to reclassify your device as a Class III device, you must:</w:t>
      </w:r>
    </w:p>
    <w:p w14:paraId="10991700" w14:textId="1649BFD1" w:rsidR="008C08A9" w:rsidRPr="00A23D34" w:rsidRDefault="00995F42" w:rsidP="00995F42">
      <w:pPr>
        <w:pStyle w:val="ListBullet"/>
      </w:pPr>
      <w:hyperlink w:anchor="_Notifying_the_TGA_1" w:history="1">
        <w:r w:rsidR="008C08A9" w:rsidRPr="00A23D34">
          <w:rPr>
            <w:rStyle w:val="Hyperlink"/>
          </w:rPr>
          <w:t>Notify the TGA</w:t>
        </w:r>
      </w:hyperlink>
      <w:r w:rsidR="008C08A9" w:rsidRPr="00A23D34">
        <w:t xml:space="preserve"> that you have an ARTG inclusion that will need to be reclassified by whichever is the later date:</w:t>
      </w:r>
    </w:p>
    <w:p w14:paraId="5C140B1A" w14:textId="77777777" w:rsidR="008C08A9" w:rsidRPr="00A23D34" w:rsidRDefault="008C08A9" w:rsidP="00995F42">
      <w:pPr>
        <w:pStyle w:val="ListBullet"/>
      </w:pPr>
      <w:r w:rsidRPr="00A23D34">
        <w:t>before 25 May 2022</w:t>
      </w:r>
    </w:p>
    <w:p w14:paraId="07FAD5D1" w14:textId="77777777" w:rsidR="008C08A9" w:rsidRPr="00A23D34" w:rsidRDefault="008C08A9" w:rsidP="00995F42">
      <w:pPr>
        <w:pStyle w:val="ListBullet"/>
      </w:pPr>
      <w:r w:rsidRPr="00A23D34">
        <w:t>within 2 months of the start date of your ARTG entry.</w:t>
      </w:r>
    </w:p>
    <w:p w14:paraId="3CE95F95" w14:textId="799227E7" w:rsidR="008C08A9" w:rsidRPr="00A23D34" w:rsidRDefault="00995F42" w:rsidP="00995F42">
      <w:pPr>
        <w:pStyle w:val="ListBullet"/>
      </w:pPr>
      <w:hyperlink w:anchor="_Reclassifying_an_ARTG" w:history="1">
        <w:r w:rsidR="008C08A9" w:rsidRPr="00A23D34">
          <w:rPr>
            <w:rStyle w:val="Hyperlink"/>
          </w:rPr>
          <w:t xml:space="preserve">Submit a </w:t>
        </w:r>
        <w:r w:rsidR="007875D5" w:rsidRPr="00A23D34">
          <w:rPr>
            <w:rStyle w:val="Hyperlink"/>
          </w:rPr>
          <w:t xml:space="preserve">reclass </w:t>
        </w:r>
        <w:r w:rsidR="008C08A9" w:rsidRPr="00A23D34">
          <w:rPr>
            <w:rStyle w:val="Hyperlink"/>
          </w:rPr>
          <w:t>application</w:t>
        </w:r>
      </w:hyperlink>
      <w:r w:rsidR="008C08A9" w:rsidRPr="00A23D34">
        <w:t xml:space="preserve"> for your device to be included in the ARTG as a Class III device </w:t>
      </w:r>
      <w:r w:rsidR="008C08A9" w:rsidRPr="00883627">
        <w:rPr>
          <w:b/>
        </w:rPr>
        <w:t>before</w:t>
      </w:r>
      <w:r w:rsidR="002F3CEA" w:rsidRPr="00883627">
        <w:rPr>
          <w:b/>
        </w:rPr>
        <w:t xml:space="preserve"> </w:t>
      </w:r>
      <w:hyperlink w:anchor="_Timeframes_for_ARTG" w:history="1">
        <w:r w:rsidR="002F3CEA" w:rsidRPr="00883627">
          <w:rPr>
            <w:rStyle w:val="Hyperlink"/>
            <w:b/>
          </w:rPr>
          <w:t>the transition deadline</w:t>
        </w:r>
      </w:hyperlink>
      <w:r w:rsidR="008C08A9" w:rsidRPr="00A23D34">
        <w:t>.</w:t>
      </w:r>
    </w:p>
    <w:p w14:paraId="6004BADB" w14:textId="77777777" w:rsidR="008C08A9" w:rsidRPr="00A23D34" w:rsidRDefault="008C08A9" w:rsidP="00883627">
      <w:pPr>
        <w:pStyle w:val="Heading4"/>
      </w:pPr>
      <w:bookmarkStart w:id="35" w:name="_Toc53585803"/>
      <w:bookmarkStart w:id="36" w:name="_Toc120889079"/>
      <w:bookmarkStart w:id="37" w:name="_Toc152849602"/>
      <w:r w:rsidRPr="00A23D34">
        <w:t>Cancelling your ARTG inclusion</w:t>
      </w:r>
      <w:bookmarkEnd w:id="35"/>
      <w:bookmarkEnd w:id="36"/>
      <w:bookmarkEnd w:id="37"/>
    </w:p>
    <w:p w14:paraId="30815AB2" w14:textId="77777777" w:rsidR="008C08A9" w:rsidRPr="00A23D34" w:rsidRDefault="008C08A9" w:rsidP="00883627">
      <w:r w:rsidRPr="00A23D34">
        <w:t xml:space="preserve">If you </w:t>
      </w:r>
      <w:r w:rsidRPr="00A23D34">
        <w:rPr>
          <w:b/>
        </w:rPr>
        <w:t>do not notify</w:t>
      </w:r>
      <w:r w:rsidRPr="00A23D34">
        <w:t xml:space="preserve"> the TGA before 25 May 2022 or within two months of the start date for your ARTG entry (whichever is the later date) of your intention to apply for the device to be included in the ARTG as a Class III device you will no longer be eligible for the transitional arrangements. You should:</w:t>
      </w:r>
    </w:p>
    <w:p w14:paraId="6D813128" w14:textId="77777777" w:rsidR="008C08A9" w:rsidRPr="00995F42" w:rsidRDefault="008C08A9" w:rsidP="00995F42">
      <w:pPr>
        <w:pStyle w:val="ListBullet"/>
      </w:pPr>
      <w:r w:rsidRPr="00995F42">
        <w:t>cease supply of your device from 25 May 2022</w:t>
      </w:r>
    </w:p>
    <w:p w14:paraId="1047CB36" w14:textId="57F77A9F" w:rsidR="008C08A9" w:rsidRPr="00995F42" w:rsidRDefault="00995F42" w:rsidP="00995F42">
      <w:pPr>
        <w:pStyle w:val="ListBullet"/>
      </w:pPr>
      <w:hyperlink r:id="rId24" w:history="1">
        <w:r w:rsidR="008C08A9" w:rsidRPr="00995F42">
          <w:rPr>
            <w:rStyle w:val="Hyperlink"/>
            <w:color w:val="333F48"/>
            <w:u w:val="none"/>
          </w:rPr>
          <w:t>cancel your ARTG inclusion</w:t>
        </w:r>
      </w:hyperlink>
      <w:r w:rsidR="008C08A9" w:rsidRPr="00995F42">
        <w:t xml:space="preserve"> before 25 May 2022</w:t>
      </w:r>
      <w:r w:rsidR="006F6423" w:rsidRPr="00995F42">
        <w:t>.</w:t>
      </w:r>
    </w:p>
    <w:p w14:paraId="2D4B9DE0" w14:textId="78521155" w:rsidR="008C08A9" w:rsidRPr="00A23D34" w:rsidRDefault="008C08A9" w:rsidP="00883627">
      <w:r w:rsidRPr="00A23D34">
        <w:t xml:space="preserve">If you </w:t>
      </w:r>
      <w:r w:rsidRPr="00A23D34">
        <w:rPr>
          <w:b/>
        </w:rPr>
        <w:t>notify</w:t>
      </w:r>
      <w:r w:rsidRPr="00A23D34">
        <w:t xml:space="preserve"> the TGA of your device before the due date, but you </w:t>
      </w:r>
      <w:r w:rsidRPr="00A23D34">
        <w:rPr>
          <w:b/>
        </w:rPr>
        <w:t>do not</w:t>
      </w:r>
      <w:r w:rsidRPr="00A23D34">
        <w:t xml:space="preserve"> </w:t>
      </w:r>
      <w:r w:rsidRPr="00A23D34">
        <w:rPr>
          <w:b/>
        </w:rPr>
        <w:t>submit an application</w:t>
      </w:r>
      <w:r w:rsidRPr="00A23D34">
        <w:t xml:space="preserve"> for a Class III ARTG inclusion </w:t>
      </w:r>
      <w:r w:rsidRPr="00A23D34">
        <w:rPr>
          <w:b/>
        </w:rPr>
        <w:t>before</w:t>
      </w:r>
      <w:r w:rsidR="002F3CEA" w:rsidRPr="00A23D34">
        <w:rPr>
          <w:b/>
        </w:rPr>
        <w:t xml:space="preserve"> </w:t>
      </w:r>
      <w:hyperlink w:anchor="_Timeframes_for_ARTG" w:history="1">
        <w:r w:rsidR="002F3CEA" w:rsidRPr="00A23D34">
          <w:rPr>
            <w:rStyle w:val="Hyperlink"/>
            <w:b/>
          </w:rPr>
          <w:t>the transition deadline</w:t>
        </w:r>
      </w:hyperlink>
      <w:r w:rsidRPr="00A23D34">
        <w:t>, you must:</w:t>
      </w:r>
    </w:p>
    <w:p w14:paraId="48F46A40" w14:textId="12BB1615" w:rsidR="008C08A9" w:rsidRPr="00995F42" w:rsidRDefault="008C08A9" w:rsidP="00995F42">
      <w:pPr>
        <w:pStyle w:val="ListBullet"/>
      </w:pPr>
      <w:r w:rsidRPr="00995F42">
        <w:t xml:space="preserve">cease supply of your device from </w:t>
      </w:r>
      <w:r w:rsidR="002F3CEA" w:rsidRPr="00995F42">
        <w:t xml:space="preserve">the day of the transition deadline </w:t>
      </w:r>
    </w:p>
    <w:p w14:paraId="639CE4DA" w14:textId="77777777" w:rsidR="008C08A9" w:rsidRPr="00995F42" w:rsidRDefault="00995F42" w:rsidP="00995F42">
      <w:pPr>
        <w:pStyle w:val="ListBullet"/>
      </w:pPr>
      <w:hyperlink r:id="rId25" w:history="1">
        <w:r w:rsidR="008C08A9" w:rsidRPr="00995F42">
          <w:rPr>
            <w:rStyle w:val="Hyperlink"/>
            <w:color w:val="333F48"/>
            <w:u w:val="none"/>
          </w:rPr>
          <w:t>cancel your ARTG inclusion</w:t>
        </w:r>
      </w:hyperlink>
      <w:r w:rsidR="008C08A9" w:rsidRPr="00995F42">
        <w:t>.</w:t>
      </w:r>
    </w:p>
    <w:p w14:paraId="1504639A" w14:textId="77777777" w:rsidR="008C08A9" w:rsidRPr="008C08A9" w:rsidRDefault="008C08A9" w:rsidP="00883627">
      <w:pPr>
        <w:pStyle w:val="Heading4"/>
      </w:pPr>
      <w:bookmarkStart w:id="38" w:name="_Toc53585804"/>
      <w:bookmarkStart w:id="39" w:name="_Toc120889080"/>
      <w:bookmarkStart w:id="40" w:name="_Toc152849603"/>
      <w:r w:rsidRPr="008C08A9">
        <w:lastRenderedPageBreak/>
        <w:t>Applications to include a new medical device on or after 25 November 2021</w:t>
      </w:r>
      <w:bookmarkEnd w:id="38"/>
      <w:bookmarkEnd w:id="39"/>
      <w:bookmarkEnd w:id="40"/>
    </w:p>
    <w:p w14:paraId="646DCDB4" w14:textId="77777777" w:rsidR="008C08A9" w:rsidRPr="00A23D34" w:rsidRDefault="008C08A9" w:rsidP="00883627">
      <w:r w:rsidRPr="00A23D34">
        <w:t xml:space="preserve">Any application for inclusion of a new device </w:t>
      </w:r>
      <w:r w:rsidRPr="00A23D34">
        <w:rPr>
          <w:lang w:eastAsia="en-AU"/>
        </w:rPr>
        <w:t>intended to be a motion-preserving device for the spine</w:t>
      </w:r>
      <w:r w:rsidRPr="00A23D34">
        <w:t xml:space="preserve"> that is not yet included in the ARTG, submitted to the TGA </w:t>
      </w:r>
      <w:r w:rsidRPr="00A23D34">
        <w:rPr>
          <w:b/>
        </w:rPr>
        <w:t>on or after 25 November 2021</w:t>
      </w:r>
      <w:r w:rsidRPr="00A23D34">
        <w:t xml:space="preserve"> must be submitted as an application for a Class III medical device.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C08A9" w:rsidRPr="00A23D34" w14:paraId="2CEA3D13" w14:textId="77777777" w:rsidTr="00570E98">
        <w:trPr>
          <w:trHeight w:val="1221"/>
        </w:trPr>
        <w:tc>
          <w:tcPr>
            <w:tcW w:w="1276" w:type="dxa"/>
            <w:vAlign w:val="center"/>
          </w:tcPr>
          <w:p w14:paraId="63796C86" w14:textId="77777777" w:rsidR="008C08A9" w:rsidRPr="00A23D34" w:rsidRDefault="008C08A9" w:rsidP="00883627">
            <w:r w:rsidRPr="00A23D34">
              <w:rPr>
                <w:noProof/>
                <w:lang w:eastAsia="en-AU"/>
              </w:rPr>
              <w:drawing>
                <wp:inline distT="0" distB="0" distL="0" distR="0" wp14:anchorId="512586A4" wp14:editId="27AB2C0E">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4452D5E" w14:textId="0778F833" w:rsidR="008C08A9" w:rsidRPr="00A23D34" w:rsidRDefault="008C08A9" w:rsidP="00883627">
            <w:r w:rsidRPr="00A23D34">
              <w:t xml:space="preserve">You must use the Class III Device Application form in </w:t>
            </w:r>
            <w:hyperlink r:id="rId26" w:history="1">
              <w:r w:rsidRPr="00A23D34">
                <w:rPr>
                  <w:rStyle w:val="Hyperlink"/>
                </w:rPr>
                <w:t>TGA Business Services</w:t>
              </w:r>
            </w:hyperlink>
            <w:r w:rsidRPr="00A23D34">
              <w:t>. If you submit your application using any other form (</w:t>
            </w:r>
            <w:r w:rsidRPr="00A23D34">
              <w:rPr>
                <w:i/>
                <w:iCs/>
              </w:rPr>
              <w:t>e.g.</w:t>
            </w:r>
            <w:r w:rsidRPr="00A23D34">
              <w:t xml:space="preserve"> another classification form) your application will fail and your application fee will </w:t>
            </w:r>
            <w:hyperlink r:id="rId27" w:history="1">
              <w:r w:rsidRPr="00A23D34">
                <w:rPr>
                  <w:rStyle w:val="Hyperlink"/>
                </w:rPr>
                <w:t>not be refunded</w:t>
              </w:r>
            </w:hyperlink>
            <w:r w:rsidRPr="00A23D34">
              <w:t xml:space="preserve"> to you.</w:t>
            </w:r>
          </w:p>
        </w:tc>
      </w:tr>
    </w:tbl>
    <w:p w14:paraId="3135D825" w14:textId="6DA863F7" w:rsidR="008C08A9" w:rsidRPr="00A23D34" w:rsidRDefault="008C08A9" w:rsidP="00883627">
      <w:bookmarkStart w:id="41" w:name="_Toc53585805"/>
      <w:r w:rsidRPr="00A23D34">
        <w:t xml:space="preserve">For more information refer to the </w:t>
      </w:r>
      <w:hyperlink r:id="rId28" w:history="1">
        <w:r w:rsidRPr="00A23D34">
          <w:rPr>
            <w:rStyle w:val="Hyperlink"/>
          </w:rPr>
          <w:t>Medical device inclusion process</w:t>
        </w:r>
      </w:hyperlink>
      <w:r w:rsidRPr="00A23D34">
        <w:t>.</w:t>
      </w:r>
    </w:p>
    <w:p w14:paraId="79B1DFE6" w14:textId="77777777" w:rsidR="008C08A9" w:rsidRPr="00A23D34" w:rsidRDefault="008C08A9" w:rsidP="00883627">
      <w:pPr>
        <w:pStyle w:val="Heading3"/>
      </w:pPr>
      <w:bookmarkStart w:id="42" w:name="_Notifying_the_TGA_1"/>
      <w:bookmarkStart w:id="43" w:name="_Toc120889081"/>
      <w:bookmarkStart w:id="44" w:name="_Toc152849604"/>
      <w:bookmarkEnd w:id="42"/>
      <w:r w:rsidRPr="00A23D34">
        <w:t>Notifying the TGA</w:t>
      </w:r>
      <w:bookmarkEnd w:id="41"/>
      <w:r w:rsidRPr="00A23D34">
        <w:t xml:space="preserve"> that you need to reclassify a device</w:t>
      </w:r>
      <w:bookmarkEnd w:id="43"/>
      <w:bookmarkEnd w:id="44"/>
    </w:p>
    <w:p w14:paraId="37E7804D" w14:textId="77777777" w:rsidR="008C08A9" w:rsidRPr="00A23D34" w:rsidRDefault="008C08A9" w:rsidP="00883627">
      <w:r w:rsidRPr="00A23D34">
        <w:t>To notify the TGA about an ARTG inclusion for a Class IIb spinal implantable medical device that needs to be reclassified, you will need to fill in the online form on our Consultation Hub:</w:t>
      </w:r>
    </w:p>
    <w:p w14:paraId="4731ECA7" w14:textId="77777777" w:rsidR="008C08A9" w:rsidRPr="00A23D34" w:rsidRDefault="00995F42" w:rsidP="00883627">
      <w:hyperlink r:id="rId29" w:history="1">
        <w:r w:rsidR="008C08A9" w:rsidRPr="00A23D34">
          <w:rPr>
            <w:rStyle w:val="Hyperlink"/>
          </w:rPr>
          <w:t>https://consultations.health.gov.au/tga/spinal-implantable-medical-devices/</w:t>
        </w:r>
      </w:hyperlink>
    </w:p>
    <w:p w14:paraId="6150A4F9" w14:textId="77777777" w:rsidR="008C08A9" w:rsidRPr="00A23D34" w:rsidRDefault="008C08A9" w:rsidP="00883627">
      <w:r w:rsidRPr="00A23D34">
        <w:t>The form will be available until 24 May 2022.</w:t>
      </w:r>
    </w:p>
    <w:p w14:paraId="6DD5CA48" w14:textId="4F62D6CF" w:rsidR="008C08A9" w:rsidRPr="00A23D34" w:rsidRDefault="008C08A9" w:rsidP="00883627">
      <w:r w:rsidRPr="00A23D34">
        <w:t xml:space="preserve">The information you will need to provide includes the existing ARTG number, current </w:t>
      </w:r>
      <w:r w:rsidR="003B6FE6" w:rsidRPr="00A23D34">
        <w:t>classification,</w:t>
      </w:r>
      <w:r w:rsidRPr="00A23D34">
        <w:t xml:space="preserve"> and new classification. For devices that will be newly classified as Class III medical devices, you will also need to provide UPIs for each device and/or variant.</w:t>
      </w:r>
    </w:p>
    <w:p w14:paraId="3DBE2697" w14:textId="0A5E5F23" w:rsidR="008C08A9" w:rsidRPr="008C08A9" w:rsidRDefault="007875D5" w:rsidP="00883627">
      <w:pPr>
        <w:pStyle w:val="Heading2"/>
      </w:pPr>
      <w:bookmarkStart w:id="45" w:name="_Reclassifying_an_ARTG"/>
      <w:bookmarkStart w:id="46" w:name="_Toc120889082"/>
      <w:bookmarkStart w:id="47" w:name="_Toc152849605"/>
      <w:bookmarkEnd w:id="45"/>
      <w:r>
        <w:t>Reclassifying</w:t>
      </w:r>
      <w:r w:rsidR="00A11797">
        <w:t xml:space="preserve"> an ARTG inclusion as </w:t>
      </w:r>
      <w:r w:rsidR="008C08A9" w:rsidRPr="008C08A9">
        <w:t>a Class III device</w:t>
      </w:r>
      <w:bookmarkEnd w:id="25"/>
      <w:bookmarkEnd w:id="46"/>
      <w:bookmarkEnd w:id="47"/>
    </w:p>
    <w:p w14:paraId="05FBC334" w14:textId="5CFA79E9" w:rsidR="00565A46" w:rsidRDefault="00565A46" w:rsidP="00883627">
      <w:pPr>
        <w:pStyle w:val="Heading3"/>
        <w:rPr>
          <w:rFonts w:asciiTheme="minorHAnsi" w:hAnsiTheme="minorHAnsi" w:cstheme="majorHAnsi"/>
        </w:rPr>
      </w:pPr>
      <w:bookmarkStart w:id="48" w:name="_Toc141794498"/>
      <w:bookmarkStart w:id="49" w:name="_Toc152849606"/>
      <w:r>
        <w:t xml:space="preserve">Kind of device: </w:t>
      </w:r>
      <w:r w:rsidRPr="000B690E">
        <w:t>Class IIb vs Class III</w:t>
      </w:r>
      <w:bookmarkEnd w:id="48"/>
      <w:bookmarkEnd w:id="49"/>
    </w:p>
    <w:p w14:paraId="70613344" w14:textId="41C2A4D0" w:rsidR="008C08A9" w:rsidRPr="00A23D34" w:rsidRDefault="008C08A9" w:rsidP="00883627">
      <w:r w:rsidRPr="00A23D34">
        <w:t xml:space="preserve">The requirements you will need to meet when submitting an application for inclusion of a Class III device in the ARTG are different from the requirements for Class IIb devices. Only devices of the same kind can be supplied under one ARTG entry. Class IIb devices that share the following characteristics </w:t>
      </w:r>
      <w:r w:rsidR="009C0B2E" w:rsidRPr="00A23D34">
        <w:t>are</w:t>
      </w:r>
      <w:r w:rsidRPr="00A23D34">
        <w:t xml:space="preserve"> of the same “kind” and can be included in one ARTG entry:</w:t>
      </w:r>
    </w:p>
    <w:p w14:paraId="5BF8AD90" w14:textId="77777777" w:rsidR="008C08A9" w:rsidRPr="00995F42" w:rsidRDefault="008C08A9" w:rsidP="00995F42">
      <w:pPr>
        <w:pStyle w:val="ListBullet"/>
      </w:pPr>
      <w:r w:rsidRPr="00995F42">
        <w:t>supplied by the same sponsor</w:t>
      </w:r>
    </w:p>
    <w:p w14:paraId="6E2762DF" w14:textId="77777777" w:rsidR="008C08A9" w:rsidRPr="00995F42" w:rsidRDefault="008C08A9" w:rsidP="00995F42">
      <w:pPr>
        <w:pStyle w:val="ListBullet"/>
      </w:pPr>
      <w:r w:rsidRPr="00995F42">
        <w:t>manufactured by the same manufacturer</w:t>
      </w:r>
    </w:p>
    <w:p w14:paraId="780904FC" w14:textId="77777777" w:rsidR="008C08A9" w:rsidRPr="00995F42" w:rsidRDefault="008C08A9" w:rsidP="00995F42">
      <w:pPr>
        <w:pStyle w:val="ListBullet"/>
      </w:pPr>
      <w:r w:rsidRPr="00995F42">
        <w:t>have the same classification</w:t>
      </w:r>
    </w:p>
    <w:p w14:paraId="0D11410B" w14:textId="77777777" w:rsidR="008C08A9" w:rsidRPr="00A23D34" w:rsidRDefault="008C08A9" w:rsidP="00995F42">
      <w:pPr>
        <w:pStyle w:val="ListBullet"/>
      </w:pPr>
      <w:r w:rsidRPr="00995F42">
        <w:t>have the same Global Medical Device Nomenclature (GMDN) System Code.</w:t>
      </w:r>
    </w:p>
    <w:p w14:paraId="69F90275" w14:textId="77777777" w:rsidR="008C08A9" w:rsidRPr="00A23D34" w:rsidRDefault="008C08A9" w:rsidP="001E05F3">
      <w:pPr>
        <w:pageBreakBefore/>
      </w:pPr>
      <w:r w:rsidRPr="00A23D34">
        <w:lastRenderedPageBreak/>
        <w:t>Class III devices must have the same Unique Product Identifier (UPI) in order to be considered of the same “kind”.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C08A9" w:rsidRPr="00A23D34" w14:paraId="0B5951D4" w14:textId="77777777" w:rsidTr="00570E98">
        <w:tc>
          <w:tcPr>
            <w:tcW w:w="1276" w:type="dxa"/>
            <w:vAlign w:val="center"/>
          </w:tcPr>
          <w:p w14:paraId="10E03CF1" w14:textId="77777777" w:rsidR="008C08A9" w:rsidRPr="00A23D34" w:rsidRDefault="008C08A9" w:rsidP="00883627">
            <w:r w:rsidRPr="00A23D34">
              <w:rPr>
                <w:noProof/>
                <w:lang w:eastAsia="en-AU"/>
              </w:rPr>
              <w:drawing>
                <wp:inline distT="0" distB="0" distL="0" distR="0" wp14:anchorId="6CC5CCD5" wp14:editId="7B4FE69C">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C04501A" w14:textId="77777777" w:rsidR="00883627" w:rsidRDefault="008C08A9" w:rsidP="00883627">
            <w:pPr>
              <w:pStyle w:val="ListBullet"/>
              <w:numPr>
                <w:ilvl w:val="0"/>
                <w:numId w:val="0"/>
              </w:numPr>
              <w:ind w:left="360" w:hanging="360"/>
            </w:pPr>
            <w:r w:rsidRPr="00A23D34">
              <w:t>The devices included in your current Class IIb ARTG entry may have different UPIs.</w:t>
            </w:r>
          </w:p>
          <w:p w14:paraId="058E9563" w14:textId="4DB8DB71" w:rsidR="008C08A9" w:rsidRPr="00A23D34" w:rsidRDefault="008C08A9" w:rsidP="00883627">
            <w:pPr>
              <w:pStyle w:val="ListBullet"/>
              <w:numPr>
                <w:ilvl w:val="0"/>
                <w:numId w:val="0"/>
              </w:numPr>
            </w:pPr>
            <w:r w:rsidRPr="00A23D34">
              <w:t>You will require a separate Class III application for inclusion in the ARTG for eac</w:t>
            </w:r>
            <w:r w:rsidR="00883627">
              <w:t xml:space="preserve">h </w:t>
            </w:r>
            <w:r w:rsidRPr="00A23D34">
              <w:t>UPI.</w:t>
            </w:r>
          </w:p>
          <w:p w14:paraId="4A05B468" w14:textId="77777777" w:rsidR="008C08A9" w:rsidRPr="00A23D34" w:rsidRDefault="008C08A9" w:rsidP="00883627">
            <w:pPr>
              <w:pStyle w:val="ListBullet"/>
            </w:pPr>
            <w:r w:rsidRPr="00A23D34">
              <w:rPr>
                <w:noProof/>
                <w:lang w:eastAsia="en-AU"/>
              </w:rPr>
              <w:drawing>
                <wp:inline distT="0" distB="0" distL="0" distR="0" wp14:anchorId="434EE9C7" wp14:editId="456B61EA">
                  <wp:extent cx="2186790" cy="1426629"/>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05366" cy="1438748"/>
                          </a:xfrm>
                          <a:prstGeom prst="rect">
                            <a:avLst/>
                          </a:prstGeom>
                        </pic:spPr>
                      </pic:pic>
                    </a:graphicData>
                  </a:graphic>
                </wp:inline>
              </w:drawing>
            </w:r>
          </w:p>
          <w:p w14:paraId="57E6D185" w14:textId="77777777" w:rsidR="008C08A9" w:rsidRPr="00A23D34" w:rsidRDefault="008C08A9" w:rsidP="00883627">
            <w:pPr>
              <w:pStyle w:val="ListBullet"/>
            </w:pPr>
            <w:r w:rsidRPr="00A23D34">
              <w:t xml:space="preserve">A Class III ARTG entry may still cover more than one device, but </w:t>
            </w:r>
            <w:r w:rsidRPr="00A23D34">
              <w:rPr>
                <w:b/>
              </w:rPr>
              <w:t>only if</w:t>
            </w:r>
            <w:r w:rsidRPr="00A23D34">
              <w:t xml:space="preserve"> the:</w:t>
            </w:r>
          </w:p>
          <w:p w14:paraId="4D00D00E" w14:textId="77777777" w:rsidR="008C08A9" w:rsidRPr="00A23D34" w:rsidRDefault="008C08A9" w:rsidP="00883627">
            <w:pPr>
              <w:pStyle w:val="ListBullet2"/>
            </w:pPr>
            <w:r w:rsidRPr="00A23D34">
              <w:t>devices have the same UPI;</w:t>
            </w:r>
          </w:p>
          <w:p w14:paraId="333A82C7" w14:textId="77777777" w:rsidR="008C08A9" w:rsidRPr="00A23D34" w:rsidRDefault="008C08A9" w:rsidP="00883627">
            <w:pPr>
              <w:pStyle w:val="ListBullet2"/>
            </w:pPr>
            <w:r w:rsidRPr="00A23D34">
              <w:t>variation in the design of the devices is only to accommodate different patient anatomical requirements; and</w:t>
            </w:r>
          </w:p>
          <w:p w14:paraId="66B7D007" w14:textId="77777777" w:rsidR="008C08A9" w:rsidRPr="00A23D34" w:rsidRDefault="008C08A9" w:rsidP="00883627">
            <w:pPr>
              <w:pStyle w:val="ListBullet2"/>
            </w:pPr>
            <w:r w:rsidRPr="00A23D34">
              <w:t>variation does not change the intended purpose of the device.</w:t>
            </w:r>
          </w:p>
          <w:p w14:paraId="34B47E2D" w14:textId="77777777" w:rsidR="008C08A9" w:rsidRPr="00A23D34" w:rsidRDefault="008C08A9" w:rsidP="00883627">
            <w:pPr>
              <w:pStyle w:val="ListBullet2"/>
            </w:pPr>
            <w:r w:rsidRPr="00A23D34">
              <w:t>More information about acceptable variants can be found at</w:t>
            </w:r>
            <w:r w:rsidRPr="00A23D34">
              <w:rPr>
                <w:rStyle w:val="Hyperlink"/>
              </w:rPr>
              <w:t xml:space="preserve"> </w:t>
            </w:r>
            <w:hyperlink r:id="rId31" w:history="1">
              <w:r w:rsidRPr="00A23D34">
                <w:rPr>
                  <w:rStyle w:val="Hyperlink"/>
                </w:rPr>
                <w:t>https://www.tga.gov.au/kind-medical-device</w:t>
              </w:r>
            </w:hyperlink>
            <w:r w:rsidRPr="00A23D34">
              <w:t>.</w:t>
            </w:r>
          </w:p>
        </w:tc>
      </w:tr>
    </w:tbl>
    <w:p w14:paraId="163F2DCE" w14:textId="77777777" w:rsidR="00565A46" w:rsidRPr="008C08A9" w:rsidRDefault="00565A46" w:rsidP="00883627">
      <w:pPr>
        <w:pStyle w:val="Heading3"/>
      </w:pPr>
      <w:bookmarkStart w:id="50" w:name="_Timeframes_for_ARTG"/>
      <w:bookmarkStart w:id="51" w:name="_Toc152849607"/>
      <w:bookmarkStart w:id="52" w:name="_Toc103161577"/>
      <w:bookmarkStart w:id="53" w:name="_Toc103846866"/>
      <w:bookmarkStart w:id="54" w:name="_Toc120889083"/>
      <w:bookmarkStart w:id="55" w:name="_Toc23159018"/>
      <w:bookmarkStart w:id="56" w:name="_Toc28006869"/>
      <w:bookmarkStart w:id="57" w:name="_Toc36201147"/>
      <w:bookmarkEnd w:id="50"/>
      <w:r w:rsidRPr="008C08A9">
        <w:t>Timeframes for</w:t>
      </w:r>
      <w:r>
        <w:t xml:space="preserve"> ARTG inclusion</w:t>
      </w:r>
      <w:r w:rsidRPr="008C08A9">
        <w:t xml:space="preserve"> applications </w:t>
      </w:r>
      <w:r>
        <w:t>as Class III medical devices</w:t>
      </w:r>
      <w:bookmarkEnd w:id="51"/>
    </w:p>
    <w:p w14:paraId="10CCE8EB" w14:textId="0248DF67" w:rsidR="00565A46" w:rsidRPr="00A23D34" w:rsidRDefault="00602C3F" w:rsidP="00883627">
      <w:r w:rsidRPr="00A23D34">
        <w:t>To</w:t>
      </w:r>
      <w:r w:rsidR="00565A46" w:rsidRPr="00A23D34">
        <w:t xml:space="preserve"> continue supplying your devices, you must submit your reclassification application for a Class III inclusion in the ARTG </w:t>
      </w:r>
      <w:r w:rsidR="00565A46" w:rsidRPr="00A23D34">
        <w:rPr>
          <w:b/>
        </w:rPr>
        <w:t xml:space="preserve">before the transition deadline. </w:t>
      </w:r>
      <w:r w:rsidR="00565A46" w:rsidRPr="00A23D34">
        <w:t xml:space="preserve">In </w:t>
      </w:r>
      <w:r w:rsidR="00960AF0" w:rsidRPr="00A23D34">
        <w:t xml:space="preserve">November </w:t>
      </w:r>
      <w:r w:rsidR="00565A46" w:rsidRPr="00A23D34">
        <w:t xml:space="preserve">2023, regulatory amendments </w:t>
      </w:r>
      <w:r w:rsidR="00960AF0" w:rsidRPr="00A23D34">
        <w:t>ha</w:t>
      </w:r>
      <w:r w:rsidR="00F26686" w:rsidRPr="00A23D34">
        <w:t>ve</w:t>
      </w:r>
      <w:r w:rsidR="00960AF0" w:rsidRPr="00A23D34">
        <w:t xml:space="preserve"> been </w:t>
      </w:r>
      <w:r w:rsidR="00565A46" w:rsidRPr="00A23D34">
        <w:t>made</w:t>
      </w:r>
      <w:r w:rsidR="00960AF0" w:rsidRPr="00A23D34">
        <w:t xml:space="preserve"> to extend</w:t>
      </w:r>
      <w:r w:rsidR="00565A46" w:rsidRPr="00A23D34">
        <w:t xml:space="preserve"> the transition deadline </w:t>
      </w:r>
      <w:r w:rsidR="00E529B3" w:rsidRPr="00A23D34">
        <w:t>for some transitional devices</w:t>
      </w:r>
      <w:r w:rsidR="00C84864" w:rsidRPr="00A23D34">
        <w:t>. T</w:t>
      </w:r>
      <w:r w:rsidR="00E529B3" w:rsidRPr="00A23D34">
        <w:t xml:space="preserve">he updated transitional deadline for spinal implantable </w:t>
      </w:r>
      <w:r w:rsidR="00C84864" w:rsidRPr="00A23D34">
        <w:t xml:space="preserve">medical </w:t>
      </w:r>
      <w:r w:rsidR="00E529B3" w:rsidRPr="00A23D34">
        <w:t>devices (motion preserving) is</w:t>
      </w:r>
      <w:r w:rsidR="00565A46" w:rsidRPr="00A23D34">
        <w:t xml:space="preserve"> </w:t>
      </w:r>
      <w:r w:rsidR="00565A46" w:rsidRPr="00A23D34">
        <w:rPr>
          <w:b/>
          <w:bCs/>
        </w:rPr>
        <w:t>1 July 2029</w:t>
      </w:r>
      <w:r w:rsidR="00565A46" w:rsidRPr="00A23D34">
        <w:t xml:space="preserve">. More information about the </w:t>
      </w:r>
      <w:r w:rsidR="00F26686" w:rsidRPr="00A23D34">
        <w:t xml:space="preserve">TGA’s strategy in response to EU MDR transition extension </w:t>
      </w:r>
      <w:r w:rsidR="00565A46" w:rsidRPr="00A23D34">
        <w:t xml:space="preserve">can be found at </w:t>
      </w:r>
      <w:hyperlink r:id="rId32" w:history="1">
        <w:r w:rsidR="00565A46" w:rsidRPr="00A23D34">
          <w:rPr>
            <w:rStyle w:val="Hyperlink"/>
          </w:rPr>
          <w:t>https://www.tga.gov.au/how-we-regulate/supply-therapeutic-good/supply-medical-device/eu-mdr-transition/eu-mdr-transition-extension</w:t>
        </w:r>
      </w:hyperlink>
      <w:r w:rsidR="00565A46" w:rsidRPr="00A23D34">
        <w:t xml:space="preserve">.  </w:t>
      </w:r>
    </w:p>
    <w:p w14:paraId="2C85C4D7" w14:textId="3619FF34" w:rsidR="00565A46" w:rsidRPr="00A23D34" w:rsidRDefault="00565A46" w:rsidP="00883627">
      <w:r w:rsidRPr="00A23D34">
        <w:t>If you have submitted your application before this date, but it has not yet been finalised by the TGA, you are able to continue to supply your devices using your Class IIb ARTG entry until a decision is made about your Class III application.</w:t>
      </w:r>
    </w:p>
    <w:p w14:paraId="7CA4DE72" w14:textId="5B1F3EF7" w:rsidR="008C08A9" w:rsidRPr="00A23D34" w:rsidRDefault="008C08A9" w:rsidP="001E05F3">
      <w:pPr>
        <w:pStyle w:val="Heading3"/>
        <w:pageBreakBefore/>
      </w:pPr>
      <w:bookmarkStart w:id="58" w:name="_Toc152849608"/>
      <w:r w:rsidRPr="00A23D34">
        <w:lastRenderedPageBreak/>
        <w:t>How to submit a reclassification application</w:t>
      </w:r>
      <w:bookmarkEnd w:id="52"/>
      <w:bookmarkEnd w:id="53"/>
      <w:bookmarkEnd w:id="54"/>
      <w:bookmarkEnd w:id="58"/>
    </w:p>
    <w:p w14:paraId="5BF6B09A" w14:textId="77777777" w:rsidR="008C08A9" w:rsidRPr="00A23D34" w:rsidRDefault="008C08A9" w:rsidP="00883627">
      <w:pPr>
        <w:pStyle w:val="Numberbullet0"/>
      </w:pPr>
      <w:r w:rsidRPr="00A23D34">
        <w:t>Create a ‘New Device Application’ from the menu in the eBS Portal</w:t>
      </w:r>
    </w:p>
    <w:p w14:paraId="21E1E115" w14:textId="77777777" w:rsidR="008C08A9" w:rsidRPr="00A23D34" w:rsidRDefault="008C08A9" w:rsidP="00883627">
      <w:pPr>
        <w:pStyle w:val="Numberbullet0"/>
      </w:pPr>
      <w:r w:rsidRPr="00A23D34">
        <w:t xml:space="preserve">Select "Medical Device - Included" from the first drop down list provided </w:t>
      </w:r>
    </w:p>
    <w:p w14:paraId="0AFA47E2" w14:textId="37E3468F" w:rsidR="008C08A9" w:rsidRPr="00A23D34" w:rsidRDefault="008C08A9" w:rsidP="00602C3F">
      <w:pPr>
        <w:pStyle w:val="Numberbullet0"/>
      </w:pPr>
      <w:r w:rsidRPr="00A23D34">
        <w:rPr>
          <w:noProof/>
        </w:rPr>
        <w:drawing>
          <wp:inline distT="0" distB="0" distL="0" distR="0" wp14:anchorId="43983A0E" wp14:editId="41F80214">
            <wp:extent cx="5759450" cy="6968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r:link="rId34">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3EA46186" w14:textId="77777777" w:rsidR="008C08A9" w:rsidRPr="00A23D34" w:rsidRDefault="008C08A9" w:rsidP="00883627">
      <w:pPr>
        <w:pStyle w:val="Numberbullet0"/>
      </w:pPr>
      <w:r w:rsidRPr="00A23D34">
        <w:t>Select the option to ‘Reclassify an existing register entry’</w:t>
      </w:r>
    </w:p>
    <w:p w14:paraId="433E22E7" w14:textId="77777777" w:rsidR="008C08A9" w:rsidRPr="00A23D34" w:rsidRDefault="008C08A9" w:rsidP="00883627">
      <w:pPr>
        <w:pStyle w:val="Numberbullet0"/>
      </w:pPr>
      <w:r w:rsidRPr="00A23D34">
        <w:rPr>
          <w:noProof/>
        </w:rPr>
        <w:drawing>
          <wp:inline distT="0" distB="0" distL="0" distR="0" wp14:anchorId="62748EAF" wp14:editId="2C92AC1D">
            <wp:extent cx="5759450" cy="563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59450" cy="563880"/>
                    </a:xfrm>
                    <a:prstGeom prst="rect">
                      <a:avLst/>
                    </a:prstGeom>
                  </pic:spPr>
                </pic:pic>
              </a:graphicData>
            </a:graphic>
          </wp:inline>
        </w:drawing>
      </w:r>
    </w:p>
    <w:p w14:paraId="41CDCDDC" w14:textId="77777777" w:rsidR="008C08A9" w:rsidRPr="00A23D34" w:rsidRDefault="008C08A9" w:rsidP="00883627">
      <w:pPr>
        <w:pStyle w:val="Numberbullet0"/>
      </w:pPr>
      <w:r w:rsidRPr="00A23D34">
        <w:t>Search for the ARTG Number to be reclassified: eg. 130099 (example only)</w:t>
      </w:r>
    </w:p>
    <w:p w14:paraId="0F5F57E0" w14:textId="77777777" w:rsidR="008C08A9" w:rsidRPr="00A23D34" w:rsidRDefault="008C08A9" w:rsidP="00883627">
      <w:pPr>
        <w:pStyle w:val="Numberbullet0"/>
      </w:pPr>
      <w:r w:rsidRPr="00A23D34">
        <w:rPr>
          <w:noProof/>
        </w:rPr>
        <w:drawing>
          <wp:inline distT="0" distB="0" distL="0" distR="0" wp14:anchorId="11E19487" wp14:editId="160BB72B">
            <wp:extent cx="5759450" cy="577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59450" cy="577850"/>
                    </a:xfrm>
                    <a:prstGeom prst="rect">
                      <a:avLst/>
                    </a:prstGeom>
                  </pic:spPr>
                </pic:pic>
              </a:graphicData>
            </a:graphic>
          </wp:inline>
        </w:drawing>
      </w:r>
    </w:p>
    <w:p w14:paraId="57BAF5E1" w14:textId="77777777" w:rsidR="008C08A9" w:rsidRPr="00A23D34" w:rsidRDefault="008C08A9" w:rsidP="00883627">
      <w:pPr>
        <w:pStyle w:val="Numberbullet0"/>
      </w:pPr>
      <w:r w:rsidRPr="00A23D34">
        <w:t>Select the "Clone" button.</w:t>
      </w:r>
    </w:p>
    <w:p w14:paraId="3A7799D9" w14:textId="4941CC78" w:rsidR="008C08A9" w:rsidRPr="00A23D34" w:rsidRDefault="008C08A9" w:rsidP="00883627">
      <w:pPr>
        <w:pStyle w:val="Numberbullet0"/>
      </w:pPr>
      <w:r w:rsidRPr="00A23D34">
        <w:t>Allow the system to clone the information associated with the ARTG entry into the application</w:t>
      </w:r>
      <w:r w:rsidR="00A23D34">
        <w:t>.</w:t>
      </w:r>
    </w:p>
    <w:p w14:paraId="1955DCE5" w14:textId="32FB5EE3" w:rsidR="008C08A9" w:rsidRPr="00A23D34" w:rsidRDefault="008C08A9" w:rsidP="00883627">
      <w:pPr>
        <w:pStyle w:val="Numberbullet0"/>
      </w:pPr>
      <w:r w:rsidRPr="00A23D34">
        <w:t xml:space="preserve">Select </w:t>
      </w:r>
      <w:r w:rsidR="00565A46" w:rsidRPr="00883627">
        <w:rPr>
          <w:b/>
          <w:bCs/>
        </w:rPr>
        <w:t>Class III</w:t>
      </w:r>
      <w:r w:rsidR="00565A46" w:rsidRPr="00A23D34">
        <w:t xml:space="preserve"> from the drop down provided for the “New classification” question</w:t>
      </w:r>
      <w:r w:rsidRPr="00A23D34">
        <w:t xml:space="preserve">. </w:t>
      </w:r>
    </w:p>
    <w:p w14:paraId="0E08067A" w14:textId="7870CDBF" w:rsidR="008C08A9" w:rsidRDefault="008C08A9" w:rsidP="00883627">
      <w:r w:rsidRPr="008C08A9">
        <w:rPr>
          <w:noProof/>
        </w:rPr>
        <w:drawing>
          <wp:inline distT="0" distB="0" distL="0" distR="0" wp14:anchorId="5A7EA1F8" wp14:editId="47188D85">
            <wp:extent cx="5759450" cy="2774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59450" cy="277495"/>
                    </a:xfrm>
                    <a:prstGeom prst="rect">
                      <a:avLst/>
                    </a:prstGeom>
                  </pic:spPr>
                </pic:pic>
              </a:graphicData>
            </a:graphic>
          </wp:inline>
        </w:drawing>
      </w:r>
    </w:p>
    <w:p w14:paraId="1A921A51" w14:textId="77777777" w:rsidR="00572A01" w:rsidRPr="008C08A9" w:rsidRDefault="00572A01" w:rsidP="00883627"/>
    <w:tbl>
      <w:tblPr>
        <w:tblW w:w="9038" w:type="dxa"/>
        <w:tblLayout w:type="fixed"/>
        <w:tblCellMar>
          <w:left w:w="0" w:type="dxa"/>
          <w:right w:w="0" w:type="dxa"/>
        </w:tblCellMar>
        <w:tblLook w:val="04A0" w:firstRow="1" w:lastRow="0" w:firstColumn="1" w:lastColumn="0" w:noHBand="0" w:noVBand="1"/>
      </w:tblPr>
      <w:tblGrid>
        <w:gridCol w:w="1276"/>
        <w:gridCol w:w="7762"/>
      </w:tblGrid>
      <w:tr w:rsidR="008C08A9" w:rsidRPr="008C08A9" w14:paraId="10188674" w14:textId="77777777" w:rsidTr="00570E98">
        <w:trPr>
          <w:trHeight w:val="1682"/>
        </w:trPr>
        <w:tc>
          <w:tcPr>
            <w:tcW w:w="1276" w:type="dxa"/>
            <w:vAlign w:val="center"/>
          </w:tcPr>
          <w:p w14:paraId="64ED1C28" w14:textId="5BF0AE9E" w:rsidR="00572A01" w:rsidRPr="008C08A9" w:rsidRDefault="008C08A9" w:rsidP="00883627">
            <w:r w:rsidRPr="008C08A9">
              <w:rPr>
                <w:noProof/>
                <w:lang w:eastAsia="en-AU"/>
              </w:rPr>
              <w:drawing>
                <wp:inline distT="0" distB="0" distL="0" distR="0" wp14:anchorId="13FA0CC6" wp14:editId="7AC8B928">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10AB1F1" w14:textId="77777777" w:rsidR="008C08A9" w:rsidRPr="00A23D34" w:rsidRDefault="008C08A9" w:rsidP="00883627">
            <w:r w:rsidRPr="00A23D34">
              <w:t xml:space="preserve">If the GMDN code in the existing entry has been made obsolete or has been updated, the sponsor is responsible for selecting the most appropriate and current code available in the GMDN agency database.  </w:t>
            </w:r>
          </w:p>
          <w:p w14:paraId="425967C2" w14:textId="77777777" w:rsidR="008C08A9" w:rsidRPr="00A23D34" w:rsidRDefault="008C08A9" w:rsidP="00883627">
            <w:r w:rsidRPr="00A23D34">
              <w:t xml:space="preserve">If you are required to select a new GMDN code that is different to the cloned ARTG entry, you will not be able to validate and submit the application. </w:t>
            </w:r>
          </w:p>
          <w:p w14:paraId="7AEE4508" w14:textId="26F5FC39" w:rsidR="008C08A9" w:rsidRPr="00A23D34" w:rsidRDefault="008C08A9" w:rsidP="00883627">
            <w:r w:rsidRPr="00A23D34">
              <w:t>Please save the draft application and email TGA Devices info line at devices@tga.gov.au for assistance.</w:t>
            </w:r>
          </w:p>
          <w:p w14:paraId="70BFFB4C" w14:textId="50A9EE25" w:rsidR="008C08A9" w:rsidRPr="00013DD6" w:rsidRDefault="008C08A9" w:rsidP="00883627">
            <w:pPr>
              <w:rPr>
                <w:rFonts w:asciiTheme="minorHAnsi" w:hAnsiTheme="minorHAnsi"/>
                <w:color w:val="0070C0"/>
              </w:rPr>
            </w:pPr>
            <w:r w:rsidRPr="00A23D34">
              <w:t>If there is a change of manufacturer, you must submit a new application</w:t>
            </w:r>
            <w:r w:rsidR="00A11797" w:rsidRPr="00A23D34">
              <w:t xml:space="preserve"> (</w:t>
            </w:r>
            <w:r w:rsidR="00A11797" w:rsidRPr="00A23D34">
              <w:rPr>
                <w:i/>
                <w:iCs/>
              </w:rPr>
              <w:t>i.e.</w:t>
            </w:r>
            <w:r w:rsidR="00A11797" w:rsidRPr="00A23D34">
              <w:t xml:space="preserve"> select “Create a new inclusion in the register” instead of “Reclassify an existing register entry” in the Step 3 shown above)</w:t>
            </w:r>
            <w:r w:rsidR="009D2842" w:rsidRPr="00A23D34">
              <w:t xml:space="preserve"> and provide information about the existing ARTG entry in the application form or in a supporting document attached with the form</w:t>
            </w:r>
            <w:r w:rsidRPr="00A23D34">
              <w:t>.</w:t>
            </w:r>
          </w:p>
        </w:tc>
      </w:tr>
    </w:tbl>
    <w:p w14:paraId="3499C6D5" w14:textId="6FEBE1AE" w:rsidR="00565A46" w:rsidRPr="00572A01" w:rsidRDefault="00565A46" w:rsidP="00883627">
      <w:pPr>
        <w:pStyle w:val="Heading3"/>
        <w:rPr>
          <w:rFonts w:asciiTheme="minorHAnsi" w:hAnsiTheme="minorHAnsi" w:cstheme="majorHAnsi"/>
        </w:rPr>
      </w:pPr>
      <w:bookmarkStart w:id="59" w:name="_Toc120888093"/>
      <w:bookmarkStart w:id="60" w:name="_Toc141794501"/>
      <w:bookmarkStart w:id="61" w:name="_Toc152849609"/>
      <w:bookmarkEnd w:id="55"/>
      <w:bookmarkEnd w:id="56"/>
      <w:bookmarkEnd w:id="57"/>
      <w:r>
        <w:t>What to include in your application</w:t>
      </w:r>
      <w:bookmarkEnd w:id="59"/>
      <w:bookmarkEnd w:id="60"/>
      <w:bookmarkEnd w:id="61"/>
    </w:p>
    <w:p w14:paraId="177896FB" w14:textId="4E09F190" w:rsidR="008C08A9" w:rsidRPr="00995F42" w:rsidRDefault="00565A46" w:rsidP="00995F42">
      <w:pPr>
        <w:pStyle w:val="ListBullet"/>
      </w:pPr>
      <w:r w:rsidRPr="00995F42">
        <w:t xml:space="preserve">Class III applications for ARTG inclusion must be accompanied by </w:t>
      </w:r>
      <w:hyperlink r:id="rId38" w:history="1">
        <w:r w:rsidRPr="00995F42">
          <w:rPr>
            <w:rStyle w:val="Hyperlink"/>
            <w:color w:val="333F48"/>
            <w:u w:val="none"/>
          </w:rPr>
          <w:t>appropriate conformity assessment documentation</w:t>
        </w:r>
      </w:hyperlink>
      <w:r w:rsidRPr="00995F42">
        <w:t xml:space="preserve"> in order to pass preliminary assessment. The required </w:t>
      </w:r>
      <w:r w:rsidR="009D0790" w:rsidRPr="00995F42">
        <w:t xml:space="preserve">documents </w:t>
      </w:r>
      <w:r w:rsidRPr="00995F42">
        <w:t xml:space="preserve">are outlined in the final column "Documentation to be provided with the application (Evidence of product assessment)" of Table 2 in the </w:t>
      </w:r>
      <w:hyperlink r:id="rId39" w:history="1">
        <w:r w:rsidRPr="00995F42">
          <w:rPr>
            <w:rStyle w:val="Hyperlink"/>
            <w:color w:val="333F48"/>
            <w:u w:val="none"/>
          </w:rPr>
          <w:t>Use of market authorisation evidence from comparable overseas regulators / assessment bodies for medical devices (including IVDs)</w:t>
        </w:r>
      </w:hyperlink>
      <w:r w:rsidRPr="00995F42">
        <w:t xml:space="preserve">. The applicable </w:t>
      </w:r>
      <w:r w:rsidRPr="00995F42">
        <w:lastRenderedPageBreak/>
        <w:t xml:space="preserve">product assessment evidence (e.g. Design Examination Certificate) must be provided in addition to the </w:t>
      </w:r>
      <w:hyperlink r:id="rId40" w:history="1">
        <w:r w:rsidRPr="00995F42">
          <w:rPr>
            <w:rStyle w:val="Hyperlink"/>
            <w:color w:val="333F48"/>
            <w:u w:val="none"/>
          </w:rPr>
          <w:t>Manufacturer Evidence</w:t>
        </w:r>
      </w:hyperlink>
      <w:r w:rsidRPr="00995F42">
        <w:t>.</w:t>
      </w:r>
    </w:p>
    <w:p w14:paraId="0844D45C" w14:textId="04FB93A1" w:rsidR="008C08A9" w:rsidRPr="00995F42" w:rsidRDefault="008C08A9" w:rsidP="00995F42">
      <w:pPr>
        <w:pStyle w:val="ListBullet"/>
      </w:pPr>
      <w:r w:rsidRPr="00995F42">
        <w:t>A one</w:t>
      </w:r>
      <w:r w:rsidR="006A6542" w:rsidRPr="00995F42">
        <w:t>-</w:t>
      </w:r>
      <w:r w:rsidRPr="00995F42">
        <w:t>page document attached to your application, outlining the intended purpose of the device and whether the device is for spinal fusion or motion preserving will help assessors to process your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A6542" w:rsidRPr="00A23D34" w14:paraId="054A4147" w14:textId="77777777" w:rsidTr="0024529C">
        <w:trPr>
          <w:trHeight w:val="1682"/>
        </w:trPr>
        <w:tc>
          <w:tcPr>
            <w:tcW w:w="1276" w:type="dxa"/>
            <w:vAlign w:val="center"/>
          </w:tcPr>
          <w:p w14:paraId="2429C22C" w14:textId="7875AAF8" w:rsidR="006A6542" w:rsidRPr="00A23D34" w:rsidRDefault="006A6542" w:rsidP="00883627">
            <w:r w:rsidRPr="00A23D34">
              <w:rPr>
                <w:noProof/>
                <w:lang w:eastAsia="en-AU"/>
              </w:rPr>
              <w:drawing>
                <wp:inline distT="0" distB="0" distL="0" distR="0" wp14:anchorId="0CB6F95E" wp14:editId="628943F1">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6A67182" w14:textId="59CF8B1A" w:rsidR="006A6542" w:rsidRPr="00A23D34" w:rsidRDefault="00D170A9" w:rsidP="00883627">
            <w:r>
              <w:t>E</w:t>
            </w:r>
            <w:r w:rsidR="006A6542" w:rsidRPr="00A23D34">
              <w:t xml:space="preserve">nsure you allow sufficient time to obtain your conformity assessment documentation </w:t>
            </w:r>
            <w:r w:rsidR="003B6FE6" w:rsidRPr="00A23D34">
              <w:t>to</w:t>
            </w:r>
            <w:r w:rsidR="006A6542" w:rsidRPr="00A23D34">
              <w:t xml:space="preserve"> submit your documents with your application.</w:t>
            </w:r>
          </w:p>
          <w:p w14:paraId="649D6576" w14:textId="0E51C534" w:rsidR="006A6542" w:rsidRPr="00A23D34" w:rsidRDefault="006A6542" w:rsidP="00883627">
            <w:pPr>
              <w:rPr>
                <w:color w:val="0070C0"/>
              </w:rPr>
            </w:pPr>
            <w:r w:rsidRPr="00A23D34">
              <w:t xml:space="preserve">If the conformity assessment documentation is not sufficient, the application </w:t>
            </w:r>
            <w:r w:rsidRPr="00A23D34">
              <w:rPr>
                <w:b/>
                <w:bCs/>
              </w:rPr>
              <w:t>cannot pass preliminary assessment</w:t>
            </w:r>
            <w:r w:rsidRPr="00A23D34">
              <w:t xml:space="preserve">, your application </w:t>
            </w:r>
            <w:r w:rsidRPr="00A23D34">
              <w:rPr>
                <w:b/>
                <w:bCs/>
              </w:rPr>
              <w:t xml:space="preserve">will be </w:t>
            </w:r>
            <w:r w:rsidR="003B6FE6" w:rsidRPr="00A23D34">
              <w:rPr>
                <w:b/>
                <w:bCs/>
              </w:rPr>
              <w:t>refused,</w:t>
            </w:r>
            <w:r w:rsidRPr="00A23D34">
              <w:t xml:space="preserve"> and you will </w:t>
            </w:r>
            <w:r w:rsidRPr="00A23D34">
              <w:rPr>
                <w:b/>
                <w:bCs/>
              </w:rPr>
              <w:t>not be able to transition</w:t>
            </w:r>
            <w:r w:rsidRPr="00A23D34">
              <w:t xml:space="preserve"> your device to the new classification.</w:t>
            </w:r>
          </w:p>
        </w:tc>
      </w:tr>
    </w:tbl>
    <w:p w14:paraId="5393713D" w14:textId="1753BE74" w:rsidR="008C08A9" w:rsidRPr="008C08A9" w:rsidRDefault="008C08A9" w:rsidP="00883627">
      <w:pPr>
        <w:pStyle w:val="Heading3"/>
      </w:pPr>
      <w:bookmarkStart w:id="62" w:name="_Toc120889085"/>
      <w:bookmarkStart w:id="63" w:name="_Toc152849610"/>
      <w:r w:rsidRPr="008C08A9">
        <w:t>Mandatory Audits</w:t>
      </w:r>
      <w:bookmarkEnd w:id="62"/>
      <w:bookmarkEnd w:id="63"/>
    </w:p>
    <w:p w14:paraId="5A6C0441" w14:textId="77777777" w:rsidR="008C08A9" w:rsidRPr="00D170A9" w:rsidRDefault="008C08A9" w:rsidP="00883627">
      <w:pPr>
        <w:pStyle w:val="ListBullet"/>
        <w:rPr>
          <w:rFonts w:asciiTheme="majorHAnsi" w:hAnsiTheme="majorHAnsi" w:cstheme="majorHAnsi"/>
        </w:rPr>
      </w:pPr>
      <w:r w:rsidRPr="00D170A9">
        <w:rPr>
          <w:rFonts w:asciiTheme="majorHAnsi" w:hAnsiTheme="majorHAnsi" w:cstheme="majorHAnsi"/>
        </w:rPr>
        <w:t xml:space="preserve">If your Class III application is not supported by MDR, TGA or AU CAB certification, your application will be selected for a </w:t>
      </w:r>
      <w:hyperlink r:id="rId41" w:history="1">
        <w:r w:rsidRPr="00D170A9">
          <w:rPr>
            <w:rStyle w:val="Hyperlink"/>
            <w:rFonts w:asciiTheme="majorHAnsi" w:hAnsiTheme="majorHAnsi" w:cstheme="majorHAnsi"/>
          </w:rPr>
          <w:t>compulsory application audit</w:t>
        </w:r>
      </w:hyperlink>
      <w:r w:rsidRPr="00D170A9">
        <w:rPr>
          <w:rFonts w:asciiTheme="majorHAnsi" w:hAnsiTheme="majorHAnsi" w:cstheme="majorHAnsi"/>
        </w:rPr>
        <w:t xml:space="preserve">. Compulsory application audits attract an </w:t>
      </w:r>
      <w:r w:rsidRPr="00D170A9">
        <w:rPr>
          <w:rFonts w:asciiTheme="majorHAnsi" w:hAnsiTheme="majorHAnsi" w:cstheme="majorHAnsi"/>
          <w:b/>
        </w:rPr>
        <w:t>audit assessment fee</w:t>
      </w:r>
      <w:r w:rsidRPr="00D170A9">
        <w:rPr>
          <w:rFonts w:asciiTheme="majorHAnsi" w:hAnsiTheme="majorHAnsi" w:cstheme="majorHAnsi"/>
        </w:rPr>
        <w:t xml:space="preserve"> and require submission of additional information, which may include, clinical evidence to support the safety and performance of the device</w:t>
      </w:r>
    </w:p>
    <w:p w14:paraId="7CEC1C4F" w14:textId="27AE788C" w:rsidR="008C08A9" w:rsidRPr="00A23D34" w:rsidRDefault="008C08A9" w:rsidP="00883627">
      <w:r w:rsidRPr="00A23D34">
        <w:t xml:space="preserve">Further, Class IIb spinal implantable devices that are not supported by MDR, TGA or AU CAB certification will also need to undergo </w:t>
      </w:r>
      <w:hyperlink r:id="rId42" w:history="1">
        <w:r w:rsidR="009D0790" w:rsidRPr="00A23D34">
          <w:rPr>
            <w:rStyle w:val="Hyperlink"/>
          </w:rPr>
          <w:t>compulsory application audit</w:t>
        </w:r>
      </w:hyperlink>
      <w:r w:rsidR="009D0790" w:rsidRPr="00A23D34">
        <w:rPr>
          <w:rStyle w:val="Hyperlink"/>
        </w:rPr>
        <w:t xml:space="preserve"> </w:t>
      </w:r>
      <w:r w:rsidR="009D0790" w:rsidRPr="00A23D34">
        <w:t xml:space="preserve">from </w:t>
      </w:r>
      <w:r w:rsidRPr="00A23D34">
        <w:t>25 November 2021. These audits may include assessment of clinical evidence.</w:t>
      </w:r>
    </w:p>
    <w:p w14:paraId="0906F5B8" w14:textId="2E71B4EB" w:rsidR="008C08A9" w:rsidRPr="00A23D34" w:rsidRDefault="008C08A9" w:rsidP="00883627">
      <w:pPr>
        <w:pStyle w:val="ListBullet"/>
      </w:pPr>
      <w:r w:rsidRPr="00A23D34">
        <w:t xml:space="preserve">The </w:t>
      </w:r>
      <w:hyperlink r:id="rId43" w:history="1">
        <w:r w:rsidRPr="00A23D34">
          <w:rPr>
            <w:rStyle w:val="Hyperlink"/>
          </w:rPr>
          <w:t>Clinical Evidence Guidelines</w:t>
        </w:r>
      </w:hyperlink>
      <w:r w:rsidRPr="00A23D34">
        <w:t xml:space="preserve"> outline the level of evidence expected for medical devices to be included on the ARTG</w:t>
      </w:r>
      <w:r w:rsidR="009D0790" w:rsidRPr="00A23D34">
        <w:t>.</w:t>
      </w:r>
    </w:p>
    <w:p w14:paraId="6B0D406C" w14:textId="1276FCDC" w:rsidR="008C08A9" w:rsidRPr="00A23D34" w:rsidRDefault="008C08A9" w:rsidP="00883627">
      <w:pPr>
        <w:pStyle w:val="ListBullet"/>
        <w:rPr>
          <w:rStyle w:val="Hyperlink"/>
        </w:rPr>
      </w:pPr>
      <w:r w:rsidRPr="00A23D34">
        <w:rPr>
          <w:b/>
        </w:rPr>
        <w:t>Audit assessment fees</w:t>
      </w:r>
      <w:r w:rsidRPr="00A23D34">
        <w:t xml:space="preserve"> are listed in the TGA’s </w:t>
      </w:r>
      <w:hyperlink r:id="rId44" w:history="1">
        <w:r w:rsidRPr="00A23D34">
          <w:rPr>
            <w:rStyle w:val="Hyperlink"/>
          </w:rPr>
          <w:t>Schedule of fees and charges</w:t>
        </w:r>
      </w:hyperlink>
      <w:r w:rsidR="009D0790" w:rsidRPr="00A23D34">
        <w:rPr>
          <w:rStyle w:val="Hyperlink"/>
        </w:rPr>
        <w:t>.</w:t>
      </w:r>
    </w:p>
    <w:p w14:paraId="766D725B" w14:textId="19A25FFD" w:rsidR="008C08A9" w:rsidRPr="00A23D34" w:rsidRDefault="008C08A9" w:rsidP="00883627">
      <w:r w:rsidRPr="00A23D34">
        <w:t xml:space="preserve">A </w:t>
      </w:r>
      <w:hyperlink r:id="rId45" w:history="1">
        <w:r w:rsidRPr="00A23D34">
          <w:rPr>
            <w:rStyle w:val="Hyperlink"/>
          </w:rPr>
          <w:t>step-by-step guide to the medical device ARTG inclusion process</w:t>
        </w:r>
      </w:hyperlink>
      <w:r w:rsidRPr="00A23D34">
        <w:t xml:space="preserve"> can be found on the TGA website.</w:t>
      </w:r>
    </w:p>
    <w:p w14:paraId="05F96D03" w14:textId="77777777" w:rsidR="00565A46" w:rsidRPr="00A23D34" w:rsidRDefault="00565A46" w:rsidP="00883627">
      <w:pPr>
        <w:pStyle w:val="Heading3"/>
      </w:pPr>
      <w:bookmarkStart w:id="64" w:name="_Toc120888096"/>
      <w:bookmarkStart w:id="65" w:name="_Toc141794503"/>
      <w:bookmarkStart w:id="66" w:name="_Toc152849611"/>
      <w:r w:rsidRPr="00A23D34">
        <w:t>Fees</w:t>
      </w:r>
      <w:bookmarkEnd w:id="64"/>
      <w:bookmarkEnd w:id="65"/>
      <w:bookmarkEnd w:id="66"/>
    </w:p>
    <w:p w14:paraId="4CD7BAB2" w14:textId="77777777" w:rsidR="00565A46" w:rsidRPr="00A23D34" w:rsidRDefault="00565A46" w:rsidP="00883627">
      <w:r w:rsidRPr="00A23D34">
        <w:t xml:space="preserve">You will need to pay the relevant application fee and audit assessment fee. </w:t>
      </w:r>
    </w:p>
    <w:p w14:paraId="1FEAC111" w14:textId="0B2217C2" w:rsidR="00565A46" w:rsidRPr="00A23D34" w:rsidRDefault="00565A46" w:rsidP="00883627">
      <w:r w:rsidRPr="00A23D34">
        <w:t xml:space="preserve">You can request abridgement and </w:t>
      </w:r>
      <w:hyperlink r:id="rId46" w:history="1">
        <w:r w:rsidRPr="00A23D34">
          <w:rPr>
            <w:rStyle w:val="Hyperlink"/>
          </w:rPr>
          <w:t>reduction of the assessment fee</w:t>
        </w:r>
      </w:hyperlink>
      <w:r w:rsidRPr="00A23D34">
        <w:t xml:space="preserve"> of the audit assessment (including requests to abridge the level of audit if appropriate).</w:t>
      </w:r>
    </w:p>
    <w:p w14:paraId="5FC90877" w14:textId="77777777" w:rsidR="008C08A9" w:rsidRPr="008C08A9" w:rsidRDefault="008C08A9" w:rsidP="00883627">
      <w:pPr>
        <w:pStyle w:val="Heading2"/>
      </w:pPr>
      <w:bookmarkStart w:id="67" w:name="_Toc120889086"/>
      <w:bookmarkStart w:id="68" w:name="_Toc152849612"/>
      <w:r w:rsidRPr="008C08A9">
        <w:t>Class IIb applications/entries</w:t>
      </w:r>
      <w:bookmarkEnd w:id="67"/>
      <w:bookmarkEnd w:id="68"/>
    </w:p>
    <w:p w14:paraId="3E569D5D" w14:textId="77777777" w:rsidR="008C08A9" w:rsidRPr="00A23D34" w:rsidRDefault="008C08A9" w:rsidP="00883627">
      <w:r w:rsidRPr="00A23D34">
        <w:t>The requirements you will need to meet when submitting an application for inclusion of a Class IIb spinal implantable device in the ARTG are different from the general requirements for Class IIb devices.</w:t>
      </w:r>
    </w:p>
    <w:p w14:paraId="1BDFD45A" w14:textId="09BAC9D3" w:rsidR="008C08A9" w:rsidRPr="00A23D34" w:rsidRDefault="008C08A9" w:rsidP="00883627">
      <w:r w:rsidRPr="00A23D34">
        <w:t>A one</w:t>
      </w:r>
      <w:r w:rsidR="006A6542" w:rsidRPr="00A23D34">
        <w:t>-</w:t>
      </w:r>
      <w:r w:rsidRPr="00A23D34">
        <w:t>page document attached to your application, outlining the intended purpose of the device and whether the device is for spinal fusion or motion preserving will help assessors to process your application.</w:t>
      </w:r>
    </w:p>
    <w:p w14:paraId="74E232D2" w14:textId="77777777" w:rsidR="008C08A9" w:rsidRPr="00A23D34" w:rsidRDefault="008C08A9" w:rsidP="001E05F3">
      <w:pPr>
        <w:pStyle w:val="Heading3"/>
        <w:pageBreakBefore/>
      </w:pPr>
      <w:bookmarkStart w:id="69" w:name="_Toc120889087"/>
      <w:bookmarkStart w:id="70" w:name="_Toc152849613"/>
      <w:r w:rsidRPr="00A23D34">
        <w:lastRenderedPageBreak/>
        <w:t>Devices supplied under the ARTG entry</w:t>
      </w:r>
      <w:bookmarkEnd w:id="69"/>
      <w:bookmarkEnd w:id="70"/>
    </w:p>
    <w:p w14:paraId="24C48FFC" w14:textId="77777777" w:rsidR="008C08A9" w:rsidRPr="00A23D34" w:rsidRDefault="008C08A9" w:rsidP="00883627">
      <w:pPr>
        <w:rPr>
          <w:lang w:val="en"/>
        </w:rPr>
      </w:pPr>
      <w:r w:rsidRPr="00A23D34">
        <w:rPr>
          <w:lang w:val="en"/>
        </w:rPr>
        <w:t>Under Regulation 5.12, from 25 November 2021, Class IIb spinal fusion devices will need to have specific information in the ARTG entry about the devices that are supplied under the ARTG entry. This includes product names of all devices under each ARTG entry, before those devices can be imported, supplied or exported.</w:t>
      </w:r>
    </w:p>
    <w:p w14:paraId="23D48D64" w14:textId="77777777" w:rsidR="008C08A9" w:rsidRPr="00A23D34" w:rsidRDefault="008C08A9" w:rsidP="00883627">
      <w:pPr>
        <w:rPr>
          <w:lang w:val="en"/>
        </w:rPr>
      </w:pPr>
      <w:r w:rsidRPr="00A23D34">
        <w:rPr>
          <w:lang w:val="en"/>
        </w:rPr>
        <w:t>For new applications, Class IIb application forms have been updated to provide space to include this information.</w:t>
      </w:r>
    </w:p>
    <w:p w14:paraId="2C40FCD0" w14:textId="77777777" w:rsidR="008C08A9" w:rsidRPr="00A23D34" w:rsidRDefault="008C08A9" w:rsidP="00883627">
      <w:pPr>
        <w:rPr>
          <w:b/>
          <w:bCs/>
          <w:lang w:val="en"/>
        </w:rPr>
      </w:pPr>
      <w:r w:rsidRPr="00A23D34">
        <w:rPr>
          <w:lang w:val="en"/>
        </w:rPr>
        <w:t xml:space="preserve">Sponsors of any Class IIb spinal fusion devices that are currently on the ARTG, or will be prior to 25 November 2021, will need to notify the TGA of the product names. </w:t>
      </w:r>
    </w:p>
    <w:p w14:paraId="542F75FA" w14:textId="77777777" w:rsidR="008C08A9" w:rsidRPr="00A23D34" w:rsidRDefault="008C08A9" w:rsidP="00883627">
      <w:pPr>
        <w:rPr>
          <w:lang w:val="en"/>
        </w:rPr>
      </w:pPr>
      <w:r w:rsidRPr="00A23D34">
        <w:rPr>
          <w:lang w:val="en"/>
        </w:rPr>
        <w:t>Sponsors are encouraged to provide this information to the TGA as soon as possible in order to allow time for ARTG entries to be updated.</w:t>
      </w:r>
    </w:p>
    <w:p w14:paraId="3BCDDD6C" w14:textId="77777777" w:rsidR="008C08A9" w:rsidRPr="008C08A9" w:rsidRDefault="008C08A9" w:rsidP="00883627">
      <w:pPr>
        <w:pStyle w:val="Heading2"/>
      </w:pPr>
      <w:bookmarkStart w:id="71" w:name="_Toc120889088"/>
      <w:bookmarkStart w:id="72" w:name="_Toc152849614"/>
      <w:r w:rsidRPr="008C08A9">
        <w:t>Notifying the TGA – Class IIb spinal fusion devices</w:t>
      </w:r>
      <w:bookmarkEnd w:id="71"/>
      <w:bookmarkEnd w:id="72"/>
    </w:p>
    <w:p w14:paraId="63B45DC3" w14:textId="77777777" w:rsidR="008C08A9" w:rsidRPr="00A23D34" w:rsidRDefault="008C08A9" w:rsidP="00883627">
      <w:r w:rsidRPr="00A23D34">
        <w:t>Sponsors with Class IIb spinal fusion devices were required to notify the TGA prior to 25 November 2021 and update the entry with the current product names. A temporary form, ‘Class IIb Product Name Variation Form’ was made available in the TBS portal for sponsors to notify the TGA and update their entry per this requirement.</w:t>
      </w:r>
    </w:p>
    <w:p w14:paraId="197DE067" w14:textId="0034FCD8" w:rsidR="008C08A9" w:rsidRPr="00A23D34" w:rsidRDefault="008C08A9" w:rsidP="00883627">
      <w:r w:rsidRPr="00A23D34">
        <w:t xml:space="preserve">This form has now been removed from the TBS portal and is no longer available for use. If you wish to amend, remove or add product names in your Class IIb entry you should submit a </w:t>
      </w:r>
      <w:hyperlink r:id="rId47" w:history="1">
        <w:r w:rsidRPr="00A23D34">
          <w:rPr>
            <w:rStyle w:val="Hyperlink"/>
          </w:rPr>
          <w:t>Device Change Request (DCR)</w:t>
        </w:r>
      </w:hyperlink>
      <w:r w:rsidRPr="00A23D34">
        <w:t xml:space="preserve"> through your TBS portal.  </w:t>
      </w:r>
    </w:p>
    <w:p w14:paraId="0D168BBD" w14:textId="77777777" w:rsidR="008C08A9" w:rsidRPr="008C08A9" w:rsidRDefault="008C08A9" w:rsidP="00883627">
      <w:pPr>
        <w:pStyle w:val="Heading2"/>
      </w:pPr>
      <w:bookmarkStart w:id="73" w:name="_Toc120889089"/>
      <w:bookmarkStart w:id="74" w:name="_Toc152849615"/>
      <w:r w:rsidRPr="008C08A9">
        <w:t>Patient information leaflets and implant cards</w:t>
      </w:r>
      <w:bookmarkEnd w:id="73"/>
      <w:bookmarkEnd w:id="74"/>
    </w:p>
    <w:p w14:paraId="34FB8D9B" w14:textId="2133C2E6" w:rsidR="008C08A9" w:rsidRPr="00A23D34" w:rsidRDefault="00995F42" w:rsidP="00883627">
      <w:hyperlink r:id="rId48" w:history="1">
        <w:r w:rsidR="008C08A9" w:rsidRPr="00A23D34">
          <w:rPr>
            <w:rStyle w:val="Hyperlink"/>
          </w:rPr>
          <w:t>Patient information leaflets (PILs) and patient implant cards (PICs)</w:t>
        </w:r>
      </w:hyperlink>
      <w:r w:rsidR="008C08A9" w:rsidRPr="00A23D34">
        <w:t xml:space="preserve"> are required to be supplied with some spinal implantable medical devices. </w:t>
      </w:r>
    </w:p>
    <w:p w14:paraId="317432C6" w14:textId="77777777" w:rsidR="008C08A9" w:rsidRPr="00A23D34" w:rsidRDefault="008C08A9" w:rsidP="00883627">
      <w:r w:rsidRPr="00A23D34">
        <w:t>However, if your spinal implantable medical device is a screw, wedge, plate, wire, pin, clip, connector, or similar article then you may be excluded from the obligation to provide the patient information materials with the device.</w:t>
      </w:r>
    </w:p>
    <w:p w14:paraId="51CCAA00" w14:textId="77777777" w:rsidR="008C08A9" w:rsidRPr="008C08A9" w:rsidRDefault="008C08A9" w:rsidP="00883627">
      <w:pPr>
        <w:pStyle w:val="Heading3"/>
      </w:pPr>
      <w:bookmarkStart w:id="75" w:name="_Toc23159023"/>
      <w:bookmarkStart w:id="76" w:name="_Toc36200936"/>
      <w:bookmarkStart w:id="77" w:name="_Toc120889090"/>
      <w:bookmarkStart w:id="78" w:name="_Toc152849616"/>
      <w:r w:rsidRPr="008C08A9">
        <w:t>Amendments to Prostheses List</w:t>
      </w:r>
      <w:bookmarkEnd w:id="75"/>
      <w:bookmarkEnd w:id="76"/>
      <w:bookmarkEnd w:id="77"/>
      <w:bookmarkEnd w:id="78"/>
    </w:p>
    <w:p w14:paraId="33A29433" w14:textId="77777777" w:rsidR="008C08A9" w:rsidRPr="00A23D34" w:rsidRDefault="008C08A9" w:rsidP="00883627">
      <w:r w:rsidRPr="00A23D34">
        <w:t xml:space="preserve">Some surgically implantable prostheses and other eligible devices are listed on the </w:t>
      </w:r>
      <w:hyperlink r:id="rId49" w:history="1">
        <w:r w:rsidRPr="00A23D34">
          <w:rPr>
            <w:rStyle w:val="Hyperlink"/>
          </w:rPr>
          <w:t>Prostheses List</w:t>
        </w:r>
      </w:hyperlink>
      <w:r w:rsidRPr="00A23D34">
        <w:t xml:space="preserve">. The Prostheses List contains information about the device, including the ARTG entry. </w:t>
      </w:r>
    </w:p>
    <w:p w14:paraId="7F1C25F7" w14:textId="77777777" w:rsidR="008C08A9" w:rsidRPr="00A23D34" w:rsidRDefault="008C08A9" w:rsidP="00883627">
      <w:r w:rsidRPr="00A23D34">
        <w:t xml:space="preserve">If your Class III ARTG inclusion application with the TGA is successful and a new ARTG number is assigned, you should apply for your Prostheses List billing code to be amended to ensure the information entered on the Prostheses List is accurate. </w:t>
      </w:r>
    </w:p>
    <w:p w14:paraId="75E972D5" w14:textId="77777777" w:rsidR="008C08A9" w:rsidRPr="00A23D34" w:rsidRDefault="008C08A9" w:rsidP="00883627">
      <w:r w:rsidRPr="00A23D34">
        <w:t xml:space="preserve">Failure to maintain the currency of your Prostheses List billing codes’ details may result in discrepancies between private hospital records and the Prostheses List, and consequently may cause delays and inaccuracies in benefits paid by private health insurers. </w:t>
      </w:r>
    </w:p>
    <w:p w14:paraId="17E74A32" w14:textId="77777777" w:rsidR="008C08A9" w:rsidRPr="00A23D34" w:rsidRDefault="008C08A9" w:rsidP="00883627">
      <w:r w:rsidRPr="00A23D34">
        <w:t xml:space="preserve">To update the Prostheses List with your new ARTG numbers, you will need to submit an Amendment Application using the </w:t>
      </w:r>
      <w:hyperlink r:id="rId50" w:history="1">
        <w:r w:rsidRPr="00A23D34">
          <w:rPr>
            <w:rStyle w:val="Hyperlink"/>
          </w:rPr>
          <w:t>Prostheses List Management System (PLMS)</w:t>
        </w:r>
      </w:hyperlink>
      <w:r w:rsidRPr="00A23D34">
        <w:t xml:space="preserve"> (this system is only accessible for registered users of the system) for each of the affected billing codes. When submitting an Amendment Application, please ensure you clearly explain the reason for the change and include relevant supporting documentation. </w:t>
      </w:r>
    </w:p>
    <w:p w14:paraId="1F161A89" w14:textId="77777777" w:rsidR="008C08A9" w:rsidRPr="00A23D34" w:rsidRDefault="008C08A9" w:rsidP="001E05F3">
      <w:pPr>
        <w:pageBreakBefore/>
      </w:pPr>
      <w:r w:rsidRPr="00A23D34">
        <w:lastRenderedPageBreak/>
        <w:t xml:space="preserve">Examples of supporting documentation include a: </w:t>
      </w:r>
    </w:p>
    <w:p w14:paraId="2E04C05A" w14:textId="77777777" w:rsidR="008C08A9" w:rsidRPr="00995F42" w:rsidRDefault="008C08A9" w:rsidP="00995F42">
      <w:pPr>
        <w:pStyle w:val="ListBullet"/>
      </w:pPr>
      <w:r w:rsidRPr="00995F42">
        <w:t xml:space="preserve">new ARTG certificate </w:t>
      </w:r>
    </w:p>
    <w:p w14:paraId="07541A96" w14:textId="77777777" w:rsidR="008C08A9" w:rsidRPr="00995F42" w:rsidRDefault="008C08A9" w:rsidP="00995F42">
      <w:pPr>
        <w:pStyle w:val="ListBullet"/>
      </w:pPr>
      <w:r w:rsidRPr="00995F42">
        <w:t xml:space="preserve">catalogue or product brochure that provide relevant information about the devices affected by the change. </w:t>
      </w:r>
    </w:p>
    <w:p w14:paraId="408C9075" w14:textId="77777777" w:rsidR="008C08A9" w:rsidRPr="00A23D34" w:rsidRDefault="008C08A9" w:rsidP="00883627">
      <w:pPr>
        <w:rPr>
          <w:rStyle w:val="Hyperlink"/>
        </w:rPr>
      </w:pPr>
      <w:r w:rsidRPr="00A23D34">
        <w:t xml:space="preserve">For any further queries about Prostheses List, please contact the Department via email: </w:t>
      </w:r>
      <w:hyperlink r:id="rId51" w:history="1">
        <w:r w:rsidRPr="00A23D34">
          <w:rPr>
            <w:rStyle w:val="Hyperlink"/>
          </w:rPr>
          <w:t>prostheses@health.gov.au</w:t>
        </w:r>
      </w:hyperlink>
    </w:p>
    <w:p w14:paraId="6B8EB989" w14:textId="77777777" w:rsidR="008C08A9" w:rsidRPr="008C08A9" w:rsidRDefault="008C08A9" w:rsidP="00883627">
      <w:pPr>
        <w:pStyle w:val="Heading2"/>
      </w:pPr>
      <w:bookmarkStart w:id="79" w:name="_Toc36200297"/>
      <w:bookmarkStart w:id="80" w:name="_Toc36200797"/>
      <w:bookmarkStart w:id="81" w:name="_Toc36201046"/>
      <w:bookmarkStart w:id="82" w:name="_Toc36201148"/>
      <w:bookmarkStart w:id="83" w:name="_Toc120889091"/>
      <w:bookmarkStart w:id="84" w:name="_Toc152849617"/>
      <w:r w:rsidRPr="008C08A9">
        <w:t>If your inclusion application is not successful</w:t>
      </w:r>
      <w:bookmarkEnd w:id="79"/>
      <w:bookmarkEnd w:id="80"/>
      <w:bookmarkEnd w:id="81"/>
      <w:bookmarkEnd w:id="82"/>
      <w:bookmarkEnd w:id="83"/>
      <w:bookmarkEnd w:id="84"/>
    </w:p>
    <w:p w14:paraId="5D709F39" w14:textId="77777777" w:rsidR="008C08A9" w:rsidRPr="00A23D34" w:rsidRDefault="008C08A9" w:rsidP="00883627">
      <w:r w:rsidRPr="00A23D34">
        <w:t xml:space="preserve">If your inclusion application to transition your device to the new classification is not successful, you will be notified of the decision in writing and you will be provided the reasons for the decision. </w:t>
      </w:r>
    </w:p>
    <w:p w14:paraId="4499419F" w14:textId="77777777" w:rsidR="008C08A9" w:rsidRPr="00A23D34" w:rsidRDefault="008C08A9" w:rsidP="00883627">
      <w:r w:rsidRPr="00A23D34">
        <w:t xml:space="preserve">If you are not satisfied with this decision, you may request reconsideration of this initial decision under section 60 of the </w:t>
      </w:r>
      <w:hyperlink r:id="rId52" w:history="1">
        <w:r w:rsidRPr="00A23D34">
          <w:rPr>
            <w:rStyle w:val="Hyperlink"/>
            <w:i/>
            <w:iCs/>
          </w:rPr>
          <w:t>Therapeutic Goods Act 1989</w:t>
        </w:r>
      </w:hyperlink>
      <w:r w:rsidRPr="00A23D34">
        <w:rPr>
          <w:i/>
          <w:iCs/>
        </w:rPr>
        <w:t xml:space="preserve"> </w:t>
      </w:r>
      <w:r w:rsidRPr="00A23D34">
        <w:t xml:space="preserve">within 90 days of the decision. </w:t>
      </w:r>
    </w:p>
    <w:p w14:paraId="46774A87" w14:textId="77777777" w:rsidR="008C08A9" w:rsidRPr="00A23D34" w:rsidRDefault="008C08A9" w:rsidP="00883627">
      <w:r w:rsidRPr="00A23D34">
        <w:t xml:space="preserve">If you are not satisfied with the reconsideration (reviewable decision), you may apply to the Administrative Appeals Tribunal or the court. </w:t>
      </w:r>
    </w:p>
    <w:p w14:paraId="6972E7BF" w14:textId="77777777" w:rsidR="008C08A9" w:rsidRPr="008C08A9" w:rsidRDefault="008C08A9" w:rsidP="00883627">
      <w:pPr>
        <w:pStyle w:val="Heading2"/>
      </w:pPr>
      <w:bookmarkStart w:id="85" w:name="_Toc36200798"/>
      <w:bookmarkStart w:id="86" w:name="_Toc36201047"/>
      <w:bookmarkStart w:id="87" w:name="_Toc36201149"/>
      <w:bookmarkStart w:id="88" w:name="_Toc120889092"/>
      <w:bookmarkStart w:id="89" w:name="_Toc152849618"/>
      <w:r w:rsidRPr="008C08A9">
        <w:t>When you must cease supply using your old ARTG entry</w:t>
      </w:r>
      <w:bookmarkEnd w:id="85"/>
      <w:bookmarkEnd w:id="86"/>
      <w:bookmarkEnd w:id="87"/>
      <w:bookmarkEnd w:id="88"/>
      <w:bookmarkEnd w:id="89"/>
    </w:p>
    <w:p w14:paraId="783167E5" w14:textId="77777777" w:rsidR="008C08A9" w:rsidRPr="00A23D34" w:rsidRDefault="008C08A9" w:rsidP="00883627">
      <w:r w:rsidRPr="00A23D34">
        <w:t>If you do not meet your obligations under the transitional arrangements, you will need to cease supply of your devices that would be considered Class III medical devices. The following table outlines the circumstances and timeframes:</w:t>
      </w:r>
    </w:p>
    <w:tbl>
      <w:tblPr>
        <w:tblStyle w:val="TableTGAblue"/>
        <w:tblW w:w="0" w:type="auto"/>
        <w:tblLook w:val="04A0" w:firstRow="1" w:lastRow="0" w:firstColumn="1" w:lastColumn="0" w:noHBand="0" w:noVBand="1"/>
      </w:tblPr>
      <w:tblGrid>
        <w:gridCol w:w="4508"/>
        <w:gridCol w:w="4508"/>
      </w:tblGrid>
      <w:tr w:rsidR="008C08A9" w:rsidRPr="00A23D34" w14:paraId="3ADDBA8A" w14:textId="77777777" w:rsidTr="00A23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6BB068" w14:textId="77777777" w:rsidR="008C08A9" w:rsidRPr="00A23D34" w:rsidRDefault="008C08A9" w:rsidP="00883627">
            <w:r w:rsidRPr="00A23D34">
              <w:t>If…</w:t>
            </w:r>
          </w:p>
        </w:tc>
        <w:tc>
          <w:tcPr>
            <w:tcW w:w="4508" w:type="dxa"/>
          </w:tcPr>
          <w:p w14:paraId="305B5522" w14:textId="77777777" w:rsidR="008C08A9" w:rsidRPr="00A23D34" w:rsidRDefault="008C08A9" w:rsidP="00883627">
            <w:pPr>
              <w:cnfStyle w:val="100000000000" w:firstRow="1" w:lastRow="0" w:firstColumn="0" w:lastColumn="0" w:oddVBand="0" w:evenVBand="0" w:oddHBand="0" w:evenHBand="0" w:firstRowFirstColumn="0" w:firstRowLastColumn="0" w:lastRowFirstColumn="0" w:lastRowLastColumn="0"/>
            </w:pPr>
            <w:r w:rsidRPr="00A23D34">
              <w:t>You must…</w:t>
            </w:r>
          </w:p>
        </w:tc>
      </w:tr>
      <w:tr w:rsidR="008C08A9" w:rsidRPr="00A23D34" w14:paraId="0151A84E" w14:textId="77777777" w:rsidTr="00A23D34">
        <w:tc>
          <w:tcPr>
            <w:cnfStyle w:val="001000000000" w:firstRow="0" w:lastRow="0" w:firstColumn="1" w:lastColumn="0" w:oddVBand="0" w:evenVBand="0" w:oddHBand="0" w:evenHBand="0" w:firstRowFirstColumn="0" w:firstRowLastColumn="0" w:lastRowFirstColumn="0" w:lastRowLastColumn="0"/>
            <w:tcW w:w="4508" w:type="dxa"/>
          </w:tcPr>
          <w:p w14:paraId="674A1B05" w14:textId="77777777" w:rsidR="008C08A9" w:rsidRPr="00D170A9" w:rsidRDefault="008C08A9" w:rsidP="00883627">
            <w:pPr>
              <w:rPr>
                <w:sz w:val="18"/>
                <w:szCs w:val="18"/>
              </w:rPr>
            </w:pPr>
            <w:r w:rsidRPr="00D170A9">
              <w:rPr>
                <w:sz w:val="18"/>
                <w:szCs w:val="18"/>
              </w:rPr>
              <w:t xml:space="preserve">You have </w:t>
            </w:r>
            <w:r w:rsidRPr="00D170A9">
              <w:rPr>
                <w:b/>
                <w:sz w:val="18"/>
                <w:szCs w:val="18"/>
              </w:rPr>
              <w:t>not notified</w:t>
            </w:r>
            <w:r w:rsidRPr="00D170A9">
              <w:rPr>
                <w:sz w:val="18"/>
                <w:szCs w:val="18"/>
              </w:rPr>
              <w:t xml:space="preserve"> the TGA that your device needs to be reclassified before 25 May 2022, or within two months of inclusion of your device under the old classification rules (whichever is the later date).</w:t>
            </w:r>
          </w:p>
        </w:tc>
        <w:tc>
          <w:tcPr>
            <w:tcW w:w="4508" w:type="dxa"/>
          </w:tcPr>
          <w:p w14:paraId="69D090D8" w14:textId="3F4A0808" w:rsidR="008C08A9" w:rsidRPr="00A23D34" w:rsidRDefault="008C08A9" w:rsidP="00995F42">
            <w:pPr>
              <w:cnfStyle w:val="000000000000" w:firstRow="0" w:lastRow="0" w:firstColumn="0" w:lastColumn="0" w:oddVBand="0" w:evenVBand="0" w:oddHBand="0" w:evenHBand="0" w:firstRowFirstColumn="0" w:firstRowLastColumn="0" w:lastRowFirstColumn="0" w:lastRowLastColumn="0"/>
            </w:pPr>
            <w:r w:rsidRPr="00D170A9">
              <w:rPr>
                <w:sz w:val="18"/>
                <w:szCs w:val="18"/>
              </w:rPr>
              <w:t>Cease supply of your devices from 25 May 2022 or the date that is 2 months after the start date of your ARTG entry (whichever is the later date).</w:t>
            </w:r>
          </w:p>
        </w:tc>
      </w:tr>
      <w:tr w:rsidR="008C08A9" w:rsidRPr="00A23D34" w14:paraId="1CA96F3A" w14:textId="77777777" w:rsidTr="00A23D34">
        <w:tc>
          <w:tcPr>
            <w:cnfStyle w:val="001000000000" w:firstRow="0" w:lastRow="0" w:firstColumn="1" w:lastColumn="0" w:oddVBand="0" w:evenVBand="0" w:oddHBand="0" w:evenHBand="0" w:firstRowFirstColumn="0" w:firstRowLastColumn="0" w:lastRowFirstColumn="0" w:lastRowLastColumn="0"/>
            <w:tcW w:w="4508" w:type="dxa"/>
          </w:tcPr>
          <w:p w14:paraId="34B27926" w14:textId="2964DF6E" w:rsidR="008C08A9" w:rsidRPr="00D170A9" w:rsidRDefault="008C08A9" w:rsidP="00883627">
            <w:pPr>
              <w:rPr>
                <w:sz w:val="18"/>
                <w:szCs w:val="18"/>
              </w:rPr>
            </w:pPr>
            <w:r w:rsidRPr="00D170A9">
              <w:rPr>
                <w:sz w:val="18"/>
                <w:szCs w:val="18"/>
              </w:rPr>
              <w:t xml:space="preserve">You have </w:t>
            </w:r>
            <w:r w:rsidRPr="00D170A9">
              <w:rPr>
                <w:b/>
                <w:sz w:val="18"/>
                <w:szCs w:val="18"/>
              </w:rPr>
              <w:t>not</w:t>
            </w:r>
            <w:r w:rsidRPr="00D170A9">
              <w:rPr>
                <w:sz w:val="18"/>
                <w:szCs w:val="18"/>
              </w:rPr>
              <w:t xml:space="preserve"> </w:t>
            </w:r>
            <w:r w:rsidRPr="00D170A9">
              <w:rPr>
                <w:b/>
                <w:sz w:val="18"/>
                <w:szCs w:val="18"/>
              </w:rPr>
              <w:t>submitted an application for inclusion</w:t>
            </w:r>
            <w:r w:rsidRPr="00D170A9">
              <w:rPr>
                <w:sz w:val="18"/>
                <w:szCs w:val="18"/>
              </w:rPr>
              <w:t xml:space="preserve"> in the ARTG to transition your device to the correct classification </w:t>
            </w:r>
            <w:r w:rsidRPr="00D170A9">
              <w:rPr>
                <w:b/>
                <w:sz w:val="18"/>
                <w:szCs w:val="18"/>
              </w:rPr>
              <w:t xml:space="preserve">before </w:t>
            </w:r>
            <w:hyperlink w:anchor="_Timeframes_for_ARTG" w:history="1">
              <w:r w:rsidR="009D2842" w:rsidRPr="00D170A9">
                <w:rPr>
                  <w:rStyle w:val="Hyperlink"/>
                  <w:b/>
                  <w:sz w:val="18"/>
                  <w:szCs w:val="18"/>
                </w:rPr>
                <w:t>the transition deadline</w:t>
              </w:r>
            </w:hyperlink>
            <w:r w:rsidRPr="00D170A9">
              <w:rPr>
                <w:sz w:val="18"/>
                <w:szCs w:val="18"/>
              </w:rPr>
              <w:t>.</w:t>
            </w:r>
          </w:p>
        </w:tc>
        <w:tc>
          <w:tcPr>
            <w:tcW w:w="4508" w:type="dxa"/>
          </w:tcPr>
          <w:p w14:paraId="3DDE8537" w14:textId="128EFA31" w:rsidR="008C08A9" w:rsidRPr="00D170A9" w:rsidRDefault="008C08A9" w:rsidP="00883627">
            <w:pPr>
              <w:cnfStyle w:val="000000000000" w:firstRow="0" w:lastRow="0" w:firstColumn="0" w:lastColumn="0" w:oddVBand="0" w:evenVBand="0" w:oddHBand="0" w:evenHBand="0" w:firstRowFirstColumn="0" w:firstRowLastColumn="0" w:lastRowFirstColumn="0" w:lastRowLastColumn="0"/>
              <w:rPr>
                <w:sz w:val="18"/>
                <w:szCs w:val="18"/>
              </w:rPr>
            </w:pPr>
            <w:r w:rsidRPr="00D170A9">
              <w:rPr>
                <w:sz w:val="18"/>
                <w:szCs w:val="18"/>
              </w:rPr>
              <w:t xml:space="preserve">Cease supply of your devices from </w:t>
            </w:r>
            <w:r w:rsidR="009D2842" w:rsidRPr="00D170A9">
              <w:rPr>
                <w:sz w:val="18"/>
                <w:szCs w:val="18"/>
              </w:rPr>
              <w:t>the day of the transition deadline</w:t>
            </w:r>
            <w:r w:rsidRPr="00D170A9">
              <w:rPr>
                <w:sz w:val="18"/>
                <w:szCs w:val="18"/>
              </w:rPr>
              <w:t>.</w:t>
            </w:r>
          </w:p>
        </w:tc>
      </w:tr>
      <w:tr w:rsidR="008C08A9" w:rsidRPr="00A23D34" w14:paraId="0D9655FD" w14:textId="77777777" w:rsidTr="00A23D34">
        <w:tc>
          <w:tcPr>
            <w:cnfStyle w:val="001000000000" w:firstRow="0" w:lastRow="0" w:firstColumn="1" w:lastColumn="0" w:oddVBand="0" w:evenVBand="0" w:oddHBand="0" w:evenHBand="0" w:firstRowFirstColumn="0" w:firstRowLastColumn="0" w:lastRowFirstColumn="0" w:lastRowLastColumn="0"/>
            <w:tcW w:w="4508" w:type="dxa"/>
          </w:tcPr>
          <w:p w14:paraId="2B1CD6F1" w14:textId="77777777" w:rsidR="008C08A9" w:rsidRPr="00D170A9" w:rsidRDefault="008C08A9" w:rsidP="00883627">
            <w:pPr>
              <w:rPr>
                <w:sz w:val="18"/>
                <w:szCs w:val="18"/>
              </w:rPr>
            </w:pPr>
            <w:r w:rsidRPr="00D170A9">
              <w:rPr>
                <w:sz w:val="18"/>
                <w:szCs w:val="18"/>
              </w:rPr>
              <w:t>Your application for ARTG inclusion of your device with the correct classification is unsuccessful.</w:t>
            </w:r>
          </w:p>
        </w:tc>
        <w:tc>
          <w:tcPr>
            <w:tcW w:w="4508" w:type="dxa"/>
          </w:tcPr>
          <w:p w14:paraId="0C6EB159" w14:textId="77777777" w:rsidR="008C08A9" w:rsidRPr="00D170A9" w:rsidRDefault="008C08A9" w:rsidP="00883627">
            <w:pPr>
              <w:cnfStyle w:val="000000000000" w:firstRow="0" w:lastRow="0" w:firstColumn="0" w:lastColumn="0" w:oddVBand="0" w:evenVBand="0" w:oddHBand="0" w:evenHBand="0" w:firstRowFirstColumn="0" w:firstRowLastColumn="0" w:lastRowFirstColumn="0" w:lastRowLastColumn="0"/>
              <w:rPr>
                <w:sz w:val="18"/>
                <w:szCs w:val="18"/>
              </w:rPr>
            </w:pPr>
            <w:r w:rsidRPr="00D170A9">
              <w:rPr>
                <w:b/>
                <w:sz w:val="18"/>
                <w:szCs w:val="18"/>
              </w:rPr>
              <w:t>Cease supply</w:t>
            </w:r>
            <w:r w:rsidRPr="00D170A9">
              <w:rPr>
                <w:sz w:val="18"/>
                <w:szCs w:val="18"/>
              </w:rPr>
              <w:t xml:space="preserve"> of your device from the time that you are </w:t>
            </w:r>
            <w:r w:rsidRPr="00D170A9">
              <w:rPr>
                <w:b/>
                <w:sz w:val="18"/>
                <w:szCs w:val="18"/>
              </w:rPr>
              <w:t>notified of the outcome</w:t>
            </w:r>
            <w:r w:rsidRPr="00D170A9">
              <w:rPr>
                <w:sz w:val="18"/>
                <w:szCs w:val="18"/>
              </w:rPr>
              <w:t xml:space="preserve"> of your application.</w:t>
            </w:r>
          </w:p>
        </w:tc>
      </w:tr>
    </w:tbl>
    <w:p w14:paraId="5B6D764B" w14:textId="77777777" w:rsidR="008C08A9" w:rsidRPr="008C08A9" w:rsidRDefault="008C08A9" w:rsidP="00883627">
      <w:pPr>
        <w:pStyle w:val="NonTOCheading2"/>
      </w:pPr>
      <w:r w:rsidRPr="008C08A9">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8C08A9" w:rsidRPr="00A23D34" w14:paraId="69B070C2" w14:textId="77777777" w:rsidTr="00570E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15FFB9B" w14:textId="77777777" w:rsidR="008C08A9" w:rsidRPr="00B965BE" w:rsidRDefault="008C08A9" w:rsidP="00883627">
            <w:pPr>
              <w:rPr>
                <w:color w:val="FFFFFF" w:themeColor="background1"/>
              </w:rPr>
            </w:pPr>
            <w:bookmarkStart w:id="90" w:name="ColumnTitle_4"/>
            <w:r w:rsidRPr="00B965BE">
              <w:rPr>
                <w:color w:val="FFFFFF" w:themeColor="background1"/>
              </w:rPr>
              <w:t>Version</w:t>
            </w:r>
          </w:p>
        </w:tc>
        <w:tc>
          <w:tcPr>
            <w:tcW w:w="3242" w:type="dxa"/>
          </w:tcPr>
          <w:p w14:paraId="2A44336A" w14:textId="77777777" w:rsidR="008C08A9" w:rsidRPr="00B965BE" w:rsidRDefault="008C08A9" w:rsidP="0088362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965BE">
              <w:rPr>
                <w:color w:val="FFFFFF" w:themeColor="background1"/>
              </w:rPr>
              <w:t>Description of change</w:t>
            </w:r>
          </w:p>
        </w:tc>
        <w:tc>
          <w:tcPr>
            <w:tcW w:w="2712" w:type="dxa"/>
          </w:tcPr>
          <w:p w14:paraId="157535A3" w14:textId="77777777" w:rsidR="008C08A9" w:rsidRPr="00B965BE" w:rsidRDefault="008C08A9" w:rsidP="0088362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965BE">
              <w:rPr>
                <w:color w:val="FFFFFF" w:themeColor="background1"/>
              </w:rPr>
              <w:t>Author</w:t>
            </w:r>
          </w:p>
        </w:tc>
        <w:tc>
          <w:tcPr>
            <w:tcW w:w="1808" w:type="dxa"/>
          </w:tcPr>
          <w:p w14:paraId="4C9776AC" w14:textId="77777777" w:rsidR="008C08A9" w:rsidRPr="00B965BE" w:rsidRDefault="008C08A9" w:rsidP="0088362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965BE">
              <w:rPr>
                <w:color w:val="FFFFFF" w:themeColor="background1"/>
              </w:rPr>
              <w:t>Effective date</w:t>
            </w:r>
          </w:p>
        </w:tc>
      </w:tr>
      <w:bookmarkEnd w:id="90"/>
      <w:tr w:rsidR="008C08A9" w:rsidRPr="00A23D34" w14:paraId="11A28DEF"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0E2BF3C" w14:textId="77777777" w:rsidR="008C08A9" w:rsidRPr="00A23D34" w:rsidRDefault="008C08A9" w:rsidP="00883627">
            <w:r w:rsidRPr="00A23D34">
              <w:t>V1.0</w:t>
            </w:r>
          </w:p>
        </w:tc>
        <w:tc>
          <w:tcPr>
            <w:tcW w:w="3242" w:type="dxa"/>
          </w:tcPr>
          <w:p w14:paraId="05CF24D6"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Original publication</w:t>
            </w:r>
          </w:p>
        </w:tc>
        <w:tc>
          <w:tcPr>
            <w:tcW w:w="2712" w:type="dxa"/>
          </w:tcPr>
          <w:p w14:paraId="76C4D684"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78668FAB"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September 2021</w:t>
            </w:r>
          </w:p>
        </w:tc>
      </w:tr>
      <w:tr w:rsidR="008C08A9" w:rsidRPr="00A23D34" w14:paraId="745752F2"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42BB236" w14:textId="77777777" w:rsidR="008C08A9" w:rsidRPr="00A23D34" w:rsidRDefault="008C08A9" w:rsidP="00883627">
            <w:r w:rsidRPr="00A23D34">
              <w:t>V2.0</w:t>
            </w:r>
          </w:p>
        </w:tc>
        <w:tc>
          <w:tcPr>
            <w:tcW w:w="3242" w:type="dxa"/>
          </w:tcPr>
          <w:p w14:paraId="3B6097C9"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Update to reflect regulatory changes.</w:t>
            </w:r>
          </w:p>
        </w:tc>
        <w:tc>
          <w:tcPr>
            <w:tcW w:w="2712" w:type="dxa"/>
          </w:tcPr>
          <w:p w14:paraId="03ABCF84"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7144B818"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October 2021</w:t>
            </w:r>
          </w:p>
        </w:tc>
      </w:tr>
      <w:tr w:rsidR="008C08A9" w:rsidRPr="00A23D34" w14:paraId="5FC96C7C"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5161336" w14:textId="77777777" w:rsidR="008C08A9" w:rsidRPr="00A23D34" w:rsidRDefault="008C08A9" w:rsidP="00883627">
            <w:r w:rsidRPr="00A23D34">
              <w:t>V2.1</w:t>
            </w:r>
          </w:p>
        </w:tc>
        <w:tc>
          <w:tcPr>
            <w:tcW w:w="3242" w:type="dxa"/>
          </w:tcPr>
          <w:p w14:paraId="4AEBDDDA"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Update to reflect regulatory refinements</w:t>
            </w:r>
          </w:p>
        </w:tc>
        <w:tc>
          <w:tcPr>
            <w:tcW w:w="2712" w:type="dxa"/>
          </w:tcPr>
          <w:p w14:paraId="55AAC8DD"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13E8A9DE"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November 2021</w:t>
            </w:r>
          </w:p>
        </w:tc>
      </w:tr>
      <w:tr w:rsidR="008C08A9" w:rsidRPr="00A23D34" w14:paraId="50CE3F73"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D53ABC9" w14:textId="77777777" w:rsidR="008C08A9" w:rsidRPr="00A23D34" w:rsidRDefault="008C08A9" w:rsidP="00883627">
            <w:r w:rsidRPr="00A23D34">
              <w:t>V2.2</w:t>
            </w:r>
          </w:p>
        </w:tc>
        <w:tc>
          <w:tcPr>
            <w:tcW w:w="3242" w:type="dxa"/>
          </w:tcPr>
          <w:p w14:paraId="1DF21696"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 xml:space="preserve">Update to mandatory audit paragraph </w:t>
            </w:r>
          </w:p>
        </w:tc>
        <w:tc>
          <w:tcPr>
            <w:tcW w:w="2712" w:type="dxa"/>
          </w:tcPr>
          <w:p w14:paraId="6B5946CA"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5AFDAC77"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March 2022</w:t>
            </w:r>
          </w:p>
        </w:tc>
      </w:tr>
      <w:tr w:rsidR="008C08A9" w:rsidRPr="00A23D34" w14:paraId="58BE2338"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365000A" w14:textId="77777777" w:rsidR="008C08A9" w:rsidRPr="00A23D34" w:rsidRDefault="008C08A9" w:rsidP="00883627">
            <w:r w:rsidRPr="00A23D34">
              <w:t>V2.3</w:t>
            </w:r>
          </w:p>
        </w:tc>
        <w:tc>
          <w:tcPr>
            <w:tcW w:w="3242" w:type="dxa"/>
          </w:tcPr>
          <w:p w14:paraId="24BF2A45"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Update information regarding Product Notification Forms</w:t>
            </w:r>
          </w:p>
        </w:tc>
        <w:tc>
          <w:tcPr>
            <w:tcW w:w="2712" w:type="dxa"/>
          </w:tcPr>
          <w:p w14:paraId="54C55A1A"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321E8AC3"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June 2022</w:t>
            </w:r>
          </w:p>
        </w:tc>
      </w:tr>
      <w:tr w:rsidR="008C08A9" w:rsidRPr="00A23D34" w14:paraId="4B539CE4"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15A0705" w14:textId="77777777" w:rsidR="008C08A9" w:rsidRPr="00A23D34" w:rsidRDefault="008C08A9" w:rsidP="00883627">
            <w:r w:rsidRPr="00A23D34">
              <w:t>V2.4</w:t>
            </w:r>
          </w:p>
        </w:tc>
        <w:tc>
          <w:tcPr>
            <w:tcW w:w="3242" w:type="dxa"/>
          </w:tcPr>
          <w:p w14:paraId="45CBFEF7"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Addition of reclassification instructions</w:t>
            </w:r>
          </w:p>
        </w:tc>
        <w:tc>
          <w:tcPr>
            <w:tcW w:w="2712" w:type="dxa"/>
          </w:tcPr>
          <w:p w14:paraId="3E0133C1"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4F2B4DC7" w14:textId="77777777" w:rsidR="008C08A9" w:rsidRPr="00A23D34" w:rsidRDefault="008C08A9" w:rsidP="00883627">
            <w:pPr>
              <w:cnfStyle w:val="000000000000" w:firstRow="0" w:lastRow="0" w:firstColumn="0" w:lastColumn="0" w:oddVBand="0" w:evenVBand="0" w:oddHBand="0" w:evenHBand="0" w:firstRowFirstColumn="0" w:firstRowLastColumn="0" w:lastRowFirstColumn="0" w:lastRowLastColumn="0"/>
            </w:pPr>
            <w:r w:rsidRPr="00A23D34">
              <w:t>December 2022</w:t>
            </w:r>
          </w:p>
        </w:tc>
      </w:tr>
      <w:tr w:rsidR="006F6423" w:rsidRPr="00A23D34" w14:paraId="4E25F5E8"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F278BB9" w14:textId="3DE8E7B1" w:rsidR="006F6423" w:rsidRPr="00A23D34" w:rsidRDefault="006F6423" w:rsidP="00883627">
            <w:r w:rsidRPr="00A23D34">
              <w:t>V2.5</w:t>
            </w:r>
          </w:p>
        </w:tc>
        <w:tc>
          <w:tcPr>
            <w:tcW w:w="3242" w:type="dxa"/>
          </w:tcPr>
          <w:p w14:paraId="3B2829B9" w14:textId="15D5106D" w:rsidR="006F6423" w:rsidRPr="00A23D34" w:rsidRDefault="00565A46" w:rsidP="00883627">
            <w:pPr>
              <w:cnfStyle w:val="000000000000" w:firstRow="0" w:lastRow="0" w:firstColumn="0" w:lastColumn="0" w:oddVBand="0" w:evenVBand="0" w:oddHBand="0" w:evenHBand="0" w:firstRowFirstColumn="0" w:firstRowLastColumn="0" w:lastRowFirstColumn="0" w:lastRowLastColumn="0"/>
            </w:pPr>
            <w:r w:rsidRPr="00A23D34">
              <w:t>Update the transition deadline, weblink and some minor edits</w:t>
            </w:r>
          </w:p>
        </w:tc>
        <w:tc>
          <w:tcPr>
            <w:tcW w:w="2712" w:type="dxa"/>
          </w:tcPr>
          <w:p w14:paraId="0ED57F2B" w14:textId="772F81CC" w:rsidR="006F6423" w:rsidRPr="00A23D34" w:rsidRDefault="006F6423"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2F7C49BF" w14:textId="4240A3CB" w:rsidR="006F6423" w:rsidRPr="00A23D34" w:rsidRDefault="006F6423" w:rsidP="00883627">
            <w:pPr>
              <w:cnfStyle w:val="000000000000" w:firstRow="0" w:lastRow="0" w:firstColumn="0" w:lastColumn="0" w:oddVBand="0" w:evenVBand="0" w:oddHBand="0" w:evenHBand="0" w:firstRowFirstColumn="0" w:firstRowLastColumn="0" w:lastRowFirstColumn="0" w:lastRowLastColumn="0"/>
            </w:pPr>
            <w:r w:rsidRPr="00A23D34">
              <w:t>August 2023</w:t>
            </w:r>
          </w:p>
        </w:tc>
      </w:tr>
      <w:tr w:rsidR="00960AF0" w:rsidRPr="00A23D34" w14:paraId="185EBD2F" w14:textId="77777777" w:rsidTr="00570E9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546F445" w14:textId="1C897C78" w:rsidR="00960AF0" w:rsidRPr="00A23D34" w:rsidRDefault="00960AF0" w:rsidP="00883627">
            <w:r w:rsidRPr="00A23D34">
              <w:t>V2.6</w:t>
            </w:r>
          </w:p>
        </w:tc>
        <w:tc>
          <w:tcPr>
            <w:tcW w:w="3242" w:type="dxa"/>
          </w:tcPr>
          <w:p w14:paraId="5E15C099" w14:textId="489E4216" w:rsidR="00960AF0" w:rsidRPr="00A23D34" w:rsidRDefault="00960AF0" w:rsidP="00883627">
            <w:pPr>
              <w:cnfStyle w:val="000000000000" w:firstRow="0" w:lastRow="0" w:firstColumn="0" w:lastColumn="0" w:oddVBand="0" w:evenVBand="0" w:oddHBand="0" w:evenHBand="0" w:firstRowFirstColumn="0" w:firstRowLastColumn="0" w:lastRowFirstColumn="0" w:lastRowLastColumn="0"/>
            </w:pPr>
            <w:r w:rsidRPr="00A23D34">
              <w:t>Update the transition deadline</w:t>
            </w:r>
          </w:p>
        </w:tc>
        <w:tc>
          <w:tcPr>
            <w:tcW w:w="2712" w:type="dxa"/>
          </w:tcPr>
          <w:p w14:paraId="038A9D01" w14:textId="005865CC" w:rsidR="00960AF0" w:rsidRPr="00A23D34" w:rsidRDefault="00960AF0" w:rsidP="00883627">
            <w:pPr>
              <w:cnfStyle w:val="000000000000" w:firstRow="0" w:lastRow="0" w:firstColumn="0" w:lastColumn="0" w:oddVBand="0" w:evenVBand="0" w:oddHBand="0" w:evenHBand="0" w:firstRowFirstColumn="0" w:firstRowLastColumn="0" w:lastRowFirstColumn="0" w:lastRowLastColumn="0"/>
            </w:pPr>
            <w:r w:rsidRPr="00A23D34">
              <w:t>Medical Devices Authorisation Branch</w:t>
            </w:r>
          </w:p>
        </w:tc>
        <w:tc>
          <w:tcPr>
            <w:tcW w:w="1808" w:type="dxa"/>
          </w:tcPr>
          <w:p w14:paraId="77B5E6A8" w14:textId="508115BA" w:rsidR="00960AF0" w:rsidRPr="00A23D34" w:rsidRDefault="005F76F4" w:rsidP="00883627">
            <w:pPr>
              <w:cnfStyle w:val="000000000000" w:firstRow="0" w:lastRow="0" w:firstColumn="0" w:lastColumn="0" w:oddVBand="0" w:evenVBand="0" w:oddHBand="0" w:evenHBand="0" w:firstRowFirstColumn="0" w:firstRowLastColumn="0" w:lastRowFirstColumn="0" w:lastRowLastColumn="0"/>
            </w:pPr>
            <w:r w:rsidRPr="00A23D34">
              <w:t>December</w:t>
            </w:r>
            <w:r w:rsidR="00960AF0" w:rsidRPr="00A23D34">
              <w:t xml:space="preserve"> 2023</w:t>
            </w:r>
          </w:p>
        </w:tc>
      </w:tr>
    </w:tbl>
    <w:p w14:paraId="61B6A93F" w14:textId="77777777" w:rsidR="008C08A9" w:rsidRPr="008C08A9" w:rsidRDefault="008C08A9" w:rsidP="00883627">
      <w:pPr>
        <w:sectPr w:rsidR="008C08A9" w:rsidRPr="008C08A9" w:rsidSect="0029069E">
          <w:headerReference w:type="default" r:id="rId53"/>
          <w:footerReference w:type="default" r:id="rId5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6376BB" w:rsidRPr="00215D48" w14:paraId="656B636A" w14:textId="77777777" w:rsidTr="00A458C3">
        <w:trPr>
          <w:trHeight w:hRule="exact" w:val="565"/>
          <w:jc w:val="center"/>
        </w:trPr>
        <w:tc>
          <w:tcPr>
            <w:tcW w:w="9145" w:type="dxa"/>
          </w:tcPr>
          <w:p w14:paraId="7122F705" w14:textId="77777777" w:rsidR="006376BB" w:rsidRPr="00215D48" w:rsidRDefault="006376BB" w:rsidP="00A458C3">
            <w:pPr>
              <w:pStyle w:val="TGASignoff"/>
            </w:pPr>
            <w:r w:rsidRPr="00215D48">
              <w:lastRenderedPageBreak/>
              <w:t>Therapeutic Goods Administration</w:t>
            </w:r>
          </w:p>
        </w:tc>
      </w:tr>
      <w:tr w:rsidR="006376BB" w:rsidRPr="00B528AB" w14:paraId="5EC9BF8C" w14:textId="77777777" w:rsidTr="00A458C3">
        <w:trPr>
          <w:trHeight w:val="963"/>
          <w:jc w:val="center"/>
        </w:trPr>
        <w:tc>
          <w:tcPr>
            <w:tcW w:w="9145" w:type="dxa"/>
            <w:tcMar>
              <w:top w:w="28" w:type="dxa"/>
            </w:tcMar>
          </w:tcPr>
          <w:p w14:paraId="63D1C939" w14:textId="77777777" w:rsidR="006376BB" w:rsidRPr="00215D48" w:rsidRDefault="006376BB" w:rsidP="00A458C3">
            <w:pPr>
              <w:pStyle w:val="Address"/>
              <w:jc w:val="center"/>
            </w:pPr>
            <w:r w:rsidRPr="00215D48">
              <w:t>PO Box 100 Woden ACT 2606 Australia</w:t>
            </w:r>
          </w:p>
          <w:p w14:paraId="0221893F" w14:textId="77777777" w:rsidR="006376BB" w:rsidRDefault="006376BB" w:rsidP="00A458C3">
            <w:pPr>
              <w:pStyle w:val="Address"/>
              <w:jc w:val="center"/>
            </w:pPr>
            <w:r w:rsidRPr="00215D48">
              <w:t xml:space="preserve">Email: </w:t>
            </w:r>
            <w:hyperlink r:id="rId55" w:history="1">
              <w:r w:rsidRPr="00215D48">
                <w:rPr>
                  <w:rStyle w:val="Hyperlink"/>
                </w:rPr>
                <w:t>info@tga.gov.au</w:t>
              </w:r>
            </w:hyperlink>
            <w:r w:rsidRPr="00215D48">
              <w:t xml:space="preserve">  Phone: 1800 020 653  Fax: </w:t>
            </w:r>
            <w:r w:rsidRPr="00BA0DFC">
              <w:t>02 6203 1605</w:t>
            </w:r>
          </w:p>
          <w:p w14:paraId="5B9ADAD3" w14:textId="77777777" w:rsidR="006376BB" w:rsidRPr="00B528AB" w:rsidRDefault="006376BB" w:rsidP="00A458C3">
            <w:pPr>
              <w:pStyle w:val="Address"/>
              <w:jc w:val="center"/>
              <w:rPr>
                <w:rStyle w:val="Hyperlink"/>
                <w:color w:val="333F48"/>
                <w:sz w:val="22"/>
                <w:szCs w:val="22"/>
              </w:rPr>
            </w:pPr>
            <w:r>
              <w:rPr>
                <w:sz w:val="22"/>
                <w:szCs w:val="22"/>
              </w:rPr>
              <w:t xml:space="preserve">Web: </w:t>
            </w:r>
            <w:hyperlink r:id="rId56" w:history="1">
              <w:r w:rsidRPr="00B528AB">
                <w:rPr>
                  <w:rStyle w:val="Hyperlink"/>
                </w:rPr>
                <w:t>tga.gov.au</w:t>
              </w:r>
            </w:hyperlink>
          </w:p>
        </w:tc>
      </w:tr>
    </w:tbl>
    <w:p w14:paraId="1EFF2325" w14:textId="77777777" w:rsidR="00706634" w:rsidRPr="008C08A9" w:rsidRDefault="00706634" w:rsidP="006376BB"/>
    <w:sectPr w:rsidR="00706634" w:rsidRPr="008C08A9" w:rsidSect="00AE7C6A">
      <w:headerReference w:type="first" r:id="rId57"/>
      <w:footerReference w:type="first" r:id="rId5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D9E7" w14:textId="77777777" w:rsidR="000E57B6" w:rsidRDefault="000E57B6" w:rsidP="00883627">
      <w:r>
        <w:separator/>
      </w:r>
    </w:p>
  </w:endnote>
  <w:endnote w:type="continuationSeparator" w:id="0">
    <w:p w14:paraId="5C6F26F2" w14:textId="77777777" w:rsidR="000E57B6" w:rsidRDefault="000E57B6" w:rsidP="0088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7B724B6E" w14:textId="77777777" w:rsidTr="000B30E5">
      <w:trPr>
        <w:trHeight w:val="423"/>
      </w:trPr>
      <w:tc>
        <w:tcPr>
          <w:tcW w:w="4360" w:type="dxa"/>
          <w:tcBorders>
            <w:top w:val="single" w:sz="4" w:space="0" w:color="auto"/>
          </w:tcBorders>
        </w:tcPr>
        <w:p w14:paraId="02F8F82A" w14:textId="77777777" w:rsidR="00A77452" w:rsidRDefault="00A77452" w:rsidP="00883627">
          <w:pPr>
            <w:pStyle w:val="Footer"/>
          </w:pPr>
        </w:p>
        <w:p w14:paraId="245524AC" w14:textId="77777777" w:rsidR="00A77452" w:rsidRPr="00257138" w:rsidRDefault="00A77452" w:rsidP="00883627">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16CA3EA" w14:textId="77777777" w:rsidR="00A77452" w:rsidRDefault="00A77452" w:rsidP="00883627">
              <w:pPr>
                <w:pStyle w:val="Footer"/>
              </w:pPr>
            </w:p>
            <w:p w14:paraId="6FD93926" w14:textId="77777777" w:rsidR="00A77452" w:rsidRPr="00257138" w:rsidRDefault="00A77452" w:rsidP="00883627">
              <w:pPr>
                <w:pStyle w:val="Footer"/>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4F1ECDDB" w14:textId="77777777" w:rsidTr="000B30E5">
      <w:trPr>
        <w:trHeight w:val="263"/>
      </w:trPr>
      <w:tc>
        <w:tcPr>
          <w:tcW w:w="4360" w:type="dxa"/>
        </w:tcPr>
        <w:p w14:paraId="6AC4B910" w14:textId="77777777" w:rsidR="00A77452" w:rsidRPr="00257138" w:rsidRDefault="00A77452" w:rsidP="00883627">
          <w:pPr>
            <w:pStyle w:val="Footer"/>
          </w:pPr>
          <w:r w:rsidRPr="00257138">
            <w:t xml:space="preserve">V1.0 </w:t>
          </w:r>
          <w:r>
            <w:t>Month</w:t>
          </w:r>
          <w:r w:rsidRPr="00257138">
            <w:t xml:space="preserve"> 201</w:t>
          </w:r>
          <w:r>
            <w:t>2</w:t>
          </w:r>
        </w:p>
      </w:tc>
      <w:tc>
        <w:tcPr>
          <w:tcW w:w="4360" w:type="dxa"/>
        </w:tcPr>
        <w:p w14:paraId="17FC8FA1" w14:textId="77777777" w:rsidR="00A77452" w:rsidRPr="00257138" w:rsidRDefault="00A77452" w:rsidP="00883627">
          <w:pPr>
            <w:pStyle w:val="Footer"/>
          </w:pPr>
        </w:p>
      </w:tc>
    </w:tr>
  </w:tbl>
  <w:p w14:paraId="6BCC3781" w14:textId="77777777" w:rsidR="00A77452" w:rsidRPr="00826007" w:rsidRDefault="00A77452" w:rsidP="00883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94D5" w14:textId="77777777" w:rsidR="00A77452" w:rsidRDefault="00A77452" w:rsidP="00883627">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C08A9" w:rsidRPr="004A3084" w14:paraId="7A60B10A" w14:textId="77777777" w:rsidTr="00231E8D">
      <w:trPr>
        <w:trHeight w:val="423"/>
      </w:trPr>
      <w:tc>
        <w:tcPr>
          <w:tcW w:w="7338" w:type="dxa"/>
          <w:tcBorders>
            <w:top w:val="single" w:sz="4" w:space="0" w:color="auto"/>
          </w:tcBorders>
        </w:tcPr>
        <w:p w14:paraId="3BC2F500" w14:textId="325EDD0C" w:rsidR="008C08A9" w:rsidRPr="004A3084" w:rsidRDefault="008C08A9" w:rsidP="00883627">
          <w:pPr>
            <w:pStyle w:val="Footer"/>
          </w:pPr>
          <w:r w:rsidRPr="009A1F98">
            <w:t>Guidance on the transitional arrangements and obligations to reclassify spinal implantable medical devices</w:t>
          </w:r>
          <w:r w:rsidRPr="009A1F98">
            <w:br/>
            <w:t>V</w:t>
          </w:r>
          <w:r>
            <w:t>2</w:t>
          </w:r>
          <w:r w:rsidRPr="009A1F98">
            <w:t>.</w:t>
          </w:r>
          <w:r w:rsidR="005F76F4">
            <w:t>6 Dec</w:t>
          </w:r>
          <w:r w:rsidR="00A23D34">
            <w:t>e</w:t>
          </w:r>
          <w:r w:rsidR="005F76F4">
            <w:t>mber</w:t>
          </w:r>
          <w:r w:rsidR="00202E4E">
            <w:t xml:space="preserve"> </w:t>
          </w:r>
          <w:r>
            <w:t>202</w:t>
          </w:r>
          <w:r w:rsidR="00202E4E">
            <w:t>3</w:t>
          </w:r>
        </w:p>
      </w:tc>
      <w:tc>
        <w:tcPr>
          <w:tcW w:w="1382" w:type="dxa"/>
          <w:tcBorders>
            <w:top w:val="single" w:sz="4" w:space="0" w:color="auto"/>
          </w:tcBorders>
        </w:tcPr>
        <w:sdt>
          <w:sdtPr>
            <w:id w:val="11571659"/>
            <w:docPartObj>
              <w:docPartGallery w:val="Page Numbers (Top of Page)"/>
              <w:docPartUnique/>
            </w:docPartObj>
          </w:sdtPr>
          <w:sdtEndPr/>
          <w:sdtContent>
            <w:p w14:paraId="413DC94F" w14:textId="77777777" w:rsidR="008C08A9" w:rsidRPr="004A3084" w:rsidRDefault="008C08A9" w:rsidP="00883627">
              <w:pPr>
                <w:pStyle w:val="Footer"/>
              </w:pPr>
              <w:r w:rsidRPr="004A3084">
                <w:t xml:space="preserve">Page </w:t>
              </w:r>
              <w:r>
                <w:fldChar w:fldCharType="begin"/>
              </w:r>
              <w:r>
                <w:instrText xml:space="preserve"> PAGE </w:instrText>
              </w:r>
              <w:r>
                <w:fldChar w:fldCharType="separate"/>
              </w:r>
              <w:r>
                <w:rPr>
                  <w:noProof/>
                </w:rPr>
                <w:t>14</w:t>
              </w:r>
              <w:r>
                <w:rPr>
                  <w:noProof/>
                </w:rPr>
                <w:fldChar w:fldCharType="end"/>
              </w:r>
              <w:r w:rsidRPr="004A3084">
                <w:t xml:space="preserve"> of </w:t>
              </w:r>
              <w:fldSimple w:instr=" NUMPAGES  ">
                <w:r>
                  <w:rPr>
                    <w:noProof/>
                  </w:rPr>
                  <w:t>15</w:t>
                </w:r>
              </w:fldSimple>
            </w:p>
          </w:sdtContent>
        </w:sdt>
      </w:tc>
    </w:tr>
  </w:tbl>
  <w:p w14:paraId="6A74C890" w14:textId="77777777" w:rsidR="008C08A9" w:rsidRPr="00826007" w:rsidRDefault="008C08A9" w:rsidP="008836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055B" w14:textId="77777777" w:rsidR="00A77452" w:rsidRPr="008E3C43" w:rsidRDefault="00A77452" w:rsidP="0088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4CC1" w14:textId="77777777" w:rsidR="000E57B6" w:rsidRDefault="000E57B6" w:rsidP="00883627">
      <w:r>
        <w:separator/>
      </w:r>
    </w:p>
  </w:footnote>
  <w:footnote w:type="continuationSeparator" w:id="0">
    <w:p w14:paraId="4F61BC56" w14:textId="77777777" w:rsidR="000E57B6" w:rsidRDefault="000E57B6" w:rsidP="0088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7000" w14:textId="77777777" w:rsidR="00A77452" w:rsidRDefault="00995F42" w:rsidP="00883627">
    <w:pPr>
      <w:pStyle w:val="Header"/>
    </w:pPr>
    <w:sdt>
      <w:sdtPr>
        <w:id w:val="-203553135"/>
        <w:docPartObj>
          <w:docPartGallery w:val="Watermarks"/>
          <w:docPartUnique/>
        </w:docPartObj>
      </w:sdtPr>
      <w:sdtEndPr/>
      <w:sdtContent>
        <w:r>
          <w:rPr>
            <w:noProof/>
          </w:rPr>
          <w:pict w14:anchorId="242E1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7EB2652A" w14:textId="77777777" w:rsidTr="00F71E1E">
      <w:trPr>
        <w:trHeight w:hRule="exact" w:val="8845"/>
      </w:trPr>
      <w:tc>
        <w:tcPr>
          <w:tcW w:w="11964" w:type="dxa"/>
          <w:vAlign w:val="center"/>
        </w:tcPr>
        <w:p w14:paraId="2E39E928" w14:textId="77777777" w:rsidR="00A77452" w:rsidRPr="002B29B2" w:rsidRDefault="00995F42" w:rsidP="00883627">
          <w:pPr>
            <w:rPr>
              <w:noProof/>
            </w:rPr>
          </w:pPr>
          <w:sdt>
            <w:sdtPr>
              <w:rPr>
                <w:noProof/>
              </w:rPr>
              <w:id w:val="1926993388"/>
              <w:showingPlcHdr/>
              <w:picture/>
            </w:sdtPr>
            <w:sdtEndPr/>
            <w:sdtContent>
              <w:r w:rsidR="00A77452" w:rsidRPr="00F71E1E">
                <w:rPr>
                  <w:noProof/>
                  <w:lang w:eastAsia="en-AU"/>
                </w:rPr>
                <w:drawing>
                  <wp:inline distT="0" distB="0" distL="0" distR="0" wp14:anchorId="17086506" wp14:editId="38184616">
                    <wp:extent cx="7631430" cy="5523865"/>
                    <wp:effectExtent l="0" t="0" r="762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1CE000F5" w14:textId="77777777" w:rsidR="00A77452" w:rsidRDefault="0078745C" w:rsidP="00883627">
    <w:pPr>
      <w:rPr>
        <w:noProof/>
      </w:rPr>
    </w:pPr>
    <w:r w:rsidRPr="002B29B2">
      <w:rPr>
        <w:noProof/>
        <w:lang w:eastAsia="en-AU"/>
      </w:rPr>
      <w:drawing>
        <wp:anchor distT="0" distB="0" distL="114300" distR="114300" simplePos="0" relativeHeight="251662336" behindDoc="0" locked="0" layoutInCell="0" allowOverlap="1" wp14:anchorId="16458898" wp14:editId="0495F774">
          <wp:simplePos x="0" y="0"/>
          <wp:positionH relativeFrom="page">
            <wp:align>left</wp:align>
          </wp:positionH>
          <wp:positionV relativeFrom="page">
            <wp:posOffset>3239495</wp:posOffset>
          </wp:positionV>
          <wp:extent cx="7663815" cy="4323091"/>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0842D484" wp14:editId="06DF8859">
          <wp:simplePos x="0" y="0"/>
          <wp:positionH relativeFrom="column">
            <wp:posOffset>-186055</wp:posOffset>
          </wp:positionH>
          <wp:positionV relativeFrom="paragraph">
            <wp:posOffset>136525</wp:posOffset>
          </wp:positionV>
          <wp:extent cx="3524250" cy="819150"/>
          <wp:effectExtent l="0" t="0" r="0" b="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10CF" w14:textId="77777777" w:rsidR="008C08A9" w:rsidRDefault="008C08A9" w:rsidP="00883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1A73" w14:textId="77777777" w:rsidR="00A77452" w:rsidRPr="00FE501F" w:rsidRDefault="00A77452" w:rsidP="00883627">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109A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C625DC"/>
    <w:multiLevelType w:val="hybridMultilevel"/>
    <w:tmpl w:val="8DE86A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0969693">
    <w:abstractNumId w:val="2"/>
  </w:num>
  <w:num w:numId="2" w16cid:durableId="1636712858">
    <w:abstractNumId w:val="1"/>
  </w:num>
  <w:num w:numId="3" w16cid:durableId="2115052723">
    <w:abstractNumId w:val="5"/>
  </w:num>
  <w:num w:numId="4" w16cid:durableId="1839079090">
    <w:abstractNumId w:val="5"/>
  </w:num>
  <w:num w:numId="5" w16cid:durableId="1251432389">
    <w:abstractNumId w:val="0"/>
  </w:num>
  <w:num w:numId="6" w16cid:durableId="1996913965">
    <w:abstractNumId w:val="5"/>
  </w:num>
  <w:num w:numId="7" w16cid:durableId="74938636">
    <w:abstractNumId w:val="5"/>
  </w:num>
  <w:num w:numId="8" w16cid:durableId="401757546">
    <w:abstractNumId w:val="3"/>
  </w:num>
  <w:num w:numId="9" w16cid:durableId="831264704">
    <w:abstractNumId w:val="3"/>
  </w:num>
  <w:num w:numId="10" w16cid:durableId="1672220230">
    <w:abstractNumId w:val="3"/>
  </w:num>
  <w:num w:numId="11" w16cid:durableId="598681978">
    <w:abstractNumId w:val="3"/>
  </w:num>
  <w:num w:numId="12" w16cid:durableId="670571849">
    <w:abstractNumId w:val="5"/>
  </w:num>
  <w:num w:numId="13" w16cid:durableId="1061564824">
    <w:abstractNumId w:val="5"/>
  </w:num>
  <w:num w:numId="14" w16cid:durableId="2034959041">
    <w:abstractNumId w:val="5"/>
  </w:num>
  <w:num w:numId="15" w16cid:durableId="687563257">
    <w:abstractNumId w:val="3"/>
  </w:num>
  <w:num w:numId="16" w16cid:durableId="1138035642">
    <w:abstractNumId w:val="3"/>
  </w:num>
  <w:num w:numId="17" w16cid:durableId="879324577">
    <w:abstractNumId w:val="3"/>
    <w:lvlOverride w:ilvl="0">
      <w:lvl w:ilvl="0">
        <w:start w:val="1"/>
        <w:numFmt w:val="decimal"/>
        <w:pStyle w:val="Numberbullet0"/>
        <w:lvlText w:val="%1."/>
        <w:lvlJc w:val="left"/>
        <w:pPr>
          <w:ind w:left="425" w:hanging="425"/>
        </w:pPr>
        <w:rPr>
          <w:rFonts w:ascii="Arial" w:hAnsi="Arial" w:cs="Arial" w:hint="default"/>
        </w:rPr>
      </w:lvl>
    </w:lvlOverride>
  </w:num>
  <w:num w:numId="18" w16cid:durableId="192113462">
    <w:abstractNumId w:val="4"/>
  </w:num>
  <w:num w:numId="19" w16cid:durableId="1204365645">
    <w:abstractNumId w:val="9"/>
  </w:num>
  <w:num w:numId="20" w16cid:durableId="1114980001">
    <w:abstractNumId w:val="6"/>
  </w:num>
  <w:num w:numId="21" w16cid:durableId="1024746350">
    <w:abstractNumId w:val="8"/>
  </w:num>
  <w:num w:numId="22" w16cid:durableId="915021108">
    <w:abstractNumId w:val="5"/>
    <w:lvlOverride w:ilvl="0">
      <w:lvl w:ilvl="0">
        <w:start w:val="4"/>
        <w:numFmt w:val="bullet"/>
        <w:pStyle w:val="ListBullet"/>
        <w:lvlText w:val="•"/>
        <w:lvlJc w:val="left"/>
        <w:pPr>
          <w:ind w:left="720" w:hanging="360"/>
        </w:pPr>
        <w:rPr>
          <w:rFonts w:ascii="Cambria" w:eastAsia="Cambria" w:hAnsi="Cambria" w:hint="default"/>
          <w:color w:val="auto"/>
        </w:rPr>
      </w:lvl>
    </w:lvlOverride>
  </w:num>
  <w:num w:numId="23" w16cid:durableId="573468496">
    <w:abstractNumId w:val="10"/>
  </w:num>
  <w:num w:numId="24" w16cid:durableId="1698964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A9"/>
    <w:rsid w:val="00002031"/>
    <w:rsid w:val="000040BA"/>
    <w:rsid w:val="00004734"/>
    <w:rsid w:val="000061F7"/>
    <w:rsid w:val="00006B22"/>
    <w:rsid w:val="00010E4D"/>
    <w:rsid w:val="0001276A"/>
    <w:rsid w:val="00013DD6"/>
    <w:rsid w:val="00016BEB"/>
    <w:rsid w:val="000246AE"/>
    <w:rsid w:val="00025C67"/>
    <w:rsid w:val="00030D34"/>
    <w:rsid w:val="00032FFB"/>
    <w:rsid w:val="0005559E"/>
    <w:rsid w:val="000703AB"/>
    <w:rsid w:val="000724FC"/>
    <w:rsid w:val="00074CAE"/>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E57B6"/>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5F3"/>
    <w:rsid w:val="001E07CF"/>
    <w:rsid w:val="001E275A"/>
    <w:rsid w:val="001E59F1"/>
    <w:rsid w:val="001F124F"/>
    <w:rsid w:val="001F20F9"/>
    <w:rsid w:val="001F49EB"/>
    <w:rsid w:val="001F6CBA"/>
    <w:rsid w:val="00201D4E"/>
    <w:rsid w:val="00202E4E"/>
    <w:rsid w:val="00215D48"/>
    <w:rsid w:val="00217091"/>
    <w:rsid w:val="00220B8A"/>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D2099"/>
    <w:rsid w:val="002E193A"/>
    <w:rsid w:val="002E364F"/>
    <w:rsid w:val="002E4C9A"/>
    <w:rsid w:val="002F11F8"/>
    <w:rsid w:val="002F260A"/>
    <w:rsid w:val="002F3CE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93F5B"/>
    <w:rsid w:val="003A2DDF"/>
    <w:rsid w:val="003B362C"/>
    <w:rsid w:val="003B6FE6"/>
    <w:rsid w:val="003B7E39"/>
    <w:rsid w:val="003C58DC"/>
    <w:rsid w:val="003D3B63"/>
    <w:rsid w:val="003D6B56"/>
    <w:rsid w:val="003E0A89"/>
    <w:rsid w:val="003E3208"/>
    <w:rsid w:val="003F0B04"/>
    <w:rsid w:val="003F282B"/>
    <w:rsid w:val="003F2E2B"/>
    <w:rsid w:val="003F2E95"/>
    <w:rsid w:val="0040134E"/>
    <w:rsid w:val="00404B57"/>
    <w:rsid w:val="00406DB9"/>
    <w:rsid w:val="00416BCB"/>
    <w:rsid w:val="00440A2D"/>
    <w:rsid w:val="00442DA9"/>
    <w:rsid w:val="0045040C"/>
    <w:rsid w:val="004564A7"/>
    <w:rsid w:val="004617BF"/>
    <w:rsid w:val="00471044"/>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B69"/>
    <w:rsid w:val="00532A50"/>
    <w:rsid w:val="00535D83"/>
    <w:rsid w:val="0054053C"/>
    <w:rsid w:val="00541FD8"/>
    <w:rsid w:val="005423EF"/>
    <w:rsid w:val="005434C6"/>
    <w:rsid w:val="00543B39"/>
    <w:rsid w:val="00550096"/>
    <w:rsid w:val="0055653F"/>
    <w:rsid w:val="00557FF9"/>
    <w:rsid w:val="00560037"/>
    <w:rsid w:val="005640AC"/>
    <w:rsid w:val="00565A46"/>
    <w:rsid w:val="00567A2E"/>
    <w:rsid w:val="00572A01"/>
    <w:rsid w:val="0057564C"/>
    <w:rsid w:val="00576378"/>
    <w:rsid w:val="00577E38"/>
    <w:rsid w:val="00584285"/>
    <w:rsid w:val="00585322"/>
    <w:rsid w:val="0059345B"/>
    <w:rsid w:val="00593AD1"/>
    <w:rsid w:val="005A1131"/>
    <w:rsid w:val="005C5570"/>
    <w:rsid w:val="005C5FD4"/>
    <w:rsid w:val="005C79A4"/>
    <w:rsid w:val="005D1689"/>
    <w:rsid w:val="005D248B"/>
    <w:rsid w:val="005D500E"/>
    <w:rsid w:val="005D5442"/>
    <w:rsid w:val="005D55A3"/>
    <w:rsid w:val="005E5568"/>
    <w:rsid w:val="005F458A"/>
    <w:rsid w:val="005F5830"/>
    <w:rsid w:val="005F76F4"/>
    <w:rsid w:val="00602C3F"/>
    <w:rsid w:val="00610D73"/>
    <w:rsid w:val="00625015"/>
    <w:rsid w:val="0062573C"/>
    <w:rsid w:val="006376BB"/>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A5E66"/>
    <w:rsid w:val="006A6542"/>
    <w:rsid w:val="006A7795"/>
    <w:rsid w:val="006C1F3B"/>
    <w:rsid w:val="006C3E2A"/>
    <w:rsid w:val="006C43B5"/>
    <w:rsid w:val="006C642F"/>
    <w:rsid w:val="006D03E5"/>
    <w:rsid w:val="006D5D3E"/>
    <w:rsid w:val="006E08B3"/>
    <w:rsid w:val="006E4E00"/>
    <w:rsid w:val="006F1604"/>
    <w:rsid w:val="006F3339"/>
    <w:rsid w:val="006F46EA"/>
    <w:rsid w:val="006F572E"/>
    <w:rsid w:val="006F6284"/>
    <w:rsid w:val="006F6423"/>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875D5"/>
    <w:rsid w:val="007920DA"/>
    <w:rsid w:val="00793A59"/>
    <w:rsid w:val="00795DC5"/>
    <w:rsid w:val="007A2162"/>
    <w:rsid w:val="007B3C16"/>
    <w:rsid w:val="007C0F3D"/>
    <w:rsid w:val="007C1AF7"/>
    <w:rsid w:val="007D06C4"/>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827C0"/>
    <w:rsid w:val="00883627"/>
    <w:rsid w:val="00896018"/>
    <w:rsid w:val="008A2B9D"/>
    <w:rsid w:val="008A5E0B"/>
    <w:rsid w:val="008A6D59"/>
    <w:rsid w:val="008A7095"/>
    <w:rsid w:val="008B1A25"/>
    <w:rsid w:val="008B4B03"/>
    <w:rsid w:val="008B553E"/>
    <w:rsid w:val="008B596F"/>
    <w:rsid w:val="008C08A9"/>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34C92"/>
    <w:rsid w:val="00947BE9"/>
    <w:rsid w:val="00960AF0"/>
    <w:rsid w:val="0096319D"/>
    <w:rsid w:val="00963C08"/>
    <w:rsid w:val="00964F68"/>
    <w:rsid w:val="009707B8"/>
    <w:rsid w:val="00970948"/>
    <w:rsid w:val="00974DBB"/>
    <w:rsid w:val="0099110E"/>
    <w:rsid w:val="00994189"/>
    <w:rsid w:val="00995F42"/>
    <w:rsid w:val="009A1D88"/>
    <w:rsid w:val="009A4CED"/>
    <w:rsid w:val="009A5BC7"/>
    <w:rsid w:val="009B1D12"/>
    <w:rsid w:val="009B3475"/>
    <w:rsid w:val="009B416B"/>
    <w:rsid w:val="009B68A6"/>
    <w:rsid w:val="009C0B2E"/>
    <w:rsid w:val="009C4BD5"/>
    <w:rsid w:val="009D059A"/>
    <w:rsid w:val="009D0790"/>
    <w:rsid w:val="009D2842"/>
    <w:rsid w:val="009D2E04"/>
    <w:rsid w:val="009D7B77"/>
    <w:rsid w:val="009E0BB0"/>
    <w:rsid w:val="009E3FBB"/>
    <w:rsid w:val="009E45E7"/>
    <w:rsid w:val="009F018D"/>
    <w:rsid w:val="009F0B33"/>
    <w:rsid w:val="00A11797"/>
    <w:rsid w:val="00A1235B"/>
    <w:rsid w:val="00A139E1"/>
    <w:rsid w:val="00A14DF7"/>
    <w:rsid w:val="00A23D34"/>
    <w:rsid w:val="00A26E24"/>
    <w:rsid w:val="00A3246D"/>
    <w:rsid w:val="00A36FA7"/>
    <w:rsid w:val="00A4235C"/>
    <w:rsid w:val="00A47459"/>
    <w:rsid w:val="00A475B7"/>
    <w:rsid w:val="00A47AF7"/>
    <w:rsid w:val="00A47C3E"/>
    <w:rsid w:val="00A50226"/>
    <w:rsid w:val="00A56E3E"/>
    <w:rsid w:val="00A60BAD"/>
    <w:rsid w:val="00A644D1"/>
    <w:rsid w:val="00A73A8D"/>
    <w:rsid w:val="00A77452"/>
    <w:rsid w:val="00A87334"/>
    <w:rsid w:val="00AA3EB9"/>
    <w:rsid w:val="00AB3CE1"/>
    <w:rsid w:val="00AC2B40"/>
    <w:rsid w:val="00AC2BB2"/>
    <w:rsid w:val="00AC2C3C"/>
    <w:rsid w:val="00AC3BD9"/>
    <w:rsid w:val="00AC3D45"/>
    <w:rsid w:val="00AD5831"/>
    <w:rsid w:val="00AE5AB2"/>
    <w:rsid w:val="00AE65EB"/>
    <w:rsid w:val="00AE7C6A"/>
    <w:rsid w:val="00AF1D94"/>
    <w:rsid w:val="00AF4857"/>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42201"/>
    <w:rsid w:val="00B510E1"/>
    <w:rsid w:val="00B54C25"/>
    <w:rsid w:val="00B76B91"/>
    <w:rsid w:val="00B87BB7"/>
    <w:rsid w:val="00B946A9"/>
    <w:rsid w:val="00B9484C"/>
    <w:rsid w:val="00B94CFB"/>
    <w:rsid w:val="00B965BE"/>
    <w:rsid w:val="00BA0DFC"/>
    <w:rsid w:val="00BA7BA5"/>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52A34"/>
    <w:rsid w:val="00C6316B"/>
    <w:rsid w:val="00C634A9"/>
    <w:rsid w:val="00C71313"/>
    <w:rsid w:val="00C7475B"/>
    <w:rsid w:val="00C76805"/>
    <w:rsid w:val="00C772FF"/>
    <w:rsid w:val="00C801AF"/>
    <w:rsid w:val="00C80256"/>
    <w:rsid w:val="00C84864"/>
    <w:rsid w:val="00C85953"/>
    <w:rsid w:val="00C87DC4"/>
    <w:rsid w:val="00CA7F9C"/>
    <w:rsid w:val="00CB6BC0"/>
    <w:rsid w:val="00CB73C5"/>
    <w:rsid w:val="00CC1B7C"/>
    <w:rsid w:val="00CC727F"/>
    <w:rsid w:val="00CD14DD"/>
    <w:rsid w:val="00CD1F02"/>
    <w:rsid w:val="00CD30CC"/>
    <w:rsid w:val="00CD6FCC"/>
    <w:rsid w:val="00CE5067"/>
    <w:rsid w:val="00CE5BB0"/>
    <w:rsid w:val="00CF15C3"/>
    <w:rsid w:val="00CF2B6F"/>
    <w:rsid w:val="00CF4791"/>
    <w:rsid w:val="00D017ED"/>
    <w:rsid w:val="00D05230"/>
    <w:rsid w:val="00D11F5C"/>
    <w:rsid w:val="00D153B1"/>
    <w:rsid w:val="00D170A9"/>
    <w:rsid w:val="00D20C54"/>
    <w:rsid w:val="00D224FE"/>
    <w:rsid w:val="00D229BA"/>
    <w:rsid w:val="00D22C00"/>
    <w:rsid w:val="00D25F22"/>
    <w:rsid w:val="00D27857"/>
    <w:rsid w:val="00D30526"/>
    <w:rsid w:val="00D3646E"/>
    <w:rsid w:val="00D4431C"/>
    <w:rsid w:val="00D55652"/>
    <w:rsid w:val="00D64401"/>
    <w:rsid w:val="00D6493E"/>
    <w:rsid w:val="00D744BD"/>
    <w:rsid w:val="00D85417"/>
    <w:rsid w:val="00D9141E"/>
    <w:rsid w:val="00DA1124"/>
    <w:rsid w:val="00DA24C7"/>
    <w:rsid w:val="00DA381C"/>
    <w:rsid w:val="00DA4CD9"/>
    <w:rsid w:val="00DD1462"/>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0FD"/>
    <w:rsid w:val="00E47660"/>
    <w:rsid w:val="00E529B3"/>
    <w:rsid w:val="00E67774"/>
    <w:rsid w:val="00E76782"/>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6686"/>
    <w:rsid w:val="00F27030"/>
    <w:rsid w:val="00F274A2"/>
    <w:rsid w:val="00F31011"/>
    <w:rsid w:val="00F3148D"/>
    <w:rsid w:val="00F35298"/>
    <w:rsid w:val="00F3529E"/>
    <w:rsid w:val="00F401EF"/>
    <w:rsid w:val="00F427F0"/>
    <w:rsid w:val="00F47E37"/>
    <w:rsid w:val="00F54CA9"/>
    <w:rsid w:val="00F56B9D"/>
    <w:rsid w:val="00F640B6"/>
    <w:rsid w:val="00F70ED4"/>
    <w:rsid w:val="00F71E1E"/>
    <w:rsid w:val="00F80E40"/>
    <w:rsid w:val="00F824ED"/>
    <w:rsid w:val="00F859D2"/>
    <w:rsid w:val="00F8709D"/>
    <w:rsid w:val="00F9022D"/>
    <w:rsid w:val="00F91CDD"/>
    <w:rsid w:val="00FA2B8E"/>
    <w:rsid w:val="00FA43E5"/>
    <w:rsid w:val="00FA5B82"/>
    <w:rsid w:val="00FA639E"/>
    <w:rsid w:val="00FA71B1"/>
    <w:rsid w:val="00FA7C37"/>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294B66A"/>
  <w15:docId w15:val="{2E310658-3999-4931-91E4-87974F3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3627"/>
    <w:pPr>
      <w:spacing w:before="120" w:after="180" w:line="240" w:lineRule="atLeast"/>
    </w:pPr>
    <w:rPr>
      <w:rFonts w:ascii="Arial" w:hAnsi="Arial" w:cs="Arial"/>
      <w:color w:val="333F48"/>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character" w:styleId="UnresolvedMention">
    <w:name w:val="Unresolved Mention"/>
    <w:basedOn w:val="DefaultParagraphFont"/>
    <w:uiPriority w:val="99"/>
    <w:semiHidden/>
    <w:unhideWhenUsed/>
    <w:rsid w:val="00FA71B1"/>
    <w:rPr>
      <w:color w:val="605E5C"/>
      <w:shd w:val="clear" w:color="auto" w:fill="E1DFDD"/>
    </w:rPr>
  </w:style>
  <w:style w:type="paragraph" w:styleId="FootnoteText">
    <w:name w:val="footnote text"/>
    <w:basedOn w:val="Normal"/>
    <w:link w:val="FootnoteTextChar"/>
    <w:rsid w:val="00F401EF"/>
    <w:pPr>
      <w:keepLines/>
      <w:spacing w:before="0" w:after="0"/>
    </w:p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8C08A9"/>
    <w:pPr>
      <w:ind w:left="720"/>
      <w:contextualSpacing/>
    </w:pPr>
    <w:rPr>
      <w:rFonts w:ascii="Cambria" w:hAnsi="Cambria"/>
      <w:color w:val="auto"/>
    </w:rPr>
  </w:style>
  <w:style w:type="paragraph" w:styleId="Revision">
    <w:name w:val="Revision"/>
    <w:hidden/>
    <w:uiPriority w:val="99"/>
    <w:semiHidden/>
    <w:rsid w:val="00202E4E"/>
    <w:rPr>
      <w:rFonts w:ascii="Arial" w:hAnsi="Arial"/>
      <w:color w:val="333F4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4719834">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35271296">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2002B00237" TargetMode="External"/><Relationship Id="rId18" Type="http://schemas.openxmlformats.org/officeDocument/2006/relationships/image" Target="media/image5.jpeg"/><Relationship Id="rId26" Type="http://schemas.openxmlformats.org/officeDocument/2006/relationships/hyperlink" Target="https://business.tga.gov.au/" TargetMode="External"/><Relationship Id="rId39" Type="http://schemas.openxmlformats.org/officeDocument/2006/relationships/hyperlink" Target="https://www.tga.gov.au/resources/resource/guidance/use-market-authorisation-evidence-comparable-overseas-regulators-assessment-bodies-medical-devices-including-ivds" TargetMode="External"/><Relationship Id="rId21" Type="http://schemas.openxmlformats.org/officeDocument/2006/relationships/image" Target="media/image7.png"/><Relationship Id="rId34" Type="http://schemas.openxmlformats.org/officeDocument/2006/relationships/image" Target="cid:image001.jpg@01D84445.C4524DB0" TargetMode="External"/><Relationship Id="rId42" Type="http://schemas.openxmlformats.org/officeDocument/2006/relationships/hyperlink" Target="https://www.tga.gov.au/auditing-medical-device-including-ivd-medical-device-applications" TargetMode="External"/><Relationship Id="rId47" Type="http://schemas.openxmlformats.org/officeDocument/2006/relationships/hyperlink" Target="https://www.tga.gov.au/how-we-regulate/supply-therapeutic-good/supply-medical-device/eu-mdr-transition/device-change-request-dcr-and-variations" TargetMode="External"/><Relationship Id="rId50" Type="http://schemas.openxmlformats.org/officeDocument/2006/relationships/hyperlink" Target="http://prostheses.health.gov.au/wps/portal/register/!ut/p/a1/04_Sj9CPykssy0xPLMnMz0vMAfGjzOJNPb09DUwMjLz9nZxcDBw9fUJ9XC0NjQz8TYEKIoEKDHAARwNC-sP1o8BK8JhQkBthkO6oqAgA-HOkGw!!/dl5/d5/L2dBISEvZ0FBIS9nQSEh/?token=e5LYf9OcvU2vpI79_SLml093Q8RSt4Ca5FxKmBazT2b8blepWsI0ZUXPRmmBZYaJ2uMzA5fOTEBp_Ge_Jjz1xJngkcgWHQDgG3Jv7C0CgSP5xRvdsyTEla2YKLY-ujy9U6-AQ7X8hl1lNh8ERO5xusPeI4sdK3BcwUM0hP2KTnHdWobV5G8XBtd54QhdqBJpLntBzTFa9opgZVk4KmwePIm9doVFuajZRnWOaP1DCiKqkO9XeLFYKDoMZy7LCmI-Me91H4XODuYgbG4y_V47NA" TargetMode="External"/><Relationship Id="rId55"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google.com/url?sa=i&amp;url=https%3A%2F%2Fmusculoskeletalkey.com%2Ffacet-joint-replacement-for-the-treatment-of-degenerative-disorders-of-the-spine%2F&amp;psig=AOvVaw0IiDxnNvHCfLkvFT1gbH-9&amp;ust=1611196539705000&amp;source=images&amp;cd=vfe&amp;ved=0CAIQjRxqFwoTCKjlhoW9qe4CFQAAAAAdAAAAABAD" TargetMode="External"/><Relationship Id="rId25" Type="http://schemas.openxmlformats.org/officeDocument/2006/relationships/hyperlink" Target="https://www.tga.gov.au/form/request-cancel-artg-entry" TargetMode="External"/><Relationship Id="rId33" Type="http://schemas.openxmlformats.org/officeDocument/2006/relationships/image" Target="media/image9.jpeg"/><Relationship Id="rId38" Type="http://schemas.openxmlformats.org/officeDocument/2006/relationships/hyperlink" Target="https://www.tga.gov.au/supporting-documentation-inclusion-medical-device" TargetMode="External"/><Relationship Id="rId46" Type="http://schemas.openxmlformats.org/officeDocument/2006/relationships/hyperlink" Target="https://www.tga.gov.au/publication/reduction-assessment-fees-medical-device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consultations.health.gov.au/tga/spinal-implantable-medical-devices/" TargetMode="External"/><Relationship Id="rId41" Type="http://schemas.openxmlformats.org/officeDocument/2006/relationships/hyperlink" Target="https://www.tga.gov.au/auditing-medical-device-including-ivd-medical-device-application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form/request-cancel-artg-entry" TargetMode="External"/><Relationship Id="rId32" Type="http://schemas.openxmlformats.org/officeDocument/2006/relationships/hyperlink" Target="https://www.tga.gov.au/how-we-regulate/supply-therapeutic-good/supply-medical-device/eu-mdr-transition/eu-mdr-transition-extension" TargetMode="External"/><Relationship Id="rId37" Type="http://schemas.openxmlformats.org/officeDocument/2006/relationships/image" Target="media/image12.png"/><Relationship Id="rId40" Type="http://schemas.openxmlformats.org/officeDocument/2006/relationships/hyperlink" Target="https://www.tga.gov.au/manufacturer-evidence-medical-devices-and-ivd-medical-devices" TargetMode="External"/><Relationship Id="rId45" Type="http://schemas.openxmlformats.org/officeDocument/2006/relationships/hyperlink" Target="https://www.tga.gov.au/how-we-regulate/supply-therapeutic-good/supply-medical-device/medical-device-inclusion-process" TargetMode="External"/><Relationship Id="rId53" Type="http://schemas.openxmlformats.org/officeDocument/2006/relationships/header" Target="header3.xm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lation.gov.au/Details/F2021L01474" TargetMode="External"/><Relationship Id="rId23" Type="http://schemas.openxmlformats.org/officeDocument/2006/relationships/hyperlink" Target="https://www.tga.gov.au/how-we-regulate/supply-therapeutic-good/supply-medical-device/medical-device-inclusion-process" TargetMode="External"/><Relationship Id="rId28" Type="http://schemas.openxmlformats.org/officeDocument/2006/relationships/hyperlink" Target="https://www.tga.gov.au/how-we-regulate/supply-therapeutic-good/supply-medical-device/medical-device-inclusion-process" TargetMode="External"/><Relationship Id="rId36" Type="http://schemas.openxmlformats.org/officeDocument/2006/relationships/image" Target="media/image11.png"/><Relationship Id="rId49" Type="http://schemas.openxmlformats.org/officeDocument/2006/relationships/hyperlink" Target="https://www.health.gov.au/health-topics/private-health-insurance/the-prostheses-list" TargetMode="External"/><Relationship Id="rId57"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google.com/url?sa=i&amp;url=http%3A%2F%2Fwww.hurtingback.com%2Finterspinous-process-spacer.html&amp;psig=AOvVaw3T78N2dsOO1c4-w5DMGGw4&amp;ust=1611198295617000&amp;source=images&amp;cd=vfe&amp;ved=0CAIQjRxqFwoTCJD-k87Dqe4CFQAAAAAdAAAAABAD" TargetMode="External"/><Relationship Id="rId31" Type="http://schemas.openxmlformats.org/officeDocument/2006/relationships/hyperlink" Target="https://www.tga.gov.au/kind-medical-device" TargetMode="External"/><Relationship Id="rId44" Type="http://schemas.openxmlformats.org/officeDocument/2006/relationships/hyperlink" Target="https://www.tga.gov.au/schedule-fees-and-charges" TargetMode="External"/><Relationship Id="rId52" Type="http://schemas.openxmlformats.org/officeDocument/2006/relationships/hyperlink" Target="https://www.legislation.gov.au/Series/C2004A03952"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therapeutic-goods-legislation-amendment-2019-measures-no1-regulations-2019" TargetMode="External"/><Relationship Id="rId22" Type="http://schemas.openxmlformats.org/officeDocument/2006/relationships/hyperlink" Target="https://www.tga.gov.au/form/request-cancel-artg-entry" TargetMode="External"/><Relationship Id="rId27" Type="http://schemas.openxmlformats.org/officeDocument/2006/relationships/hyperlink" Target="https://www.tga.gov.au/how-we-regulate/fees-and-payments/refunds" TargetMode="External"/><Relationship Id="rId30" Type="http://schemas.openxmlformats.org/officeDocument/2006/relationships/image" Target="media/image8.png"/><Relationship Id="rId35" Type="http://schemas.openxmlformats.org/officeDocument/2006/relationships/image" Target="media/image10.png"/><Relationship Id="rId43" Type="http://schemas.openxmlformats.org/officeDocument/2006/relationships/hyperlink" Target="https://www.tga.gov.au/resource/clinical-evidence-guidelines-medical-devices" TargetMode="External"/><Relationship Id="rId48" Type="http://schemas.openxmlformats.org/officeDocument/2006/relationships/hyperlink" Target="https://www.tga.gov.au/resources/resource/guidance/medical-device-patient-information-leaflets-and-implant-cards" TargetMode="External"/><Relationship Id="rId56"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mailto:prostheses@health.gov.a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8</TotalTime>
  <Pages>15</Pages>
  <Words>4603</Words>
  <Characters>24677</Characters>
  <Application>Microsoft Office Word</Application>
  <DocSecurity>0</DocSecurity>
  <Lines>536</Lines>
  <Paragraphs>348</Paragraphs>
  <ScaleCrop>false</ScaleCrop>
  <HeadingPairs>
    <vt:vector size="2" baseType="variant">
      <vt:variant>
        <vt:lpstr>Title</vt:lpstr>
      </vt:variant>
      <vt:variant>
        <vt:i4>1</vt:i4>
      </vt:variant>
    </vt:vector>
  </HeadingPairs>
  <TitlesOfParts>
    <vt:vector size="1" baseType="lpstr">
      <vt:lpstr>Reclassification of spinal implantable medical devices</vt:lpstr>
    </vt:vector>
  </TitlesOfParts>
  <Company>Department of Health and Aged Care</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spinal implantable medical devices</dc:title>
  <dc:subject>medical devices</dc:subject>
  <dc:creator>Therapeutic Goods Administration</dc:creator>
  <cp:lastModifiedBy>LACK, Janet</cp:lastModifiedBy>
  <cp:revision>4</cp:revision>
  <cp:lastPrinted>2010-12-20T22:59:00Z</cp:lastPrinted>
  <dcterms:created xsi:type="dcterms:W3CDTF">2024-01-10T00:58:00Z</dcterms:created>
  <dcterms:modified xsi:type="dcterms:W3CDTF">2024-01-10T01:10:00Z</dcterms:modified>
</cp:coreProperties>
</file>